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distribute"/>
        <w:textAlignment w:val="bottom"/>
        <w:rPr>
          <w:rFonts w:ascii="宋体" w:hAnsi="宋体"/>
          <w:b/>
          <w:bCs/>
          <w:color w:val="auto"/>
          <w:sz w:val="72"/>
          <w:szCs w:val="72"/>
          <w:highlight w:val="none"/>
        </w:rPr>
      </w:pPr>
    </w:p>
    <w:p>
      <w:pPr>
        <w:autoSpaceDE w:val="0"/>
        <w:autoSpaceDN w:val="0"/>
        <w:spacing w:line="500" w:lineRule="atLeast"/>
        <w:jc w:val="distribute"/>
        <w:textAlignment w:val="bottom"/>
        <w:rPr>
          <w:rFonts w:ascii="宋体" w:hAnsi="宋体"/>
          <w:bCs/>
          <w:color w:val="auto"/>
          <w:sz w:val="72"/>
          <w:szCs w:val="72"/>
          <w:highlight w:val="none"/>
        </w:rPr>
      </w:pPr>
      <w:r>
        <w:rPr>
          <w:rFonts w:hint="eastAsia" w:ascii="宋体" w:hAnsi="宋体"/>
          <w:b/>
          <w:bCs/>
          <w:color w:val="auto"/>
          <w:sz w:val="72"/>
          <w:szCs w:val="72"/>
          <w:highlight w:val="none"/>
          <w:lang w:val="en-US" w:eastAsia="zh-CN"/>
        </w:rPr>
        <w:t>温州市</w:t>
      </w:r>
      <w:r>
        <w:rPr>
          <w:rFonts w:hint="eastAsia" w:ascii="宋体" w:hAnsi="宋体"/>
          <w:b/>
          <w:bCs/>
          <w:color w:val="auto"/>
          <w:sz w:val="72"/>
          <w:szCs w:val="72"/>
          <w:highlight w:val="none"/>
        </w:rPr>
        <w:t>政府采购</w:t>
      </w:r>
    </w:p>
    <w:p>
      <w:pPr>
        <w:spacing w:line="400" w:lineRule="atLeast"/>
        <w:jc w:val="center"/>
        <w:rPr>
          <w:rFonts w:ascii="宋体" w:hAnsi="宋体"/>
          <w:b/>
          <w:color w:val="auto"/>
          <w:sz w:val="52"/>
          <w:highlight w:val="none"/>
        </w:rPr>
      </w:pPr>
    </w:p>
    <w:p>
      <w:pPr>
        <w:spacing w:line="400" w:lineRule="atLeast"/>
        <w:jc w:val="center"/>
        <w:rPr>
          <w:rFonts w:ascii="宋体" w:hAnsi="宋体"/>
          <w:b/>
          <w:color w:val="auto"/>
          <w:sz w:val="52"/>
          <w:highlight w:val="none"/>
        </w:rPr>
      </w:pPr>
    </w:p>
    <w:p>
      <w:pPr>
        <w:spacing w:line="400" w:lineRule="atLeast"/>
        <w:jc w:val="center"/>
        <w:rPr>
          <w:rFonts w:ascii="宋体" w:hAnsi="宋体"/>
          <w:b/>
          <w:color w:val="auto"/>
          <w:sz w:val="52"/>
          <w:highlight w:val="none"/>
        </w:rPr>
      </w:pPr>
    </w:p>
    <w:p>
      <w:pPr>
        <w:autoSpaceDE w:val="0"/>
        <w:autoSpaceDN w:val="0"/>
        <w:spacing w:line="500" w:lineRule="atLeast"/>
        <w:jc w:val="center"/>
        <w:textAlignment w:val="bottom"/>
        <w:rPr>
          <w:rFonts w:ascii="宋体" w:hAnsi="宋体"/>
          <w:b/>
          <w:color w:val="auto"/>
          <w:sz w:val="72"/>
          <w:szCs w:val="72"/>
          <w:highlight w:val="none"/>
        </w:rPr>
      </w:pPr>
      <w:r>
        <w:rPr>
          <w:rFonts w:hint="eastAsia" w:ascii="宋体" w:hAnsi="宋体"/>
          <w:b/>
          <w:bCs/>
          <w:color w:val="auto"/>
          <w:sz w:val="72"/>
          <w:szCs w:val="72"/>
          <w:highlight w:val="none"/>
        </w:rPr>
        <w:t>招 标 文 件</w:t>
      </w:r>
    </w:p>
    <w:p>
      <w:pPr>
        <w:spacing w:line="400" w:lineRule="atLeast"/>
        <w:jc w:val="center"/>
        <w:rPr>
          <w:rFonts w:ascii="宋体" w:hAnsi="宋体"/>
          <w:b/>
          <w:color w:val="auto"/>
          <w:sz w:val="32"/>
          <w:highlight w:val="none"/>
        </w:rPr>
      </w:pPr>
    </w:p>
    <w:p>
      <w:pPr>
        <w:jc w:val="center"/>
        <w:rPr>
          <w:rFonts w:ascii="宋体" w:hAnsi="宋体"/>
          <w:b/>
          <w:bCs/>
          <w:color w:val="auto"/>
          <w:sz w:val="24"/>
          <w:highlight w:val="none"/>
        </w:rPr>
      </w:pPr>
    </w:p>
    <w:p>
      <w:pPr>
        <w:pStyle w:val="76"/>
        <w:rPr>
          <w:rFonts w:ascii="宋体" w:hAnsi="宋体"/>
          <w:b/>
          <w:bCs/>
          <w:color w:val="auto"/>
          <w:sz w:val="24"/>
          <w:highlight w:val="none"/>
        </w:rPr>
      </w:pPr>
    </w:p>
    <w:p>
      <w:pPr>
        <w:pStyle w:val="76"/>
        <w:rPr>
          <w:rFonts w:ascii="宋体" w:hAnsi="宋体"/>
          <w:b/>
          <w:bCs/>
          <w:color w:val="auto"/>
          <w:sz w:val="24"/>
          <w:highlight w:val="none"/>
        </w:rPr>
      </w:pPr>
    </w:p>
    <w:p>
      <w:pPr>
        <w:jc w:val="center"/>
        <w:rPr>
          <w:rFonts w:ascii="宋体" w:hAnsi="宋体"/>
          <w:b/>
          <w:bCs/>
          <w:color w:val="auto"/>
          <w:sz w:val="24"/>
          <w:highlight w:val="none"/>
        </w:rPr>
      </w:pPr>
    </w:p>
    <w:p>
      <w:pPr>
        <w:tabs>
          <w:tab w:val="left" w:pos="4860"/>
        </w:tabs>
        <w:spacing w:line="600" w:lineRule="exact"/>
        <w:ind w:right="1143" w:firstLine="1483" w:firstLineChars="389"/>
        <w:jc w:val="left"/>
        <w:rPr>
          <w:rFonts w:hint="eastAsia" w:ascii="宋体" w:hAnsi="宋体" w:eastAsia="宋体"/>
          <w:b/>
          <w:color w:val="auto"/>
          <w:sz w:val="30"/>
          <w:szCs w:val="30"/>
          <w:highlight w:val="none"/>
          <w:lang w:eastAsia="zh-CN"/>
        </w:rPr>
      </w:pPr>
      <w:r>
        <w:rPr>
          <w:rFonts w:hint="eastAsia" w:ascii="宋体" w:hAnsi="宋体"/>
          <w:b/>
          <w:color w:val="auto"/>
          <w:spacing w:val="40"/>
          <w:sz w:val="30"/>
          <w:szCs w:val="30"/>
          <w:highlight w:val="none"/>
        </w:rPr>
        <w:t xml:space="preserve">招 标 编 </w:t>
      </w:r>
      <w:r>
        <w:rPr>
          <w:rFonts w:hint="eastAsia" w:ascii="宋体" w:hAnsi="宋体" w:cs="Arial"/>
          <w:b/>
          <w:color w:val="auto"/>
          <w:spacing w:val="40"/>
          <w:sz w:val="30"/>
          <w:szCs w:val="30"/>
          <w:highlight w:val="none"/>
        </w:rPr>
        <w:t>号</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WZYX-W2023011102</w:t>
      </w:r>
    </w:p>
    <w:p>
      <w:pPr>
        <w:tabs>
          <w:tab w:val="left" w:pos="5245"/>
          <w:tab w:val="left" w:pos="9660"/>
        </w:tabs>
        <w:spacing w:line="600" w:lineRule="exact"/>
        <w:ind w:left="4006" w:leftChars="706" w:right="-22" w:hanging="2523" w:hangingChars="662"/>
        <w:jc w:val="left"/>
        <w:rPr>
          <w:rFonts w:hint="eastAsia" w:ascii="宋体" w:hAnsi="宋体" w:eastAsia="宋体"/>
          <w:b/>
          <w:color w:val="auto"/>
          <w:sz w:val="30"/>
          <w:szCs w:val="30"/>
          <w:highlight w:val="none"/>
          <w:lang w:eastAsia="zh-CN"/>
        </w:rPr>
      </w:pPr>
      <w:r>
        <w:rPr>
          <w:rFonts w:hint="eastAsia" w:ascii="宋体" w:hAnsi="宋体"/>
          <w:b/>
          <w:color w:val="auto"/>
          <w:spacing w:val="40"/>
          <w:sz w:val="30"/>
          <w:szCs w:val="30"/>
          <w:highlight w:val="none"/>
        </w:rPr>
        <w:t>招 标 项 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温州肯恩大学留学生楼家具采购</w:t>
      </w:r>
    </w:p>
    <w:p>
      <w:pPr>
        <w:tabs>
          <w:tab w:val="left" w:pos="4860"/>
        </w:tabs>
        <w:spacing w:line="600" w:lineRule="exact"/>
        <w:ind w:right="1143" w:firstLine="1483" w:firstLineChars="389"/>
        <w:jc w:val="left"/>
        <w:rPr>
          <w:rFonts w:ascii="宋体" w:hAnsi="宋体"/>
          <w:b/>
          <w:color w:val="auto"/>
          <w:spacing w:val="40"/>
          <w:sz w:val="30"/>
          <w:szCs w:val="30"/>
          <w:highlight w:val="none"/>
        </w:rPr>
      </w:pPr>
      <w:r>
        <w:rPr>
          <w:rFonts w:hint="eastAsia" w:ascii="宋体" w:hAnsi="宋体"/>
          <w:b/>
          <w:color w:val="auto"/>
          <w:spacing w:val="40"/>
          <w:sz w:val="30"/>
          <w:szCs w:val="30"/>
          <w:highlight w:val="none"/>
        </w:rPr>
        <w:t>招 标 方 式</w:t>
      </w:r>
      <w:r>
        <w:rPr>
          <w:rFonts w:hint="eastAsia" w:ascii="宋体" w:hAnsi="宋体"/>
          <w:b/>
          <w:color w:val="auto"/>
          <w:sz w:val="30"/>
          <w:szCs w:val="30"/>
          <w:highlight w:val="none"/>
        </w:rPr>
        <w:t>：公 开 招 标</w:t>
      </w: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spacing w:line="600" w:lineRule="exact"/>
        <w:ind w:left="1476" w:leftChars="693" w:hanging="21" w:hangingChars="7"/>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招  标  人：</w:t>
      </w:r>
      <w:r>
        <w:rPr>
          <w:rFonts w:hint="eastAsia" w:ascii="宋体" w:hAnsi="宋体"/>
          <w:b/>
          <w:bCs/>
          <w:color w:val="auto"/>
          <w:sz w:val="30"/>
          <w:szCs w:val="30"/>
          <w:highlight w:val="none"/>
          <w:lang w:eastAsia="zh-CN"/>
        </w:rPr>
        <w:t>温州肯恩大学</w:t>
      </w:r>
    </w:p>
    <w:p>
      <w:pPr>
        <w:spacing w:line="600" w:lineRule="exact"/>
        <w:ind w:left="1482" w:leftChars="693" w:hanging="27" w:hangingChars="7"/>
        <w:rPr>
          <w:rFonts w:ascii="宋体" w:hAnsi="宋体"/>
          <w:b/>
          <w:color w:val="auto"/>
          <w:spacing w:val="12"/>
          <w:sz w:val="30"/>
          <w:szCs w:val="30"/>
          <w:highlight w:val="none"/>
        </w:rPr>
      </w:pPr>
      <w:r>
        <w:rPr>
          <w:rFonts w:hint="eastAsia" w:ascii="宋体" w:hAnsi="宋体"/>
          <w:b/>
          <w:color w:val="auto"/>
          <w:spacing w:val="40"/>
          <w:sz w:val="30"/>
          <w:szCs w:val="30"/>
          <w:highlight w:val="none"/>
        </w:rPr>
        <w:t>招标代理</w:t>
      </w:r>
      <w:r>
        <w:rPr>
          <w:rFonts w:hint="eastAsia" w:ascii="宋体" w:hAnsi="宋体"/>
          <w:b/>
          <w:color w:val="auto"/>
          <w:sz w:val="30"/>
          <w:szCs w:val="30"/>
          <w:highlight w:val="none"/>
        </w:rPr>
        <w:t>：</w:t>
      </w:r>
      <w:r>
        <w:rPr>
          <w:rFonts w:hint="eastAsia" w:ascii="宋体" w:hAnsi="宋体"/>
          <w:b/>
          <w:color w:val="auto"/>
          <w:spacing w:val="12"/>
          <w:sz w:val="30"/>
          <w:szCs w:val="30"/>
          <w:highlight w:val="none"/>
        </w:rPr>
        <w:t>温州元信工程项目管理有限公司</w:t>
      </w:r>
    </w:p>
    <w:p>
      <w:pPr>
        <w:spacing w:line="600" w:lineRule="exact"/>
        <w:ind w:left="2130" w:leftChars="1000" w:hanging="30" w:hangingChars="8"/>
        <w:rPr>
          <w:rFonts w:ascii="宋体" w:hAnsi="宋体"/>
          <w:b/>
          <w:color w:val="auto"/>
          <w:spacing w:val="40"/>
          <w:sz w:val="30"/>
          <w:szCs w:val="30"/>
          <w:highlight w:val="none"/>
        </w:rPr>
      </w:pPr>
    </w:p>
    <w:p>
      <w:pPr>
        <w:spacing w:line="600" w:lineRule="exact"/>
        <w:jc w:val="center"/>
        <w:rPr>
          <w:rFonts w:ascii="宋体" w:hAnsi="宋体"/>
          <w:b/>
          <w:color w:val="auto"/>
          <w:spacing w:val="40"/>
          <w:sz w:val="30"/>
          <w:szCs w:val="30"/>
          <w:highlight w:val="none"/>
        </w:rPr>
      </w:pP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rPr>
        <w:t>〇</w:t>
      </w: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lang w:val="en-US" w:eastAsia="zh-CN"/>
        </w:rPr>
        <w:t>三</w:t>
      </w:r>
      <w:r>
        <w:rPr>
          <w:rFonts w:hint="eastAsia" w:ascii="宋体" w:hAnsi="宋体" w:cs="仿宋_GB2312"/>
          <w:b/>
          <w:color w:val="auto"/>
          <w:spacing w:val="40"/>
          <w:sz w:val="30"/>
          <w:szCs w:val="30"/>
          <w:highlight w:val="none"/>
        </w:rPr>
        <w:t>年</w:t>
      </w:r>
      <w:r>
        <w:rPr>
          <w:rFonts w:hint="eastAsia" w:ascii="宋体" w:hAnsi="宋体" w:cs="仿宋_GB2312"/>
          <w:b/>
          <w:color w:val="auto"/>
          <w:spacing w:val="40"/>
          <w:sz w:val="30"/>
          <w:szCs w:val="30"/>
          <w:highlight w:val="none"/>
          <w:lang w:val="en-US" w:eastAsia="zh-CN"/>
        </w:rPr>
        <w:t>三</w:t>
      </w:r>
      <w:r>
        <w:rPr>
          <w:rFonts w:hint="eastAsia" w:ascii="宋体" w:hAnsi="宋体" w:cs="仿宋_GB2312"/>
          <w:b/>
          <w:color w:val="auto"/>
          <w:spacing w:val="40"/>
          <w:sz w:val="30"/>
          <w:szCs w:val="30"/>
          <w:highlight w:val="none"/>
        </w:rPr>
        <w:t>月</w:t>
      </w:r>
    </w:p>
    <w:p>
      <w:pPr>
        <w:spacing w:line="600" w:lineRule="exact"/>
        <w:jc w:val="center"/>
        <w:rPr>
          <w:rFonts w:ascii="宋体" w:hAnsi="宋体"/>
          <w:b/>
          <w:bCs/>
          <w:color w:val="auto"/>
          <w:sz w:val="32"/>
          <w:szCs w:val="32"/>
          <w:highlight w:val="none"/>
        </w:rPr>
      </w:pPr>
      <w:r>
        <w:rPr>
          <w:rFonts w:hint="eastAsia" w:ascii="宋体" w:hAnsi="宋体"/>
          <w:color w:val="auto"/>
          <w:spacing w:val="40"/>
          <w:sz w:val="30"/>
          <w:szCs w:val="30"/>
          <w:highlight w:val="none"/>
        </w:rPr>
        <w:br w:type="page"/>
      </w:r>
      <w:r>
        <w:rPr>
          <w:rFonts w:hint="eastAsia" w:ascii="宋体" w:hAnsi="宋体"/>
          <w:b/>
          <w:bCs/>
          <w:color w:val="auto"/>
          <w:sz w:val="32"/>
          <w:szCs w:val="32"/>
          <w:highlight w:val="none"/>
        </w:rPr>
        <w:t>目    录</w:t>
      </w:r>
    </w:p>
    <w:p>
      <w:pPr>
        <w:spacing w:line="600" w:lineRule="exact"/>
        <w:jc w:val="center"/>
        <w:rPr>
          <w:rFonts w:ascii="宋体" w:hAnsi="宋体"/>
          <w:b/>
          <w:bCs/>
          <w:color w:val="auto"/>
          <w:sz w:val="24"/>
          <w:highlight w:val="none"/>
        </w:rPr>
      </w:pPr>
    </w:p>
    <w:p>
      <w:pPr>
        <w:pStyle w:val="46"/>
        <w:tabs>
          <w:tab w:val="right" w:leader="dot" w:pos="9638"/>
          <w:tab w:val="clear" w:pos="9628"/>
        </w:tabs>
        <w:rPr>
          <w:color w:val="auto"/>
          <w:highlight w:val="none"/>
        </w:rPr>
      </w:pPr>
      <w:r>
        <w:rPr>
          <w:rFonts w:hint="eastAsia" w:ascii="宋体" w:hAnsi="宋体" w:eastAsia="宋体"/>
          <w:b/>
          <w:bCs w:val="0"/>
          <w:color w:val="auto"/>
          <w:highlight w:val="none"/>
        </w:rPr>
        <w:fldChar w:fldCharType="begin"/>
      </w:r>
      <w:r>
        <w:rPr>
          <w:rFonts w:hint="eastAsia" w:ascii="宋体" w:hAnsi="宋体" w:eastAsia="宋体"/>
          <w:b/>
          <w:bCs w:val="0"/>
          <w:color w:val="auto"/>
          <w:highlight w:val="none"/>
        </w:rPr>
        <w:instrText xml:space="preserve"> TOC \o "1-3" \h \z \u </w:instrText>
      </w:r>
      <w:r>
        <w:rPr>
          <w:rFonts w:hint="eastAsia" w:ascii="宋体" w:hAnsi="宋体" w:eastAsia="宋体"/>
          <w:b/>
          <w:bCs w:val="0"/>
          <w:color w:val="auto"/>
          <w:highlight w:val="none"/>
        </w:rPr>
        <w:fldChar w:fldCharType="separate"/>
      </w:r>
      <w:r>
        <w:rPr>
          <w:rFonts w:hint="eastAsia" w:ascii="宋体" w:hAnsi="宋体" w:eastAsia="宋体"/>
          <w:bCs w:val="0"/>
          <w:color w:val="auto"/>
          <w:highlight w:val="none"/>
        </w:rPr>
        <w:fldChar w:fldCharType="begin"/>
      </w:r>
      <w:r>
        <w:rPr>
          <w:rFonts w:hint="eastAsia" w:ascii="宋体" w:hAnsi="宋体" w:eastAsia="宋体"/>
          <w:bCs w:val="0"/>
          <w:color w:val="auto"/>
          <w:highlight w:val="none"/>
        </w:rPr>
        <w:instrText xml:space="preserve"> HYPERLINK \l _Toc17586 </w:instrText>
      </w:r>
      <w:r>
        <w:rPr>
          <w:rFonts w:hint="eastAsia" w:ascii="宋体" w:hAnsi="宋体" w:eastAsia="宋体"/>
          <w:bCs w:val="0"/>
          <w:color w:val="auto"/>
          <w:highlight w:val="none"/>
        </w:rPr>
        <w:fldChar w:fldCharType="separate"/>
      </w:r>
      <w:r>
        <w:rPr>
          <w:rFonts w:hint="eastAsia" w:ascii="宋体" w:hAnsi="宋体" w:eastAsia="宋体" w:cs="Arial"/>
          <w:color w:val="auto"/>
          <w:szCs w:val="30"/>
          <w:highlight w:val="none"/>
        </w:rPr>
        <w:t>温州元信工程项目管理有限公司关于</w:t>
      </w:r>
      <w:r>
        <w:rPr>
          <w:rFonts w:hint="eastAsia" w:ascii="宋体" w:hAnsi="宋体" w:eastAsia="宋体" w:cs="Arial"/>
          <w:color w:val="auto"/>
          <w:szCs w:val="30"/>
          <w:highlight w:val="none"/>
          <w:lang w:eastAsia="zh-CN"/>
        </w:rPr>
        <w:t>温州肯恩大学留学生楼家具采购</w:t>
      </w:r>
      <w:r>
        <w:rPr>
          <w:rFonts w:hint="eastAsia" w:ascii="宋体" w:hAnsi="宋体" w:eastAsia="宋体" w:cs="Arial"/>
          <w:color w:val="auto"/>
          <w:szCs w:val="30"/>
          <w:highlight w:val="none"/>
        </w:rPr>
        <w:t>项目的公开招标公告</w:t>
      </w:r>
      <w:r>
        <w:rPr>
          <w:color w:val="auto"/>
          <w:highlight w:val="none"/>
        </w:rPr>
        <w:tab/>
      </w:r>
      <w:r>
        <w:rPr>
          <w:color w:val="auto"/>
          <w:highlight w:val="none"/>
        </w:rPr>
        <w:fldChar w:fldCharType="begin"/>
      </w:r>
      <w:r>
        <w:rPr>
          <w:color w:val="auto"/>
          <w:highlight w:val="none"/>
        </w:rPr>
        <w:instrText xml:space="preserve"> PAGEREF _Toc17586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bCs w:val="0"/>
          <w:color w:val="auto"/>
          <w:highlight w:val="none"/>
        </w:rPr>
        <w:fldChar w:fldCharType="end"/>
      </w:r>
    </w:p>
    <w:p>
      <w:pPr>
        <w:pStyle w:val="46"/>
        <w:tabs>
          <w:tab w:val="right" w:leader="dot" w:pos="9638"/>
          <w:tab w:val="clear" w:pos="9628"/>
        </w:tabs>
        <w:rPr>
          <w:color w:val="auto"/>
          <w:highlight w:val="none"/>
        </w:rPr>
      </w:pPr>
      <w:r>
        <w:rPr>
          <w:rFonts w:hint="eastAsia"/>
          <w:color w:val="auto"/>
          <w:highlight w:val="none"/>
        </w:rPr>
        <w:fldChar w:fldCharType="begin"/>
      </w:r>
      <w:r>
        <w:rPr>
          <w:rFonts w:hint="eastAsia"/>
          <w:color w:val="auto"/>
          <w:highlight w:val="none"/>
        </w:rPr>
        <w:instrText xml:space="preserve"> HYPERLINK \l _Toc1202 </w:instrText>
      </w:r>
      <w:r>
        <w:rPr>
          <w:rFonts w:hint="eastAsia"/>
          <w:color w:val="auto"/>
          <w:highlight w:val="none"/>
        </w:rPr>
        <w:fldChar w:fldCharType="separate"/>
      </w:r>
      <w:r>
        <w:rPr>
          <w:rFonts w:hint="eastAsia"/>
          <w:color w:val="auto"/>
          <w:highlight w:val="none"/>
        </w:rPr>
        <w:t>第一部分    投标人须知</w:t>
      </w:r>
      <w:r>
        <w:rPr>
          <w:color w:val="auto"/>
          <w:highlight w:val="none"/>
        </w:rPr>
        <w:tab/>
      </w:r>
      <w:r>
        <w:rPr>
          <w:color w:val="auto"/>
          <w:highlight w:val="none"/>
        </w:rPr>
        <w:fldChar w:fldCharType="begin"/>
      </w:r>
      <w:r>
        <w:rPr>
          <w:color w:val="auto"/>
          <w:highlight w:val="none"/>
        </w:rPr>
        <w:instrText xml:space="preserve"> PAGEREF _Toc1202 \h </w:instrText>
      </w:r>
      <w:r>
        <w:rPr>
          <w:color w:val="auto"/>
          <w:highlight w:val="none"/>
        </w:rPr>
        <w:fldChar w:fldCharType="separate"/>
      </w:r>
      <w:r>
        <w:rPr>
          <w:color w:val="auto"/>
          <w:highlight w:val="none"/>
        </w:rPr>
        <w:t>5</w:t>
      </w:r>
      <w:r>
        <w:rPr>
          <w:color w:val="auto"/>
          <w:highlight w:val="none"/>
        </w:rPr>
        <w:fldChar w:fldCharType="end"/>
      </w:r>
      <w:r>
        <w:rPr>
          <w:rFonts w:hint="eastAsia"/>
          <w:color w:val="auto"/>
          <w:highlight w:val="none"/>
        </w:rPr>
        <w:fldChar w:fldCharType="end"/>
      </w:r>
    </w:p>
    <w:p>
      <w:pPr>
        <w:pStyle w:val="46"/>
        <w:tabs>
          <w:tab w:val="right" w:leader="dot" w:pos="9638"/>
          <w:tab w:val="clear" w:pos="9628"/>
        </w:tabs>
        <w:ind w:left="420" w:leftChars="200" w:firstLine="0" w:firstLineChars="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_Toc26439 </w:instrText>
      </w:r>
      <w:r>
        <w:rPr>
          <w:rFonts w:hint="eastAsia"/>
          <w:color w:val="auto"/>
          <w:highlight w:val="none"/>
          <w:lang w:val="en-US" w:eastAsia="zh-CN"/>
        </w:rPr>
        <w:fldChar w:fldCharType="separate"/>
      </w:r>
      <w:r>
        <w:rPr>
          <w:rFonts w:hint="eastAsia"/>
          <w:color w:val="auto"/>
          <w:highlight w:val="none"/>
          <w:lang w:val="en-US" w:eastAsia="zh-CN"/>
        </w:rPr>
        <w:t>一、须知前附表</w:t>
      </w:r>
      <w:r>
        <w:rPr>
          <w:rFonts w:hint="eastAsia"/>
          <w:color w:val="auto"/>
          <w:highlight w:val="none"/>
          <w:lang w:val="en-US" w:eastAsia="zh-CN"/>
        </w:rPr>
        <w:tab/>
      </w:r>
      <w:r>
        <w:rPr>
          <w:rFonts w:hint="eastAsia"/>
          <w:color w:val="auto"/>
          <w:highlight w:val="none"/>
          <w:lang w:val="en-US" w:eastAsia="zh-CN"/>
        </w:rPr>
        <w:fldChar w:fldCharType="begin"/>
      </w:r>
      <w:r>
        <w:rPr>
          <w:rFonts w:hint="eastAsia"/>
          <w:color w:val="auto"/>
          <w:highlight w:val="none"/>
          <w:lang w:val="en-US" w:eastAsia="zh-CN"/>
        </w:rPr>
        <w:instrText xml:space="preserve"> PAGEREF _Toc26439 \h </w:instrText>
      </w:r>
      <w:r>
        <w:rPr>
          <w:rFonts w:hint="eastAsia"/>
          <w:color w:val="auto"/>
          <w:highlight w:val="none"/>
          <w:lang w:val="en-US" w:eastAsia="zh-CN"/>
        </w:rPr>
        <w:fldChar w:fldCharType="separate"/>
      </w:r>
      <w:r>
        <w:rPr>
          <w:rFonts w:hint="eastAsia"/>
          <w:color w:val="auto"/>
          <w:highlight w:val="none"/>
          <w:lang w:val="en-US" w:eastAsia="zh-CN"/>
        </w:rPr>
        <w:t>5</w:t>
      </w:r>
      <w:r>
        <w:rPr>
          <w:rFonts w:hint="eastAsia"/>
          <w:color w:val="auto"/>
          <w:highlight w:val="none"/>
          <w:lang w:val="en-US" w:eastAsia="zh-CN"/>
        </w:rPr>
        <w:fldChar w:fldCharType="end"/>
      </w:r>
      <w:r>
        <w:rPr>
          <w:rFonts w:hint="eastAsia"/>
          <w:color w:val="auto"/>
          <w:highlight w:val="none"/>
          <w:lang w:val="en-US" w:eastAsia="zh-CN"/>
        </w:rPr>
        <w:fldChar w:fldCharType="end"/>
      </w:r>
    </w:p>
    <w:p>
      <w:pPr>
        <w:pStyle w:val="46"/>
        <w:tabs>
          <w:tab w:val="right" w:leader="dot" w:pos="9638"/>
          <w:tab w:val="clear" w:pos="9628"/>
        </w:tabs>
        <w:ind w:left="420" w:leftChars="200" w:firstLine="0" w:firstLineChars="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_Toc18233 </w:instrText>
      </w:r>
      <w:r>
        <w:rPr>
          <w:rFonts w:hint="eastAsia"/>
          <w:color w:val="auto"/>
          <w:highlight w:val="none"/>
          <w:lang w:val="en-US" w:eastAsia="zh-CN"/>
        </w:rPr>
        <w:fldChar w:fldCharType="separate"/>
      </w:r>
      <w:r>
        <w:rPr>
          <w:rFonts w:hint="eastAsia"/>
          <w:color w:val="auto"/>
          <w:highlight w:val="none"/>
          <w:lang w:val="en-US" w:eastAsia="zh-CN"/>
        </w:rPr>
        <w:t>二、  说明</w:t>
      </w:r>
      <w:r>
        <w:rPr>
          <w:rFonts w:hint="eastAsia"/>
          <w:color w:val="auto"/>
          <w:highlight w:val="none"/>
          <w:lang w:val="en-US" w:eastAsia="zh-CN"/>
        </w:rPr>
        <w:tab/>
      </w:r>
      <w:r>
        <w:rPr>
          <w:rFonts w:hint="eastAsia"/>
          <w:color w:val="auto"/>
          <w:highlight w:val="none"/>
          <w:lang w:val="en-US" w:eastAsia="zh-CN"/>
        </w:rPr>
        <w:fldChar w:fldCharType="begin"/>
      </w:r>
      <w:r>
        <w:rPr>
          <w:rFonts w:hint="eastAsia"/>
          <w:color w:val="auto"/>
          <w:highlight w:val="none"/>
          <w:lang w:val="en-US" w:eastAsia="zh-CN"/>
        </w:rPr>
        <w:instrText xml:space="preserve"> PAGEREF _Toc18233 \h </w:instrText>
      </w:r>
      <w:r>
        <w:rPr>
          <w:rFonts w:hint="eastAsia"/>
          <w:color w:val="auto"/>
          <w:highlight w:val="none"/>
          <w:lang w:val="en-US" w:eastAsia="zh-CN"/>
        </w:rPr>
        <w:fldChar w:fldCharType="separate"/>
      </w:r>
      <w:r>
        <w:rPr>
          <w:rFonts w:hint="eastAsia"/>
          <w:color w:val="auto"/>
          <w:highlight w:val="none"/>
          <w:lang w:val="en-US" w:eastAsia="zh-CN"/>
        </w:rPr>
        <w:t>10</w:t>
      </w:r>
      <w:r>
        <w:rPr>
          <w:rFonts w:hint="eastAsia"/>
          <w:color w:val="auto"/>
          <w:highlight w:val="none"/>
          <w:lang w:val="en-US" w:eastAsia="zh-CN"/>
        </w:rPr>
        <w:fldChar w:fldCharType="end"/>
      </w:r>
      <w:r>
        <w:rPr>
          <w:rFonts w:hint="eastAsia"/>
          <w:color w:val="auto"/>
          <w:highlight w:val="none"/>
          <w:lang w:val="en-US" w:eastAsia="zh-CN"/>
        </w:rPr>
        <w:fldChar w:fldCharType="end"/>
      </w:r>
    </w:p>
    <w:p>
      <w:pPr>
        <w:pStyle w:val="46"/>
        <w:tabs>
          <w:tab w:val="right" w:leader="dot" w:pos="9638"/>
          <w:tab w:val="clear" w:pos="9628"/>
        </w:tabs>
        <w:ind w:left="420" w:leftChars="200" w:firstLine="0" w:firstLineChars="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_Toc514 </w:instrText>
      </w:r>
      <w:r>
        <w:rPr>
          <w:rFonts w:hint="eastAsia"/>
          <w:color w:val="auto"/>
          <w:highlight w:val="none"/>
          <w:lang w:val="en-US" w:eastAsia="zh-CN"/>
        </w:rPr>
        <w:fldChar w:fldCharType="separate"/>
      </w:r>
      <w:r>
        <w:rPr>
          <w:rFonts w:hint="eastAsia"/>
          <w:color w:val="auto"/>
          <w:highlight w:val="none"/>
          <w:lang w:val="en-US" w:eastAsia="zh-CN"/>
        </w:rPr>
        <w:t>三、 招标文件</w:t>
      </w:r>
      <w:r>
        <w:rPr>
          <w:rFonts w:hint="eastAsia"/>
          <w:color w:val="auto"/>
          <w:highlight w:val="none"/>
          <w:lang w:val="en-US" w:eastAsia="zh-CN"/>
        </w:rPr>
        <w:tab/>
      </w:r>
      <w:r>
        <w:rPr>
          <w:rFonts w:hint="eastAsia"/>
          <w:color w:val="auto"/>
          <w:highlight w:val="none"/>
          <w:lang w:val="en-US" w:eastAsia="zh-CN"/>
        </w:rPr>
        <w:fldChar w:fldCharType="begin"/>
      </w:r>
      <w:r>
        <w:rPr>
          <w:rFonts w:hint="eastAsia"/>
          <w:color w:val="auto"/>
          <w:highlight w:val="none"/>
          <w:lang w:val="en-US" w:eastAsia="zh-CN"/>
        </w:rPr>
        <w:instrText xml:space="preserve"> PAGEREF _Toc514 \h </w:instrText>
      </w:r>
      <w:r>
        <w:rPr>
          <w:rFonts w:hint="eastAsia"/>
          <w:color w:val="auto"/>
          <w:highlight w:val="none"/>
          <w:lang w:val="en-US" w:eastAsia="zh-CN"/>
        </w:rPr>
        <w:fldChar w:fldCharType="separate"/>
      </w:r>
      <w:r>
        <w:rPr>
          <w:rFonts w:hint="eastAsia"/>
          <w:color w:val="auto"/>
          <w:highlight w:val="none"/>
          <w:lang w:val="en-US" w:eastAsia="zh-CN"/>
        </w:rPr>
        <w:t>11</w:t>
      </w:r>
      <w:r>
        <w:rPr>
          <w:rFonts w:hint="eastAsia"/>
          <w:color w:val="auto"/>
          <w:highlight w:val="none"/>
          <w:lang w:val="en-US" w:eastAsia="zh-CN"/>
        </w:rPr>
        <w:fldChar w:fldCharType="end"/>
      </w:r>
      <w:r>
        <w:rPr>
          <w:rFonts w:hint="eastAsia"/>
          <w:color w:val="auto"/>
          <w:highlight w:val="none"/>
          <w:lang w:val="en-US" w:eastAsia="zh-CN"/>
        </w:rPr>
        <w:fldChar w:fldCharType="end"/>
      </w:r>
    </w:p>
    <w:p>
      <w:pPr>
        <w:pStyle w:val="46"/>
        <w:tabs>
          <w:tab w:val="right" w:leader="dot" w:pos="9638"/>
          <w:tab w:val="clear" w:pos="9628"/>
        </w:tabs>
        <w:ind w:left="420" w:leftChars="200" w:firstLine="0" w:firstLineChars="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_Toc11453 </w:instrText>
      </w:r>
      <w:r>
        <w:rPr>
          <w:rFonts w:hint="eastAsia"/>
          <w:color w:val="auto"/>
          <w:highlight w:val="none"/>
          <w:lang w:val="en-US" w:eastAsia="zh-CN"/>
        </w:rPr>
        <w:fldChar w:fldCharType="separate"/>
      </w:r>
      <w:r>
        <w:rPr>
          <w:rFonts w:hint="eastAsia"/>
          <w:color w:val="auto"/>
          <w:highlight w:val="none"/>
          <w:lang w:val="en-US" w:eastAsia="zh-CN"/>
        </w:rPr>
        <w:t>四、 投标文件的编制</w:t>
      </w:r>
      <w:r>
        <w:rPr>
          <w:rFonts w:hint="eastAsia"/>
          <w:color w:val="auto"/>
          <w:highlight w:val="none"/>
          <w:lang w:val="en-US" w:eastAsia="zh-CN"/>
        </w:rPr>
        <w:tab/>
      </w:r>
      <w:r>
        <w:rPr>
          <w:rFonts w:hint="eastAsia"/>
          <w:color w:val="auto"/>
          <w:highlight w:val="none"/>
          <w:lang w:val="en-US" w:eastAsia="zh-CN"/>
        </w:rPr>
        <w:fldChar w:fldCharType="begin"/>
      </w:r>
      <w:r>
        <w:rPr>
          <w:rFonts w:hint="eastAsia"/>
          <w:color w:val="auto"/>
          <w:highlight w:val="none"/>
          <w:lang w:val="en-US" w:eastAsia="zh-CN"/>
        </w:rPr>
        <w:instrText xml:space="preserve"> PAGEREF _Toc11453 \h </w:instrText>
      </w:r>
      <w:r>
        <w:rPr>
          <w:rFonts w:hint="eastAsia"/>
          <w:color w:val="auto"/>
          <w:highlight w:val="none"/>
          <w:lang w:val="en-US" w:eastAsia="zh-CN"/>
        </w:rPr>
        <w:fldChar w:fldCharType="separate"/>
      </w:r>
      <w:r>
        <w:rPr>
          <w:rFonts w:hint="eastAsia"/>
          <w:color w:val="auto"/>
          <w:highlight w:val="none"/>
          <w:lang w:val="en-US" w:eastAsia="zh-CN"/>
        </w:rPr>
        <w:t>12</w:t>
      </w:r>
      <w:r>
        <w:rPr>
          <w:rFonts w:hint="eastAsia"/>
          <w:color w:val="auto"/>
          <w:highlight w:val="none"/>
          <w:lang w:val="en-US" w:eastAsia="zh-CN"/>
        </w:rPr>
        <w:fldChar w:fldCharType="end"/>
      </w:r>
      <w:r>
        <w:rPr>
          <w:rFonts w:hint="eastAsia"/>
          <w:color w:val="auto"/>
          <w:highlight w:val="none"/>
          <w:lang w:val="en-US" w:eastAsia="zh-CN"/>
        </w:rPr>
        <w:fldChar w:fldCharType="end"/>
      </w:r>
    </w:p>
    <w:p>
      <w:pPr>
        <w:pStyle w:val="46"/>
        <w:tabs>
          <w:tab w:val="right" w:leader="dot" w:pos="9638"/>
          <w:tab w:val="clear" w:pos="9628"/>
        </w:tabs>
        <w:ind w:left="420" w:leftChars="200" w:firstLine="0" w:firstLineChars="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_Toc6776 </w:instrText>
      </w:r>
      <w:r>
        <w:rPr>
          <w:rFonts w:hint="eastAsia"/>
          <w:color w:val="auto"/>
          <w:highlight w:val="none"/>
          <w:lang w:val="en-US" w:eastAsia="zh-CN"/>
        </w:rPr>
        <w:fldChar w:fldCharType="separate"/>
      </w:r>
      <w:r>
        <w:rPr>
          <w:rFonts w:hint="eastAsia"/>
          <w:color w:val="auto"/>
          <w:highlight w:val="none"/>
          <w:lang w:val="en-US" w:eastAsia="zh-CN"/>
        </w:rPr>
        <w:t>五、 投标文件的递交</w:t>
      </w:r>
      <w:r>
        <w:rPr>
          <w:rFonts w:hint="eastAsia"/>
          <w:color w:val="auto"/>
          <w:highlight w:val="none"/>
          <w:lang w:val="en-US" w:eastAsia="zh-CN"/>
        </w:rPr>
        <w:tab/>
      </w:r>
      <w:r>
        <w:rPr>
          <w:rFonts w:hint="eastAsia"/>
          <w:color w:val="auto"/>
          <w:highlight w:val="none"/>
          <w:lang w:val="en-US" w:eastAsia="zh-CN"/>
        </w:rPr>
        <w:fldChar w:fldCharType="begin"/>
      </w:r>
      <w:r>
        <w:rPr>
          <w:rFonts w:hint="eastAsia"/>
          <w:color w:val="auto"/>
          <w:highlight w:val="none"/>
          <w:lang w:val="en-US" w:eastAsia="zh-CN"/>
        </w:rPr>
        <w:instrText xml:space="preserve"> PAGEREF _Toc6776 \h </w:instrText>
      </w:r>
      <w:r>
        <w:rPr>
          <w:rFonts w:hint="eastAsia"/>
          <w:color w:val="auto"/>
          <w:highlight w:val="none"/>
          <w:lang w:val="en-US" w:eastAsia="zh-CN"/>
        </w:rPr>
        <w:fldChar w:fldCharType="separate"/>
      </w:r>
      <w:r>
        <w:rPr>
          <w:rFonts w:hint="eastAsia"/>
          <w:color w:val="auto"/>
          <w:highlight w:val="none"/>
          <w:lang w:val="en-US" w:eastAsia="zh-CN"/>
        </w:rPr>
        <w:t>15</w:t>
      </w:r>
      <w:r>
        <w:rPr>
          <w:rFonts w:hint="eastAsia"/>
          <w:color w:val="auto"/>
          <w:highlight w:val="none"/>
          <w:lang w:val="en-US" w:eastAsia="zh-CN"/>
        </w:rPr>
        <w:fldChar w:fldCharType="end"/>
      </w:r>
      <w:r>
        <w:rPr>
          <w:rFonts w:hint="eastAsia"/>
          <w:color w:val="auto"/>
          <w:highlight w:val="none"/>
          <w:lang w:val="en-US" w:eastAsia="zh-CN"/>
        </w:rPr>
        <w:fldChar w:fldCharType="end"/>
      </w:r>
    </w:p>
    <w:p>
      <w:pPr>
        <w:pStyle w:val="46"/>
        <w:tabs>
          <w:tab w:val="right" w:leader="dot" w:pos="9638"/>
          <w:tab w:val="clear" w:pos="9628"/>
        </w:tabs>
        <w:ind w:left="420" w:leftChars="200" w:firstLine="0" w:firstLineChars="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_Toc18925 </w:instrText>
      </w:r>
      <w:r>
        <w:rPr>
          <w:rFonts w:hint="eastAsia"/>
          <w:color w:val="auto"/>
          <w:highlight w:val="none"/>
          <w:lang w:val="en-US" w:eastAsia="zh-CN"/>
        </w:rPr>
        <w:fldChar w:fldCharType="separate"/>
      </w:r>
      <w:r>
        <w:rPr>
          <w:rFonts w:hint="eastAsia"/>
          <w:color w:val="auto"/>
          <w:highlight w:val="none"/>
          <w:lang w:val="en-US" w:eastAsia="zh-CN"/>
        </w:rPr>
        <w:t>六、 开标</w:t>
      </w:r>
      <w:r>
        <w:rPr>
          <w:rFonts w:hint="eastAsia"/>
          <w:color w:val="auto"/>
          <w:highlight w:val="none"/>
          <w:lang w:val="en-US" w:eastAsia="zh-CN"/>
        </w:rPr>
        <w:tab/>
      </w:r>
      <w:r>
        <w:rPr>
          <w:rFonts w:hint="eastAsia"/>
          <w:color w:val="auto"/>
          <w:highlight w:val="none"/>
          <w:lang w:val="en-US" w:eastAsia="zh-CN"/>
        </w:rPr>
        <w:fldChar w:fldCharType="begin"/>
      </w:r>
      <w:r>
        <w:rPr>
          <w:rFonts w:hint="eastAsia"/>
          <w:color w:val="auto"/>
          <w:highlight w:val="none"/>
          <w:lang w:val="en-US" w:eastAsia="zh-CN"/>
        </w:rPr>
        <w:instrText xml:space="preserve"> PAGEREF _Toc18925 \h </w:instrText>
      </w:r>
      <w:r>
        <w:rPr>
          <w:rFonts w:hint="eastAsia"/>
          <w:color w:val="auto"/>
          <w:highlight w:val="none"/>
          <w:lang w:val="en-US" w:eastAsia="zh-CN"/>
        </w:rPr>
        <w:fldChar w:fldCharType="separate"/>
      </w:r>
      <w:r>
        <w:rPr>
          <w:rFonts w:hint="eastAsia"/>
          <w:color w:val="auto"/>
          <w:highlight w:val="none"/>
          <w:lang w:val="en-US" w:eastAsia="zh-CN"/>
        </w:rPr>
        <w:t>15</w:t>
      </w:r>
      <w:r>
        <w:rPr>
          <w:rFonts w:hint="eastAsia"/>
          <w:color w:val="auto"/>
          <w:highlight w:val="none"/>
          <w:lang w:val="en-US" w:eastAsia="zh-CN"/>
        </w:rPr>
        <w:fldChar w:fldCharType="end"/>
      </w:r>
      <w:r>
        <w:rPr>
          <w:rFonts w:hint="eastAsia"/>
          <w:color w:val="auto"/>
          <w:highlight w:val="none"/>
          <w:lang w:val="en-US" w:eastAsia="zh-CN"/>
        </w:rPr>
        <w:fldChar w:fldCharType="end"/>
      </w:r>
    </w:p>
    <w:p>
      <w:pPr>
        <w:pStyle w:val="46"/>
        <w:tabs>
          <w:tab w:val="right" w:leader="dot" w:pos="9638"/>
          <w:tab w:val="clear" w:pos="9628"/>
        </w:tabs>
        <w:ind w:left="420" w:leftChars="200" w:firstLine="0" w:firstLineChars="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_Toc19020 </w:instrText>
      </w:r>
      <w:r>
        <w:rPr>
          <w:rFonts w:hint="eastAsia"/>
          <w:color w:val="auto"/>
          <w:highlight w:val="none"/>
          <w:lang w:val="en-US" w:eastAsia="zh-CN"/>
        </w:rPr>
        <w:fldChar w:fldCharType="separate"/>
      </w:r>
      <w:r>
        <w:rPr>
          <w:rFonts w:hint="eastAsia"/>
          <w:color w:val="auto"/>
          <w:highlight w:val="none"/>
          <w:lang w:val="en-US" w:eastAsia="zh-CN"/>
        </w:rPr>
        <w:t>七、 评标</w:t>
      </w:r>
      <w:r>
        <w:rPr>
          <w:rFonts w:hint="eastAsia"/>
          <w:color w:val="auto"/>
          <w:highlight w:val="none"/>
          <w:lang w:val="en-US" w:eastAsia="zh-CN"/>
        </w:rPr>
        <w:tab/>
      </w:r>
      <w:r>
        <w:rPr>
          <w:rFonts w:hint="eastAsia"/>
          <w:color w:val="auto"/>
          <w:highlight w:val="none"/>
          <w:lang w:val="en-US" w:eastAsia="zh-CN"/>
        </w:rPr>
        <w:fldChar w:fldCharType="begin"/>
      </w:r>
      <w:r>
        <w:rPr>
          <w:rFonts w:hint="eastAsia"/>
          <w:color w:val="auto"/>
          <w:highlight w:val="none"/>
          <w:lang w:val="en-US" w:eastAsia="zh-CN"/>
        </w:rPr>
        <w:instrText xml:space="preserve"> PAGEREF _Toc19020 \h </w:instrText>
      </w:r>
      <w:r>
        <w:rPr>
          <w:rFonts w:hint="eastAsia"/>
          <w:color w:val="auto"/>
          <w:highlight w:val="none"/>
          <w:lang w:val="en-US" w:eastAsia="zh-CN"/>
        </w:rPr>
        <w:fldChar w:fldCharType="separate"/>
      </w:r>
      <w:r>
        <w:rPr>
          <w:rFonts w:hint="eastAsia"/>
          <w:color w:val="auto"/>
          <w:highlight w:val="none"/>
          <w:lang w:val="en-US" w:eastAsia="zh-CN"/>
        </w:rPr>
        <w:t>16</w:t>
      </w:r>
      <w:r>
        <w:rPr>
          <w:rFonts w:hint="eastAsia"/>
          <w:color w:val="auto"/>
          <w:highlight w:val="none"/>
          <w:lang w:val="en-US" w:eastAsia="zh-CN"/>
        </w:rPr>
        <w:fldChar w:fldCharType="end"/>
      </w:r>
      <w:r>
        <w:rPr>
          <w:rFonts w:hint="eastAsia"/>
          <w:color w:val="auto"/>
          <w:highlight w:val="none"/>
          <w:lang w:val="en-US" w:eastAsia="zh-CN"/>
        </w:rPr>
        <w:fldChar w:fldCharType="end"/>
      </w:r>
    </w:p>
    <w:p>
      <w:pPr>
        <w:pStyle w:val="46"/>
        <w:tabs>
          <w:tab w:val="right" w:leader="dot" w:pos="9638"/>
          <w:tab w:val="clear" w:pos="9628"/>
        </w:tabs>
        <w:ind w:left="420" w:leftChars="200" w:firstLine="0" w:firstLineChars="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_Toc29418 </w:instrText>
      </w:r>
      <w:r>
        <w:rPr>
          <w:rFonts w:hint="eastAsia"/>
          <w:color w:val="auto"/>
          <w:highlight w:val="none"/>
          <w:lang w:val="en-US" w:eastAsia="zh-CN"/>
        </w:rPr>
        <w:fldChar w:fldCharType="separate"/>
      </w:r>
      <w:r>
        <w:rPr>
          <w:rFonts w:hint="eastAsia"/>
          <w:color w:val="auto"/>
          <w:highlight w:val="none"/>
          <w:lang w:val="en-US" w:eastAsia="zh-CN"/>
        </w:rPr>
        <w:t>八、 授予合同</w:t>
      </w:r>
      <w:r>
        <w:rPr>
          <w:rFonts w:hint="eastAsia"/>
          <w:color w:val="auto"/>
          <w:highlight w:val="none"/>
          <w:lang w:val="en-US" w:eastAsia="zh-CN"/>
        </w:rPr>
        <w:tab/>
      </w:r>
      <w:r>
        <w:rPr>
          <w:rFonts w:hint="eastAsia"/>
          <w:color w:val="auto"/>
          <w:highlight w:val="none"/>
          <w:lang w:val="en-US" w:eastAsia="zh-CN"/>
        </w:rPr>
        <w:fldChar w:fldCharType="begin"/>
      </w:r>
      <w:r>
        <w:rPr>
          <w:rFonts w:hint="eastAsia"/>
          <w:color w:val="auto"/>
          <w:highlight w:val="none"/>
          <w:lang w:val="en-US" w:eastAsia="zh-CN"/>
        </w:rPr>
        <w:instrText xml:space="preserve"> PAGEREF _Toc29418 \h </w:instrText>
      </w:r>
      <w:r>
        <w:rPr>
          <w:rFonts w:hint="eastAsia"/>
          <w:color w:val="auto"/>
          <w:highlight w:val="none"/>
          <w:lang w:val="en-US" w:eastAsia="zh-CN"/>
        </w:rPr>
        <w:fldChar w:fldCharType="separate"/>
      </w:r>
      <w:r>
        <w:rPr>
          <w:rFonts w:hint="eastAsia"/>
          <w:color w:val="auto"/>
          <w:highlight w:val="none"/>
          <w:lang w:val="en-US" w:eastAsia="zh-CN"/>
        </w:rPr>
        <w:t>20</w:t>
      </w:r>
      <w:r>
        <w:rPr>
          <w:rFonts w:hint="eastAsia"/>
          <w:color w:val="auto"/>
          <w:highlight w:val="none"/>
          <w:lang w:val="en-US" w:eastAsia="zh-CN"/>
        </w:rPr>
        <w:fldChar w:fldCharType="end"/>
      </w:r>
      <w:r>
        <w:rPr>
          <w:rFonts w:hint="eastAsia"/>
          <w:color w:val="auto"/>
          <w:highlight w:val="none"/>
          <w:lang w:val="en-US" w:eastAsia="zh-CN"/>
        </w:rPr>
        <w:fldChar w:fldCharType="end"/>
      </w:r>
    </w:p>
    <w:p>
      <w:pPr>
        <w:pStyle w:val="46"/>
        <w:tabs>
          <w:tab w:val="right" w:leader="dot" w:pos="9638"/>
          <w:tab w:val="clear" w:pos="9628"/>
        </w:tabs>
        <w:ind w:left="420" w:leftChars="200" w:firstLine="0" w:firstLineChars="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HYPERLINK \l _Toc14867 </w:instrText>
      </w:r>
      <w:r>
        <w:rPr>
          <w:rFonts w:hint="eastAsia"/>
          <w:color w:val="auto"/>
          <w:highlight w:val="none"/>
          <w:lang w:val="en-US" w:eastAsia="zh-CN"/>
        </w:rPr>
        <w:fldChar w:fldCharType="separate"/>
      </w:r>
      <w:r>
        <w:rPr>
          <w:rFonts w:hint="eastAsia"/>
          <w:color w:val="auto"/>
          <w:highlight w:val="none"/>
          <w:lang w:val="en-US" w:eastAsia="zh-CN"/>
        </w:rPr>
        <w:t>九、验收</w:t>
      </w:r>
      <w:r>
        <w:rPr>
          <w:rFonts w:hint="eastAsia"/>
          <w:color w:val="auto"/>
          <w:highlight w:val="none"/>
          <w:lang w:val="en-US" w:eastAsia="zh-CN"/>
        </w:rPr>
        <w:tab/>
      </w:r>
      <w:r>
        <w:rPr>
          <w:rFonts w:hint="eastAsia"/>
          <w:color w:val="auto"/>
          <w:highlight w:val="none"/>
          <w:lang w:val="en-US" w:eastAsia="zh-CN"/>
        </w:rPr>
        <w:fldChar w:fldCharType="begin"/>
      </w:r>
      <w:r>
        <w:rPr>
          <w:rFonts w:hint="eastAsia"/>
          <w:color w:val="auto"/>
          <w:highlight w:val="none"/>
          <w:lang w:val="en-US" w:eastAsia="zh-CN"/>
        </w:rPr>
        <w:instrText xml:space="preserve"> PAGEREF _Toc14867 \h </w:instrText>
      </w:r>
      <w:r>
        <w:rPr>
          <w:rFonts w:hint="eastAsia"/>
          <w:color w:val="auto"/>
          <w:highlight w:val="none"/>
          <w:lang w:val="en-US" w:eastAsia="zh-CN"/>
        </w:rPr>
        <w:fldChar w:fldCharType="separate"/>
      </w:r>
      <w:r>
        <w:rPr>
          <w:rFonts w:hint="eastAsia"/>
          <w:color w:val="auto"/>
          <w:highlight w:val="none"/>
          <w:lang w:val="en-US" w:eastAsia="zh-CN"/>
        </w:rPr>
        <w:t>21</w:t>
      </w:r>
      <w:r>
        <w:rPr>
          <w:rFonts w:hint="eastAsia"/>
          <w:color w:val="auto"/>
          <w:highlight w:val="none"/>
          <w:lang w:val="en-US" w:eastAsia="zh-CN"/>
        </w:rPr>
        <w:fldChar w:fldCharType="end"/>
      </w:r>
      <w:r>
        <w:rPr>
          <w:rFonts w:hint="eastAsia"/>
          <w:color w:val="auto"/>
          <w:highlight w:val="none"/>
          <w:lang w:val="en-US" w:eastAsia="zh-CN"/>
        </w:rPr>
        <w:fldChar w:fldCharType="end"/>
      </w:r>
    </w:p>
    <w:p>
      <w:pPr>
        <w:pStyle w:val="46"/>
        <w:tabs>
          <w:tab w:val="right" w:leader="dot" w:pos="9638"/>
          <w:tab w:val="clear" w:pos="9628"/>
        </w:tabs>
        <w:rPr>
          <w:color w:val="auto"/>
          <w:highlight w:val="none"/>
        </w:rPr>
      </w:pPr>
      <w:r>
        <w:rPr>
          <w:rFonts w:hint="eastAsia"/>
          <w:color w:val="auto"/>
          <w:highlight w:val="none"/>
        </w:rPr>
        <w:fldChar w:fldCharType="begin"/>
      </w:r>
      <w:r>
        <w:rPr>
          <w:rFonts w:hint="eastAsia"/>
          <w:color w:val="auto"/>
          <w:highlight w:val="none"/>
        </w:rPr>
        <w:instrText xml:space="preserve"> HYPERLINK \l _Toc9983 </w:instrText>
      </w:r>
      <w:r>
        <w:rPr>
          <w:rFonts w:hint="eastAsia"/>
          <w:color w:val="auto"/>
          <w:highlight w:val="none"/>
        </w:rPr>
        <w:fldChar w:fldCharType="separate"/>
      </w:r>
      <w:r>
        <w:rPr>
          <w:rFonts w:hint="eastAsia"/>
          <w:color w:val="auto"/>
          <w:highlight w:val="none"/>
          <w:lang w:val="en-US" w:eastAsia="zh-CN"/>
        </w:rPr>
        <w:t>第二部分   招标内容及要求</w:t>
      </w:r>
      <w:r>
        <w:rPr>
          <w:color w:val="auto"/>
          <w:highlight w:val="none"/>
        </w:rPr>
        <w:tab/>
      </w:r>
      <w:r>
        <w:rPr>
          <w:color w:val="auto"/>
          <w:highlight w:val="none"/>
        </w:rPr>
        <w:fldChar w:fldCharType="begin"/>
      </w:r>
      <w:r>
        <w:rPr>
          <w:color w:val="auto"/>
          <w:highlight w:val="none"/>
        </w:rPr>
        <w:instrText xml:space="preserve"> PAGEREF _Toc9983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highlight w:val="none"/>
        </w:rPr>
        <w:fldChar w:fldCharType="end"/>
      </w:r>
    </w:p>
    <w:p>
      <w:pPr>
        <w:pStyle w:val="46"/>
        <w:tabs>
          <w:tab w:val="right" w:leader="dot" w:pos="9638"/>
          <w:tab w:val="clear" w:pos="9628"/>
        </w:tabs>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_Toc18610 </w:instrText>
      </w:r>
      <w:r>
        <w:rPr>
          <w:rFonts w:hint="eastAsia" w:ascii="宋体" w:hAnsi="宋体"/>
          <w:bCs/>
          <w:color w:val="auto"/>
          <w:highlight w:val="none"/>
        </w:rPr>
        <w:fldChar w:fldCharType="separate"/>
      </w:r>
      <w:r>
        <w:rPr>
          <w:rFonts w:hint="eastAsia" w:ascii="宋体" w:hAnsi="宋体" w:eastAsia="宋体" w:cs="Arial"/>
          <w:color w:val="auto"/>
          <w:szCs w:val="36"/>
          <w:highlight w:val="none"/>
        </w:rPr>
        <w:t xml:space="preserve">第三部分   </w:t>
      </w:r>
      <w:r>
        <w:rPr>
          <w:rFonts w:hint="eastAsia" w:ascii="宋体" w:hAnsi="宋体" w:eastAsia="宋体" w:cs="Arial"/>
          <w:color w:val="auto"/>
          <w:szCs w:val="36"/>
          <w:highlight w:val="none"/>
          <w:lang w:val="en-US" w:eastAsia="zh-CN"/>
        </w:rPr>
        <w:t>评标原则及方法</w:t>
      </w:r>
      <w:r>
        <w:rPr>
          <w:color w:val="auto"/>
          <w:highlight w:val="none"/>
        </w:rPr>
        <w:tab/>
      </w:r>
      <w:r>
        <w:rPr>
          <w:color w:val="auto"/>
          <w:highlight w:val="none"/>
        </w:rPr>
        <w:fldChar w:fldCharType="begin"/>
      </w:r>
      <w:r>
        <w:rPr>
          <w:color w:val="auto"/>
          <w:highlight w:val="none"/>
        </w:rPr>
        <w:instrText xml:space="preserve"> PAGEREF _Toc18610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bCs/>
          <w:color w:val="auto"/>
          <w:highlight w:val="none"/>
        </w:rPr>
        <w:fldChar w:fldCharType="end"/>
      </w:r>
    </w:p>
    <w:p>
      <w:pPr>
        <w:pStyle w:val="46"/>
        <w:tabs>
          <w:tab w:val="right" w:leader="dot" w:pos="9638"/>
          <w:tab w:val="clear" w:pos="9628"/>
        </w:tabs>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_Toc23332 </w:instrText>
      </w:r>
      <w:r>
        <w:rPr>
          <w:rFonts w:hint="eastAsia" w:ascii="宋体" w:hAnsi="宋体"/>
          <w:bCs/>
          <w:color w:val="auto"/>
          <w:highlight w:val="none"/>
        </w:rPr>
        <w:fldChar w:fldCharType="separate"/>
      </w:r>
      <w:r>
        <w:rPr>
          <w:rFonts w:hint="eastAsia" w:ascii="宋体" w:hAnsi="宋体" w:eastAsia="宋体" w:cs="Arial"/>
          <w:color w:val="auto"/>
          <w:szCs w:val="36"/>
          <w:highlight w:val="none"/>
        </w:rPr>
        <w:t>第四部分   合同主要条款</w:t>
      </w:r>
      <w:r>
        <w:rPr>
          <w:color w:val="auto"/>
          <w:highlight w:val="none"/>
        </w:rPr>
        <w:tab/>
      </w:r>
      <w:r>
        <w:rPr>
          <w:color w:val="auto"/>
          <w:highlight w:val="none"/>
        </w:rPr>
        <w:fldChar w:fldCharType="begin"/>
      </w:r>
      <w:r>
        <w:rPr>
          <w:color w:val="auto"/>
          <w:highlight w:val="none"/>
        </w:rPr>
        <w:instrText xml:space="preserve"> PAGEREF _Toc23332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bCs/>
          <w:color w:val="auto"/>
          <w:highlight w:val="none"/>
        </w:rPr>
        <w:fldChar w:fldCharType="end"/>
      </w:r>
    </w:p>
    <w:p>
      <w:pPr>
        <w:pStyle w:val="46"/>
        <w:tabs>
          <w:tab w:val="right" w:leader="dot" w:pos="9638"/>
          <w:tab w:val="clear" w:pos="9628"/>
        </w:tabs>
        <w:rPr>
          <w:color w:val="auto"/>
          <w:highlight w:val="none"/>
        </w:rPr>
      </w:pPr>
      <w:r>
        <w:rPr>
          <w:rFonts w:hint="eastAsia" w:ascii="宋体" w:hAnsi="宋体"/>
          <w:bCs/>
          <w:color w:val="auto"/>
          <w:highlight w:val="none"/>
        </w:rPr>
        <w:fldChar w:fldCharType="begin"/>
      </w:r>
      <w:r>
        <w:rPr>
          <w:rFonts w:hint="eastAsia" w:ascii="宋体" w:hAnsi="宋体"/>
          <w:bCs/>
          <w:color w:val="auto"/>
          <w:highlight w:val="none"/>
        </w:rPr>
        <w:instrText xml:space="preserve"> HYPERLINK \l _Toc26168 </w:instrText>
      </w:r>
      <w:r>
        <w:rPr>
          <w:rFonts w:hint="eastAsia" w:ascii="宋体" w:hAnsi="宋体"/>
          <w:bCs/>
          <w:color w:val="auto"/>
          <w:highlight w:val="none"/>
        </w:rPr>
        <w:fldChar w:fldCharType="separate"/>
      </w:r>
      <w:r>
        <w:rPr>
          <w:rFonts w:hint="eastAsia" w:ascii="宋体" w:hAnsi="宋体" w:eastAsia="宋体" w:cs="Arial"/>
          <w:color w:val="auto"/>
          <w:szCs w:val="36"/>
          <w:highlight w:val="none"/>
        </w:rPr>
        <w:t xml:space="preserve">第五部分   </w:t>
      </w:r>
      <w:r>
        <w:rPr>
          <w:rFonts w:hint="eastAsia" w:ascii="宋体" w:hAnsi="宋体" w:eastAsia="宋体" w:cs="Arial"/>
          <w:color w:val="auto"/>
          <w:szCs w:val="36"/>
          <w:highlight w:val="none"/>
          <w:lang w:val="en-US" w:eastAsia="zh-CN"/>
        </w:rPr>
        <w:t>附件</w:t>
      </w:r>
      <w:r>
        <w:rPr>
          <w:color w:val="auto"/>
          <w:highlight w:val="none"/>
        </w:rPr>
        <w:tab/>
      </w:r>
      <w:r>
        <w:rPr>
          <w:color w:val="auto"/>
          <w:highlight w:val="none"/>
        </w:rPr>
        <w:fldChar w:fldCharType="begin"/>
      </w:r>
      <w:r>
        <w:rPr>
          <w:color w:val="auto"/>
          <w:highlight w:val="none"/>
        </w:rPr>
        <w:instrText xml:space="preserve"> PAGEREF _Toc26168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bCs/>
          <w:color w:val="auto"/>
          <w:highlight w:val="none"/>
        </w:rPr>
        <w:fldChar w:fldCharType="end"/>
      </w:r>
    </w:p>
    <w:p>
      <w:pPr>
        <w:spacing w:line="480" w:lineRule="auto"/>
        <w:rPr>
          <w:rFonts w:ascii="宋体" w:hAnsi="宋体"/>
          <w:b/>
          <w:bCs/>
          <w:color w:val="auto"/>
          <w:sz w:val="22"/>
          <w:szCs w:val="22"/>
          <w:highlight w:val="none"/>
        </w:rPr>
      </w:pPr>
      <w:r>
        <w:rPr>
          <w:rFonts w:hint="eastAsia" w:ascii="宋体" w:hAnsi="宋体"/>
          <w:bCs/>
          <w:color w:val="auto"/>
          <w:highlight w:val="none"/>
        </w:rPr>
        <w:fldChar w:fldCharType="end"/>
      </w:r>
    </w:p>
    <w:p>
      <w:pPr>
        <w:spacing w:line="560" w:lineRule="exact"/>
        <w:rPr>
          <w:rFonts w:ascii="宋体" w:hAnsi="宋体"/>
          <w:b/>
          <w:bCs/>
          <w:color w:val="auto"/>
          <w:sz w:val="22"/>
          <w:szCs w:val="22"/>
          <w:highlight w:val="none"/>
        </w:rPr>
      </w:pPr>
      <w:r>
        <w:rPr>
          <w:rFonts w:hint="eastAsia" w:ascii="宋体" w:hAnsi="宋体"/>
          <w:b/>
          <w:bCs/>
          <w:color w:val="auto"/>
          <w:sz w:val="22"/>
          <w:szCs w:val="22"/>
          <w:highlight w:val="none"/>
        </w:rPr>
        <w:t>注：</w:t>
      </w:r>
      <w:r>
        <w:rPr>
          <w:rFonts w:hint="eastAsia" w:ascii="宋体" w:hAnsi="宋体"/>
          <w:b/>
          <w:bCs/>
          <w:color w:val="auto"/>
          <w:sz w:val="24"/>
          <w:highlight w:val="none"/>
          <w:u w:val="single"/>
        </w:rPr>
        <w:t>招标文件中部分加“▲”且加下划线的条款，为招标的实质性要求和条件，着重提醒各投标人注意，并认真查看招标文件中的每一个条款及要求，因误读招标文件而造成的后果，招标人概不负责。</w:t>
      </w:r>
    </w:p>
    <w:p>
      <w:pPr>
        <w:widowControl/>
        <w:jc w:val="left"/>
        <w:rPr>
          <w:rFonts w:ascii="宋体" w:hAnsi="宋体"/>
          <w:b/>
          <w:bCs/>
          <w:color w:val="auto"/>
          <w:highlight w:val="none"/>
        </w:rPr>
      </w:pPr>
      <w:r>
        <w:rPr>
          <w:rFonts w:ascii="宋体" w:hAnsi="宋体"/>
          <w:color w:val="auto"/>
          <w:highlight w:val="none"/>
        </w:rPr>
        <w:br w:type="page"/>
      </w:r>
    </w:p>
    <w:p>
      <w:pPr>
        <w:pStyle w:val="6"/>
        <w:rPr>
          <w:rFonts w:ascii="宋体" w:hAnsi="宋体" w:eastAsia="宋体" w:cs="Arial"/>
          <w:b w:val="0"/>
          <w:bCs w:val="0"/>
          <w:color w:val="auto"/>
          <w:kern w:val="0"/>
          <w:sz w:val="30"/>
          <w:szCs w:val="30"/>
          <w:highlight w:val="none"/>
        </w:rPr>
      </w:pPr>
      <w:bookmarkStart w:id="0" w:name="_Toc492496682"/>
      <w:bookmarkStart w:id="1" w:name="_Toc17586"/>
      <w:bookmarkStart w:id="2" w:name="_Toc398293639"/>
      <w:bookmarkStart w:id="3" w:name="_Toc262049413"/>
      <w:bookmarkStart w:id="4" w:name="_Toc262105498"/>
      <w:bookmarkStart w:id="5" w:name="_Toc223715993"/>
      <w:bookmarkStart w:id="6" w:name="_Toc246261260"/>
      <w:bookmarkStart w:id="7" w:name="_Toc221423613"/>
      <w:bookmarkStart w:id="8" w:name="_Toc337660883"/>
      <w:bookmarkStart w:id="9" w:name="_Toc245191309"/>
      <w:bookmarkStart w:id="10" w:name="_Toc221374621"/>
      <w:bookmarkStart w:id="11" w:name="_Toc221356881"/>
      <w:bookmarkStart w:id="12" w:name="_Toc348800908"/>
      <w:bookmarkStart w:id="13" w:name="_Toc239145349"/>
      <w:bookmarkStart w:id="14" w:name="_Toc221356945"/>
      <w:bookmarkStart w:id="15" w:name="_Toc249758707"/>
      <w:bookmarkStart w:id="16" w:name="_Toc245722276"/>
      <w:bookmarkStart w:id="17" w:name="_Toc223715992"/>
      <w:bookmarkStart w:id="18" w:name="_Toc221374620"/>
      <w:bookmarkStart w:id="19" w:name="_Toc222114874"/>
      <w:bookmarkStart w:id="20" w:name="_Toc221356880"/>
      <w:bookmarkStart w:id="21" w:name="_Toc241404197"/>
      <w:bookmarkStart w:id="22" w:name="_Toc221356946"/>
      <w:bookmarkStart w:id="23" w:name="_Toc221423614"/>
      <w:bookmarkStart w:id="24" w:name="_Toc249758859"/>
      <w:bookmarkStart w:id="25" w:name="_Toc222114873"/>
      <w:r>
        <w:rPr>
          <w:rFonts w:hint="eastAsia" w:ascii="宋体" w:hAnsi="宋体" w:eastAsia="宋体" w:cs="Arial"/>
          <w:color w:val="auto"/>
          <w:sz w:val="30"/>
          <w:szCs w:val="30"/>
          <w:highlight w:val="none"/>
        </w:rPr>
        <w:t>温州元信工程项目管理有限公司关于</w:t>
      </w:r>
      <w:r>
        <w:rPr>
          <w:rFonts w:hint="eastAsia" w:ascii="宋体" w:hAnsi="宋体" w:eastAsia="宋体" w:cs="Arial"/>
          <w:color w:val="auto"/>
          <w:sz w:val="30"/>
          <w:szCs w:val="30"/>
          <w:highlight w:val="none"/>
          <w:lang w:eastAsia="zh-CN"/>
        </w:rPr>
        <w:t>温州肯恩大学留学生楼家具采购</w:t>
      </w:r>
      <w:r>
        <w:rPr>
          <w:rFonts w:hint="eastAsia" w:ascii="宋体" w:hAnsi="宋体" w:eastAsia="宋体" w:cs="Arial"/>
          <w:color w:val="auto"/>
          <w:sz w:val="30"/>
          <w:szCs w:val="30"/>
          <w:highlight w:val="none"/>
        </w:rPr>
        <w:t>项目的公开招标公告</w:t>
      </w:r>
      <w:bookmarkEnd w:id="0"/>
      <w:bookmarkEnd w:id="1"/>
      <w:bookmarkEnd w:id="2"/>
    </w:p>
    <w:p>
      <w:pPr>
        <w:pBdr>
          <w:top w:val="single" w:color="auto" w:sz="4" w:space="1"/>
          <w:left w:val="single" w:color="auto" w:sz="4" w:space="4"/>
          <w:bottom w:val="single" w:color="auto" w:sz="4" w:space="1"/>
          <w:right w:val="single" w:color="auto" w:sz="4" w:space="4"/>
        </w:pBdr>
        <w:ind w:firstLine="440" w:firstLineChars="200"/>
        <w:rPr>
          <w:rFonts w:ascii="宋体"/>
          <w:color w:val="auto"/>
          <w:sz w:val="22"/>
          <w:szCs w:val="22"/>
          <w:highlight w:val="none"/>
        </w:rPr>
      </w:pPr>
      <w:r>
        <w:rPr>
          <w:rFonts w:hint="eastAsia" w:ascii="宋体" w:hAnsi="宋体"/>
          <w:color w:val="auto"/>
          <w:sz w:val="22"/>
          <w:szCs w:val="22"/>
          <w:highlight w:val="none"/>
        </w:rPr>
        <w:t>项目概况</w:t>
      </w:r>
    </w:p>
    <w:p>
      <w:pPr>
        <w:pBdr>
          <w:top w:val="single" w:color="auto" w:sz="4" w:space="1"/>
          <w:left w:val="single" w:color="auto" w:sz="4" w:space="4"/>
          <w:bottom w:val="single" w:color="auto" w:sz="4" w:space="1"/>
          <w:right w:val="single" w:color="auto" w:sz="4" w:space="4"/>
        </w:pBdr>
        <w:ind w:firstLine="440" w:firstLineChars="200"/>
        <w:rPr>
          <w:rFonts w:ascii="宋体" w:hAnsi="宋体"/>
          <w:color w:val="auto"/>
          <w:sz w:val="22"/>
          <w:szCs w:val="22"/>
          <w:highlight w:val="none"/>
          <w:u w:val="none"/>
        </w:rPr>
      </w:pPr>
      <w:r>
        <w:rPr>
          <w:rFonts w:ascii="宋体" w:hAnsi="宋体"/>
          <w:color w:val="auto"/>
          <w:sz w:val="22"/>
          <w:szCs w:val="22"/>
          <w:highlight w:val="none"/>
          <w:u w:val="none"/>
        </w:rPr>
        <w:t xml:space="preserve"> </w:t>
      </w:r>
      <w:r>
        <w:rPr>
          <w:rFonts w:hint="eastAsia" w:ascii="宋体" w:hAnsi="宋体"/>
          <w:color w:val="auto"/>
          <w:sz w:val="22"/>
          <w:szCs w:val="22"/>
          <w:highlight w:val="none"/>
          <w:u w:val="none"/>
          <w:lang w:eastAsia="zh-CN"/>
        </w:rPr>
        <w:t>温州肯恩大学留学生楼家具采购</w:t>
      </w:r>
      <w:r>
        <w:rPr>
          <w:rFonts w:hint="eastAsia" w:ascii="宋体" w:hAnsi="宋体"/>
          <w:color w:val="auto"/>
          <w:sz w:val="22"/>
          <w:szCs w:val="22"/>
          <w:highlight w:val="none"/>
          <w:u w:val="none"/>
        </w:rPr>
        <w:t>项目的潜在投标人应在政采云平台（www.zcygov.cn）获取（下载）采购文件，并于</w:t>
      </w:r>
      <w:r>
        <w:rPr>
          <w:rFonts w:hint="eastAsia" w:ascii="宋体" w:hAnsi="宋体"/>
          <w:color w:val="auto"/>
          <w:sz w:val="22"/>
          <w:szCs w:val="22"/>
          <w:highlight w:val="none"/>
          <w:u w:val="none"/>
          <w:lang w:eastAsia="zh-CN"/>
        </w:rPr>
        <w:t>202</w:t>
      </w:r>
      <w:r>
        <w:rPr>
          <w:rFonts w:hint="eastAsia" w:ascii="宋体" w:hAnsi="宋体"/>
          <w:color w:val="auto"/>
          <w:sz w:val="22"/>
          <w:szCs w:val="22"/>
          <w:highlight w:val="none"/>
          <w:u w:val="none"/>
          <w:lang w:eastAsia="zh-CN"/>
        </w:rPr>
        <w:t>3</w:t>
      </w:r>
      <w:r>
        <w:rPr>
          <w:rFonts w:hint="eastAsia" w:ascii="宋体" w:hAnsi="宋体"/>
          <w:color w:val="auto"/>
          <w:sz w:val="22"/>
          <w:szCs w:val="22"/>
          <w:highlight w:val="none"/>
          <w:u w:val="none"/>
        </w:rPr>
        <w:t>年</w:t>
      </w:r>
      <w:r>
        <w:rPr>
          <w:rFonts w:hint="eastAsia" w:ascii="宋体" w:hAnsi="宋体"/>
          <w:color w:val="auto"/>
          <w:sz w:val="22"/>
          <w:szCs w:val="22"/>
          <w:highlight w:val="none"/>
          <w:u w:val="none"/>
          <w:lang w:val="en-US" w:eastAsia="zh-CN"/>
        </w:rPr>
        <w:t>4</w:t>
      </w:r>
      <w:r>
        <w:rPr>
          <w:rFonts w:hint="eastAsia" w:ascii="宋体" w:hAnsi="宋体"/>
          <w:color w:val="auto"/>
          <w:sz w:val="22"/>
          <w:szCs w:val="22"/>
          <w:highlight w:val="none"/>
          <w:u w:val="none"/>
        </w:rPr>
        <w:t>月</w:t>
      </w:r>
      <w:r>
        <w:rPr>
          <w:rFonts w:hint="eastAsia" w:ascii="宋体" w:hAnsi="宋体"/>
          <w:color w:val="auto"/>
          <w:sz w:val="22"/>
          <w:szCs w:val="22"/>
          <w:highlight w:val="none"/>
          <w:u w:val="none"/>
          <w:lang w:val="en-US" w:eastAsia="zh-CN"/>
        </w:rPr>
        <w:t>10</w:t>
      </w:r>
      <w:r>
        <w:rPr>
          <w:rFonts w:hint="eastAsia" w:ascii="宋体" w:hAnsi="宋体"/>
          <w:color w:val="auto"/>
          <w:sz w:val="22"/>
          <w:szCs w:val="22"/>
          <w:highlight w:val="none"/>
          <w:u w:val="none"/>
        </w:rPr>
        <w:t>日</w:t>
      </w:r>
      <w:r>
        <w:rPr>
          <w:rFonts w:hint="eastAsia" w:ascii="宋体" w:hAnsi="宋体"/>
          <w:color w:val="auto"/>
          <w:sz w:val="22"/>
          <w:szCs w:val="22"/>
          <w:highlight w:val="none"/>
          <w:u w:val="none"/>
          <w:lang w:val="en-US" w:eastAsia="zh-CN"/>
        </w:rPr>
        <w:t>14</w:t>
      </w:r>
      <w:r>
        <w:rPr>
          <w:rFonts w:hint="eastAsia" w:ascii="宋体" w:hAnsi="宋体"/>
          <w:color w:val="auto"/>
          <w:sz w:val="22"/>
          <w:szCs w:val="22"/>
          <w:highlight w:val="none"/>
          <w:u w:val="none"/>
        </w:rPr>
        <w:t>:</w:t>
      </w:r>
      <w:r>
        <w:rPr>
          <w:rFonts w:hint="eastAsia" w:ascii="宋体" w:hAnsi="宋体"/>
          <w:color w:val="auto"/>
          <w:sz w:val="22"/>
          <w:szCs w:val="22"/>
          <w:highlight w:val="none"/>
          <w:u w:val="none"/>
          <w:lang w:val="en-US" w:eastAsia="zh-CN"/>
        </w:rPr>
        <w:t>0</w:t>
      </w:r>
      <w:r>
        <w:rPr>
          <w:rFonts w:hint="eastAsia" w:ascii="宋体" w:hAnsi="宋体"/>
          <w:color w:val="auto"/>
          <w:sz w:val="22"/>
          <w:szCs w:val="22"/>
          <w:highlight w:val="none"/>
          <w:u w:val="none"/>
        </w:rPr>
        <w:t>0（北京时间）前提交（上传）响应文件。</w:t>
      </w:r>
    </w:p>
    <w:p>
      <w:pPr>
        <w:keepNext w:val="0"/>
        <w:keepLines w:val="0"/>
        <w:pageBreakBefore w:val="0"/>
        <w:widowControl/>
        <w:kinsoku/>
        <w:wordWrap/>
        <w:overflowPunct/>
        <w:topLinePunct w:val="0"/>
        <w:autoSpaceDE/>
        <w:autoSpaceDN/>
        <w:bidi w:val="0"/>
        <w:adjustRightInd/>
        <w:snapToGrid/>
        <w:spacing w:before="60" w:after="60" w:line="320" w:lineRule="exact"/>
        <w:ind w:left="60" w:right="60"/>
        <w:jc w:val="left"/>
        <w:textAlignment w:val="auto"/>
        <w:rPr>
          <w:rFonts w:hint="eastAsia" w:ascii="宋体" w:hAnsi="宋体" w:cs="宋体"/>
          <w:b/>
          <w:color w:val="auto"/>
          <w:kern w:val="0"/>
          <w:sz w:val="22"/>
          <w:szCs w:val="22"/>
          <w:highlight w:val="none"/>
        </w:rPr>
      </w:pPr>
    </w:p>
    <w:p>
      <w:pPr>
        <w:keepNext w:val="0"/>
        <w:keepLines w:val="0"/>
        <w:pageBreakBefore w:val="0"/>
        <w:widowControl/>
        <w:kinsoku/>
        <w:wordWrap/>
        <w:overflowPunct/>
        <w:topLinePunct w:val="0"/>
        <w:autoSpaceDE/>
        <w:autoSpaceDN/>
        <w:bidi w:val="0"/>
        <w:adjustRightInd/>
        <w:snapToGrid/>
        <w:spacing w:before="60" w:after="60" w:line="320" w:lineRule="exact"/>
        <w:ind w:left="60" w:right="60"/>
        <w:jc w:val="lef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一、项目基本情况</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18" w:firstLineChars="19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项目编号：</w:t>
      </w:r>
      <w:r>
        <w:rPr>
          <w:rFonts w:hint="eastAsia" w:ascii="宋体" w:hAnsi="宋体" w:cs="宋体"/>
          <w:bCs/>
          <w:color w:val="auto"/>
          <w:kern w:val="0"/>
          <w:sz w:val="22"/>
          <w:szCs w:val="22"/>
          <w:highlight w:val="none"/>
          <w:lang w:eastAsia="zh-CN"/>
        </w:rPr>
        <w:t>WZYX-W2023011102</w:t>
      </w:r>
      <w:r>
        <w:rPr>
          <w:rFonts w:hint="eastAsia" w:ascii="宋体" w:hAnsi="宋体" w:cs="宋体"/>
          <w:bCs/>
          <w:color w:val="auto"/>
          <w:kern w:val="0"/>
          <w:sz w:val="22"/>
          <w:szCs w:val="22"/>
          <w:highlight w:val="none"/>
        </w:rPr>
        <w:t xml:space="preserve"> </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18" w:firstLineChars="19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w:t>
      </w:r>
      <w:r>
        <w:rPr>
          <w:rFonts w:hint="eastAsia" w:ascii="宋体" w:hAnsi="宋体" w:cs="宋体"/>
          <w:bCs/>
          <w:color w:val="auto"/>
          <w:kern w:val="0"/>
          <w:sz w:val="22"/>
          <w:szCs w:val="22"/>
          <w:highlight w:val="none"/>
          <w:lang w:eastAsia="zh-CN"/>
        </w:rPr>
        <w:t>温州肯恩大学留学生楼家具采购</w:t>
      </w:r>
      <w:r>
        <w:rPr>
          <w:rFonts w:hint="eastAsia" w:ascii="宋体" w:hAnsi="宋体" w:cs="宋体"/>
          <w:bCs/>
          <w:color w:val="auto"/>
          <w:kern w:val="0"/>
          <w:sz w:val="22"/>
          <w:szCs w:val="22"/>
          <w:highlight w:val="none"/>
        </w:rPr>
        <w:t xml:space="preserve"> </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18" w:firstLineChars="19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采购方式：公开招标 </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18" w:firstLineChars="190"/>
        <w:jc w:val="left"/>
        <w:textAlignment w:val="auto"/>
        <w:rPr>
          <w:rFonts w:hint="eastAsia" w:ascii="宋体" w:hAnsi="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预算金额（元）：</w:t>
      </w:r>
      <w:r>
        <w:rPr>
          <w:rFonts w:hint="eastAsia" w:ascii="宋体" w:hAnsi="宋体" w:cs="宋体"/>
          <w:bCs/>
          <w:color w:val="auto"/>
          <w:kern w:val="0"/>
          <w:sz w:val="22"/>
          <w:szCs w:val="22"/>
          <w:highlight w:val="none"/>
          <w:lang w:val="en-US" w:eastAsia="zh-CN"/>
        </w:rPr>
        <w:t>6000000</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18" w:firstLineChars="190"/>
        <w:jc w:val="left"/>
        <w:textAlignment w:val="auto"/>
        <w:rPr>
          <w:rFonts w:hint="default"/>
          <w:color w:val="auto"/>
          <w:highlight w:val="none"/>
          <w:lang w:val="en-US" w:eastAsia="zh-CN"/>
        </w:rPr>
      </w:pPr>
      <w:r>
        <w:rPr>
          <w:rFonts w:hint="eastAsia" w:ascii="宋体" w:hAnsi="宋体" w:cs="宋体"/>
          <w:bCs/>
          <w:color w:val="auto"/>
          <w:kern w:val="0"/>
          <w:sz w:val="22"/>
          <w:szCs w:val="22"/>
          <w:highlight w:val="none"/>
          <w:lang w:val="en-US" w:eastAsia="zh-CN"/>
        </w:rPr>
        <w:t>最高限价</w:t>
      </w:r>
      <w:r>
        <w:rPr>
          <w:rFonts w:hint="eastAsia" w:ascii="宋体" w:hAnsi="宋体" w:cs="宋体"/>
          <w:bCs/>
          <w:color w:val="auto"/>
          <w:kern w:val="0"/>
          <w:sz w:val="22"/>
          <w:szCs w:val="22"/>
          <w:highlight w:val="none"/>
        </w:rPr>
        <w:t>（元）：</w:t>
      </w:r>
      <w:r>
        <w:rPr>
          <w:rFonts w:hint="eastAsia" w:ascii="宋体" w:hAnsi="宋体" w:cs="宋体"/>
          <w:bCs/>
          <w:color w:val="auto"/>
          <w:kern w:val="0"/>
          <w:sz w:val="22"/>
          <w:szCs w:val="22"/>
          <w:highlight w:val="none"/>
          <w:lang w:val="en-US" w:eastAsia="zh-CN"/>
        </w:rPr>
        <w:t>5180000</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18" w:firstLineChars="19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简要规格描述：</w:t>
      </w:r>
      <w:r>
        <w:rPr>
          <w:rFonts w:hint="eastAsia" w:ascii="宋体" w:hAnsi="宋体" w:cs="宋体"/>
          <w:bCs/>
          <w:color w:val="auto"/>
          <w:kern w:val="0"/>
          <w:sz w:val="22"/>
          <w:szCs w:val="22"/>
          <w:highlight w:val="none"/>
          <w:lang w:eastAsia="zh-CN"/>
        </w:rPr>
        <w:t>温州肯恩大学留学生楼家具采购</w:t>
      </w:r>
      <w:r>
        <w:rPr>
          <w:rFonts w:hint="eastAsia" w:ascii="宋体" w:hAnsi="宋体" w:cs="宋体"/>
          <w:bCs/>
          <w:color w:val="auto"/>
          <w:kern w:val="0"/>
          <w:sz w:val="22"/>
          <w:szCs w:val="22"/>
          <w:highlight w:val="none"/>
        </w:rPr>
        <w:t xml:space="preserve">，具体采购内容及要求详见招标文件相关部分 </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18" w:firstLineChars="190"/>
        <w:jc w:val="left"/>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合同履约期限：</w:t>
      </w:r>
      <w:r>
        <w:rPr>
          <w:rFonts w:hint="eastAsia" w:ascii="宋体" w:hAnsi="宋体" w:cs="宋体"/>
          <w:bCs/>
          <w:color w:val="auto"/>
          <w:kern w:val="0"/>
          <w:sz w:val="22"/>
          <w:szCs w:val="22"/>
          <w:highlight w:val="none"/>
          <w:lang w:val="en-US" w:eastAsia="zh-CN"/>
        </w:rPr>
        <w:t>接到招标人书面</w:t>
      </w:r>
      <w:r>
        <w:rPr>
          <w:rFonts w:hint="eastAsia" w:ascii="宋体" w:hAnsi="宋体" w:cs="Arial"/>
          <w:b w:val="0"/>
          <w:bCs w:val="0"/>
          <w:color w:val="auto"/>
          <w:sz w:val="22"/>
          <w:szCs w:val="22"/>
          <w:highlight w:val="none"/>
          <w:lang w:val="en-US" w:eastAsia="zh-CN"/>
        </w:rPr>
        <w:t>通知后</w:t>
      </w:r>
      <w:r>
        <w:rPr>
          <w:rFonts w:hint="eastAsia" w:ascii="宋体" w:hAnsi="宋体" w:cs="Arial"/>
          <w:b w:val="0"/>
          <w:bCs w:val="0"/>
          <w:color w:val="auto"/>
          <w:sz w:val="22"/>
          <w:szCs w:val="22"/>
          <w:highlight w:val="none"/>
        </w:rPr>
        <w:t>，</w:t>
      </w:r>
      <w:r>
        <w:rPr>
          <w:rFonts w:hint="eastAsia" w:ascii="宋体" w:hAnsi="宋体" w:cs="Arial"/>
          <w:b w:val="0"/>
          <w:bCs w:val="0"/>
          <w:color w:val="auto"/>
          <w:sz w:val="22"/>
          <w:szCs w:val="22"/>
          <w:highlight w:val="none"/>
        </w:rPr>
        <w:t>于</w:t>
      </w:r>
      <w:r>
        <w:rPr>
          <w:rFonts w:hint="eastAsia" w:ascii="宋体" w:hAnsi="宋体" w:cs="Arial"/>
          <w:b w:val="0"/>
          <w:bCs w:val="0"/>
          <w:color w:val="auto"/>
          <w:sz w:val="22"/>
          <w:szCs w:val="22"/>
          <w:highlight w:val="none"/>
          <w:lang w:val="en-US" w:eastAsia="zh-CN"/>
        </w:rPr>
        <w:t>60</w:t>
      </w:r>
      <w:r>
        <w:rPr>
          <w:rFonts w:hint="eastAsia" w:ascii="宋体" w:hAnsi="宋体" w:cs="Arial"/>
          <w:b w:val="0"/>
          <w:bCs w:val="0"/>
          <w:color w:val="auto"/>
          <w:sz w:val="22"/>
          <w:szCs w:val="22"/>
          <w:highlight w:val="none"/>
        </w:rPr>
        <w:t>天</w:t>
      </w:r>
      <w:r>
        <w:rPr>
          <w:rFonts w:hint="eastAsia" w:ascii="宋体" w:hAnsi="宋体" w:cs="Arial"/>
          <w:b w:val="0"/>
          <w:bCs w:val="0"/>
          <w:color w:val="auto"/>
          <w:sz w:val="22"/>
          <w:szCs w:val="22"/>
          <w:highlight w:val="none"/>
        </w:rPr>
        <w:t>内完成全部</w:t>
      </w:r>
      <w:r>
        <w:rPr>
          <w:rFonts w:hint="eastAsia" w:ascii="宋体" w:hAnsi="宋体" w:cs="Arial"/>
          <w:b w:val="0"/>
          <w:bCs w:val="0"/>
          <w:color w:val="auto"/>
          <w:sz w:val="22"/>
          <w:szCs w:val="22"/>
          <w:highlight w:val="none"/>
          <w:lang w:val="en-US" w:eastAsia="zh-CN"/>
        </w:rPr>
        <w:t>的供货、安装等全部工作内容</w:t>
      </w:r>
      <w:r>
        <w:rPr>
          <w:rFonts w:hint="eastAsia" w:ascii="宋体" w:hAnsi="宋体" w:cs="Arial"/>
          <w:b w:val="0"/>
          <w:bCs w:val="0"/>
          <w:color w:val="auto"/>
          <w:sz w:val="22"/>
          <w:szCs w:val="22"/>
          <w:highlight w:val="none"/>
        </w:rPr>
        <w:t xml:space="preserve">。 </w:t>
      </w:r>
      <w:r>
        <w:rPr>
          <w:rFonts w:hint="eastAsia" w:ascii="宋体" w:hAnsi="宋体" w:cs="宋体"/>
          <w:bCs/>
          <w:color w:val="auto"/>
          <w:kern w:val="0"/>
          <w:sz w:val="22"/>
          <w:szCs w:val="22"/>
          <w:highlight w:val="none"/>
        </w:rPr>
        <w:t xml:space="preserve">  </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18" w:firstLineChars="190"/>
        <w:jc w:val="left"/>
        <w:textAlignment w:val="auto"/>
        <w:rPr>
          <w:rFonts w:ascii="宋体" w:hAnsi="宋体" w:cs="宋体"/>
          <w:bCs/>
          <w:color w:val="auto"/>
          <w:kern w:val="0"/>
          <w:sz w:val="22"/>
          <w:szCs w:val="22"/>
          <w:highlight w:val="none"/>
        </w:rPr>
      </w:pPr>
      <w:r>
        <w:rPr>
          <w:rFonts w:hint="eastAsia" w:ascii="宋体" w:hAnsi="宋体" w:cs="宋体"/>
          <w:color w:val="auto"/>
          <w:kern w:val="0"/>
          <w:sz w:val="22"/>
          <w:szCs w:val="22"/>
          <w:highlight w:val="none"/>
        </w:rPr>
        <w:t>本项目（</w:t>
      </w:r>
      <w:r>
        <w:rPr>
          <w:rFonts w:hint="eastAsia" w:ascii="宋体" w:hAnsi="宋体" w:cs="宋体"/>
          <w:color w:val="auto"/>
          <w:kern w:val="0"/>
          <w:sz w:val="22"/>
          <w:szCs w:val="22"/>
          <w:highlight w:val="none"/>
          <w:lang w:val="en-US" w:eastAsia="zh-CN"/>
        </w:rPr>
        <w:t>否</w:t>
      </w:r>
      <w:r>
        <w:rPr>
          <w:rFonts w:hint="eastAsia" w:ascii="宋体" w:hAnsi="宋体" w:cs="宋体"/>
          <w:color w:val="auto"/>
          <w:kern w:val="0"/>
          <w:sz w:val="22"/>
          <w:szCs w:val="22"/>
          <w:highlight w:val="none"/>
        </w:rPr>
        <w:t>）接受联合体投标 。</w:t>
      </w:r>
    </w:p>
    <w:p>
      <w:pPr>
        <w:keepNext w:val="0"/>
        <w:keepLines w:val="0"/>
        <w:pageBreakBefore w:val="0"/>
        <w:widowControl/>
        <w:kinsoku/>
        <w:wordWrap/>
        <w:overflowPunct/>
        <w:topLinePunct w:val="0"/>
        <w:autoSpaceDE/>
        <w:autoSpaceDN/>
        <w:bidi w:val="0"/>
        <w:adjustRightInd/>
        <w:snapToGrid/>
        <w:spacing w:before="60" w:after="60" w:line="320" w:lineRule="exact"/>
        <w:ind w:left="60" w:right="60"/>
        <w:jc w:val="left"/>
        <w:textAlignment w:val="auto"/>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二、申请人的资格要求</w:t>
      </w:r>
    </w:p>
    <w:p>
      <w:pPr>
        <w:keepNext w:val="0"/>
        <w:keepLines w:val="0"/>
        <w:pageBreakBefore w:val="0"/>
        <w:widowControl/>
        <w:kinsoku/>
        <w:wordWrap/>
        <w:overflowPunct/>
        <w:topLinePunct w:val="0"/>
        <w:autoSpaceDE/>
        <w:autoSpaceDN/>
        <w:bidi w:val="0"/>
        <w:adjustRightInd/>
        <w:snapToGrid/>
        <w:spacing w:before="60" w:after="60" w:line="320" w:lineRule="exact"/>
        <w:ind w:left="708" w:leftChars="285" w:right="60" w:hanging="110" w:hangingChars="50"/>
        <w:jc w:val="left"/>
        <w:textAlignment w:val="auto"/>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before="60" w:after="60" w:line="320" w:lineRule="exact"/>
        <w:ind w:left="708" w:leftChars="285" w:right="60" w:hanging="110" w:hangingChars="50"/>
        <w:jc w:val="left"/>
        <w:textAlignment w:val="auto"/>
        <w:rPr>
          <w:rFonts w:hint="eastAsia"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2.落实政府采购政策需满足的资格要求：</w:t>
      </w:r>
      <w:r>
        <w:rPr>
          <w:rFonts w:hint="eastAsia" w:ascii="宋体" w:hAnsi="宋体" w:cs="宋体"/>
          <w:bCs/>
          <w:color w:val="auto"/>
          <w:kern w:val="0"/>
          <w:sz w:val="22"/>
          <w:szCs w:val="22"/>
          <w:highlight w:val="none"/>
        </w:rPr>
        <w:t>本项目为专门面向中小企业采购的项目，供应商为中小企业/小微企业或监狱企业或残疾人福利企业</w:t>
      </w:r>
      <w:r>
        <w:rPr>
          <w:rFonts w:hint="eastAsia" w:ascii="宋体" w:hAnsi="宋体" w:cs="hakuyoxingshu7000"/>
          <w:bCs/>
          <w:color w:val="auto"/>
          <w:kern w:val="0"/>
          <w:sz w:val="22"/>
          <w:szCs w:val="22"/>
          <w:highlight w:val="none"/>
        </w:rPr>
        <w:t>；</w:t>
      </w:r>
    </w:p>
    <w:p>
      <w:pPr>
        <w:keepNext w:val="0"/>
        <w:keepLines w:val="0"/>
        <w:pageBreakBefore w:val="0"/>
        <w:widowControl/>
        <w:kinsoku/>
        <w:wordWrap/>
        <w:overflowPunct/>
        <w:topLinePunct w:val="0"/>
        <w:autoSpaceDE/>
        <w:autoSpaceDN/>
        <w:bidi w:val="0"/>
        <w:adjustRightInd/>
        <w:snapToGrid/>
        <w:spacing w:before="60" w:after="60" w:line="320" w:lineRule="exact"/>
        <w:ind w:left="708" w:leftChars="285" w:right="60" w:hanging="110" w:hangingChars="50"/>
        <w:jc w:val="left"/>
        <w:textAlignment w:val="auto"/>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3.本项目的特定资格要求：</w:t>
      </w:r>
      <w:r>
        <w:rPr>
          <w:rFonts w:hint="eastAsia" w:ascii="宋体" w:hAnsi="宋体" w:cs="宋体"/>
          <w:bCs/>
          <w:color w:val="auto"/>
          <w:kern w:val="0"/>
          <w:sz w:val="22"/>
          <w:szCs w:val="22"/>
          <w:highlight w:val="none"/>
          <w:lang w:val="en-US" w:eastAsia="zh-CN"/>
        </w:rPr>
        <w:t>无</w:t>
      </w:r>
      <w:r>
        <w:rPr>
          <w:rFonts w:hint="eastAsia" w:ascii="宋体" w:hAnsi="宋体" w:cs="hakuyoxingshu7000"/>
          <w:bCs/>
          <w:color w:val="auto"/>
          <w:kern w:val="0"/>
          <w:sz w:val="22"/>
          <w:szCs w:val="22"/>
          <w:highlight w:val="none"/>
        </w:rPr>
        <w:t>。</w:t>
      </w:r>
    </w:p>
    <w:p>
      <w:pPr>
        <w:keepNext w:val="0"/>
        <w:keepLines w:val="0"/>
        <w:pageBreakBefore w:val="0"/>
        <w:widowControl/>
        <w:kinsoku/>
        <w:wordWrap/>
        <w:overflowPunct/>
        <w:topLinePunct w:val="0"/>
        <w:autoSpaceDE/>
        <w:autoSpaceDN/>
        <w:bidi w:val="0"/>
        <w:adjustRightInd/>
        <w:snapToGrid/>
        <w:spacing w:before="60" w:after="60" w:line="320" w:lineRule="exact"/>
        <w:ind w:left="60" w:right="60"/>
        <w:jc w:val="lef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三、获取招标文件</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1.时间：公告发布之日起至投标截止时间前，每天上午08:30-11:30，下午14:30-17:30（节假日除外）。</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2.地点：政采云平台（www.zcygov.cn）</w:t>
      </w:r>
      <w:r>
        <w:rPr>
          <w:rFonts w:hint="eastAsia" w:ascii="宋体" w:hAnsi="宋体" w:cs="hakuyoxingshu7000"/>
          <w:color w:val="auto"/>
          <w:kern w:val="0"/>
          <w:sz w:val="22"/>
          <w:szCs w:val="22"/>
          <w:highlight w:val="none"/>
        </w:rPr>
        <w:t>。</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ascii="宋体" w:hAnsi="宋体"/>
          <w:color w:val="auto"/>
          <w:sz w:val="22"/>
          <w:szCs w:val="22"/>
          <w:highlight w:val="none"/>
        </w:rPr>
      </w:pPr>
      <w:r>
        <w:rPr>
          <w:rFonts w:hint="eastAsia" w:ascii="宋体" w:hAnsi="宋体" w:cs="宋体"/>
          <w:color w:val="auto"/>
          <w:kern w:val="0"/>
          <w:sz w:val="22"/>
          <w:szCs w:val="22"/>
          <w:highlight w:val="none"/>
        </w:rPr>
        <w:t>3.方式：</w:t>
      </w:r>
      <w:r>
        <w:rPr>
          <w:rFonts w:ascii="宋体" w:hAnsi="宋体"/>
          <w:color w:val="auto"/>
          <w:sz w:val="22"/>
          <w:szCs w:val="22"/>
          <w:highlight w:val="none"/>
        </w:rPr>
        <w:t>潜在投标人登陆政采云平台</w:t>
      </w:r>
      <w:r>
        <w:rPr>
          <w:rFonts w:hint="eastAsia" w:ascii="宋体" w:hAnsi="宋体" w:cs="hakuyoxingshu7000"/>
          <w:color w:val="auto"/>
          <w:kern w:val="0"/>
          <w:sz w:val="22"/>
          <w:szCs w:val="22"/>
          <w:highlight w:val="none"/>
        </w:rPr>
        <w:t>（www.zcygov.cn）</w:t>
      </w:r>
      <w:r>
        <w:rPr>
          <w:rFonts w:ascii="宋体" w:hAnsi="宋体"/>
          <w:color w:val="auto"/>
          <w:sz w:val="22"/>
          <w:szCs w:val="22"/>
          <w:highlight w:val="none"/>
        </w:rPr>
        <w:t>，在线申请获取</w:t>
      </w:r>
      <w:r>
        <w:rPr>
          <w:rFonts w:hint="eastAsia" w:ascii="宋体" w:hAnsi="宋体"/>
          <w:color w:val="auto"/>
          <w:sz w:val="22"/>
          <w:szCs w:val="22"/>
          <w:highlight w:val="none"/>
        </w:rPr>
        <w:t>采购文件</w:t>
      </w:r>
      <w:r>
        <w:rPr>
          <w:rFonts w:ascii="宋体" w:hAnsi="宋体"/>
          <w:color w:val="auto"/>
          <w:sz w:val="22"/>
          <w:szCs w:val="22"/>
          <w:highlight w:val="none"/>
        </w:rPr>
        <w:t>（</w:t>
      </w:r>
      <w:r>
        <w:rPr>
          <w:rFonts w:hint="eastAsia" w:ascii="宋体" w:hAnsi="宋体"/>
          <w:color w:val="auto"/>
          <w:sz w:val="22"/>
          <w:szCs w:val="22"/>
          <w:highlight w:val="none"/>
        </w:rPr>
        <w:t>进入</w:t>
      </w:r>
      <w:r>
        <w:rPr>
          <w:rFonts w:hint="eastAsia" w:ascii="宋体"/>
          <w:color w:val="auto"/>
          <w:sz w:val="22"/>
          <w:szCs w:val="22"/>
          <w:highlight w:val="none"/>
        </w:rPr>
        <w:t>“</w:t>
      </w:r>
      <w:r>
        <w:rPr>
          <w:rFonts w:hint="eastAsia" w:ascii="宋体" w:hAnsi="宋体"/>
          <w:color w:val="auto"/>
          <w:sz w:val="22"/>
          <w:szCs w:val="22"/>
          <w:highlight w:val="none"/>
        </w:rPr>
        <w:t>项目采购</w:t>
      </w:r>
      <w:r>
        <w:rPr>
          <w:rFonts w:hint="eastAsia" w:ascii="宋体"/>
          <w:color w:val="auto"/>
          <w:sz w:val="22"/>
          <w:szCs w:val="22"/>
          <w:highlight w:val="none"/>
        </w:rPr>
        <w:t>”</w:t>
      </w:r>
      <w:r>
        <w:rPr>
          <w:rFonts w:hint="eastAsia" w:ascii="宋体" w:hAnsi="宋体"/>
          <w:color w:val="auto"/>
          <w:sz w:val="22"/>
          <w:szCs w:val="22"/>
          <w:highlight w:val="none"/>
        </w:rPr>
        <w:t>应用，在获取采购文件菜单中选择项目，申请获取采购文件；仅需浏览采购文件的</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可点击</w:t>
      </w:r>
      <w:r>
        <w:rPr>
          <w:rFonts w:hint="eastAsia" w:ascii="宋体"/>
          <w:color w:val="auto"/>
          <w:sz w:val="22"/>
          <w:szCs w:val="22"/>
          <w:highlight w:val="none"/>
        </w:rPr>
        <w:t>“</w:t>
      </w:r>
      <w:r>
        <w:rPr>
          <w:rFonts w:hint="eastAsia" w:ascii="宋体" w:hAnsi="宋体"/>
          <w:color w:val="auto"/>
          <w:sz w:val="22"/>
          <w:szCs w:val="22"/>
          <w:highlight w:val="none"/>
        </w:rPr>
        <w:t>游客，浏览采购文件</w:t>
      </w:r>
      <w:r>
        <w:rPr>
          <w:rFonts w:hint="eastAsia" w:ascii="宋体"/>
          <w:color w:val="auto"/>
          <w:sz w:val="22"/>
          <w:szCs w:val="22"/>
          <w:highlight w:val="none"/>
        </w:rPr>
        <w:t>”</w:t>
      </w:r>
      <w:r>
        <w:rPr>
          <w:rFonts w:hint="eastAsia" w:ascii="宋体" w:hAnsi="宋体"/>
          <w:color w:val="auto"/>
          <w:sz w:val="22"/>
          <w:szCs w:val="22"/>
          <w:highlight w:val="none"/>
        </w:rPr>
        <w:t>直接下载采购文件浏览</w:t>
      </w:r>
      <w:r>
        <w:rPr>
          <w:rFonts w:ascii="宋体" w:hAnsi="宋体"/>
          <w:color w:val="auto"/>
          <w:sz w:val="22"/>
          <w:szCs w:val="22"/>
          <w:highlight w:val="none"/>
        </w:rPr>
        <w:t>）。</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ascii="宋体"/>
          <w:color w:val="auto"/>
          <w:sz w:val="22"/>
          <w:szCs w:val="22"/>
          <w:highlight w:val="none"/>
        </w:rPr>
      </w:pP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只有在“政采云平台”完成获取采购文件申请并下载了采购文件后才视作依法获取采购文件（法律法规所指的</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获取采购文件时间以</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完成获取采购文件申请后下载采购文件的时间为准）。未依法获取采购文件的潜在</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对采购文件提起质疑投诉，不予受理。</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ascii="宋体" w:cs="宋体"/>
          <w:b/>
          <w:color w:val="auto"/>
          <w:kern w:val="0"/>
          <w:sz w:val="22"/>
          <w:szCs w:val="22"/>
          <w:highlight w:val="none"/>
        </w:rPr>
      </w:pP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．售价（元）：0</w:t>
      </w:r>
    </w:p>
    <w:p>
      <w:pPr>
        <w:keepNext w:val="0"/>
        <w:keepLines w:val="0"/>
        <w:pageBreakBefore w:val="0"/>
        <w:widowControl/>
        <w:kinsoku/>
        <w:wordWrap/>
        <w:overflowPunct/>
        <w:topLinePunct w:val="0"/>
        <w:autoSpaceDE/>
        <w:autoSpaceDN/>
        <w:bidi w:val="0"/>
        <w:adjustRightInd/>
        <w:snapToGrid/>
        <w:spacing w:before="60" w:after="60" w:line="320" w:lineRule="exact"/>
        <w:ind w:left="60" w:right="60"/>
        <w:jc w:val="left"/>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四、提交投标文件截止时间、开标时间和地点</w:t>
      </w:r>
    </w:p>
    <w:p>
      <w:pPr>
        <w:pStyle w:val="5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rPr>
          <w:rFonts w:hint="eastAsia" w:ascii="宋体" w:hAnsi="宋体" w:eastAsia="宋体" w:cs="宋体"/>
          <w:color w:val="auto"/>
          <w:kern w:val="0"/>
          <w:sz w:val="22"/>
          <w:szCs w:val="22"/>
          <w:highlight w:val="none"/>
          <w:lang w:val="en-US" w:eastAsia="zh-CN" w:bidi="ar-SA"/>
        </w:rPr>
      </w:pPr>
      <w:r>
        <w:rPr>
          <w:rFonts w:ascii="仿宋" w:hAnsi="仿宋" w:eastAsia="仿宋" w:cs="仿宋"/>
          <w:i w:val="0"/>
          <w:iCs w:val="0"/>
          <w:caps w:val="0"/>
          <w:color w:val="auto"/>
          <w:spacing w:val="0"/>
          <w:sz w:val="27"/>
          <w:szCs w:val="27"/>
          <w:highlight w:val="none"/>
        </w:rPr>
        <w:t>   </w:t>
      </w:r>
      <w:r>
        <w:rPr>
          <w:rFonts w:hint="eastAsia" w:ascii="宋体" w:hAnsi="宋体" w:eastAsia="宋体" w:cs="宋体"/>
          <w:color w:val="auto"/>
          <w:kern w:val="0"/>
          <w:sz w:val="22"/>
          <w:szCs w:val="22"/>
          <w:highlight w:val="none"/>
          <w:lang w:val="en-US" w:eastAsia="zh-CN" w:bidi="ar-SA"/>
        </w:rPr>
        <w:t> 提交投标文件截止时间：</w:t>
      </w:r>
      <w:r>
        <w:rPr>
          <w:rFonts w:hint="eastAsia" w:cs="宋体"/>
          <w:color w:val="auto"/>
          <w:kern w:val="0"/>
          <w:sz w:val="22"/>
          <w:szCs w:val="22"/>
          <w:highlight w:val="none"/>
          <w:lang w:val="en-US" w:eastAsia="zh-CN" w:bidi="ar-SA"/>
        </w:rPr>
        <w:t>2</w:t>
      </w:r>
      <w:r>
        <w:rPr>
          <w:rFonts w:hint="eastAsia" w:cs="宋体"/>
          <w:color w:val="auto"/>
          <w:kern w:val="0"/>
          <w:sz w:val="22"/>
          <w:szCs w:val="22"/>
          <w:highlight w:val="none"/>
          <w:lang w:val="en-US" w:eastAsia="zh-CN" w:bidi="ar-SA"/>
        </w:rPr>
        <w:t>023</w:t>
      </w:r>
      <w:r>
        <w:rPr>
          <w:rFonts w:hint="eastAsia" w:ascii="宋体" w:hAnsi="宋体" w:eastAsia="宋体" w:cs="宋体"/>
          <w:color w:val="auto"/>
          <w:kern w:val="0"/>
          <w:sz w:val="22"/>
          <w:szCs w:val="22"/>
          <w:highlight w:val="none"/>
          <w:lang w:val="en-US" w:eastAsia="zh-CN" w:bidi="ar-SA"/>
        </w:rPr>
        <w:t>年</w:t>
      </w:r>
      <w:r>
        <w:rPr>
          <w:rFonts w:hint="eastAsia" w:cs="宋体"/>
          <w:color w:val="auto"/>
          <w:kern w:val="0"/>
          <w:sz w:val="22"/>
          <w:szCs w:val="22"/>
          <w:highlight w:val="none"/>
          <w:lang w:val="en-US" w:eastAsia="zh-CN" w:bidi="ar-SA"/>
        </w:rPr>
        <w:t>4</w:t>
      </w:r>
      <w:r>
        <w:rPr>
          <w:rFonts w:hint="eastAsia" w:ascii="宋体" w:hAnsi="宋体" w:eastAsia="宋体" w:cs="宋体"/>
          <w:color w:val="auto"/>
          <w:kern w:val="0"/>
          <w:sz w:val="22"/>
          <w:szCs w:val="22"/>
          <w:highlight w:val="none"/>
          <w:lang w:val="en-US" w:eastAsia="zh-CN" w:bidi="ar-SA"/>
        </w:rPr>
        <w:t>月</w:t>
      </w:r>
      <w:r>
        <w:rPr>
          <w:rFonts w:hint="eastAsia" w:cs="宋体"/>
          <w:color w:val="auto"/>
          <w:kern w:val="0"/>
          <w:sz w:val="22"/>
          <w:szCs w:val="22"/>
          <w:highlight w:val="none"/>
          <w:lang w:val="en-US" w:eastAsia="zh-CN" w:bidi="ar-SA"/>
        </w:rPr>
        <w:t>10</w:t>
      </w:r>
      <w:r>
        <w:rPr>
          <w:rFonts w:hint="eastAsia" w:ascii="宋体" w:hAnsi="宋体" w:eastAsia="宋体" w:cs="宋体"/>
          <w:color w:val="auto"/>
          <w:kern w:val="0"/>
          <w:sz w:val="22"/>
          <w:szCs w:val="22"/>
          <w:highlight w:val="none"/>
          <w:lang w:val="en-US" w:eastAsia="zh-CN" w:bidi="ar-SA"/>
        </w:rPr>
        <w:t>日</w:t>
      </w:r>
      <w:r>
        <w:rPr>
          <w:rFonts w:hint="eastAsia" w:cs="宋体"/>
          <w:color w:val="auto"/>
          <w:kern w:val="0"/>
          <w:sz w:val="22"/>
          <w:szCs w:val="22"/>
          <w:highlight w:val="none"/>
          <w:lang w:val="en-US" w:eastAsia="zh-CN" w:bidi="ar-SA"/>
        </w:rPr>
        <w:t>14</w:t>
      </w:r>
      <w:r>
        <w:rPr>
          <w:rFonts w:hint="eastAsia" w:ascii="宋体" w:hAnsi="宋体" w:eastAsia="宋体" w:cs="宋体"/>
          <w:color w:val="auto"/>
          <w:kern w:val="0"/>
          <w:sz w:val="22"/>
          <w:szCs w:val="22"/>
          <w:highlight w:val="none"/>
          <w:lang w:val="en-US" w:eastAsia="zh-CN" w:bidi="ar-SA"/>
        </w:rPr>
        <w:t>:00（北京时间）</w:t>
      </w:r>
    </w:p>
    <w:p>
      <w:pPr>
        <w:pStyle w:val="5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投标地点（网址）：通过“政府采购云平台（www.zcygov.cn）”在线递交  </w:t>
      </w:r>
    </w:p>
    <w:p>
      <w:pPr>
        <w:pStyle w:val="5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开标时间：</w:t>
      </w:r>
      <w:r>
        <w:rPr>
          <w:rFonts w:hint="eastAsia" w:cs="宋体"/>
          <w:color w:val="auto"/>
          <w:kern w:val="0"/>
          <w:sz w:val="22"/>
          <w:szCs w:val="22"/>
          <w:highlight w:val="none"/>
          <w:lang w:val="en-US" w:eastAsia="zh-CN" w:bidi="ar-SA"/>
        </w:rPr>
        <w:t>2023</w:t>
      </w:r>
      <w:r>
        <w:rPr>
          <w:rFonts w:hint="eastAsia" w:ascii="宋体" w:hAnsi="宋体" w:eastAsia="宋体" w:cs="宋体"/>
          <w:color w:val="auto"/>
          <w:kern w:val="0"/>
          <w:sz w:val="22"/>
          <w:szCs w:val="22"/>
          <w:highlight w:val="none"/>
          <w:lang w:val="en-US" w:eastAsia="zh-CN" w:bidi="ar-SA"/>
        </w:rPr>
        <w:t>年</w:t>
      </w:r>
      <w:r>
        <w:rPr>
          <w:rFonts w:hint="eastAsia" w:cs="宋体"/>
          <w:color w:val="auto"/>
          <w:kern w:val="0"/>
          <w:sz w:val="22"/>
          <w:szCs w:val="22"/>
          <w:highlight w:val="none"/>
          <w:lang w:val="en-US" w:eastAsia="zh-CN" w:bidi="ar-SA"/>
        </w:rPr>
        <w:t>4</w:t>
      </w:r>
      <w:r>
        <w:rPr>
          <w:rFonts w:hint="eastAsia" w:ascii="宋体" w:hAnsi="宋体" w:eastAsia="宋体" w:cs="宋体"/>
          <w:color w:val="auto"/>
          <w:kern w:val="0"/>
          <w:sz w:val="22"/>
          <w:szCs w:val="22"/>
          <w:highlight w:val="none"/>
          <w:lang w:val="en-US" w:eastAsia="zh-CN" w:bidi="ar-SA"/>
        </w:rPr>
        <w:t>月</w:t>
      </w:r>
      <w:r>
        <w:rPr>
          <w:rFonts w:hint="eastAsia" w:cs="宋体"/>
          <w:color w:val="auto"/>
          <w:kern w:val="0"/>
          <w:sz w:val="22"/>
          <w:szCs w:val="22"/>
          <w:highlight w:val="none"/>
          <w:lang w:val="en-US" w:eastAsia="zh-CN" w:bidi="ar-SA"/>
        </w:rPr>
        <w:t>10</w:t>
      </w:r>
      <w:r>
        <w:rPr>
          <w:rFonts w:hint="eastAsia" w:ascii="宋体" w:hAnsi="宋体" w:eastAsia="宋体" w:cs="宋体"/>
          <w:color w:val="auto"/>
          <w:kern w:val="0"/>
          <w:sz w:val="22"/>
          <w:szCs w:val="22"/>
          <w:highlight w:val="none"/>
          <w:lang w:val="en-US" w:eastAsia="zh-CN" w:bidi="ar-SA"/>
        </w:rPr>
        <w:t>日</w:t>
      </w:r>
      <w:r>
        <w:rPr>
          <w:rFonts w:hint="eastAsia" w:cs="宋体"/>
          <w:color w:val="auto"/>
          <w:kern w:val="0"/>
          <w:sz w:val="22"/>
          <w:szCs w:val="22"/>
          <w:highlight w:val="none"/>
          <w:lang w:val="en-US" w:eastAsia="zh-CN" w:bidi="ar-SA"/>
        </w:rPr>
        <w:t>14</w:t>
      </w:r>
      <w:r>
        <w:rPr>
          <w:rFonts w:hint="eastAsia" w:ascii="宋体" w:hAnsi="宋体" w:eastAsia="宋体" w:cs="宋体"/>
          <w:color w:val="auto"/>
          <w:kern w:val="0"/>
          <w:sz w:val="22"/>
          <w:szCs w:val="22"/>
          <w:highlight w:val="none"/>
          <w:lang w:val="en-US" w:eastAsia="zh-CN" w:bidi="ar-SA"/>
        </w:rPr>
        <w:t>:0</w:t>
      </w:r>
      <w:r>
        <w:rPr>
          <w:rFonts w:hint="eastAsia" w:ascii="宋体" w:hAnsi="宋体" w:eastAsia="宋体" w:cs="宋体"/>
          <w:color w:val="auto"/>
          <w:kern w:val="0"/>
          <w:sz w:val="22"/>
          <w:szCs w:val="22"/>
          <w:highlight w:val="none"/>
          <w:lang w:val="en-US" w:eastAsia="zh-CN" w:bidi="ar-SA"/>
        </w:rPr>
        <w:t>0 </w:t>
      </w:r>
    </w:p>
    <w:p>
      <w:pPr>
        <w:pStyle w:val="5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开标地点（网址）：通过“政府采购云平台（www.zcygov.cn）”在线开标  </w:t>
      </w:r>
    </w:p>
    <w:p>
      <w:pPr>
        <w:keepNext w:val="0"/>
        <w:keepLines w:val="0"/>
        <w:pageBreakBefore w:val="0"/>
        <w:widowControl/>
        <w:kinsoku/>
        <w:wordWrap/>
        <w:overflowPunct/>
        <w:topLinePunct w:val="0"/>
        <w:autoSpaceDE/>
        <w:autoSpaceDN/>
        <w:bidi w:val="0"/>
        <w:adjustRightInd/>
        <w:snapToGrid/>
        <w:spacing w:before="60" w:after="60" w:line="320" w:lineRule="exact"/>
        <w:ind w:left="60" w:right="60"/>
        <w:jc w:val="left"/>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五、公告期限 </w:t>
      </w:r>
    </w:p>
    <w:p>
      <w:pPr>
        <w:pStyle w:val="5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自本公告发布之日起5个工作日。</w:t>
      </w:r>
    </w:p>
    <w:p>
      <w:pPr>
        <w:keepNext w:val="0"/>
        <w:keepLines w:val="0"/>
        <w:pageBreakBefore w:val="0"/>
        <w:widowControl/>
        <w:kinsoku/>
        <w:wordWrap/>
        <w:overflowPunct/>
        <w:topLinePunct w:val="0"/>
        <w:autoSpaceDE/>
        <w:autoSpaceDN/>
        <w:bidi w:val="0"/>
        <w:adjustRightInd/>
        <w:snapToGrid/>
        <w:spacing w:before="60" w:after="60" w:line="320" w:lineRule="exact"/>
        <w:ind w:left="60" w:right="60"/>
        <w:jc w:val="left"/>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lang w:val="en-US" w:eastAsia="zh-CN"/>
        </w:rPr>
        <w:t>六</w:t>
      </w:r>
      <w:r>
        <w:rPr>
          <w:rFonts w:hint="eastAsia" w:ascii="宋体" w:hAnsi="宋体" w:cs="宋体"/>
          <w:b/>
          <w:color w:val="auto"/>
          <w:kern w:val="0"/>
          <w:sz w:val="22"/>
          <w:szCs w:val="22"/>
          <w:highlight w:val="none"/>
        </w:rPr>
        <w:t>、其他补充事宜</w:t>
      </w:r>
    </w:p>
    <w:p>
      <w:pPr>
        <w:keepNext w:val="0"/>
        <w:keepLines w:val="0"/>
        <w:pageBreakBefore w:val="0"/>
        <w:widowControl/>
        <w:kinsoku/>
        <w:wordWrap/>
        <w:overflowPunct/>
        <w:topLinePunct w:val="0"/>
        <w:autoSpaceDE/>
        <w:autoSpaceDN/>
        <w:bidi w:val="0"/>
        <w:adjustRightInd/>
        <w:snapToGrid/>
        <w:spacing w:before="60" w:after="60" w:line="320" w:lineRule="exact"/>
        <w:ind w:left="61" w:leftChars="29" w:right="60" w:firstLine="323" w:firstLineChars="147"/>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kinsoku/>
        <w:wordWrap/>
        <w:overflowPunct/>
        <w:topLinePunct w:val="0"/>
        <w:autoSpaceDE/>
        <w:autoSpaceDN/>
        <w:bidi w:val="0"/>
        <w:adjustRightInd/>
        <w:snapToGrid/>
        <w:spacing w:before="60" w:after="60" w:line="320" w:lineRule="exact"/>
        <w:ind w:left="61" w:leftChars="29" w:right="60" w:firstLine="323" w:firstLineChars="147"/>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keepNext w:val="0"/>
        <w:keepLines w:val="0"/>
        <w:pageBreakBefore w:val="0"/>
        <w:widowControl/>
        <w:kinsoku/>
        <w:wordWrap/>
        <w:overflowPunct/>
        <w:topLinePunct w:val="0"/>
        <w:autoSpaceDE/>
        <w:autoSpaceDN/>
        <w:bidi w:val="0"/>
        <w:adjustRightInd/>
        <w:snapToGrid/>
        <w:spacing w:before="60" w:after="60" w:line="320" w:lineRule="exact"/>
        <w:ind w:left="61" w:leftChars="29" w:right="60" w:firstLine="323" w:firstLineChars="147"/>
        <w:jc w:val="lef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2.其他事项：</w:t>
      </w:r>
    </w:p>
    <w:p>
      <w:pPr>
        <w:keepNext w:val="0"/>
        <w:keepLines w:val="0"/>
        <w:pageBreakBefore w:val="0"/>
        <w:widowControl/>
        <w:numPr>
          <w:ilvl w:val="0"/>
          <w:numId w:val="1"/>
        </w:numPr>
        <w:kinsoku/>
        <w:wordWrap/>
        <w:overflowPunct/>
        <w:topLinePunct w:val="0"/>
        <w:autoSpaceDE/>
        <w:autoSpaceDN/>
        <w:bidi w:val="0"/>
        <w:adjustRightInd/>
        <w:snapToGrid/>
        <w:spacing w:before="60" w:after="60" w:line="320" w:lineRule="exact"/>
        <w:ind w:right="6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本项目通过“政采云平台（www.zcygov.cn）”实行在线投标响应（电子投标），供应商应按照本</w:t>
      </w:r>
      <w:r>
        <w:rPr>
          <w:rFonts w:hint="eastAsia" w:ascii="宋体" w:hAnsi="宋体" w:cs="宋体"/>
          <w:bCs/>
          <w:color w:val="auto"/>
          <w:kern w:val="0"/>
          <w:sz w:val="22"/>
          <w:szCs w:val="22"/>
          <w:highlight w:val="none"/>
          <w:lang w:eastAsia="zh-CN"/>
        </w:rPr>
        <w:t>招标文件</w:t>
      </w:r>
      <w:r>
        <w:rPr>
          <w:rFonts w:hint="eastAsia" w:ascii="宋体" w:hAnsi="宋体" w:cs="宋体"/>
          <w:bCs/>
          <w:color w:val="auto"/>
          <w:kern w:val="0"/>
          <w:sz w:val="22"/>
          <w:szCs w:val="22"/>
          <w:highlight w:val="none"/>
        </w:rPr>
        <w:t>和“政采云平台”的要求，编制并加密</w:t>
      </w:r>
      <w:r>
        <w:rPr>
          <w:rFonts w:hint="eastAsia" w:ascii="宋体" w:hAnsi="宋体" w:cs="宋体"/>
          <w:bCs/>
          <w:color w:val="auto"/>
          <w:kern w:val="0"/>
          <w:sz w:val="22"/>
          <w:szCs w:val="22"/>
          <w:highlight w:val="none"/>
          <w:lang w:eastAsia="zh-CN"/>
        </w:rPr>
        <w:t>投标文件</w:t>
      </w:r>
      <w:r>
        <w:rPr>
          <w:rFonts w:hint="eastAsia" w:ascii="宋体" w:hAnsi="宋体" w:cs="宋体"/>
          <w:bCs/>
          <w:color w:val="auto"/>
          <w:kern w:val="0"/>
          <w:sz w:val="22"/>
          <w:szCs w:val="22"/>
          <w:highlight w:val="none"/>
        </w:rPr>
        <w:t>。电子投标具体操作流程详见《供应商项目采购-电子招投标操作指南》，如遇技术问题详询400-881-7190。</w:t>
      </w:r>
    </w:p>
    <w:p>
      <w:pPr>
        <w:keepNext w:val="0"/>
        <w:keepLines w:val="0"/>
        <w:pageBreakBefore w:val="0"/>
        <w:widowControl/>
        <w:numPr>
          <w:ilvl w:val="0"/>
          <w:numId w:val="1"/>
        </w:numPr>
        <w:kinsoku/>
        <w:wordWrap/>
        <w:overflowPunct/>
        <w:topLinePunct w:val="0"/>
        <w:autoSpaceDE/>
        <w:autoSpaceDN/>
        <w:bidi w:val="0"/>
        <w:adjustRightInd/>
        <w:snapToGrid/>
        <w:spacing w:before="60" w:after="60" w:line="320" w:lineRule="exact"/>
        <w:ind w:right="60"/>
        <w:jc w:val="left"/>
        <w:textAlignment w:val="auto"/>
        <w:rPr>
          <w:rFonts w:ascii="宋体" w:hAnsi="宋体" w:cs="宋体"/>
          <w:color w:val="auto"/>
          <w:kern w:val="0"/>
          <w:sz w:val="22"/>
          <w:szCs w:val="22"/>
          <w:highlight w:val="none"/>
        </w:rPr>
      </w:pPr>
      <w:r>
        <w:rPr>
          <w:rFonts w:hint="eastAsia" w:ascii="宋体" w:hAnsi="宋体" w:cs="宋体"/>
          <w:color w:val="auto"/>
          <w:highlight w:val="none"/>
          <w:lang w:val="zh-CN"/>
        </w:rPr>
        <w:t>为支持和促进中小企业发展</w:t>
      </w:r>
      <w:r>
        <w:rPr>
          <w:rFonts w:hint="eastAsia" w:ascii="宋体" w:hAnsi="宋体" w:cs="宋体"/>
          <w:color w:val="auto"/>
          <w:highlight w:val="none"/>
          <w:lang w:val="en-US"/>
        </w:rPr>
        <w:t>，</w:t>
      </w:r>
      <w:r>
        <w:rPr>
          <w:rFonts w:hint="eastAsia" w:ascii="宋体" w:hAnsi="宋体" w:cs="宋体"/>
          <w:color w:val="auto"/>
          <w:highlight w:val="none"/>
          <w:lang w:val="zh-CN"/>
        </w:rPr>
        <w:t>进一步发挥政府采购政策功能</w:t>
      </w:r>
      <w:r>
        <w:rPr>
          <w:rFonts w:hint="eastAsia" w:ascii="宋体" w:hAnsi="宋体" w:cs="宋体"/>
          <w:color w:val="auto"/>
          <w:highlight w:val="none"/>
          <w:lang w:val="en-US"/>
        </w:rPr>
        <w:t>，</w:t>
      </w:r>
      <w:r>
        <w:rPr>
          <w:rFonts w:hint="eastAsia" w:ascii="宋体" w:hAnsi="宋体" w:cs="宋体"/>
          <w:color w:val="auto"/>
          <w:highlight w:val="none"/>
          <w:lang w:val="zh-CN"/>
        </w:rPr>
        <w:t>温州市财政局出台了《温州市财政局关于温州市政府采购支持中小企业信用融资的通知》</w:t>
      </w:r>
      <w:r>
        <w:rPr>
          <w:rFonts w:hint="eastAsia" w:ascii="宋体" w:hAnsi="宋体" w:cs="宋体"/>
          <w:color w:val="auto"/>
          <w:highlight w:val="none"/>
          <w:lang w:val="en-US"/>
        </w:rPr>
        <w:t>（</w:t>
      </w:r>
      <w:r>
        <w:rPr>
          <w:rFonts w:hint="eastAsia" w:ascii="宋体" w:hAnsi="宋体" w:cs="宋体"/>
          <w:color w:val="auto"/>
          <w:highlight w:val="none"/>
          <w:lang w:val="zh-CN"/>
        </w:rPr>
        <w:t>温财采〔</w:t>
      </w:r>
      <w:r>
        <w:rPr>
          <w:rFonts w:hint="eastAsia" w:ascii="宋体" w:hAnsi="宋体" w:cs="宋体"/>
          <w:color w:val="auto"/>
          <w:highlight w:val="none"/>
          <w:lang w:val="en-US"/>
        </w:rPr>
        <w:t>2020</w:t>
      </w:r>
      <w:r>
        <w:rPr>
          <w:rFonts w:hint="eastAsia" w:ascii="宋体" w:hAnsi="宋体" w:cs="宋体"/>
          <w:color w:val="auto"/>
          <w:highlight w:val="none"/>
          <w:lang w:val="zh-CN"/>
        </w:rPr>
        <w:t>〕</w:t>
      </w:r>
      <w:r>
        <w:rPr>
          <w:rFonts w:hint="eastAsia" w:ascii="宋体" w:hAnsi="宋体" w:cs="宋体"/>
          <w:color w:val="auto"/>
          <w:highlight w:val="none"/>
          <w:lang w:val="en-US"/>
        </w:rPr>
        <w:t>3</w:t>
      </w:r>
      <w:r>
        <w:rPr>
          <w:rFonts w:hint="eastAsia" w:ascii="宋体" w:hAnsi="宋体" w:cs="宋体"/>
          <w:color w:val="auto"/>
          <w:highlight w:val="none"/>
          <w:lang w:val="zh-CN"/>
        </w:rPr>
        <w:t>号</w:t>
      </w:r>
      <w:r>
        <w:rPr>
          <w:rFonts w:hint="eastAsia" w:ascii="宋体" w:hAnsi="宋体" w:cs="宋体"/>
          <w:color w:val="auto"/>
          <w:highlight w:val="none"/>
          <w:lang w:val="en-US"/>
        </w:rPr>
        <w:t>），</w:t>
      </w:r>
      <w:r>
        <w:rPr>
          <w:rFonts w:hint="eastAsia" w:ascii="宋体" w:hAnsi="宋体" w:cs="宋体"/>
          <w:color w:val="auto"/>
          <w:highlight w:val="none"/>
          <w:lang w:val="zh-CN"/>
        </w:rPr>
        <w:t>供应商若有融资意向</w:t>
      </w:r>
      <w:r>
        <w:rPr>
          <w:rFonts w:hint="eastAsia" w:ascii="宋体" w:hAnsi="宋体" w:cs="宋体"/>
          <w:color w:val="auto"/>
          <w:highlight w:val="none"/>
          <w:lang w:val="en-US"/>
        </w:rPr>
        <w:t>，</w:t>
      </w:r>
      <w:r>
        <w:rPr>
          <w:rFonts w:hint="eastAsia" w:ascii="宋体" w:hAnsi="宋体" w:cs="宋体"/>
          <w:color w:val="auto"/>
          <w:highlight w:val="none"/>
          <w:lang w:val="zh-CN"/>
        </w:rPr>
        <w:t>可直接登录</w:t>
      </w:r>
      <w:r>
        <w:rPr>
          <w:rFonts w:hint="eastAsia" w:ascii="宋体" w:hAnsi="宋体" w:cs="宋体"/>
          <w:color w:val="auto"/>
          <w:highlight w:val="none"/>
          <w:lang w:val="en-US"/>
        </w:rPr>
        <w:t>http://jinrong.zcygov.cn，</w:t>
      </w:r>
      <w:r>
        <w:rPr>
          <w:rFonts w:hint="eastAsia" w:ascii="宋体" w:hAnsi="宋体" w:cs="宋体"/>
          <w:color w:val="auto"/>
          <w:highlight w:val="none"/>
          <w:lang w:val="zh-CN"/>
        </w:rPr>
        <w:t>查看信用融资政策文件及各相关银行服务方案</w:t>
      </w:r>
      <w:r>
        <w:rPr>
          <w:rFonts w:hint="eastAsia" w:ascii="宋体" w:hAnsi="宋体" w:cs="宋体"/>
          <w:color w:val="auto"/>
          <w:highlight w:val="none"/>
          <w:lang w:val="en-US"/>
        </w:rPr>
        <w:t>，</w:t>
      </w:r>
      <w:r>
        <w:rPr>
          <w:rFonts w:hint="eastAsia" w:ascii="宋体" w:hAnsi="宋体" w:cs="宋体"/>
          <w:color w:val="auto"/>
          <w:highlight w:val="none"/>
          <w:lang w:val="zh-CN"/>
        </w:rPr>
        <w:t>也可直接向各银行咨询相关业务。</w:t>
      </w:r>
    </w:p>
    <w:p>
      <w:pPr>
        <w:keepNext w:val="0"/>
        <w:keepLines w:val="0"/>
        <w:pageBreakBefore w:val="0"/>
        <w:widowControl/>
        <w:kinsoku/>
        <w:wordWrap/>
        <w:overflowPunct/>
        <w:topLinePunct w:val="0"/>
        <w:autoSpaceDE/>
        <w:autoSpaceDN/>
        <w:bidi w:val="0"/>
        <w:adjustRightInd/>
        <w:snapToGrid/>
        <w:spacing w:before="60" w:after="60" w:line="320" w:lineRule="exact"/>
        <w:ind w:left="60" w:right="60"/>
        <w:jc w:val="left"/>
        <w:textAlignment w:val="auto"/>
        <w:rPr>
          <w:rFonts w:ascii="宋体" w:hAnsi="宋体" w:cs="宋体"/>
          <w:color w:val="auto"/>
          <w:kern w:val="0"/>
          <w:sz w:val="22"/>
          <w:szCs w:val="22"/>
          <w:highlight w:val="none"/>
        </w:rPr>
      </w:pPr>
      <w:r>
        <w:rPr>
          <w:rFonts w:hint="eastAsia" w:ascii="宋体" w:hAnsi="宋体" w:cs="宋体"/>
          <w:b/>
          <w:color w:val="auto"/>
          <w:kern w:val="0"/>
          <w:sz w:val="22"/>
          <w:szCs w:val="22"/>
          <w:highlight w:val="none"/>
          <w:lang w:val="en-US" w:eastAsia="zh-CN"/>
        </w:rPr>
        <w:t>七</w:t>
      </w:r>
      <w:r>
        <w:rPr>
          <w:rFonts w:hint="eastAsia" w:ascii="宋体" w:hAnsi="宋体" w:cs="宋体"/>
          <w:b/>
          <w:color w:val="auto"/>
          <w:kern w:val="0"/>
          <w:sz w:val="22"/>
          <w:szCs w:val="22"/>
          <w:highlight w:val="none"/>
        </w:rPr>
        <w:t>、</w:t>
      </w:r>
      <w:r>
        <w:rPr>
          <w:rFonts w:ascii="宋体" w:hAnsi="宋体" w:cs="宋体"/>
          <w:b/>
          <w:bCs/>
          <w:color w:val="auto"/>
          <w:kern w:val="0"/>
          <w:sz w:val="22"/>
          <w:szCs w:val="22"/>
          <w:highlight w:val="none"/>
        </w:rPr>
        <w:t>对本次招标提出询问、质疑、投诉，请按以下方式联系</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招标人</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eastAsia="zh-CN"/>
        </w:rPr>
        <w:t>温州肯恩大学</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地址：温州市瓯海区丽岙街道大学路88号 </w:t>
      </w:r>
      <w:bookmarkStart w:id="242" w:name="_GoBack"/>
      <w:bookmarkEnd w:id="242"/>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rPr>
        <w:t>联系人：</w:t>
      </w:r>
      <w:r>
        <w:rPr>
          <w:rFonts w:hint="eastAsia" w:ascii="宋体" w:hAnsi="宋体" w:cs="宋体"/>
          <w:color w:val="auto"/>
          <w:kern w:val="0"/>
          <w:sz w:val="22"/>
          <w:szCs w:val="22"/>
          <w:highlight w:val="none"/>
          <w:lang w:val="en-US" w:eastAsia="zh-CN"/>
        </w:rPr>
        <w:t>杨老师</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电话 / 传真：0577-</w:t>
      </w:r>
      <w:r>
        <w:rPr>
          <w:rFonts w:hint="eastAsia" w:ascii="宋体" w:hAnsi="宋体" w:cs="宋体"/>
          <w:color w:val="auto"/>
          <w:kern w:val="0"/>
          <w:sz w:val="22"/>
          <w:szCs w:val="22"/>
          <w:highlight w:val="none"/>
          <w:lang w:val="en-US" w:eastAsia="zh-CN"/>
        </w:rPr>
        <w:t>88570564</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质疑联系人：</w:t>
      </w:r>
      <w:r>
        <w:rPr>
          <w:rFonts w:hint="eastAsia" w:ascii="宋体" w:hAnsi="宋体" w:cs="宋体"/>
          <w:color w:val="auto"/>
          <w:kern w:val="0"/>
          <w:sz w:val="22"/>
          <w:szCs w:val="22"/>
          <w:highlight w:val="none"/>
          <w:lang w:val="en-US" w:eastAsia="zh-CN"/>
        </w:rPr>
        <w:t>刘老师</w:t>
      </w:r>
      <w:r>
        <w:rPr>
          <w:rFonts w:hint="eastAsia" w:ascii="宋体" w:hAnsi="宋体" w:eastAsia="宋体" w:cs="宋体"/>
          <w:color w:val="auto"/>
          <w:kern w:val="0"/>
          <w:sz w:val="22"/>
          <w:szCs w:val="22"/>
          <w:highlight w:val="none"/>
        </w:rPr>
        <w:t>  </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质疑联系方式：0577-55870553 </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招标代理机构：温州元信工程项目管理有限公司</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地址：</w:t>
      </w:r>
      <w:r>
        <w:rPr>
          <w:rFonts w:hint="eastAsia" w:ascii="宋体" w:hAnsi="宋体" w:eastAsia="宋体" w:cs="宋体"/>
          <w:color w:val="auto"/>
          <w:kern w:val="0"/>
          <w:sz w:val="22"/>
          <w:szCs w:val="22"/>
          <w:highlight w:val="none"/>
          <w:lang w:eastAsia="zh-CN"/>
        </w:rPr>
        <w:t>温州市瓯海区新桥街道牛山广场3号楼1905室</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联系人：吴先生</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联系电话：0577-88557963、15158572233</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传真：0577-88557963</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质疑联系人：胡先生 </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同级政府采购监管部门：温州市财政局政府采购监管处  </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地址：温州市鹿城区绣山路299号 </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联系人：项先生、蔡女士 </w:t>
      </w:r>
    </w:p>
    <w:p>
      <w:pPr>
        <w:keepNext w:val="0"/>
        <w:keepLines w:val="0"/>
        <w:pageBreakBefore w:val="0"/>
        <w:widowControl/>
        <w:kinsoku/>
        <w:wordWrap/>
        <w:overflowPunct/>
        <w:topLinePunct w:val="0"/>
        <w:autoSpaceDE/>
        <w:autoSpaceDN/>
        <w:bidi w:val="0"/>
        <w:adjustRightInd/>
        <w:snapToGrid/>
        <w:spacing w:before="60" w:after="60" w:line="320" w:lineRule="exact"/>
        <w:ind w:right="60" w:firstLine="44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联系电话：0577-88532725、88521948  </w:t>
      </w:r>
    </w:p>
    <w:p>
      <w:pPr>
        <w:pStyle w:val="3"/>
        <w:rPr>
          <w:rFonts w:hint="eastAsia"/>
          <w:color w:val="auto"/>
          <w:highlight w:val="none"/>
        </w:rPr>
      </w:pPr>
    </w:p>
    <w:p>
      <w:pPr>
        <w:pStyle w:val="3"/>
        <w:rPr>
          <w:rFonts w:hint="eastAsia"/>
          <w:color w:val="auto"/>
          <w:highlight w:val="none"/>
        </w:rPr>
      </w:pPr>
    </w:p>
    <w:p>
      <w:pPr>
        <w:pStyle w:val="6"/>
        <w:rPr>
          <w:rFonts w:ascii="宋体" w:hAnsi="宋体" w:eastAsia="宋体" w:cs="Arial"/>
          <w:color w:val="auto"/>
          <w:sz w:val="36"/>
          <w:szCs w:val="36"/>
          <w:highlight w:val="none"/>
        </w:rPr>
      </w:pPr>
      <w:r>
        <w:rPr>
          <w:rFonts w:ascii="宋体" w:hAnsi="宋体" w:eastAsia="宋体" w:cs="Arial"/>
          <w:b w:val="0"/>
          <w:bCs w:val="0"/>
          <w:color w:val="auto"/>
          <w:sz w:val="36"/>
          <w:szCs w:val="36"/>
          <w:highlight w:val="none"/>
        </w:rPr>
        <w:br w:type="page"/>
      </w:r>
      <w:bookmarkStart w:id="26" w:name="_Toc222114875"/>
      <w:bookmarkStart w:id="27" w:name="_Toc245722277"/>
      <w:bookmarkStart w:id="28" w:name="_Toc246261261"/>
      <w:bookmarkStart w:id="29" w:name="_Toc221356882"/>
      <w:bookmarkStart w:id="30" w:name="_Toc221374622"/>
      <w:bookmarkStart w:id="31" w:name="_Toc221356947"/>
      <w:bookmarkStart w:id="32" w:name="_Toc239145350"/>
      <w:bookmarkStart w:id="33" w:name="_Toc249758860"/>
      <w:bookmarkStart w:id="34" w:name="_Toc249758708"/>
      <w:bookmarkStart w:id="35" w:name="_Toc223715994"/>
      <w:bookmarkStart w:id="36" w:name="_Toc1202"/>
      <w:bookmarkStart w:id="37" w:name="_Toc245191310"/>
      <w:bookmarkStart w:id="38" w:name="_Toc262049414"/>
      <w:bookmarkStart w:id="39" w:name="_Toc262105499"/>
      <w:bookmarkStart w:id="40" w:name="_Toc241404198"/>
      <w:bookmarkStart w:id="41" w:name="_Toc221423615"/>
      <w:bookmarkStart w:id="42" w:name="_Toc27051"/>
      <w:bookmarkStart w:id="43" w:name="_Toc22767"/>
      <w:r>
        <w:rPr>
          <w:rFonts w:hint="eastAsia" w:ascii="宋体" w:hAnsi="宋体" w:eastAsia="宋体" w:cs="Arial"/>
          <w:color w:val="auto"/>
          <w:sz w:val="36"/>
          <w:szCs w:val="36"/>
          <w:highlight w:val="none"/>
        </w:rPr>
        <w:t>第一部分    投标人须知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6"/>
        <w:spacing w:before="120" w:after="120"/>
        <w:rPr>
          <w:rFonts w:hint="eastAsia" w:ascii="宋体" w:hAnsi="宋体" w:eastAsia="宋体" w:cs="Times New Roman"/>
          <w:b/>
          <w:bCs/>
          <w:color w:val="auto"/>
          <w:kern w:val="2"/>
          <w:sz w:val="26"/>
          <w:szCs w:val="26"/>
          <w:highlight w:val="none"/>
          <w:lang w:val="en-US" w:eastAsia="zh-CN" w:bidi="ar-SA"/>
        </w:rPr>
      </w:pPr>
    </w:p>
    <w:p>
      <w:pPr>
        <w:pStyle w:val="6"/>
        <w:spacing w:before="120" w:after="120"/>
        <w:rPr>
          <w:rFonts w:hint="eastAsia" w:ascii="宋体" w:hAnsi="宋体" w:eastAsia="宋体" w:cs="Times New Roman"/>
          <w:b/>
          <w:bCs/>
          <w:color w:val="auto"/>
          <w:kern w:val="2"/>
          <w:sz w:val="26"/>
          <w:szCs w:val="26"/>
          <w:highlight w:val="none"/>
          <w:lang w:val="en-US" w:eastAsia="zh-CN" w:bidi="ar-SA"/>
        </w:rPr>
      </w:pPr>
      <w:bookmarkStart w:id="44" w:name="_Toc26439"/>
      <w:r>
        <w:rPr>
          <w:rFonts w:hint="eastAsia" w:ascii="宋体" w:hAnsi="宋体" w:eastAsia="宋体" w:cs="Times New Roman"/>
          <w:b/>
          <w:bCs/>
          <w:color w:val="auto"/>
          <w:kern w:val="2"/>
          <w:sz w:val="26"/>
          <w:szCs w:val="26"/>
          <w:highlight w:val="none"/>
          <w:lang w:val="en-US" w:eastAsia="zh-CN" w:bidi="ar-SA"/>
        </w:rPr>
        <w:t>一、须知前附表</w:t>
      </w:r>
      <w:bookmarkEnd w:id="42"/>
      <w:bookmarkEnd w:id="43"/>
      <w:bookmarkEnd w:id="44"/>
    </w:p>
    <w:tbl>
      <w:tblPr>
        <w:tblStyle w:val="62"/>
        <w:tblW w:w="4988" w:type="pct"/>
        <w:tblInd w:w="0" w:type="dxa"/>
        <w:tblLayout w:type="autofit"/>
        <w:tblCellMar>
          <w:top w:w="0" w:type="dxa"/>
          <w:left w:w="108" w:type="dxa"/>
          <w:bottom w:w="0" w:type="dxa"/>
          <w:right w:w="108" w:type="dxa"/>
        </w:tblCellMar>
      </w:tblPr>
      <w:tblGrid>
        <w:gridCol w:w="1033"/>
        <w:gridCol w:w="1465"/>
        <w:gridCol w:w="7332"/>
      </w:tblGrid>
      <w:tr>
        <w:tblPrEx>
          <w:tblCellMar>
            <w:top w:w="0" w:type="dxa"/>
            <w:left w:w="108" w:type="dxa"/>
            <w:bottom w:w="0" w:type="dxa"/>
            <w:right w:w="108" w:type="dxa"/>
          </w:tblCellMar>
        </w:tblPrEx>
        <w:trPr>
          <w:trHeight w:val="5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序号</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条款名称</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编列内容</w:t>
            </w:r>
          </w:p>
        </w:tc>
      </w:tr>
      <w:tr>
        <w:tblPrEx>
          <w:tblCellMar>
            <w:top w:w="0" w:type="dxa"/>
            <w:left w:w="108" w:type="dxa"/>
            <w:bottom w:w="0" w:type="dxa"/>
            <w:right w:w="108" w:type="dxa"/>
          </w:tblCellMar>
        </w:tblPrEx>
        <w:trPr>
          <w:trHeight w:val="9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招标人</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kinsoku/>
              <w:wordWrap/>
              <w:topLinePunct w:val="0"/>
              <w:bidi w:val="0"/>
              <w:snapToGrid/>
              <w:spacing w:before="60" w:after="60" w:line="360" w:lineRule="exact"/>
              <w:ind w:right="6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招标人</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eastAsia="zh-CN"/>
              </w:rPr>
              <w:t>温州肯恩大学</w:t>
            </w:r>
          </w:p>
          <w:p>
            <w:pPr>
              <w:keepNext w:val="0"/>
              <w:keepLines w:val="0"/>
              <w:pageBreakBefore w:val="0"/>
              <w:widowControl/>
              <w:kinsoku/>
              <w:wordWrap/>
              <w:topLinePunct w:val="0"/>
              <w:bidi w:val="0"/>
              <w:snapToGrid/>
              <w:spacing w:before="60" w:after="60" w:line="360" w:lineRule="exact"/>
              <w:ind w:right="6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联系人：杨老师</w:t>
            </w:r>
          </w:p>
          <w:p>
            <w:pPr>
              <w:keepNext w:val="0"/>
              <w:keepLines w:val="0"/>
              <w:pageBreakBefore w:val="0"/>
              <w:widowControl/>
              <w:kinsoku/>
              <w:wordWrap/>
              <w:topLinePunct w:val="0"/>
              <w:bidi w:val="0"/>
              <w:snapToGrid/>
              <w:spacing w:before="60" w:after="60" w:line="360" w:lineRule="exact"/>
              <w:ind w:right="6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电话 / 传真：0577-</w:t>
            </w:r>
            <w:r>
              <w:rPr>
                <w:rFonts w:hint="eastAsia" w:ascii="宋体" w:hAnsi="宋体" w:cs="宋体"/>
                <w:color w:val="auto"/>
                <w:kern w:val="0"/>
                <w:sz w:val="22"/>
                <w:szCs w:val="22"/>
                <w:highlight w:val="none"/>
                <w:lang w:val="en-US" w:eastAsia="zh-CN"/>
              </w:rPr>
              <w:t>88570564</w:t>
            </w:r>
          </w:p>
        </w:tc>
      </w:tr>
      <w:tr>
        <w:tblPrEx>
          <w:tblCellMar>
            <w:top w:w="0" w:type="dxa"/>
            <w:left w:w="108" w:type="dxa"/>
            <w:bottom w:w="0" w:type="dxa"/>
            <w:right w:w="108" w:type="dxa"/>
          </w:tblCellMar>
        </w:tblPrEx>
        <w:trPr>
          <w:trHeight w:val="9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采购代理机构</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采购代理机构名称：温州元信工程项目管理有限公司</w:t>
            </w:r>
          </w:p>
          <w:p>
            <w:pPr>
              <w:keepNext w:val="0"/>
              <w:keepLines w:val="0"/>
              <w:pageBreakBefore w:val="0"/>
              <w:kinsoku/>
              <w:wordWrap/>
              <w:topLinePunct w:val="0"/>
              <w:bidi w:val="0"/>
              <w:snapToGrid/>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地 址：温州市瓯海区新桥街道牛山广场3号楼1905室。</w:t>
            </w:r>
          </w:p>
          <w:p>
            <w:pPr>
              <w:keepNext w:val="0"/>
              <w:keepLines w:val="0"/>
              <w:pageBreakBefore w:val="0"/>
              <w:kinsoku/>
              <w:wordWrap/>
              <w:topLinePunct w:val="0"/>
              <w:bidi w:val="0"/>
              <w:snapToGrid/>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联系人：吴先生  </w:t>
            </w:r>
          </w:p>
          <w:p>
            <w:pPr>
              <w:keepNext w:val="0"/>
              <w:keepLines w:val="0"/>
              <w:pageBreakBefore w:val="0"/>
              <w:kinsoku/>
              <w:wordWrap/>
              <w:topLinePunct w:val="0"/>
              <w:bidi w:val="0"/>
              <w:snapToGrid/>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联系电话：0577-88557963、15158572233</w:t>
            </w:r>
          </w:p>
        </w:tc>
      </w:tr>
      <w:tr>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采购名称</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bCs/>
                <w:color w:val="auto"/>
                <w:kern w:val="0"/>
                <w:sz w:val="22"/>
                <w:szCs w:val="22"/>
                <w:highlight w:val="none"/>
                <w:lang w:eastAsia="zh-CN"/>
              </w:rPr>
              <w:t>温州肯恩大学留学生楼家具采购</w:t>
            </w:r>
          </w:p>
          <w:p>
            <w:pPr>
              <w:keepNext w:val="0"/>
              <w:keepLines w:val="0"/>
              <w:pageBreakBefore w:val="0"/>
              <w:kinsoku/>
              <w:wordWrap/>
              <w:topLinePunct w:val="0"/>
              <w:bidi w:val="0"/>
              <w:snapToGrid/>
              <w:spacing w:line="3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t>
            </w:r>
            <w:r>
              <w:rPr>
                <w:rFonts w:hint="eastAsia" w:ascii="宋体" w:hAnsi="宋体" w:cs="宋体"/>
                <w:bCs/>
                <w:color w:val="auto"/>
                <w:kern w:val="0"/>
                <w:sz w:val="22"/>
                <w:szCs w:val="22"/>
                <w:highlight w:val="none"/>
                <w:lang w:eastAsia="zh-CN"/>
              </w:rPr>
              <w:t>WZYX-W2023011102</w:t>
            </w:r>
          </w:p>
        </w:tc>
      </w:tr>
      <w:tr>
        <w:tblPrEx>
          <w:tblCellMar>
            <w:top w:w="0" w:type="dxa"/>
            <w:left w:w="108" w:type="dxa"/>
            <w:bottom w:w="0" w:type="dxa"/>
            <w:right w:w="108" w:type="dxa"/>
          </w:tblCellMar>
        </w:tblPrEx>
        <w:trPr>
          <w:trHeight w:val="9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采购内容</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ind w:right="-34"/>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具体内容及要求见</w:t>
            </w:r>
            <w:r>
              <w:rPr>
                <w:rFonts w:hint="eastAsia" w:ascii="宋体" w:hAnsi="宋体" w:cs="宋体"/>
                <w:color w:val="auto"/>
                <w:kern w:val="0"/>
                <w:sz w:val="22"/>
                <w:szCs w:val="22"/>
                <w:highlight w:val="none"/>
              </w:rPr>
              <w:t>招标</w:t>
            </w:r>
            <w:r>
              <w:rPr>
                <w:rFonts w:hint="eastAsia" w:ascii="宋体" w:hAnsi="宋体" w:cs="宋体"/>
                <w:color w:val="auto"/>
                <w:kern w:val="0"/>
                <w:sz w:val="22"/>
                <w:szCs w:val="22"/>
                <w:highlight w:val="none"/>
                <w:lang w:val="zh-CN"/>
              </w:rPr>
              <w:t>文件。</w:t>
            </w:r>
          </w:p>
        </w:tc>
      </w:tr>
      <w:tr>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ascii="宋体" w:hAnsi="宋体" w:cs="宋体"/>
                <w:color w:val="auto"/>
                <w:kern w:val="0"/>
                <w:sz w:val="22"/>
                <w:szCs w:val="22"/>
                <w:highlight w:val="none"/>
                <w:lang w:val="zh-CN"/>
              </w:rPr>
            </w:pPr>
            <w:r>
              <w:rPr>
                <w:rFonts w:hint="eastAsia" w:ascii="宋体" w:hAnsi="宋体" w:cs="宋体"/>
                <w:b/>
                <w:color w:val="auto"/>
                <w:kern w:val="0"/>
                <w:sz w:val="22"/>
                <w:szCs w:val="22"/>
                <w:highlight w:val="none"/>
              </w:rPr>
              <w:t>核心产品</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采用最低评标价法的采购项目，提供相同品牌产品的不同</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参加同一合同项下投标的，以其中通过资格审查、符合性审查且报价最低的参加评标；报价相同的，由</w:t>
            </w:r>
            <w:r>
              <w:rPr>
                <w:rFonts w:hint="eastAsia" w:ascii="宋体" w:hAnsi="宋体" w:cs="宋体"/>
                <w:color w:val="auto"/>
                <w:kern w:val="0"/>
                <w:sz w:val="22"/>
                <w:szCs w:val="22"/>
                <w:highlight w:val="none"/>
                <w:lang w:eastAsia="zh-CN"/>
              </w:rPr>
              <w:t>招标人</w:t>
            </w:r>
            <w:r>
              <w:rPr>
                <w:rFonts w:hint="eastAsia" w:ascii="宋体" w:hAnsi="宋体" w:cs="宋体"/>
                <w:color w:val="auto"/>
                <w:kern w:val="0"/>
                <w:sz w:val="22"/>
                <w:szCs w:val="22"/>
                <w:highlight w:val="none"/>
              </w:rPr>
              <w:t>或者</w:t>
            </w:r>
            <w:r>
              <w:rPr>
                <w:rFonts w:hint="eastAsia" w:ascii="宋体" w:hAnsi="宋体" w:cs="宋体"/>
                <w:color w:val="auto"/>
                <w:kern w:val="0"/>
                <w:sz w:val="22"/>
                <w:szCs w:val="22"/>
                <w:highlight w:val="none"/>
                <w:lang w:eastAsia="zh-CN"/>
              </w:rPr>
              <w:t>招标人</w:t>
            </w:r>
            <w:r>
              <w:rPr>
                <w:rFonts w:hint="eastAsia" w:ascii="宋体" w:hAnsi="宋体" w:cs="宋体"/>
                <w:color w:val="auto"/>
                <w:kern w:val="0"/>
                <w:sz w:val="22"/>
                <w:szCs w:val="22"/>
                <w:highlight w:val="none"/>
              </w:rPr>
              <w:t>委托</w:t>
            </w:r>
            <w:r>
              <w:rPr>
                <w:rFonts w:hint="eastAsia" w:ascii="宋体" w:hAnsi="宋体" w:cs="宋体"/>
                <w:color w:val="auto"/>
                <w:kern w:val="0"/>
                <w:sz w:val="22"/>
                <w:szCs w:val="22"/>
                <w:highlight w:val="none"/>
                <w:lang w:eastAsia="zh-CN"/>
              </w:rPr>
              <w:t>评标委员会</w:t>
            </w:r>
            <w:r>
              <w:rPr>
                <w:rFonts w:hint="eastAsia" w:ascii="宋体" w:hAnsi="宋体" w:cs="宋体"/>
                <w:color w:val="auto"/>
                <w:kern w:val="0"/>
                <w:sz w:val="22"/>
                <w:szCs w:val="22"/>
                <w:highlight w:val="none"/>
              </w:rPr>
              <w:t>按照</w:t>
            </w:r>
            <w:r>
              <w:rPr>
                <w:rFonts w:hint="eastAsia" w:ascii="宋体" w:hAnsi="宋体" w:cs="宋体"/>
                <w:color w:val="auto"/>
                <w:kern w:val="0"/>
                <w:sz w:val="22"/>
                <w:szCs w:val="22"/>
                <w:highlight w:val="none"/>
                <w:lang w:eastAsia="zh-CN"/>
              </w:rPr>
              <w:t>招标文件</w:t>
            </w:r>
            <w:r>
              <w:rPr>
                <w:rFonts w:hint="eastAsia" w:ascii="宋体" w:hAnsi="宋体" w:cs="宋体"/>
                <w:color w:val="auto"/>
                <w:kern w:val="0"/>
                <w:sz w:val="22"/>
                <w:szCs w:val="22"/>
                <w:highlight w:val="none"/>
              </w:rPr>
              <w:t>规定的方式确定一个参加评标的</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eastAsia="zh-CN"/>
              </w:rPr>
              <w:t>招标文件</w:t>
            </w:r>
            <w:r>
              <w:rPr>
                <w:rFonts w:hint="eastAsia" w:ascii="宋体" w:hAnsi="宋体" w:cs="宋体"/>
                <w:color w:val="auto"/>
                <w:kern w:val="0"/>
                <w:sz w:val="22"/>
                <w:szCs w:val="22"/>
                <w:highlight w:val="none"/>
              </w:rPr>
              <w:t>未规定的采取随机抽取方式确定，其他投标无效。</w:t>
            </w:r>
          </w:p>
          <w:p>
            <w:pPr>
              <w:keepNext w:val="0"/>
              <w:keepLines w:val="0"/>
              <w:pageBreakBefore w:val="0"/>
              <w:kinsoku/>
              <w:wordWrap/>
              <w:topLinePunct w:val="0"/>
              <w:bidi w:val="0"/>
              <w:snapToGrid/>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使用综合评分法的采购项目，提供相同品牌产品且通过资格审查、符合性审查的不同</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参加同一合同项下投标的，按一家</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计算，评审后得分最高的同品牌</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获得</w:t>
            </w:r>
            <w:r>
              <w:rPr>
                <w:rFonts w:hint="eastAsia" w:ascii="宋体" w:hAnsi="宋体" w:cs="宋体"/>
                <w:color w:val="auto"/>
                <w:kern w:val="0"/>
                <w:sz w:val="22"/>
                <w:szCs w:val="22"/>
                <w:highlight w:val="none"/>
                <w:lang w:eastAsia="zh-CN"/>
              </w:rPr>
              <w:t>成交投标人</w:t>
            </w:r>
            <w:r>
              <w:rPr>
                <w:rFonts w:hint="eastAsia" w:ascii="宋体" w:hAnsi="宋体" w:cs="宋体"/>
                <w:color w:val="auto"/>
                <w:kern w:val="0"/>
                <w:sz w:val="22"/>
                <w:szCs w:val="22"/>
                <w:highlight w:val="none"/>
              </w:rPr>
              <w:t>推荐资格；评审得分相同的，由</w:t>
            </w:r>
            <w:r>
              <w:rPr>
                <w:rFonts w:hint="eastAsia" w:ascii="宋体" w:hAnsi="宋体" w:cs="宋体"/>
                <w:color w:val="auto"/>
                <w:kern w:val="0"/>
                <w:sz w:val="22"/>
                <w:szCs w:val="22"/>
                <w:highlight w:val="none"/>
                <w:lang w:eastAsia="zh-CN"/>
              </w:rPr>
              <w:t>招标人</w:t>
            </w:r>
            <w:r>
              <w:rPr>
                <w:rFonts w:hint="eastAsia" w:ascii="宋体" w:hAnsi="宋体" w:cs="宋体"/>
                <w:color w:val="auto"/>
                <w:kern w:val="0"/>
                <w:sz w:val="22"/>
                <w:szCs w:val="22"/>
                <w:highlight w:val="none"/>
              </w:rPr>
              <w:t>或者</w:t>
            </w:r>
            <w:r>
              <w:rPr>
                <w:rFonts w:hint="eastAsia" w:ascii="宋体" w:hAnsi="宋体" w:cs="宋体"/>
                <w:color w:val="auto"/>
                <w:kern w:val="0"/>
                <w:sz w:val="22"/>
                <w:szCs w:val="22"/>
                <w:highlight w:val="none"/>
                <w:lang w:eastAsia="zh-CN"/>
              </w:rPr>
              <w:t>招标人</w:t>
            </w:r>
            <w:r>
              <w:rPr>
                <w:rFonts w:hint="eastAsia" w:ascii="宋体" w:hAnsi="宋体" w:cs="宋体"/>
                <w:color w:val="auto"/>
                <w:kern w:val="0"/>
                <w:sz w:val="22"/>
                <w:szCs w:val="22"/>
                <w:highlight w:val="none"/>
              </w:rPr>
              <w:t>委托</w:t>
            </w:r>
            <w:r>
              <w:rPr>
                <w:rFonts w:hint="eastAsia" w:ascii="宋体" w:hAnsi="宋体" w:cs="宋体"/>
                <w:color w:val="auto"/>
                <w:kern w:val="0"/>
                <w:sz w:val="22"/>
                <w:szCs w:val="22"/>
                <w:highlight w:val="none"/>
                <w:lang w:eastAsia="zh-CN"/>
              </w:rPr>
              <w:t>评标委员会</w:t>
            </w:r>
            <w:r>
              <w:rPr>
                <w:rFonts w:hint="eastAsia" w:ascii="宋体" w:hAnsi="宋体" w:cs="宋体"/>
                <w:color w:val="auto"/>
                <w:kern w:val="0"/>
                <w:sz w:val="22"/>
                <w:szCs w:val="22"/>
                <w:highlight w:val="none"/>
              </w:rPr>
              <w:t>按照</w:t>
            </w:r>
            <w:r>
              <w:rPr>
                <w:rFonts w:hint="eastAsia" w:ascii="宋体" w:hAnsi="宋体" w:cs="宋体"/>
                <w:color w:val="auto"/>
                <w:kern w:val="0"/>
                <w:sz w:val="22"/>
                <w:szCs w:val="22"/>
                <w:highlight w:val="none"/>
                <w:lang w:eastAsia="zh-CN"/>
              </w:rPr>
              <w:t>招标文件</w:t>
            </w:r>
            <w:r>
              <w:rPr>
                <w:rFonts w:hint="eastAsia" w:ascii="宋体" w:hAnsi="宋体" w:cs="宋体"/>
                <w:color w:val="auto"/>
                <w:kern w:val="0"/>
                <w:sz w:val="22"/>
                <w:szCs w:val="22"/>
                <w:highlight w:val="none"/>
              </w:rPr>
              <w:t>规定的方式确定一个</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获得</w:t>
            </w:r>
            <w:r>
              <w:rPr>
                <w:rFonts w:hint="eastAsia" w:ascii="宋体" w:hAnsi="宋体" w:cs="宋体"/>
                <w:color w:val="auto"/>
                <w:kern w:val="0"/>
                <w:sz w:val="22"/>
                <w:szCs w:val="22"/>
                <w:highlight w:val="none"/>
                <w:lang w:eastAsia="zh-CN"/>
              </w:rPr>
              <w:t>成交投标人</w:t>
            </w:r>
            <w:r>
              <w:rPr>
                <w:rFonts w:hint="eastAsia" w:ascii="宋体" w:hAnsi="宋体" w:cs="宋体"/>
                <w:color w:val="auto"/>
                <w:kern w:val="0"/>
                <w:sz w:val="22"/>
                <w:szCs w:val="22"/>
                <w:highlight w:val="none"/>
              </w:rPr>
              <w:t>推荐资格，</w:t>
            </w:r>
            <w:r>
              <w:rPr>
                <w:rFonts w:hint="eastAsia" w:ascii="宋体" w:hAnsi="宋体" w:cs="宋体"/>
                <w:color w:val="auto"/>
                <w:kern w:val="0"/>
                <w:sz w:val="22"/>
                <w:szCs w:val="22"/>
                <w:highlight w:val="none"/>
                <w:lang w:eastAsia="zh-CN"/>
              </w:rPr>
              <w:t>招标文件</w:t>
            </w:r>
            <w:r>
              <w:rPr>
                <w:rFonts w:hint="eastAsia" w:ascii="宋体" w:hAnsi="宋体" w:cs="宋体"/>
                <w:color w:val="auto"/>
                <w:kern w:val="0"/>
                <w:sz w:val="22"/>
                <w:szCs w:val="22"/>
                <w:highlight w:val="none"/>
              </w:rPr>
              <w:t>未规定的采取随机抽取方式确定，其他同品牌</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不作为</w:t>
            </w:r>
            <w:r>
              <w:rPr>
                <w:rFonts w:hint="eastAsia" w:ascii="宋体" w:hAnsi="宋体" w:cs="宋体"/>
                <w:color w:val="auto"/>
                <w:kern w:val="0"/>
                <w:sz w:val="22"/>
                <w:szCs w:val="22"/>
                <w:highlight w:val="none"/>
                <w:lang w:eastAsia="zh-CN"/>
              </w:rPr>
              <w:t>成交候选投标人</w:t>
            </w:r>
            <w:r>
              <w:rPr>
                <w:rFonts w:hint="eastAsia" w:ascii="宋体" w:hAnsi="宋体" w:cs="宋体"/>
                <w:color w:val="auto"/>
                <w:kern w:val="0"/>
                <w:sz w:val="22"/>
                <w:szCs w:val="22"/>
                <w:highlight w:val="none"/>
              </w:rPr>
              <w:t>。</w:t>
            </w:r>
          </w:p>
          <w:p>
            <w:pPr>
              <w:keepNext w:val="0"/>
              <w:keepLines w:val="0"/>
              <w:pageBreakBefore w:val="0"/>
              <w:kinsoku/>
              <w:wordWrap/>
              <w:topLinePunct w:val="0"/>
              <w:bidi w:val="0"/>
              <w:snapToGrid/>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非单一产品采购项目，</w:t>
            </w:r>
            <w:r>
              <w:rPr>
                <w:rFonts w:hint="eastAsia" w:ascii="宋体" w:hAnsi="宋体" w:cs="宋体"/>
                <w:color w:val="auto"/>
                <w:kern w:val="0"/>
                <w:sz w:val="22"/>
                <w:szCs w:val="22"/>
                <w:highlight w:val="none"/>
                <w:lang w:eastAsia="zh-CN"/>
              </w:rPr>
              <w:t>招标人</w:t>
            </w:r>
            <w:r>
              <w:rPr>
                <w:rFonts w:hint="eastAsia" w:ascii="宋体" w:hAnsi="宋体" w:cs="宋体"/>
                <w:color w:val="auto"/>
                <w:kern w:val="0"/>
                <w:sz w:val="22"/>
                <w:szCs w:val="22"/>
                <w:highlight w:val="none"/>
              </w:rPr>
              <w:t>应当根据采购项目技术构成、产品价格比重等合理确定核心产品，并在</w:t>
            </w:r>
            <w:r>
              <w:rPr>
                <w:rFonts w:hint="eastAsia" w:ascii="宋体" w:hAnsi="宋体" w:cs="宋体"/>
                <w:color w:val="auto"/>
                <w:kern w:val="0"/>
                <w:sz w:val="22"/>
                <w:szCs w:val="22"/>
                <w:highlight w:val="none"/>
                <w:lang w:eastAsia="zh-CN"/>
              </w:rPr>
              <w:t>招标文件</w:t>
            </w:r>
            <w:r>
              <w:rPr>
                <w:rFonts w:hint="eastAsia" w:ascii="宋体" w:hAnsi="宋体" w:cs="宋体"/>
                <w:color w:val="auto"/>
                <w:kern w:val="0"/>
                <w:sz w:val="22"/>
                <w:szCs w:val="22"/>
                <w:highlight w:val="none"/>
              </w:rPr>
              <w:t>中载明。多家</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提供的核心产品品牌相同的，按前两款规定处理。</w:t>
            </w:r>
          </w:p>
          <w:p>
            <w:pPr>
              <w:keepNext w:val="0"/>
              <w:keepLines w:val="0"/>
              <w:pageBreakBefore w:val="0"/>
              <w:kinsoku/>
              <w:wordWrap/>
              <w:topLinePunct w:val="0"/>
              <w:bidi w:val="0"/>
              <w:snapToGrid/>
              <w:spacing w:line="360" w:lineRule="exact"/>
              <w:rPr>
                <w:rFonts w:hint="eastAsia" w:ascii="宋体" w:hAnsi="宋体" w:eastAsia="宋体" w:cs="宋体"/>
                <w:color w:val="auto"/>
                <w:kern w:val="0"/>
                <w:sz w:val="22"/>
                <w:szCs w:val="22"/>
                <w:highlight w:val="none"/>
                <w:lang w:val="zh-CN" w:eastAsia="zh-CN"/>
              </w:rPr>
            </w:pPr>
            <w:r>
              <w:rPr>
                <w:rFonts w:hint="eastAsia" w:ascii="宋体" w:hAnsi="宋体" w:cs="宋体"/>
                <w:b/>
                <w:color w:val="auto"/>
                <w:kern w:val="0"/>
                <w:sz w:val="22"/>
                <w:szCs w:val="22"/>
                <w:highlight w:val="none"/>
              </w:rPr>
              <w:t>本项目为货物类采购核心产品</w:t>
            </w:r>
            <w:r>
              <w:rPr>
                <w:rFonts w:hint="eastAsia" w:ascii="宋体" w:hAnsi="宋体" w:eastAsia="宋体" w:cs="宋体"/>
                <w:b/>
                <w:color w:val="auto"/>
                <w:kern w:val="0"/>
                <w:sz w:val="22"/>
                <w:szCs w:val="22"/>
                <w:highlight w:val="none"/>
              </w:rPr>
              <w:t>为：</w:t>
            </w:r>
            <w:r>
              <w:rPr>
                <w:rFonts w:hint="eastAsia" w:ascii="宋体" w:hAnsi="宋体" w:cs="宋体"/>
                <w:b/>
                <w:color w:val="auto"/>
                <w:kern w:val="0"/>
                <w:sz w:val="22"/>
                <w:szCs w:val="22"/>
                <w:highlight w:val="none"/>
                <w:lang w:val="en-US" w:eastAsia="zh-CN"/>
              </w:rPr>
              <w:t>床</w:t>
            </w:r>
          </w:p>
        </w:tc>
      </w:tr>
      <w:tr>
        <w:tblPrEx>
          <w:tblCellMar>
            <w:top w:w="0" w:type="dxa"/>
            <w:left w:w="108" w:type="dxa"/>
            <w:bottom w:w="0" w:type="dxa"/>
            <w:right w:w="108" w:type="dxa"/>
          </w:tblCellMar>
        </w:tblPrEx>
        <w:trPr>
          <w:trHeight w:val="8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6</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u w:val="single"/>
                <w:lang w:val="zh-CN"/>
              </w:rPr>
              <w:t>▲</w:t>
            </w:r>
            <w:r>
              <w:rPr>
                <w:rFonts w:hint="eastAsia" w:ascii="宋体" w:hAnsi="宋体" w:cs="宋体"/>
                <w:b/>
                <w:bCs/>
                <w:color w:val="auto"/>
                <w:kern w:val="0"/>
                <w:sz w:val="22"/>
                <w:szCs w:val="22"/>
                <w:highlight w:val="none"/>
                <w:u w:val="single"/>
              </w:rPr>
              <w:t>投标人</w:t>
            </w:r>
            <w:r>
              <w:rPr>
                <w:rFonts w:hint="eastAsia" w:ascii="宋体" w:hAnsi="宋体" w:cs="宋体"/>
                <w:b/>
                <w:bCs/>
                <w:color w:val="auto"/>
                <w:kern w:val="0"/>
                <w:sz w:val="22"/>
                <w:szCs w:val="22"/>
                <w:highlight w:val="none"/>
                <w:u w:val="single"/>
                <w:lang w:val="zh-CN"/>
              </w:rPr>
              <w:t>资质格要求</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kinsoku/>
              <w:wordWrap/>
              <w:topLinePunct w:val="0"/>
              <w:bidi w:val="0"/>
              <w:snapToGrid/>
              <w:spacing w:before="60" w:after="60" w:line="360" w:lineRule="exact"/>
              <w:ind w:right="60" w:rightChars="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详见</w:t>
            </w:r>
            <w:r>
              <w:rPr>
                <w:rFonts w:hint="eastAsia" w:ascii="宋体" w:hAnsi="宋体" w:cs="宋体"/>
                <w:bCs/>
                <w:color w:val="auto"/>
                <w:kern w:val="0"/>
                <w:sz w:val="22"/>
                <w:szCs w:val="22"/>
                <w:highlight w:val="none"/>
                <w:lang w:val="en-US" w:eastAsia="zh-CN"/>
              </w:rPr>
              <w:t>招标</w:t>
            </w:r>
            <w:r>
              <w:rPr>
                <w:rFonts w:hint="eastAsia" w:ascii="宋体" w:hAnsi="宋体" w:cs="宋体"/>
                <w:bCs/>
                <w:color w:val="auto"/>
                <w:kern w:val="0"/>
                <w:sz w:val="22"/>
                <w:szCs w:val="22"/>
                <w:highlight w:val="none"/>
              </w:rPr>
              <w:t>公告</w:t>
            </w:r>
          </w:p>
        </w:tc>
      </w:tr>
      <w:tr>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7</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是否接受联合体投标</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color w:val="auto"/>
                <w:highlight w:val="none"/>
                <w:lang w:val="zh-CN"/>
              </w:rPr>
            </w:pPr>
            <w:r>
              <w:rPr>
                <w:rFonts w:hint="eastAsia"/>
                <w:color w:val="auto"/>
                <w:highlight w:val="none"/>
              </w:rPr>
              <w:sym w:font="Wingdings" w:char="00FE"/>
            </w:r>
            <w:r>
              <w:rPr>
                <w:rFonts w:hint="eastAsia"/>
                <w:color w:val="auto"/>
                <w:highlight w:val="none"/>
                <w:lang w:val="zh-CN"/>
              </w:rPr>
              <w:t>不接受</w:t>
            </w:r>
          </w:p>
          <w:p>
            <w:pPr>
              <w:pStyle w:val="35"/>
              <w:keepNext w:val="0"/>
              <w:keepLines w:val="0"/>
              <w:pageBreakBefore w:val="0"/>
              <w:kinsoku/>
              <w:wordWrap/>
              <w:topLinePunct w:val="0"/>
              <w:bidi w:val="0"/>
              <w:snapToGrid/>
              <w:spacing w:line="360" w:lineRule="exact"/>
              <w:rPr>
                <w:color w:val="auto"/>
                <w:highlight w:val="none"/>
                <w:lang w:val="zh-CN"/>
              </w:rPr>
            </w:pPr>
            <w:r>
              <w:rPr>
                <w:rFonts w:hint="eastAsia"/>
                <w:color w:val="auto"/>
                <w:highlight w:val="none"/>
                <w:lang w:val="zh-CN"/>
              </w:rPr>
              <w:sym w:font="Wingdings 2" w:char="00A3"/>
            </w:r>
            <w:r>
              <w:rPr>
                <w:rFonts w:hint="eastAsia"/>
                <w:color w:val="auto"/>
                <w:highlight w:val="none"/>
                <w:lang w:val="zh-CN"/>
              </w:rPr>
              <w:t>接受</w:t>
            </w:r>
          </w:p>
        </w:tc>
      </w:tr>
      <w:tr>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8</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踏勘现场</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□组织</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不组织</w:t>
            </w:r>
          </w:p>
        </w:tc>
      </w:tr>
      <w:tr>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9</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投标预备会</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□召开</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不召开</w:t>
            </w:r>
          </w:p>
        </w:tc>
      </w:tr>
      <w:tr>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10</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见招标公告</w:t>
            </w:r>
          </w:p>
        </w:tc>
      </w:tr>
      <w:tr>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分包</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hint="eastAsia"/>
                <w:color w:val="auto"/>
                <w:highlight w:val="none"/>
                <w:lang w:val="zh-CN"/>
              </w:rPr>
            </w:pPr>
            <w:r>
              <w:rPr>
                <w:rFonts w:hint="eastAsia"/>
                <w:color w:val="auto"/>
                <w:highlight w:val="none"/>
              </w:rPr>
              <w:sym w:font="Wingdings" w:char="00FE"/>
            </w:r>
            <w:r>
              <w:rPr>
                <w:rFonts w:hint="eastAsia"/>
                <w:color w:val="auto"/>
                <w:highlight w:val="none"/>
                <w:lang w:val="zh-CN"/>
              </w:rPr>
              <w:t>不允许</w:t>
            </w:r>
          </w:p>
          <w:p>
            <w:pPr>
              <w:keepNext w:val="0"/>
              <w:keepLines w:val="0"/>
              <w:pageBreakBefore w:val="0"/>
              <w:kinsoku/>
              <w:wordWrap/>
              <w:topLinePunct w:val="0"/>
              <w:autoSpaceDE w:val="0"/>
              <w:autoSpaceDN w:val="0"/>
              <w:bidi w:val="0"/>
              <w:adjustRightInd w:val="0"/>
              <w:snapToGrid/>
              <w:spacing w:line="360" w:lineRule="exact"/>
              <w:rPr>
                <w:color w:val="auto"/>
                <w:highlight w:val="none"/>
                <w:lang w:val="zh-CN"/>
              </w:rPr>
            </w:pPr>
            <w:r>
              <w:rPr>
                <w:rFonts w:hint="eastAsia"/>
                <w:color w:val="auto"/>
                <w:highlight w:val="none"/>
                <w:lang w:val="zh-CN"/>
              </w:rPr>
              <w:sym w:font="Wingdings 2" w:char="00A3"/>
            </w:r>
            <w:r>
              <w:rPr>
                <w:rFonts w:hint="eastAsia"/>
                <w:color w:val="auto"/>
                <w:highlight w:val="none"/>
                <w:lang w:val="zh-CN"/>
              </w:rPr>
              <w:t>允许</w:t>
            </w:r>
            <w:r>
              <w:rPr>
                <w:rFonts w:hint="eastAsia"/>
                <w:color w:val="auto"/>
                <w:highlight w:val="none"/>
                <w:lang w:val="en-US" w:eastAsia="zh-CN"/>
              </w:rPr>
              <w:t xml:space="preserve"> </w:t>
            </w:r>
          </w:p>
        </w:tc>
      </w:tr>
      <w:tr>
        <w:tblPrEx>
          <w:tblCellMar>
            <w:top w:w="0" w:type="dxa"/>
            <w:left w:w="108" w:type="dxa"/>
            <w:bottom w:w="0" w:type="dxa"/>
            <w:right w:w="108" w:type="dxa"/>
          </w:tblCellMar>
        </w:tblPrEx>
        <w:trPr>
          <w:trHeight w:val="10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偏离</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strike/>
                <w:color w:val="auto"/>
                <w:kern w:val="0"/>
                <w:sz w:val="22"/>
                <w:szCs w:val="22"/>
                <w:highlight w:val="none"/>
                <w:lang w:val="zh-CN"/>
              </w:rPr>
            </w:pPr>
            <w:r>
              <w:rPr>
                <w:rFonts w:hint="eastAsia" w:ascii="宋体" w:hAnsi="宋体" w:cs="宋体"/>
                <w:color w:val="auto"/>
                <w:kern w:val="0"/>
                <w:sz w:val="22"/>
                <w:szCs w:val="22"/>
                <w:highlight w:val="none"/>
                <w:lang w:val="zh-CN"/>
              </w:rPr>
              <w:t>偏差允许幅度及其处理方法：允许细微偏差，不允许重大偏差。由评标委员会判断，细微偏差要求投标人在评标结束前予以澄清、说明或补正，不接受要求进行的，</w:t>
            </w:r>
            <w:r>
              <w:rPr>
                <w:rFonts w:hint="eastAsia" w:ascii="宋体" w:hAnsi="宋体" w:cs="宋体"/>
                <w:color w:val="auto"/>
                <w:kern w:val="0"/>
                <w:sz w:val="22"/>
                <w:szCs w:val="22"/>
                <w:highlight w:val="none"/>
              </w:rPr>
              <w:t>评标委员会</w:t>
            </w:r>
            <w:r>
              <w:rPr>
                <w:rFonts w:hint="eastAsia" w:ascii="宋体" w:hAnsi="宋体" w:cs="宋体"/>
                <w:color w:val="auto"/>
                <w:kern w:val="0"/>
                <w:sz w:val="22"/>
                <w:szCs w:val="22"/>
                <w:highlight w:val="none"/>
                <w:lang w:val="zh-CN"/>
              </w:rPr>
              <w:t>有权做无效标处理，详见评标办法。</w:t>
            </w:r>
          </w:p>
        </w:tc>
      </w:tr>
      <w:tr>
        <w:tblPrEx>
          <w:tblCellMar>
            <w:top w:w="0" w:type="dxa"/>
            <w:left w:w="108" w:type="dxa"/>
            <w:bottom w:w="0" w:type="dxa"/>
            <w:right w:w="108" w:type="dxa"/>
          </w:tblCellMar>
        </w:tblPrEx>
        <w:trPr>
          <w:trHeight w:val="68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13</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投标有效期</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自投标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截止时间起生效，有效期90天。</w:t>
            </w:r>
          </w:p>
        </w:tc>
      </w:tr>
      <w:tr>
        <w:tblPrEx>
          <w:tblCellMar>
            <w:top w:w="0" w:type="dxa"/>
            <w:left w:w="108" w:type="dxa"/>
            <w:bottom w:w="0" w:type="dxa"/>
            <w:right w:w="108" w:type="dxa"/>
          </w:tblCellMar>
        </w:tblPrEx>
        <w:trPr>
          <w:trHeight w:val="846"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14</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投标保证金</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b/>
                <w:bCs/>
                <w:color w:val="auto"/>
                <w:sz w:val="22"/>
                <w:szCs w:val="22"/>
                <w:highlight w:val="none"/>
              </w:rPr>
            </w:pPr>
            <w:r>
              <w:rPr>
                <w:rFonts w:hint="eastAsia" w:ascii="宋体" w:hAnsi="宋体" w:cs="宋体"/>
                <w:color w:val="auto"/>
                <w:sz w:val="22"/>
                <w:szCs w:val="22"/>
                <w:highlight w:val="none"/>
              </w:rPr>
              <w:t>无需提交</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的组成</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由“资格响应文件”、“</w:t>
            </w:r>
            <w:r>
              <w:rPr>
                <w:rFonts w:hint="eastAsia" w:ascii="宋体" w:hAnsi="宋体" w:cs="宋体"/>
                <w:color w:val="auto"/>
                <w:kern w:val="0"/>
                <w:sz w:val="22"/>
                <w:szCs w:val="22"/>
                <w:highlight w:val="none"/>
              </w:rPr>
              <w:t>商务技术响应文件</w:t>
            </w:r>
            <w:r>
              <w:rPr>
                <w:rFonts w:hint="eastAsia" w:ascii="宋体" w:hAnsi="宋体" w:cs="宋体"/>
                <w:color w:val="auto"/>
                <w:kern w:val="0"/>
                <w:sz w:val="22"/>
                <w:szCs w:val="22"/>
                <w:highlight w:val="none"/>
                <w:lang w:val="zh-CN"/>
              </w:rPr>
              <w:t>”和“报价响应文件”三个部分组成。</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的编制</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投标人应先安装“政采云</w:t>
            </w:r>
            <w:r>
              <w:rPr>
                <w:rFonts w:hint="eastAsia" w:ascii="宋体" w:hAnsi="宋体" w:cs="宋体"/>
                <w:color w:val="auto"/>
                <w:kern w:val="0"/>
                <w:sz w:val="22"/>
                <w:szCs w:val="22"/>
                <w:highlight w:val="none"/>
              </w:rPr>
              <w:t>投标</w:t>
            </w:r>
            <w:r>
              <w:rPr>
                <w:rFonts w:hint="eastAsia" w:ascii="宋体" w:hAnsi="宋体" w:cs="宋体"/>
                <w:color w:val="auto"/>
                <w:kern w:val="0"/>
                <w:sz w:val="22"/>
                <w:szCs w:val="22"/>
                <w:highlight w:val="none"/>
                <w:lang w:val="zh-CN"/>
              </w:rPr>
              <w:t>客户端”，并按照本</w:t>
            </w:r>
            <w:r>
              <w:rPr>
                <w:rFonts w:hint="eastAsia" w:ascii="宋体" w:hAnsi="宋体" w:cs="宋体"/>
                <w:color w:val="auto"/>
                <w:kern w:val="0"/>
                <w:sz w:val="22"/>
                <w:szCs w:val="22"/>
                <w:highlight w:val="none"/>
              </w:rPr>
              <w:t>招标文件</w:t>
            </w:r>
            <w:r>
              <w:rPr>
                <w:rFonts w:hint="eastAsia" w:ascii="宋体" w:hAnsi="宋体" w:cs="宋体"/>
                <w:color w:val="auto"/>
                <w:kern w:val="0"/>
                <w:sz w:val="22"/>
                <w:szCs w:val="22"/>
                <w:highlight w:val="none"/>
                <w:lang w:val="zh-CN"/>
              </w:rPr>
              <w:t>和“《政府采购项目电子交易管理操作指南-投标人》”的要求，编制并加密</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签字或盖章要求</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zh-CN"/>
              </w:rPr>
              <w:t>单位公章：电子投标响应文件中所须加盖公章部分均采用CA电子签章，</w:t>
            </w:r>
            <w:r>
              <w:rPr>
                <w:rFonts w:hint="eastAsia" w:ascii="宋体" w:hAnsi="宋体" w:cs="宋体"/>
                <w:color w:val="auto"/>
                <w:kern w:val="0"/>
                <w:sz w:val="22"/>
                <w:szCs w:val="22"/>
                <w:highlight w:val="none"/>
              </w:rPr>
              <w:t>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以联合体形式参与投标的，由联合体牵头人进行</w:t>
            </w:r>
            <w:r>
              <w:rPr>
                <w:rFonts w:hint="eastAsia" w:ascii="宋体" w:hAnsi="宋体" w:cs="宋体"/>
                <w:color w:val="auto"/>
                <w:kern w:val="0"/>
                <w:sz w:val="22"/>
                <w:szCs w:val="22"/>
                <w:highlight w:val="none"/>
                <w:lang w:val="zh-CN"/>
              </w:rPr>
              <w:t>CA</w:t>
            </w:r>
            <w:r>
              <w:rPr>
                <w:rFonts w:hint="eastAsia" w:ascii="宋体" w:hAnsi="宋体" w:cs="宋体"/>
                <w:color w:val="auto"/>
                <w:kern w:val="0"/>
                <w:sz w:val="22"/>
                <w:szCs w:val="22"/>
                <w:highlight w:val="none"/>
              </w:rPr>
              <w:t>电子签章</w:t>
            </w:r>
            <w:r>
              <w:rPr>
                <w:rFonts w:hint="eastAsia" w:ascii="宋体" w:hAnsi="宋体" w:cs="宋体"/>
                <w:color w:val="auto"/>
                <w:kern w:val="0"/>
                <w:sz w:val="22"/>
                <w:szCs w:val="22"/>
                <w:highlight w:val="none"/>
                <w:lang w:val="zh-CN"/>
              </w:rPr>
              <w:t>；</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zh-CN"/>
              </w:rPr>
              <w:t>法定代表人</w:t>
            </w:r>
            <w:r>
              <w:rPr>
                <w:rFonts w:hint="eastAsia" w:ascii="宋体" w:hAnsi="宋体" w:cs="宋体"/>
                <w:color w:val="auto"/>
                <w:kern w:val="0"/>
                <w:sz w:val="22"/>
                <w:szCs w:val="22"/>
                <w:highlight w:val="none"/>
              </w:rPr>
              <w:t>签署的规定：</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已办理法人CA电子签章的，则法定代表人签署的地方可用CA电子签章进行签署；</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未办理法人CA电子签章的</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rPr>
              <w:t>投标响应文件</w:t>
            </w:r>
            <w:r>
              <w:rPr>
                <w:rFonts w:hint="eastAsia" w:ascii="宋体" w:hAnsi="宋体" w:cs="宋体"/>
                <w:color w:val="auto"/>
                <w:kern w:val="0"/>
                <w:sz w:val="22"/>
                <w:szCs w:val="22"/>
                <w:highlight w:val="none"/>
                <w:lang w:val="zh-CN"/>
              </w:rPr>
              <w:t>中要求投标人法定代表人</w:t>
            </w:r>
            <w:r>
              <w:rPr>
                <w:rFonts w:hint="eastAsia" w:ascii="宋体" w:hAnsi="宋体" w:cs="宋体"/>
                <w:color w:val="auto"/>
                <w:kern w:val="0"/>
                <w:sz w:val="22"/>
                <w:szCs w:val="22"/>
                <w:highlight w:val="none"/>
              </w:rPr>
              <w:t>签署</w:t>
            </w:r>
            <w:r>
              <w:rPr>
                <w:rFonts w:hint="eastAsia" w:ascii="宋体" w:hAnsi="宋体" w:cs="宋体"/>
                <w:color w:val="auto"/>
                <w:kern w:val="0"/>
                <w:sz w:val="22"/>
                <w:szCs w:val="22"/>
                <w:highlight w:val="none"/>
                <w:lang w:val="zh-CN"/>
              </w:rPr>
              <w:t>的地方，须投标人制作成word版本先打印出来，由法定代表人</w:t>
            </w:r>
            <w:r>
              <w:rPr>
                <w:rFonts w:hint="eastAsia" w:ascii="宋体" w:hAnsi="宋体" w:cs="宋体"/>
                <w:color w:val="auto"/>
                <w:kern w:val="0"/>
                <w:sz w:val="22"/>
                <w:szCs w:val="22"/>
                <w:highlight w:val="none"/>
              </w:rPr>
              <w:t>签署</w:t>
            </w:r>
            <w:r>
              <w:rPr>
                <w:rFonts w:hint="eastAsia" w:ascii="宋体" w:hAnsi="宋体" w:cs="宋体"/>
                <w:color w:val="auto"/>
                <w:kern w:val="0"/>
                <w:sz w:val="22"/>
                <w:szCs w:val="22"/>
                <w:highlight w:val="none"/>
                <w:lang w:val="zh-CN"/>
              </w:rPr>
              <w:t>后再上传PDF.</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r>
              <w:rPr>
                <w:rFonts w:hint="eastAsia" w:ascii="宋体" w:hAnsi="宋体" w:cs="宋体"/>
                <w:color w:val="auto"/>
                <w:kern w:val="0"/>
                <w:sz w:val="22"/>
                <w:szCs w:val="22"/>
                <w:highlight w:val="none"/>
                <w:lang w:val="zh-CN"/>
              </w:rPr>
              <w:t>授权代表</w:t>
            </w:r>
            <w:r>
              <w:rPr>
                <w:rFonts w:hint="eastAsia" w:ascii="宋体" w:hAnsi="宋体" w:cs="宋体"/>
                <w:color w:val="auto"/>
                <w:kern w:val="0"/>
                <w:sz w:val="22"/>
                <w:szCs w:val="22"/>
                <w:highlight w:val="none"/>
              </w:rPr>
              <w:t>签署的规定：投标响应文件</w:t>
            </w:r>
            <w:r>
              <w:rPr>
                <w:rFonts w:hint="eastAsia" w:ascii="宋体" w:hAnsi="宋体" w:cs="宋体"/>
                <w:color w:val="auto"/>
                <w:kern w:val="0"/>
                <w:sz w:val="22"/>
                <w:szCs w:val="22"/>
                <w:highlight w:val="none"/>
                <w:lang w:val="zh-CN"/>
              </w:rPr>
              <w:t>中要求投标人授权代表</w:t>
            </w:r>
            <w:r>
              <w:rPr>
                <w:rFonts w:hint="eastAsia" w:ascii="宋体" w:hAnsi="宋体" w:cs="宋体"/>
                <w:color w:val="auto"/>
                <w:kern w:val="0"/>
                <w:sz w:val="22"/>
                <w:szCs w:val="22"/>
                <w:highlight w:val="none"/>
              </w:rPr>
              <w:t>签署</w:t>
            </w:r>
            <w:r>
              <w:rPr>
                <w:rFonts w:hint="eastAsia" w:ascii="宋体" w:hAnsi="宋体" w:cs="宋体"/>
                <w:color w:val="auto"/>
                <w:kern w:val="0"/>
                <w:sz w:val="22"/>
                <w:szCs w:val="22"/>
                <w:highlight w:val="none"/>
                <w:lang w:val="zh-CN"/>
              </w:rPr>
              <w:t>的地方，须投标人制作成word版本先打印出来，由授权代表</w:t>
            </w:r>
            <w:r>
              <w:rPr>
                <w:rFonts w:hint="eastAsia" w:ascii="宋体" w:hAnsi="宋体" w:cs="宋体"/>
                <w:color w:val="auto"/>
                <w:kern w:val="0"/>
                <w:sz w:val="22"/>
                <w:szCs w:val="22"/>
                <w:highlight w:val="none"/>
              </w:rPr>
              <w:t>签署</w:t>
            </w:r>
            <w:r>
              <w:rPr>
                <w:rFonts w:hint="eastAsia" w:ascii="宋体" w:hAnsi="宋体" w:cs="宋体"/>
                <w:color w:val="auto"/>
                <w:kern w:val="0"/>
                <w:sz w:val="22"/>
                <w:szCs w:val="22"/>
                <w:highlight w:val="none"/>
                <w:lang w:val="zh-CN"/>
              </w:rPr>
              <w:t>后再上传PDF</w:t>
            </w:r>
            <w:r>
              <w:rPr>
                <w:rFonts w:hint="eastAsia" w:ascii="宋体" w:hAnsi="宋体" w:cs="宋体"/>
                <w:color w:val="auto"/>
                <w:kern w:val="0"/>
                <w:sz w:val="22"/>
                <w:szCs w:val="22"/>
                <w:highlight w:val="none"/>
              </w:rPr>
              <w:t>.</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sz w:val="22"/>
                <w:szCs w:val="22"/>
                <w:highlight w:val="none"/>
              </w:rPr>
            </w:pPr>
            <w:r>
              <w:rPr>
                <w:rFonts w:hint="eastAsia" w:ascii="宋体" w:hAnsi="宋体" w:cs="宋体"/>
                <w:color w:val="auto"/>
                <w:kern w:val="0"/>
                <w:sz w:val="22"/>
                <w:szCs w:val="22"/>
                <w:highlight w:val="none"/>
              </w:rPr>
              <w:t>4.</w:t>
            </w:r>
            <w:r>
              <w:rPr>
                <w:rFonts w:hint="eastAsia" w:ascii="宋体" w:hAnsi="宋体" w:cs="宋体"/>
                <w:color w:val="auto"/>
                <w:kern w:val="0"/>
                <w:sz w:val="22"/>
                <w:szCs w:val="22"/>
                <w:highlight w:val="none"/>
                <w:lang w:val="zh-CN"/>
              </w:rPr>
              <w:t>政采云系统平台有新的操作流程的，按其规定。</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hint="eastAsia"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18</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hint="eastAsia" w:ascii="宋体" w:hAnsi="Times New Roman" w:eastAsia="宋体" w:cs="新宋体"/>
                <w:b w:val="0"/>
                <w:bCs w:val="0"/>
                <w:color w:val="auto"/>
                <w:kern w:val="0"/>
                <w:sz w:val="22"/>
                <w:szCs w:val="22"/>
                <w:highlight w:val="none"/>
                <w:lang w:val="zh-CN" w:eastAsia="zh-CN" w:bidi="ar-SA"/>
              </w:rPr>
            </w:pPr>
            <w:r>
              <w:rPr>
                <w:rFonts w:hint="eastAsia" w:ascii="宋体" w:hAnsi="宋体" w:cs="新宋体"/>
                <w:b w:val="0"/>
                <w:bCs w:val="0"/>
                <w:color w:val="auto"/>
                <w:kern w:val="0"/>
                <w:sz w:val="22"/>
                <w:szCs w:val="22"/>
                <w:highlight w:val="none"/>
              </w:rPr>
              <w:t>响应</w:t>
            </w:r>
            <w:r>
              <w:rPr>
                <w:rFonts w:hint="eastAsia" w:ascii="宋体" w:hAnsi="宋体" w:cs="新宋体"/>
                <w:b w:val="0"/>
                <w:bCs w:val="0"/>
                <w:color w:val="auto"/>
                <w:kern w:val="0"/>
                <w:sz w:val="22"/>
                <w:szCs w:val="22"/>
                <w:highlight w:val="none"/>
                <w:lang w:val="zh-CN"/>
              </w:rPr>
              <w:t>文件形式、制作及组成</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本项目实行在线投标响应（电子投标）。</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投标人须准备电子投标文件（包括“电子加密投标文件”和“备份投标文件”两类，在投标文件编制完成后同时生成）。</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（1）“电子加密投标文件”（后缀格式为.jmbs）是指通过“政采云电子交易客户端”完成投标文件编制后生成并加密的数据电文形式的投标文件。</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（2）“备份投标文件”（后缀格式为.bfbs）是指与“电子加密投标文件”同时生成的数据电文形式的电子文件（备份标书），其他方式编制的备份投标文件视为无效备份投标文件。</w:t>
            </w:r>
          </w:p>
          <w:p>
            <w:pPr>
              <w:keepNext w:val="0"/>
              <w:keepLines w:val="0"/>
              <w:pageBreakBefore w:val="0"/>
              <w:kinsoku/>
              <w:wordWrap/>
              <w:topLinePunct w:val="0"/>
              <w:autoSpaceDE w:val="0"/>
              <w:autoSpaceDN w:val="0"/>
              <w:bidi w:val="0"/>
              <w:adjustRightInd w:val="0"/>
              <w:snapToGrid/>
              <w:spacing w:line="360" w:lineRule="exact"/>
              <w:rPr>
                <w:rFonts w:hint="eastAsia" w:ascii="宋体" w:hAnsi="Times New Roman" w:eastAsia="宋体" w:cs="新宋体"/>
                <w:b/>
                <w:bCs/>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以上两类投标文件均由资格审查资料、商务技术文件、报价文件三部分组成。</w:t>
            </w:r>
          </w:p>
        </w:tc>
      </w:tr>
      <w:tr>
        <w:tblPrEx>
          <w:tblCellMar>
            <w:top w:w="0" w:type="dxa"/>
            <w:left w:w="108" w:type="dxa"/>
            <w:bottom w:w="0" w:type="dxa"/>
            <w:right w:w="108" w:type="dxa"/>
          </w:tblCellMar>
        </w:tblPrEx>
        <w:trPr>
          <w:trHeight w:val="41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19</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文件的上传和递交</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758"/>
              <w:keepNext w:val="0"/>
              <w:keepLines w:val="0"/>
              <w:pageBreakBefore w:val="0"/>
              <w:kinsoku/>
              <w:wordWrap/>
              <w:topLinePunct w:val="0"/>
              <w:autoSpaceDE w:val="0"/>
              <w:autoSpaceDN w:val="0"/>
              <w:bidi w:val="0"/>
              <w:adjustRightInd w:val="0"/>
              <w:snapToGrid/>
              <w:spacing w:line="360" w:lineRule="exact"/>
              <w:jc w:val="both"/>
              <w:rPr>
                <w:rFonts w:cs="宋体"/>
                <w:color w:val="auto"/>
                <w:sz w:val="22"/>
                <w:highlight w:val="none"/>
              </w:rPr>
            </w:pPr>
            <w:r>
              <w:rPr>
                <w:rFonts w:hint="eastAsia" w:cs="宋体"/>
                <w:color w:val="auto"/>
                <w:sz w:val="22"/>
                <w:highlight w:val="none"/>
                <w:lang w:val="en-US"/>
              </w:rPr>
              <w:t>1、</w:t>
            </w:r>
            <w:r>
              <w:rPr>
                <w:rFonts w:hint="eastAsia" w:cs="宋体"/>
                <w:color w:val="auto"/>
                <w:sz w:val="22"/>
                <w:highlight w:val="none"/>
              </w:rPr>
              <w:t>“电子响应文件”的上传、递交，</w:t>
            </w:r>
            <w:r>
              <w:rPr>
                <w:rFonts w:hint="eastAsia" w:cs="宋体"/>
                <w:color w:val="auto"/>
                <w:sz w:val="22"/>
                <w:highlight w:val="none"/>
                <w:lang w:val="en-US"/>
              </w:rPr>
              <w:t>具体详见《政府采购项目电子交易管理操作指南-</w:t>
            </w:r>
            <w:r>
              <w:rPr>
                <w:rFonts w:hint="eastAsia" w:cs="宋体"/>
                <w:color w:val="auto"/>
                <w:sz w:val="22"/>
                <w:highlight w:val="none"/>
                <w:lang w:val="en-US" w:eastAsia="zh-CN"/>
              </w:rPr>
              <w:t>投标人</w:t>
            </w:r>
            <w:r>
              <w:rPr>
                <w:rFonts w:hint="eastAsia" w:cs="宋体"/>
                <w:color w:val="auto"/>
                <w:sz w:val="22"/>
                <w:highlight w:val="none"/>
                <w:lang w:val="en-US"/>
              </w:rPr>
              <w:t>》（</w:t>
            </w:r>
            <w:r>
              <w:rPr>
                <w:rFonts w:hint="eastAsia" w:cs="宋体"/>
                <w:color w:val="auto"/>
                <w:sz w:val="22"/>
                <w:highlight w:val="none"/>
                <w:lang w:val="en-US" w:eastAsia="zh-CN"/>
              </w:rPr>
              <w:t>投标人</w:t>
            </w:r>
            <w:r>
              <w:rPr>
                <w:rFonts w:hint="eastAsia" w:cs="宋体"/>
                <w:color w:val="auto"/>
                <w:sz w:val="22"/>
                <w:highlight w:val="none"/>
                <w:lang w:val="en-US"/>
              </w:rPr>
              <w:t>自行去政采云系统上进行下载）</w:t>
            </w:r>
            <w:r>
              <w:rPr>
                <w:rFonts w:hint="eastAsia" w:cs="宋体"/>
                <w:color w:val="auto"/>
                <w:sz w:val="22"/>
                <w:highlight w:val="none"/>
              </w:rPr>
              <w:t>：</w:t>
            </w:r>
          </w:p>
          <w:p>
            <w:pPr>
              <w:pStyle w:val="758"/>
              <w:keepNext w:val="0"/>
              <w:keepLines w:val="0"/>
              <w:pageBreakBefore w:val="0"/>
              <w:kinsoku/>
              <w:wordWrap/>
              <w:topLinePunct w:val="0"/>
              <w:autoSpaceDE w:val="0"/>
              <w:autoSpaceDN w:val="0"/>
              <w:bidi w:val="0"/>
              <w:adjustRightInd w:val="0"/>
              <w:snapToGrid/>
              <w:spacing w:line="360" w:lineRule="exact"/>
              <w:jc w:val="both"/>
              <w:rPr>
                <w:rFonts w:cs="宋体"/>
                <w:color w:val="auto"/>
                <w:sz w:val="22"/>
                <w:highlight w:val="none"/>
              </w:rPr>
            </w:pPr>
            <w:r>
              <w:rPr>
                <w:rFonts w:hint="eastAsia" w:cs="宋体"/>
                <w:color w:val="auto"/>
                <w:sz w:val="22"/>
                <w:highlight w:val="none"/>
              </w:rPr>
              <w:t>（</w:t>
            </w:r>
            <w:r>
              <w:rPr>
                <w:rFonts w:hint="eastAsia" w:cs="宋体"/>
                <w:color w:val="auto"/>
                <w:sz w:val="22"/>
                <w:highlight w:val="none"/>
                <w:lang w:val="en-US"/>
              </w:rPr>
              <w:t>1）电子响应</w:t>
            </w:r>
            <w:r>
              <w:rPr>
                <w:rFonts w:hint="eastAsia" w:cs="宋体"/>
                <w:color w:val="auto"/>
                <w:sz w:val="22"/>
                <w:highlight w:val="none"/>
              </w:rPr>
              <w:t>文件制作完成并生成加密标书，在</w:t>
            </w:r>
            <w:r>
              <w:rPr>
                <w:rFonts w:hint="eastAsia" w:cs="宋体"/>
                <w:color w:val="auto"/>
                <w:sz w:val="22"/>
                <w:highlight w:val="none"/>
                <w:lang w:val="en-US"/>
              </w:rPr>
              <w:t>投标响应截止时间</w:t>
            </w:r>
            <w:r>
              <w:rPr>
                <w:rFonts w:hint="eastAsia" w:cs="宋体"/>
                <w:color w:val="auto"/>
                <w:sz w:val="22"/>
                <w:highlight w:val="none"/>
              </w:rPr>
              <w:t>前，</w:t>
            </w:r>
            <w:r>
              <w:rPr>
                <w:rFonts w:hint="eastAsia" w:cs="宋体"/>
                <w:color w:val="auto"/>
                <w:sz w:val="22"/>
                <w:highlight w:val="none"/>
                <w:lang w:eastAsia="zh-CN"/>
              </w:rPr>
              <w:t>投标人</w:t>
            </w:r>
            <w:r>
              <w:rPr>
                <w:rFonts w:hint="eastAsia" w:cs="宋体"/>
                <w:color w:val="auto"/>
                <w:sz w:val="22"/>
                <w:highlight w:val="none"/>
              </w:rPr>
              <w:t>需将加密的</w:t>
            </w:r>
            <w:r>
              <w:rPr>
                <w:rFonts w:hint="eastAsia" w:cs="宋体"/>
                <w:color w:val="auto"/>
                <w:sz w:val="22"/>
                <w:highlight w:val="none"/>
                <w:lang w:val="en-US"/>
              </w:rPr>
              <w:t>响应</w:t>
            </w:r>
            <w:r>
              <w:rPr>
                <w:rFonts w:hint="eastAsia" w:cs="宋体"/>
                <w:color w:val="auto"/>
                <w:sz w:val="22"/>
                <w:highlight w:val="none"/>
              </w:rPr>
              <w:t>文件上传至政采云平台，</w:t>
            </w:r>
            <w:r>
              <w:rPr>
                <w:rFonts w:hint="eastAsia" w:cs="宋体"/>
                <w:color w:val="auto"/>
                <w:sz w:val="22"/>
                <w:highlight w:val="none"/>
                <w:lang w:val="en-US"/>
              </w:rPr>
              <w:t>接到解密通知</w:t>
            </w:r>
            <w:r>
              <w:rPr>
                <w:rFonts w:hint="eastAsia" w:cs="宋体"/>
                <w:color w:val="auto"/>
                <w:sz w:val="22"/>
                <w:highlight w:val="none"/>
              </w:rPr>
              <w:t>后，解密投标响应文件。</w:t>
            </w:r>
          </w:p>
          <w:p>
            <w:pPr>
              <w:pStyle w:val="758"/>
              <w:keepNext w:val="0"/>
              <w:keepLines w:val="0"/>
              <w:pageBreakBefore w:val="0"/>
              <w:kinsoku/>
              <w:wordWrap/>
              <w:topLinePunct w:val="0"/>
              <w:autoSpaceDE w:val="0"/>
              <w:autoSpaceDN w:val="0"/>
              <w:bidi w:val="0"/>
              <w:adjustRightInd w:val="0"/>
              <w:snapToGrid/>
              <w:spacing w:line="360" w:lineRule="exact"/>
              <w:jc w:val="both"/>
              <w:rPr>
                <w:rFonts w:cs="宋体"/>
                <w:color w:val="auto"/>
                <w:sz w:val="22"/>
                <w:highlight w:val="none"/>
              </w:rPr>
            </w:pPr>
            <w:r>
              <w:rPr>
                <w:rFonts w:hint="eastAsia" w:cs="宋体"/>
                <w:color w:val="auto"/>
                <w:sz w:val="22"/>
                <w:highlight w:val="none"/>
                <w:lang w:val="en-US"/>
              </w:rPr>
              <w:t>（2</w:t>
            </w:r>
            <w:r>
              <w:rPr>
                <w:rFonts w:hint="eastAsia" w:cs="宋体"/>
                <w:color w:val="auto"/>
                <w:sz w:val="22"/>
                <w:highlight w:val="none"/>
              </w:rPr>
              <w:t>）</w:t>
            </w:r>
            <w:r>
              <w:rPr>
                <w:rFonts w:hint="eastAsia" w:cs="宋体"/>
                <w:color w:val="auto"/>
                <w:sz w:val="22"/>
                <w:highlight w:val="none"/>
                <w:lang w:val="en-US"/>
              </w:rPr>
              <w:t>电子响应</w:t>
            </w:r>
            <w:r>
              <w:rPr>
                <w:rFonts w:hint="eastAsia" w:cs="宋体"/>
                <w:color w:val="auto"/>
                <w:sz w:val="22"/>
                <w:highlight w:val="none"/>
              </w:rPr>
              <w:t>文件上传成功后，在“投标响应文件上传-进行中”标签页下，显示状态为“已上传”。可在此处下载打印投标回执；在投标</w:t>
            </w:r>
            <w:r>
              <w:rPr>
                <w:rFonts w:hint="eastAsia" w:cs="宋体"/>
                <w:color w:val="auto"/>
                <w:sz w:val="22"/>
                <w:highlight w:val="none"/>
                <w:lang w:val="en-US"/>
              </w:rPr>
              <w:t>响应</w:t>
            </w:r>
            <w:r>
              <w:rPr>
                <w:rFonts w:hint="eastAsia" w:cs="宋体"/>
                <w:color w:val="auto"/>
                <w:sz w:val="22"/>
                <w:highlight w:val="none"/>
              </w:rPr>
              <w:t>截止时间前，</w:t>
            </w:r>
            <w:r>
              <w:rPr>
                <w:rFonts w:hint="eastAsia" w:cs="宋体"/>
                <w:color w:val="auto"/>
                <w:sz w:val="22"/>
                <w:highlight w:val="none"/>
                <w:lang w:eastAsia="zh-CN"/>
              </w:rPr>
              <w:t>投标人</w:t>
            </w:r>
            <w:r>
              <w:rPr>
                <w:rFonts w:hint="eastAsia" w:cs="宋体"/>
                <w:color w:val="auto"/>
                <w:sz w:val="22"/>
                <w:highlight w:val="none"/>
              </w:rPr>
              <w:t>可撤回投标响应文件，修改内容。</w:t>
            </w:r>
          </w:p>
          <w:p>
            <w:pPr>
              <w:pStyle w:val="758"/>
              <w:keepNext w:val="0"/>
              <w:keepLines w:val="0"/>
              <w:pageBreakBefore w:val="0"/>
              <w:kinsoku/>
              <w:wordWrap/>
              <w:topLinePunct w:val="0"/>
              <w:autoSpaceDE w:val="0"/>
              <w:autoSpaceDN w:val="0"/>
              <w:bidi w:val="0"/>
              <w:adjustRightInd w:val="0"/>
              <w:snapToGrid/>
              <w:spacing w:line="360" w:lineRule="exact"/>
              <w:jc w:val="both"/>
              <w:rPr>
                <w:rFonts w:cs="宋体"/>
                <w:color w:val="auto"/>
                <w:sz w:val="22"/>
                <w:highlight w:val="none"/>
              </w:rPr>
            </w:pPr>
            <w:r>
              <w:rPr>
                <w:rFonts w:hint="eastAsia" w:cs="宋体"/>
                <w:color w:val="auto"/>
                <w:sz w:val="22"/>
                <w:highlight w:val="none"/>
                <w:lang w:val="en-US"/>
              </w:rPr>
              <w:t>2、</w:t>
            </w:r>
            <w:r>
              <w:rPr>
                <w:rFonts w:hint="eastAsia" w:cs="宋体"/>
                <w:color w:val="auto"/>
                <w:sz w:val="22"/>
                <w:highlight w:val="none"/>
              </w:rPr>
              <w:t>“备份响应文件”的递交：</w:t>
            </w:r>
          </w:p>
          <w:p>
            <w:pPr>
              <w:pStyle w:val="3"/>
              <w:keepNext w:val="0"/>
              <w:keepLines w:val="0"/>
              <w:pageBreakBefore w:val="0"/>
              <w:numPr>
                <w:ilvl w:val="0"/>
                <w:numId w:val="2"/>
              </w:numPr>
              <w:kinsoku/>
              <w:wordWrap/>
              <w:topLinePunct w:val="0"/>
              <w:autoSpaceDE w:val="0"/>
              <w:autoSpaceDN w:val="0"/>
              <w:bidi w:val="0"/>
              <w:adjustRightInd w:val="0"/>
              <w:snapToGrid/>
              <w:spacing w:after="0" w:line="360" w:lineRule="exact"/>
              <w:ind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备份响应文件的递交：</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ascii="宋体" w:hAnsi="宋体" w:cs="宋体"/>
                <w:color w:val="auto"/>
                <w:highlight w:val="none"/>
              </w:rPr>
              <w:fldChar w:fldCharType="separate"/>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在系统里上传好加密标书后，可以（建议）在投标响应截止时间前将系统生成的备份标书（后缀格式为.bfbs）以电子邮件形式传送至采购代理机构邮箱</w:t>
            </w:r>
            <w:r>
              <w:rPr>
                <w:rFonts w:hint="eastAsia" w:ascii="宋体" w:hAnsi="宋体" w:cs="宋体"/>
                <w:color w:val="auto"/>
                <w:sz w:val="22"/>
                <w:szCs w:val="22"/>
                <w:highlight w:val="none"/>
                <w:lang w:eastAsia="zh-CN"/>
              </w:rPr>
              <w:t>Yxgc666@126.com</w:t>
            </w:r>
            <w:r>
              <w:rPr>
                <w:rFonts w:hint="eastAsia" w:ascii="宋体" w:hAnsi="宋体" w:cs="宋体"/>
                <w:color w:val="auto"/>
                <w:sz w:val="22"/>
                <w:szCs w:val="22"/>
                <w:highlight w:val="none"/>
              </w:rPr>
              <w:t>，</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传送的备份标书需打包压缩并加密，加密密码由</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自行保管。</w:t>
            </w:r>
          </w:p>
          <w:p>
            <w:pPr>
              <w:pStyle w:val="3"/>
              <w:keepNext w:val="0"/>
              <w:keepLines w:val="0"/>
              <w:pageBreakBefore w:val="0"/>
              <w:numPr>
                <w:ilvl w:val="0"/>
                <w:numId w:val="2"/>
              </w:numPr>
              <w:kinsoku/>
              <w:wordWrap/>
              <w:topLinePunct w:val="0"/>
              <w:autoSpaceDE w:val="0"/>
              <w:autoSpaceDN w:val="0"/>
              <w:bidi w:val="0"/>
              <w:adjustRightInd w:val="0"/>
              <w:snapToGrid/>
              <w:spacing w:after="0" w:line="360" w:lineRule="exact"/>
              <w:ind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通过“政府采购云平台”上传递交的“电子响应文件”无法按时解密，</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递交了备份响应文件的，以备份响应文件为依据，否则视为响应文件撤回。 通过“政府采购云平台”上传递交的“电子响应文件”已按时解密的，“备份响应文件”自动失效。</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仅递交备份响应文件的，投标无效；</w:t>
            </w:r>
          </w:p>
          <w:p>
            <w:pPr>
              <w:pStyle w:val="3"/>
              <w:keepNext w:val="0"/>
              <w:keepLines w:val="0"/>
              <w:pageBreakBefore w:val="0"/>
              <w:numPr>
                <w:ilvl w:val="0"/>
                <w:numId w:val="2"/>
              </w:numPr>
              <w:kinsoku/>
              <w:wordWrap/>
              <w:topLinePunct w:val="0"/>
              <w:autoSpaceDE w:val="0"/>
              <w:autoSpaceDN w:val="0"/>
              <w:bidi w:val="0"/>
              <w:adjustRightInd w:val="0"/>
              <w:snapToGrid/>
              <w:spacing w:after="0" w:line="360" w:lineRule="exact"/>
              <w:ind w:firstLine="0" w:firstLineChars="0"/>
              <w:jc w:val="left"/>
              <w:rPr>
                <w:rFonts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需保证上传的电子响应文件与提交的备份响应文件必须同时生成且内容完全一致；</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20</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电子响应文件的解密和异常情况处理</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截止时间后，采购组织机构将向各投标人发出解密通知，各投标人代表应当在接到解密通知后登录政采云平台，对电子响应文件进行在线解密（解密</w:t>
            </w:r>
            <w:r>
              <w:rPr>
                <w:rFonts w:hint="eastAsia" w:ascii="宋体" w:hAnsi="宋体" w:cs="宋体"/>
                <w:color w:val="auto"/>
                <w:kern w:val="0"/>
                <w:sz w:val="22"/>
                <w:szCs w:val="22"/>
                <w:highlight w:val="none"/>
              </w:rPr>
              <w:t>电子响应</w:t>
            </w:r>
            <w:r>
              <w:rPr>
                <w:rFonts w:hint="eastAsia" w:ascii="宋体" w:hAnsi="宋体" w:cs="宋体"/>
                <w:color w:val="auto"/>
                <w:kern w:val="0"/>
                <w:sz w:val="22"/>
                <w:szCs w:val="22"/>
                <w:highlight w:val="none"/>
                <w:lang w:val="zh-CN"/>
              </w:rPr>
              <w:t>文件必须插入CA），在线解密电子响应文件时间为接到解密通知后</w:t>
            </w:r>
            <w:r>
              <w:rPr>
                <w:rFonts w:hint="eastAsia" w:ascii="宋体" w:hAnsi="宋体" w:cs="宋体"/>
                <w:color w:val="auto"/>
                <w:kern w:val="0"/>
                <w:sz w:val="22"/>
                <w:szCs w:val="22"/>
                <w:highlight w:val="none"/>
              </w:rPr>
              <w:t>3</w:t>
            </w:r>
            <w:r>
              <w:rPr>
                <w:rFonts w:hint="eastAsia" w:ascii="宋体" w:hAnsi="宋体" w:cs="宋体"/>
                <w:color w:val="auto"/>
                <w:kern w:val="0"/>
                <w:sz w:val="22"/>
                <w:szCs w:val="22"/>
                <w:highlight w:val="none"/>
                <w:lang w:val="zh-CN"/>
              </w:rPr>
              <w:t>0分钟内。</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异常处理：如政采云上电子响应文件出现解密失败情况，投标人可根据自身意愿确认是否将备份标书压缩包的解密密码传送至采购代理机构邮箱Yxgc666@126.com,采购代理机构收到解密密码后通过【异常处理】的端口对投标人的备份响应文件进行上传（上传成功后，“电子</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文件”自动失效），不能成功上传的视为</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文件撤回）。</w:t>
            </w:r>
          </w:p>
          <w:p>
            <w:pPr>
              <w:keepNext w:val="0"/>
              <w:keepLines w:val="0"/>
              <w:pageBreakBefore w:val="0"/>
              <w:kinsoku/>
              <w:wordWrap/>
              <w:topLinePunct w:val="0"/>
              <w:autoSpaceDE w:val="0"/>
              <w:autoSpaceDN w:val="0"/>
              <w:bidi w:val="0"/>
              <w:adjustRightInd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rPr>
              <w:t>3）响应</w:t>
            </w:r>
            <w:r>
              <w:rPr>
                <w:rFonts w:hint="eastAsia" w:ascii="宋体" w:hAnsi="宋体" w:cs="宋体"/>
                <w:color w:val="auto"/>
                <w:kern w:val="0"/>
                <w:sz w:val="22"/>
                <w:szCs w:val="22"/>
                <w:highlight w:val="none"/>
                <w:lang w:val="zh-CN"/>
              </w:rPr>
              <w:t>文件的启用，按先后顺序分别为电子响应文件、以电子邮件形式的备份响应文件，在下一顺位的</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文件启用之后，前一顺位的</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文件自动失效。</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21</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政采云系统默认</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自动放弃的情形</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numPr>
                <w:ilvl w:val="0"/>
                <w:numId w:val="3"/>
              </w:numPr>
              <w:kinsoku/>
              <w:wordWrap/>
              <w:topLinePunct w:val="0"/>
              <w:autoSpaceDE w:val="0"/>
              <w:autoSpaceDN w:val="0"/>
              <w:bidi w:val="0"/>
              <w:adjustRightInd w:val="0"/>
              <w:snapToGrid/>
              <w:spacing w:line="360" w:lineRule="exact"/>
              <w:ind w:firstLine="0"/>
              <w:rPr>
                <w:rFonts w:ascii="宋体" w:hAnsi="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未按规定上传电子响应文件的；</w:t>
            </w:r>
          </w:p>
          <w:p>
            <w:pPr>
              <w:keepNext w:val="0"/>
              <w:keepLines w:val="0"/>
              <w:pageBreakBefore w:val="0"/>
              <w:numPr>
                <w:ilvl w:val="0"/>
                <w:numId w:val="3"/>
              </w:numPr>
              <w:kinsoku/>
              <w:wordWrap/>
              <w:topLinePunct w:val="0"/>
              <w:autoSpaceDE w:val="0"/>
              <w:autoSpaceDN w:val="0"/>
              <w:bidi w:val="0"/>
              <w:adjustRightInd w:val="0"/>
              <w:snapToGrid/>
              <w:spacing w:line="360" w:lineRule="exact"/>
              <w:ind w:firstLine="0" w:firstLineChars="0"/>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在解密期限内投标人电子响应文件解密失败，且经异常处理后政采云电子交易系统仍未能解决的。</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22</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pPr>
              <w:keepNext w:val="0"/>
              <w:keepLines w:val="0"/>
              <w:pageBreakBefore w:val="0"/>
              <w:kinsoku/>
              <w:wordWrap/>
              <w:topLinePunct w:val="0"/>
              <w:autoSpaceDE w:val="0"/>
              <w:autoSpaceDN w:val="0"/>
              <w:bidi w:val="0"/>
              <w:adjustRightInd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和地点</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详见招标公告</w:t>
            </w:r>
          </w:p>
          <w:p>
            <w:pPr>
              <w:pStyle w:val="2"/>
              <w:keepNext w:val="0"/>
              <w:keepLines w:val="0"/>
              <w:pageBreakBefore w:val="0"/>
              <w:kinsoku/>
              <w:wordWrap/>
              <w:topLinePunct w:val="0"/>
              <w:bidi w:val="0"/>
              <w:snapToGrid/>
              <w:spacing w:line="360" w:lineRule="exact"/>
              <w:ind w:firstLine="420" w:firstLineChars="0"/>
              <w:rPr>
                <w:rFonts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val="zh-CN"/>
              </w:rPr>
              <w:t>注：本项目为电子招投标，相关的招投标流程（</w:t>
            </w:r>
            <w:r>
              <w:rPr>
                <w:rFonts w:hint="eastAsia" w:ascii="宋体" w:hAnsi="宋体" w:cs="宋体"/>
                <w:color w:val="auto"/>
                <w:sz w:val="22"/>
                <w:szCs w:val="22"/>
                <w:highlight w:val="none"/>
              </w:rPr>
              <w:t>招标</w:t>
            </w:r>
            <w:r>
              <w:rPr>
                <w:rFonts w:hint="eastAsia" w:ascii="宋体" w:hAnsi="宋体" w:cs="宋体"/>
                <w:color w:val="auto"/>
                <w:sz w:val="22"/>
                <w:szCs w:val="22"/>
                <w:highlight w:val="none"/>
                <w:lang w:val="zh-CN"/>
              </w:rPr>
              <w:t>文件下载、电子</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文件上传、</w:t>
            </w:r>
            <w:r>
              <w:rPr>
                <w:rFonts w:hint="eastAsia" w:ascii="宋体" w:hAnsi="宋体" w:cs="宋体"/>
                <w:color w:val="auto"/>
                <w:sz w:val="22"/>
                <w:szCs w:val="22"/>
                <w:highlight w:val="none"/>
              </w:rPr>
              <w:t>评标</w:t>
            </w:r>
            <w:r>
              <w:rPr>
                <w:rFonts w:hint="eastAsia" w:ascii="宋体" w:hAnsi="宋体" w:cs="宋体"/>
                <w:color w:val="auto"/>
                <w:sz w:val="22"/>
                <w:szCs w:val="22"/>
                <w:highlight w:val="none"/>
                <w:lang w:val="zh-CN"/>
              </w:rPr>
              <w:t>等程序）均在浙江政府采购网“政府采购云平台”进行，</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lang w:val="zh-CN"/>
              </w:rPr>
              <w:t>不必前往现场进行</w:t>
            </w: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zh-CN"/>
              </w:rPr>
              <w:t>活动等事宜</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23</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询标澄清</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2"/>
              <w:keepNext w:val="0"/>
              <w:keepLines w:val="0"/>
              <w:pageBreakBefore w:val="0"/>
              <w:numPr>
                <w:ilvl w:val="0"/>
                <w:numId w:val="4"/>
              </w:numPr>
              <w:kinsoku/>
              <w:wordWrap/>
              <w:topLinePunct w:val="0"/>
              <w:bidi w:val="0"/>
              <w:snapToGrid/>
              <w:spacing w:line="360" w:lineRule="exact"/>
              <w:ind w:left="5" w:leftChars="0" w:hanging="5" w:firstLineChars="0"/>
              <w:rPr>
                <w:rFonts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val="zh-CN"/>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投标人》（投标人自行去政采云系统上进行下载）</w:t>
            </w:r>
          </w:p>
          <w:p>
            <w:pPr>
              <w:pStyle w:val="2"/>
              <w:keepNext w:val="0"/>
              <w:keepLines w:val="0"/>
              <w:pageBreakBefore w:val="0"/>
              <w:numPr>
                <w:ilvl w:val="0"/>
                <w:numId w:val="4"/>
              </w:numPr>
              <w:kinsoku/>
              <w:wordWrap/>
              <w:topLinePunct w:val="0"/>
              <w:bidi w:val="0"/>
              <w:snapToGrid/>
              <w:spacing w:line="360" w:lineRule="exact"/>
              <w:ind w:left="5" w:leftChars="0" w:hanging="5" w:firstLineChars="0"/>
              <w:rPr>
                <w:rFonts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val="zh-CN"/>
              </w:rPr>
              <w:t>本项目采购过程中，涉及的投标人联系方式（如手机号码、</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文件中预留的邮箱、投标人地址），均以投标人递交的电子</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文件中《法定代表人资格声明书》或《法定代表人授权委托书》上注明的联系方式为准。</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24</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pPr>
              <w:keepNext w:val="0"/>
              <w:keepLines w:val="0"/>
              <w:pageBreakBefore w:val="0"/>
              <w:kinsoku/>
              <w:wordWrap/>
              <w:topLinePunct w:val="0"/>
              <w:bidi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的组建</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按照《中华人民共和国政府采购法》等有关法律、法规的规定组建评标委员会，评标委员会由</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代表和有关技术、经济等方面的专家组成，成员人数为5人（含）以上单数，除</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代表外的专家将在评标专家库中随机抽取产生。</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25</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履约担保</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ind w:left="0" w:leftChars="0" w:firstLine="0" w:firstLineChars="0"/>
              <w:rPr>
                <w:rFonts w:hint="eastAsia"/>
                <w:color w:val="auto"/>
                <w:highlight w:val="none"/>
                <w:lang w:eastAsia="zh-CN"/>
              </w:rPr>
            </w:pPr>
            <w:r>
              <w:rPr>
                <w:rFonts w:hint="eastAsia"/>
                <w:b/>
                <w:bCs/>
                <w:color w:val="auto"/>
                <w:highlight w:val="none"/>
              </w:rPr>
              <w:fldChar w:fldCharType="begin"/>
            </w:r>
            <w:r>
              <w:rPr>
                <w:rFonts w:hint="eastAsia"/>
                <w:b/>
                <w:bCs/>
                <w:color w:val="auto"/>
                <w:highlight w:val="none"/>
              </w:rPr>
              <w:instrText xml:space="preserve"> eq \o\ac(□</w:instrText>
            </w:r>
            <w:r>
              <w:rPr>
                <w:rFonts w:hint="eastAsia"/>
                <w:b/>
                <w:bCs/>
                <w:color w:val="auto"/>
                <w:highlight w:val="none"/>
                <w:lang w:eastAsia="zh-CN"/>
              </w:rPr>
              <w:instrText xml:space="preserve">,</w:instrText>
            </w:r>
            <w:r>
              <w:rPr>
                <w:rFonts w:hint="eastAsia"/>
                <w:b/>
                <w:bCs/>
                <w:color w:val="auto"/>
                <w:position w:val="2"/>
                <w:sz w:val="13"/>
                <w:highlight w:val="none"/>
                <w:lang w:eastAsia="zh-CN"/>
              </w:rPr>
              <w:instrText xml:space="preserve">√</w:instrText>
            </w:r>
            <w:r>
              <w:rPr>
                <w:rFonts w:hint="eastAsia"/>
                <w:b/>
                <w:bCs/>
                <w:color w:val="auto"/>
                <w:highlight w:val="none"/>
              </w:rPr>
              <w:instrText xml:space="preserve">)</w:instrText>
            </w:r>
            <w:r>
              <w:rPr>
                <w:rFonts w:hint="eastAsia"/>
                <w:b/>
                <w:bCs/>
                <w:color w:val="auto"/>
                <w:highlight w:val="none"/>
              </w:rPr>
              <w:fldChar w:fldCharType="end"/>
            </w:r>
            <w:r>
              <w:rPr>
                <w:rFonts w:hint="eastAsia"/>
                <w:b/>
                <w:bCs/>
                <w:color w:val="auto"/>
                <w:highlight w:val="none"/>
              </w:rPr>
              <w:t>需要</w:t>
            </w:r>
            <w:r>
              <w:rPr>
                <w:rFonts w:hint="eastAsia"/>
                <w:color w:val="auto"/>
                <w:highlight w:val="none"/>
                <w:lang w:eastAsia="zh-CN"/>
              </w:rPr>
              <w:t>：</w:t>
            </w:r>
          </w:p>
          <w:p>
            <w:pPr>
              <w:keepNext w:val="0"/>
              <w:keepLines w:val="0"/>
              <w:pageBreakBefore w:val="0"/>
              <w:kinsoku/>
              <w:wordWrap/>
              <w:topLinePunct w:val="0"/>
              <w:bidi w:val="0"/>
              <w:snapToGrid/>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履约保证金的金额：合同价款的</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w:t>
            </w:r>
          </w:p>
          <w:p>
            <w:pPr>
              <w:keepNext w:val="0"/>
              <w:keepLines w:val="0"/>
              <w:pageBreakBefore w:val="0"/>
              <w:kinsoku/>
              <w:wordWrap/>
              <w:topLinePunct w:val="0"/>
              <w:bidi w:val="0"/>
              <w:snapToGrid/>
              <w:spacing w:line="360" w:lineRule="exact"/>
              <w:rPr>
                <w:rFonts w:hint="eastAsia" w:eastAsia="宋体"/>
                <w:color w:val="auto"/>
                <w:highlight w:val="none"/>
                <w:lang w:val="en-US" w:eastAsia="zh-CN"/>
              </w:rPr>
            </w:pPr>
            <w:r>
              <w:rPr>
                <w:rFonts w:hint="eastAsia" w:ascii="宋体" w:cs="新宋体"/>
                <w:color w:val="auto"/>
                <w:kern w:val="0"/>
                <w:sz w:val="22"/>
                <w:szCs w:val="22"/>
                <w:highlight w:val="none"/>
                <w:lang w:bidi="ar-SA"/>
              </w:rPr>
              <w:t xml:space="preserve"> </w:t>
            </w: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ascii="宋体" w:hAnsi="宋体" w:cs="宋体"/>
                <w:color w:val="auto"/>
                <w:kern w:val="0"/>
                <w:sz w:val="22"/>
                <w:szCs w:val="22"/>
                <w:highlight w:val="none"/>
                <w:lang w:val="en-US" w:eastAsia="zh-CN"/>
              </w:rPr>
              <w:t>不需要</w:t>
            </w:r>
          </w:p>
        </w:tc>
      </w:tr>
      <w:tr>
        <w:tblPrEx>
          <w:tblCellMar>
            <w:top w:w="0" w:type="dxa"/>
            <w:left w:w="108" w:type="dxa"/>
            <w:bottom w:w="0" w:type="dxa"/>
            <w:right w:w="108" w:type="dxa"/>
          </w:tblCellMar>
        </w:tblPrEx>
        <w:trPr>
          <w:trHeight w:val="9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26</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adjustRightInd w:val="0"/>
              <w:snapToGrid/>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w:t>
            </w:r>
          </w:p>
          <w:p>
            <w:pPr>
              <w:keepNext w:val="0"/>
              <w:keepLines w:val="0"/>
              <w:pageBreakBefore w:val="0"/>
              <w:kinsoku/>
              <w:wordWrap/>
              <w:topLinePunct w:val="0"/>
              <w:bidi w:val="0"/>
              <w:adjustRightInd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扶持政策</w:t>
            </w:r>
          </w:p>
        </w:tc>
        <w:tc>
          <w:tcPr>
            <w:tcW w:w="73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exact"/>
              <w:textAlignment w:val="auto"/>
              <w:rPr>
                <w:color w:val="auto"/>
                <w:sz w:val="22"/>
                <w:szCs w:val="22"/>
                <w:highlight w:val="none"/>
              </w:rPr>
            </w:pPr>
            <w:r>
              <w:rPr>
                <w:rFonts w:hint="eastAsia"/>
                <w:color w:val="auto"/>
                <w:sz w:val="22"/>
                <w:szCs w:val="22"/>
                <w:highlight w:val="none"/>
              </w:rPr>
              <w:t>中小微企业扶持政策</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exact"/>
              <w:ind w:left="425" w:leftChars="0" w:hanging="425" w:firstLineChars="0"/>
              <w:textAlignment w:val="auto"/>
              <w:rPr>
                <w:rFonts w:hint="eastAsia" w:ascii="Times New Roman" w:hAnsi="Times New Roman" w:eastAsia="宋体" w:cs="Times New Roman"/>
                <w:b/>
                <w:bCs/>
                <w:color w:val="auto"/>
                <w:sz w:val="22"/>
                <w:szCs w:val="22"/>
                <w:highlight w:val="none"/>
                <w:lang w:val="zh-CN"/>
              </w:rPr>
            </w:pPr>
            <w:r>
              <w:rPr>
                <w:rFonts w:hint="eastAsia"/>
                <w:color w:val="auto"/>
                <w:sz w:val="22"/>
                <w:szCs w:val="22"/>
                <w:highlight w:val="none"/>
                <w:lang w:val="zh-CN"/>
              </w:rPr>
              <w:t>本次采购</w:t>
            </w:r>
            <w:r>
              <w:rPr>
                <w:rFonts w:hint="eastAsia" w:ascii="Times New Roman" w:hAnsi="Times New Roman" w:eastAsia="宋体" w:cs="Times New Roman"/>
                <w:color w:val="auto"/>
                <w:sz w:val="22"/>
                <w:szCs w:val="22"/>
                <w:highlight w:val="none"/>
                <w:lang w:val="zh-CN"/>
              </w:rPr>
              <w:t>为</w:t>
            </w:r>
            <w:r>
              <w:rPr>
                <w:rFonts w:hint="eastAsia" w:ascii="Times New Roman" w:hAnsi="Times New Roman" w:eastAsia="宋体" w:cs="Times New Roman"/>
                <w:b/>
                <w:bCs/>
                <w:color w:val="auto"/>
                <w:sz w:val="22"/>
                <w:szCs w:val="22"/>
                <w:highlight w:val="none"/>
                <w:u w:val="single"/>
                <w:lang w:val="zh-CN"/>
              </w:rPr>
              <w:t xml:space="preserve"> </w:t>
            </w:r>
            <w:r>
              <w:rPr>
                <w:rFonts w:hint="eastAsia" w:cs="Times New Roman"/>
                <w:b/>
                <w:bCs/>
                <w:color w:val="auto"/>
                <w:sz w:val="22"/>
                <w:szCs w:val="22"/>
                <w:highlight w:val="none"/>
                <w:u w:val="single"/>
                <w:lang w:val="en-US" w:eastAsia="zh-CN"/>
              </w:rPr>
              <w:t>是</w:t>
            </w:r>
            <w:r>
              <w:rPr>
                <w:rFonts w:hint="eastAsia" w:ascii="Times New Roman" w:hAnsi="Times New Roman" w:eastAsia="宋体" w:cs="Times New Roman"/>
                <w:b/>
                <w:bCs/>
                <w:color w:val="auto"/>
                <w:sz w:val="22"/>
                <w:szCs w:val="22"/>
                <w:highlight w:val="none"/>
                <w:u w:val="single"/>
                <w:lang w:val="zh-CN"/>
              </w:rPr>
              <w:t xml:space="preserve"> </w:t>
            </w:r>
            <w:r>
              <w:rPr>
                <w:rFonts w:hint="eastAsia" w:ascii="Times New Roman" w:hAnsi="Times New Roman" w:eastAsia="宋体" w:cs="Times New Roman"/>
                <w:color w:val="auto"/>
                <w:sz w:val="22"/>
                <w:szCs w:val="22"/>
                <w:highlight w:val="none"/>
                <w:lang w:val="zh-CN"/>
              </w:rPr>
              <w:t>专门面向中小企业预留采购份额的采购项目</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lang w:val="zh-CN"/>
              </w:rPr>
              <w:t>3）本次采购标的为</w:t>
            </w:r>
            <w:r>
              <w:rPr>
                <w:rFonts w:hint="eastAsia" w:ascii="宋体" w:hAnsi="宋体" w:cs="宋体"/>
                <w:color w:val="auto"/>
                <w:sz w:val="22"/>
                <w:szCs w:val="22"/>
                <w:highlight w:val="none"/>
              </w:rPr>
              <w:t>货物</w:t>
            </w:r>
            <w:r>
              <w:rPr>
                <w:rFonts w:hint="eastAsia" w:ascii="宋体" w:hAnsi="宋体" w:cs="宋体"/>
                <w:color w:val="auto"/>
                <w:sz w:val="22"/>
                <w:szCs w:val="22"/>
                <w:highlight w:val="none"/>
                <w:lang w:val="zh-CN"/>
              </w:rPr>
              <w:t>，对应的中小企业划分标准所属行业是：</w:t>
            </w:r>
            <w:r>
              <w:rPr>
                <w:rFonts w:hint="eastAsia" w:ascii="宋体" w:hAnsi="宋体" w:cs="宋体"/>
                <w:b/>
                <w:bCs/>
                <w:color w:val="auto"/>
                <w:sz w:val="22"/>
                <w:szCs w:val="22"/>
                <w:highlight w:val="none"/>
                <w:lang w:val="zh-CN"/>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4）以联合体形式参加政府采购活动，联合体各方均为小微企业的，联合体视同小微企业。本项目不接受联合体投标。</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w:t>
            </w:r>
            <w:r>
              <w:rPr>
                <w:rFonts w:hint="eastAsia"/>
                <w:color w:val="auto"/>
                <w:sz w:val="22"/>
                <w:szCs w:val="22"/>
                <w:highlight w:val="none"/>
                <w:lang w:val="zh-CN"/>
              </w:rPr>
              <w:t>投标人应当出具《中小企业声明函》，否则</w:t>
            </w:r>
            <w:r>
              <w:rPr>
                <w:rFonts w:hint="eastAsia"/>
                <w:color w:val="auto"/>
                <w:sz w:val="22"/>
                <w:szCs w:val="22"/>
                <w:highlight w:val="none"/>
              </w:rPr>
              <w:t>资格审查不予通过</w:t>
            </w:r>
            <w:r>
              <w:rPr>
                <w:rFonts w:hint="eastAsia"/>
                <w:color w:val="auto"/>
                <w:sz w:val="22"/>
                <w:szCs w:val="22"/>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6）残疾人福利性单位视同小微企业，享受小微企业同等的价格扣除。残疾人福利性单位参加政府采购活动时，应当提供《残疾人福利性单位声明函》。</w:t>
            </w:r>
          </w:p>
          <w:p>
            <w:pPr>
              <w:pStyle w:val="2"/>
              <w:keepNext w:val="0"/>
              <w:keepLines w:val="0"/>
              <w:pageBreakBefore w:val="0"/>
              <w:widowControl w:val="0"/>
              <w:kinsoku/>
              <w:wordWrap/>
              <w:overflowPunct/>
              <w:topLinePunct w:val="0"/>
              <w:bidi w:val="0"/>
              <w:snapToGrid/>
              <w:spacing w:line="360" w:lineRule="exact"/>
              <w:textAlignment w:val="auto"/>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val="zh-CN"/>
              </w:rPr>
              <w:t>）监狱企业视同小微企业，享受小微企业同等的价格扣除。监狱企业参加政府采购活动时，应当提供监狱企业声明函。</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exact"/>
              <w:textAlignment w:val="auto"/>
              <w:rPr>
                <w:color w:val="auto"/>
                <w:sz w:val="22"/>
                <w:szCs w:val="22"/>
                <w:highlight w:val="none"/>
                <w:lang w:val="zh-CN"/>
              </w:rPr>
            </w:pPr>
            <w:r>
              <w:rPr>
                <w:rFonts w:hint="eastAsia"/>
                <w:color w:val="auto"/>
                <w:sz w:val="22"/>
                <w:szCs w:val="22"/>
                <w:highlight w:val="none"/>
                <w:lang w:val="zh-CN"/>
              </w:rPr>
              <w:t>节能产品 、环境标志产品扶持政策说明</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color w:val="auto"/>
                <w:sz w:val="22"/>
                <w:szCs w:val="22"/>
                <w:highlight w:val="none"/>
              </w:rPr>
            </w:pPr>
            <w:r>
              <w:rPr>
                <w:rFonts w:hint="eastAsia"/>
                <w:color w:val="auto"/>
                <w:sz w:val="22"/>
                <w:szCs w:val="22"/>
                <w:highlight w:val="none"/>
                <w:lang w:val="zh-CN"/>
              </w:rPr>
              <w:t>投标人所投产品属于节能产品或环境标志产品，给予适当加分。</w:t>
            </w:r>
            <w:r>
              <w:rPr>
                <w:rFonts w:hint="eastAsia"/>
                <w:color w:val="auto"/>
                <w:sz w:val="22"/>
                <w:szCs w:val="22"/>
                <w:highlight w:val="none"/>
              </w:rPr>
              <w:t>详见评分细则。</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exact"/>
              <w:ind w:left="5" w:leftChars="0" w:hanging="5" w:firstLineChars="0"/>
              <w:textAlignment w:val="auto"/>
              <w:rPr>
                <w:rFonts w:hint="eastAsia"/>
                <w:b/>
                <w:bCs/>
                <w:color w:val="auto"/>
                <w:sz w:val="22"/>
                <w:szCs w:val="22"/>
                <w:highlight w:val="none"/>
                <w:lang w:val="zh-CN" w:eastAsia="zh-CN"/>
              </w:rPr>
            </w:pPr>
            <w:r>
              <w:rPr>
                <w:rFonts w:hint="eastAsia"/>
                <w:color w:val="auto"/>
                <w:sz w:val="22"/>
                <w:szCs w:val="22"/>
                <w:highlight w:val="none"/>
                <w:lang w:val="en-US" w:eastAsia="zh-CN"/>
              </w:rPr>
              <w:t>贯彻落实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b/>
                <w:bCs/>
                <w:color w:val="auto"/>
                <w:sz w:val="22"/>
                <w:szCs w:val="22"/>
                <w:highlight w:val="none"/>
                <w:lang w:val="en-US" w:eastAsia="zh-CN"/>
              </w:rPr>
              <w:t>满足条件的投标产品须提供相应的证明资料。</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exact"/>
              <w:textAlignment w:val="auto"/>
              <w:rPr>
                <w:color w:val="auto"/>
                <w:sz w:val="22"/>
                <w:szCs w:val="22"/>
                <w:highlight w:val="none"/>
                <w:lang w:val="zh-CN"/>
              </w:rPr>
            </w:pPr>
            <w:r>
              <w:rPr>
                <w:rFonts w:hint="eastAsia"/>
                <w:color w:val="auto"/>
                <w:sz w:val="22"/>
                <w:szCs w:val="22"/>
                <w:highlight w:val="none"/>
                <w:lang w:val="zh-CN"/>
              </w:rPr>
              <w:t>政府采购金融服务相关信息告知函</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color w:val="auto"/>
                <w:sz w:val="22"/>
                <w:szCs w:val="22"/>
                <w:highlight w:val="none"/>
                <w:lang w:val="zh-CN"/>
              </w:rPr>
            </w:pPr>
            <w:r>
              <w:rPr>
                <w:rFonts w:hint="eastAsia"/>
                <w:color w:val="auto"/>
                <w:sz w:val="22"/>
                <w:szCs w:val="22"/>
                <w:highlight w:val="none"/>
                <w:lang w:val="zh-CN"/>
              </w:rPr>
              <w:t>为优化政府采购营商环境，缓解投标人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ascii="Times New Roman" w:hAnsi="Times New Roman" w:eastAsia="宋体" w:cs="Times New Roman"/>
                <w:color w:val="auto"/>
                <w:kern w:val="2"/>
                <w:sz w:val="21"/>
                <w:szCs w:val="24"/>
                <w:highlight w:val="none"/>
                <w:lang w:val="zh-CN" w:eastAsia="zh-CN" w:bidi="ar-SA"/>
              </w:rPr>
            </w:pPr>
            <w:r>
              <w:rPr>
                <w:rFonts w:hint="eastAsia"/>
                <w:color w:val="auto"/>
                <w:sz w:val="22"/>
                <w:szCs w:val="22"/>
                <w:highlight w:val="none"/>
                <w:lang w:val="zh-CN"/>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106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27</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信用查询</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pPr>
              <w:keepNext w:val="0"/>
              <w:keepLines w:val="0"/>
              <w:pageBreakBefore w:val="0"/>
              <w:kinsoku/>
              <w:wordWrap/>
              <w:topLinePunct w:val="0"/>
              <w:bidi w:val="0"/>
              <w:snapToGrid/>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信用信息查询记录和证据留存的具体方式：网页截图打印；</w:t>
            </w:r>
          </w:p>
          <w:p>
            <w:pPr>
              <w:keepNext w:val="0"/>
              <w:keepLines w:val="0"/>
              <w:pageBreakBefore w:val="0"/>
              <w:kinsoku/>
              <w:wordWrap/>
              <w:topLinePunct w:val="0"/>
              <w:bidi w:val="0"/>
              <w:snapToGrid/>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w:t>
            </w:r>
          </w:p>
          <w:p>
            <w:pPr>
              <w:keepNext w:val="0"/>
              <w:keepLines w:val="0"/>
              <w:pageBreakBefore w:val="0"/>
              <w:kinsoku/>
              <w:wordWrap/>
              <w:topLinePunct w:val="0"/>
              <w:bidi w:val="0"/>
              <w:snapToGrid/>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pPr>
              <w:keepNext w:val="0"/>
              <w:keepLines w:val="0"/>
              <w:pageBreakBefore w:val="0"/>
              <w:kinsoku/>
              <w:wordWrap/>
              <w:topLinePunct w:val="0"/>
              <w:bidi w:val="0"/>
              <w:snapToGrid/>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pPr>
              <w:keepNext w:val="0"/>
              <w:keepLines w:val="0"/>
              <w:pageBreakBefore w:val="0"/>
              <w:kinsoku/>
              <w:wordWrap/>
              <w:topLinePunct w:val="0"/>
              <w:bidi w:val="0"/>
              <w:snapToGrid/>
              <w:spacing w:line="360" w:lineRule="exact"/>
              <w:jc w:val="left"/>
              <w:rPr>
                <w:rFonts w:ascii="宋体" w:hAnsi="宋体" w:eastAsia="宋体" w:cs="宋体"/>
                <w:color w:val="auto"/>
                <w:kern w:val="0"/>
                <w:sz w:val="22"/>
                <w:szCs w:val="22"/>
                <w:highlight w:val="none"/>
                <w:lang w:val="en-US" w:eastAsia="zh-CN" w:bidi="ar-SA"/>
              </w:rPr>
            </w:pPr>
            <w:r>
              <w:rPr>
                <w:rFonts w:hint="eastAsia" w:ascii="宋体" w:hAnsi="宋体" w:cs="宋体"/>
                <w:color w:val="auto"/>
                <w:sz w:val="22"/>
                <w:szCs w:val="22"/>
                <w:highlight w:val="none"/>
              </w:rPr>
              <w:t>（4）具有以上（3）所述信息记录的</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，其投标做无效投标处理。</w:t>
            </w:r>
          </w:p>
        </w:tc>
      </w:tr>
      <w:tr>
        <w:tblPrEx>
          <w:tblCellMar>
            <w:top w:w="0" w:type="dxa"/>
            <w:left w:w="108" w:type="dxa"/>
            <w:bottom w:w="0" w:type="dxa"/>
            <w:right w:w="108" w:type="dxa"/>
          </w:tblCellMar>
        </w:tblPrEx>
        <w:trPr>
          <w:trHeight w:val="988"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28</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合同备案</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在中标通知书发出之日起30日历天内与</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签订合同。</w:t>
            </w:r>
          </w:p>
          <w:p>
            <w:pPr>
              <w:keepNext w:val="0"/>
              <w:keepLines w:val="0"/>
              <w:pageBreakBefore w:val="0"/>
              <w:kinsoku/>
              <w:wordWrap/>
              <w:topLinePunct w:val="0"/>
              <w:bidi w:val="0"/>
              <w:snapToGrid/>
              <w:spacing w:line="360" w:lineRule="exact"/>
              <w:jc w:val="left"/>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与</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签订合同后，2日历天内将合同扫描件电子版发给采购代理机构：邮箱：</w:t>
            </w:r>
            <w:r>
              <w:rPr>
                <w:rFonts w:hint="eastAsia" w:ascii="宋体" w:hAnsi="宋体" w:cs="宋体"/>
                <w:b/>
                <w:color w:val="auto"/>
                <w:sz w:val="22"/>
                <w:szCs w:val="22"/>
                <w:highlight w:val="none"/>
                <w:u w:val="single"/>
                <w:lang w:eastAsia="zh-CN"/>
              </w:rPr>
              <w:t>Yxgc666@126.com</w:t>
            </w:r>
            <w:r>
              <w:rPr>
                <w:rFonts w:hint="eastAsia" w:ascii="宋体" w:hAnsi="宋体" w:cs="宋体"/>
                <w:color w:val="auto"/>
                <w:sz w:val="22"/>
                <w:szCs w:val="22"/>
                <w:highlight w:val="none"/>
              </w:rPr>
              <w:t>。</w:t>
            </w:r>
          </w:p>
        </w:tc>
      </w:tr>
      <w:tr>
        <w:tblPrEx>
          <w:tblCellMar>
            <w:top w:w="0" w:type="dxa"/>
            <w:left w:w="108" w:type="dxa"/>
            <w:bottom w:w="0" w:type="dxa"/>
            <w:right w:w="108" w:type="dxa"/>
          </w:tblCellMar>
        </w:tblPrEx>
        <w:trPr>
          <w:trHeight w:val="42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29</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合同履约管理</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left"/>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合同签订后，</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trHeight w:val="42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30</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解释权</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须知、评标办法、响应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hAnsi="宋体" w:cs="宋体"/>
                <w:color w:val="auto"/>
                <w:sz w:val="22"/>
                <w:szCs w:val="22"/>
                <w:highlight w:val="none"/>
                <w:lang w:eastAsia="zh-CN"/>
              </w:rPr>
              <w:t>招标人</w:t>
            </w:r>
            <w:r>
              <w:rPr>
                <w:rFonts w:hint="eastAsia" w:ascii="宋体" w:hAnsi="宋体" w:cs="宋体"/>
                <w:color w:val="auto"/>
                <w:sz w:val="22"/>
                <w:szCs w:val="22"/>
                <w:highlight w:val="none"/>
              </w:rPr>
              <w:t>负责解释。</w:t>
            </w:r>
          </w:p>
        </w:tc>
      </w:tr>
      <w:tr>
        <w:tblPrEx>
          <w:tblCellMar>
            <w:top w:w="0" w:type="dxa"/>
            <w:left w:w="108" w:type="dxa"/>
            <w:bottom w:w="0" w:type="dxa"/>
            <w:right w:w="108" w:type="dxa"/>
          </w:tblCellMar>
        </w:tblPrEx>
        <w:trPr>
          <w:trHeight w:val="42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rPr>
              <w:t>31</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rPr>
              <w:t>采购代理服务费</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（1）本次采购代理服务费按固定金额人民币</w:t>
            </w:r>
            <w:r>
              <w:rPr>
                <w:rFonts w:hint="eastAsia" w:ascii="宋体" w:hAnsi="宋体" w:cs="宋体"/>
                <w:color w:val="auto"/>
                <w:sz w:val="22"/>
                <w:szCs w:val="22"/>
                <w:highlight w:val="none"/>
                <w:lang w:val="en-US" w:eastAsia="zh-CN"/>
              </w:rPr>
              <w:t>肆万零肆佰</w:t>
            </w:r>
            <w:r>
              <w:rPr>
                <w:rFonts w:hint="eastAsia" w:ascii="宋体" w:hAnsi="宋体" w:cs="宋体"/>
                <w:color w:val="auto"/>
                <w:sz w:val="22"/>
                <w:szCs w:val="22"/>
                <w:highlight w:val="none"/>
              </w:rPr>
              <w:t>元收取，由中标（成交）单位在领取成交通知书之前支付给采购代理机构，由中标（成交）单位一次性支付给采购代理机构。其中：采购代理服务费按固定金额人民币</w:t>
            </w:r>
            <w:r>
              <w:rPr>
                <w:rFonts w:hint="eastAsia" w:ascii="宋体" w:hAnsi="宋体" w:cs="宋体"/>
                <w:color w:val="auto"/>
                <w:sz w:val="22"/>
                <w:szCs w:val="22"/>
                <w:highlight w:val="none"/>
                <w:lang w:val="en-US" w:eastAsia="zh-CN"/>
              </w:rPr>
              <w:t>叁万伍仟肆佰</w:t>
            </w:r>
            <w:r>
              <w:rPr>
                <w:rFonts w:hint="eastAsia" w:ascii="宋体" w:hAnsi="宋体" w:cs="宋体"/>
                <w:color w:val="auto"/>
                <w:sz w:val="22"/>
                <w:szCs w:val="22"/>
                <w:highlight w:val="none"/>
              </w:rPr>
              <w:t>元收取，履约验收代理服务费按固定金额人民币</w:t>
            </w:r>
            <w:r>
              <w:rPr>
                <w:rFonts w:hint="eastAsia" w:ascii="宋体" w:hAnsi="宋体" w:cs="宋体"/>
                <w:color w:val="auto"/>
                <w:sz w:val="22"/>
                <w:szCs w:val="22"/>
                <w:highlight w:val="none"/>
                <w:lang w:val="en-US" w:eastAsia="zh-CN"/>
              </w:rPr>
              <w:t>伍仟</w:t>
            </w:r>
            <w:r>
              <w:rPr>
                <w:rFonts w:hint="eastAsia" w:ascii="宋体" w:hAnsi="宋体" w:cs="宋体"/>
                <w:color w:val="auto"/>
                <w:sz w:val="22"/>
                <w:szCs w:val="22"/>
                <w:highlight w:val="none"/>
              </w:rPr>
              <w:t>元收取。</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在报价时应充分考虑该部分费用；</w:t>
            </w:r>
          </w:p>
          <w:p>
            <w:pPr>
              <w:keepNext w:val="0"/>
              <w:keepLines w:val="0"/>
              <w:pageBreakBefore w:val="0"/>
              <w:kinsoku/>
              <w:wordWrap/>
              <w:topLinePunct w:val="0"/>
              <w:bidi w:val="0"/>
              <w:snapToGrid/>
              <w:spacing w:line="360" w:lineRule="exact"/>
              <w:rPr>
                <w:rFonts w:hint="eastAsia" w:ascii="Times New Roman" w:hAnsi="Times New Roman" w:eastAsia="宋体" w:cs="Times New Roman"/>
                <w:color w:val="auto"/>
                <w:kern w:val="2"/>
                <w:sz w:val="21"/>
                <w:szCs w:val="24"/>
                <w:highlight w:val="none"/>
                <w:lang w:val="zh-CN" w:eastAsia="zh-CN" w:bidi="ar-SA"/>
              </w:rPr>
            </w:pPr>
            <w:r>
              <w:rPr>
                <w:rFonts w:hint="eastAsia" w:ascii="宋体" w:hAnsi="宋体" w:cs="宋体"/>
                <w:color w:val="auto"/>
                <w:sz w:val="22"/>
                <w:szCs w:val="22"/>
                <w:highlight w:val="none"/>
              </w:rPr>
              <w:t>（2）采购代理服务费可以是现金或</w:t>
            </w:r>
            <w:r>
              <w:rPr>
                <w:rFonts w:hint="eastAsia" w:ascii="宋体" w:hAnsi="宋体" w:cs="宋体"/>
                <w:color w:val="auto"/>
                <w:sz w:val="22"/>
                <w:szCs w:val="22"/>
                <w:highlight w:val="none"/>
                <w:lang w:val="en-US" w:eastAsia="zh-CN"/>
              </w:rPr>
              <w:t>银行转账</w:t>
            </w:r>
            <w:r>
              <w:rPr>
                <w:rFonts w:hint="eastAsia" w:ascii="宋体" w:hAnsi="宋体" w:cs="宋体"/>
                <w:color w:val="auto"/>
                <w:sz w:val="22"/>
                <w:szCs w:val="22"/>
                <w:highlight w:val="none"/>
              </w:rPr>
              <w:t>。</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pPr>
        <w:spacing w:before="100" w:beforeAutospacing="1" w:after="100" w:afterAutospacing="1" w:line="440" w:lineRule="exact"/>
        <w:jc w:val="center"/>
        <w:outlineLvl w:val="0"/>
        <w:rPr>
          <w:rFonts w:hint="eastAsia" w:ascii="宋体" w:hAnsi="宋体"/>
          <w:b/>
          <w:bCs/>
          <w:color w:val="auto"/>
          <w:sz w:val="26"/>
          <w:szCs w:val="26"/>
          <w:highlight w:val="none"/>
          <w:lang w:val="en-US" w:eastAsia="zh-CN"/>
        </w:rPr>
      </w:pPr>
      <w:bookmarkStart w:id="45" w:name="_Toc221423616"/>
      <w:bookmarkStart w:id="46" w:name="_Toc262049415"/>
      <w:bookmarkStart w:id="47" w:name="_Toc262105500"/>
      <w:bookmarkStart w:id="48" w:name="_Toc221356948"/>
      <w:bookmarkStart w:id="49" w:name="_Toc239145351"/>
      <w:bookmarkStart w:id="50" w:name="_Toc245722278"/>
      <w:bookmarkStart w:id="51" w:name="_Toc222114876"/>
      <w:bookmarkStart w:id="52" w:name="_Toc249758861"/>
      <w:bookmarkStart w:id="53" w:name="_Toc241404199"/>
      <w:bookmarkStart w:id="54" w:name="_Toc18233"/>
      <w:bookmarkStart w:id="55" w:name="_Toc249758709"/>
      <w:bookmarkStart w:id="56" w:name="_Toc221356883"/>
      <w:bookmarkStart w:id="57" w:name="_Toc221374623"/>
      <w:bookmarkStart w:id="58" w:name="_Toc223715995"/>
      <w:bookmarkStart w:id="59" w:name="_Toc245191311"/>
      <w:bookmarkStart w:id="60" w:name="_Toc246261262"/>
    </w:p>
    <w:p>
      <w:pPr>
        <w:spacing w:before="100" w:beforeAutospacing="1" w:after="100" w:afterAutospacing="1" w:line="440" w:lineRule="exact"/>
        <w:jc w:val="center"/>
        <w:outlineLvl w:val="0"/>
        <w:rPr>
          <w:rFonts w:ascii="宋体" w:hAnsi="宋体"/>
          <w:b/>
          <w:bCs/>
          <w:color w:val="auto"/>
          <w:sz w:val="26"/>
          <w:szCs w:val="26"/>
          <w:highlight w:val="none"/>
        </w:rPr>
      </w:pPr>
      <w:r>
        <w:rPr>
          <w:rFonts w:hint="eastAsia" w:ascii="宋体" w:hAnsi="宋体"/>
          <w:b/>
          <w:bCs/>
          <w:color w:val="auto"/>
          <w:sz w:val="26"/>
          <w:szCs w:val="26"/>
          <w:highlight w:val="none"/>
          <w:lang w:val="en-US" w:eastAsia="zh-CN"/>
        </w:rPr>
        <w:t>二</w:t>
      </w:r>
      <w:r>
        <w:rPr>
          <w:rFonts w:hint="eastAsia" w:ascii="宋体" w:hAnsi="宋体"/>
          <w:b/>
          <w:bCs/>
          <w:color w:val="auto"/>
          <w:sz w:val="26"/>
          <w:szCs w:val="26"/>
          <w:highlight w:val="none"/>
        </w:rPr>
        <w:t>、  说明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numPr>
          <w:ilvl w:val="0"/>
          <w:numId w:val="7"/>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bookmarkStart w:id="61" w:name="_Toc262105501"/>
      <w:bookmarkStart w:id="62" w:name="_Toc221356949"/>
      <w:bookmarkStart w:id="63" w:name="_Toc262049416"/>
      <w:bookmarkStart w:id="64" w:name="_Toc249758710"/>
      <w:bookmarkStart w:id="65" w:name="_Toc245722279"/>
      <w:bookmarkStart w:id="66" w:name="_Toc223715996"/>
      <w:bookmarkStart w:id="67" w:name="_Toc246261263"/>
      <w:bookmarkStart w:id="68" w:name="_Toc241404200"/>
      <w:bookmarkStart w:id="69" w:name="_Toc221374624"/>
      <w:bookmarkStart w:id="70" w:name="_Toc249758862"/>
      <w:bookmarkStart w:id="71" w:name="_Toc221356884"/>
      <w:bookmarkStart w:id="72" w:name="_Toc222114877"/>
      <w:bookmarkStart w:id="73" w:name="_Toc245191312"/>
      <w:bookmarkStart w:id="74" w:name="_Toc239145352"/>
      <w:bookmarkStart w:id="75" w:name="_Toc221423617"/>
      <w:r>
        <w:rPr>
          <w:rFonts w:hint="eastAsia" w:ascii="宋体" w:hAnsi="宋体" w:eastAsia="宋体" w:cs="Arial"/>
          <w:color w:val="auto"/>
          <w:sz w:val="22"/>
          <w:szCs w:val="22"/>
          <w:highlight w:val="none"/>
        </w:rPr>
        <w:t>本次招标是</w:t>
      </w:r>
      <w:r>
        <w:rPr>
          <w:rFonts w:hint="eastAsia" w:ascii="宋体" w:hAnsi="宋体" w:eastAsia="宋体" w:cs="Arial"/>
          <w:color w:val="auto"/>
          <w:sz w:val="22"/>
          <w:szCs w:val="22"/>
          <w:highlight w:val="none"/>
          <w:lang w:val="en-US" w:eastAsia="zh-CN"/>
        </w:rPr>
        <w:t>按</w:t>
      </w:r>
      <w:r>
        <w:rPr>
          <w:rFonts w:hint="eastAsia" w:ascii="宋体" w:hAnsi="宋体" w:eastAsia="宋体" w:cs="Arial"/>
          <w:color w:val="auto"/>
          <w:sz w:val="22"/>
          <w:szCs w:val="22"/>
          <w:highlight w:val="none"/>
        </w:rPr>
        <w:t>照《中华人民共和国政府采购法》、《中华人民共和国政府采购法实施条例》、《政府采购货物和服务招标投标管理办法》和《关于进一步规范政府采购活动的若干意见》等法律及有关法规组织和实施的。</w:t>
      </w:r>
    </w:p>
    <w:p>
      <w:pPr>
        <w:numPr>
          <w:ilvl w:val="0"/>
          <w:numId w:val="7"/>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合格投标人要求以招标公告对投标人资格条件要求的表述为准。</w:t>
      </w:r>
    </w:p>
    <w:p>
      <w:pPr>
        <w:numPr>
          <w:ilvl w:val="0"/>
          <w:numId w:val="7"/>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投标人代表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指全权代表投标人参加投标活动并签署投标文件的人。如果投标人代表不是法定代表人，须持有《法定代表人授权书》。</w:t>
      </w:r>
    </w:p>
    <w:p>
      <w:pPr>
        <w:numPr>
          <w:ilvl w:val="0"/>
          <w:numId w:val="7"/>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投标费用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投标人应承担所有与准备和参加投标有关费用，不论投标的结果如何，</w:t>
      </w:r>
      <w:r>
        <w:rPr>
          <w:rFonts w:hint="eastAsia" w:ascii="宋体" w:hAnsi="宋体" w:cs="宋体"/>
          <w:color w:val="auto"/>
          <w:sz w:val="22"/>
          <w:szCs w:val="22"/>
          <w:highlight w:val="none"/>
          <w:lang w:eastAsia="zh-CN"/>
        </w:rPr>
        <w:t>招标人</w:t>
      </w:r>
      <w:r>
        <w:rPr>
          <w:rFonts w:hint="eastAsia" w:ascii="宋体" w:hAnsi="宋体" w:eastAsia="宋体" w:cs="宋体"/>
          <w:color w:val="auto"/>
          <w:sz w:val="22"/>
          <w:szCs w:val="22"/>
          <w:highlight w:val="none"/>
        </w:rPr>
        <w:t>和招标代理机构均无义务和责任承担这些费用。</w:t>
      </w:r>
    </w:p>
    <w:p>
      <w:pPr>
        <w:numPr>
          <w:ilvl w:val="0"/>
          <w:numId w:val="7"/>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优化政府采购金融服务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pacing w:val="6"/>
          <w:sz w:val="22"/>
          <w:highlight w:val="none"/>
        </w:rPr>
      </w:pPr>
      <w:r>
        <w:rPr>
          <w:rFonts w:hint="eastAsia" w:ascii="宋体" w:hAnsi="宋体" w:eastAsia="宋体" w:cs="宋体"/>
          <w:bCs/>
          <w:color w:val="auto"/>
          <w:spacing w:val="6"/>
          <w:sz w:val="22"/>
          <w:szCs w:val="22"/>
          <w:highlight w:val="none"/>
          <w:lang w:val="en-US" w:eastAsia="zh-CN"/>
        </w:rPr>
        <w:t xml:space="preserve">  </w:t>
      </w:r>
      <w:r>
        <w:rPr>
          <w:rFonts w:hint="eastAsia" w:ascii="宋体" w:hAnsi="宋体" w:eastAsia="宋体" w:cs="宋体"/>
          <w:bCs/>
          <w:color w:val="auto"/>
          <w:spacing w:val="6"/>
          <w:sz w:val="22"/>
          <w:szCs w:val="22"/>
          <w:highlight w:val="none"/>
        </w:rPr>
        <w:t>为支持和促进中小企业发展，进一步发挥政府采购政策功能，温州市财政局出台了《温州市财政局关于温州市政府采购支持中小企业信用融资的通知》（温财采〔2020〕3号），</w:t>
      </w:r>
      <w:r>
        <w:rPr>
          <w:rFonts w:hint="eastAsia" w:ascii="宋体" w:hAnsi="宋体" w:eastAsia="宋体" w:cs="宋体"/>
          <w:bCs/>
          <w:color w:val="auto"/>
          <w:spacing w:val="6"/>
          <w:sz w:val="22"/>
          <w:szCs w:val="22"/>
          <w:highlight w:val="none"/>
          <w:lang w:eastAsia="zh-CN"/>
        </w:rPr>
        <w:t>投标人</w:t>
      </w:r>
      <w:r>
        <w:rPr>
          <w:rFonts w:hint="eastAsia" w:ascii="宋体" w:hAnsi="宋体" w:eastAsia="宋体" w:cs="宋体"/>
          <w:bCs/>
          <w:color w:val="auto"/>
          <w:spacing w:val="6"/>
          <w:sz w:val="22"/>
          <w:szCs w:val="22"/>
          <w:highlight w:val="none"/>
        </w:rPr>
        <w:t>若有融资意向，可直接登录http://jinrong.zcygov.cn，查看信用融资政策文件及各相关银行服务方案，也可直接向各银行咨询相关业务。</w:t>
      </w:r>
    </w:p>
    <w:p>
      <w:pPr>
        <w:numPr>
          <w:ilvl w:val="0"/>
          <w:numId w:val="7"/>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特别说明：</w:t>
      </w:r>
    </w:p>
    <w:p>
      <w:pPr>
        <w:numPr>
          <w:ilvl w:val="1"/>
          <w:numId w:val="8"/>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投标人应仔细阅读</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的所有内容，按照</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的要求提交投标文件，并对所提供的全部资料的真实性承担法律责任。</w:t>
      </w:r>
    </w:p>
    <w:p>
      <w:pPr>
        <w:numPr>
          <w:ilvl w:val="1"/>
          <w:numId w:val="8"/>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bookmarkStart w:id="76" w:name="_Hlk37697637"/>
      <w:r>
        <w:rPr>
          <w:rFonts w:hint="eastAsia" w:ascii="宋体" w:hAnsi="宋体" w:eastAsia="宋体" w:cs="Arial"/>
          <w:color w:val="auto"/>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rPr>
        <w:t>或者</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rPr>
        <w:t>委托评标委员会按照</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规定的方式确定一个投标人获得中标人推荐资格，</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snapToGrid/>
        <w:spacing w:line="400" w:lineRule="exact"/>
        <w:ind w:left="448" w:leftChars="-68" w:hanging="591" w:hangingChars="255"/>
        <w:textAlignment w:val="auto"/>
        <w:rPr>
          <w:rFonts w:hint="eastAsia" w:ascii="宋体" w:hAnsi="宋体" w:eastAsia="宋体" w:cs="宋体"/>
          <w:bCs/>
          <w:color w:val="auto"/>
          <w:spacing w:val="6"/>
          <w:sz w:val="22"/>
          <w:highlight w:val="none"/>
        </w:rPr>
      </w:pPr>
      <w:r>
        <w:rPr>
          <w:rFonts w:hint="eastAsia" w:ascii="宋体" w:hAnsi="宋体" w:eastAsia="宋体" w:cs="宋体"/>
          <w:bCs/>
          <w:color w:val="auto"/>
          <w:spacing w:val="6"/>
          <w:sz w:val="22"/>
          <w:szCs w:val="22"/>
          <w:highlight w:val="none"/>
        </w:rPr>
        <w:t>非单一产品采购项目，</w:t>
      </w:r>
      <w:r>
        <w:rPr>
          <w:rFonts w:hint="eastAsia" w:ascii="宋体" w:hAnsi="宋体" w:cs="宋体"/>
          <w:bCs/>
          <w:color w:val="auto"/>
          <w:spacing w:val="6"/>
          <w:sz w:val="22"/>
          <w:szCs w:val="22"/>
          <w:highlight w:val="none"/>
          <w:lang w:eastAsia="zh-CN"/>
        </w:rPr>
        <w:t>招标人</w:t>
      </w:r>
      <w:r>
        <w:rPr>
          <w:rFonts w:hint="eastAsia" w:ascii="宋体" w:hAnsi="宋体" w:eastAsia="宋体" w:cs="宋体"/>
          <w:bCs/>
          <w:color w:val="auto"/>
          <w:spacing w:val="6"/>
          <w:sz w:val="22"/>
          <w:szCs w:val="22"/>
          <w:highlight w:val="none"/>
        </w:rPr>
        <w:t>应当根据采购项目技术构成、产品价格比重等合理确定核心产品，并在</w:t>
      </w:r>
      <w:r>
        <w:rPr>
          <w:rFonts w:hint="eastAsia" w:ascii="宋体" w:hAnsi="宋体" w:eastAsia="宋体" w:cs="宋体"/>
          <w:bCs/>
          <w:color w:val="auto"/>
          <w:spacing w:val="6"/>
          <w:sz w:val="22"/>
          <w:szCs w:val="22"/>
          <w:highlight w:val="none"/>
          <w:lang w:eastAsia="zh-CN"/>
        </w:rPr>
        <w:t>招标文件</w:t>
      </w:r>
      <w:r>
        <w:rPr>
          <w:rFonts w:hint="eastAsia" w:ascii="宋体" w:hAnsi="宋体" w:eastAsia="宋体" w:cs="宋体"/>
          <w:bCs/>
          <w:color w:val="auto"/>
          <w:spacing w:val="6"/>
          <w:sz w:val="22"/>
          <w:szCs w:val="22"/>
          <w:highlight w:val="none"/>
        </w:rPr>
        <w:t>中载明。多家投标人提供的核心产品品牌相同的，按前两款规定处理。</w:t>
      </w:r>
      <w:bookmarkEnd w:id="76"/>
    </w:p>
    <w:p>
      <w:pPr>
        <w:numPr>
          <w:ilvl w:val="1"/>
          <w:numId w:val="8"/>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numPr>
          <w:ilvl w:val="1"/>
          <w:numId w:val="8"/>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投标人在投标活动中提供任何虚假材料，其投标无效，并报监管部门查处；中标后发现的，中标人须依照《中华人民共和国消费者权益保护法》第49条之规定双倍赔偿</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rPr>
        <w:t>，且民事赔偿并不免除违法投标人的行政与刑事责任。</w:t>
      </w:r>
    </w:p>
    <w:p>
      <w:pPr>
        <w:numPr>
          <w:ilvl w:val="1"/>
          <w:numId w:val="8"/>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val="zh-CN"/>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pPr>
        <w:spacing w:before="100" w:beforeAutospacing="1" w:after="100" w:afterAutospacing="1" w:line="440" w:lineRule="exact"/>
        <w:jc w:val="center"/>
        <w:outlineLvl w:val="0"/>
        <w:rPr>
          <w:rFonts w:ascii="宋体" w:hAnsi="宋体"/>
          <w:b/>
          <w:bCs/>
          <w:color w:val="auto"/>
          <w:sz w:val="26"/>
          <w:szCs w:val="26"/>
          <w:highlight w:val="none"/>
        </w:rPr>
      </w:pPr>
      <w:bookmarkStart w:id="77" w:name="_Toc514"/>
      <w:r>
        <w:rPr>
          <w:rFonts w:hint="eastAsia" w:ascii="宋体" w:hAnsi="宋体"/>
          <w:b/>
          <w:bCs/>
          <w:color w:val="auto"/>
          <w:sz w:val="26"/>
          <w:szCs w:val="26"/>
          <w:highlight w:val="none"/>
          <w:lang w:val="en-US" w:eastAsia="zh-CN"/>
        </w:rPr>
        <w:t>三</w:t>
      </w:r>
      <w:r>
        <w:rPr>
          <w:rFonts w:hint="eastAsia" w:ascii="宋体" w:hAnsi="宋体"/>
          <w:b/>
          <w:bCs/>
          <w:color w:val="auto"/>
          <w:sz w:val="26"/>
          <w:szCs w:val="26"/>
          <w:highlight w:val="none"/>
        </w:rPr>
        <w:t>、 招标文件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7"/>
    </w:p>
    <w:p>
      <w:pPr>
        <w:numPr>
          <w:ilvl w:val="0"/>
          <w:numId w:val="9"/>
        </w:numPr>
        <w:tabs>
          <w:tab w:val="left" w:pos="54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由</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目录所列内容及相关资料组成。</w:t>
      </w:r>
    </w:p>
    <w:p>
      <w:pPr>
        <w:numPr>
          <w:ilvl w:val="0"/>
          <w:numId w:val="9"/>
        </w:numPr>
        <w:tabs>
          <w:tab w:val="left" w:pos="54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质疑</w:t>
      </w:r>
    </w:p>
    <w:p>
      <w:pPr>
        <w:numPr>
          <w:ilvl w:val="1"/>
          <w:numId w:val="10"/>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投标人认为</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、采购过程、中标或者成交结果使自己的权益受到损害的，可以在知道或者应知其权益受到损害之日起7个工作日内，以书面形式向</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rPr>
        <w:t>、采购代理机构提出质疑。逾期提出的，采购组织机构将不予受理、答复。</w:t>
      </w:r>
    </w:p>
    <w:p>
      <w:pPr>
        <w:numPr>
          <w:ilvl w:val="1"/>
          <w:numId w:val="10"/>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投标人提出质疑应当提交质疑函和必要的证明材料，质疑函范本请到“浙江政府采购网下载专区”下载，质疑函内容及签署等相关要求请参看《政府采购质疑和投诉办法》相关规定。</w:t>
      </w:r>
    </w:p>
    <w:p>
      <w:pPr>
        <w:numPr>
          <w:ilvl w:val="1"/>
          <w:numId w:val="10"/>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提出质疑的投标人应当是参与本项目招标活动的投标人。投标人在法定质疑期内一次性提出针对同一采购程序环节的质疑。</w:t>
      </w:r>
    </w:p>
    <w:p>
      <w:pPr>
        <w:numPr>
          <w:ilvl w:val="1"/>
          <w:numId w:val="10"/>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根据《政府采购质疑和投诉办法》第三十七条的规定，投诉人在全国范围12个月内三次以上投诉查无实据的，由财政部门列入不良行为记录名单。</w:t>
      </w:r>
    </w:p>
    <w:p>
      <w:pPr>
        <w:numPr>
          <w:ilvl w:val="0"/>
          <w:numId w:val="9"/>
        </w:numPr>
        <w:tabs>
          <w:tab w:val="left" w:pos="54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投诉</w:t>
      </w:r>
    </w:p>
    <w:p>
      <w:pPr>
        <w:keepNext w:val="0"/>
        <w:keepLines w:val="0"/>
        <w:pageBreakBefore w:val="0"/>
        <w:widowControl w:val="0"/>
        <w:tabs>
          <w:tab w:val="left" w:pos="540"/>
        </w:tabs>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highlight w:val="none"/>
        </w:rPr>
        <w:t>质疑投标人对</w:t>
      </w:r>
      <w:r>
        <w:rPr>
          <w:rFonts w:hint="eastAsia" w:ascii="宋体" w:hAnsi="宋体" w:cs="宋体"/>
          <w:color w:val="auto"/>
          <w:spacing w:val="6"/>
          <w:sz w:val="22"/>
          <w:highlight w:val="none"/>
          <w:lang w:eastAsia="zh-CN"/>
        </w:rPr>
        <w:t>招标人</w:t>
      </w:r>
      <w:r>
        <w:rPr>
          <w:rFonts w:hint="eastAsia" w:ascii="宋体" w:hAnsi="宋体" w:eastAsia="宋体" w:cs="宋体"/>
          <w:color w:val="auto"/>
          <w:spacing w:val="6"/>
          <w:sz w:val="22"/>
          <w:highlight w:val="none"/>
        </w:rPr>
        <w:t>、采购代理机构的答复不满意或者</w:t>
      </w:r>
      <w:r>
        <w:rPr>
          <w:rFonts w:hint="eastAsia" w:ascii="宋体" w:hAnsi="宋体" w:cs="宋体"/>
          <w:color w:val="auto"/>
          <w:spacing w:val="6"/>
          <w:sz w:val="22"/>
          <w:highlight w:val="none"/>
          <w:lang w:eastAsia="zh-CN"/>
        </w:rPr>
        <w:t>招标人</w:t>
      </w:r>
      <w:r>
        <w:rPr>
          <w:rFonts w:hint="eastAsia" w:ascii="宋体" w:hAnsi="宋体" w:eastAsia="宋体" w:cs="宋体"/>
          <w:color w:val="auto"/>
          <w:spacing w:val="6"/>
          <w:sz w:val="22"/>
          <w:highlight w:val="none"/>
        </w:rPr>
        <w:t>、采购代理机构未在规定的时间内作出答复的，可以在答复期满后十五个工作日内向同级政府采购监督部门投诉。投诉书范本请到“浙江政府采购网下载专区”下载。</w:t>
      </w:r>
    </w:p>
    <w:p>
      <w:pPr>
        <w:numPr>
          <w:ilvl w:val="0"/>
          <w:numId w:val="9"/>
        </w:numPr>
        <w:tabs>
          <w:tab w:val="left" w:pos="54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的澄清或修改</w:t>
      </w:r>
    </w:p>
    <w:p>
      <w:pPr>
        <w:numPr>
          <w:ilvl w:val="1"/>
          <w:numId w:val="11"/>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rPr>
        <w:t>或者采购代理机构可以对已发出的</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进行必要的澄清或者修改。澄清或者修改在浙江政府采购网上发布公告，同时政采云系统会向所有已按</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规定方式获取</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的潜在投标人发送更正提醒信息，潜在投标人请自行到浙江省政府采购网上下载公告附件，潜在投标人在收到该公告附件后应于1日内，以书面或</w:t>
      </w:r>
      <w:r>
        <w:rPr>
          <w:rFonts w:hint="eastAsia" w:ascii="宋体" w:hAnsi="宋体" w:cs="Arial"/>
          <w:color w:val="auto"/>
          <w:sz w:val="22"/>
          <w:szCs w:val="22"/>
          <w:highlight w:val="none"/>
          <w:lang w:eastAsia="zh-CN"/>
        </w:rPr>
        <w:t>电子邮件</w:t>
      </w:r>
      <w:r>
        <w:rPr>
          <w:rFonts w:hint="eastAsia" w:ascii="宋体" w:hAnsi="宋体" w:eastAsia="宋体" w:cs="Arial"/>
          <w:color w:val="auto"/>
          <w:sz w:val="22"/>
          <w:szCs w:val="22"/>
          <w:highlight w:val="none"/>
        </w:rPr>
        <w:t>形式（签署意见并加盖公章）向采购代理机构回函给予确认。过期未回复的，视为默认接受。澄清或者修改的内容为</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的组成部分。</w:t>
      </w:r>
    </w:p>
    <w:p>
      <w:pPr>
        <w:numPr>
          <w:ilvl w:val="1"/>
          <w:numId w:val="11"/>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澄清或者修改的内容可能影响投标文件编制的，</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rPr>
        <w:t>或者采购代理机构应当在投标截止时间至少15日前，以书面形式（在浙江政府采购网上发布公告）通知所有获取</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的潜在投标人；不足15日的，</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rPr>
        <w:t>或者采购代理机构应当顺延提交投标文件的截止时间。</w:t>
      </w:r>
    </w:p>
    <w:p>
      <w:pPr>
        <w:numPr>
          <w:ilvl w:val="1"/>
          <w:numId w:val="11"/>
        </w:numPr>
        <w:tabs>
          <w:tab w:val="left" w:pos="360"/>
          <w:tab w:val="clear" w:pos="992"/>
        </w:tabs>
        <w:spacing w:line="460" w:lineRule="exact"/>
        <w:ind w:left="640" w:leftChars="0" w:hanging="567" w:firstLineChars="0"/>
        <w:rPr>
          <w:rFonts w:hint="eastAsia" w:ascii="宋体" w:hAnsi="宋体" w:eastAsia="宋体" w:cs="宋体"/>
          <w:color w:val="auto"/>
          <w:sz w:val="22"/>
          <w:szCs w:val="22"/>
          <w:highlight w:val="none"/>
        </w:rPr>
      </w:pP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如有补充更正均见“</w:t>
      </w:r>
      <w:r>
        <w:rPr>
          <w:rFonts w:hint="eastAsia" w:ascii="宋体" w:hAnsi="宋体" w:eastAsia="宋体" w:cs="Arial"/>
          <w:color w:val="auto"/>
          <w:sz w:val="22"/>
          <w:szCs w:val="22"/>
          <w:highlight w:val="none"/>
          <w:lang w:val="en-US" w:eastAsia="zh-CN"/>
        </w:rPr>
        <w:t>浙江政府采购</w:t>
      </w:r>
      <w:r>
        <w:rPr>
          <w:rFonts w:hint="eastAsia" w:ascii="宋体" w:hAnsi="宋体" w:eastAsia="宋体" w:cs="Arial"/>
          <w:color w:val="auto"/>
          <w:sz w:val="22"/>
          <w:szCs w:val="22"/>
          <w:highlight w:val="none"/>
        </w:rPr>
        <w:t>”（https://zfcg.czt.zj.gov.cn/）。投标人须在开标</w:t>
      </w:r>
      <w:r>
        <w:rPr>
          <w:rFonts w:hint="eastAsia" w:ascii="宋体" w:hAnsi="宋体" w:eastAsia="宋体" w:cs="宋体"/>
          <w:color w:val="auto"/>
          <w:spacing w:val="6"/>
          <w:sz w:val="22"/>
          <w:highlight w:val="none"/>
        </w:rPr>
        <w:t>前一日自行查看是否有补充更正文件，并按补充更正文件要求投标，否则责任自负。</w:t>
      </w:r>
    </w:p>
    <w:p>
      <w:pPr>
        <w:spacing w:before="100" w:beforeAutospacing="1" w:after="100" w:afterAutospacing="1" w:line="440" w:lineRule="exact"/>
        <w:jc w:val="center"/>
        <w:outlineLvl w:val="0"/>
        <w:rPr>
          <w:rFonts w:ascii="宋体" w:hAnsi="宋体"/>
          <w:b/>
          <w:bCs/>
          <w:color w:val="auto"/>
          <w:sz w:val="26"/>
          <w:szCs w:val="26"/>
          <w:highlight w:val="none"/>
        </w:rPr>
      </w:pPr>
      <w:bookmarkStart w:id="78" w:name="_Toc221423618"/>
      <w:bookmarkStart w:id="79" w:name="_Toc249758711"/>
      <w:bookmarkStart w:id="80" w:name="_Toc262105502"/>
      <w:bookmarkStart w:id="81" w:name="_Toc245191313"/>
      <w:bookmarkStart w:id="82" w:name="_Toc249758863"/>
      <w:bookmarkStart w:id="83" w:name="_Toc239145353"/>
      <w:bookmarkStart w:id="84" w:name="_Toc245722280"/>
      <w:bookmarkStart w:id="85" w:name="_Toc11453"/>
      <w:bookmarkStart w:id="86" w:name="_Toc246261264"/>
      <w:bookmarkStart w:id="87" w:name="_Toc221356950"/>
      <w:bookmarkStart w:id="88" w:name="_Toc221374625"/>
      <w:bookmarkStart w:id="89" w:name="_Toc221356885"/>
      <w:bookmarkStart w:id="90" w:name="_Toc222114878"/>
      <w:bookmarkStart w:id="91" w:name="_Toc241404201"/>
      <w:bookmarkStart w:id="92" w:name="_Toc223715997"/>
      <w:bookmarkStart w:id="93" w:name="_Toc262049417"/>
      <w:r>
        <w:rPr>
          <w:rFonts w:hint="eastAsia" w:ascii="宋体" w:hAnsi="宋体"/>
          <w:b/>
          <w:bCs/>
          <w:color w:val="auto"/>
          <w:sz w:val="26"/>
          <w:szCs w:val="26"/>
          <w:highlight w:val="none"/>
          <w:lang w:val="en-US" w:eastAsia="zh-CN"/>
        </w:rPr>
        <w:t>四</w:t>
      </w:r>
      <w:r>
        <w:rPr>
          <w:rFonts w:hint="eastAsia" w:ascii="宋体" w:hAnsi="宋体"/>
          <w:b/>
          <w:bCs/>
          <w:color w:val="auto"/>
          <w:sz w:val="26"/>
          <w:szCs w:val="26"/>
          <w:highlight w:val="none"/>
        </w:rPr>
        <w:t>、 投标文件的编制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numPr>
          <w:ilvl w:val="0"/>
          <w:numId w:val="12"/>
        </w:numPr>
        <w:tabs>
          <w:tab w:val="left" w:pos="540"/>
          <w:tab w:val="clear" w:pos="420"/>
        </w:tabs>
        <w:spacing w:line="460" w:lineRule="exact"/>
        <w:ind w:left="540" w:hanging="540"/>
        <w:rPr>
          <w:rFonts w:ascii="宋体" w:hAnsi="宋体"/>
          <w:color w:val="auto"/>
          <w:sz w:val="22"/>
          <w:szCs w:val="22"/>
          <w:highlight w:val="none"/>
        </w:rPr>
      </w:pPr>
      <w:r>
        <w:rPr>
          <w:rFonts w:hint="eastAsia" w:ascii="宋体" w:hAnsi="宋体" w:cs="Arial"/>
          <w:color w:val="auto"/>
          <w:sz w:val="22"/>
          <w:szCs w:val="22"/>
          <w:highlight w:val="none"/>
        </w:rPr>
        <w:t>投标人应认真阅读招标文件中所有事项格式、条款和技术规范等。</w:t>
      </w:r>
      <w:r>
        <w:rPr>
          <w:rFonts w:hint="eastAsia" w:ascii="宋体" w:hAnsi="宋体" w:cs="Arial"/>
          <w:b/>
          <w:color w:val="auto"/>
          <w:sz w:val="22"/>
          <w:szCs w:val="22"/>
          <w:highlight w:val="none"/>
        </w:rPr>
        <w:t>投标人没有按照招标文件要求提交全部资料，或者没有对招标文件各个方面做出实质性响应，导致投标被拒绝的风险由投标人自行承担。</w:t>
      </w:r>
    </w:p>
    <w:p>
      <w:pPr>
        <w:numPr>
          <w:ilvl w:val="0"/>
          <w:numId w:val="12"/>
        </w:numPr>
        <w:tabs>
          <w:tab w:val="left" w:pos="540"/>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投标文件的构成</w:t>
      </w:r>
    </w:p>
    <w:p>
      <w:pPr>
        <w:numPr>
          <w:ilvl w:val="0"/>
          <w:numId w:val="0"/>
        </w:numPr>
        <w:tabs>
          <w:tab w:val="left" w:pos="540"/>
        </w:tabs>
        <w:spacing w:line="460" w:lineRule="exact"/>
        <w:ind w:leftChars="0" w:firstLine="442" w:firstLineChars="200"/>
        <w:rPr>
          <w:rFonts w:hint="eastAsia" w:ascii="宋体" w:hAnsi="宋体" w:eastAsia="宋体" w:cs="Arial"/>
          <w:b/>
          <w:color w:val="auto"/>
          <w:sz w:val="22"/>
          <w:szCs w:val="22"/>
          <w:highlight w:val="none"/>
          <w:u w:val="single"/>
        </w:rPr>
      </w:pPr>
      <w:r>
        <w:rPr>
          <w:rFonts w:hint="eastAsia" w:ascii="宋体" w:hAnsi="宋体" w:eastAsia="宋体" w:cs="Arial"/>
          <w:b/>
          <w:color w:val="auto"/>
          <w:sz w:val="22"/>
          <w:szCs w:val="22"/>
          <w:highlight w:val="none"/>
          <w:u w:val="single"/>
        </w:rPr>
        <w:t>投标文件由资格文件、商务技术文件、报价文件三部分构成：</w:t>
      </w:r>
    </w:p>
    <w:p>
      <w:pPr>
        <w:spacing w:line="430" w:lineRule="exact"/>
        <w:ind w:left="187" w:leftChars="85" w:hanging="9" w:hangingChars="4"/>
        <w:rPr>
          <w:rFonts w:ascii="宋体" w:cs="hakuyoxingshu7000"/>
          <w:b/>
          <w:color w:val="auto"/>
          <w:sz w:val="22"/>
          <w:szCs w:val="22"/>
          <w:highlight w:val="none"/>
        </w:rPr>
      </w:pPr>
      <w:r>
        <w:rPr>
          <w:rFonts w:hint="eastAsia" w:ascii="宋体" w:hAnsi="宋体" w:cs="hakuyoxingshu7000"/>
          <w:b/>
          <w:color w:val="auto"/>
          <w:sz w:val="22"/>
          <w:szCs w:val="22"/>
          <w:highlight w:val="none"/>
        </w:rPr>
        <w:t>（</w:t>
      </w:r>
      <w:r>
        <w:rPr>
          <w:rFonts w:ascii="宋体" w:hAnsi="宋体" w:cs="hakuyoxingshu7000"/>
          <w:b/>
          <w:color w:val="auto"/>
          <w:sz w:val="22"/>
          <w:szCs w:val="22"/>
          <w:highlight w:val="none"/>
        </w:rPr>
        <w:t>1</w:t>
      </w:r>
      <w:r>
        <w:rPr>
          <w:rFonts w:hint="eastAsia" w:ascii="宋体" w:hAnsi="宋体" w:cs="hakuyoxingshu7000"/>
          <w:b/>
          <w:color w:val="auto"/>
          <w:sz w:val="22"/>
          <w:szCs w:val="22"/>
          <w:highlight w:val="none"/>
        </w:rPr>
        <w:t>）资格文件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
                <w:color w:val="auto"/>
                <w:sz w:val="22"/>
                <w:szCs w:val="22"/>
                <w:highlight w:val="none"/>
              </w:rPr>
            </w:pPr>
            <w:r>
              <w:rPr>
                <w:rFonts w:hint="eastAsia" w:ascii="宋体" w:hAnsi="宋体" w:cs="新宋体"/>
                <w:b/>
                <w:color w:val="auto"/>
                <w:sz w:val="22"/>
                <w:szCs w:val="22"/>
                <w:highlight w:val="none"/>
              </w:rPr>
              <w:t>序号</w:t>
            </w:r>
          </w:p>
        </w:tc>
        <w:tc>
          <w:tcPr>
            <w:tcW w:w="7514" w:type="dxa"/>
            <w:vAlign w:val="center"/>
          </w:tcPr>
          <w:p>
            <w:pPr>
              <w:overflowPunct w:val="0"/>
              <w:spacing w:line="430" w:lineRule="exact"/>
              <w:jc w:val="center"/>
              <w:rPr>
                <w:rFonts w:ascii="宋体" w:cs="新宋体"/>
                <w:b/>
                <w:color w:val="auto"/>
                <w:sz w:val="22"/>
                <w:szCs w:val="22"/>
                <w:highlight w:val="none"/>
              </w:rPr>
            </w:pPr>
            <w:r>
              <w:rPr>
                <w:rFonts w:hint="eastAsia" w:ascii="宋体" w:hAnsi="宋体" w:cs="新宋体"/>
                <w:b/>
                <w:color w:val="auto"/>
                <w:sz w:val="22"/>
                <w:szCs w:val="22"/>
                <w:highlight w:val="none"/>
              </w:rPr>
              <w:t>内容</w:t>
            </w:r>
          </w:p>
        </w:tc>
        <w:tc>
          <w:tcPr>
            <w:tcW w:w="1523" w:type="dxa"/>
            <w:vAlign w:val="center"/>
          </w:tcPr>
          <w:p>
            <w:pPr>
              <w:overflowPunct w:val="0"/>
              <w:spacing w:line="430" w:lineRule="exact"/>
              <w:jc w:val="center"/>
              <w:rPr>
                <w:rFonts w:ascii="宋体" w:cs="新宋体"/>
                <w:b/>
                <w:color w:val="auto"/>
                <w:sz w:val="22"/>
                <w:szCs w:val="22"/>
                <w:highlight w:val="none"/>
              </w:rPr>
            </w:pPr>
            <w:r>
              <w:rPr>
                <w:rFonts w:hint="eastAsia" w:ascii="宋体" w:hAnsi="宋体" w:cs="新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Cs/>
                <w:color w:val="auto"/>
                <w:sz w:val="22"/>
                <w:szCs w:val="22"/>
                <w:highlight w:val="none"/>
              </w:rPr>
            </w:pPr>
            <w:r>
              <w:rPr>
                <w:rFonts w:ascii="宋体" w:hAnsi="宋体" w:cs="新宋体"/>
                <w:bCs/>
                <w:color w:val="auto"/>
                <w:sz w:val="22"/>
                <w:szCs w:val="22"/>
                <w:highlight w:val="none"/>
              </w:rPr>
              <w:t>1</w:t>
            </w:r>
          </w:p>
        </w:tc>
        <w:tc>
          <w:tcPr>
            <w:tcW w:w="7514" w:type="dxa"/>
            <w:vAlign w:val="center"/>
          </w:tcPr>
          <w:p>
            <w:pPr>
              <w:rPr>
                <w:rFonts w:ascii="宋体" w:cs="新宋体"/>
                <w:bCs/>
                <w:color w:val="auto"/>
                <w:sz w:val="22"/>
                <w:szCs w:val="22"/>
                <w:highlight w:val="none"/>
              </w:rPr>
            </w:pPr>
            <w:r>
              <w:rPr>
                <w:rFonts w:hint="eastAsia" w:ascii="宋体" w:hAnsi="宋体"/>
                <w:color w:val="auto"/>
                <w:sz w:val="22"/>
                <w:szCs w:val="22"/>
                <w:highlight w:val="none"/>
              </w:rPr>
              <w:t>营业执照</w:t>
            </w:r>
            <w:r>
              <w:rPr>
                <w:rFonts w:ascii="宋体" w:hAnsi="宋体"/>
                <w:color w:val="auto"/>
                <w:sz w:val="22"/>
                <w:szCs w:val="22"/>
                <w:highlight w:val="none"/>
              </w:rPr>
              <w:t>(</w:t>
            </w:r>
            <w:r>
              <w:rPr>
                <w:rFonts w:hint="eastAsia" w:ascii="宋体" w:hAnsi="宋体"/>
                <w:color w:val="auto"/>
                <w:sz w:val="22"/>
                <w:szCs w:val="22"/>
                <w:highlight w:val="none"/>
              </w:rPr>
              <w:t>或事业法人登记证书或其它工商等登记证明材料；自然人参与政府采购，提供身份证</w:t>
            </w:r>
            <w:r>
              <w:rPr>
                <w:rFonts w:ascii="宋体" w:hAnsi="宋体"/>
                <w:color w:val="auto"/>
                <w:sz w:val="22"/>
                <w:szCs w:val="22"/>
                <w:highlight w:val="none"/>
              </w:rPr>
              <w:t>)</w:t>
            </w:r>
            <w:r>
              <w:rPr>
                <w:rFonts w:hint="eastAsia" w:ascii="宋体" w:hAnsi="宋体"/>
                <w:color w:val="auto"/>
                <w:sz w:val="22"/>
                <w:szCs w:val="22"/>
                <w:highlight w:val="none"/>
              </w:rPr>
              <w:t>复印件、税务登记证</w:t>
            </w:r>
            <w:r>
              <w:rPr>
                <w:rFonts w:ascii="宋体" w:hAnsi="宋体"/>
                <w:color w:val="auto"/>
                <w:sz w:val="22"/>
                <w:szCs w:val="22"/>
                <w:highlight w:val="none"/>
              </w:rPr>
              <w:t>(</w:t>
            </w:r>
            <w:r>
              <w:rPr>
                <w:rFonts w:hint="eastAsia" w:ascii="宋体" w:hAnsi="宋体"/>
                <w:color w:val="auto"/>
                <w:sz w:val="22"/>
                <w:szCs w:val="22"/>
                <w:highlight w:val="none"/>
              </w:rPr>
              <w:t>或其它缴纳证明材料</w:t>
            </w:r>
            <w:r>
              <w:rPr>
                <w:rFonts w:ascii="宋体" w:hAnsi="宋体"/>
                <w:color w:val="auto"/>
                <w:sz w:val="22"/>
                <w:szCs w:val="22"/>
                <w:highlight w:val="none"/>
              </w:rPr>
              <w:t>)</w:t>
            </w:r>
            <w:r>
              <w:rPr>
                <w:rFonts w:hint="eastAsia" w:ascii="宋体" w:hAnsi="宋体"/>
                <w:color w:val="auto"/>
                <w:sz w:val="22"/>
                <w:szCs w:val="22"/>
                <w:highlight w:val="none"/>
              </w:rPr>
              <w:t>复印件、社保登记证（或其它缴纳证明材料）复印件；实施“五证合一、一照一码”登记制度改革的，只需提供改革后取得的营业执照复印件；</w:t>
            </w:r>
          </w:p>
        </w:tc>
        <w:tc>
          <w:tcPr>
            <w:tcW w:w="1523" w:type="dxa"/>
            <w:vAlign w:val="center"/>
          </w:tcPr>
          <w:p>
            <w:pPr>
              <w:overflowPunct w:val="0"/>
              <w:spacing w:line="430" w:lineRule="exact"/>
              <w:jc w:val="center"/>
              <w:rPr>
                <w:rFonts w:ascii="宋体" w:cs="新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hAnsi="Times New Roman" w:eastAsia="宋体" w:cs="新宋体"/>
                <w:bCs/>
                <w:color w:val="auto"/>
                <w:kern w:val="2"/>
                <w:sz w:val="22"/>
                <w:szCs w:val="22"/>
                <w:highlight w:val="none"/>
                <w:lang w:val="en-US" w:eastAsia="zh-CN" w:bidi="ar-SA"/>
              </w:rPr>
            </w:pPr>
            <w:r>
              <w:rPr>
                <w:rFonts w:ascii="宋体" w:hAnsi="宋体" w:cs="新宋体"/>
                <w:bCs/>
                <w:color w:val="auto"/>
                <w:sz w:val="22"/>
                <w:szCs w:val="22"/>
                <w:highlight w:val="none"/>
              </w:rPr>
              <w:t>2</w:t>
            </w:r>
          </w:p>
        </w:tc>
        <w:tc>
          <w:tcPr>
            <w:tcW w:w="7514" w:type="dxa"/>
            <w:vAlign w:val="center"/>
          </w:tcPr>
          <w:p>
            <w:pPr>
              <w:rPr>
                <w:rFonts w:hint="eastAsia" w:ascii="宋体" w:hAnsi="Times New Roman" w:eastAsia="宋体" w:cs="新宋体"/>
                <w:bCs/>
                <w:color w:val="auto"/>
                <w:kern w:val="2"/>
                <w:sz w:val="22"/>
                <w:szCs w:val="22"/>
                <w:highlight w:val="none"/>
                <w:lang w:val="en-US" w:eastAsia="zh-CN" w:bidi="ar-SA"/>
              </w:rPr>
            </w:pPr>
            <w:r>
              <w:rPr>
                <w:rFonts w:hint="eastAsia" w:ascii="宋体" w:cs="新宋体"/>
                <w:bCs/>
                <w:color w:val="auto"/>
                <w:sz w:val="22"/>
                <w:szCs w:val="22"/>
                <w:highlight w:val="none"/>
              </w:rPr>
              <w:t>法定代表人声明书或法定代表人授权书</w:t>
            </w:r>
          </w:p>
        </w:tc>
        <w:tc>
          <w:tcPr>
            <w:tcW w:w="1523" w:type="dxa"/>
            <w:vMerge w:val="restart"/>
            <w:vAlign w:val="center"/>
          </w:tcPr>
          <w:p>
            <w:pPr>
              <w:jc w:val="center"/>
              <w:rPr>
                <w:rFonts w:ascii="宋体" w:cs="新宋体"/>
                <w:bCs/>
                <w:color w:val="auto"/>
                <w:sz w:val="22"/>
                <w:szCs w:val="22"/>
                <w:highlight w:val="none"/>
              </w:rPr>
            </w:pPr>
            <w:r>
              <w:rPr>
                <w:rFonts w:hint="eastAsia" w:ascii="宋体" w:hAnsi="宋体" w:cs="新宋体"/>
                <w:bCs/>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hAnsi="Times New Roman" w:eastAsia="宋体" w:cs="新宋体"/>
                <w:bCs/>
                <w:color w:val="auto"/>
                <w:kern w:val="2"/>
                <w:sz w:val="22"/>
                <w:szCs w:val="22"/>
                <w:highlight w:val="none"/>
                <w:lang w:val="en-US" w:eastAsia="zh-CN" w:bidi="ar-SA"/>
              </w:rPr>
            </w:pPr>
            <w:r>
              <w:rPr>
                <w:rFonts w:ascii="宋体" w:hAnsi="宋体" w:cs="新宋体"/>
                <w:bCs/>
                <w:color w:val="auto"/>
                <w:sz w:val="22"/>
                <w:szCs w:val="22"/>
                <w:highlight w:val="none"/>
              </w:rPr>
              <w:t>3</w:t>
            </w:r>
          </w:p>
        </w:tc>
        <w:tc>
          <w:tcPr>
            <w:tcW w:w="7514" w:type="dxa"/>
            <w:vAlign w:val="center"/>
          </w:tcPr>
          <w:p>
            <w:pPr>
              <w:rPr>
                <w:rFonts w:ascii="宋体" w:hAnsi="Times New Roman" w:eastAsia="宋体" w:cs="新宋体"/>
                <w:bCs/>
                <w:color w:val="auto"/>
                <w:kern w:val="2"/>
                <w:sz w:val="22"/>
                <w:szCs w:val="22"/>
                <w:highlight w:val="none"/>
                <w:lang w:val="en-US" w:eastAsia="zh-CN" w:bidi="ar-SA"/>
              </w:rPr>
            </w:pPr>
            <w:r>
              <w:rPr>
                <w:rFonts w:hint="eastAsia" w:ascii="宋体" w:cs="新宋体"/>
                <w:bCs/>
                <w:color w:val="auto"/>
                <w:sz w:val="22"/>
                <w:szCs w:val="22"/>
                <w:highlight w:val="none"/>
                <w:lang w:eastAsia="zh-CN"/>
              </w:rPr>
              <w:t>投标人</w:t>
            </w:r>
            <w:r>
              <w:rPr>
                <w:rFonts w:hint="eastAsia" w:ascii="宋体" w:cs="新宋体"/>
                <w:bCs/>
                <w:color w:val="auto"/>
                <w:sz w:val="22"/>
                <w:szCs w:val="22"/>
                <w:highlight w:val="none"/>
              </w:rPr>
              <w:t>参与政府采购活动投标资格声明函</w:t>
            </w:r>
          </w:p>
        </w:tc>
        <w:tc>
          <w:tcPr>
            <w:tcW w:w="1523" w:type="dxa"/>
            <w:vMerge w:val="continue"/>
            <w:vAlign w:val="center"/>
          </w:tcPr>
          <w:p>
            <w:pPr>
              <w:jc w:val="center"/>
              <w:rPr>
                <w:rFonts w:ascii="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hAnsi="Times New Roman" w:eastAsia="宋体" w:cs="新宋体"/>
                <w:bCs/>
                <w:color w:val="auto"/>
                <w:kern w:val="2"/>
                <w:sz w:val="22"/>
                <w:szCs w:val="22"/>
                <w:highlight w:val="none"/>
                <w:lang w:val="en-US" w:eastAsia="zh-CN" w:bidi="ar-SA"/>
              </w:rPr>
            </w:pPr>
            <w:r>
              <w:rPr>
                <w:rFonts w:ascii="宋体" w:hAnsi="宋体" w:cs="新宋体"/>
                <w:bCs/>
                <w:color w:val="auto"/>
                <w:sz w:val="22"/>
                <w:szCs w:val="22"/>
                <w:highlight w:val="none"/>
              </w:rPr>
              <w:t>4</w:t>
            </w:r>
          </w:p>
        </w:tc>
        <w:tc>
          <w:tcPr>
            <w:tcW w:w="7514" w:type="dxa"/>
            <w:vAlign w:val="center"/>
          </w:tcPr>
          <w:p>
            <w:pPr>
              <w:rPr>
                <w:rFonts w:ascii="宋体" w:hAnsi="Times New Roman" w:eastAsia="宋体" w:cs="新宋体"/>
                <w:bCs/>
                <w:color w:val="auto"/>
                <w:kern w:val="2"/>
                <w:sz w:val="22"/>
                <w:szCs w:val="22"/>
                <w:highlight w:val="none"/>
                <w:lang w:val="en-US" w:eastAsia="zh-CN" w:bidi="ar-SA"/>
              </w:rPr>
            </w:pPr>
            <w:r>
              <w:rPr>
                <w:rFonts w:hint="eastAsia" w:ascii="宋体" w:cs="新宋体"/>
                <w:bCs/>
                <w:color w:val="auto"/>
                <w:sz w:val="22"/>
                <w:szCs w:val="22"/>
                <w:highlight w:val="none"/>
              </w:rPr>
              <w:t>诚信投标承诺书</w:t>
            </w:r>
          </w:p>
        </w:tc>
        <w:tc>
          <w:tcPr>
            <w:tcW w:w="1523" w:type="dxa"/>
            <w:vMerge w:val="continue"/>
            <w:vAlign w:val="center"/>
          </w:tcPr>
          <w:p>
            <w:pPr>
              <w:spacing w:line="400" w:lineRule="exact"/>
              <w:jc w:val="center"/>
              <w:rPr>
                <w:rFonts w:asci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hAnsi="Times New Roman" w:eastAsia="宋体" w:cs="新宋体"/>
                <w:bCs/>
                <w:color w:val="auto"/>
                <w:kern w:val="2"/>
                <w:sz w:val="22"/>
                <w:szCs w:val="22"/>
                <w:highlight w:val="none"/>
                <w:lang w:val="en-US" w:eastAsia="zh-CN" w:bidi="ar-SA"/>
              </w:rPr>
            </w:pPr>
            <w:r>
              <w:rPr>
                <w:rFonts w:hint="eastAsia" w:ascii="宋体" w:cs="新宋体"/>
                <w:bCs/>
                <w:color w:val="auto"/>
                <w:sz w:val="22"/>
                <w:szCs w:val="22"/>
                <w:highlight w:val="none"/>
              </w:rPr>
              <w:t>5</w:t>
            </w:r>
          </w:p>
        </w:tc>
        <w:tc>
          <w:tcPr>
            <w:tcW w:w="7514" w:type="dxa"/>
            <w:vAlign w:val="center"/>
          </w:tcPr>
          <w:p>
            <w:pPr>
              <w:rPr>
                <w:rFonts w:hint="eastAsia" w:ascii="宋体" w:hAnsi="宋体" w:eastAsia="宋体" w:cs="新宋体"/>
                <w:bCs/>
                <w:color w:val="auto"/>
                <w:kern w:val="2"/>
                <w:sz w:val="22"/>
                <w:szCs w:val="22"/>
                <w:highlight w:val="none"/>
                <w:lang w:val="en-US" w:eastAsia="zh-CN" w:bidi="ar-SA"/>
              </w:rPr>
            </w:pPr>
            <w:r>
              <w:rPr>
                <w:rFonts w:hint="eastAsia" w:ascii="宋体" w:cs="新宋体"/>
                <w:bCs/>
                <w:color w:val="auto"/>
                <w:sz w:val="22"/>
                <w:szCs w:val="22"/>
                <w:highlight w:val="none"/>
              </w:rPr>
              <w:t>小微企业（或监狱企业、残疾人福利单位）声明函</w:t>
            </w:r>
          </w:p>
        </w:tc>
        <w:tc>
          <w:tcPr>
            <w:tcW w:w="1523" w:type="dxa"/>
            <w:vMerge w:val="continue"/>
            <w:vAlign w:val="center"/>
          </w:tcPr>
          <w:p>
            <w:pPr>
              <w:spacing w:line="400" w:lineRule="exact"/>
              <w:jc w:val="center"/>
              <w:rPr>
                <w:rFonts w:asci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hint="default" w:ascii="宋体" w:eastAsia="宋体" w:cs="新宋体"/>
                <w:bCs/>
                <w:color w:val="auto"/>
                <w:sz w:val="22"/>
                <w:szCs w:val="22"/>
                <w:highlight w:val="none"/>
                <w:lang w:val="en-US" w:eastAsia="zh-CN"/>
              </w:rPr>
            </w:pPr>
            <w:r>
              <w:rPr>
                <w:rFonts w:hint="eastAsia" w:ascii="宋体" w:cs="新宋体"/>
                <w:bCs/>
                <w:color w:val="auto"/>
                <w:sz w:val="22"/>
                <w:szCs w:val="22"/>
                <w:highlight w:val="none"/>
                <w:lang w:val="en-US" w:eastAsia="zh-CN"/>
              </w:rPr>
              <w:t>6</w:t>
            </w:r>
          </w:p>
        </w:tc>
        <w:tc>
          <w:tcPr>
            <w:tcW w:w="7514" w:type="dxa"/>
            <w:vAlign w:val="center"/>
          </w:tcPr>
          <w:p>
            <w:pPr>
              <w:rPr>
                <w:rFonts w:ascii="宋体" w:cs="新宋体"/>
                <w:bCs/>
                <w:color w:val="auto"/>
                <w:sz w:val="22"/>
                <w:szCs w:val="22"/>
                <w:highlight w:val="none"/>
              </w:rPr>
            </w:pPr>
            <w:r>
              <w:rPr>
                <w:rFonts w:hint="eastAsia" w:ascii="宋体" w:hAnsi="宋体" w:cs="新宋体"/>
                <w:bCs/>
                <w:color w:val="auto"/>
                <w:sz w:val="22"/>
                <w:szCs w:val="22"/>
                <w:highlight w:val="none"/>
                <w:lang w:eastAsia="zh-CN"/>
              </w:rPr>
              <w:t>投标人</w:t>
            </w:r>
            <w:r>
              <w:rPr>
                <w:rFonts w:hint="eastAsia" w:ascii="宋体" w:hAnsi="宋体" w:cs="新宋体"/>
                <w:bCs/>
                <w:color w:val="auto"/>
                <w:sz w:val="22"/>
                <w:szCs w:val="22"/>
                <w:highlight w:val="none"/>
              </w:rPr>
              <w:t>“信用中国”</w:t>
            </w:r>
            <w:r>
              <w:rPr>
                <w:rFonts w:ascii="宋体" w:hAnsi="宋体" w:cs="新宋体"/>
                <w:bCs/>
                <w:color w:val="auto"/>
                <w:sz w:val="22"/>
                <w:szCs w:val="22"/>
                <w:highlight w:val="none"/>
              </w:rPr>
              <w:t>(www.creditchina.gov.cn)</w:t>
            </w:r>
            <w:r>
              <w:rPr>
                <w:rFonts w:hint="eastAsia" w:ascii="宋体" w:hAnsi="宋体" w:cs="新宋体"/>
                <w:bCs/>
                <w:color w:val="auto"/>
                <w:sz w:val="22"/>
                <w:szCs w:val="22"/>
                <w:highlight w:val="none"/>
              </w:rPr>
              <w:t>；“中国政府采购网”（</w:t>
            </w:r>
            <w:r>
              <w:rPr>
                <w:rFonts w:ascii="宋体" w:hAnsi="宋体" w:cs="新宋体"/>
                <w:bCs/>
                <w:color w:val="auto"/>
                <w:sz w:val="22"/>
                <w:szCs w:val="22"/>
                <w:highlight w:val="none"/>
              </w:rPr>
              <w:t>http://www.ccgp.gov.cn/</w:t>
            </w:r>
            <w:r>
              <w:rPr>
                <w:rFonts w:hint="eastAsia" w:ascii="宋体" w:hAnsi="宋体" w:cs="新宋体"/>
                <w:bCs/>
                <w:color w:val="auto"/>
                <w:sz w:val="22"/>
                <w:szCs w:val="22"/>
                <w:highlight w:val="none"/>
              </w:rPr>
              <w:t>）信用记录网页截图（采购公告发布之日至投标截止时间前）；</w:t>
            </w:r>
          </w:p>
        </w:tc>
        <w:tc>
          <w:tcPr>
            <w:tcW w:w="1523" w:type="dxa"/>
            <w:vAlign w:val="center"/>
          </w:tcPr>
          <w:p>
            <w:pPr>
              <w:jc w:val="center"/>
              <w:rPr>
                <w:rFonts w:ascii="宋体" w:cs="新宋体"/>
                <w:bCs/>
                <w:color w:val="auto"/>
                <w:sz w:val="22"/>
                <w:szCs w:val="22"/>
                <w:highlight w:val="none"/>
              </w:rPr>
            </w:pPr>
          </w:p>
        </w:tc>
      </w:tr>
    </w:tbl>
    <w:p>
      <w:pPr>
        <w:spacing w:line="430" w:lineRule="exact"/>
        <w:ind w:left="187" w:leftChars="85" w:hanging="9" w:hangingChars="4"/>
        <w:rPr>
          <w:rFonts w:ascii="宋体" w:cs="楷体"/>
          <w:b/>
          <w:color w:val="auto"/>
          <w:sz w:val="22"/>
          <w:szCs w:val="22"/>
          <w:highlight w:val="none"/>
        </w:rPr>
      </w:pPr>
      <w:r>
        <w:rPr>
          <w:rFonts w:hint="eastAsia" w:ascii="宋体" w:hAnsi="宋体" w:cs="楷体"/>
          <w:b/>
          <w:color w:val="auto"/>
          <w:sz w:val="22"/>
          <w:szCs w:val="22"/>
          <w:highlight w:val="none"/>
        </w:rPr>
        <w:t>备注：</w:t>
      </w:r>
      <w:r>
        <w:rPr>
          <w:rFonts w:hint="eastAsia" w:ascii="宋体" w:hAnsi="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430" w:lineRule="exact"/>
        <w:rPr>
          <w:rFonts w:ascii="宋体" w:cs="hakuyoxingshu7000"/>
          <w:b/>
          <w:color w:val="auto"/>
          <w:kern w:val="0"/>
          <w:sz w:val="22"/>
          <w:szCs w:val="22"/>
          <w:highlight w:val="none"/>
        </w:rPr>
      </w:pPr>
      <w:r>
        <w:rPr>
          <w:rFonts w:hint="eastAsia" w:ascii="宋体" w:hAnsi="宋体" w:cs="hakuyoxingshu7000"/>
          <w:b/>
          <w:color w:val="auto"/>
          <w:sz w:val="22"/>
          <w:szCs w:val="22"/>
          <w:highlight w:val="none"/>
        </w:rPr>
        <w:t>（</w:t>
      </w:r>
      <w:r>
        <w:rPr>
          <w:rFonts w:ascii="宋体" w:hAnsi="宋体" w:cs="hakuyoxingshu7000"/>
          <w:b/>
          <w:color w:val="auto"/>
          <w:sz w:val="22"/>
          <w:szCs w:val="22"/>
          <w:highlight w:val="none"/>
        </w:rPr>
        <w:t>2</w:t>
      </w:r>
      <w:r>
        <w:rPr>
          <w:rFonts w:hint="eastAsia" w:ascii="宋体" w:hAnsi="宋体" w:cs="hakuyoxingshu7000"/>
          <w:b/>
          <w:color w:val="auto"/>
          <w:sz w:val="22"/>
          <w:szCs w:val="22"/>
          <w:highlight w:val="none"/>
        </w:rPr>
        <w:t>）</w:t>
      </w:r>
      <w:r>
        <w:rPr>
          <w:rFonts w:hint="eastAsia" w:ascii="宋体" w:hAnsi="宋体" w:cs="hakuyoxingshu7000"/>
          <w:b/>
          <w:color w:val="auto"/>
          <w:kern w:val="0"/>
          <w:sz w:val="22"/>
          <w:szCs w:val="22"/>
          <w:highlight w:val="none"/>
        </w:rPr>
        <w:t>报价文件</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30" w:lineRule="exact"/>
              <w:jc w:val="center"/>
              <w:rPr>
                <w:rFonts w:asci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序号</w:t>
            </w:r>
          </w:p>
        </w:tc>
        <w:tc>
          <w:tcPr>
            <w:tcW w:w="7513" w:type="dxa"/>
            <w:vAlign w:val="center"/>
          </w:tcPr>
          <w:p>
            <w:pPr>
              <w:spacing w:line="430" w:lineRule="exact"/>
              <w:rPr>
                <w:rFonts w:asci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内容</w:t>
            </w:r>
          </w:p>
        </w:tc>
        <w:tc>
          <w:tcPr>
            <w:tcW w:w="1524" w:type="dxa"/>
            <w:vAlign w:val="center"/>
          </w:tcPr>
          <w:p>
            <w:pPr>
              <w:spacing w:line="430" w:lineRule="exact"/>
              <w:jc w:val="center"/>
              <w:rPr>
                <w:rFonts w:ascii="宋体" w:cs="hakuyoxingshu7000"/>
                <w:b/>
                <w:bCs/>
                <w:color w:val="auto"/>
                <w:kern w:val="0"/>
                <w:sz w:val="22"/>
                <w:szCs w:val="22"/>
                <w:highlight w:val="none"/>
              </w:rPr>
            </w:pPr>
            <w:r>
              <w:rPr>
                <w:rFonts w:hint="eastAsia" w:ascii="宋体" w:hAnsi="宋体" w:cs="hakuyoxingshu7000"/>
                <w:b/>
                <w:bCs/>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spacing w:line="430" w:lineRule="exact"/>
              <w:jc w:val="center"/>
              <w:rPr>
                <w:rFonts w:ascii="宋体" w:cs="hakuyoxingshu7000"/>
                <w:color w:val="auto"/>
                <w:kern w:val="0"/>
                <w:sz w:val="22"/>
                <w:szCs w:val="22"/>
                <w:highlight w:val="none"/>
              </w:rPr>
            </w:pPr>
            <w:r>
              <w:rPr>
                <w:rFonts w:ascii="宋体" w:hAnsi="宋体" w:cs="新宋体"/>
                <w:bCs/>
                <w:color w:val="auto"/>
                <w:sz w:val="22"/>
                <w:szCs w:val="22"/>
                <w:highlight w:val="none"/>
              </w:rPr>
              <w:t>1</w:t>
            </w:r>
          </w:p>
        </w:tc>
        <w:tc>
          <w:tcPr>
            <w:tcW w:w="7513" w:type="dxa"/>
            <w:vAlign w:val="center"/>
          </w:tcPr>
          <w:p>
            <w:pPr>
              <w:spacing w:line="430" w:lineRule="exact"/>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开标一览表</w:t>
            </w:r>
          </w:p>
        </w:tc>
        <w:tc>
          <w:tcPr>
            <w:tcW w:w="1524" w:type="dxa"/>
            <w:vMerge w:val="restart"/>
            <w:vAlign w:val="center"/>
          </w:tcPr>
          <w:p>
            <w:pPr>
              <w:spacing w:line="430" w:lineRule="exact"/>
              <w:jc w:val="center"/>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spacing w:line="430" w:lineRule="exact"/>
              <w:jc w:val="center"/>
              <w:rPr>
                <w:rFonts w:hint="eastAsia" w:ascii="宋体" w:hAnsi="宋体" w:eastAsia="宋体" w:cs="hakuyoxingshu7000"/>
                <w:color w:val="auto"/>
                <w:kern w:val="0"/>
                <w:sz w:val="22"/>
                <w:szCs w:val="22"/>
                <w:highlight w:val="none"/>
                <w:lang w:val="en-US" w:eastAsia="zh-CN"/>
              </w:rPr>
            </w:pPr>
            <w:r>
              <w:rPr>
                <w:rFonts w:ascii="宋体" w:hAnsi="宋体" w:cs="新宋体"/>
                <w:bCs/>
                <w:color w:val="auto"/>
                <w:sz w:val="22"/>
                <w:szCs w:val="22"/>
                <w:highlight w:val="none"/>
              </w:rPr>
              <w:t>2</w:t>
            </w:r>
          </w:p>
        </w:tc>
        <w:tc>
          <w:tcPr>
            <w:tcW w:w="7513" w:type="dxa"/>
            <w:vAlign w:val="center"/>
          </w:tcPr>
          <w:p>
            <w:pPr>
              <w:spacing w:line="430" w:lineRule="exact"/>
              <w:jc w:val="left"/>
              <w:rPr>
                <w:rFonts w:hint="eastAsia" w:ascii="宋体" w:hAnsi="宋体" w:eastAsia="宋体" w:cs="hakuyoxingshu7000"/>
                <w:color w:val="auto"/>
                <w:kern w:val="0"/>
                <w:sz w:val="22"/>
                <w:szCs w:val="22"/>
                <w:highlight w:val="none"/>
                <w:lang w:val="en-US" w:eastAsia="zh-CN" w:bidi="ar-SA"/>
              </w:rPr>
            </w:pPr>
            <w:r>
              <w:rPr>
                <w:rFonts w:ascii="宋体" w:hAnsi="宋体" w:cs="hakuyoxingshu7000"/>
                <w:color w:val="auto"/>
                <w:kern w:val="0"/>
                <w:sz w:val="22"/>
                <w:szCs w:val="22"/>
                <w:highlight w:val="none"/>
              </w:rPr>
              <w:t>分项报价表</w:t>
            </w:r>
          </w:p>
        </w:tc>
        <w:tc>
          <w:tcPr>
            <w:tcW w:w="1524" w:type="dxa"/>
            <w:vMerge w:val="continue"/>
            <w:vAlign w:val="center"/>
          </w:tcPr>
          <w:p>
            <w:pPr>
              <w:spacing w:line="430" w:lineRule="exact"/>
              <w:jc w:val="center"/>
              <w:rPr>
                <w:rFonts w:hint="eastAsia" w:ascii="宋体" w:hAnsi="宋体" w:cs="hakuyoxingshu7000"/>
                <w:color w:val="auto"/>
                <w:kern w:val="0"/>
                <w:sz w:val="22"/>
                <w:szCs w:val="22"/>
                <w:highlight w:val="none"/>
              </w:rPr>
            </w:pPr>
          </w:p>
        </w:tc>
      </w:tr>
    </w:tbl>
    <w:p>
      <w:pPr>
        <w:spacing w:line="430" w:lineRule="exact"/>
        <w:ind w:left="187" w:leftChars="85" w:hanging="9" w:hangingChars="4"/>
        <w:rPr>
          <w:rFonts w:ascii="宋体" w:cs="hakuyoxingshu7000"/>
          <w:b/>
          <w:color w:val="auto"/>
          <w:sz w:val="22"/>
          <w:szCs w:val="22"/>
          <w:highlight w:val="none"/>
        </w:rPr>
      </w:pPr>
      <w:r>
        <w:rPr>
          <w:rFonts w:hint="eastAsia" w:ascii="宋体" w:hAnsi="宋体" w:cs="hakuyoxingshu7000"/>
          <w:b/>
          <w:color w:val="auto"/>
          <w:kern w:val="0"/>
          <w:sz w:val="22"/>
          <w:szCs w:val="22"/>
          <w:highlight w:val="none"/>
        </w:rPr>
        <w:t>（</w:t>
      </w:r>
      <w:r>
        <w:rPr>
          <w:rFonts w:ascii="宋体" w:hAnsi="宋体" w:cs="hakuyoxingshu7000"/>
          <w:b/>
          <w:color w:val="auto"/>
          <w:kern w:val="0"/>
          <w:sz w:val="22"/>
          <w:szCs w:val="22"/>
          <w:highlight w:val="none"/>
        </w:rPr>
        <w:t>3</w:t>
      </w:r>
      <w:r>
        <w:rPr>
          <w:rFonts w:hint="eastAsia" w:ascii="宋体" w:hAnsi="宋体" w:cs="hakuyoxingshu7000"/>
          <w:b/>
          <w:color w:val="auto"/>
          <w:kern w:val="0"/>
          <w:sz w:val="22"/>
          <w:szCs w:val="22"/>
          <w:highlight w:val="none"/>
        </w:rPr>
        <w:t>）</w:t>
      </w:r>
      <w:r>
        <w:rPr>
          <w:rFonts w:hint="eastAsia" w:ascii="宋体" w:hAnsi="宋体" w:cs="hakuyoxingshu7000"/>
          <w:b/>
          <w:color w:val="auto"/>
          <w:sz w:val="22"/>
          <w:szCs w:val="22"/>
          <w:highlight w:val="none"/>
        </w:rPr>
        <w:t>商务技术文件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30" w:lineRule="exact"/>
              <w:jc w:val="center"/>
              <w:rPr>
                <w:rFonts w:ascii="宋体" w:cs="仿宋"/>
                <w:b/>
                <w:color w:val="auto"/>
                <w:sz w:val="22"/>
                <w:szCs w:val="22"/>
                <w:highlight w:val="none"/>
              </w:rPr>
            </w:pPr>
            <w:r>
              <w:rPr>
                <w:rFonts w:hint="eastAsia" w:ascii="宋体" w:hAnsi="宋体" w:cs="仿宋"/>
                <w:b/>
                <w:color w:val="auto"/>
                <w:sz w:val="22"/>
                <w:szCs w:val="22"/>
                <w:highlight w:val="none"/>
              </w:rPr>
              <w:t>序号</w:t>
            </w:r>
          </w:p>
        </w:tc>
        <w:tc>
          <w:tcPr>
            <w:tcW w:w="7513" w:type="dxa"/>
            <w:vAlign w:val="center"/>
          </w:tcPr>
          <w:p>
            <w:pPr>
              <w:spacing w:line="430" w:lineRule="exact"/>
              <w:rPr>
                <w:rFonts w:ascii="宋体" w:cs="仿宋"/>
                <w:b/>
                <w:color w:val="auto"/>
                <w:sz w:val="22"/>
                <w:szCs w:val="22"/>
                <w:highlight w:val="none"/>
              </w:rPr>
            </w:pPr>
            <w:r>
              <w:rPr>
                <w:rFonts w:hint="eastAsia" w:ascii="宋体" w:hAnsi="宋体" w:cs="仿宋"/>
                <w:b/>
                <w:color w:val="auto"/>
                <w:sz w:val="22"/>
                <w:szCs w:val="22"/>
                <w:highlight w:val="none"/>
              </w:rPr>
              <w:t>内容</w:t>
            </w:r>
          </w:p>
        </w:tc>
        <w:tc>
          <w:tcPr>
            <w:tcW w:w="1524" w:type="dxa"/>
            <w:vAlign w:val="center"/>
          </w:tcPr>
          <w:p>
            <w:pPr>
              <w:spacing w:line="430" w:lineRule="exact"/>
              <w:jc w:val="center"/>
              <w:rPr>
                <w:rFonts w:ascii="宋体" w:cs="仿宋"/>
                <w:b/>
                <w:color w:val="auto"/>
                <w:sz w:val="22"/>
                <w:szCs w:val="22"/>
                <w:highlight w:val="none"/>
              </w:rPr>
            </w:pPr>
            <w:r>
              <w:rPr>
                <w:rFonts w:hint="eastAsia" w:ascii="宋体" w:hAnsi="宋体" w:cs="仿宋"/>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overflowPunct w:val="0"/>
              <w:spacing w:line="430" w:lineRule="exact"/>
              <w:jc w:val="center"/>
              <w:rPr>
                <w:rFonts w:ascii="宋体" w:cs="仿宋"/>
                <w:color w:val="auto"/>
                <w:sz w:val="22"/>
                <w:szCs w:val="22"/>
                <w:highlight w:val="none"/>
              </w:rPr>
            </w:pPr>
            <w:r>
              <w:rPr>
                <w:rFonts w:ascii="宋体" w:hAnsi="宋体" w:cs="新宋体"/>
                <w:bCs/>
                <w:color w:val="auto"/>
                <w:sz w:val="22"/>
                <w:szCs w:val="22"/>
                <w:highlight w:val="none"/>
              </w:rPr>
              <w:t>1</w:t>
            </w:r>
          </w:p>
        </w:tc>
        <w:tc>
          <w:tcPr>
            <w:tcW w:w="7513" w:type="dxa"/>
            <w:vAlign w:val="center"/>
          </w:tcPr>
          <w:p>
            <w:pPr>
              <w:spacing w:line="430" w:lineRule="exact"/>
              <w:rPr>
                <w:rFonts w:ascii="宋体" w:cs="仿宋"/>
                <w:color w:val="auto"/>
                <w:sz w:val="22"/>
                <w:szCs w:val="22"/>
                <w:highlight w:val="none"/>
              </w:rPr>
            </w:pPr>
            <w:r>
              <w:rPr>
                <w:rFonts w:hint="eastAsia" w:ascii="宋体" w:hAnsi="宋体" w:cs="仿宋"/>
                <w:color w:val="auto"/>
                <w:sz w:val="22"/>
                <w:szCs w:val="22"/>
                <w:highlight w:val="none"/>
              </w:rPr>
              <w:t>投标函</w:t>
            </w:r>
          </w:p>
        </w:tc>
        <w:tc>
          <w:tcPr>
            <w:tcW w:w="1524" w:type="dxa"/>
            <w:vAlign w:val="center"/>
          </w:tcPr>
          <w:p>
            <w:pPr>
              <w:spacing w:line="430" w:lineRule="exact"/>
              <w:jc w:val="center"/>
              <w:rPr>
                <w:rFonts w:ascii="宋体" w:hAnsi="Times New Roman" w:eastAsia="宋体" w:cs="hakuyoxingshu7000"/>
                <w:color w:val="auto"/>
                <w:kern w:val="0"/>
                <w:sz w:val="22"/>
                <w:szCs w:val="22"/>
                <w:highlight w:val="none"/>
                <w:lang w:val="en-US" w:eastAsia="zh-CN" w:bidi="ar-SA"/>
              </w:rPr>
            </w:pPr>
            <w:r>
              <w:rPr>
                <w:rFonts w:hint="eastAsia" w:ascii="宋体" w:hAnsi="宋体" w:cs="hakuyoxingshu7000"/>
                <w:color w:val="auto"/>
                <w:kern w:val="0"/>
                <w:sz w:val="22"/>
                <w:szCs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overflowPunct w:val="0"/>
              <w:spacing w:line="430" w:lineRule="exact"/>
              <w:jc w:val="center"/>
              <w:rPr>
                <w:rFonts w:ascii="宋体" w:cs="仿宋"/>
                <w:color w:val="auto"/>
                <w:sz w:val="22"/>
                <w:szCs w:val="22"/>
                <w:highlight w:val="none"/>
              </w:rPr>
            </w:pPr>
            <w:r>
              <w:rPr>
                <w:rFonts w:ascii="宋体" w:hAnsi="宋体" w:cs="新宋体"/>
                <w:bCs/>
                <w:color w:val="auto"/>
                <w:sz w:val="22"/>
                <w:szCs w:val="22"/>
                <w:highlight w:val="none"/>
              </w:rPr>
              <w:t>2</w:t>
            </w:r>
          </w:p>
        </w:tc>
        <w:tc>
          <w:tcPr>
            <w:tcW w:w="7513" w:type="dxa"/>
            <w:vAlign w:val="center"/>
          </w:tcPr>
          <w:p>
            <w:pPr>
              <w:spacing w:line="430" w:lineRule="exact"/>
              <w:rPr>
                <w:rFonts w:hint="eastAsia" w:ascii="宋体" w:hAnsi="宋体" w:eastAsia="宋体" w:cs="仿宋"/>
                <w:color w:val="auto"/>
                <w:sz w:val="22"/>
                <w:szCs w:val="22"/>
                <w:highlight w:val="none"/>
              </w:rPr>
            </w:pPr>
            <w:r>
              <w:rPr>
                <w:rFonts w:hint="eastAsia" w:ascii="宋体" w:hAnsi="宋体" w:eastAsia="宋体" w:cs="仿宋"/>
                <w:color w:val="auto"/>
                <w:sz w:val="22"/>
                <w:szCs w:val="22"/>
                <w:highlight w:val="none"/>
              </w:rPr>
              <w:t>技术规格、商务条款偏离表</w:t>
            </w:r>
          </w:p>
        </w:tc>
        <w:tc>
          <w:tcPr>
            <w:tcW w:w="1524" w:type="dxa"/>
            <w:vAlign w:val="center"/>
          </w:tcPr>
          <w:p>
            <w:pPr>
              <w:spacing w:line="430" w:lineRule="exact"/>
              <w:jc w:val="center"/>
              <w:rPr>
                <w:rFonts w:ascii="宋体" w:hAnsi="Times New Roman" w:eastAsia="宋体" w:cs="仿宋"/>
                <w:color w:val="auto"/>
                <w:kern w:val="2"/>
                <w:sz w:val="22"/>
                <w:szCs w:val="22"/>
                <w:highlight w:val="none"/>
                <w:lang w:val="en-US" w:eastAsia="zh-CN" w:bidi="ar-SA"/>
              </w:rPr>
            </w:pPr>
            <w:r>
              <w:rPr>
                <w:rFonts w:hint="eastAsia" w:ascii="宋体" w:hAnsi="宋体" w:cs="仿宋"/>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overflowPunct w:val="0"/>
              <w:spacing w:line="430" w:lineRule="exact"/>
              <w:jc w:val="center"/>
              <w:rPr>
                <w:rFonts w:ascii="宋体" w:cs="仿宋"/>
                <w:color w:val="auto"/>
                <w:sz w:val="22"/>
                <w:szCs w:val="22"/>
                <w:highlight w:val="none"/>
              </w:rPr>
            </w:pPr>
            <w:r>
              <w:rPr>
                <w:rFonts w:ascii="宋体" w:hAnsi="宋体" w:cs="新宋体"/>
                <w:bCs/>
                <w:color w:val="auto"/>
                <w:sz w:val="22"/>
                <w:szCs w:val="22"/>
                <w:highlight w:val="none"/>
              </w:rPr>
              <w:t>3</w:t>
            </w:r>
          </w:p>
        </w:tc>
        <w:tc>
          <w:tcPr>
            <w:tcW w:w="7513" w:type="dxa"/>
            <w:vAlign w:val="center"/>
          </w:tcPr>
          <w:p>
            <w:pPr>
              <w:spacing w:line="430" w:lineRule="exact"/>
              <w:rPr>
                <w:rFonts w:hint="eastAsia" w:ascii="宋体" w:hAnsi="宋体" w:eastAsia="宋体" w:cs="仿宋"/>
                <w:color w:val="auto"/>
                <w:sz w:val="22"/>
                <w:szCs w:val="22"/>
                <w:highlight w:val="none"/>
              </w:rPr>
            </w:pPr>
            <w:r>
              <w:rPr>
                <w:rFonts w:hint="eastAsia" w:ascii="宋体" w:hAnsi="宋体" w:eastAsia="宋体" w:cs="仿宋"/>
                <w:color w:val="auto"/>
                <w:sz w:val="22"/>
                <w:szCs w:val="22"/>
                <w:highlight w:val="none"/>
              </w:rPr>
              <w:t>供货范围详细清单</w:t>
            </w:r>
          </w:p>
        </w:tc>
        <w:tc>
          <w:tcPr>
            <w:tcW w:w="1524" w:type="dxa"/>
            <w:vAlign w:val="center"/>
          </w:tcPr>
          <w:p>
            <w:pPr>
              <w:spacing w:line="430" w:lineRule="exact"/>
              <w:jc w:val="center"/>
              <w:rPr>
                <w:rFonts w:ascii="宋体" w:cs="仿宋"/>
                <w:color w:val="auto"/>
                <w:sz w:val="22"/>
                <w:szCs w:val="22"/>
                <w:highlight w:val="none"/>
              </w:rPr>
            </w:pPr>
            <w:r>
              <w:rPr>
                <w:rFonts w:hint="eastAsia" w:ascii="宋体" w:hAnsi="宋体" w:cs="宋体"/>
                <w:color w:val="auto"/>
                <w:sz w:val="22"/>
                <w:szCs w:val="22"/>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17" w:type="dxa"/>
            <w:vAlign w:val="center"/>
          </w:tcPr>
          <w:p>
            <w:pPr>
              <w:overflowPunct w:val="0"/>
              <w:spacing w:line="430" w:lineRule="exact"/>
              <w:jc w:val="center"/>
              <w:rPr>
                <w:rFonts w:ascii="宋体" w:cs="宋体"/>
                <w:color w:val="auto"/>
                <w:sz w:val="22"/>
                <w:szCs w:val="22"/>
                <w:highlight w:val="none"/>
              </w:rPr>
            </w:pPr>
            <w:r>
              <w:rPr>
                <w:rFonts w:ascii="宋体" w:hAnsi="宋体" w:cs="新宋体"/>
                <w:bCs/>
                <w:color w:val="auto"/>
                <w:sz w:val="22"/>
                <w:szCs w:val="22"/>
                <w:highlight w:val="none"/>
              </w:rPr>
              <w:t>4</w:t>
            </w:r>
          </w:p>
        </w:tc>
        <w:tc>
          <w:tcPr>
            <w:tcW w:w="7513" w:type="dxa"/>
            <w:vAlign w:val="center"/>
          </w:tcPr>
          <w:p>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针对本次项目采购需求提出的详细实施投标技术方案（包括但不限于技术资信分评分按“评标细则要求的各个方案”相关评分内容逐项编制，格式自拟）</w:t>
            </w:r>
          </w:p>
        </w:tc>
        <w:tc>
          <w:tcPr>
            <w:tcW w:w="1524" w:type="dxa"/>
            <w:vAlign w:val="center"/>
          </w:tcPr>
          <w:p>
            <w:pPr>
              <w:spacing w:line="430" w:lineRule="exact"/>
              <w:jc w:val="center"/>
              <w:rPr>
                <w:rFonts w:asci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overflowPunct w:val="0"/>
              <w:spacing w:line="430" w:lineRule="exact"/>
              <w:jc w:val="center"/>
              <w:rPr>
                <w:rFonts w:ascii="宋体" w:hAnsi="宋体" w:cs="宋体"/>
                <w:color w:val="auto"/>
                <w:sz w:val="22"/>
                <w:szCs w:val="22"/>
                <w:highlight w:val="none"/>
              </w:rPr>
            </w:pPr>
            <w:r>
              <w:rPr>
                <w:rFonts w:hint="eastAsia" w:ascii="宋体" w:cs="新宋体"/>
                <w:bCs/>
                <w:color w:val="auto"/>
                <w:sz w:val="22"/>
                <w:szCs w:val="22"/>
                <w:highlight w:val="none"/>
                <w:lang w:val="en-US" w:eastAsia="zh-CN"/>
              </w:rPr>
              <w:t>5</w:t>
            </w:r>
          </w:p>
        </w:tc>
        <w:tc>
          <w:tcPr>
            <w:tcW w:w="7513" w:type="dxa"/>
            <w:vAlign w:val="center"/>
          </w:tcPr>
          <w:p>
            <w:pPr>
              <w:spacing w:line="430" w:lineRule="exact"/>
              <w:rPr>
                <w:rFonts w:hint="eastAsia" w:ascii="宋体" w:hAnsi="宋体" w:cs="仿宋"/>
                <w:color w:val="auto"/>
                <w:sz w:val="22"/>
                <w:szCs w:val="22"/>
                <w:highlight w:val="none"/>
              </w:rPr>
            </w:pPr>
            <w:r>
              <w:rPr>
                <w:rFonts w:hint="eastAsia" w:ascii="宋体" w:hAnsi="宋体" w:cs="仿宋"/>
                <w:color w:val="auto"/>
                <w:sz w:val="22"/>
                <w:szCs w:val="22"/>
                <w:highlight w:val="none"/>
              </w:rPr>
              <w:t>服务保证措施资信证明文件（本部分为商务技术文件评分内容，各</w:t>
            </w:r>
            <w:r>
              <w:rPr>
                <w:rFonts w:hint="eastAsia" w:ascii="宋体" w:hAnsi="宋体" w:cs="仿宋"/>
                <w:color w:val="auto"/>
                <w:sz w:val="22"/>
                <w:szCs w:val="22"/>
                <w:highlight w:val="none"/>
                <w:lang w:eastAsia="zh-CN"/>
              </w:rPr>
              <w:t>投标人</w:t>
            </w:r>
            <w:r>
              <w:rPr>
                <w:rFonts w:hint="eastAsia" w:ascii="宋体" w:hAnsi="宋体" w:cs="仿宋"/>
                <w:color w:val="auto"/>
                <w:sz w:val="22"/>
                <w:szCs w:val="22"/>
                <w:highlight w:val="none"/>
              </w:rPr>
              <w:t>参照评分标准根据自身情况提供）</w:t>
            </w:r>
          </w:p>
        </w:tc>
        <w:tc>
          <w:tcPr>
            <w:tcW w:w="1524" w:type="dxa"/>
            <w:vAlign w:val="center"/>
          </w:tcPr>
          <w:p>
            <w:pPr>
              <w:spacing w:line="430" w:lineRule="exact"/>
              <w:jc w:val="center"/>
              <w:rPr>
                <w:rFonts w:asci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overflowPunct w:val="0"/>
              <w:spacing w:line="430" w:lineRule="exact"/>
              <w:jc w:val="center"/>
              <w:rPr>
                <w:rFonts w:hint="eastAsia" w:ascii="宋体" w:eastAsia="宋体" w:cs="仿宋"/>
                <w:color w:val="auto"/>
                <w:sz w:val="22"/>
                <w:szCs w:val="22"/>
                <w:highlight w:val="none"/>
                <w:lang w:eastAsia="zh-CN"/>
              </w:rPr>
            </w:pPr>
            <w:r>
              <w:rPr>
                <w:rFonts w:hint="eastAsia" w:ascii="宋体" w:hAnsi="宋体" w:cs="新宋体"/>
                <w:bCs/>
                <w:color w:val="auto"/>
                <w:sz w:val="22"/>
                <w:szCs w:val="22"/>
                <w:highlight w:val="none"/>
                <w:lang w:val="en-US" w:eastAsia="zh-CN"/>
              </w:rPr>
              <w:t>6</w:t>
            </w:r>
          </w:p>
        </w:tc>
        <w:tc>
          <w:tcPr>
            <w:tcW w:w="7513" w:type="dxa"/>
            <w:vAlign w:val="center"/>
          </w:tcPr>
          <w:p>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结合招标文件评分细则</w:t>
            </w:r>
            <w:r>
              <w:rPr>
                <w:rFonts w:hint="eastAsia" w:ascii="宋体" w:hAnsi="宋体" w:cs="仿宋"/>
                <w:color w:val="auto"/>
                <w:sz w:val="22"/>
                <w:szCs w:val="22"/>
                <w:highlight w:val="none"/>
                <w:lang w:eastAsia="zh-CN"/>
              </w:rPr>
              <w:t>投标人</w:t>
            </w:r>
            <w:r>
              <w:rPr>
                <w:rFonts w:hint="eastAsia" w:ascii="宋体" w:hAnsi="宋体" w:cs="仿宋"/>
                <w:color w:val="auto"/>
                <w:sz w:val="22"/>
                <w:szCs w:val="22"/>
                <w:highlight w:val="none"/>
              </w:rPr>
              <w:t>认为需要提供的其他技术资料</w:t>
            </w:r>
          </w:p>
        </w:tc>
        <w:tc>
          <w:tcPr>
            <w:tcW w:w="1524" w:type="dxa"/>
            <w:vAlign w:val="center"/>
          </w:tcPr>
          <w:p>
            <w:pPr>
              <w:spacing w:line="430" w:lineRule="exact"/>
              <w:jc w:val="center"/>
              <w:rPr>
                <w:rFonts w:ascii="宋体" w:cs="仿宋"/>
                <w:color w:val="auto"/>
                <w:sz w:val="22"/>
                <w:szCs w:val="22"/>
                <w:highlight w:val="none"/>
              </w:rPr>
            </w:pPr>
          </w:p>
        </w:tc>
      </w:tr>
    </w:tbl>
    <w:p>
      <w:pPr>
        <w:keepNext w:val="0"/>
        <w:keepLines w:val="0"/>
        <w:pageBreakBefore w:val="0"/>
        <w:widowControl w:val="0"/>
        <w:kinsoku/>
        <w:wordWrap/>
        <w:topLinePunct w:val="0"/>
        <w:autoSpaceDE/>
        <w:autoSpaceDN/>
        <w:bidi w:val="0"/>
        <w:adjustRightInd/>
        <w:snapToGrid/>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p>
      <w:pPr>
        <w:keepNext w:val="0"/>
        <w:keepLines w:val="0"/>
        <w:pageBreakBefore w:val="0"/>
        <w:widowControl w:val="0"/>
        <w:numPr>
          <w:ilvl w:val="0"/>
          <w:numId w:val="13"/>
        </w:numPr>
        <w:kinsoku/>
        <w:wordWrap/>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投标人可根据</w:t>
      </w:r>
      <w:r>
        <w:rPr>
          <w:rFonts w:hint="eastAsia" w:ascii="宋体" w:hAnsi="宋体" w:eastAsia="宋体" w:cs="宋体"/>
          <w:color w:val="auto"/>
          <w:sz w:val="22"/>
          <w:szCs w:val="22"/>
          <w:highlight w:val="none"/>
          <w:lang w:eastAsia="zh-CN"/>
        </w:rPr>
        <w:t>招标文件</w:t>
      </w:r>
      <w:r>
        <w:rPr>
          <w:rFonts w:hint="eastAsia" w:ascii="宋体" w:hAnsi="宋体" w:eastAsia="宋体" w:cs="宋体"/>
          <w:color w:val="auto"/>
          <w:sz w:val="22"/>
          <w:szCs w:val="22"/>
          <w:highlight w:val="none"/>
        </w:rPr>
        <w:t>中的采购内容及需求和商务技术文件评分细则，提供投标人认为需要提供的文件和资料。</w:t>
      </w:r>
    </w:p>
    <w:p>
      <w:pPr>
        <w:keepNext w:val="0"/>
        <w:keepLines w:val="0"/>
        <w:pageBreakBefore w:val="0"/>
        <w:widowControl w:val="0"/>
        <w:numPr>
          <w:ilvl w:val="0"/>
          <w:numId w:val="13"/>
        </w:numPr>
        <w:kinsoku/>
        <w:wordWrap/>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投标文件中应承诺：投标人所提供的技术资料的所有权归</w:t>
      </w:r>
      <w:r>
        <w:rPr>
          <w:rFonts w:hint="eastAsia" w:ascii="宋体" w:hAnsi="宋体" w:cs="宋体"/>
          <w:color w:val="auto"/>
          <w:sz w:val="22"/>
          <w:szCs w:val="22"/>
          <w:highlight w:val="none"/>
          <w:lang w:eastAsia="zh-CN"/>
        </w:rPr>
        <w:t>招标人</w:t>
      </w:r>
      <w:r>
        <w:rPr>
          <w:rFonts w:hint="eastAsia" w:ascii="宋体" w:hAnsi="宋体" w:eastAsia="宋体" w:cs="宋体"/>
          <w:color w:val="auto"/>
          <w:sz w:val="22"/>
          <w:szCs w:val="22"/>
          <w:highlight w:val="none"/>
        </w:rPr>
        <w:t>所有。如若发生第三方侵权事件，其侵权责任与</w:t>
      </w:r>
      <w:r>
        <w:rPr>
          <w:rFonts w:hint="eastAsia" w:ascii="宋体" w:hAnsi="宋体" w:cs="宋体"/>
          <w:color w:val="auto"/>
          <w:sz w:val="22"/>
          <w:szCs w:val="22"/>
          <w:highlight w:val="none"/>
          <w:lang w:eastAsia="zh-CN"/>
        </w:rPr>
        <w:t>招标人</w:t>
      </w:r>
      <w:r>
        <w:rPr>
          <w:rFonts w:hint="eastAsia" w:ascii="宋体" w:hAnsi="宋体" w:eastAsia="宋体" w:cs="宋体"/>
          <w:color w:val="auto"/>
          <w:sz w:val="22"/>
          <w:szCs w:val="22"/>
          <w:highlight w:val="none"/>
        </w:rPr>
        <w:t>及采购代理机构无关，由投标人承担全部责任。侵权造成的所有相关费用，均由投标人支付，保证不伤害</w:t>
      </w:r>
      <w:r>
        <w:rPr>
          <w:rFonts w:hint="eastAsia" w:ascii="宋体" w:hAnsi="宋体" w:cs="宋体"/>
          <w:color w:val="auto"/>
          <w:sz w:val="22"/>
          <w:szCs w:val="22"/>
          <w:highlight w:val="none"/>
          <w:lang w:eastAsia="zh-CN"/>
        </w:rPr>
        <w:t>招标人</w:t>
      </w:r>
      <w:r>
        <w:rPr>
          <w:rFonts w:hint="eastAsia" w:ascii="宋体" w:hAnsi="宋体" w:eastAsia="宋体" w:cs="宋体"/>
          <w:color w:val="auto"/>
          <w:sz w:val="22"/>
          <w:szCs w:val="22"/>
          <w:highlight w:val="none"/>
        </w:rPr>
        <w:t>的利益。</w:t>
      </w:r>
    </w:p>
    <w:p>
      <w:pPr>
        <w:keepNext w:val="0"/>
        <w:keepLines w:val="0"/>
        <w:pageBreakBefore w:val="0"/>
        <w:widowControl w:val="0"/>
        <w:numPr>
          <w:ilvl w:val="0"/>
          <w:numId w:val="13"/>
        </w:numPr>
        <w:kinsoku/>
        <w:wordWrap/>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以上所需的各种证书、证件、证明等若系复印件、扫描件，须加盖投标人有效的公章。</w:t>
      </w:r>
    </w:p>
    <w:p>
      <w:pPr>
        <w:keepNext w:val="0"/>
        <w:keepLines w:val="0"/>
        <w:pageBreakBefore w:val="0"/>
        <w:widowControl w:val="0"/>
        <w:numPr>
          <w:ilvl w:val="0"/>
          <w:numId w:val="13"/>
        </w:numPr>
        <w:kinsoku/>
        <w:wordWrap/>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相关证书、报告等如遇年检或换证等特殊情况须按要求提供相应的证明材料。</w:t>
      </w:r>
    </w:p>
    <w:p>
      <w:pPr>
        <w:numPr>
          <w:ilvl w:val="0"/>
          <w:numId w:val="12"/>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bookmarkStart w:id="94" w:name="_Toc223715998"/>
      <w:bookmarkStart w:id="95" w:name="_Toc262105503"/>
      <w:bookmarkStart w:id="96" w:name="_Toc221356951"/>
      <w:bookmarkStart w:id="97" w:name="_Toc262049418"/>
      <w:bookmarkStart w:id="98" w:name="_Toc249758864"/>
      <w:bookmarkStart w:id="99" w:name="_Toc241404202"/>
      <w:bookmarkStart w:id="100" w:name="_Toc239145354"/>
      <w:bookmarkStart w:id="101" w:name="_Toc245722281"/>
      <w:bookmarkStart w:id="102" w:name="_Toc221356887"/>
      <w:bookmarkStart w:id="103" w:name="_Toc246261265"/>
      <w:bookmarkStart w:id="104" w:name="_Toc221374626"/>
      <w:bookmarkStart w:id="105" w:name="_Toc222114879"/>
      <w:bookmarkStart w:id="106" w:name="_Toc245191314"/>
      <w:bookmarkStart w:id="107" w:name="_Toc249758712"/>
      <w:bookmarkStart w:id="108" w:name="_Toc221423619"/>
      <w:r>
        <w:rPr>
          <w:rFonts w:hint="eastAsia" w:ascii="宋体" w:hAnsi="宋体" w:eastAsia="宋体" w:cs="Times New Roman"/>
          <w:bCs/>
          <w:color w:val="auto"/>
          <w:sz w:val="22"/>
          <w:szCs w:val="22"/>
          <w:highlight w:val="none"/>
        </w:rPr>
        <w:t>投标文件编制</w:t>
      </w:r>
    </w:p>
    <w:p>
      <w:pPr>
        <w:numPr>
          <w:ilvl w:val="1"/>
          <w:numId w:val="14"/>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本项目通过“政采云平台（www.zcygov.cn）”实行在线投标响应（电子投标）。</w:t>
      </w:r>
      <w:r>
        <w:rPr>
          <w:rFonts w:hint="eastAsia" w:ascii="宋体" w:hAnsi="宋体" w:eastAsia="宋体" w:cs="Times New Roman"/>
          <w:b w:val="0"/>
          <w:bCs/>
          <w:color w:val="auto"/>
          <w:sz w:val="22"/>
          <w:szCs w:val="22"/>
          <w:highlight w:val="none"/>
          <w:u w:val="none"/>
          <w:lang w:eastAsia="zh-CN"/>
        </w:rPr>
        <w:t>投标人</w:t>
      </w:r>
      <w:r>
        <w:rPr>
          <w:rFonts w:hint="eastAsia" w:ascii="宋体" w:hAnsi="宋体" w:eastAsia="宋体" w:cs="Times New Roman"/>
          <w:b w:val="0"/>
          <w:bCs/>
          <w:color w:val="auto"/>
          <w:sz w:val="22"/>
          <w:szCs w:val="22"/>
          <w:highlight w:val="none"/>
          <w:u w:val="none"/>
        </w:rPr>
        <w:t>应通过“政采云电子交易客户端”，并按照本</w:t>
      </w:r>
      <w:r>
        <w:rPr>
          <w:rFonts w:hint="eastAsia" w:ascii="宋体" w:hAnsi="宋体" w:eastAsia="宋体" w:cs="Times New Roman"/>
          <w:b w:val="0"/>
          <w:bCs/>
          <w:color w:val="auto"/>
          <w:sz w:val="22"/>
          <w:szCs w:val="22"/>
          <w:highlight w:val="none"/>
          <w:u w:val="none"/>
          <w:lang w:eastAsia="zh-CN"/>
        </w:rPr>
        <w:t>招标文件</w:t>
      </w:r>
      <w:r>
        <w:rPr>
          <w:rFonts w:hint="eastAsia" w:ascii="宋体" w:hAnsi="宋体" w:eastAsia="宋体" w:cs="Times New Roman"/>
          <w:b w:val="0"/>
          <w:bCs/>
          <w:color w:val="auto"/>
          <w:sz w:val="22"/>
          <w:szCs w:val="22"/>
          <w:highlight w:val="none"/>
          <w:u w:val="none"/>
        </w:rPr>
        <w:t>和“政采云平台”的要求编制并加密投标文件。</w:t>
      </w:r>
    </w:p>
    <w:p>
      <w:pPr>
        <w:numPr>
          <w:ilvl w:val="1"/>
          <w:numId w:val="14"/>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bCs w:val="0"/>
          <w:color w:val="auto"/>
          <w:sz w:val="22"/>
          <w:szCs w:val="22"/>
          <w:highlight w:val="none"/>
          <w:u w:val="single"/>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pPr>
        <w:numPr>
          <w:ilvl w:val="1"/>
          <w:numId w:val="14"/>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本</w:t>
      </w:r>
      <w:r>
        <w:rPr>
          <w:rFonts w:hint="eastAsia" w:ascii="宋体" w:hAnsi="宋体" w:eastAsia="宋体" w:cs="Times New Roman"/>
          <w:b w:val="0"/>
          <w:bCs/>
          <w:color w:val="auto"/>
          <w:sz w:val="22"/>
          <w:szCs w:val="22"/>
          <w:highlight w:val="none"/>
          <w:u w:val="none"/>
          <w:lang w:eastAsia="zh-CN"/>
        </w:rPr>
        <w:t>招标文件</w:t>
      </w:r>
      <w:r>
        <w:rPr>
          <w:rFonts w:hint="eastAsia" w:ascii="宋体" w:hAnsi="宋体" w:eastAsia="宋体" w:cs="Times New Roman"/>
          <w:b w:val="0"/>
          <w:bCs/>
          <w:color w:val="auto"/>
          <w:sz w:val="22"/>
          <w:szCs w:val="22"/>
          <w:highlight w:val="none"/>
          <w:u w:val="none"/>
        </w:rPr>
        <w:t>“第</w:t>
      </w:r>
      <w:r>
        <w:rPr>
          <w:rFonts w:hint="eastAsia" w:ascii="宋体" w:hAnsi="宋体" w:eastAsia="宋体" w:cs="Times New Roman"/>
          <w:b w:val="0"/>
          <w:bCs/>
          <w:color w:val="auto"/>
          <w:sz w:val="22"/>
          <w:szCs w:val="22"/>
          <w:highlight w:val="none"/>
          <w:u w:val="none"/>
          <w:lang w:val="en-US" w:eastAsia="zh-CN"/>
        </w:rPr>
        <w:t>五</w:t>
      </w:r>
      <w:r>
        <w:rPr>
          <w:rFonts w:hint="eastAsia" w:ascii="宋体" w:hAnsi="宋体" w:eastAsia="宋体" w:cs="Times New Roman"/>
          <w:b w:val="0"/>
          <w:bCs/>
          <w:color w:val="auto"/>
          <w:sz w:val="22"/>
          <w:szCs w:val="22"/>
          <w:highlight w:val="none"/>
          <w:u w:val="none"/>
        </w:rPr>
        <w:t>部分 ”中有提供格式的，投标人须参照格式进行编制（格式中要求提供相关证明材料的还需后附相关证明材料），并按格式要求在指定位置根据要求进行签章，否则视为未提供；本文件“第四部分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pPr>
        <w:numPr>
          <w:ilvl w:val="1"/>
          <w:numId w:val="14"/>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投标文件内容不完整、编排混乱导致投标文件被误读、漏读或者查找不到相关内容的，是投标人的责任。</w:t>
      </w:r>
    </w:p>
    <w:p>
      <w:pPr>
        <w:numPr>
          <w:ilvl w:val="1"/>
          <w:numId w:val="14"/>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投标文件因字迹潦草或表达不清所引起的后果由投标人负责。</w:t>
      </w:r>
    </w:p>
    <w:p>
      <w:pPr>
        <w:numPr>
          <w:ilvl w:val="1"/>
          <w:numId w:val="14"/>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投标人没有按照本章节 “投标文件组成”要求提供全部资料，或者没有仔细阅读</w:t>
      </w:r>
      <w:r>
        <w:rPr>
          <w:rFonts w:hint="eastAsia" w:ascii="宋体" w:hAnsi="宋体" w:eastAsia="宋体" w:cs="Times New Roman"/>
          <w:b w:val="0"/>
          <w:bCs/>
          <w:color w:val="auto"/>
          <w:sz w:val="22"/>
          <w:szCs w:val="22"/>
          <w:highlight w:val="none"/>
          <w:u w:val="none"/>
          <w:lang w:eastAsia="zh-CN"/>
        </w:rPr>
        <w:t>招标文件</w:t>
      </w:r>
      <w:r>
        <w:rPr>
          <w:rFonts w:hint="eastAsia" w:ascii="宋体" w:hAnsi="宋体" w:eastAsia="宋体" w:cs="Times New Roman"/>
          <w:b w:val="0"/>
          <w:bCs/>
          <w:color w:val="auto"/>
          <w:sz w:val="22"/>
          <w:szCs w:val="22"/>
          <w:highlight w:val="none"/>
          <w:u w:val="none"/>
        </w:rPr>
        <w:t>，或者没有对</w:t>
      </w:r>
      <w:r>
        <w:rPr>
          <w:rFonts w:hint="eastAsia" w:ascii="宋体" w:hAnsi="宋体" w:eastAsia="宋体" w:cs="Times New Roman"/>
          <w:b w:val="0"/>
          <w:bCs/>
          <w:color w:val="auto"/>
          <w:sz w:val="22"/>
          <w:szCs w:val="22"/>
          <w:highlight w:val="none"/>
          <w:u w:val="none"/>
          <w:lang w:eastAsia="zh-CN"/>
        </w:rPr>
        <w:t>招标文件</w:t>
      </w:r>
      <w:r>
        <w:rPr>
          <w:rFonts w:hint="eastAsia" w:ascii="宋体" w:hAnsi="宋体" w:eastAsia="宋体" w:cs="Times New Roman"/>
          <w:b w:val="0"/>
          <w:bCs/>
          <w:color w:val="auto"/>
          <w:sz w:val="22"/>
          <w:szCs w:val="22"/>
          <w:highlight w:val="none"/>
          <w:u w:val="none"/>
        </w:rPr>
        <w:t>在各方面的要求作出实质性响应是投标人的风险，由此造成的一切后果由投标人自行承担。</w:t>
      </w:r>
    </w:p>
    <w:p>
      <w:pPr>
        <w:numPr>
          <w:ilvl w:val="0"/>
          <w:numId w:val="12"/>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投标文件的签章</w:t>
      </w:r>
    </w:p>
    <w:p>
      <w:pPr>
        <w:numPr>
          <w:ilvl w:val="1"/>
          <w:numId w:val="15"/>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投标文件的签章要求：投标人须知前附表第1</w:t>
      </w:r>
      <w:r>
        <w:rPr>
          <w:rFonts w:hint="eastAsia" w:ascii="宋体" w:hAnsi="宋体" w:eastAsia="宋体" w:cs="Arial"/>
          <w:color w:val="auto"/>
          <w:sz w:val="22"/>
          <w:szCs w:val="22"/>
          <w:highlight w:val="none"/>
          <w:lang w:val="en-US" w:eastAsia="zh-CN"/>
        </w:rPr>
        <w:t>6</w:t>
      </w:r>
      <w:r>
        <w:rPr>
          <w:rFonts w:hint="eastAsia" w:ascii="宋体" w:hAnsi="宋体" w:eastAsia="宋体" w:cs="Arial"/>
          <w:color w:val="auto"/>
          <w:sz w:val="22"/>
          <w:szCs w:val="22"/>
          <w:highlight w:val="none"/>
          <w:lang w:eastAsia="zh-CN"/>
        </w:rPr>
        <w:t>款；</w:t>
      </w:r>
    </w:p>
    <w:p>
      <w:pPr>
        <w:numPr>
          <w:ilvl w:val="1"/>
          <w:numId w:val="15"/>
        </w:numPr>
        <w:tabs>
          <w:tab w:val="left" w:pos="360"/>
          <w:tab w:val="clear" w:pos="992"/>
        </w:tabs>
        <w:spacing w:line="460" w:lineRule="exact"/>
        <w:ind w:left="640" w:leftChars="0" w:hanging="567" w:firstLineChars="0"/>
        <w:rPr>
          <w:rFonts w:hint="eastAsia" w:ascii="宋体" w:hAnsi="宋体" w:eastAsia="宋体" w:cs="宋体"/>
          <w:color w:val="auto"/>
          <w:sz w:val="22"/>
          <w:szCs w:val="22"/>
          <w:highlight w:val="none"/>
        </w:rPr>
      </w:pPr>
      <w:r>
        <w:rPr>
          <w:rFonts w:hint="eastAsia" w:ascii="宋体" w:hAnsi="宋体" w:eastAsia="宋体" w:cs="Arial"/>
          <w:color w:val="auto"/>
          <w:sz w:val="22"/>
          <w:szCs w:val="22"/>
          <w:highlight w:val="none"/>
          <w:lang w:eastAsia="zh-CN"/>
        </w:rPr>
        <w:t>投标文件应由投标人法定代表人或其授权代表签章（电子签章），并同时加盖投标人公章（电子</w:t>
      </w:r>
      <w:r>
        <w:rPr>
          <w:rFonts w:hint="eastAsia" w:ascii="宋体" w:hAnsi="宋体" w:eastAsia="宋体" w:cs="宋体"/>
          <w:color w:val="auto"/>
          <w:sz w:val="22"/>
          <w:szCs w:val="22"/>
          <w:highlight w:val="none"/>
        </w:rPr>
        <w:t>签章）。</w:t>
      </w:r>
      <w:r>
        <w:rPr>
          <w:rFonts w:hint="eastAsia" w:ascii="宋体" w:hAnsi="宋体" w:eastAsia="宋体" w:cs="宋体"/>
          <w:color w:val="auto"/>
          <w:kern w:val="0"/>
          <w:sz w:val="22"/>
          <w:szCs w:val="22"/>
          <w:highlight w:val="none"/>
          <w:lang w:val="zh-CN"/>
        </w:rPr>
        <w:t>（或先制作word版打印，相应位置签字或盖章后再扫描上传）</w:t>
      </w:r>
    </w:p>
    <w:p>
      <w:pPr>
        <w:numPr>
          <w:ilvl w:val="0"/>
          <w:numId w:val="12"/>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投标文件的形式</w:t>
      </w:r>
    </w:p>
    <w:p>
      <w:pPr>
        <w:tabs>
          <w:tab w:val="left" w:pos="36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投标文件的形式：见投标人须知前附表第1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款；</w:t>
      </w:r>
    </w:p>
    <w:p>
      <w:pPr>
        <w:numPr>
          <w:ilvl w:val="0"/>
          <w:numId w:val="12"/>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政采云系统默认投标人自动放弃的情形</w:t>
      </w:r>
    </w:p>
    <w:p>
      <w:pPr>
        <w:tabs>
          <w:tab w:val="left" w:pos="5355"/>
        </w:tabs>
        <w:spacing w:line="43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val="0"/>
          <w:color w:val="auto"/>
          <w:kern w:val="0"/>
          <w:sz w:val="22"/>
          <w:szCs w:val="22"/>
          <w:highlight w:val="none"/>
        </w:rPr>
        <w:t>政采云系统默认</w:t>
      </w:r>
      <w:r>
        <w:rPr>
          <w:rFonts w:hint="eastAsia" w:ascii="宋体" w:hAnsi="宋体" w:eastAsia="宋体" w:cs="宋体"/>
          <w:b w:val="0"/>
          <w:bCs w:val="0"/>
          <w:color w:val="auto"/>
          <w:kern w:val="0"/>
          <w:sz w:val="22"/>
          <w:szCs w:val="22"/>
          <w:highlight w:val="none"/>
          <w:lang w:eastAsia="zh-CN"/>
        </w:rPr>
        <w:t>投标人</w:t>
      </w:r>
      <w:r>
        <w:rPr>
          <w:rFonts w:hint="eastAsia" w:ascii="宋体" w:hAnsi="宋体" w:eastAsia="宋体" w:cs="宋体"/>
          <w:b w:val="0"/>
          <w:bCs w:val="0"/>
          <w:color w:val="auto"/>
          <w:kern w:val="0"/>
          <w:sz w:val="22"/>
          <w:szCs w:val="22"/>
          <w:highlight w:val="none"/>
        </w:rPr>
        <w:t>自动放弃的情形</w:t>
      </w:r>
      <w:r>
        <w:rPr>
          <w:rFonts w:hint="eastAsia" w:ascii="宋体" w:hAnsi="宋体" w:eastAsia="宋体" w:cs="宋体"/>
          <w:color w:val="auto"/>
          <w:sz w:val="22"/>
          <w:szCs w:val="22"/>
          <w:highlight w:val="none"/>
        </w:rPr>
        <w:t>：见投标人须知前附表第</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款。</w:t>
      </w:r>
    </w:p>
    <w:p>
      <w:pPr>
        <w:numPr>
          <w:ilvl w:val="0"/>
          <w:numId w:val="12"/>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投标报价</w:t>
      </w:r>
    </w:p>
    <w:p>
      <w:pPr>
        <w:numPr>
          <w:ilvl w:val="1"/>
          <w:numId w:val="16"/>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u w:val="single"/>
          <w:lang w:eastAsia="zh-CN"/>
        </w:rPr>
      </w:pPr>
      <w:r>
        <w:rPr>
          <w:rFonts w:hint="eastAsia" w:ascii="宋体" w:hAnsi="宋体" w:eastAsia="宋体" w:cs="Arial"/>
          <w:b/>
          <w:bCs/>
          <w:color w:val="auto"/>
          <w:sz w:val="22"/>
          <w:szCs w:val="22"/>
          <w:highlight w:val="none"/>
          <w:u w:val="single"/>
          <w:lang w:eastAsia="zh-CN"/>
        </w:rPr>
        <w:t>投标报价是指中标人在正确地完全履行合同义务后招标人应支付给中标人合同价款，</w:t>
      </w:r>
      <w:r>
        <w:rPr>
          <w:rFonts w:hint="eastAsia" w:ascii="宋体" w:hAnsi="宋体" w:eastAsia="宋体" w:cs="宋体"/>
          <w:b/>
          <w:color w:val="auto"/>
          <w:sz w:val="22"/>
          <w:highlight w:val="none"/>
          <w:u w:val="single"/>
        </w:rPr>
        <w:t>包括所有</w:t>
      </w:r>
      <w:r>
        <w:rPr>
          <w:rFonts w:hint="eastAsia" w:ascii="宋体" w:hAnsi="宋体" w:cs="宋体"/>
          <w:b/>
          <w:color w:val="auto"/>
          <w:sz w:val="22"/>
          <w:highlight w:val="none"/>
          <w:u w:val="single"/>
          <w:lang w:val="en-US" w:eastAsia="zh-CN"/>
        </w:rPr>
        <w:t>设备的供货</w:t>
      </w:r>
      <w:r>
        <w:rPr>
          <w:rFonts w:hint="eastAsia" w:ascii="宋体" w:hAnsi="宋体" w:eastAsia="宋体" w:cs="宋体"/>
          <w:b/>
          <w:color w:val="auto"/>
          <w:sz w:val="22"/>
          <w:highlight w:val="none"/>
          <w:u w:val="single"/>
          <w:lang w:val="en-US" w:eastAsia="zh-CN"/>
        </w:rPr>
        <w:t>、</w:t>
      </w:r>
      <w:r>
        <w:rPr>
          <w:rFonts w:hint="eastAsia" w:ascii="宋体" w:hAnsi="宋体" w:cs="宋体"/>
          <w:b/>
          <w:color w:val="auto"/>
          <w:sz w:val="22"/>
          <w:highlight w:val="none"/>
          <w:u w:val="single"/>
          <w:lang w:val="en-US" w:eastAsia="zh-CN"/>
        </w:rPr>
        <w:t>运输、安装、检验、</w:t>
      </w:r>
      <w:r>
        <w:rPr>
          <w:rFonts w:hint="eastAsia" w:ascii="宋体" w:hAnsi="宋体" w:eastAsia="宋体" w:cs="宋体"/>
          <w:b/>
          <w:color w:val="auto"/>
          <w:sz w:val="22"/>
          <w:highlight w:val="none"/>
          <w:u w:val="single"/>
        </w:rPr>
        <w:t>技术服务、企业利润、税金、采购代理服务费等全部本身和不可或缺的所有工作开支等各项全部费用并承担一切风险责任</w:t>
      </w:r>
      <w:r>
        <w:rPr>
          <w:rFonts w:hint="eastAsia" w:ascii="宋体" w:hAnsi="宋体" w:eastAsia="宋体" w:cs="Arial"/>
          <w:b/>
          <w:bCs/>
          <w:color w:val="auto"/>
          <w:sz w:val="22"/>
          <w:szCs w:val="22"/>
          <w:highlight w:val="none"/>
          <w:u w:val="single"/>
          <w:lang w:eastAsia="zh-CN"/>
        </w:rPr>
        <w:t>，投标人应根据上述因素自行考虑含入投标总价。投标人应根据上述因素自行考虑含入投标总价。</w:t>
      </w:r>
    </w:p>
    <w:p>
      <w:pPr>
        <w:numPr>
          <w:ilvl w:val="1"/>
          <w:numId w:val="16"/>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投标人须认真阅读、充分理解招标文件，如有疑问可在询疑截止时间前送达（或</w:t>
      </w:r>
      <w:r>
        <w:rPr>
          <w:rFonts w:hint="eastAsia" w:ascii="宋体" w:hAnsi="宋体" w:cs="Arial"/>
          <w:color w:val="auto"/>
          <w:sz w:val="22"/>
          <w:szCs w:val="22"/>
          <w:highlight w:val="none"/>
          <w:lang w:eastAsia="zh-CN"/>
        </w:rPr>
        <w:t>电子邮件</w:t>
      </w:r>
      <w:r>
        <w:rPr>
          <w:rFonts w:hint="eastAsia" w:ascii="宋体" w:hAnsi="宋体" w:eastAsia="宋体" w:cs="Arial"/>
          <w:color w:val="auto"/>
          <w:sz w:val="22"/>
          <w:szCs w:val="22"/>
          <w:highlight w:val="none"/>
          <w:lang w:eastAsia="zh-CN"/>
        </w:rPr>
        <w:t>）招标代理机构，招标代理机构将会统一解答。任何因对本项目招标文件理解不清、产生歧义等由此产生的费用，视作以含在投标总价中。</w:t>
      </w:r>
    </w:p>
    <w:p>
      <w:pPr>
        <w:numPr>
          <w:ilvl w:val="1"/>
          <w:numId w:val="16"/>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投标人必须按</w:t>
      </w:r>
      <w:r>
        <w:rPr>
          <w:rFonts w:hint="eastAsia" w:ascii="宋体" w:hAnsi="宋体" w:eastAsia="宋体" w:cs="Arial"/>
          <w:color w:val="auto"/>
          <w:sz w:val="22"/>
          <w:szCs w:val="22"/>
          <w:highlight w:val="none"/>
          <w:lang w:val="en-US" w:eastAsia="zh-CN"/>
        </w:rPr>
        <w:t>招标文件规定</w:t>
      </w:r>
      <w:r>
        <w:rPr>
          <w:rFonts w:hint="eastAsia" w:ascii="宋体" w:hAnsi="宋体" w:eastAsia="宋体" w:cs="Arial"/>
          <w:color w:val="auto"/>
          <w:sz w:val="22"/>
          <w:szCs w:val="22"/>
          <w:highlight w:val="none"/>
          <w:lang w:eastAsia="zh-CN"/>
        </w:rPr>
        <w:t>的开标一览表（统一格式）、投标分项报价表（统一格式）的内容填写单价、合价及其他事项，并由法定代表人或授权代表签署。</w:t>
      </w:r>
    </w:p>
    <w:p>
      <w:pPr>
        <w:numPr>
          <w:ilvl w:val="1"/>
          <w:numId w:val="16"/>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所有投标报价均以人民币报价。</w:t>
      </w:r>
    </w:p>
    <w:p>
      <w:pPr>
        <w:numPr>
          <w:ilvl w:val="1"/>
          <w:numId w:val="16"/>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lang w:eastAsia="zh-CN"/>
        </w:rPr>
        <w:t>不接受任何选择报价，对每一项货物/服务只允许一个报价。</w:t>
      </w:r>
    </w:p>
    <w:p>
      <w:pPr>
        <w:numPr>
          <w:ilvl w:val="1"/>
          <w:numId w:val="16"/>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lang w:eastAsia="zh-CN"/>
        </w:rPr>
        <w:t>要求分类报价是为了方便评标，但在任何情况下不限制</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lang w:eastAsia="zh-CN"/>
        </w:rPr>
        <w:t>以其认为最合适的条款、条件签订合同的权利。</w:t>
      </w:r>
    </w:p>
    <w:p>
      <w:pPr>
        <w:numPr>
          <w:ilvl w:val="1"/>
          <w:numId w:val="16"/>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报价是成交的一个重要因素，但最低报价不是成交的唯一依据。</w:t>
      </w:r>
    </w:p>
    <w:p>
      <w:pPr>
        <w:numPr>
          <w:ilvl w:val="0"/>
          <w:numId w:val="12"/>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投标人如发生下列情况之一，将上报同级政府采购监督管理部门，追究其责任：</w:t>
      </w:r>
    </w:p>
    <w:p>
      <w:pPr>
        <w:numPr>
          <w:ilvl w:val="0"/>
          <w:numId w:val="17"/>
        </w:numPr>
        <w:tabs>
          <w:tab w:val="left" w:pos="360"/>
          <w:tab w:val="clear" w:pos="420"/>
        </w:tabs>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投标人在</w:t>
      </w:r>
      <w:r>
        <w:rPr>
          <w:rFonts w:hint="eastAsia" w:ascii="宋体" w:hAnsi="宋体" w:eastAsia="宋体" w:cs="宋体"/>
          <w:color w:val="auto"/>
          <w:sz w:val="22"/>
          <w:szCs w:val="22"/>
          <w:highlight w:val="none"/>
          <w:lang w:eastAsia="zh-CN"/>
        </w:rPr>
        <w:t>招标文件</w:t>
      </w:r>
      <w:r>
        <w:rPr>
          <w:rFonts w:hint="eastAsia" w:ascii="宋体" w:hAnsi="宋体" w:eastAsia="宋体" w:cs="宋体"/>
          <w:color w:val="auto"/>
          <w:sz w:val="22"/>
          <w:szCs w:val="22"/>
          <w:highlight w:val="none"/>
        </w:rPr>
        <w:t>规定的投标有效期内撤回投标；</w:t>
      </w:r>
    </w:p>
    <w:p>
      <w:pPr>
        <w:numPr>
          <w:ilvl w:val="0"/>
          <w:numId w:val="17"/>
        </w:numPr>
        <w:tabs>
          <w:tab w:val="left" w:pos="360"/>
          <w:tab w:val="clear" w:pos="420"/>
        </w:tabs>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中标人未按中标通知书中规定的时间与</w:t>
      </w:r>
      <w:r>
        <w:rPr>
          <w:rFonts w:hint="eastAsia" w:ascii="宋体" w:hAnsi="宋体" w:cs="宋体"/>
          <w:color w:val="auto"/>
          <w:sz w:val="22"/>
          <w:szCs w:val="22"/>
          <w:highlight w:val="none"/>
          <w:lang w:eastAsia="zh-CN"/>
        </w:rPr>
        <w:t>招标人</w:t>
      </w:r>
      <w:r>
        <w:rPr>
          <w:rFonts w:hint="eastAsia" w:ascii="宋体" w:hAnsi="宋体" w:eastAsia="宋体" w:cs="宋体"/>
          <w:color w:val="auto"/>
          <w:sz w:val="22"/>
          <w:szCs w:val="22"/>
          <w:highlight w:val="none"/>
        </w:rPr>
        <w:t>签订合同；</w:t>
      </w:r>
    </w:p>
    <w:p>
      <w:pPr>
        <w:numPr>
          <w:ilvl w:val="0"/>
          <w:numId w:val="17"/>
        </w:numPr>
        <w:tabs>
          <w:tab w:val="left" w:pos="360"/>
          <w:tab w:val="clear" w:pos="420"/>
        </w:tabs>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投标人在</w:t>
      </w:r>
      <w:r>
        <w:rPr>
          <w:rFonts w:hint="eastAsia" w:ascii="宋体" w:hAnsi="宋体" w:eastAsia="宋体" w:cs="宋体"/>
          <w:color w:val="auto"/>
          <w:sz w:val="22"/>
          <w:szCs w:val="22"/>
          <w:highlight w:val="none"/>
          <w:lang w:eastAsia="zh-CN"/>
        </w:rPr>
        <w:t>招标文件</w:t>
      </w:r>
      <w:r>
        <w:rPr>
          <w:rFonts w:hint="eastAsia" w:ascii="宋体" w:hAnsi="宋体" w:eastAsia="宋体" w:cs="宋体"/>
          <w:color w:val="auto"/>
          <w:sz w:val="22"/>
          <w:szCs w:val="22"/>
          <w:highlight w:val="none"/>
        </w:rPr>
        <w:t>中提供虚假技术指标及参数，经评标委员会确认属实的。</w:t>
      </w:r>
    </w:p>
    <w:p>
      <w:pPr>
        <w:numPr>
          <w:ilvl w:val="0"/>
          <w:numId w:val="17"/>
        </w:numPr>
        <w:tabs>
          <w:tab w:val="left" w:pos="360"/>
          <w:tab w:val="clear" w:pos="420"/>
        </w:tabs>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经同级政府采购监督管理部门审查认定投标人有违反《中华人民共和国政府采购法》等有关法律法规的行为。</w:t>
      </w:r>
    </w:p>
    <w:p>
      <w:pPr>
        <w:numPr>
          <w:ilvl w:val="0"/>
          <w:numId w:val="12"/>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投标有效期</w:t>
      </w:r>
    </w:p>
    <w:p>
      <w:pPr>
        <w:numPr>
          <w:ilvl w:val="1"/>
          <w:numId w:val="18"/>
        </w:numPr>
        <w:tabs>
          <w:tab w:val="left" w:pos="360"/>
          <w:tab w:val="clear" w:pos="992"/>
        </w:tabs>
        <w:spacing w:line="460" w:lineRule="exact"/>
        <w:ind w:left="42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自开标之日起 90天内投标应保持有效。投标有效期短于这个规定期限的投标将视为非响应性投标而予以拒绝。</w:t>
      </w:r>
    </w:p>
    <w:p>
      <w:pPr>
        <w:numPr>
          <w:ilvl w:val="1"/>
          <w:numId w:val="18"/>
        </w:numPr>
        <w:tabs>
          <w:tab w:val="left" w:pos="360"/>
          <w:tab w:val="clear" w:pos="992"/>
        </w:tabs>
        <w:spacing w:line="460" w:lineRule="exact"/>
        <w:ind w:left="42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特殊情况下，在原投标有效期截止前，</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lang w:eastAsia="zh-CN"/>
        </w:rPr>
        <w:t>可与投标人协商延长投标有效期，这种要求和答复均以书面形式进行。投标人可拒绝接受延期要求。同意延长投标有效期的投标人不得修改投标文件。</w:t>
      </w:r>
    </w:p>
    <w:p>
      <w:pPr>
        <w:spacing w:before="100" w:beforeAutospacing="1" w:after="100" w:afterAutospacing="1" w:line="440" w:lineRule="exact"/>
        <w:ind w:left="783" w:hanging="783" w:hangingChars="300"/>
        <w:jc w:val="center"/>
        <w:outlineLvl w:val="0"/>
        <w:rPr>
          <w:rFonts w:ascii="宋体" w:hAnsi="宋体"/>
          <w:color w:val="auto"/>
          <w:sz w:val="22"/>
          <w:szCs w:val="22"/>
          <w:highlight w:val="none"/>
        </w:rPr>
      </w:pPr>
      <w:bookmarkStart w:id="109" w:name="_Toc6776"/>
      <w:r>
        <w:rPr>
          <w:rFonts w:hint="eastAsia" w:ascii="宋体" w:hAnsi="宋体"/>
          <w:b/>
          <w:bCs/>
          <w:color w:val="auto"/>
          <w:sz w:val="26"/>
          <w:szCs w:val="26"/>
          <w:highlight w:val="none"/>
          <w:lang w:val="en-US" w:eastAsia="zh-CN"/>
        </w:rPr>
        <w:t>五</w:t>
      </w:r>
      <w:r>
        <w:rPr>
          <w:rFonts w:hint="eastAsia" w:ascii="宋体" w:hAnsi="宋体"/>
          <w:b/>
          <w:bCs/>
          <w:color w:val="auto"/>
          <w:sz w:val="26"/>
          <w:szCs w:val="26"/>
          <w:highlight w:val="none"/>
        </w:rPr>
        <w:t>、 投标文件的递交</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numPr>
          <w:ilvl w:val="0"/>
          <w:numId w:val="19"/>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投标文件的递交</w:t>
      </w:r>
    </w:p>
    <w:p>
      <w:pPr>
        <w:tabs>
          <w:tab w:val="left" w:pos="540"/>
        </w:tabs>
        <w:spacing w:line="460" w:lineRule="exact"/>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投标文件的上传、递交：见投标人须知前附表第</w:t>
      </w:r>
      <w:r>
        <w:rPr>
          <w:rFonts w:hint="eastAsia" w:ascii="宋体" w:hAnsi="宋体" w:eastAsia="宋体" w:cs="宋体"/>
          <w:bCs/>
          <w:color w:val="auto"/>
          <w:kern w:val="0"/>
          <w:sz w:val="22"/>
          <w:szCs w:val="22"/>
          <w:highlight w:val="none"/>
          <w:lang w:val="en-US" w:eastAsia="zh-CN"/>
        </w:rPr>
        <w:t>18</w:t>
      </w:r>
      <w:r>
        <w:rPr>
          <w:rFonts w:hint="eastAsia" w:ascii="宋体" w:hAnsi="宋体" w:eastAsia="宋体" w:cs="宋体"/>
          <w:bCs/>
          <w:color w:val="auto"/>
          <w:kern w:val="0"/>
          <w:sz w:val="22"/>
          <w:szCs w:val="22"/>
          <w:highlight w:val="none"/>
        </w:rPr>
        <w:t>款。</w:t>
      </w:r>
    </w:p>
    <w:p>
      <w:pPr>
        <w:numPr>
          <w:ilvl w:val="0"/>
          <w:numId w:val="19"/>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“电子加密投标文件”解密和异常情况处理。</w:t>
      </w:r>
    </w:p>
    <w:p>
      <w:pPr>
        <w:tabs>
          <w:tab w:val="left" w:pos="540"/>
        </w:tabs>
        <w:spacing w:line="46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 xml:space="preserve">    </w:t>
      </w:r>
      <w:r>
        <w:rPr>
          <w:rFonts w:hint="eastAsia" w:ascii="宋体" w:hAnsi="宋体" w:eastAsia="宋体" w:cs="宋体"/>
          <w:bCs/>
          <w:color w:val="auto"/>
          <w:kern w:val="0"/>
          <w:sz w:val="22"/>
          <w:szCs w:val="22"/>
          <w:highlight w:val="none"/>
        </w:rPr>
        <w:t>“电子加密投标文件”解密：见投标人须知前附表第</w:t>
      </w:r>
      <w:r>
        <w:rPr>
          <w:rFonts w:hint="eastAsia" w:ascii="宋体" w:hAnsi="宋体" w:eastAsia="宋体" w:cs="宋体"/>
          <w:bCs/>
          <w:color w:val="auto"/>
          <w:kern w:val="0"/>
          <w:sz w:val="22"/>
          <w:szCs w:val="22"/>
          <w:highlight w:val="none"/>
          <w:lang w:val="en-US" w:eastAsia="zh-CN"/>
        </w:rPr>
        <w:t>19</w:t>
      </w:r>
      <w:r>
        <w:rPr>
          <w:rFonts w:hint="eastAsia" w:ascii="宋体" w:hAnsi="宋体" w:eastAsia="宋体" w:cs="宋体"/>
          <w:bCs/>
          <w:color w:val="auto"/>
          <w:kern w:val="0"/>
          <w:sz w:val="22"/>
          <w:szCs w:val="22"/>
          <w:highlight w:val="none"/>
        </w:rPr>
        <w:t>款。</w:t>
      </w:r>
    </w:p>
    <w:p>
      <w:pPr>
        <w:numPr>
          <w:ilvl w:val="0"/>
          <w:numId w:val="19"/>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投标文件的补充、修改或撤回</w:t>
      </w:r>
    </w:p>
    <w:p>
      <w:pPr>
        <w:numPr>
          <w:ilvl w:val="1"/>
          <w:numId w:val="20"/>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lang w:eastAsia="zh-CN"/>
        </w:rPr>
        <w:t>投标人</w:t>
      </w:r>
      <w:r>
        <w:rPr>
          <w:rFonts w:hint="eastAsia" w:ascii="宋体" w:hAnsi="宋体" w:eastAsia="宋体" w:cs="Times New Roman"/>
          <w:b w:val="0"/>
          <w:bCs/>
          <w:color w:val="auto"/>
          <w:sz w:val="22"/>
          <w:szCs w:val="22"/>
          <w:highlight w:val="none"/>
          <w:u w:val="none"/>
        </w:rPr>
        <w:t>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numPr>
          <w:ilvl w:val="1"/>
          <w:numId w:val="20"/>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投标文件递交截止时间后，投标人不得撤回、修改投标文件。</w:t>
      </w:r>
    </w:p>
    <w:p>
      <w:pPr>
        <w:numPr>
          <w:ilvl w:val="0"/>
          <w:numId w:val="19"/>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 xml:space="preserve"> </w:t>
      </w:r>
      <w:r>
        <w:rPr>
          <w:rFonts w:hint="eastAsia" w:ascii="宋体" w:hAnsi="宋体" w:eastAsia="宋体" w:cs="Arial"/>
          <w:b/>
          <w:bCs w:val="0"/>
          <w:color w:val="auto"/>
          <w:sz w:val="22"/>
          <w:szCs w:val="22"/>
          <w:highlight w:val="none"/>
          <w:u w:val="single"/>
        </w:rPr>
        <w:t>▲发生下列情况之一的</w:t>
      </w:r>
      <w:r>
        <w:rPr>
          <w:rFonts w:hint="eastAsia" w:ascii="宋体" w:hAnsi="宋体" w:eastAsia="宋体" w:cs="Arial"/>
          <w:b/>
          <w:bCs w:val="0"/>
          <w:color w:val="auto"/>
          <w:sz w:val="22"/>
          <w:szCs w:val="22"/>
          <w:highlight w:val="none"/>
          <w:u w:val="single"/>
          <w:lang w:eastAsia="zh-CN"/>
        </w:rPr>
        <w:t>投标文件</w:t>
      </w:r>
      <w:r>
        <w:rPr>
          <w:rFonts w:hint="eastAsia" w:ascii="宋体" w:hAnsi="宋体" w:eastAsia="宋体" w:cs="Arial"/>
          <w:b/>
          <w:bCs w:val="0"/>
          <w:color w:val="auto"/>
          <w:sz w:val="22"/>
          <w:szCs w:val="22"/>
          <w:highlight w:val="none"/>
          <w:u w:val="single"/>
        </w:rPr>
        <w:t>将不予受理：</w:t>
      </w:r>
    </w:p>
    <w:p>
      <w:pPr>
        <w:numPr>
          <w:ilvl w:val="1"/>
          <w:numId w:val="21"/>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在投标截止时间以后上传的投标文件；</w:t>
      </w:r>
    </w:p>
    <w:p>
      <w:pPr>
        <w:numPr>
          <w:ilvl w:val="1"/>
          <w:numId w:val="21"/>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仅递交了“备份投标文件”而未将电子加密投标文件上传至“政府采购云平台”的；</w:t>
      </w:r>
    </w:p>
    <w:p>
      <w:pPr>
        <w:numPr>
          <w:ilvl w:val="1"/>
          <w:numId w:val="21"/>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未在规定时间解密，或者，解密失败且经异常处理政采云系统仍未能识别的；</w:t>
      </w:r>
    </w:p>
    <w:p>
      <w:pPr>
        <w:numPr>
          <w:ilvl w:val="1"/>
          <w:numId w:val="21"/>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以纸质形式提交的；</w:t>
      </w:r>
    </w:p>
    <w:p>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olor w:val="auto"/>
          <w:sz w:val="22"/>
          <w:szCs w:val="22"/>
          <w:highlight w:val="none"/>
        </w:rPr>
      </w:pPr>
      <w:bookmarkStart w:id="110" w:name="_Toc245722282"/>
      <w:bookmarkStart w:id="111" w:name="_Toc221423620"/>
      <w:bookmarkStart w:id="112" w:name="_Toc246261266"/>
      <w:bookmarkStart w:id="113" w:name="_Toc239145355"/>
      <w:bookmarkStart w:id="114" w:name="_Toc222114880"/>
      <w:bookmarkStart w:id="115" w:name="_Toc245191315"/>
      <w:bookmarkStart w:id="116" w:name="_Toc262105504"/>
      <w:bookmarkStart w:id="117" w:name="_Toc221356952"/>
      <w:bookmarkStart w:id="118" w:name="_Toc241404203"/>
      <w:bookmarkStart w:id="119" w:name="_Toc221356888"/>
      <w:bookmarkStart w:id="120" w:name="_Toc249758713"/>
      <w:bookmarkStart w:id="121" w:name="_Toc221374627"/>
      <w:bookmarkStart w:id="122" w:name="_Toc18925"/>
      <w:bookmarkStart w:id="123" w:name="_Toc262049419"/>
      <w:bookmarkStart w:id="124" w:name="_Toc223715999"/>
      <w:bookmarkStart w:id="125" w:name="_Toc249758865"/>
      <w:r>
        <w:rPr>
          <w:rFonts w:hint="eastAsia" w:ascii="宋体" w:hAnsi="宋体"/>
          <w:b/>
          <w:bCs/>
          <w:color w:val="auto"/>
          <w:sz w:val="26"/>
          <w:szCs w:val="26"/>
          <w:highlight w:val="none"/>
          <w:lang w:val="en-US" w:eastAsia="zh-CN"/>
        </w:rPr>
        <w:t>六</w:t>
      </w:r>
      <w:r>
        <w:rPr>
          <w:rFonts w:hint="eastAsia" w:ascii="宋体" w:hAnsi="宋体"/>
          <w:b/>
          <w:bCs/>
          <w:color w:val="auto"/>
          <w:sz w:val="26"/>
          <w:szCs w:val="26"/>
          <w:highlight w:val="none"/>
        </w:rPr>
        <w:t>、 开标</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numPr>
          <w:ilvl w:val="0"/>
          <w:numId w:val="22"/>
        </w:numPr>
        <w:tabs>
          <w:tab w:val="left" w:pos="540"/>
          <w:tab w:val="clear" w:pos="420"/>
        </w:tabs>
        <w:spacing w:line="460" w:lineRule="exact"/>
        <w:rPr>
          <w:rFonts w:hint="eastAsia" w:ascii="宋体" w:hAnsi="宋体" w:eastAsia="宋体" w:cs="Arial"/>
          <w:bCs/>
          <w:color w:val="auto"/>
          <w:sz w:val="22"/>
          <w:szCs w:val="22"/>
          <w:highlight w:val="none"/>
        </w:rPr>
      </w:pPr>
      <w:bookmarkStart w:id="126" w:name="_Toc262049420"/>
      <w:bookmarkStart w:id="127" w:name="_Toc223716000"/>
      <w:bookmarkStart w:id="128" w:name="_Toc245191316"/>
      <w:bookmarkStart w:id="129" w:name="_Toc239145356"/>
      <w:bookmarkStart w:id="130" w:name="_Toc221374628"/>
      <w:bookmarkStart w:id="131" w:name="_Toc249758866"/>
      <w:bookmarkStart w:id="132" w:name="_Toc241404204"/>
      <w:bookmarkStart w:id="133" w:name="_Toc249758714"/>
      <w:bookmarkStart w:id="134" w:name="_Toc221423621"/>
      <w:bookmarkStart w:id="135" w:name="_Toc246261267"/>
      <w:bookmarkStart w:id="136" w:name="_Toc262105505"/>
      <w:bookmarkStart w:id="137" w:name="_Toc221356953"/>
      <w:bookmarkStart w:id="138" w:name="_Toc222114881"/>
      <w:bookmarkStart w:id="139" w:name="_Toc245722283"/>
      <w:bookmarkStart w:id="140" w:name="_Toc221356889"/>
      <w:r>
        <w:rPr>
          <w:rFonts w:hint="eastAsia" w:ascii="宋体" w:hAnsi="宋体" w:eastAsia="宋体" w:cs="Arial"/>
          <w:bCs/>
          <w:color w:val="auto"/>
          <w:sz w:val="22"/>
          <w:szCs w:val="22"/>
          <w:highlight w:val="none"/>
        </w:rPr>
        <w:t>开标形式</w:t>
      </w:r>
    </w:p>
    <w:p>
      <w:pPr>
        <w:tabs>
          <w:tab w:val="left" w:pos="540"/>
        </w:tabs>
        <w:spacing w:line="460" w:lineRule="exact"/>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采购组织机构将按照</w:t>
      </w:r>
      <w:r>
        <w:rPr>
          <w:rFonts w:hint="eastAsia" w:ascii="宋体" w:hAnsi="宋体" w:eastAsia="宋体" w:cs="宋体"/>
          <w:bCs/>
          <w:color w:val="auto"/>
          <w:kern w:val="0"/>
          <w:sz w:val="22"/>
          <w:szCs w:val="22"/>
          <w:highlight w:val="none"/>
          <w:lang w:eastAsia="zh-CN"/>
        </w:rPr>
        <w:t>招标文件</w:t>
      </w:r>
      <w:r>
        <w:rPr>
          <w:rFonts w:hint="eastAsia" w:ascii="宋体" w:hAnsi="宋体" w:eastAsia="宋体" w:cs="宋体"/>
          <w:bCs/>
          <w:color w:val="auto"/>
          <w:kern w:val="0"/>
          <w:sz w:val="22"/>
          <w:szCs w:val="22"/>
          <w:highlight w:val="none"/>
        </w:rPr>
        <w:t>规定的时间通过“政采云平台”组织开标、开启投标文件，所有</w:t>
      </w:r>
      <w:r>
        <w:rPr>
          <w:rFonts w:hint="eastAsia" w:ascii="宋体" w:hAnsi="宋体" w:eastAsia="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均应当准时在线参加。</w:t>
      </w:r>
    </w:p>
    <w:p>
      <w:pPr>
        <w:numPr>
          <w:ilvl w:val="0"/>
          <w:numId w:val="22"/>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开标准备</w:t>
      </w:r>
    </w:p>
    <w:p>
      <w:pPr>
        <w:numPr>
          <w:ilvl w:val="1"/>
          <w:numId w:val="23"/>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开标的准备工作由采购组织机构负责落实。</w:t>
      </w:r>
    </w:p>
    <w:p>
      <w:pPr>
        <w:numPr>
          <w:ilvl w:val="1"/>
          <w:numId w:val="23"/>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采购组织机构将按照</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规定的时间通过“政采云平台”组织开标、开启投标文件，所有</w:t>
      </w:r>
      <w:r>
        <w:rPr>
          <w:rFonts w:hint="eastAsia" w:ascii="宋体" w:hAnsi="宋体" w:eastAsia="宋体" w:cs="Arial"/>
          <w:color w:val="auto"/>
          <w:sz w:val="22"/>
          <w:szCs w:val="22"/>
          <w:highlight w:val="none"/>
          <w:lang w:eastAsia="zh-CN"/>
        </w:rPr>
        <w:t>投标人</w:t>
      </w:r>
      <w:r>
        <w:rPr>
          <w:rFonts w:hint="eastAsia" w:ascii="宋体" w:hAnsi="宋体" w:eastAsia="宋体" w:cs="Arial"/>
          <w:color w:val="auto"/>
          <w:sz w:val="22"/>
          <w:szCs w:val="22"/>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w:t>
      </w:r>
      <w:r>
        <w:rPr>
          <w:rFonts w:hint="eastAsia" w:ascii="宋体" w:hAnsi="宋体" w:eastAsia="宋体" w:cs="Arial"/>
          <w:color w:val="auto"/>
          <w:sz w:val="22"/>
          <w:szCs w:val="22"/>
          <w:highlight w:val="none"/>
          <w:lang w:eastAsia="zh-CN"/>
        </w:rPr>
        <w:t>投标人</w:t>
      </w:r>
      <w:r>
        <w:rPr>
          <w:rFonts w:hint="eastAsia" w:ascii="宋体" w:hAnsi="宋体" w:eastAsia="宋体" w:cs="Arial"/>
          <w:color w:val="auto"/>
          <w:sz w:val="22"/>
          <w:szCs w:val="22"/>
          <w:highlight w:val="none"/>
        </w:rPr>
        <w:t>自己承担。</w:t>
      </w:r>
    </w:p>
    <w:p>
      <w:pPr>
        <w:numPr>
          <w:ilvl w:val="0"/>
          <w:numId w:val="22"/>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开标流程</w:t>
      </w:r>
    </w:p>
    <w:p>
      <w:pPr>
        <w:numPr>
          <w:ilvl w:val="1"/>
          <w:numId w:val="24"/>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lang w:eastAsia="zh-CN"/>
        </w:rPr>
      </w:pPr>
      <w:r>
        <w:rPr>
          <w:rFonts w:hint="eastAsia" w:ascii="宋体" w:hAnsi="宋体" w:eastAsia="宋体" w:cs="Times New Roman"/>
          <w:b w:val="0"/>
          <w:bCs/>
          <w:color w:val="auto"/>
          <w:sz w:val="22"/>
          <w:szCs w:val="22"/>
          <w:highlight w:val="none"/>
          <w:u w:val="none"/>
          <w:lang w:eastAsia="zh-CN"/>
        </w:rPr>
        <w:t>按采购文件规定的时间、地点开启各投标人的投标文件。开标前，首先检查投标文件的密封情况，确认无误后开启投标文件（资格文件、商务技术文件、</w:t>
      </w:r>
      <w:r>
        <w:rPr>
          <w:rFonts w:hint="eastAsia" w:ascii="宋体" w:hAnsi="宋体" w:eastAsia="宋体" w:cs="Times New Roman"/>
          <w:b w:val="0"/>
          <w:bCs/>
          <w:color w:val="auto"/>
          <w:sz w:val="22"/>
          <w:szCs w:val="22"/>
          <w:highlight w:val="none"/>
          <w:u w:val="none"/>
          <w:lang w:val="en-US" w:eastAsia="zh-CN"/>
        </w:rPr>
        <w:t>报价文件</w:t>
      </w:r>
      <w:r>
        <w:rPr>
          <w:rFonts w:hint="eastAsia" w:ascii="宋体" w:hAnsi="宋体" w:eastAsia="宋体" w:cs="Times New Roman"/>
          <w:b w:val="0"/>
          <w:bCs/>
          <w:color w:val="auto"/>
          <w:sz w:val="22"/>
          <w:szCs w:val="22"/>
          <w:highlight w:val="none"/>
          <w:u w:val="none"/>
          <w:lang w:eastAsia="zh-CN"/>
        </w:rPr>
        <w:t>）</w:t>
      </w:r>
    </w:p>
    <w:p>
      <w:pPr>
        <w:numPr>
          <w:ilvl w:val="1"/>
          <w:numId w:val="24"/>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lang w:eastAsia="zh-CN"/>
        </w:rPr>
      </w:pPr>
      <w:r>
        <w:rPr>
          <w:rFonts w:hint="eastAsia" w:ascii="宋体" w:hAnsi="宋体" w:eastAsia="宋体" w:cs="Times New Roman"/>
          <w:b w:val="0"/>
          <w:bCs/>
          <w:color w:val="auto"/>
          <w:sz w:val="22"/>
          <w:szCs w:val="22"/>
          <w:highlight w:val="none"/>
          <w:u w:val="none"/>
          <w:lang w:eastAsia="zh-CN"/>
        </w:rPr>
        <w:t>电子招投标开标及评审程序</w:t>
      </w:r>
    </w:p>
    <w:p>
      <w:pPr>
        <w:numPr>
          <w:ilvl w:val="0"/>
          <w:numId w:val="25"/>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投标截止时间后，投标人登录政采云平台，用“项目采购-开标评标”功能对电子投标文件进行在线解密。在线解密电子投标文件时间为开标时间起</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0分钟内。</w:t>
      </w:r>
    </w:p>
    <w:p>
      <w:pPr>
        <w:numPr>
          <w:ilvl w:val="0"/>
          <w:numId w:val="25"/>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在系统上</w:t>
      </w:r>
      <w:r>
        <w:rPr>
          <w:rFonts w:hint="eastAsia" w:ascii="宋体" w:hAnsi="宋体" w:eastAsia="宋体" w:cs="宋体"/>
          <w:bCs/>
          <w:color w:val="auto"/>
          <w:sz w:val="22"/>
          <w:szCs w:val="22"/>
          <w:highlight w:val="none"/>
          <w:lang w:val="en-US" w:eastAsia="zh-CN"/>
        </w:rPr>
        <w:t>公布各投标人名称、投标报价及招标文件规定的需要宣布的其他内容。</w:t>
      </w:r>
    </w:p>
    <w:p>
      <w:pPr>
        <w:numPr>
          <w:ilvl w:val="0"/>
          <w:numId w:val="25"/>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评标委员会对资格</w:t>
      </w:r>
      <w:r>
        <w:rPr>
          <w:rFonts w:hint="eastAsia" w:ascii="宋体" w:hAnsi="宋体" w:eastAsia="宋体" w:cs="宋体"/>
          <w:bCs/>
          <w:color w:val="auto"/>
          <w:sz w:val="22"/>
          <w:szCs w:val="22"/>
          <w:highlight w:val="none"/>
          <w:lang w:val="en-US" w:eastAsia="zh-CN"/>
        </w:rPr>
        <w:t>文件</w:t>
      </w:r>
      <w:r>
        <w:rPr>
          <w:rFonts w:hint="eastAsia" w:ascii="宋体" w:hAnsi="宋体" w:eastAsia="宋体" w:cs="宋体"/>
          <w:bCs/>
          <w:color w:val="auto"/>
          <w:sz w:val="22"/>
          <w:szCs w:val="22"/>
          <w:highlight w:val="none"/>
        </w:rPr>
        <w:t>和商务技术文件进行评审</w:t>
      </w:r>
      <w:r>
        <w:rPr>
          <w:rFonts w:hint="eastAsia" w:ascii="宋体" w:hAnsi="宋体" w:eastAsia="宋体" w:cs="宋体"/>
          <w:bCs/>
          <w:color w:val="auto"/>
          <w:sz w:val="22"/>
          <w:szCs w:val="22"/>
          <w:highlight w:val="none"/>
          <w:lang w:eastAsia="zh-CN"/>
        </w:rPr>
        <w:t>。</w:t>
      </w:r>
    </w:p>
    <w:p>
      <w:pPr>
        <w:numPr>
          <w:ilvl w:val="0"/>
          <w:numId w:val="25"/>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在系统上公开资格和商务技术评审结果</w:t>
      </w:r>
      <w:r>
        <w:rPr>
          <w:rFonts w:hint="eastAsia" w:ascii="宋体" w:hAnsi="宋体" w:eastAsia="宋体" w:cs="宋体"/>
          <w:bCs/>
          <w:color w:val="auto"/>
          <w:sz w:val="22"/>
          <w:szCs w:val="22"/>
          <w:highlight w:val="none"/>
          <w:lang w:eastAsia="zh-CN"/>
        </w:rPr>
        <w:t>。</w:t>
      </w:r>
    </w:p>
    <w:p>
      <w:pPr>
        <w:numPr>
          <w:ilvl w:val="0"/>
          <w:numId w:val="25"/>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评标委员会对报价</w:t>
      </w:r>
      <w:r>
        <w:rPr>
          <w:rFonts w:hint="eastAsia" w:ascii="宋体" w:hAnsi="宋体" w:eastAsia="宋体" w:cs="宋体"/>
          <w:bCs/>
          <w:color w:val="auto"/>
          <w:sz w:val="22"/>
          <w:szCs w:val="22"/>
          <w:highlight w:val="none"/>
          <w:lang w:val="en-US" w:eastAsia="zh-CN"/>
        </w:rPr>
        <w:t>文件</w:t>
      </w:r>
      <w:r>
        <w:rPr>
          <w:rFonts w:hint="eastAsia" w:ascii="宋体" w:hAnsi="宋体" w:eastAsia="宋体" w:cs="宋体"/>
          <w:bCs/>
          <w:color w:val="auto"/>
          <w:sz w:val="22"/>
          <w:szCs w:val="22"/>
          <w:highlight w:val="none"/>
        </w:rPr>
        <w:t>进行评审</w:t>
      </w:r>
      <w:r>
        <w:rPr>
          <w:rFonts w:hint="eastAsia" w:ascii="宋体" w:hAnsi="宋体" w:eastAsia="宋体" w:cs="宋体"/>
          <w:bCs/>
          <w:color w:val="auto"/>
          <w:sz w:val="22"/>
          <w:szCs w:val="22"/>
          <w:highlight w:val="none"/>
          <w:lang w:eastAsia="zh-CN"/>
        </w:rPr>
        <w:t>。</w:t>
      </w:r>
    </w:p>
    <w:p>
      <w:pPr>
        <w:numPr>
          <w:ilvl w:val="0"/>
          <w:numId w:val="25"/>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在系统上公布评审结果。</w:t>
      </w:r>
    </w:p>
    <w:p>
      <w:pPr>
        <w:overflowPunct w:val="0"/>
        <w:spacing w:line="440" w:lineRule="exact"/>
        <w:ind w:left="11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特别说明：1、政采云公司如对电子化开标及评审程序有调整的，按调整后的程序操作。</w:t>
      </w:r>
    </w:p>
    <w:p>
      <w:pPr>
        <w:overflowPunct w:val="0"/>
        <w:spacing w:line="440" w:lineRule="exact"/>
        <w:ind w:firstLine="1281" w:firstLineChars="58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2、目前政府采购全流程电子化交易，投标人须在规定时间内自行解密。</w:t>
      </w:r>
    </w:p>
    <w:p>
      <w:pPr>
        <w:numPr>
          <w:ilvl w:val="1"/>
          <w:numId w:val="24"/>
        </w:numPr>
        <w:tabs>
          <w:tab w:val="left" w:pos="540"/>
          <w:tab w:val="clear" w:pos="992"/>
        </w:tabs>
        <w:spacing w:line="460" w:lineRule="exact"/>
        <w:ind w:left="540" w:hanging="540"/>
        <w:rPr>
          <w:rFonts w:hint="eastAsia" w:ascii="宋体" w:hAnsi="宋体" w:eastAsia="宋体" w:cs="Times New Roman"/>
          <w:b/>
          <w:bCs w:val="0"/>
          <w:color w:val="auto"/>
          <w:sz w:val="22"/>
          <w:szCs w:val="22"/>
          <w:highlight w:val="none"/>
          <w:u w:val="single"/>
          <w:lang w:eastAsia="zh-CN"/>
        </w:rPr>
      </w:pPr>
      <w:r>
        <w:rPr>
          <w:rFonts w:hint="eastAsia" w:ascii="宋体" w:hAnsi="宋体" w:eastAsia="宋体" w:cs="Times New Roman"/>
          <w:b/>
          <w:bCs w:val="0"/>
          <w:color w:val="auto"/>
          <w:sz w:val="22"/>
          <w:szCs w:val="22"/>
          <w:highlight w:val="none"/>
          <w:u w:val="single"/>
          <w:lang w:eastAsia="zh-CN"/>
        </w:rPr>
        <w:t>电子响应文件解密结束后，各投标人签署《政府采购活动现场确认声明书》（见附件）后将扫描件发送至采购代理机构邮箱Yxgc</w:t>
      </w:r>
      <w:r>
        <w:rPr>
          <w:rFonts w:hint="eastAsia" w:ascii="宋体" w:hAnsi="宋体" w:eastAsia="宋体" w:cs="Times New Roman"/>
          <w:b/>
          <w:bCs w:val="0"/>
          <w:color w:val="auto"/>
          <w:sz w:val="22"/>
          <w:szCs w:val="22"/>
          <w:highlight w:val="none"/>
          <w:u w:val="single"/>
          <w:lang w:val="en-US" w:eastAsia="zh-CN"/>
        </w:rPr>
        <w:t>666</w:t>
      </w:r>
      <w:r>
        <w:rPr>
          <w:rFonts w:hint="eastAsia" w:ascii="宋体" w:hAnsi="宋体" w:eastAsia="宋体" w:cs="Times New Roman"/>
          <w:b/>
          <w:bCs w:val="0"/>
          <w:color w:val="auto"/>
          <w:sz w:val="22"/>
          <w:szCs w:val="22"/>
          <w:highlight w:val="none"/>
          <w:u w:val="single"/>
          <w:lang w:eastAsia="zh-CN"/>
        </w:rPr>
        <w:t>@126.com。</w:t>
      </w:r>
    </w:p>
    <w:p>
      <w:pPr>
        <w:numPr>
          <w:ilvl w:val="1"/>
          <w:numId w:val="24"/>
        </w:numPr>
        <w:tabs>
          <w:tab w:val="left" w:pos="540"/>
          <w:tab w:val="clear" w:pos="992"/>
        </w:tabs>
        <w:spacing w:line="460" w:lineRule="exact"/>
        <w:ind w:left="540" w:hanging="540"/>
        <w:rPr>
          <w:rFonts w:hint="eastAsia" w:ascii="宋体" w:hAnsi="宋体" w:eastAsia="宋体" w:cs="Times New Roman"/>
          <w:b/>
          <w:bCs w:val="0"/>
          <w:color w:val="auto"/>
          <w:sz w:val="22"/>
          <w:szCs w:val="22"/>
          <w:highlight w:val="none"/>
          <w:u w:val="none"/>
          <w:lang w:eastAsia="zh-CN"/>
        </w:rPr>
      </w:pPr>
      <w:r>
        <w:rPr>
          <w:rFonts w:hint="eastAsia" w:ascii="宋体" w:hAnsi="宋体" w:eastAsia="宋体" w:cs="Times New Roman"/>
          <w:b/>
          <w:bCs w:val="0"/>
          <w:color w:val="auto"/>
          <w:sz w:val="22"/>
          <w:szCs w:val="22"/>
          <w:highlight w:val="none"/>
          <w:u w:val="none"/>
          <w:lang w:eastAsia="zh-CN"/>
        </w:rPr>
        <w:t>评审结束后，在“政采云平台”系统平台上公布</w:t>
      </w:r>
      <w:r>
        <w:rPr>
          <w:rFonts w:hint="eastAsia" w:ascii="宋体" w:hAnsi="宋体" w:eastAsia="宋体" w:cs="Times New Roman"/>
          <w:b/>
          <w:bCs w:val="0"/>
          <w:color w:val="auto"/>
          <w:sz w:val="22"/>
          <w:szCs w:val="22"/>
          <w:highlight w:val="none"/>
          <w:u w:val="none"/>
          <w:lang w:val="en-US" w:eastAsia="zh-CN"/>
        </w:rPr>
        <w:t>个</w:t>
      </w:r>
      <w:r>
        <w:rPr>
          <w:rFonts w:hint="eastAsia" w:ascii="宋体" w:hAnsi="宋体" w:cs="Times New Roman"/>
          <w:b/>
          <w:bCs w:val="0"/>
          <w:color w:val="auto"/>
          <w:sz w:val="22"/>
          <w:szCs w:val="22"/>
          <w:highlight w:val="none"/>
          <w:u w:val="none"/>
          <w:lang w:val="en-US" w:eastAsia="zh-CN"/>
        </w:rPr>
        <w:t>招标人</w:t>
      </w:r>
      <w:r>
        <w:rPr>
          <w:rFonts w:hint="eastAsia" w:ascii="宋体" w:hAnsi="宋体" w:eastAsia="宋体" w:cs="Times New Roman"/>
          <w:b/>
          <w:bCs w:val="0"/>
          <w:color w:val="auto"/>
          <w:sz w:val="22"/>
          <w:szCs w:val="22"/>
          <w:highlight w:val="none"/>
          <w:u w:val="none"/>
          <w:lang w:val="en-US" w:eastAsia="zh-CN"/>
        </w:rPr>
        <w:t>的详细情况及</w:t>
      </w:r>
      <w:r>
        <w:rPr>
          <w:rFonts w:hint="eastAsia" w:ascii="宋体" w:hAnsi="宋体" w:eastAsia="宋体" w:cs="Times New Roman"/>
          <w:b/>
          <w:bCs w:val="0"/>
          <w:color w:val="auto"/>
          <w:sz w:val="22"/>
          <w:szCs w:val="22"/>
          <w:highlight w:val="none"/>
          <w:u w:val="none"/>
          <w:lang w:eastAsia="zh-CN"/>
        </w:rPr>
        <w:t>中标（成交）候选投标人名单</w:t>
      </w:r>
      <w:r>
        <w:rPr>
          <w:rFonts w:hint="eastAsia" w:ascii="宋体" w:hAnsi="宋体" w:eastAsia="宋体" w:cs="Times New Roman"/>
          <w:b/>
          <w:bCs w:val="0"/>
          <w:color w:val="auto"/>
          <w:sz w:val="22"/>
          <w:szCs w:val="22"/>
          <w:highlight w:val="none"/>
          <w:u w:val="none"/>
          <w:lang w:val="en-US" w:eastAsia="zh-CN"/>
        </w:rPr>
        <w:t>的</w:t>
      </w:r>
      <w:r>
        <w:rPr>
          <w:rFonts w:hint="eastAsia" w:ascii="宋体" w:hAnsi="宋体" w:eastAsia="宋体" w:cs="Times New Roman"/>
          <w:b/>
          <w:bCs w:val="0"/>
          <w:color w:val="auto"/>
          <w:sz w:val="22"/>
          <w:szCs w:val="22"/>
          <w:highlight w:val="none"/>
          <w:u w:val="none"/>
          <w:lang w:eastAsia="zh-CN"/>
        </w:rPr>
        <w:t>公告等。</w:t>
      </w:r>
    </w:p>
    <w:p>
      <w:pPr>
        <w:tabs>
          <w:tab w:val="left" w:pos="540"/>
        </w:tabs>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特别说明：如遇“政采云平台”电子化开标或评审程序调整的，按调整后程序执行。</w:t>
      </w:r>
    </w:p>
    <w:p>
      <w:pPr>
        <w:spacing w:before="100" w:beforeAutospacing="1" w:after="100" w:afterAutospacing="1" w:line="440" w:lineRule="exact"/>
        <w:ind w:left="-6"/>
        <w:jc w:val="center"/>
        <w:outlineLvl w:val="0"/>
        <w:rPr>
          <w:rFonts w:ascii="宋体" w:hAnsi="宋体"/>
          <w:b/>
          <w:bCs/>
          <w:color w:val="auto"/>
          <w:sz w:val="26"/>
          <w:szCs w:val="26"/>
          <w:highlight w:val="none"/>
        </w:rPr>
      </w:pPr>
      <w:bookmarkStart w:id="141" w:name="_Toc19020"/>
      <w:r>
        <w:rPr>
          <w:rFonts w:hint="eastAsia" w:ascii="宋体" w:hAnsi="宋体"/>
          <w:b/>
          <w:bCs/>
          <w:color w:val="auto"/>
          <w:sz w:val="26"/>
          <w:szCs w:val="26"/>
          <w:highlight w:val="none"/>
          <w:lang w:val="en-US" w:eastAsia="zh-CN"/>
        </w:rPr>
        <w:t>七</w:t>
      </w:r>
      <w:r>
        <w:rPr>
          <w:rFonts w:hint="eastAsia" w:ascii="宋体" w:hAnsi="宋体"/>
          <w:b/>
          <w:bCs/>
          <w:color w:val="auto"/>
          <w:sz w:val="26"/>
          <w:szCs w:val="26"/>
          <w:highlight w:val="none"/>
        </w:rPr>
        <w:t xml:space="preserve">、 </w:t>
      </w:r>
      <w:r>
        <w:rPr>
          <w:rFonts w:hint="eastAsia" w:ascii="宋体" w:hAnsi="宋体"/>
          <w:b/>
          <w:bCs/>
          <w:color w:val="auto"/>
          <w:sz w:val="26"/>
          <w:szCs w:val="26"/>
          <w:highlight w:val="none"/>
          <w:lang w:val="en-US" w:eastAsia="zh-CN"/>
        </w:rPr>
        <w:t>评</w:t>
      </w:r>
      <w:r>
        <w:rPr>
          <w:rFonts w:hint="eastAsia" w:ascii="宋体" w:hAnsi="宋体"/>
          <w:b/>
          <w:bCs/>
          <w:color w:val="auto"/>
          <w:sz w:val="26"/>
          <w:szCs w:val="26"/>
          <w:highlight w:val="none"/>
        </w:rPr>
        <w:t>标</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numPr>
          <w:ilvl w:val="0"/>
          <w:numId w:val="26"/>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评标委员会</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招标人</w:t>
      </w:r>
      <w:r>
        <w:rPr>
          <w:rFonts w:hint="eastAsia" w:ascii="宋体" w:hAnsi="宋体" w:eastAsia="宋体" w:cs="宋体"/>
          <w:color w:val="auto"/>
          <w:kern w:val="0"/>
          <w:sz w:val="22"/>
          <w:szCs w:val="22"/>
          <w:highlight w:val="none"/>
        </w:rPr>
        <w:t>按照《中华人民共和国政府采购法》等有关法律、法规的规定组建评标委员会，评标委员会成员由</w:t>
      </w:r>
      <w:r>
        <w:rPr>
          <w:rFonts w:hint="eastAsia" w:ascii="宋体" w:hAnsi="宋体" w:cs="宋体"/>
          <w:color w:val="auto"/>
          <w:kern w:val="0"/>
          <w:sz w:val="22"/>
          <w:szCs w:val="22"/>
          <w:highlight w:val="none"/>
          <w:lang w:eastAsia="zh-CN"/>
        </w:rPr>
        <w:t>招标人</w:t>
      </w:r>
      <w:r>
        <w:rPr>
          <w:rFonts w:hint="eastAsia" w:ascii="宋体" w:hAnsi="宋体" w:eastAsia="宋体" w:cs="宋体"/>
          <w:color w:val="auto"/>
          <w:kern w:val="0"/>
          <w:sz w:val="22"/>
          <w:szCs w:val="22"/>
          <w:highlight w:val="none"/>
        </w:rPr>
        <w:t>代表和有关技术、经济等方面的专家组成，成员人数为5人（含）以上单数，除</w:t>
      </w:r>
      <w:r>
        <w:rPr>
          <w:rFonts w:hint="eastAsia" w:ascii="宋体" w:hAnsi="宋体" w:cs="宋体"/>
          <w:color w:val="auto"/>
          <w:kern w:val="0"/>
          <w:sz w:val="22"/>
          <w:szCs w:val="22"/>
          <w:highlight w:val="none"/>
          <w:lang w:eastAsia="zh-CN"/>
        </w:rPr>
        <w:t>招标人</w:t>
      </w:r>
      <w:r>
        <w:rPr>
          <w:rFonts w:hint="eastAsia" w:ascii="宋体" w:hAnsi="宋体" w:eastAsia="宋体" w:cs="宋体"/>
          <w:color w:val="auto"/>
          <w:kern w:val="0"/>
          <w:sz w:val="22"/>
          <w:szCs w:val="22"/>
          <w:highlight w:val="none"/>
        </w:rPr>
        <w:t>代表外的专家将在评标专家库中随机抽取产生。</w:t>
      </w:r>
    </w:p>
    <w:p>
      <w:pPr>
        <w:numPr>
          <w:ilvl w:val="0"/>
          <w:numId w:val="26"/>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评标过程的保密性</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开标后直至向中标人授予合同时止，凡与评审有关的资料均不得向投标人及与评标无关人员透露。如果投标人在评标过程中试图向</w:t>
      </w:r>
      <w:r>
        <w:rPr>
          <w:rFonts w:hint="eastAsia" w:ascii="宋体" w:hAnsi="宋体" w:cs="宋体"/>
          <w:color w:val="auto"/>
          <w:kern w:val="0"/>
          <w:sz w:val="22"/>
          <w:szCs w:val="22"/>
          <w:highlight w:val="none"/>
          <w:lang w:eastAsia="zh-CN"/>
        </w:rPr>
        <w:t>招标人</w:t>
      </w:r>
      <w:r>
        <w:rPr>
          <w:rFonts w:hint="eastAsia" w:ascii="宋体" w:hAnsi="宋体" w:eastAsia="宋体" w:cs="宋体"/>
          <w:color w:val="auto"/>
          <w:kern w:val="0"/>
          <w:sz w:val="22"/>
          <w:szCs w:val="22"/>
          <w:highlight w:val="none"/>
        </w:rPr>
        <w:t>和招标代理机构施加影响，其投标将被拒绝。</w:t>
      </w:r>
    </w:p>
    <w:p>
      <w:pPr>
        <w:numPr>
          <w:ilvl w:val="0"/>
          <w:numId w:val="26"/>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投标文件的初审。初审分为资格性审查和符合性检查。</w:t>
      </w:r>
    </w:p>
    <w:p>
      <w:pPr>
        <w:numPr>
          <w:ilvl w:val="1"/>
          <w:numId w:val="27"/>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lang w:eastAsia="zh-CN"/>
        </w:rPr>
      </w:pPr>
      <w:r>
        <w:rPr>
          <w:rFonts w:hint="eastAsia" w:ascii="宋体" w:hAnsi="宋体" w:eastAsia="宋体" w:cs="Times New Roman"/>
          <w:b w:val="0"/>
          <w:bCs/>
          <w:color w:val="auto"/>
          <w:sz w:val="22"/>
          <w:szCs w:val="22"/>
          <w:highlight w:val="none"/>
          <w:u w:val="none"/>
          <w:lang w:eastAsia="zh-CN"/>
        </w:rPr>
        <w:t>资格性审查。</w:t>
      </w:r>
    </w:p>
    <w:p>
      <w:pPr>
        <w:pStyle w:val="122"/>
        <w:numPr>
          <w:ilvl w:val="0"/>
          <w:numId w:val="28"/>
        </w:numPr>
        <w:tabs>
          <w:tab w:val="left" w:pos="425"/>
        </w:tabs>
        <w:overflowPunct w:val="0"/>
        <w:spacing w:line="440" w:lineRule="exact"/>
        <w:ind w:hanging="136"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依据法律、法规和采购文件的规定，</w:t>
      </w:r>
      <w:r>
        <w:rPr>
          <w:rFonts w:hint="eastAsia" w:ascii="宋体" w:hAnsi="宋体" w:cs="宋体"/>
          <w:bCs/>
          <w:color w:val="auto"/>
          <w:sz w:val="22"/>
          <w:szCs w:val="22"/>
          <w:highlight w:val="none"/>
          <w:lang w:eastAsia="zh-CN"/>
        </w:rPr>
        <w:t>招标人</w:t>
      </w:r>
      <w:r>
        <w:rPr>
          <w:rFonts w:hint="eastAsia" w:ascii="宋体" w:hAnsi="宋体" w:eastAsia="宋体" w:cs="宋体"/>
          <w:bCs/>
          <w:color w:val="auto"/>
          <w:sz w:val="22"/>
          <w:szCs w:val="22"/>
          <w:highlight w:val="none"/>
        </w:rPr>
        <w:t>或采购代理机构在开启各投标人资格证明文件后，对各投标人进行投标资格审查，审查内容包括但不仅限于投标文件所提交证明材料是否能证明符合本项目对合格投标人的实质性要求。</w:t>
      </w:r>
      <w:r>
        <w:rPr>
          <w:rFonts w:hint="eastAsia" w:ascii="宋体" w:hAnsi="宋体" w:cs="宋体"/>
          <w:bCs/>
          <w:color w:val="auto"/>
          <w:sz w:val="22"/>
          <w:szCs w:val="22"/>
          <w:highlight w:val="none"/>
          <w:lang w:eastAsia="zh-CN"/>
        </w:rPr>
        <w:t>招标人</w:t>
      </w:r>
      <w:r>
        <w:rPr>
          <w:rFonts w:hint="eastAsia" w:ascii="宋体" w:hAnsi="宋体" w:eastAsia="宋体" w:cs="宋体"/>
          <w:bCs/>
          <w:color w:val="auto"/>
          <w:sz w:val="22"/>
          <w:szCs w:val="22"/>
          <w:highlight w:val="none"/>
        </w:rPr>
        <w:t>或采购代理机构对投标人所提供的资格证明材料仅负审核的责任。如发现投标人所提供的资格证明材料不合法或不真实，</w:t>
      </w:r>
      <w:r>
        <w:rPr>
          <w:rFonts w:hint="eastAsia" w:ascii="宋体" w:hAnsi="宋体" w:cs="宋体"/>
          <w:bCs/>
          <w:color w:val="auto"/>
          <w:sz w:val="22"/>
          <w:szCs w:val="22"/>
          <w:highlight w:val="none"/>
          <w:lang w:eastAsia="zh-CN"/>
        </w:rPr>
        <w:t>招标人</w:t>
      </w:r>
      <w:r>
        <w:rPr>
          <w:rFonts w:hint="eastAsia" w:ascii="宋体" w:hAnsi="宋体" w:eastAsia="宋体" w:cs="宋体"/>
          <w:bCs/>
          <w:color w:val="auto"/>
          <w:sz w:val="22"/>
          <w:szCs w:val="22"/>
          <w:highlight w:val="none"/>
        </w:rPr>
        <w:t>可取消其中标资格并追究法律责任。通过资格审查视作具备投标资格，审查不合格的投标文件将不进入后续详细评审。</w:t>
      </w:r>
    </w:p>
    <w:p>
      <w:pPr>
        <w:pStyle w:val="122"/>
        <w:numPr>
          <w:ilvl w:val="0"/>
          <w:numId w:val="28"/>
        </w:numPr>
        <w:tabs>
          <w:tab w:val="left" w:pos="425"/>
        </w:tabs>
        <w:overflowPunct w:val="0"/>
        <w:spacing w:line="440" w:lineRule="exact"/>
        <w:ind w:hanging="136"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在资格审查过程中，若对投标人的资格审查文件有疑问，采购组织机构将在系统上向投标人发起询标函</w:t>
      </w:r>
    </w:p>
    <w:p>
      <w:pPr>
        <w:numPr>
          <w:ilvl w:val="1"/>
          <w:numId w:val="27"/>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lang w:eastAsia="zh-CN"/>
        </w:rPr>
      </w:pPr>
      <w:r>
        <w:rPr>
          <w:rFonts w:hint="eastAsia" w:ascii="宋体" w:hAnsi="宋体" w:eastAsia="宋体" w:cs="Times New Roman"/>
          <w:b w:val="0"/>
          <w:bCs/>
          <w:color w:val="auto"/>
          <w:sz w:val="22"/>
          <w:szCs w:val="22"/>
          <w:highlight w:val="none"/>
          <w:u w:val="none"/>
          <w:lang w:eastAsia="zh-CN"/>
        </w:rPr>
        <w:t>符合性检查。依据招标文件的规定，从投标文件中的有效性、完整性和对招标文件的响应程度进行审查，并在“政采云系统-符合性评审”中录入投标人的符合性审查情况。</w:t>
      </w:r>
    </w:p>
    <w:p>
      <w:pPr>
        <w:numPr>
          <w:ilvl w:val="1"/>
          <w:numId w:val="27"/>
        </w:numPr>
        <w:tabs>
          <w:tab w:val="left" w:pos="540"/>
          <w:tab w:val="clear" w:pos="992"/>
        </w:tabs>
        <w:spacing w:line="460" w:lineRule="exact"/>
        <w:ind w:left="540" w:hanging="540"/>
        <w:rPr>
          <w:rFonts w:hint="eastAsia" w:ascii="宋体" w:hAnsi="宋体" w:eastAsia="宋体" w:cs="Times New Roman"/>
          <w:b/>
          <w:bCs w:val="0"/>
          <w:color w:val="auto"/>
          <w:sz w:val="22"/>
          <w:szCs w:val="22"/>
          <w:highlight w:val="none"/>
          <w:u w:val="single"/>
          <w:lang w:eastAsia="zh-CN"/>
        </w:rPr>
      </w:pPr>
      <w:r>
        <w:rPr>
          <w:rFonts w:hint="eastAsia" w:ascii="宋体" w:hAnsi="宋体" w:eastAsia="宋体" w:cs="Times New Roman"/>
          <w:b/>
          <w:bCs w:val="0"/>
          <w:color w:val="auto"/>
          <w:sz w:val="22"/>
          <w:szCs w:val="22"/>
          <w:highlight w:val="none"/>
          <w:u w:val="single"/>
          <w:lang w:eastAsia="zh-CN"/>
        </w:rPr>
        <w:t>▲通过资格性审查与符合性审查的商务技术文件由评委进行综合评审，审查确认未通过的商务技术文件不予评审。</w:t>
      </w:r>
    </w:p>
    <w:p>
      <w:pPr>
        <w:numPr>
          <w:ilvl w:val="0"/>
          <w:numId w:val="26"/>
        </w:numPr>
        <w:tabs>
          <w:tab w:val="left" w:pos="540"/>
          <w:tab w:val="clear" w:pos="420"/>
        </w:tabs>
        <w:spacing w:line="460" w:lineRule="exact"/>
        <w:rPr>
          <w:rFonts w:hint="default" w:ascii="宋体" w:hAnsi="宋体" w:eastAsia="宋体" w:cs="Arial"/>
          <w:b/>
          <w:bCs w:val="0"/>
          <w:color w:val="auto"/>
          <w:sz w:val="22"/>
          <w:szCs w:val="22"/>
          <w:highlight w:val="none"/>
          <w:lang w:val="en-US" w:eastAsia="zh-CN"/>
        </w:rPr>
      </w:pPr>
      <w:r>
        <w:rPr>
          <w:rFonts w:hint="eastAsia" w:ascii="宋体" w:hAnsi="宋体" w:eastAsia="宋体" w:cs="Arial"/>
          <w:b/>
          <w:bCs w:val="0"/>
          <w:color w:val="auto"/>
          <w:sz w:val="22"/>
          <w:szCs w:val="22"/>
          <w:highlight w:val="none"/>
          <w:lang w:val="en-US" w:eastAsia="zh-CN"/>
        </w:rPr>
        <w:t>无效标认定</w:t>
      </w:r>
    </w:p>
    <w:p>
      <w:pPr>
        <w:numPr>
          <w:ilvl w:val="1"/>
          <w:numId w:val="29"/>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u w:val="single"/>
          <w:lang w:eastAsia="zh-CN"/>
        </w:rPr>
      </w:pPr>
      <w:r>
        <w:rPr>
          <w:rFonts w:hint="eastAsia" w:ascii="宋体" w:hAnsi="宋体" w:eastAsia="宋体" w:cs="Arial"/>
          <w:b/>
          <w:bCs/>
          <w:color w:val="auto"/>
          <w:sz w:val="22"/>
          <w:szCs w:val="22"/>
          <w:highlight w:val="none"/>
          <w:u w:val="single"/>
          <w:lang w:eastAsia="zh-CN"/>
        </w:rPr>
        <w:t>▲在对各投标人的投标文件进行综合评审时，投标文件有下列情况之一的，经评标委员会认定后按无效标处理：</w:t>
      </w:r>
    </w:p>
    <w:p>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电子投标文件未按规定进行CA签章；</w:t>
      </w:r>
    </w:p>
    <w:p>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投标文件中要求投标人法定代表人或授权代表签字的地方无法定代表人签字或其授权代表签字的；</w:t>
      </w:r>
    </w:p>
    <w:p>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不具备招标文件中规定的资格要求的；</w:t>
      </w:r>
    </w:p>
    <w:p>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报价超过招标文件中规定的预算金额或者最高限价的；</w:t>
      </w:r>
    </w:p>
    <w:p>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投标文件含有</w:t>
      </w:r>
      <w:r>
        <w:rPr>
          <w:rFonts w:hint="eastAsia" w:ascii="宋体" w:hAnsi="宋体" w:cs="宋体"/>
          <w:b w:val="0"/>
          <w:bCs/>
          <w:color w:val="auto"/>
          <w:kern w:val="0"/>
          <w:sz w:val="22"/>
          <w:szCs w:val="22"/>
          <w:highlight w:val="none"/>
          <w:u w:val="single"/>
          <w:lang w:eastAsia="zh-CN"/>
        </w:rPr>
        <w:t>招标人</w:t>
      </w:r>
      <w:r>
        <w:rPr>
          <w:rFonts w:hint="eastAsia" w:ascii="宋体" w:hAnsi="宋体" w:eastAsia="宋体" w:cs="宋体"/>
          <w:b w:val="0"/>
          <w:bCs/>
          <w:color w:val="auto"/>
          <w:kern w:val="0"/>
          <w:sz w:val="22"/>
          <w:szCs w:val="22"/>
          <w:highlight w:val="none"/>
          <w:u w:val="single"/>
        </w:rPr>
        <w:t>不能接受的附加条件的；</w:t>
      </w:r>
    </w:p>
    <w:p>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经评标委员会认定投标人串通投标的；</w:t>
      </w:r>
    </w:p>
    <w:p>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同时出现两种及以上不一致价格且修正后投标人不确认报价的；</w:t>
      </w:r>
    </w:p>
    <w:p>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报价明显低于其他通过符合性审查投标人的报价，且在评标现场合理的时间内不能证明其报价合理性的；</w:t>
      </w:r>
    </w:p>
    <w:p>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授权代表无法定代表人合法、有效委托的；</w:t>
      </w:r>
    </w:p>
    <w:p>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sz w:val="22"/>
          <w:szCs w:val="22"/>
          <w:highlight w:val="none"/>
          <w:u w:val="single"/>
        </w:rPr>
        <w:t>规定时间内解密失败且经异常处理但政采云电子交易系统仍未能识别备份投标文件的；</w:t>
      </w:r>
    </w:p>
    <w:p>
      <w:pPr>
        <w:numPr>
          <w:ilvl w:val="0"/>
          <w:numId w:val="30"/>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评标委员会认定不符合法律、法规和招标文件中规定的其他实质性要求的。</w:t>
      </w:r>
    </w:p>
    <w:p>
      <w:pPr>
        <w:numPr>
          <w:ilvl w:val="1"/>
          <w:numId w:val="29"/>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b/>
          <w:bCs/>
          <w:color w:val="auto"/>
          <w:sz w:val="22"/>
          <w:szCs w:val="22"/>
          <w:highlight w:val="none"/>
          <w:u w:val="single"/>
          <w:lang w:eastAsia="zh-CN"/>
        </w:rPr>
        <w:t>▲评标委员会发现投标文件有下列情形之一的属于重大偏差(评标委员会按少数服从多数原则认定),按照无效投标处理：</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1）未按</w:t>
      </w:r>
      <w:r>
        <w:rPr>
          <w:rFonts w:hint="eastAsia" w:ascii="宋体" w:hAnsi="宋体" w:eastAsia="宋体" w:cs="宋体"/>
          <w:color w:val="auto"/>
          <w:kern w:val="0"/>
          <w:sz w:val="22"/>
          <w:szCs w:val="22"/>
          <w:highlight w:val="none"/>
          <w:u w:val="single"/>
          <w:lang w:eastAsia="zh-CN"/>
        </w:rPr>
        <w:t>招标文件</w:t>
      </w:r>
      <w:r>
        <w:rPr>
          <w:rFonts w:hint="eastAsia" w:ascii="宋体" w:hAnsi="宋体" w:eastAsia="宋体" w:cs="宋体"/>
          <w:color w:val="auto"/>
          <w:kern w:val="0"/>
          <w:sz w:val="22"/>
          <w:szCs w:val="22"/>
          <w:highlight w:val="none"/>
          <w:u w:val="single"/>
        </w:rPr>
        <w:t>要求编制或字迹模糊、辨认不清的投标文件；</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2）出现明显不符合技术规格、技术标准的要求或不满足</w:t>
      </w:r>
      <w:r>
        <w:rPr>
          <w:rFonts w:hint="eastAsia" w:ascii="宋体" w:hAnsi="宋体" w:eastAsia="宋体" w:cs="宋体"/>
          <w:color w:val="auto"/>
          <w:kern w:val="0"/>
          <w:sz w:val="22"/>
          <w:szCs w:val="22"/>
          <w:highlight w:val="none"/>
          <w:u w:val="single"/>
          <w:lang w:eastAsia="zh-CN"/>
        </w:rPr>
        <w:t>招标文件</w:t>
      </w:r>
      <w:r>
        <w:rPr>
          <w:rFonts w:hint="eastAsia" w:ascii="宋体" w:hAnsi="宋体" w:eastAsia="宋体" w:cs="宋体"/>
          <w:color w:val="auto"/>
          <w:kern w:val="0"/>
          <w:sz w:val="22"/>
          <w:szCs w:val="22"/>
          <w:highlight w:val="none"/>
          <w:u w:val="single"/>
        </w:rPr>
        <w:t>技术规格书中的主要参数的投标文件；</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3）出现投标项目数量与</w:t>
      </w:r>
      <w:r>
        <w:rPr>
          <w:rFonts w:hint="eastAsia" w:ascii="宋体" w:hAnsi="宋体" w:eastAsia="宋体" w:cs="宋体"/>
          <w:color w:val="auto"/>
          <w:kern w:val="0"/>
          <w:sz w:val="22"/>
          <w:szCs w:val="22"/>
          <w:highlight w:val="none"/>
          <w:u w:val="single"/>
          <w:lang w:eastAsia="zh-CN"/>
        </w:rPr>
        <w:t>招标文件</w:t>
      </w:r>
      <w:r>
        <w:rPr>
          <w:rFonts w:hint="eastAsia" w:ascii="宋体" w:hAnsi="宋体" w:eastAsia="宋体" w:cs="宋体"/>
          <w:color w:val="auto"/>
          <w:kern w:val="0"/>
          <w:sz w:val="22"/>
          <w:szCs w:val="22"/>
          <w:highlight w:val="none"/>
          <w:u w:val="single"/>
        </w:rPr>
        <w:t>对比出现较大偏差；商务报价明细表计算错误，出现较大差错；</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4）出现其它不符合</w:t>
      </w:r>
      <w:r>
        <w:rPr>
          <w:rFonts w:hint="eastAsia" w:ascii="宋体" w:hAnsi="宋体" w:eastAsia="宋体" w:cs="宋体"/>
          <w:color w:val="auto"/>
          <w:kern w:val="0"/>
          <w:sz w:val="22"/>
          <w:szCs w:val="22"/>
          <w:highlight w:val="none"/>
          <w:u w:val="single"/>
          <w:lang w:eastAsia="zh-CN"/>
        </w:rPr>
        <w:t>招标文件</w:t>
      </w:r>
      <w:r>
        <w:rPr>
          <w:rFonts w:hint="eastAsia" w:ascii="宋体" w:hAnsi="宋体" w:eastAsia="宋体" w:cs="宋体"/>
          <w:color w:val="auto"/>
          <w:kern w:val="0"/>
          <w:sz w:val="22"/>
          <w:szCs w:val="22"/>
          <w:highlight w:val="none"/>
          <w:u w:val="single"/>
        </w:rPr>
        <w:t>中规定的实质性要求的投标文件，是否为偏离实质性要求由评标委员会认定。</w:t>
      </w:r>
    </w:p>
    <w:p>
      <w:pPr>
        <w:numPr>
          <w:ilvl w:val="1"/>
          <w:numId w:val="29"/>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u w:val="single"/>
          <w:lang w:eastAsia="zh-CN"/>
        </w:rPr>
      </w:pPr>
      <w:r>
        <w:rPr>
          <w:rFonts w:hint="eastAsia" w:ascii="宋体" w:hAnsi="宋体" w:eastAsia="宋体" w:cs="Arial"/>
          <w:b/>
          <w:bCs/>
          <w:color w:val="auto"/>
          <w:sz w:val="22"/>
          <w:szCs w:val="22"/>
          <w:highlight w:val="none"/>
          <w:u w:val="single"/>
          <w:lang w:eastAsia="zh-CN"/>
        </w:rPr>
        <w:t>▲有下列情形之一的，视为投标人串通投标，其投标无效：</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1)不同投标人的投标文件由同一单位或者个人编制；</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2)不同投标人委托同一单位或者个人办理投标事宜；</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3)不同投标人的投标文件载明的项目管理成员或者联系人员为同一人；</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4）不同投标人的投标文件异常一致或者投标报价呈规律性差异；</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5）不同投标人的投标文件相互混装；</w:t>
      </w:r>
    </w:p>
    <w:p>
      <w:pPr>
        <w:numPr>
          <w:ilvl w:val="1"/>
          <w:numId w:val="29"/>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u w:val="single"/>
          <w:lang w:eastAsia="zh-CN"/>
        </w:rPr>
      </w:pPr>
      <w:r>
        <w:rPr>
          <w:rFonts w:hint="eastAsia" w:ascii="宋体" w:hAnsi="宋体" w:eastAsia="宋体" w:cs="Arial"/>
          <w:b/>
          <w:bCs/>
          <w:color w:val="auto"/>
          <w:sz w:val="22"/>
          <w:szCs w:val="22"/>
          <w:highlight w:val="none"/>
          <w:u w:val="single"/>
          <w:lang w:eastAsia="zh-CN"/>
        </w:rPr>
        <w:t>▲本项目采用政采云电子招投标开标及评审程序，如有以下情形之一的，按以下情况处理：</w:t>
      </w:r>
    </w:p>
    <w:p>
      <w:pPr>
        <w:numPr>
          <w:ilvl w:val="0"/>
          <w:numId w:val="31"/>
        </w:numPr>
        <w:spacing w:line="360" w:lineRule="auto"/>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投标人在规定时间内无法解密或解密失败的作无效投标处理。解密成功的投标人不足三家的，本项目流标重新组织采购活动。</w:t>
      </w:r>
    </w:p>
    <w:p>
      <w:pPr>
        <w:numPr>
          <w:ilvl w:val="0"/>
          <w:numId w:val="31"/>
        </w:numPr>
        <w:spacing w:line="360" w:lineRule="auto"/>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因政采云平台原因无法读取或电子开评标无法正常进行，采购机构将情况上报行业监管部门同意后，重新组织采购活动。</w:t>
      </w:r>
    </w:p>
    <w:p>
      <w:pPr>
        <w:numPr>
          <w:ilvl w:val="0"/>
          <w:numId w:val="31"/>
        </w:numPr>
        <w:spacing w:line="360" w:lineRule="auto"/>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符合专业条件的投标人或者对</w:t>
      </w:r>
      <w:r>
        <w:rPr>
          <w:rFonts w:hint="eastAsia" w:ascii="宋体" w:hAnsi="宋体" w:eastAsia="宋体" w:cs="宋体"/>
          <w:b w:val="0"/>
          <w:bCs w:val="0"/>
          <w:color w:val="auto"/>
          <w:sz w:val="22"/>
          <w:szCs w:val="22"/>
          <w:highlight w:val="none"/>
          <w:u w:val="single"/>
          <w:lang w:eastAsia="zh-CN"/>
        </w:rPr>
        <w:t>招标文件</w:t>
      </w:r>
      <w:r>
        <w:rPr>
          <w:rFonts w:hint="eastAsia" w:ascii="宋体" w:hAnsi="宋体" w:eastAsia="宋体" w:cs="宋体"/>
          <w:b w:val="0"/>
          <w:bCs w:val="0"/>
          <w:color w:val="auto"/>
          <w:sz w:val="22"/>
          <w:szCs w:val="22"/>
          <w:highlight w:val="none"/>
          <w:u w:val="single"/>
        </w:rPr>
        <w:t>作实质响应的投标人不足</w:t>
      </w:r>
      <w:r>
        <w:rPr>
          <w:rFonts w:hint="eastAsia" w:ascii="宋体" w:hAnsi="宋体" w:cs="宋体"/>
          <w:b w:val="0"/>
          <w:bCs w:val="0"/>
          <w:color w:val="auto"/>
          <w:sz w:val="22"/>
          <w:szCs w:val="22"/>
          <w:highlight w:val="none"/>
          <w:u w:val="single"/>
          <w:lang w:val="en-US" w:eastAsia="zh-CN"/>
        </w:rPr>
        <w:t>3</w:t>
      </w:r>
      <w:r>
        <w:rPr>
          <w:rFonts w:hint="eastAsia" w:ascii="宋体" w:hAnsi="宋体" w:eastAsia="宋体" w:cs="宋体"/>
          <w:b w:val="0"/>
          <w:bCs w:val="0"/>
          <w:color w:val="auto"/>
          <w:sz w:val="22"/>
          <w:szCs w:val="22"/>
          <w:highlight w:val="none"/>
          <w:u w:val="single"/>
        </w:rPr>
        <w:t>家的，本次招标按废标处理，重新组织招标。</w:t>
      </w:r>
    </w:p>
    <w:p>
      <w:pPr>
        <w:numPr>
          <w:ilvl w:val="1"/>
          <w:numId w:val="29"/>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在详细评标之前，评标委员会要审查每份投标文件是否实质上响应了招标文件的要求。实质上响应的投标应该是与招标文件要求的全部条款、条件和规格基本相符。没有重大偏离。</w:t>
      </w:r>
    </w:p>
    <w:p>
      <w:pPr>
        <w:numPr>
          <w:ilvl w:val="1"/>
          <w:numId w:val="29"/>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实质上没有响应招标文件要求的投标将被否决，投标人不得通过修正或撤消不合要求的偏离或保留从而使其投标成为实质上响应的投标。</w:t>
      </w:r>
    </w:p>
    <w:p>
      <w:pPr>
        <w:numPr>
          <w:ilvl w:val="0"/>
          <w:numId w:val="26"/>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投标文件的澄清</w:t>
      </w:r>
    </w:p>
    <w:p>
      <w:pPr>
        <w:numPr>
          <w:ilvl w:val="1"/>
          <w:numId w:val="32"/>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pPr>
        <w:numPr>
          <w:ilvl w:val="1"/>
          <w:numId w:val="32"/>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numPr>
          <w:ilvl w:val="1"/>
          <w:numId w:val="32"/>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lang w:eastAsia="zh-CN"/>
        </w:rPr>
      </w:pPr>
      <w:r>
        <w:rPr>
          <w:rFonts w:hint="eastAsia" w:ascii="宋体" w:hAnsi="宋体" w:eastAsia="宋体" w:cs="Arial"/>
          <w:b/>
          <w:bCs/>
          <w:color w:val="auto"/>
          <w:sz w:val="22"/>
          <w:szCs w:val="22"/>
          <w:highlight w:val="none"/>
          <w:lang w:eastAsia="zh-CN"/>
        </w:rPr>
        <w:t>投标文件报价出现前后不一致的，除招标文件另有规定外，按照下列规定修正：</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sz w:val="22"/>
          <w:highlight w:val="none"/>
        </w:rPr>
        <w:t>投标文件中开标一览表（报价表）内容与投标文件中相应内容不一致的，以开标一览表（报价表）为准</w:t>
      </w:r>
      <w:r>
        <w:rPr>
          <w:rFonts w:hint="eastAsia" w:ascii="宋体" w:hAnsi="宋体" w:eastAsia="宋体" w:cs="宋体"/>
          <w:color w:val="auto"/>
          <w:kern w:val="0"/>
          <w:sz w:val="22"/>
          <w:szCs w:val="22"/>
          <w:highlight w:val="none"/>
        </w:rPr>
        <w:t>。</w:t>
      </w:r>
    </w:p>
    <w:p>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sz w:val="22"/>
          <w:highlight w:val="none"/>
        </w:rPr>
        <w:t>大写金额和小写金额不一致的，以大写金额为准。</w:t>
      </w:r>
    </w:p>
    <w:p>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3）单价金额小数点或者百分比有明显错位的，以开标一览表的总价为准，并修改单价。</w:t>
      </w:r>
    </w:p>
    <w:p>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4）总价金额与按单价汇总金额不一致的，以单价金额计算结果为准。</w:t>
      </w:r>
    </w:p>
    <w:p>
      <w:pPr>
        <w:spacing w:line="460" w:lineRule="exact"/>
        <w:ind w:firstLine="418" w:firstLineChars="19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5）</w:t>
      </w:r>
      <w:r>
        <w:rPr>
          <w:rFonts w:hint="eastAsia" w:ascii="宋体" w:hAnsi="宋体" w:eastAsia="宋体" w:cs="宋体"/>
          <w:b/>
          <w:bCs/>
          <w:color w:val="auto"/>
          <w:sz w:val="22"/>
          <w:highlight w:val="none"/>
        </w:rPr>
        <w:t>同时出现两种以上不一致的，按照前款规定的顺序修正。修正后的报价按照本</w:t>
      </w:r>
      <w:r>
        <w:rPr>
          <w:rFonts w:hint="eastAsia" w:ascii="宋体" w:hAnsi="宋体" w:eastAsia="宋体" w:cs="宋体"/>
          <w:b/>
          <w:bCs/>
          <w:color w:val="auto"/>
          <w:sz w:val="22"/>
          <w:highlight w:val="none"/>
          <w:lang w:eastAsia="zh-CN"/>
        </w:rPr>
        <w:t>招标文件</w:t>
      </w:r>
      <w:r>
        <w:rPr>
          <w:rFonts w:hint="eastAsia" w:ascii="宋体" w:hAnsi="宋体" w:eastAsia="宋体" w:cs="宋体"/>
          <w:b/>
          <w:bCs/>
          <w:color w:val="auto"/>
          <w:sz w:val="22"/>
          <w:highlight w:val="none"/>
        </w:rPr>
        <w:t>规定经投标人确认后产生约束力，投标人不确认的，其投标无效。</w:t>
      </w:r>
    </w:p>
    <w:p>
      <w:pPr>
        <w:numPr>
          <w:ilvl w:val="1"/>
          <w:numId w:val="32"/>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u w:val="none"/>
          <w:lang w:eastAsia="zh-CN"/>
        </w:rPr>
      </w:pPr>
      <w:r>
        <w:rPr>
          <w:rFonts w:hint="eastAsia" w:ascii="宋体" w:hAnsi="宋体" w:eastAsia="宋体" w:cs="宋体"/>
          <w:color w:val="auto"/>
          <w:kern w:val="0"/>
          <w:sz w:val="22"/>
          <w:szCs w:val="22"/>
          <w:highlight w:val="none"/>
        </w:rPr>
        <w:t>▲</w:t>
      </w:r>
      <w:r>
        <w:rPr>
          <w:rFonts w:hint="eastAsia" w:ascii="宋体" w:hAnsi="宋体" w:eastAsia="宋体" w:cs="宋体"/>
          <w:b/>
          <w:bCs/>
          <w:color w:val="auto"/>
          <w:kern w:val="0"/>
          <w:sz w:val="22"/>
          <w:szCs w:val="22"/>
          <w:highlight w:val="none"/>
          <w:u w:val="none"/>
        </w:rPr>
        <w:t>评标委员会认为投标人的报价明显低于其他通过符合性审查投标人的报价，有可能影响产品质</w:t>
      </w:r>
      <w:r>
        <w:rPr>
          <w:rFonts w:hint="eastAsia" w:ascii="宋体" w:hAnsi="宋体" w:eastAsia="宋体" w:cs="Arial"/>
          <w:b/>
          <w:bCs/>
          <w:color w:val="auto"/>
          <w:sz w:val="22"/>
          <w:szCs w:val="22"/>
          <w:highlight w:val="none"/>
          <w:u w:val="none"/>
          <w:lang w:eastAsia="zh-CN"/>
        </w:rPr>
        <w:t>量或者不能诚信履约的，将要求其在合理时间内在“政采云平台”上作出在线澄清并提供书面说明，必要时提交相关证明材料；投标人不能证明其报价合理性的，评标委员会应当将其作为无效投标处理。</w:t>
      </w:r>
    </w:p>
    <w:p>
      <w:pPr>
        <w:numPr>
          <w:ilvl w:val="1"/>
          <w:numId w:val="32"/>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如果投标人代表拒绝按评标委员会要求在“政采云平台”作出在线回复且无其他有效回复方式的，评标委员会可以对其作出否决投标处理。</w:t>
      </w:r>
    </w:p>
    <w:p>
      <w:pPr>
        <w:numPr>
          <w:ilvl w:val="1"/>
          <w:numId w:val="32"/>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经澄清后，若偏差仍存在，且不可接受，则投标文件将被认定为“没有实质性响应招标文件要求”，按无效投标处理，不再进入下一步评审。</w:t>
      </w:r>
    </w:p>
    <w:p>
      <w:pPr>
        <w:numPr>
          <w:ilvl w:val="0"/>
          <w:numId w:val="26"/>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评标原则和评标办法</w:t>
      </w:r>
    </w:p>
    <w:p>
      <w:pPr>
        <w:numPr>
          <w:ilvl w:val="1"/>
          <w:numId w:val="33"/>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评标委员会成员应当按照客观、公正、审慎的原则，根据</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规定的评标程序、评标方法和评标标准进行独立评审。</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内容违反国家有关强制性规定的，评标委员会应当停止评标并向</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rPr>
        <w:t>或者采购代理机构说明情况。</w:t>
      </w:r>
    </w:p>
    <w:p>
      <w:pPr>
        <w:numPr>
          <w:ilvl w:val="1"/>
          <w:numId w:val="33"/>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评标中因评标委员会成员缺席、回避或者健康等特殊原因导致评标委员会组成不符合规定的，依法补足后继续评标。被更换的评标委员会成员所作出的评标意见无效。</w:t>
      </w:r>
    </w:p>
    <w:p>
      <w:pPr>
        <w:numPr>
          <w:ilvl w:val="1"/>
          <w:numId w:val="33"/>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numPr>
          <w:ilvl w:val="1"/>
          <w:numId w:val="33"/>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本项目评标办法是综合评分法，具体评标内容及评分标准等详见第</w:t>
      </w:r>
      <w:r>
        <w:rPr>
          <w:rFonts w:hint="eastAsia" w:ascii="宋体" w:hAnsi="宋体" w:eastAsia="宋体" w:cs="Arial"/>
          <w:color w:val="auto"/>
          <w:sz w:val="22"/>
          <w:szCs w:val="22"/>
          <w:highlight w:val="none"/>
          <w:lang w:val="en-US" w:eastAsia="zh-CN"/>
        </w:rPr>
        <w:t>三</w:t>
      </w:r>
      <w:r>
        <w:rPr>
          <w:rFonts w:hint="eastAsia" w:ascii="宋体" w:hAnsi="宋体" w:eastAsia="宋体" w:cs="Arial"/>
          <w:color w:val="auto"/>
          <w:sz w:val="22"/>
          <w:szCs w:val="22"/>
          <w:highlight w:val="none"/>
        </w:rPr>
        <w:t>部分“评标原则及方法”。</w:t>
      </w:r>
    </w:p>
    <w:p>
      <w:pPr>
        <w:numPr>
          <w:ilvl w:val="1"/>
          <w:numId w:val="33"/>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评标过程中遇到特殊情况，由评标委员会遵循公开、公正原则，采取投票方式按照少数服从多数原则决定。</w:t>
      </w:r>
    </w:p>
    <w:p>
      <w:pPr>
        <w:numPr>
          <w:ilvl w:val="0"/>
          <w:numId w:val="26"/>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确定中标候选人</w:t>
      </w:r>
    </w:p>
    <w:p>
      <w:pPr>
        <w:numPr>
          <w:ilvl w:val="1"/>
          <w:numId w:val="34"/>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本次招标由评标委员会推荐中标候选人，</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lang w:eastAsia="zh-CN"/>
        </w:rPr>
        <w:t>根据评标委员会的推荐结果进行最终确认。</w:t>
      </w:r>
    </w:p>
    <w:p>
      <w:pPr>
        <w:numPr>
          <w:ilvl w:val="1"/>
          <w:numId w:val="34"/>
        </w:numPr>
        <w:tabs>
          <w:tab w:val="left" w:pos="360"/>
          <w:tab w:val="clear" w:pos="992"/>
        </w:tabs>
        <w:spacing w:line="460" w:lineRule="exact"/>
        <w:ind w:left="640" w:leftChars="0" w:hanging="567" w:firstLineChars="0"/>
        <w:rPr>
          <w:rFonts w:hint="eastAsia" w:ascii="宋体" w:hAnsi="宋体" w:eastAsia="宋体" w:cs="宋体"/>
          <w:color w:val="auto"/>
          <w:kern w:val="0"/>
          <w:sz w:val="22"/>
          <w:szCs w:val="22"/>
          <w:highlight w:val="none"/>
        </w:rPr>
      </w:pPr>
      <w:r>
        <w:rPr>
          <w:rFonts w:hint="eastAsia" w:ascii="宋体" w:hAnsi="宋体" w:eastAsia="宋体" w:cs="Arial"/>
          <w:color w:val="auto"/>
          <w:sz w:val="22"/>
          <w:szCs w:val="22"/>
          <w:highlight w:val="none"/>
          <w:lang w:eastAsia="zh-CN"/>
        </w:rPr>
        <w:t>评标委员会依据法律、法规及采购文件有关规定在有效标中按投标人的综合得分（商务技术分</w:t>
      </w:r>
      <w:r>
        <w:rPr>
          <w:rFonts w:hint="eastAsia" w:ascii="宋体" w:hAnsi="宋体" w:eastAsia="宋体" w:cs="宋体"/>
          <w:b/>
          <w:bCs/>
          <w:color w:val="auto"/>
          <w:kern w:val="0"/>
          <w:sz w:val="22"/>
          <w:szCs w:val="22"/>
          <w:highlight w:val="none"/>
        </w:rPr>
        <w:t>及报价分之各）高低进行排序，综合得分前二名投标人依次作为第一中标候选人和第二中标候选人向</w:t>
      </w:r>
      <w:r>
        <w:rPr>
          <w:rFonts w:hint="eastAsia" w:ascii="宋体" w:hAnsi="宋体" w:cs="宋体"/>
          <w:b/>
          <w:bCs/>
          <w:color w:val="auto"/>
          <w:kern w:val="0"/>
          <w:sz w:val="22"/>
          <w:szCs w:val="22"/>
          <w:highlight w:val="none"/>
          <w:lang w:eastAsia="zh-CN"/>
        </w:rPr>
        <w:t>招标人</w:t>
      </w:r>
      <w:r>
        <w:rPr>
          <w:rFonts w:hint="eastAsia" w:ascii="宋体" w:hAnsi="宋体" w:eastAsia="宋体" w:cs="宋体"/>
          <w:b/>
          <w:bCs/>
          <w:color w:val="auto"/>
          <w:kern w:val="0"/>
          <w:sz w:val="22"/>
          <w:szCs w:val="22"/>
          <w:highlight w:val="none"/>
        </w:rPr>
        <w:t>推荐，并提交评标报告。综合得分相同的以报价分得分高的优先；综合得分相同且报价分得分相同的，由评标委员会随机抽签决定排序。</w:t>
      </w:r>
    </w:p>
    <w:p>
      <w:pPr>
        <w:numPr>
          <w:ilvl w:val="1"/>
          <w:numId w:val="34"/>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b/>
          <w:bCs/>
          <w:color w:val="auto"/>
          <w:sz w:val="22"/>
          <w:szCs w:val="22"/>
          <w:highlight w:val="none"/>
          <w:u w:val="single"/>
          <w:lang w:eastAsia="zh-CN"/>
        </w:rPr>
        <w:t>若出现以下情形之一，</w:t>
      </w:r>
      <w:r>
        <w:rPr>
          <w:rFonts w:hint="eastAsia" w:ascii="宋体" w:hAnsi="宋体" w:cs="Arial"/>
          <w:b/>
          <w:bCs/>
          <w:color w:val="auto"/>
          <w:sz w:val="22"/>
          <w:szCs w:val="22"/>
          <w:highlight w:val="none"/>
          <w:u w:val="single"/>
          <w:lang w:eastAsia="zh-CN"/>
        </w:rPr>
        <w:t>招标人</w:t>
      </w:r>
      <w:r>
        <w:rPr>
          <w:rFonts w:hint="eastAsia" w:ascii="宋体" w:hAnsi="宋体" w:eastAsia="宋体" w:cs="Arial"/>
          <w:b/>
          <w:bCs/>
          <w:color w:val="auto"/>
          <w:sz w:val="22"/>
          <w:szCs w:val="22"/>
          <w:highlight w:val="none"/>
          <w:u w:val="single"/>
          <w:lang w:eastAsia="zh-CN"/>
        </w:rPr>
        <w:t>可视具体情况确定是否由备选中标人为中标人或重新组织招标：</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1）中标候选人放弃中标资格；</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2）中标候选人因不可抗力提出不能履行合同；</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3）中标候选人未能在规定时间内与采购单位签订合同；</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4）经质疑，</w:t>
      </w:r>
      <w:r>
        <w:rPr>
          <w:rFonts w:hint="eastAsia" w:ascii="宋体" w:hAnsi="宋体" w:cs="宋体"/>
          <w:color w:val="auto"/>
          <w:kern w:val="0"/>
          <w:sz w:val="22"/>
          <w:szCs w:val="22"/>
          <w:highlight w:val="none"/>
          <w:lang w:eastAsia="zh-CN"/>
        </w:rPr>
        <w:t>招标人</w:t>
      </w:r>
      <w:r>
        <w:rPr>
          <w:rFonts w:hint="eastAsia" w:ascii="宋体" w:hAnsi="宋体" w:eastAsia="宋体" w:cs="宋体"/>
          <w:color w:val="auto"/>
          <w:kern w:val="0"/>
          <w:sz w:val="22"/>
          <w:szCs w:val="22"/>
          <w:highlight w:val="none"/>
        </w:rPr>
        <w:t>审查后，中标候选人确实在本次采购活动中存在违法违规行为或其他原因使质疑成立的。</w:t>
      </w:r>
    </w:p>
    <w:p>
      <w:pPr>
        <w:numPr>
          <w:ilvl w:val="1"/>
          <w:numId w:val="34"/>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lang w:eastAsia="zh-CN"/>
        </w:rPr>
        <w:t>、采购代理机构及评标委员会对未中标的投标人不作解释。</w:t>
      </w:r>
    </w:p>
    <w:p>
      <w:pPr>
        <w:numPr>
          <w:ilvl w:val="0"/>
          <w:numId w:val="26"/>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 xml:space="preserve"> 评标细则详见“评标原则及方法”。</w:t>
      </w:r>
    </w:p>
    <w:p>
      <w:pPr>
        <w:numPr>
          <w:ilvl w:val="0"/>
          <w:numId w:val="26"/>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 xml:space="preserve"> 可中止电子交易活动的情形</w:t>
      </w:r>
    </w:p>
    <w:p>
      <w:pPr>
        <w:numPr>
          <w:ilvl w:val="1"/>
          <w:numId w:val="35"/>
        </w:numPr>
        <w:tabs>
          <w:tab w:val="left" w:pos="360"/>
          <w:tab w:val="clear" w:pos="992"/>
        </w:tabs>
        <w:spacing w:line="460" w:lineRule="exact"/>
        <w:ind w:left="42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采购过程中出现以下情形，导致电子交易平台无法正常运行，或者无法保证电子交易的公平、公正和安全时，采购组织机构可中止电子交易活动：</w:t>
      </w:r>
    </w:p>
    <w:p>
      <w:pPr>
        <w:numPr>
          <w:ilvl w:val="2"/>
          <w:numId w:val="36"/>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电子交易平台发生故障而无法登录访问的；</w:t>
      </w:r>
    </w:p>
    <w:p>
      <w:pPr>
        <w:numPr>
          <w:ilvl w:val="2"/>
          <w:numId w:val="36"/>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电子交易平台应用或数据库出现错误，不能进行正常操作的；</w:t>
      </w:r>
    </w:p>
    <w:p>
      <w:pPr>
        <w:numPr>
          <w:ilvl w:val="2"/>
          <w:numId w:val="36"/>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电子交易平台发现严重安全漏洞，有潜在泄密危险的；</w:t>
      </w:r>
    </w:p>
    <w:p>
      <w:pPr>
        <w:numPr>
          <w:ilvl w:val="2"/>
          <w:numId w:val="36"/>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病毒发作导致不能进行正常操作的；</w:t>
      </w:r>
    </w:p>
    <w:p>
      <w:pPr>
        <w:numPr>
          <w:ilvl w:val="2"/>
          <w:numId w:val="36"/>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其他无法保证电子交易的公平、公正和安全的情况。</w:t>
      </w:r>
    </w:p>
    <w:p>
      <w:pPr>
        <w:numPr>
          <w:ilvl w:val="1"/>
          <w:numId w:val="35"/>
        </w:numPr>
        <w:tabs>
          <w:tab w:val="left" w:pos="360"/>
          <w:tab w:val="clear" w:pos="992"/>
        </w:tabs>
        <w:spacing w:line="460" w:lineRule="exact"/>
        <w:ind w:left="42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出现前款规定情形，不影响采购公平、公正性的，采购组织机构可以待上述情形消除后继续组织电子交易活动；影响或可能影响采购公平、公正性的，应当重新采购。</w:t>
      </w:r>
    </w:p>
    <w:p>
      <w:pPr>
        <w:pStyle w:val="7"/>
        <w:numPr>
          <w:ilvl w:val="0"/>
          <w:numId w:val="0"/>
        </w:numPr>
        <w:bidi w:val="0"/>
        <w:ind w:left="420" w:leftChars="0"/>
        <w:jc w:val="center"/>
        <w:rPr>
          <w:rFonts w:hint="eastAsia" w:ascii="宋体" w:hAnsi="宋体" w:eastAsia="宋体" w:cs="Times New Roman"/>
          <w:b/>
          <w:bCs/>
          <w:color w:val="auto"/>
          <w:kern w:val="2"/>
          <w:sz w:val="26"/>
          <w:szCs w:val="26"/>
          <w:highlight w:val="none"/>
          <w:lang w:val="en-US" w:eastAsia="zh-CN" w:bidi="ar-SA"/>
        </w:rPr>
      </w:pPr>
      <w:bookmarkStart w:id="142" w:name="_Toc306613654"/>
      <w:bookmarkStart w:id="143" w:name="_Toc34221901"/>
      <w:bookmarkStart w:id="144" w:name="_Toc29418"/>
      <w:bookmarkStart w:id="145" w:name="_Toc34508136"/>
      <w:r>
        <w:rPr>
          <w:rFonts w:hint="eastAsia" w:ascii="宋体" w:hAnsi="宋体" w:eastAsia="宋体" w:cs="Times New Roman"/>
          <w:b/>
          <w:bCs/>
          <w:color w:val="auto"/>
          <w:kern w:val="2"/>
          <w:sz w:val="26"/>
          <w:szCs w:val="26"/>
          <w:highlight w:val="none"/>
          <w:lang w:val="en-US" w:eastAsia="zh-CN" w:bidi="ar-SA"/>
        </w:rPr>
        <w:t xml:space="preserve">八、 </w:t>
      </w:r>
      <w:bookmarkStart w:id="146" w:name="_Toc32607"/>
      <w:r>
        <w:rPr>
          <w:rFonts w:hint="eastAsia" w:ascii="宋体" w:hAnsi="宋体" w:eastAsia="宋体" w:cs="Times New Roman"/>
          <w:b/>
          <w:bCs/>
          <w:color w:val="auto"/>
          <w:kern w:val="2"/>
          <w:sz w:val="26"/>
          <w:szCs w:val="26"/>
          <w:highlight w:val="none"/>
          <w:lang w:val="en-US" w:eastAsia="zh-CN" w:bidi="ar-SA"/>
        </w:rPr>
        <w:t>授予合同</w:t>
      </w:r>
      <w:bookmarkEnd w:id="142"/>
      <w:bookmarkEnd w:id="143"/>
      <w:bookmarkEnd w:id="144"/>
      <w:bookmarkEnd w:id="145"/>
      <w:bookmarkEnd w:id="146"/>
    </w:p>
    <w:p>
      <w:pPr>
        <w:numPr>
          <w:ilvl w:val="0"/>
          <w:numId w:val="37"/>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确定中标人</w:t>
      </w:r>
    </w:p>
    <w:p>
      <w:pPr>
        <w:numPr>
          <w:ilvl w:val="1"/>
          <w:numId w:val="38"/>
        </w:numPr>
        <w:tabs>
          <w:tab w:val="left" w:pos="360"/>
          <w:tab w:val="clear" w:pos="992"/>
        </w:tabs>
        <w:spacing w:line="460" w:lineRule="exact"/>
        <w:ind w:left="420" w:leftChars="0" w:hanging="347" w:firstLineChars="0"/>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lang w:eastAsia="zh-CN"/>
        </w:rPr>
        <w:t>自收到评标报告之日起5个工作日内，在评标报告确定的中标候选人名单中按顺序确定中标人。</w:t>
      </w:r>
    </w:p>
    <w:p>
      <w:pPr>
        <w:numPr>
          <w:ilvl w:val="1"/>
          <w:numId w:val="38"/>
        </w:numPr>
        <w:tabs>
          <w:tab w:val="left" w:pos="360"/>
          <w:tab w:val="clear" w:pos="992"/>
        </w:tabs>
        <w:spacing w:line="460" w:lineRule="exact"/>
        <w:ind w:left="420" w:leftChars="0" w:hanging="34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中标人确定之日起2个工作日内，在“政采云”平台上公示中标结果，中标公告期限为1个工作日；</w:t>
      </w:r>
    </w:p>
    <w:p>
      <w:pPr>
        <w:numPr>
          <w:ilvl w:val="1"/>
          <w:numId w:val="38"/>
        </w:numPr>
        <w:tabs>
          <w:tab w:val="left" w:pos="360"/>
          <w:tab w:val="clear" w:pos="992"/>
        </w:tabs>
        <w:spacing w:line="460" w:lineRule="exact"/>
        <w:ind w:left="420" w:leftChars="0" w:hanging="34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在公告中标结果的同时，</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lang w:eastAsia="zh-CN"/>
        </w:rPr>
        <w:t>向中标人发出中标通知书。</w:t>
      </w:r>
    </w:p>
    <w:p>
      <w:pPr>
        <w:numPr>
          <w:ilvl w:val="1"/>
          <w:numId w:val="38"/>
        </w:numPr>
        <w:tabs>
          <w:tab w:val="left" w:pos="360"/>
          <w:tab w:val="clear" w:pos="992"/>
        </w:tabs>
        <w:spacing w:line="460" w:lineRule="exact"/>
        <w:ind w:left="420" w:leftChars="0" w:hanging="34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各投标人对评标结果如有异议，可在中标结果公示之日起7个工作日内以书面形式向</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lang w:eastAsia="zh-CN"/>
        </w:rPr>
        <w:t>进行署名投诉或提出质疑，但需对投诉或质疑内容的真实性承担法律责任。</w:t>
      </w:r>
    </w:p>
    <w:p>
      <w:pPr>
        <w:numPr>
          <w:ilvl w:val="0"/>
          <w:numId w:val="37"/>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签订合同</w:t>
      </w:r>
    </w:p>
    <w:p>
      <w:pPr>
        <w:numPr>
          <w:ilvl w:val="1"/>
          <w:numId w:val="39"/>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公示期结束后，</w:t>
      </w: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须在5个工作日内主动联系</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rPr>
        <w:t>或采购机构领取中标通知书。</w:t>
      </w: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应当在中标通知书发出之日起30日内与</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rPr>
        <w:t>签订合同。</w:t>
      </w: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未经</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rPr>
        <w:t>许可，在规定时间内未到</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rPr>
        <w:t>处与</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rPr>
        <w:t>签订合同，则视为拒签合同。</w:t>
      </w:r>
    </w:p>
    <w:p>
      <w:pPr>
        <w:numPr>
          <w:ilvl w:val="1"/>
          <w:numId w:val="39"/>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w:t>
      </w: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的投标文件及投标修改文件、评标过程中有关澄清文件及经双方签字的询标纪要（承诺）和中标通知书均作为合同附件。</w:t>
      </w:r>
    </w:p>
    <w:p>
      <w:pPr>
        <w:numPr>
          <w:ilvl w:val="1"/>
          <w:numId w:val="39"/>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rPr>
      </w:pPr>
      <w:r>
        <w:rPr>
          <w:rFonts w:hint="eastAsia" w:ascii="宋体" w:hAnsi="宋体" w:cs="Arial"/>
          <w:b/>
          <w:bCs/>
          <w:color w:val="auto"/>
          <w:sz w:val="22"/>
          <w:szCs w:val="22"/>
          <w:highlight w:val="none"/>
          <w:lang w:eastAsia="zh-CN"/>
        </w:rPr>
        <w:t>中标人</w:t>
      </w:r>
      <w:r>
        <w:rPr>
          <w:rFonts w:hint="eastAsia" w:ascii="宋体" w:hAnsi="宋体" w:eastAsia="宋体" w:cs="Arial"/>
          <w:b/>
          <w:bCs/>
          <w:color w:val="auto"/>
          <w:sz w:val="22"/>
          <w:szCs w:val="22"/>
          <w:highlight w:val="none"/>
        </w:rPr>
        <w:t>应在合同签订后五个工作日内提交一份合同文本扫描件报招标代理机构备案。</w:t>
      </w:r>
    </w:p>
    <w:p>
      <w:pPr>
        <w:numPr>
          <w:ilvl w:val="1"/>
          <w:numId w:val="39"/>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在规定时间内（30日历天）借故否认已经承诺的条件、拒签合同，以投标违约处理，并赔偿</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rPr>
        <w:t>由此造成的直接经济损失；</w:t>
      </w:r>
      <w:r>
        <w:rPr>
          <w:rFonts w:hint="eastAsia" w:ascii="宋体" w:hAnsi="宋体" w:cs="Arial"/>
          <w:color w:val="auto"/>
          <w:sz w:val="22"/>
          <w:szCs w:val="22"/>
          <w:highlight w:val="none"/>
          <w:lang w:eastAsia="zh-CN"/>
        </w:rPr>
        <w:t>招标人</w:t>
      </w:r>
      <w:r>
        <w:rPr>
          <w:rFonts w:hint="eastAsia" w:ascii="宋体" w:hAnsi="宋体" w:eastAsia="宋体" w:cs="Arial"/>
          <w:color w:val="auto"/>
          <w:sz w:val="22"/>
          <w:szCs w:val="22"/>
          <w:highlight w:val="none"/>
        </w:rPr>
        <w:t>重新组织招标的，所需费用由原</w:t>
      </w: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承担。</w:t>
      </w:r>
    </w:p>
    <w:p>
      <w:pPr>
        <w:numPr>
          <w:ilvl w:val="0"/>
          <w:numId w:val="37"/>
        </w:numPr>
        <w:tabs>
          <w:tab w:val="left" w:pos="540"/>
          <w:tab w:val="clear" w:pos="420"/>
        </w:tabs>
        <w:spacing w:line="460" w:lineRule="exact"/>
        <w:rPr>
          <w:rFonts w:hint="default"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因</w:t>
      </w:r>
      <w:r>
        <w:rPr>
          <w:rFonts w:hint="eastAsia" w:ascii="宋体" w:hAnsi="宋体" w:eastAsia="宋体" w:cs="宋体"/>
          <w:color w:val="auto"/>
          <w:kern w:val="0"/>
          <w:sz w:val="22"/>
          <w:szCs w:val="22"/>
          <w:highlight w:val="none"/>
        </w:rPr>
        <w:t>违法违规行为或其他原因</w:t>
      </w:r>
      <w:r>
        <w:rPr>
          <w:rFonts w:hint="eastAsia" w:ascii="宋体" w:hAnsi="宋体" w:eastAsia="宋体" w:cs="宋体"/>
          <w:color w:val="auto"/>
          <w:kern w:val="0"/>
          <w:sz w:val="22"/>
          <w:szCs w:val="22"/>
          <w:highlight w:val="none"/>
          <w:lang w:val="en-US" w:eastAsia="zh-CN"/>
        </w:rPr>
        <w:t>取消</w:t>
      </w:r>
      <w:r>
        <w:rPr>
          <w:rFonts w:hint="eastAsia" w:ascii="宋体" w:hAnsi="宋体" w:eastAsia="宋体" w:cs="Arial"/>
          <w:bCs/>
          <w:color w:val="auto"/>
          <w:sz w:val="22"/>
          <w:szCs w:val="22"/>
          <w:highlight w:val="none"/>
          <w:lang w:val="en-US" w:eastAsia="zh-CN"/>
        </w:rPr>
        <w:t>中标（成交）资格，或自愿放弃中标（成交）资格的中标人，需承担代理费和专家评审费等费用。</w:t>
      </w:r>
    </w:p>
    <w:p>
      <w:pPr>
        <w:pStyle w:val="7"/>
        <w:numPr>
          <w:ilvl w:val="0"/>
          <w:numId w:val="0"/>
        </w:numPr>
        <w:bidi w:val="0"/>
        <w:ind w:left="420" w:leftChars="0"/>
        <w:jc w:val="center"/>
        <w:rPr>
          <w:rFonts w:hint="eastAsia" w:ascii="宋体" w:hAnsi="宋体" w:eastAsia="宋体" w:cs="Times New Roman"/>
          <w:b/>
          <w:bCs/>
          <w:color w:val="auto"/>
          <w:kern w:val="2"/>
          <w:sz w:val="26"/>
          <w:szCs w:val="26"/>
          <w:highlight w:val="none"/>
          <w:lang w:val="en-US" w:eastAsia="zh-CN" w:bidi="ar-SA"/>
        </w:rPr>
      </w:pPr>
      <w:bookmarkStart w:id="147" w:name="_Toc14867"/>
      <w:bookmarkStart w:id="148" w:name="_Toc18423"/>
      <w:bookmarkStart w:id="149" w:name="_Toc25540"/>
      <w:r>
        <w:rPr>
          <w:rFonts w:hint="eastAsia" w:ascii="宋体" w:hAnsi="宋体" w:eastAsia="宋体" w:cs="Times New Roman"/>
          <w:b/>
          <w:bCs/>
          <w:color w:val="auto"/>
          <w:kern w:val="2"/>
          <w:sz w:val="26"/>
          <w:szCs w:val="26"/>
          <w:highlight w:val="none"/>
          <w:lang w:val="en-US" w:eastAsia="zh-CN" w:bidi="ar-SA"/>
        </w:rPr>
        <w:t>九、验收</w:t>
      </w:r>
      <w:bookmarkEnd w:id="147"/>
      <w:bookmarkEnd w:id="148"/>
      <w:bookmarkEnd w:id="149"/>
    </w:p>
    <w:p>
      <w:pPr>
        <w:numPr>
          <w:ilvl w:val="0"/>
          <w:numId w:val="40"/>
        </w:numPr>
        <w:tabs>
          <w:tab w:val="left" w:pos="540"/>
          <w:tab w:val="clear" w:pos="420"/>
        </w:tabs>
        <w:spacing w:line="460" w:lineRule="exact"/>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numPr>
          <w:ilvl w:val="0"/>
          <w:numId w:val="40"/>
        </w:numPr>
        <w:tabs>
          <w:tab w:val="left" w:pos="540"/>
          <w:tab w:val="clear" w:pos="420"/>
        </w:tabs>
        <w:spacing w:line="460" w:lineRule="exact"/>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采购人可以邀请参加本项目的其他供应商或者第三方机构参与验收。参与验收的供应商或者第三方机构的意见作为验收书的参考资料一并存档。</w:t>
      </w:r>
    </w:p>
    <w:p>
      <w:pPr>
        <w:numPr>
          <w:ilvl w:val="0"/>
          <w:numId w:val="40"/>
        </w:numPr>
        <w:tabs>
          <w:tab w:val="left" w:pos="540"/>
          <w:tab w:val="clear" w:pos="420"/>
        </w:tabs>
        <w:spacing w:line="460" w:lineRule="exact"/>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numPr>
          <w:ilvl w:val="0"/>
          <w:numId w:val="40"/>
        </w:numPr>
        <w:tabs>
          <w:tab w:val="left" w:pos="540"/>
          <w:tab w:val="clear" w:pos="420"/>
        </w:tabs>
        <w:spacing w:line="460" w:lineRule="exact"/>
        <w:rPr>
          <w:rFonts w:hint="eastAsia" w:ascii="宋体" w:hAnsi="宋体" w:eastAsia="宋体" w:cs="Arial"/>
          <w:bCs/>
          <w:color w:val="auto"/>
          <w:sz w:val="22"/>
          <w:szCs w:val="22"/>
          <w:highlight w:val="none"/>
          <w:lang w:val="en-US" w:eastAsia="zh-CN"/>
        </w:rPr>
      </w:pPr>
      <w:r>
        <w:rPr>
          <w:rFonts w:hint="eastAsia" w:ascii="宋体" w:hAnsi="宋体" w:eastAsia="宋体" w:cs="Arial"/>
          <w:bCs/>
          <w:color w:val="auto"/>
          <w:sz w:val="22"/>
          <w:szCs w:val="22"/>
          <w:highlight w:val="none"/>
          <w:lang w:val="en-US" w:eastAsia="zh-CN"/>
        </w:rPr>
        <w:t>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numPr>
          <w:ilvl w:val="0"/>
          <w:numId w:val="40"/>
        </w:numPr>
        <w:tabs>
          <w:tab w:val="left" w:pos="540"/>
          <w:tab w:val="clear" w:pos="420"/>
        </w:tabs>
        <w:spacing w:line="460" w:lineRule="exact"/>
        <w:rPr>
          <w:rFonts w:hint="eastAsia" w:ascii="宋体" w:hAnsi="宋体" w:eastAsia="宋体" w:cs="Arial"/>
          <w:b/>
          <w:bCs w:val="0"/>
          <w:color w:val="auto"/>
          <w:sz w:val="22"/>
          <w:szCs w:val="22"/>
          <w:highlight w:val="none"/>
          <w:lang w:val="en-US" w:eastAsia="zh-CN"/>
        </w:rPr>
      </w:pPr>
      <w:bookmarkStart w:id="150" w:name="_Hlt68057669"/>
      <w:bookmarkEnd w:id="150"/>
      <w:bookmarkStart w:id="151" w:name="_Hlt74729768"/>
      <w:bookmarkEnd w:id="151"/>
      <w:bookmarkStart w:id="152" w:name="_Hlt74707468"/>
      <w:bookmarkEnd w:id="152"/>
      <w:bookmarkStart w:id="153" w:name="_Hlt68073093"/>
      <w:bookmarkEnd w:id="153"/>
      <w:bookmarkStart w:id="154" w:name="_Hlt75236101"/>
      <w:bookmarkEnd w:id="154"/>
      <w:bookmarkStart w:id="155" w:name="_Hlt74730295"/>
      <w:bookmarkEnd w:id="155"/>
      <w:bookmarkStart w:id="156" w:name="_Hlt75236011"/>
      <w:bookmarkEnd w:id="156"/>
      <w:bookmarkStart w:id="157" w:name="_Hlt74714665"/>
      <w:bookmarkEnd w:id="157"/>
      <w:bookmarkStart w:id="158" w:name="_Hlt68072990"/>
      <w:bookmarkEnd w:id="158"/>
      <w:bookmarkStart w:id="159" w:name="_Hlt68403820"/>
      <w:bookmarkEnd w:id="159"/>
      <w:bookmarkStart w:id="160" w:name="_Hlt68072998"/>
      <w:bookmarkEnd w:id="160"/>
      <w:bookmarkStart w:id="161" w:name="_Hlt75236290"/>
      <w:bookmarkEnd w:id="161"/>
      <w:r>
        <w:rPr>
          <w:rFonts w:hint="eastAsia" w:ascii="宋体" w:hAnsi="宋体" w:eastAsia="宋体" w:cs="Arial"/>
          <w:b/>
          <w:bCs w:val="0"/>
          <w:color w:val="auto"/>
          <w:sz w:val="22"/>
          <w:szCs w:val="22"/>
          <w:highlight w:val="none"/>
          <w:lang w:val="en-US" w:eastAsia="zh-CN"/>
        </w:rPr>
        <w:t>履约验收费用由中标人承担，因中标人原因造成验收不通过的，再次验收的费用仍由中标人承担。如采用简易验收的，则不需要支付该笔费用。</w:t>
      </w:r>
    </w:p>
    <w:p>
      <w:pPr>
        <w:pStyle w:val="6"/>
        <w:rPr>
          <w:rFonts w:hint="eastAsia"/>
          <w:color w:val="auto"/>
          <w:highlight w:val="none"/>
          <w:lang w:val="en-US" w:eastAsia="zh-CN"/>
        </w:rPr>
      </w:pPr>
    </w:p>
    <w:p>
      <w:pPr>
        <w:pStyle w:val="75"/>
        <w:rPr>
          <w:rFonts w:ascii="宋体" w:hAnsi="宋体"/>
          <w:color w:val="auto"/>
          <w:sz w:val="22"/>
          <w:szCs w:val="22"/>
          <w:highlight w:val="none"/>
        </w:rPr>
      </w:pPr>
    </w:p>
    <w:p>
      <w:pPr>
        <w:widowControl/>
        <w:spacing w:before="60" w:after="60" w:line="400" w:lineRule="exact"/>
        <w:ind w:left="424" w:leftChars="202" w:right="60" w:firstLine="440" w:firstLineChars="200"/>
        <w:jc w:val="center"/>
        <w:rPr>
          <w:rFonts w:ascii="宋体" w:hAnsi="宋体"/>
          <w:color w:val="auto"/>
          <w:sz w:val="22"/>
          <w:szCs w:val="22"/>
          <w:highlight w:val="none"/>
        </w:rPr>
      </w:pPr>
    </w:p>
    <w:p>
      <w:pPr>
        <w:widowControl/>
        <w:spacing w:before="60" w:after="60" w:line="400" w:lineRule="exact"/>
        <w:ind w:left="424" w:leftChars="202" w:right="60" w:firstLine="440" w:firstLineChars="200"/>
        <w:jc w:val="center"/>
        <w:rPr>
          <w:rStyle w:val="77"/>
          <w:rFonts w:hint="eastAsia" w:ascii="宋体" w:hAnsi="宋体" w:eastAsia="宋体" w:cs="宋体"/>
          <w:color w:val="auto"/>
          <w:sz w:val="36"/>
          <w:szCs w:val="36"/>
          <w:highlight w:val="none"/>
          <w:lang w:val="en-US" w:eastAsia="zh-CN"/>
        </w:rPr>
      </w:pPr>
      <w:r>
        <w:rPr>
          <w:rFonts w:hint="eastAsia" w:ascii="宋体" w:hAnsi="宋体"/>
          <w:color w:val="auto"/>
          <w:sz w:val="22"/>
          <w:szCs w:val="22"/>
          <w:highlight w:val="none"/>
        </w:rPr>
        <w:br w:type="page"/>
      </w:r>
      <w:bookmarkStart w:id="162" w:name="_Toc9983"/>
      <w:bookmarkStart w:id="163" w:name="_Toc249758715"/>
      <w:bookmarkStart w:id="164" w:name="_Toc239145357"/>
      <w:bookmarkStart w:id="165" w:name="_Toc241404205"/>
      <w:bookmarkStart w:id="166" w:name="_Toc221356954"/>
      <w:bookmarkStart w:id="167" w:name="_Toc222114882"/>
      <w:bookmarkStart w:id="168" w:name="_Toc245191317"/>
      <w:bookmarkStart w:id="169" w:name="_Toc245722284"/>
      <w:bookmarkStart w:id="170" w:name="_Toc221423622"/>
      <w:bookmarkStart w:id="171" w:name="_Toc221356890"/>
      <w:bookmarkStart w:id="172" w:name="_Toc223716001"/>
      <w:bookmarkStart w:id="173" w:name="_Toc249758867"/>
      <w:bookmarkStart w:id="174" w:name="_Toc246261268"/>
      <w:bookmarkStart w:id="175" w:name="_Toc262105506"/>
      <w:bookmarkStart w:id="176" w:name="_Toc221374629"/>
      <w:bookmarkStart w:id="177" w:name="_Toc262049421"/>
      <w:r>
        <w:rPr>
          <w:rStyle w:val="77"/>
          <w:rFonts w:hint="eastAsia" w:ascii="宋体" w:hAnsi="宋体" w:eastAsia="宋体" w:cs="宋体"/>
          <w:color w:val="auto"/>
          <w:sz w:val="36"/>
          <w:szCs w:val="36"/>
          <w:highlight w:val="none"/>
          <w:lang w:val="en-US" w:eastAsia="zh-CN"/>
        </w:rPr>
        <w:t>第二部分   招标内容及要求</w:t>
      </w:r>
    </w:p>
    <w:bookmarkEnd w:id="162"/>
    <w:p>
      <w:pPr>
        <w:widowControl/>
        <w:numPr>
          <w:ilvl w:val="0"/>
          <w:numId w:val="41"/>
        </w:numPr>
        <w:tabs>
          <w:tab w:val="left" w:pos="540"/>
        </w:tabs>
        <w:spacing w:line="440" w:lineRule="exact"/>
        <w:ind w:firstLine="417" w:firstLineChars="189"/>
        <w:rPr>
          <w:rFonts w:hint="eastAsia" w:ascii="宋体" w:hAnsi="宋体" w:eastAsia="宋体" w:cs="Arial"/>
          <w:b/>
          <w:bCs/>
          <w:color w:val="auto"/>
          <w:sz w:val="22"/>
          <w:szCs w:val="22"/>
          <w:highlight w:val="none"/>
        </w:rPr>
      </w:pPr>
      <w:r>
        <w:rPr>
          <w:rFonts w:hint="eastAsia" w:ascii="宋体" w:hAnsi="宋体" w:eastAsia="宋体" w:cs="Arial"/>
          <w:b/>
          <w:bCs/>
          <w:color w:val="auto"/>
          <w:sz w:val="22"/>
          <w:szCs w:val="22"/>
          <w:highlight w:val="none"/>
        </w:rPr>
        <w:t>概述</w:t>
      </w:r>
    </w:p>
    <w:p>
      <w:pPr>
        <w:numPr>
          <w:ilvl w:val="2"/>
          <w:numId w:val="42"/>
        </w:numPr>
        <w:tabs>
          <w:tab w:val="left" w:pos="525"/>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此技术规格书只是采购内容的一些原则性规定，并不是完整的详尽的要求，投标人有责任根据所提供产品的实际情况对系统进行科学合理的优化设计，对所提供产品的工艺、安全性、先进性负责，并符合技术规格书的要求。</w:t>
      </w:r>
    </w:p>
    <w:p>
      <w:pPr>
        <w:numPr>
          <w:ilvl w:val="2"/>
          <w:numId w:val="42"/>
        </w:numPr>
        <w:tabs>
          <w:tab w:val="left" w:pos="525"/>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投标产品如与采购要求有细微偏差，业主将有权要求制造商调整偏差，并不改变投标价格。</w:t>
      </w:r>
    </w:p>
    <w:p>
      <w:pPr>
        <w:numPr>
          <w:ilvl w:val="2"/>
          <w:numId w:val="42"/>
        </w:numPr>
        <w:tabs>
          <w:tab w:val="left" w:pos="525"/>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投标人须对招标文件中的各个条款一一给予实质性答复，不能仅提供产品样本。</w:t>
      </w:r>
    </w:p>
    <w:p>
      <w:pPr>
        <w:numPr>
          <w:ilvl w:val="2"/>
          <w:numId w:val="42"/>
        </w:numPr>
        <w:tabs>
          <w:tab w:val="left" w:pos="525"/>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投标人须对招标文件中涉及到的专利负责，并保证不伤害</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的利益。在法律范围内，所有文字、商标和技术侵权造成的相关费用，招标人及</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概不负责。</w:t>
      </w:r>
    </w:p>
    <w:p>
      <w:pPr>
        <w:widowControl/>
        <w:numPr>
          <w:ilvl w:val="0"/>
          <w:numId w:val="41"/>
        </w:numPr>
        <w:tabs>
          <w:tab w:val="left" w:pos="540"/>
        </w:tabs>
        <w:spacing w:line="440" w:lineRule="exact"/>
        <w:ind w:firstLine="417" w:firstLineChars="189"/>
        <w:rPr>
          <w:rFonts w:ascii="宋体" w:hAnsi="宋体" w:cs="Arial"/>
          <w:b/>
          <w:bCs/>
          <w:color w:val="auto"/>
          <w:sz w:val="22"/>
          <w:szCs w:val="22"/>
          <w:highlight w:val="none"/>
        </w:rPr>
      </w:pPr>
      <w:r>
        <w:rPr>
          <w:rFonts w:hint="eastAsia" w:ascii="宋体" w:hAnsi="宋体" w:cs="Arial"/>
          <w:b/>
          <w:bCs/>
          <w:color w:val="auto"/>
          <w:sz w:val="22"/>
          <w:szCs w:val="22"/>
          <w:highlight w:val="none"/>
        </w:rPr>
        <w:t>采购清单</w:t>
      </w:r>
      <w:r>
        <w:rPr>
          <w:rFonts w:hint="eastAsia" w:ascii="宋体" w:hAnsi="宋体" w:cs="Arial"/>
          <w:b/>
          <w:bCs/>
          <w:color w:val="auto"/>
          <w:sz w:val="22"/>
          <w:szCs w:val="22"/>
          <w:highlight w:val="none"/>
          <w:lang w:val="en-US" w:eastAsia="zh-CN"/>
        </w:rPr>
        <w:t>及技术要求</w:t>
      </w:r>
    </w:p>
    <w:p>
      <w:pPr>
        <w:numPr>
          <w:ilvl w:val="2"/>
          <w:numId w:val="43"/>
        </w:numPr>
        <w:tabs>
          <w:tab w:val="left" w:pos="525"/>
          <w:tab w:val="clear" w:pos="1260"/>
        </w:tabs>
        <w:autoSpaceDE w:val="0"/>
        <w:autoSpaceDN w:val="0"/>
        <w:adjustRightInd w:val="0"/>
        <w:snapToGrid w:val="0"/>
        <w:spacing w:line="460" w:lineRule="exact"/>
        <w:ind w:left="525" w:hanging="525"/>
        <w:textAlignment w:val="bottom"/>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采购清单</w:t>
      </w:r>
    </w:p>
    <w:tbl>
      <w:tblPr>
        <w:tblStyle w:val="62"/>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58"/>
        <w:gridCol w:w="2205"/>
        <w:gridCol w:w="1830"/>
        <w:gridCol w:w="1005"/>
        <w:gridCol w:w="945"/>
        <w:gridCol w:w="2114"/>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11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参考图片</w:t>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5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尺寸（mm)</w:t>
            </w:r>
          </w:p>
        </w:tc>
        <w:tc>
          <w:tcPr>
            <w:tcW w:w="604"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4395" w:type="pct"/>
            <w:gridSpan w:val="6"/>
            <w:tcBorders>
              <w:tl2br w:val="nil"/>
              <w:tr2bl w:val="nil"/>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辅导员办公室（2间）</w:t>
            </w:r>
          </w:p>
        </w:tc>
        <w:tc>
          <w:tcPr>
            <w:tcW w:w="604" w:type="pct"/>
            <w:tcBorders>
              <w:tl2br w:val="nil"/>
              <w:tr2bl w:val="nil"/>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8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132715</wp:posOffset>
                  </wp:positionH>
                  <wp:positionV relativeFrom="paragraph">
                    <wp:posOffset>29845</wp:posOffset>
                  </wp:positionV>
                  <wp:extent cx="1052195" cy="716280"/>
                  <wp:effectExtent l="0" t="0" r="14605" b="7620"/>
                  <wp:wrapNone/>
                  <wp:docPr id="44" name="图片_1"/>
                  <wp:cNvGraphicFramePr/>
                  <a:graphic xmlns:a="http://schemas.openxmlformats.org/drawingml/2006/main">
                    <a:graphicData uri="http://schemas.openxmlformats.org/drawingml/2006/picture">
                      <pic:pic xmlns:pic="http://schemas.openxmlformats.org/drawingml/2006/picture">
                        <pic:nvPicPr>
                          <pic:cNvPr id="44" name="图片_1"/>
                          <pic:cNvPicPr/>
                        </pic:nvPicPr>
                        <pic:blipFill>
                          <a:blip r:embed="rId11"/>
                          <a:stretch>
                            <a:fillRect/>
                          </a:stretch>
                        </pic:blipFill>
                        <pic:spPr>
                          <a:xfrm>
                            <a:off x="0" y="0"/>
                            <a:ext cx="1052195" cy="71628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辅导员办公桌</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1800*1705*750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8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414020</wp:posOffset>
                  </wp:positionH>
                  <wp:positionV relativeFrom="paragraph">
                    <wp:posOffset>25400</wp:posOffset>
                  </wp:positionV>
                  <wp:extent cx="427355" cy="695960"/>
                  <wp:effectExtent l="0" t="0" r="10795" b="8890"/>
                  <wp:wrapNone/>
                  <wp:docPr id="24" name="图片_2"/>
                  <wp:cNvGraphicFramePr/>
                  <a:graphic xmlns:a="http://schemas.openxmlformats.org/drawingml/2006/main">
                    <a:graphicData uri="http://schemas.openxmlformats.org/drawingml/2006/picture">
                      <pic:pic xmlns:pic="http://schemas.openxmlformats.org/drawingml/2006/picture">
                        <pic:nvPicPr>
                          <pic:cNvPr id="24" name="图片_2"/>
                          <pic:cNvPicPr/>
                        </pic:nvPicPr>
                        <pic:blipFill>
                          <a:blip r:embed="rId12"/>
                          <a:stretch>
                            <a:fillRect/>
                          </a:stretch>
                        </pic:blipFill>
                        <pic:spPr>
                          <a:xfrm>
                            <a:off x="0" y="0"/>
                            <a:ext cx="427355" cy="69596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辅导员办公椅</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660*600*1077/1252</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8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28575</wp:posOffset>
                  </wp:positionV>
                  <wp:extent cx="453390" cy="721360"/>
                  <wp:effectExtent l="0" t="0" r="3810" b="2540"/>
                  <wp:wrapNone/>
                  <wp:docPr id="41" name="图片_3"/>
                  <wp:cNvGraphicFramePr/>
                  <a:graphic xmlns:a="http://schemas.openxmlformats.org/drawingml/2006/main">
                    <a:graphicData uri="http://schemas.openxmlformats.org/drawingml/2006/picture">
                      <pic:pic xmlns:pic="http://schemas.openxmlformats.org/drawingml/2006/picture">
                        <pic:nvPicPr>
                          <pic:cNvPr id="41" name="图片_3"/>
                          <pic:cNvPicPr/>
                        </pic:nvPicPr>
                        <pic:blipFill>
                          <a:blip r:embed="rId13"/>
                          <a:stretch>
                            <a:fillRect/>
                          </a:stretch>
                        </pic:blipFill>
                        <pic:spPr>
                          <a:xfrm>
                            <a:off x="0" y="0"/>
                            <a:ext cx="453390" cy="72136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三门书柜</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1350*400*2000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4395" w:type="pct"/>
            <w:gridSpan w:val="6"/>
            <w:tcBorders>
              <w:tl2br w:val="nil"/>
              <w:tr2bl w:val="nil"/>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辅导员寝室（2间）</w:t>
            </w:r>
          </w:p>
        </w:tc>
        <w:tc>
          <w:tcPr>
            <w:tcW w:w="604" w:type="pct"/>
            <w:tcBorders>
              <w:tl2br w:val="nil"/>
              <w:tr2bl w:val="nil"/>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101600</wp:posOffset>
                  </wp:positionH>
                  <wp:positionV relativeFrom="paragraph">
                    <wp:posOffset>51435</wp:posOffset>
                  </wp:positionV>
                  <wp:extent cx="979170" cy="649605"/>
                  <wp:effectExtent l="0" t="0" r="11430" b="17145"/>
                  <wp:wrapNone/>
                  <wp:docPr id="42" name="图片_1_SpCnt_1"/>
                  <wp:cNvGraphicFramePr/>
                  <a:graphic xmlns:a="http://schemas.openxmlformats.org/drawingml/2006/main">
                    <a:graphicData uri="http://schemas.openxmlformats.org/drawingml/2006/picture">
                      <pic:pic xmlns:pic="http://schemas.openxmlformats.org/drawingml/2006/picture">
                        <pic:nvPicPr>
                          <pic:cNvPr id="42" name="图片_1_SpCnt_1"/>
                          <pic:cNvPicPr/>
                        </pic:nvPicPr>
                        <pic:blipFill>
                          <a:blip r:embed="rId14"/>
                          <a:stretch>
                            <a:fillRect/>
                          </a:stretch>
                        </pic:blipFill>
                        <pic:spPr>
                          <a:xfrm>
                            <a:off x="0" y="0"/>
                            <a:ext cx="979170" cy="649605"/>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1.2米床</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1200*2000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69850</wp:posOffset>
                  </wp:positionV>
                  <wp:extent cx="1077595" cy="627380"/>
                  <wp:effectExtent l="0" t="0" r="8255" b="1270"/>
                  <wp:wrapNone/>
                  <wp:docPr id="38" name="图片_2_SpCnt_1"/>
                  <wp:cNvGraphicFramePr/>
                  <a:graphic xmlns:a="http://schemas.openxmlformats.org/drawingml/2006/main">
                    <a:graphicData uri="http://schemas.openxmlformats.org/drawingml/2006/picture">
                      <pic:pic xmlns:pic="http://schemas.openxmlformats.org/drawingml/2006/picture">
                        <pic:nvPicPr>
                          <pic:cNvPr id="38" name="图片_2_SpCnt_1"/>
                          <pic:cNvPicPr/>
                        </pic:nvPicPr>
                        <pic:blipFill>
                          <a:blip r:embed="rId15"/>
                          <a:stretch>
                            <a:fillRect/>
                          </a:stretch>
                        </pic:blipFill>
                        <pic:spPr>
                          <a:xfrm>
                            <a:off x="0" y="0"/>
                            <a:ext cx="1077595" cy="62738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床垫（品牌）</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1200*2000*200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color w:val="auto"/>
                <w:highlight w:val="none"/>
              </w:rPr>
              <w:drawing>
                <wp:inline distT="0" distB="0" distL="114300" distR="114300">
                  <wp:extent cx="1193800" cy="824865"/>
                  <wp:effectExtent l="0" t="0" r="10160" b="13335"/>
                  <wp:docPr id="5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2"/>
                          <pic:cNvPicPr>
                            <a:picLocks noChangeAspect="1"/>
                          </pic:cNvPicPr>
                        </pic:nvPicPr>
                        <pic:blipFill>
                          <a:blip r:embed="rId16">
                            <a:lum bright="12000" contrast="12000"/>
                          </a:blip>
                          <a:stretch>
                            <a:fillRect/>
                          </a:stretch>
                        </pic:blipFill>
                        <pic:spPr>
                          <a:xfrm>
                            <a:off x="0" y="0"/>
                            <a:ext cx="1193800" cy="824865"/>
                          </a:xfrm>
                          <a:prstGeom prst="rect">
                            <a:avLst/>
                          </a:prstGeom>
                          <a:noFill/>
                          <a:ln w="9525">
                            <a:noFill/>
                          </a:ln>
                        </pic:spPr>
                      </pic:pic>
                    </a:graphicData>
                  </a:graphic>
                </wp:inline>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写字桌</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1250*600*760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224155</wp:posOffset>
                  </wp:positionH>
                  <wp:positionV relativeFrom="paragraph">
                    <wp:posOffset>36195</wp:posOffset>
                  </wp:positionV>
                  <wp:extent cx="427355" cy="695960"/>
                  <wp:effectExtent l="0" t="0" r="10795" b="8890"/>
                  <wp:wrapNone/>
                  <wp:docPr id="43" name="图片_7"/>
                  <wp:cNvGraphicFramePr/>
                  <a:graphic xmlns:a="http://schemas.openxmlformats.org/drawingml/2006/main">
                    <a:graphicData uri="http://schemas.openxmlformats.org/drawingml/2006/picture">
                      <pic:pic xmlns:pic="http://schemas.openxmlformats.org/drawingml/2006/picture">
                        <pic:nvPicPr>
                          <pic:cNvPr id="43" name="图片_7"/>
                          <pic:cNvPicPr/>
                        </pic:nvPicPr>
                        <pic:blipFill>
                          <a:blip r:embed="rId12"/>
                          <a:stretch>
                            <a:fillRect/>
                          </a:stretch>
                        </pic:blipFill>
                        <pic:spPr>
                          <a:xfrm>
                            <a:off x="0" y="0"/>
                            <a:ext cx="427355" cy="69596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写字椅</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660*600*1077/1252</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320040</wp:posOffset>
                  </wp:positionH>
                  <wp:positionV relativeFrom="paragraph">
                    <wp:posOffset>31115</wp:posOffset>
                  </wp:positionV>
                  <wp:extent cx="379095" cy="709930"/>
                  <wp:effectExtent l="0" t="0" r="1905" b="13970"/>
                  <wp:wrapNone/>
                  <wp:docPr id="35" name="图片_2_SpCnt_2"/>
                  <wp:cNvGraphicFramePr/>
                  <a:graphic xmlns:a="http://schemas.openxmlformats.org/drawingml/2006/main">
                    <a:graphicData uri="http://schemas.openxmlformats.org/drawingml/2006/picture">
                      <pic:pic xmlns:pic="http://schemas.openxmlformats.org/drawingml/2006/picture">
                        <pic:nvPicPr>
                          <pic:cNvPr id="35" name="图片_2_SpCnt_2"/>
                          <pic:cNvPicPr/>
                        </pic:nvPicPr>
                        <pic:blipFill>
                          <a:blip r:embed="rId17"/>
                          <a:stretch>
                            <a:fillRect/>
                          </a:stretch>
                        </pic:blipFill>
                        <pic:spPr>
                          <a:xfrm>
                            <a:off x="0" y="0"/>
                            <a:ext cx="379095" cy="70993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衣柜</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850*600*2580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123825</wp:posOffset>
                  </wp:positionV>
                  <wp:extent cx="1187450" cy="441960"/>
                  <wp:effectExtent l="0" t="0" r="12700" b="15240"/>
                  <wp:wrapNone/>
                  <wp:docPr id="39" name="图片_10"/>
                  <wp:cNvGraphicFramePr/>
                  <a:graphic xmlns:a="http://schemas.openxmlformats.org/drawingml/2006/main">
                    <a:graphicData uri="http://schemas.openxmlformats.org/drawingml/2006/picture">
                      <pic:pic xmlns:pic="http://schemas.openxmlformats.org/drawingml/2006/picture">
                        <pic:nvPicPr>
                          <pic:cNvPr id="39" name="图片_10"/>
                          <pic:cNvPicPr/>
                        </pic:nvPicPr>
                        <pic:blipFill>
                          <a:blip r:embed="rId18"/>
                          <a:stretch>
                            <a:fillRect/>
                          </a:stretch>
                        </pic:blipFill>
                        <pic:spPr>
                          <a:xfrm>
                            <a:off x="0" y="0"/>
                            <a:ext cx="1187450" cy="44196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储物柜</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1800*400*1200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129540</wp:posOffset>
                  </wp:positionH>
                  <wp:positionV relativeFrom="paragraph">
                    <wp:posOffset>58420</wp:posOffset>
                  </wp:positionV>
                  <wp:extent cx="894715" cy="661670"/>
                  <wp:effectExtent l="0" t="0" r="635" b="5080"/>
                  <wp:wrapNone/>
                  <wp:docPr id="34" name="图片_9"/>
                  <wp:cNvGraphicFramePr/>
                  <a:graphic xmlns:a="http://schemas.openxmlformats.org/drawingml/2006/main">
                    <a:graphicData uri="http://schemas.openxmlformats.org/drawingml/2006/picture">
                      <pic:pic xmlns:pic="http://schemas.openxmlformats.org/drawingml/2006/picture">
                        <pic:nvPicPr>
                          <pic:cNvPr id="34" name="图片_9"/>
                          <pic:cNvPicPr/>
                        </pic:nvPicPr>
                        <pic:blipFill>
                          <a:blip r:embed="rId19"/>
                          <a:stretch>
                            <a:fillRect/>
                          </a:stretch>
                        </pic:blipFill>
                        <pic:spPr>
                          <a:xfrm>
                            <a:off x="0" y="0"/>
                            <a:ext cx="894715" cy="66167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双人沙发</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1360*680*750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134620</wp:posOffset>
                  </wp:positionH>
                  <wp:positionV relativeFrom="paragraph">
                    <wp:posOffset>34290</wp:posOffset>
                  </wp:positionV>
                  <wp:extent cx="885825" cy="671195"/>
                  <wp:effectExtent l="0" t="0" r="9525" b="14605"/>
                  <wp:wrapNone/>
                  <wp:docPr id="25" name="图片_13"/>
                  <wp:cNvGraphicFramePr/>
                  <a:graphic xmlns:a="http://schemas.openxmlformats.org/drawingml/2006/main">
                    <a:graphicData uri="http://schemas.openxmlformats.org/drawingml/2006/picture">
                      <pic:pic xmlns:pic="http://schemas.openxmlformats.org/drawingml/2006/picture">
                        <pic:nvPicPr>
                          <pic:cNvPr id="25" name="图片_13"/>
                          <pic:cNvPicPr/>
                        </pic:nvPicPr>
                        <pic:blipFill>
                          <a:blip r:embed="rId20"/>
                          <a:stretch>
                            <a:fillRect/>
                          </a:stretch>
                        </pic:blipFill>
                        <pic:spPr>
                          <a:xfrm>
                            <a:off x="0" y="0"/>
                            <a:ext cx="885825" cy="671195"/>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餐桌</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1540*800*780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305435</wp:posOffset>
                  </wp:positionH>
                  <wp:positionV relativeFrom="paragraph">
                    <wp:posOffset>52070</wp:posOffset>
                  </wp:positionV>
                  <wp:extent cx="523240" cy="682625"/>
                  <wp:effectExtent l="0" t="0" r="10160" b="3175"/>
                  <wp:wrapNone/>
                  <wp:docPr id="45" name="Picture_1024"/>
                  <wp:cNvGraphicFramePr/>
                  <a:graphic xmlns:a="http://schemas.openxmlformats.org/drawingml/2006/main">
                    <a:graphicData uri="http://schemas.openxmlformats.org/drawingml/2006/picture">
                      <pic:pic xmlns:pic="http://schemas.openxmlformats.org/drawingml/2006/picture">
                        <pic:nvPicPr>
                          <pic:cNvPr id="45" name="Picture_1024"/>
                          <pic:cNvPicPr/>
                        </pic:nvPicPr>
                        <pic:blipFill>
                          <a:blip r:embed="rId21"/>
                          <a:stretch>
                            <a:fillRect/>
                          </a:stretch>
                        </pic:blipFill>
                        <pic:spPr>
                          <a:xfrm>
                            <a:off x="0" y="0"/>
                            <a:ext cx="523240" cy="682625"/>
                          </a:xfrm>
                          <a:prstGeom prst="rect">
                            <a:avLst/>
                          </a:prstGeom>
                          <a:noFill/>
                          <a:ln>
                            <a:noFill/>
                          </a:ln>
                        </pic:spPr>
                      </pic:pic>
                    </a:graphicData>
                  </a:graphic>
                </wp:anchor>
              </w:drawing>
            </w:r>
          </w:p>
        </w:tc>
        <w:tc>
          <w:tcPr>
            <w:tcW w:w="92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餐椅</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400*480*810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4395" w:type="pct"/>
            <w:gridSpan w:val="6"/>
            <w:tcBorders>
              <w:tl2br w:val="nil"/>
              <w:tr2bl w:val="nil"/>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宿管值班室（2间）</w:t>
            </w:r>
          </w:p>
        </w:tc>
        <w:tc>
          <w:tcPr>
            <w:tcW w:w="604" w:type="pct"/>
            <w:tcBorders>
              <w:tl2br w:val="nil"/>
              <w:tr2bl w:val="nil"/>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140335</wp:posOffset>
                  </wp:positionH>
                  <wp:positionV relativeFrom="paragraph">
                    <wp:posOffset>28575</wp:posOffset>
                  </wp:positionV>
                  <wp:extent cx="922020" cy="706755"/>
                  <wp:effectExtent l="0" t="0" r="11430" b="17145"/>
                  <wp:wrapNone/>
                  <wp:docPr id="26" name="图片_4_SpCnt_1"/>
                  <wp:cNvGraphicFramePr/>
                  <a:graphic xmlns:a="http://schemas.openxmlformats.org/drawingml/2006/main">
                    <a:graphicData uri="http://schemas.openxmlformats.org/drawingml/2006/picture">
                      <pic:pic xmlns:pic="http://schemas.openxmlformats.org/drawingml/2006/picture">
                        <pic:nvPicPr>
                          <pic:cNvPr id="26" name="图片_4_SpCnt_1"/>
                          <pic:cNvPicPr/>
                        </pic:nvPicPr>
                        <pic:blipFill>
                          <a:blip r:embed="rId22"/>
                          <a:stretch>
                            <a:fillRect/>
                          </a:stretch>
                        </pic:blipFill>
                        <pic:spPr>
                          <a:xfrm>
                            <a:off x="0" y="0"/>
                            <a:ext cx="922020" cy="706755"/>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宿管办公桌</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1400*700*760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348615</wp:posOffset>
                  </wp:positionH>
                  <wp:positionV relativeFrom="paragraph">
                    <wp:posOffset>59055</wp:posOffset>
                  </wp:positionV>
                  <wp:extent cx="427355" cy="695960"/>
                  <wp:effectExtent l="0" t="0" r="10795" b="8890"/>
                  <wp:wrapNone/>
                  <wp:docPr id="33" name="图片_12"/>
                  <wp:cNvGraphicFramePr/>
                  <a:graphic xmlns:a="http://schemas.openxmlformats.org/drawingml/2006/main">
                    <a:graphicData uri="http://schemas.openxmlformats.org/drawingml/2006/picture">
                      <pic:pic xmlns:pic="http://schemas.openxmlformats.org/drawingml/2006/picture">
                        <pic:nvPicPr>
                          <pic:cNvPr id="33" name="图片_12"/>
                          <pic:cNvPicPr/>
                        </pic:nvPicPr>
                        <pic:blipFill>
                          <a:blip r:embed="rId12"/>
                          <a:stretch>
                            <a:fillRect/>
                          </a:stretch>
                        </pic:blipFill>
                        <pic:spPr>
                          <a:xfrm>
                            <a:off x="0" y="0"/>
                            <a:ext cx="427355" cy="69596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宿管办公椅</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660*550*1120/1220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26035</wp:posOffset>
                  </wp:positionV>
                  <wp:extent cx="338455" cy="718820"/>
                  <wp:effectExtent l="0" t="0" r="4445" b="5080"/>
                  <wp:wrapNone/>
                  <wp:docPr id="29" name="图片_46"/>
                  <wp:cNvGraphicFramePr/>
                  <a:graphic xmlns:a="http://schemas.openxmlformats.org/drawingml/2006/main">
                    <a:graphicData uri="http://schemas.openxmlformats.org/drawingml/2006/picture">
                      <pic:pic xmlns:pic="http://schemas.openxmlformats.org/drawingml/2006/picture">
                        <pic:nvPicPr>
                          <pic:cNvPr id="29" name="图片_46"/>
                          <pic:cNvPicPr/>
                        </pic:nvPicPr>
                        <pic:blipFill>
                          <a:blip r:embed="rId23"/>
                          <a:stretch>
                            <a:fillRect/>
                          </a:stretch>
                        </pic:blipFill>
                        <pic:spPr>
                          <a:xfrm>
                            <a:off x="0" y="0"/>
                            <a:ext cx="338455" cy="71882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两门书柜</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800*400*2000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101600</wp:posOffset>
                  </wp:positionH>
                  <wp:positionV relativeFrom="paragraph">
                    <wp:posOffset>51435</wp:posOffset>
                  </wp:positionV>
                  <wp:extent cx="979170" cy="649605"/>
                  <wp:effectExtent l="0" t="0" r="11430" b="17145"/>
                  <wp:wrapNone/>
                  <wp:docPr id="36" name="图片_1_SpCnt_2"/>
                  <wp:cNvGraphicFramePr/>
                  <a:graphic xmlns:a="http://schemas.openxmlformats.org/drawingml/2006/main">
                    <a:graphicData uri="http://schemas.openxmlformats.org/drawingml/2006/picture">
                      <pic:pic xmlns:pic="http://schemas.openxmlformats.org/drawingml/2006/picture">
                        <pic:nvPicPr>
                          <pic:cNvPr id="36" name="图片_1_SpCnt_2"/>
                          <pic:cNvPicPr/>
                        </pic:nvPicPr>
                        <pic:blipFill>
                          <a:blip r:embed="rId14"/>
                          <a:stretch>
                            <a:fillRect/>
                          </a:stretch>
                        </pic:blipFill>
                        <pic:spPr>
                          <a:xfrm>
                            <a:off x="0" y="0"/>
                            <a:ext cx="979170" cy="649605"/>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1.2米床</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1200*2000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69850</wp:posOffset>
                  </wp:positionV>
                  <wp:extent cx="1077595" cy="627380"/>
                  <wp:effectExtent l="0" t="0" r="8255" b="1270"/>
                  <wp:wrapNone/>
                  <wp:docPr id="47" name="图片_2_SpCnt_3"/>
                  <wp:cNvGraphicFramePr/>
                  <a:graphic xmlns:a="http://schemas.openxmlformats.org/drawingml/2006/main">
                    <a:graphicData uri="http://schemas.openxmlformats.org/drawingml/2006/picture">
                      <pic:pic xmlns:pic="http://schemas.openxmlformats.org/drawingml/2006/picture">
                        <pic:nvPicPr>
                          <pic:cNvPr id="47" name="图片_2_SpCnt_3"/>
                          <pic:cNvPicPr/>
                        </pic:nvPicPr>
                        <pic:blipFill>
                          <a:blip r:embed="rId15"/>
                          <a:stretch>
                            <a:fillRect/>
                          </a:stretch>
                        </pic:blipFill>
                        <pic:spPr>
                          <a:xfrm>
                            <a:off x="0" y="0"/>
                            <a:ext cx="1077595" cy="62738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床垫（品牌）</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1200*2000*200</w:t>
            </w:r>
          </w:p>
        </w:tc>
        <w:tc>
          <w:tcPr>
            <w:tcW w:w="604" w:type="pct"/>
            <w:tcBorders>
              <w:tl2br w:val="nil"/>
              <w:tr2bl w:val="nil"/>
            </w:tcBorders>
            <w:shd w:val="clear" w:color="auto" w:fill="auto"/>
            <w:vAlign w:val="center"/>
          </w:tcPr>
          <w:p>
            <w:pPr>
              <w:jc w:val="left"/>
              <w:rPr>
                <w:rFonts w:hint="eastAsia" w:ascii="宋体" w:hAnsi="宋体" w:eastAsia="宋体" w:cs="宋体"/>
                <w:b/>
                <w:bCs/>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320040</wp:posOffset>
                  </wp:positionH>
                  <wp:positionV relativeFrom="paragraph">
                    <wp:posOffset>31115</wp:posOffset>
                  </wp:positionV>
                  <wp:extent cx="379095" cy="709930"/>
                  <wp:effectExtent l="0" t="0" r="1905" b="13970"/>
                  <wp:wrapNone/>
                  <wp:docPr id="30" name="图片_2_SpCnt_4"/>
                  <wp:cNvGraphicFramePr/>
                  <a:graphic xmlns:a="http://schemas.openxmlformats.org/drawingml/2006/main">
                    <a:graphicData uri="http://schemas.openxmlformats.org/drawingml/2006/picture">
                      <pic:pic xmlns:pic="http://schemas.openxmlformats.org/drawingml/2006/picture">
                        <pic:nvPicPr>
                          <pic:cNvPr id="30" name="图片_2_SpCnt_4"/>
                          <pic:cNvPicPr/>
                        </pic:nvPicPr>
                        <pic:blipFill>
                          <a:blip r:embed="rId17"/>
                          <a:stretch>
                            <a:fillRect/>
                          </a:stretch>
                        </pic:blipFill>
                        <pic:spPr>
                          <a:xfrm>
                            <a:off x="0" y="0"/>
                            <a:ext cx="379095" cy="70993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衣柜</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1100*550*2580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4395" w:type="pct"/>
            <w:gridSpan w:val="6"/>
            <w:tcBorders>
              <w:tl2br w:val="nil"/>
              <w:tr2bl w:val="nil"/>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单人间（209间）</w:t>
            </w:r>
          </w:p>
        </w:tc>
        <w:tc>
          <w:tcPr>
            <w:tcW w:w="604" w:type="pct"/>
            <w:tcBorders>
              <w:tl2br w:val="nil"/>
              <w:tr2bl w:val="nil"/>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90805</wp:posOffset>
                  </wp:positionH>
                  <wp:positionV relativeFrom="paragraph">
                    <wp:posOffset>30480</wp:posOffset>
                  </wp:positionV>
                  <wp:extent cx="1092835" cy="680085"/>
                  <wp:effectExtent l="0" t="0" r="12065" b="5715"/>
                  <wp:wrapNone/>
                  <wp:docPr id="37" name="图片_21"/>
                  <wp:cNvGraphicFramePr/>
                  <a:graphic xmlns:a="http://schemas.openxmlformats.org/drawingml/2006/main">
                    <a:graphicData uri="http://schemas.openxmlformats.org/drawingml/2006/picture">
                      <pic:pic xmlns:pic="http://schemas.openxmlformats.org/drawingml/2006/picture">
                        <pic:nvPicPr>
                          <pic:cNvPr id="37" name="图片_21"/>
                          <pic:cNvPicPr/>
                        </pic:nvPicPr>
                        <pic:blipFill>
                          <a:blip r:embed="rId24"/>
                          <a:stretch>
                            <a:fillRect/>
                          </a:stretch>
                        </pic:blipFill>
                        <pic:spPr>
                          <a:xfrm>
                            <a:off x="0" y="0"/>
                            <a:ext cx="1092835" cy="680085"/>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color w:val="auto"/>
                <w:highlight w:val="none"/>
                <w:lang w:val="en-US" w:eastAsia="zh-CN"/>
              </w:rPr>
            </w:pPr>
            <w:r>
              <w:rPr>
                <w:rFonts w:hint="eastAsia"/>
                <w:color w:val="auto"/>
                <w:highlight w:val="none"/>
                <w:lang w:val="en-US" w:eastAsia="zh-CN"/>
              </w:rPr>
              <w:t>床</w:t>
            </w:r>
          </w:p>
          <w:p>
            <w:pPr>
              <w:pStyle w:val="75"/>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【提供样品】</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980*2078*1020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69850</wp:posOffset>
                  </wp:positionV>
                  <wp:extent cx="1077595" cy="627380"/>
                  <wp:effectExtent l="0" t="0" r="8255" b="1270"/>
                  <wp:wrapNone/>
                  <wp:docPr id="40" name="图片_2_SpCnt_5"/>
                  <wp:cNvGraphicFramePr/>
                  <a:graphic xmlns:a="http://schemas.openxmlformats.org/drawingml/2006/main">
                    <a:graphicData uri="http://schemas.openxmlformats.org/drawingml/2006/picture">
                      <pic:pic xmlns:pic="http://schemas.openxmlformats.org/drawingml/2006/picture">
                        <pic:nvPicPr>
                          <pic:cNvPr id="40" name="图片_2_SpCnt_5"/>
                          <pic:cNvPicPr/>
                        </pic:nvPicPr>
                        <pic:blipFill>
                          <a:blip r:embed="rId15"/>
                          <a:stretch>
                            <a:fillRect/>
                          </a:stretch>
                        </pic:blipFill>
                        <pic:spPr>
                          <a:xfrm>
                            <a:off x="0" y="0"/>
                            <a:ext cx="1077595" cy="62738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color w:val="auto"/>
                <w:highlight w:val="none"/>
                <w:lang w:val="en-US" w:eastAsia="zh-CN"/>
              </w:rPr>
            </w:pPr>
            <w:r>
              <w:rPr>
                <w:rFonts w:hint="eastAsia"/>
                <w:color w:val="auto"/>
                <w:highlight w:val="none"/>
                <w:lang w:val="en-US" w:eastAsia="zh-CN"/>
              </w:rPr>
              <w:t>床垫（品牌）</w:t>
            </w:r>
          </w:p>
          <w:p>
            <w:pPr>
              <w:pStyle w:val="75"/>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【提供样品】</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900*2000*150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90805</wp:posOffset>
                  </wp:positionH>
                  <wp:positionV relativeFrom="paragraph">
                    <wp:posOffset>30480</wp:posOffset>
                  </wp:positionV>
                  <wp:extent cx="1092835" cy="680085"/>
                  <wp:effectExtent l="0" t="0" r="12065" b="5715"/>
                  <wp:wrapNone/>
                  <wp:docPr id="46" name="图片_41"/>
                  <wp:cNvGraphicFramePr/>
                  <a:graphic xmlns:a="http://schemas.openxmlformats.org/drawingml/2006/main">
                    <a:graphicData uri="http://schemas.openxmlformats.org/drawingml/2006/picture">
                      <pic:pic xmlns:pic="http://schemas.openxmlformats.org/drawingml/2006/picture">
                        <pic:nvPicPr>
                          <pic:cNvPr id="46" name="图片_41"/>
                          <pic:cNvPicPr/>
                        </pic:nvPicPr>
                        <pic:blipFill>
                          <a:blip r:embed="rId24"/>
                          <a:stretch>
                            <a:fillRect/>
                          </a:stretch>
                        </pic:blipFill>
                        <pic:spPr>
                          <a:xfrm>
                            <a:off x="0" y="0"/>
                            <a:ext cx="1092835" cy="680085"/>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床</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980*2178*1020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69850</wp:posOffset>
                  </wp:positionV>
                  <wp:extent cx="1077595" cy="627380"/>
                  <wp:effectExtent l="0" t="0" r="8255" b="1270"/>
                  <wp:wrapNone/>
                  <wp:docPr id="22" name="图片_2_SpCnt_6"/>
                  <wp:cNvGraphicFramePr/>
                  <a:graphic xmlns:a="http://schemas.openxmlformats.org/drawingml/2006/main">
                    <a:graphicData uri="http://schemas.openxmlformats.org/drawingml/2006/picture">
                      <pic:pic xmlns:pic="http://schemas.openxmlformats.org/drawingml/2006/picture">
                        <pic:nvPicPr>
                          <pic:cNvPr id="22" name="图片_2_SpCnt_6"/>
                          <pic:cNvPicPr/>
                        </pic:nvPicPr>
                        <pic:blipFill>
                          <a:blip r:embed="rId15"/>
                          <a:stretch>
                            <a:fillRect/>
                          </a:stretch>
                        </pic:blipFill>
                        <pic:spPr>
                          <a:xfrm>
                            <a:off x="0" y="0"/>
                            <a:ext cx="1077595" cy="62738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color w:val="auto"/>
                <w:highlight w:val="none"/>
                <w:lang w:val="en-US" w:eastAsia="zh-CN"/>
              </w:rPr>
            </w:pPr>
            <w:r>
              <w:rPr>
                <w:rFonts w:hint="eastAsia"/>
                <w:color w:val="auto"/>
                <w:highlight w:val="none"/>
                <w:lang w:val="en-US" w:eastAsia="zh-CN"/>
              </w:rPr>
              <w:t>床垫（品牌）</w:t>
            </w:r>
          </w:p>
          <w:p>
            <w:pPr>
              <w:pStyle w:val="75"/>
              <w:rPr>
                <w:rFonts w:hint="eastAsia" w:ascii="宋体" w:hAnsi="宋体" w:eastAsia="宋体" w:cs="宋体"/>
                <w:i w:val="0"/>
                <w:iCs w:val="0"/>
                <w:color w:val="auto"/>
                <w:sz w:val="22"/>
                <w:szCs w:val="22"/>
                <w:highlight w:val="none"/>
                <w:u w:val="none"/>
              </w:rPr>
            </w:pP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900*2100*150</w:t>
            </w:r>
          </w:p>
        </w:tc>
        <w:tc>
          <w:tcPr>
            <w:tcW w:w="604" w:type="pct"/>
            <w:tcBorders>
              <w:tl2br w:val="nil"/>
              <w:tr2bl w:val="nil"/>
            </w:tcBorders>
            <w:shd w:val="clear" w:color="auto" w:fill="auto"/>
            <w:vAlign w:val="center"/>
          </w:tcPr>
          <w:p>
            <w:pPr>
              <w:jc w:val="left"/>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19" w:type="pct"/>
            <w:vMerge w:val="restar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color w:val="auto"/>
                <w:highlight w:val="none"/>
              </w:rPr>
              <w:drawing>
                <wp:inline distT="0" distB="0" distL="114300" distR="114300">
                  <wp:extent cx="548640" cy="857885"/>
                  <wp:effectExtent l="0" t="0" r="3810" b="18415"/>
                  <wp:docPr id="58" name="图片 45" descr="1676517669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5" descr="1676517669738"/>
                          <pic:cNvPicPr>
                            <a:picLocks noChangeAspect="1"/>
                          </pic:cNvPicPr>
                        </pic:nvPicPr>
                        <pic:blipFill>
                          <a:blip r:embed="rId25"/>
                          <a:stretch>
                            <a:fillRect/>
                          </a:stretch>
                        </pic:blipFill>
                        <pic:spPr>
                          <a:xfrm>
                            <a:off x="0" y="0"/>
                            <a:ext cx="548640" cy="857885"/>
                          </a:xfrm>
                          <a:prstGeom prst="rect">
                            <a:avLst/>
                          </a:prstGeom>
                        </pic:spPr>
                      </pic:pic>
                    </a:graphicData>
                  </a:graphic>
                </wp:inline>
              </w:drawing>
            </w:r>
          </w:p>
        </w:tc>
        <w:tc>
          <w:tcPr>
            <w:tcW w:w="9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书柜桌</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1400*550*2580</w:t>
            </w:r>
          </w:p>
        </w:tc>
        <w:tc>
          <w:tcPr>
            <w:tcW w:w="604"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5"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19" w:type="pct"/>
            <w:vMerge w:val="continue"/>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p>
        </w:tc>
        <w:tc>
          <w:tcPr>
            <w:tcW w:w="929"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1400*550*2280</w:t>
            </w:r>
          </w:p>
        </w:tc>
        <w:tc>
          <w:tcPr>
            <w:tcW w:w="604" w:type="pct"/>
            <w:vMerge w:val="continue"/>
            <w:tcBorders>
              <w:tl2br w:val="nil"/>
              <w:tr2bl w:val="nil"/>
            </w:tcBorders>
            <w:shd w:val="clear" w:color="auto" w:fill="auto"/>
            <w:vAlign w:val="center"/>
          </w:tcPr>
          <w:p>
            <w:pPr>
              <w:jc w:val="left"/>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5"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119" w:type="pct"/>
            <w:vMerge w:val="restar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color w:val="auto"/>
                <w:highlight w:val="none"/>
              </w:rPr>
              <w:drawing>
                <wp:inline distT="0" distB="0" distL="114300" distR="114300">
                  <wp:extent cx="545465" cy="921385"/>
                  <wp:effectExtent l="0" t="0" r="6985" b="12065"/>
                  <wp:docPr id="59" name="图片 44" descr="167651765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4" descr="1676517652200"/>
                          <pic:cNvPicPr>
                            <a:picLocks noChangeAspect="1"/>
                          </pic:cNvPicPr>
                        </pic:nvPicPr>
                        <pic:blipFill>
                          <a:blip r:embed="rId26"/>
                          <a:stretch>
                            <a:fillRect/>
                          </a:stretch>
                        </pic:blipFill>
                        <pic:spPr>
                          <a:xfrm>
                            <a:off x="0" y="0"/>
                            <a:ext cx="545465" cy="921385"/>
                          </a:xfrm>
                          <a:prstGeom prst="rect">
                            <a:avLst/>
                          </a:prstGeom>
                        </pic:spPr>
                      </pic:pic>
                    </a:graphicData>
                  </a:graphic>
                </wp:inline>
              </w:drawing>
            </w:r>
          </w:p>
        </w:tc>
        <w:tc>
          <w:tcPr>
            <w:tcW w:w="92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单人间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组合衣柜</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1000*550*2580</w:t>
            </w:r>
          </w:p>
        </w:tc>
        <w:tc>
          <w:tcPr>
            <w:tcW w:w="604"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9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19" w:type="pct"/>
            <w:vMerge w:val="continue"/>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p>
        </w:tc>
        <w:tc>
          <w:tcPr>
            <w:tcW w:w="929"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1000*550*2280</w:t>
            </w:r>
          </w:p>
        </w:tc>
        <w:tc>
          <w:tcPr>
            <w:tcW w:w="604" w:type="pct"/>
            <w:vMerge w:val="continue"/>
            <w:tcBorders>
              <w:tl2br w:val="nil"/>
              <w:tr2bl w:val="nil"/>
            </w:tcBorders>
            <w:shd w:val="clear" w:color="auto" w:fill="auto"/>
            <w:vAlign w:val="center"/>
          </w:tcPr>
          <w:p>
            <w:pPr>
              <w:jc w:val="left"/>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color w:val="auto"/>
                <w:highlight w:val="none"/>
              </w:rPr>
              <w:drawing>
                <wp:inline distT="0" distB="0" distL="114300" distR="114300">
                  <wp:extent cx="481965" cy="600710"/>
                  <wp:effectExtent l="0" t="0" r="5715" b="8890"/>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27"/>
                          <a:stretch>
                            <a:fillRect/>
                          </a:stretch>
                        </pic:blipFill>
                        <pic:spPr>
                          <a:xfrm>
                            <a:off x="0" y="0"/>
                            <a:ext cx="481965" cy="600710"/>
                          </a:xfrm>
                          <a:prstGeom prst="rect">
                            <a:avLst/>
                          </a:prstGeom>
                          <a:noFill/>
                          <a:ln w="9525">
                            <a:noFill/>
                          </a:ln>
                        </pic:spPr>
                      </pic:pic>
                    </a:graphicData>
                  </a:graphic>
                </wp:inline>
              </w:drawing>
            </w:r>
            <w:r>
              <w:rPr>
                <w:color w:val="auto"/>
                <w:highlight w:val="none"/>
              </w:rPr>
              <w:drawing>
                <wp:inline distT="0" distB="0" distL="114300" distR="114300">
                  <wp:extent cx="458470" cy="594360"/>
                  <wp:effectExtent l="0" t="0" r="13970" b="0"/>
                  <wp:docPr id="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5"/>
                          <pic:cNvPicPr>
                            <a:picLocks noChangeAspect="1"/>
                          </pic:cNvPicPr>
                        </pic:nvPicPr>
                        <pic:blipFill>
                          <a:blip r:embed="rId28"/>
                          <a:stretch>
                            <a:fillRect/>
                          </a:stretch>
                        </pic:blipFill>
                        <pic:spPr>
                          <a:xfrm>
                            <a:off x="0" y="0"/>
                            <a:ext cx="458470" cy="594360"/>
                          </a:xfrm>
                          <a:prstGeom prst="rect">
                            <a:avLst/>
                          </a:prstGeom>
                          <a:noFill/>
                          <a:ln w="9525">
                            <a:noFill/>
                          </a:ln>
                        </pic:spPr>
                      </pic:pic>
                    </a:graphicData>
                  </a:graphic>
                </wp:inline>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学习椅</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【提供样品】</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565*545*815</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4395" w:type="pct"/>
            <w:gridSpan w:val="6"/>
            <w:tcBorders>
              <w:tl2br w:val="nil"/>
              <w:tr2bl w:val="nil"/>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四人间（123间）</w:t>
            </w:r>
          </w:p>
        </w:tc>
        <w:tc>
          <w:tcPr>
            <w:tcW w:w="604" w:type="pct"/>
            <w:tcBorders>
              <w:tl2br w:val="nil"/>
              <w:tr2bl w:val="nil"/>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90805</wp:posOffset>
                  </wp:positionH>
                  <wp:positionV relativeFrom="paragraph">
                    <wp:posOffset>30480</wp:posOffset>
                  </wp:positionV>
                  <wp:extent cx="1092835" cy="680085"/>
                  <wp:effectExtent l="0" t="0" r="12065" b="5715"/>
                  <wp:wrapNone/>
                  <wp:docPr id="3" name="图片_20"/>
                  <wp:cNvGraphicFramePr/>
                  <a:graphic xmlns:a="http://schemas.openxmlformats.org/drawingml/2006/main">
                    <a:graphicData uri="http://schemas.openxmlformats.org/drawingml/2006/picture">
                      <pic:pic xmlns:pic="http://schemas.openxmlformats.org/drawingml/2006/picture">
                        <pic:nvPicPr>
                          <pic:cNvPr id="3" name="图片_20"/>
                          <pic:cNvPicPr/>
                        </pic:nvPicPr>
                        <pic:blipFill>
                          <a:blip r:embed="rId24"/>
                          <a:stretch>
                            <a:fillRect/>
                          </a:stretch>
                        </pic:blipFill>
                        <pic:spPr>
                          <a:xfrm>
                            <a:off x="0" y="0"/>
                            <a:ext cx="1092835" cy="680085"/>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单人床</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980*2053*1020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69850</wp:posOffset>
                  </wp:positionV>
                  <wp:extent cx="1077595" cy="627380"/>
                  <wp:effectExtent l="0" t="0" r="8255" b="1270"/>
                  <wp:wrapNone/>
                  <wp:docPr id="17" name="图片_2_SpCnt_7"/>
                  <wp:cNvGraphicFramePr/>
                  <a:graphic xmlns:a="http://schemas.openxmlformats.org/drawingml/2006/main">
                    <a:graphicData uri="http://schemas.openxmlformats.org/drawingml/2006/picture">
                      <pic:pic xmlns:pic="http://schemas.openxmlformats.org/drawingml/2006/picture">
                        <pic:nvPicPr>
                          <pic:cNvPr id="17" name="图片_2_SpCnt_7"/>
                          <pic:cNvPicPr/>
                        </pic:nvPicPr>
                        <pic:blipFill>
                          <a:blip r:embed="rId15"/>
                          <a:stretch>
                            <a:fillRect/>
                          </a:stretch>
                        </pic:blipFill>
                        <pic:spPr>
                          <a:xfrm>
                            <a:off x="0" y="0"/>
                            <a:ext cx="1077595" cy="62738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床垫（品牌）</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900*2000*150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5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19" w:type="pct"/>
            <w:vMerge w:val="restar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color w:val="auto"/>
                <w:highlight w:val="none"/>
              </w:rPr>
              <w:drawing>
                <wp:inline distT="0" distB="0" distL="114300" distR="114300">
                  <wp:extent cx="474980" cy="897890"/>
                  <wp:effectExtent l="0" t="0" r="1270" b="16510"/>
                  <wp:docPr id="61" name="图片 41" descr="eae9f9fe2bdd2c23885a8cc11d49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1" descr="eae9f9fe2bdd2c23885a8cc11d49dfe"/>
                          <pic:cNvPicPr>
                            <a:picLocks noChangeAspect="1"/>
                          </pic:cNvPicPr>
                        </pic:nvPicPr>
                        <pic:blipFill>
                          <a:blip r:embed="rId29">
                            <a:lum bright="6000" contrast="6000"/>
                          </a:blip>
                          <a:srcRect l="32967" t="11725" r="34061" b="5484"/>
                          <a:stretch>
                            <a:fillRect/>
                          </a:stretch>
                        </pic:blipFill>
                        <pic:spPr>
                          <a:xfrm>
                            <a:off x="0" y="0"/>
                            <a:ext cx="474980" cy="897890"/>
                          </a:xfrm>
                          <a:prstGeom prst="rect">
                            <a:avLst/>
                          </a:prstGeom>
                        </pic:spPr>
                      </pic:pic>
                    </a:graphicData>
                  </a:graphic>
                </wp:inline>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双人衣柜</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1000*980*2580</w:t>
            </w:r>
          </w:p>
        </w:tc>
        <w:tc>
          <w:tcPr>
            <w:tcW w:w="604"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19" w:type="pct"/>
            <w:vMerge w:val="continue"/>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双人衣柜</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1000*980*2280</w:t>
            </w:r>
          </w:p>
        </w:tc>
        <w:tc>
          <w:tcPr>
            <w:tcW w:w="604" w:type="pct"/>
            <w:vMerge w:val="continue"/>
            <w:tcBorders>
              <w:tl2br w:val="nil"/>
              <w:tr2bl w:val="nil"/>
            </w:tcBorders>
            <w:shd w:val="clear" w:color="auto" w:fill="auto"/>
            <w:vAlign w:val="center"/>
          </w:tcPr>
          <w:p>
            <w:pPr>
              <w:jc w:val="left"/>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9"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color w:val="auto"/>
                <w:highlight w:val="none"/>
              </w:rPr>
              <w:drawing>
                <wp:inline distT="0" distB="0" distL="114300" distR="114300">
                  <wp:extent cx="1083310" cy="657860"/>
                  <wp:effectExtent l="0" t="0" r="13970" b="12700"/>
                  <wp:docPr id="62" name="图片 37" descr="281480c83c84b90eb404e98a689a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7" descr="281480c83c84b90eb404e98a689ad00"/>
                          <pic:cNvPicPr>
                            <a:picLocks noChangeAspect="1"/>
                          </pic:cNvPicPr>
                        </pic:nvPicPr>
                        <pic:blipFill>
                          <a:blip r:embed="rId30">
                            <a:lum bright="6000" contrast="12000"/>
                          </a:blip>
                          <a:srcRect l="26337" t="58226" r="28170" b="10108"/>
                          <a:stretch>
                            <a:fillRect/>
                          </a:stretch>
                        </pic:blipFill>
                        <pic:spPr>
                          <a:xfrm>
                            <a:off x="0" y="0"/>
                            <a:ext cx="1083310" cy="657860"/>
                          </a:xfrm>
                          <a:prstGeom prst="rect">
                            <a:avLst/>
                          </a:prstGeom>
                        </pic:spPr>
                      </pic:pic>
                    </a:graphicData>
                  </a:graphic>
                </wp:inline>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双人学习桌</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1600*900*750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color w:val="auto"/>
                <w:highlight w:val="none"/>
              </w:rPr>
              <w:drawing>
                <wp:inline distT="0" distB="0" distL="114300" distR="114300">
                  <wp:extent cx="481965" cy="600710"/>
                  <wp:effectExtent l="0" t="0" r="5715" b="8890"/>
                  <wp:docPr id="6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6"/>
                          <pic:cNvPicPr>
                            <a:picLocks noChangeAspect="1"/>
                          </pic:cNvPicPr>
                        </pic:nvPicPr>
                        <pic:blipFill>
                          <a:blip r:embed="rId27"/>
                          <a:stretch>
                            <a:fillRect/>
                          </a:stretch>
                        </pic:blipFill>
                        <pic:spPr>
                          <a:xfrm>
                            <a:off x="0" y="0"/>
                            <a:ext cx="481965" cy="600710"/>
                          </a:xfrm>
                          <a:prstGeom prst="rect">
                            <a:avLst/>
                          </a:prstGeom>
                          <a:noFill/>
                          <a:ln w="9525">
                            <a:noFill/>
                          </a:ln>
                        </pic:spPr>
                      </pic:pic>
                    </a:graphicData>
                  </a:graphic>
                </wp:inline>
              </w:drawing>
            </w:r>
            <w:r>
              <w:rPr>
                <w:color w:val="auto"/>
                <w:highlight w:val="none"/>
              </w:rPr>
              <w:drawing>
                <wp:inline distT="0" distB="0" distL="114300" distR="114300">
                  <wp:extent cx="458470" cy="594360"/>
                  <wp:effectExtent l="0" t="0" r="13970" b="0"/>
                  <wp:docPr id="6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5"/>
                          <pic:cNvPicPr>
                            <a:picLocks noChangeAspect="1"/>
                          </pic:cNvPicPr>
                        </pic:nvPicPr>
                        <pic:blipFill>
                          <a:blip r:embed="rId28"/>
                          <a:stretch>
                            <a:fillRect/>
                          </a:stretch>
                        </pic:blipFill>
                        <pic:spPr>
                          <a:xfrm>
                            <a:off x="0" y="0"/>
                            <a:ext cx="458470" cy="594360"/>
                          </a:xfrm>
                          <a:prstGeom prst="rect">
                            <a:avLst/>
                          </a:prstGeom>
                          <a:noFill/>
                          <a:ln w="9525">
                            <a:noFill/>
                          </a:ln>
                        </pic:spPr>
                      </pic:pic>
                    </a:graphicData>
                  </a:graphic>
                </wp:inline>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学习椅</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492</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565*545*815</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4395" w:type="pct"/>
            <w:gridSpan w:val="6"/>
            <w:tcBorders>
              <w:tl2br w:val="nil"/>
              <w:tr2bl w:val="nil"/>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沙龙（1间）</w:t>
            </w:r>
          </w:p>
        </w:tc>
        <w:tc>
          <w:tcPr>
            <w:tcW w:w="604" w:type="pct"/>
            <w:tcBorders>
              <w:tl2br w:val="nil"/>
              <w:tr2bl w:val="nil"/>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184150</wp:posOffset>
                  </wp:positionH>
                  <wp:positionV relativeFrom="paragraph">
                    <wp:posOffset>23495</wp:posOffset>
                  </wp:positionV>
                  <wp:extent cx="705485" cy="714375"/>
                  <wp:effectExtent l="0" t="0" r="18415" b="9525"/>
                  <wp:wrapNone/>
                  <wp:docPr id="14" name="图片_19"/>
                  <wp:cNvGraphicFramePr/>
                  <a:graphic xmlns:a="http://schemas.openxmlformats.org/drawingml/2006/main">
                    <a:graphicData uri="http://schemas.openxmlformats.org/drawingml/2006/picture">
                      <pic:pic xmlns:pic="http://schemas.openxmlformats.org/drawingml/2006/picture">
                        <pic:nvPicPr>
                          <pic:cNvPr id="14" name="图片_19"/>
                          <pic:cNvPicPr/>
                        </pic:nvPicPr>
                        <pic:blipFill>
                          <a:blip r:embed="rId31"/>
                          <a:stretch>
                            <a:fillRect/>
                          </a:stretch>
                        </pic:blipFill>
                        <pic:spPr>
                          <a:xfrm>
                            <a:off x="0" y="0"/>
                            <a:ext cx="705485" cy="714375"/>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培训椅（含写字板）</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565*545*815</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4395" w:type="pct"/>
            <w:gridSpan w:val="6"/>
            <w:tcBorders>
              <w:tl2br w:val="nil"/>
              <w:tr2bl w:val="nil"/>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讨论室（11间）</w:t>
            </w:r>
          </w:p>
        </w:tc>
        <w:tc>
          <w:tcPr>
            <w:tcW w:w="604" w:type="pct"/>
            <w:tcBorders>
              <w:tl2br w:val="nil"/>
              <w:tr2bl w:val="nil"/>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7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64135</wp:posOffset>
                  </wp:positionH>
                  <wp:positionV relativeFrom="paragraph">
                    <wp:posOffset>69215</wp:posOffset>
                  </wp:positionV>
                  <wp:extent cx="1170305" cy="583565"/>
                  <wp:effectExtent l="0" t="0" r="10795" b="6985"/>
                  <wp:wrapNone/>
                  <wp:docPr id="8" name="图片_17"/>
                  <wp:cNvGraphicFramePr/>
                  <a:graphic xmlns:a="http://schemas.openxmlformats.org/drawingml/2006/main">
                    <a:graphicData uri="http://schemas.openxmlformats.org/drawingml/2006/picture">
                      <pic:pic xmlns:pic="http://schemas.openxmlformats.org/drawingml/2006/picture">
                        <pic:nvPicPr>
                          <pic:cNvPr id="8" name="图片_17"/>
                          <pic:cNvPicPr/>
                        </pic:nvPicPr>
                        <pic:blipFill>
                          <a:blip r:embed="rId32"/>
                          <a:stretch>
                            <a:fillRect/>
                          </a:stretch>
                        </pic:blipFill>
                        <pic:spPr>
                          <a:xfrm>
                            <a:off x="0" y="0"/>
                            <a:ext cx="1170305" cy="583565"/>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洽谈桌</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2400*1200*750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color w:val="auto"/>
                <w:highlight w:val="none"/>
              </w:rPr>
              <w:drawing>
                <wp:inline distT="0" distB="0" distL="114300" distR="114300">
                  <wp:extent cx="481965" cy="600710"/>
                  <wp:effectExtent l="0" t="0" r="5715" b="8890"/>
                  <wp:docPr id="6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6"/>
                          <pic:cNvPicPr>
                            <a:picLocks noChangeAspect="1"/>
                          </pic:cNvPicPr>
                        </pic:nvPicPr>
                        <pic:blipFill>
                          <a:blip r:embed="rId27"/>
                          <a:stretch>
                            <a:fillRect/>
                          </a:stretch>
                        </pic:blipFill>
                        <pic:spPr>
                          <a:xfrm>
                            <a:off x="0" y="0"/>
                            <a:ext cx="481965" cy="600710"/>
                          </a:xfrm>
                          <a:prstGeom prst="rect">
                            <a:avLst/>
                          </a:prstGeom>
                          <a:noFill/>
                          <a:ln w="9525">
                            <a:noFill/>
                          </a:ln>
                        </pic:spPr>
                      </pic:pic>
                    </a:graphicData>
                  </a:graphic>
                </wp:inline>
              </w:drawing>
            </w:r>
            <w:r>
              <w:rPr>
                <w:color w:val="auto"/>
                <w:highlight w:val="none"/>
              </w:rPr>
              <w:drawing>
                <wp:inline distT="0" distB="0" distL="114300" distR="114300">
                  <wp:extent cx="458470" cy="594360"/>
                  <wp:effectExtent l="0" t="0" r="13970" b="0"/>
                  <wp:docPr id="6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5"/>
                          <pic:cNvPicPr>
                            <a:picLocks noChangeAspect="1"/>
                          </pic:cNvPicPr>
                        </pic:nvPicPr>
                        <pic:blipFill>
                          <a:blip r:embed="rId28"/>
                          <a:stretch>
                            <a:fillRect/>
                          </a:stretch>
                        </pic:blipFill>
                        <pic:spPr>
                          <a:xfrm>
                            <a:off x="0" y="0"/>
                            <a:ext cx="458470" cy="594360"/>
                          </a:xfrm>
                          <a:prstGeom prst="rect">
                            <a:avLst/>
                          </a:prstGeom>
                          <a:noFill/>
                          <a:ln w="9525">
                            <a:noFill/>
                          </a:ln>
                        </pic:spPr>
                      </pic:pic>
                    </a:graphicData>
                  </a:graphic>
                </wp:inline>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洽谈椅</w:t>
            </w:r>
          </w:p>
        </w:tc>
        <w:tc>
          <w:tcPr>
            <w:tcW w:w="51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565*545*815</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4395" w:type="pct"/>
            <w:gridSpan w:val="6"/>
            <w:tcBorders>
              <w:tl2br w:val="nil"/>
              <w:tr2bl w:val="nil"/>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公区</w:t>
            </w:r>
          </w:p>
        </w:tc>
        <w:tc>
          <w:tcPr>
            <w:tcW w:w="604" w:type="pct"/>
            <w:tcBorders>
              <w:tl2br w:val="nil"/>
              <w:tr2bl w:val="nil"/>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130810</wp:posOffset>
                  </wp:positionH>
                  <wp:positionV relativeFrom="paragraph">
                    <wp:posOffset>26670</wp:posOffset>
                  </wp:positionV>
                  <wp:extent cx="966470" cy="730250"/>
                  <wp:effectExtent l="0" t="0" r="5080" b="12700"/>
                  <wp:wrapNone/>
                  <wp:docPr id="2" name="图片_31"/>
                  <wp:cNvGraphicFramePr/>
                  <a:graphic xmlns:a="http://schemas.openxmlformats.org/drawingml/2006/main">
                    <a:graphicData uri="http://schemas.openxmlformats.org/drawingml/2006/picture">
                      <pic:pic xmlns:pic="http://schemas.openxmlformats.org/drawingml/2006/picture">
                        <pic:nvPicPr>
                          <pic:cNvPr id="2" name="图片_31"/>
                          <pic:cNvPicPr/>
                        </pic:nvPicPr>
                        <pic:blipFill>
                          <a:blip r:embed="rId33"/>
                          <a:stretch>
                            <a:fillRect/>
                          </a:stretch>
                        </pic:blipFill>
                        <pic:spPr>
                          <a:xfrm>
                            <a:off x="0" y="0"/>
                            <a:ext cx="966470" cy="73025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方沙发</w:t>
            </w:r>
          </w:p>
        </w:tc>
        <w:tc>
          <w:tcPr>
            <w:tcW w:w="5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600*600*420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38100</wp:posOffset>
                  </wp:positionV>
                  <wp:extent cx="835025" cy="686435"/>
                  <wp:effectExtent l="0" t="0" r="3175" b="18415"/>
                  <wp:wrapNone/>
                  <wp:docPr id="20" name="图片_37"/>
                  <wp:cNvGraphicFramePr/>
                  <a:graphic xmlns:a="http://schemas.openxmlformats.org/drawingml/2006/main">
                    <a:graphicData uri="http://schemas.openxmlformats.org/drawingml/2006/picture">
                      <pic:pic xmlns:pic="http://schemas.openxmlformats.org/drawingml/2006/picture">
                        <pic:nvPicPr>
                          <pic:cNvPr id="20" name="图片_37"/>
                          <pic:cNvPicPr/>
                        </pic:nvPicPr>
                        <pic:blipFill>
                          <a:blip r:embed="rId34"/>
                          <a:stretch>
                            <a:fillRect/>
                          </a:stretch>
                        </pic:blipFill>
                        <pic:spPr>
                          <a:xfrm>
                            <a:off x="0" y="0"/>
                            <a:ext cx="835025" cy="686435"/>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长沙发(左靠背)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【提供样品】</w:t>
            </w:r>
          </w:p>
        </w:tc>
        <w:tc>
          <w:tcPr>
            <w:tcW w:w="5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1200*680*750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24765</wp:posOffset>
                  </wp:positionV>
                  <wp:extent cx="828040" cy="726440"/>
                  <wp:effectExtent l="0" t="0" r="10160" b="16510"/>
                  <wp:wrapNone/>
                  <wp:docPr id="11" name="图片_32"/>
                  <wp:cNvGraphicFramePr/>
                  <a:graphic xmlns:a="http://schemas.openxmlformats.org/drawingml/2006/main">
                    <a:graphicData uri="http://schemas.openxmlformats.org/drawingml/2006/picture">
                      <pic:pic xmlns:pic="http://schemas.openxmlformats.org/drawingml/2006/picture">
                        <pic:nvPicPr>
                          <pic:cNvPr id="11" name="图片_32"/>
                          <pic:cNvPicPr/>
                        </pic:nvPicPr>
                        <pic:blipFill>
                          <a:blip r:embed="rId35"/>
                          <a:stretch>
                            <a:fillRect/>
                          </a:stretch>
                        </pic:blipFill>
                        <pic:spPr>
                          <a:xfrm>
                            <a:off x="0" y="0"/>
                            <a:ext cx="828040" cy="72644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长沙发(右靠背)</w:t>
            </w:r>
          </w:p>
        </w:tc>
        <w:tc>
          <w:tcPr>
            <w:tcW w:w="5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1200*680*750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243205</wp:posOffset>
                  </wp:positionH>
                  <wp:positionV relativeFrom="paragraph">
                    <wp:posOffset>20320</wp:posOffset>
                  </wp:positionV>
                  <wp:extent cx="685165" cy="712470"/>
                  <wp:effectExtent l="0" t="0" r="635" b="11430"/>
                  <wp:wrapNone/>
                  <wp:docPr id="12" name="图片_33"/>
                  <wp:cNvGraphicFramePr/>
                  <a:graphic xmlns:a="http://schemas.openxmlformats.org/drawingml/2006/main">
                    <a:graphicData uri="http://schemas.openxmlformats.org/drawingml/2006/picture">
                      <pic:pic xmlns:pic="http://schemas.openxmlformats.org/drawingml/2006/picture">
                        <pic:nvPicPr>
                          <pic:cNvPr id="12" name="图片_33"/>
                          <pic:cNvPicPr/>
                        </pic:nvPicPr>
                        <pic:blipFill>
                          <a:blip r:embed="rId36"/>
                          <a:stretch>
                            <a:fillRect/>
                          </a:stretch>
                        </pic:blipFill>
                        <pic:spPr>
                          <a:xfrm>
                            <a:off x="0" y="0"/>
                            <a:ext cx="685165" cy="71247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三角沙发</w:t>
            </w:r>
          </w:p>
        </w:tc>
        <w:tc>
          <w:tcPr>
            <w:tcW w:w="5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530*470*420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169545</wp:posOffset>
                  </wp:positionH>
                  <wp:positionV relativeFrom="paragraph">
                    <wp:posOffset>15240</wp:posOffset>
                  </wp:positionV>
                  <wp:extent cx="891540" cy="704850"/>
                  <wp:effectExtent l="0" t="0" r="3810" b="0"/>
                  <wp:wrapNone/>
                  <wp:docPr id="13" name="图片_34"/>
                  <wp:cNvGraphicFramePr/>
                  <a:graphic xmlns:a="http://schemas.openxmlformats.org/drawingml/2006/main">
                    <a:graphicData uri="http://schemas.openxmlformats.org/drawingml/2006/picture">
                      <pic:pic xmlns:pic="http://schemas.openxmlformats.org/drawingml/2006/picture">
                        <pic:nvPicPr>
                          <pic:cNvPr id="13" name="图片_34"/>
                          <pic:cNvPicPr/>
                        </pic:nvPicPr>
                        <pic:blipFill>
                          <a:blip r:embed="rId37"/>
                          <a:stretch>
                            <a:fillRect/>
                          </a:stretch>
                        </pic:blipFill>
                        <pic:spPr>
                          <a:xfrm>
                            <a:off x="0" y="0"/>
                            <a:ext cx="891540" cy="70485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长沙发(左扶手)</w:t>
            </w:r>
          </w:p>
        </w:tc>
        <w:tc>
          <w:tcPr>
            <w:tcW w:w="5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1280*680*750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19050</wp:posOffset>
                  </wp:positionV>
                  <wp:extent cx="819785" cy="695325"/>
                  <wp:effectExtent l="0" t="0" r="18415" b="9525"/>
                  <wp:wrapNone/>
                  <wp:docPr id="4" name="图片_38"/>
                  <wp:cNvGraphicFramePr/>
                  <a:graphic xmlns:a="http://schemas.openxmlformats.org/drawingml/2006/main">
                    <a:graphicData uri="http://schemas.openxmlformats.org/drawingml/2006/picture">
                      <pic:pic xmlns:pic="http://schemas.openxmlformats.org/drawingml/2006/picture">
                        <pic:nvPicPr>
                          <pic:cNvPr id="4" name="图片_38"/>
                          <pic:cNvPicPr/>
                        </pic:nvPicPr>
                        <pic:blipFill>
                          <a:blip r:embed="rId38"/>
                          <a:stretch>
                            <a:fillRect/>
                          </a:stretch>
                        </pic:blipFill>
                        <pic:spPr>
                          <a:xfrm>
                            <a:off x="0" y="0"/>
                            <a:ext cx="819785" cy="695325"/>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长沙发(右扶手)</w:t>
            </w:r>
          </w:p>
        </w:tc>
        <w:tc>
          <w:tcPr>
            <w:tcW w:w="5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1280*680*750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210820</wp:posOffset>
                  </wp:positionH>
                  <wp:positionV relativeFrom="paragraph">
                    <wp:posOffset>36830</wp:posOffset>
                  </wp:positionV>
                  <wp:extent cx="643255" cy="684530"/>
                  <wp:effectExtent l="0" t="0" r="4445" b="1270"/>
                  <wp:wrapNone/>
                  <wp:docPr id="19" name="图片_35"/>
                  <wp:cNvGraphicFramePr/>
                  <a:graphic xmlns:a="http://schemas.openxmlformats.org/drawingml/2006/main">
                    <a:graphicData uri="http://schemas.openxmlformats.org/drawingml/2006/picture">
                      <pic:pic xmlns:pic="http://schemas.openxmlformats.org/drawingml/2006/picture">
                        <pic:nvPicPr>
                          <pic:cNvPr id="19" name="图片_35"/>
                          <pic:cNvPicPr/>
                        </pic:nvPicPr>
                        <pic:blipFill>
                          <a:blip r:embed="rId39"/>
                          <a:stretch>
                            <a:fillRect/>
                          </a:stretch>
                        </pic:blipFill>
                        <pic:spPr>
                          <a:xfrm>
                            <a:off x="0" y="0"/>
                            <a:ext cx="643255" cy="68453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单人沙发</w:t>
            </w:r>
          </w:p>
        </w:tc>
        <w:tc>
          <w:tcPr>
            <w:tcW w:w="5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760*680*750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330835</wp:posOffset>
                  </wp:positionH>
                  <wp:positionV relativeFrom="paragraph">
                    <wp:posOffset>20320</wp:posOffset>
                  </wp:positionV>
                  <wp:extent cx="415290" cy="547370"/>
                  <wp:effectExtent l="0" t="0" r="3810" b="5080"/>
                  <wp:wrapNone/>
                  <wp:docPr id="6" name="图片_36"/>
                  <wp:cNvGraphicFramePr/>
                  <a:graphic xmlns:a="http://schemas.openxmlformats.org/drawingml/2006/main">
                    <a:graphicData uri="http://schemas.openxmlformats.org/drawingml/2006/picture">
                      <pic:pic xmlns:pic="http://schemas.openxmlformats.org/drawingml/2006/picture">
                        <pic:nvPicPr>
                          <pic:cNvPr id="6" name="图片_36"/>
                          <pic:cNvPicPr/>
                        </pic:nvPicPr>
                        <pic:blipFill>
                          <a:blip r:embed="rId40"/>
                          <a:stretch>
                            <a:fillRect/>
                          </a:stretch>
                        </pic:blipFill>
                        <pic:spPr>
                          <a:xfrm>
                            <a:off x="0" y="0"/>
                            <a:ext cx="415290" cy="54737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不倒翁</w:t>
            </w:r>
          </w:p>
        </w:tc>
        <w:tc>
          <w:tcPr>
            <w:tcW w:w="5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φ480*600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5" w:hRule="atLeast"/>
        </w:trPr>
        <w:tc>
          <w:tcPr>
            <w:tcW w:w="283"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119" w:type="pct"/>
            <w:tcBorders>
              <w:tl2br w:val="nil"/>
              <w:tr2bl w:val="nil"/>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57150</wp:posOffset>
                  </wp:positionV>
                  <wp:extent cx="984885" cy="520700"/>
                  <wp:effectExtent l="0" t="0" r="5715" b="12700"/>
                  <wp:wrapNone/>
                  <wp:docPr id="16" name="图片_39"/>
                  <wp:cNvGraphicFramePr/>
                  <a:graphic xmlns:a="http://schemas.openxmlformats.org/drawingml/2006/main">
                    <a:graphicData uri="http://schemas.openxmlformats.org/drawingml/2006/picture">
                      <pic:pic xmlns:pic="http://schemas.openxmlformats.org/drawingml/2006/picture">
                        <pic:nvPicPr>
                          <pic:cNvPr id="16" name="图片_39"/>
                          <pic:cNvPicPr/>
                        </pic:nvPicPr>
                        <pic:blipFill>
                          <a:blip r:embed="rId41"/>
                          <a:stretch>
                            <a:fillRect/>
                          </a:stretch>
                        </pic:blipFill>
                        <pic:spPr>
                          <a:xfrm>
                            <a:off x="0" y="0"/>
                            <a:ext cx="984885" cy="520700"/>
                          </a:xfrm>
                          <a:prstGeom prst="rect">
                            <a:avLst/>
                          </a:prstGeom>
                          <a:noFill/>
                          <a:ln>
                            <a:noFill/>
                          </a:ln>
                        </pic:spPr>
                      </pic:pic>
                    </a:graphicData>
                  </a:graphic>
                </wp:anchor>
              </w:drawing>
            </w:r>
          </w:p>
        </w:tc>
        <w:tc>
          <w:tcPr>
            <w:tcW w:w="9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方茶几</w:t>
            </w:r>
          </w:p>
        </w:tc>
        <w:tc>
          <w:tcPr>
            <w:tcW w:w="51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4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10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600*600*380</w:t>
            </w:r>
          </w:p>
        </w:tc>
        <w:tc>
          <w:tcPr>
            <w:tcW w:w="6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bl>
    <w:p>
      <w:pPr>
        <w:numPr>
          <w:ilvl w:val="2"/>
          <w:numId w:val="43"/>
        </w:numPr>
        <w:tabs>
          <w:tab w:val="left" w:pos="525"/>
          <w:tab w:val="clear" w:pos="1260"/>
        </w:tabs>
        <w:autoSpaceDE w:val="0"/>
        <w:autoSpaceDN w:val="0"/>
        <w:adjustRightInd w:val="0"/>
        <w:snapToGrid w:val="0"/>
        <w:spacing w:line="460" w:lineRule="exact"/>
        <w:ind w:left="525" w:hanging="525"/>
        <w:textAlignment w:val="bottom"/>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技术要求</w:t>
      </w:r>
    </w:p>
    <w:tbl>
      <w:tblPr>
        <w:tblStyle w:val="62"/>
        <w:tblW w:w="499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85"/>
        <w:gridCol w:w="923"/>
        <w:gridCol w:w="7679"/>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3904"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技术要求</w:t>
            </w:r>
          </w:p>
        </w:tc>
        <w:tc>
          <w:tcPr>
            <w:tcW w:w="4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5000" w:type="pct"/>
            <w:gridSpan w:val="4"/>
            <w:tcBorders>
              <w:tl2br w:val="nil"/>
              <w:tr2bl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辅导员办公室（2间）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辅导员办公桌</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台面基材：选用E0级实木颗粒板，质量符合GB/T15102-2017《浸渍胶膜纸饰面纤维板和实木颗粒板》、GB/T39600-2021《人造板及其制品甲醛释放量分级》E0级及以上标准、抗弯力强，不易变形,台面板为25MM厚度，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2、封边：同色加厚封边，采用油墨、耐晒、耐黄变不褪色。人造板贴边条：检测依据符合GB 28481-2012《塑料家具中有害物质限量》标准。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3、饰面：采用树脂浸渍纸（MFC）贴面，原纸净含量为130g,不透底、防污、耐磨，哑光饰面工艺比同行饰面更高端大气。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4、钢架：钢脚用3.0mm钢板 59.75°折弯（折弯公差+0.25），装饰条采用1.2mm铝型材，调节脚ABS塑料，颜色黑色，可调节高度0-15mm，堵头ABS塑料，连接杆采用30*60*1.5。钢脚使用一级冷轧钢板成型，表面采用静电粉沫喷涂处理。检测依据符合GB/T 3325-2017《金属家具通用技术条件》标准.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5、五金件：采用优质缓冲门铰、导轨、锁等。锁：检测依据符合GB/T 3325-2017《金属家具通用技术条件》、GB 21556-2008《锁具通用安全技术条件》标准。采用阻尼铰链，质量符合QB/T 2189-2013 ，其中耐久性测试80000次；三节滚珠滑轨，质量符合QB/T 2454-2013，其中耐久性测试80000次家具锁，电镀件外露表面经18h的中性盐雾试验（QB/T 3826-1999）后，外观评级≥9级，表面无锈蚀痕迹、鼓泡、开裂、毛刺、露底；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6、详细参数：偏台：1800*900*750，前封板大副柜：1800*550*630，带木制吊挡板，两根30*60连接杆。</w:t>
            </w:r>
          </w:p>
          <w:p>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7、产品：检测依据符合GB/T 35607-2017《绿色产品评价家具》、GB/T 10357.2-2013《家具力学性能试验》。</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白色台面，白色钢脚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8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辅导员办公椅</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采用优质阻燃网布,，防污、耐磨性强，背网耐磨10万转，防泼水座布，更易清洁。检测依据符合GB 18401-2010《国家纺织产品基本安全技术规范》、GB 17927.1-2011《软体家具 床垫和沙发 抗引燃特性的评定 第1部分：阴燃的香烟》标准。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2、座位采用密度为70KG/立方米的优质一体成型定型海棉，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3、座板无木板，更环保，内置钢板加固，内外壳设有通风孔，更透气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4、金属管升降60mm扶手，顶部PU材质扶手面，提高用户舒适度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5、气杆统一标配优质的4级120mm行程气压棒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6、底盘选用带有同步倾仰功能，带有四级锁定，使用双杆控制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7、背部具有ABS材质，与两侧金属扶手更搭配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8、350mm（半径）高强度尼龙脚，最大化的地面接触面积防止倾倒发生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9、重载脚轮PA尼龙材质，直径65mm，保证良好的通过性</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10、产品：检测依据符合GB/T 35607-2017《绿色产品评价家具》、GB/T 10357.2-2013《家具力学性能试验》。</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白色框架，灰色坐垫，网布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89"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三门书柜</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1、基材：采用E0级实木多层板，质量符合符合GB/T 9846-2015 《普通胶合板》、GB/T39600-2021《人造板及其制品甲醛释放量分级》E0级及以上标准；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2、贴面：采用树脂浸渍纸（MFC）贴面，防火，并具阻燃、耐磨性强、清洁方便等特点。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3、封边：同色加厚封边，采用油墨、耐晒、耐黄变不褪色。人造板贴边条：检测依据符合GB 28481-2012《塑料家具中有害物质限量》标准。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功能特征：门内层板活动且高度可调，底部配有塑料调节脚防水功能且视觉效果具备悬浮感，高度上下调节（规格：80*80*25/45mm，升降20mm，方便安装及降低对场地的要求），斜边式拉手代替原有五金拉手更显简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5、五金件：采用优质缓冲门铰、导轨、锁等。锁：检测依据符合GB/T 3325-2017《金属家具通用技术条件》、GB 21556-2008《锁具通用安全技术条件》标准。采用阻尼铰链，质量符合QB/T 2189-2013 ，其中耐久性测试80000次；三节滚珠滑轨，质量符合QB/T 2454-2013，其中耐久性测试80000次。家具锁，电镀件外露表面经18h的中性盐雾试验（QB/T 3826-1999）后，外观评级≥9级，表面无锈蚀痕迹、鼓泡、开裂、毛刺、露底；</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5000" w:type="pct"/>
            <w:gridSpan w:val="4"/>
            <w:tcBorders>
              <w:tl2br w:val="nil"/>
              <w:tr2bl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辅导员寝室（2间）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1.2米床</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1、板材基材：采用E0级实木多层板，质量符合符合GB/T 9846-2015 《普通胶合板》、GB/T39600-2021《人造板及其制品甲醛释放量分级》E0级及以上标准；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2、板材贴面：采用树脂浸渍纸（MFC）贴面，防火，并具阻燃、耐磨性强、清洁方便等特点。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3、封边：加厚PVC封边，耐晒、耐黄变不褪色。人造板贴边条：检测依据符合GB 28481-2012《塑料家具中有害物质限量》标准。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4、五金配件：优质品牌连接件，铝合金支撑脚，表面无锈蚀痕迹、鼓泡、开裂、毛刺、露底。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5、胶粘剂：采用优质环保封边热熔胶。封边热熔胶：判定依据符合GB 18583-2008《室内装饰装修材料 胶粘剂中有害物质限量》（溶剂型其他类胶粘剂）标准。</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木纹色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床垫（品牌）</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1、材料：采用优质弹簧系统，零甲醛高密度海绵，0石膏粉添加，环保山棕垫。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2、饰面：3D透气面料，具有高弹性和中空性，超级舒适透气，能强效保持床垫清洁干爽。面料成分棉成分含量80%以上，色牢度3级以上。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3、支撑结构：3D材料采用x-90结构，双面网孔呈现六面透气中空立体的结构，软硬适中，40个/CM2支撑点。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1、具备高强度弹力效果，睡眠中保持脊椎平衡。弹簧：检测依据符合GB/T 3325-2017《金属家具通用技术条件》标准。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2、经过防螨防蛀。抗菌处理，经久耐用。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备注：厚度：150mm。</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写字桌</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基材采用E0级实木多层板，质量符合符合GB/T 9846-2015 《普通胶合板》、GB/T39600-2021《人造板及其制品甲醛释放量分级》E0级及以上标准；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2、板材贴面：采用树脂浸渍纸（MFC）贴面，防火，并具阻燃、耐磨性强、清洁方便等特点。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3、封边：加厚同色PVC封边，检测依据符合GB 28481-2012《塑料家具中有害物质限量》标准。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4、五金件：采用优质五金件。锁：检测依据符合GB/T 3325-2017《金属家具通用技术条件》、GB 21556-2008《锁具通用安全技术条件》标准。采用阻尼铰链，质量符合QB/T 2189-2013 ，其中耐久性测试80000次；三节滚珠滑轨，质量符合QB/T 2454-2013，其中耐久性测试80000次；家具锁，电镀件外露表面经18h的中性盐雾试验（QB/T 3826-1999）后，外观评级≥9级，表面无锈蚀痕迹、鼓泡、开裂、毛刺、露底。优选优质品牌五金件。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5、胶粘剂：采用优质环保封边热熔胶。封边热熔胶：判定依据符合GB 18583-2008《室内装饰装修材料 胶粘剂中有害物质限量》（溶剂型其他类胶粘剂）标准。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6、产品：检测依据符合GB/T 35607-2017《绿色产品评价 家具》、GB/T 10357.2-2013《家具力学性能试验》。</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功能要求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1、柜门采用PP材质暗拉手。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备注：门板采用暖白色板材，其他部分为浅木纹色。</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木纹色，白色抽面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写字椅</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采用优质阻燃网布,，防污、耐磨性强，背网耐磨10万转，防泼水座布，更易清洁。检测依据符合GB 18401-2010《国家纺织产品基本安全技术规范》、GB 17927.1-2011《软体家具 床垫和沙发 抗引燃特性的评定 第1部分：阴燃的香烟》标准。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2、座位采用密度为70KG/立方米的优质一体成型定型海棉，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3、座板无木板，更环保，内置钢板加固，内外壳设有通风孔，更透气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4、金属管升降60mm扶手，顶部PU材质扶手面，提高用户舒适度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5、气杆统一标配优质的4级120mm行程气压棒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6、底盘选用带有同步倾仰功能，带有四级锁定，使用双杆控制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7、背部具有ABS材质，与两侧金属扶手更搭配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8、350mm（半径）高强度尼龙脚，最大化的地面接触面积防止倾倒发生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9、重载脚轮PA尼龙材质，直径65mm，保证良好的通过性</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10、产品：检测依据符合GB/T 35607-2017《绿色产品评价家具》、GB/T 10357.2-2013《家具力学性能试验》。</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白色框架，灰色坐垫，网布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5"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衣柜</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基材：采用E0级实木多层板，质量符合符合GB/T 9846-2015 《普通胶合板》、GB/T39600-2021《人造板及其制品甲醛释放量分级》E0级及以上标准；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2、贴面：采用树脂浸渍纸（MFC）贴面，防火，并具阻燃、耐磨性强、清洁方便等特点。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3、封边：同色加厚封边，采用油墨、耐晒、耐黄变不褪色。人造板贴边条：检测依据符合GB 28481-2012《塑料家具中有害物质限量》标准。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4、胶粘剂：采用优质环保封边热熔胶。封边热熔胶：判定依据符合GB 18583-2008《室内装饰装修材料 胶粘剂中有害物质限量》（溶剂型其他类胶粘剂）标准。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功能特征：门内层板活动且高度可调，底部配有塑料调节脚防水功能且视觉效果具备悬浮感，高度上下调节（规格：80*80*25/45mm，升降20mm，方便安装及降低对场地的要求），斜边式拉手代替原有五金拉手更显简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6、五金件：采用优质缓冲门铰、导轨、锁等。锁：检测依据符合GB/T 3325-2017《金属家具通用技术条件》、GB 21556-2008《锁具通用安全技术条件》标准。采用阻尼铰链，质量符合QB/T 2189-2013 ，其中耐久性测试80000次；三节滚珠滑轨，质量符合QB/T 2454-2013，其中耐久性测试80000次。家具锁，电镀件外露表面经18h的中性盐雾试验（QB/T 3826-1999）后，外观评级≥9级，表面无锈蚀痕迹、鼓泡、开裂、毛刺、露底；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7.整体符合：更衣柜：检测依据符合GB/T 35607-2017《绿色产品评价 家具》、GB/T 1732-2020《漆膜耐冲击测定法》、GB/T 6739-2006《色漆和清漆 铅笔法测定漆膜硬度》标准。</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木纹色柜体，白色门板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41"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储物柜</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1、板材基材：采用E0级实木多层板，质量符合符合GB/T 9846-2015 《普通胶合板》、GB/T39600-2021《人造板及其制品甲醛释放量分级》E0级及以上标准；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2、板材贴面：采用树脂浸渍纸（MFC）贴面，防火，并具阻燃、耐磨性强、清洁方便等特点。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3、封边：同色加厚封边，采用油墨、耐晒、耐黄变不褪色。人造板贴边条：检测依据符合GB 28481-2012《塑料家具中有害物质限量》标准。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4、五金配件：五金件：采用优质缓冲门铰、三合一偏心连接件等；三合一偏心连接件：检测依据符合GB/T 28203-2011《家具用连接件技术要求及试验方法》、GB/T 3325-2017《金属家具通用技术条件》标准。采用阻尼铰链，质量符合QB/T 2189-2013 ，其中耐久性测试80000次，表面无锈蚀痕迹、鼓泡、开裂、毛刺、露底。</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木纹色柜体，白色门板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双人沙发</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1、面料：采用优质布艺饰面，绒布色泽亮丽、多样、阻燃、防污、耐磨性强；检测依据符合GB 18401-2010《国家纺织产品基本安全技术规范》、GB 17927.1-2011《软体家具 床垫和沙发 抗引燃特性的评定 第1部分：阴燃的香烟》标准。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2、框架：靠背采用优质环保12mm曲木板，整体木框采用优质松木，经过熏蒸、防虫处理、无明显疤结。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3、海棉：符合GB/T 10802-2006《通用软质聚醚型聚氨酯泡沫塑料》，回弹率≥40%；触感柔软有弹性，包裹层次感更强。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4、结构：采用高密度橡胶绷带，5公分宽橡筋,有效提升坐感，使弹簧均匀受力；蛇形弹簧联轴，直径3.8mm的拱簧，弹性好，全面提升坐感, 高承重力，长久使用不变形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5、五金磨砂高脚：加高金属脚，160mm离地高度，让清洁更便利。</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颜色待校方确认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餐桌</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材质部分：采用优质白蜡木实木。材质纹理细腻，表面结疤少，坚韧耐潮.。木料须经二次烘干处理，8%≤含水率≤17%，保证不开裂、不扭曲、不变形。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2、工艺部分：制作上以传统榫卯工艺做法为主，尽量减少各种胶类材料与五金五金件的使用，环保安全可靠，坚固耐用。所有触手可及类锐处均做安全处理。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3、油漆部分：选用环保水性底漆，环保水性面漆，质量符合GB18581-2020《木器涂料中有害物质限量》，五底三面工艺制作，色泽美观、不变色、光滑耐磨。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4、脚架：实木脚架，质地坚硬，纹理自然清晰。</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胶粘剂：采用优质环保封边热熔胶。封边热熔胶：判定依据符合GB 18583-2008《室内装饰装修材料 胶粘剂中有害物质限量》（溶剂型其他类胶粘剂）标准。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产品：检测依据符合GB/T 35607-2017《绿色产品评价 家具》、GB/T 10357.2-2013《家具力学性能试验》。</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实木本色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5"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46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餐椅</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座垫面料：优质超纤皮覆面，质量符合GB/T16799-2018《家具用皮革》游离甲醛未检出;摩擦色牢度≥4级；撕裂力≥60N；禁用偶氮染料未检出;可萃取的重金属铅、镉未检出；游离甲醛含量未检出；皮面柔软光泽度好，厚度适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2、座垫泡绵：环保型高密度、高回弹PU泡绵，符合符合GB/T 10802-2006《通用软质聚醚型聚氨酯泡沫塑料》，安全性能阻燃达到1级，附不含氟氨化合物的高弹力定型海绵及多层丝棉作填充，圆润厚实，弹性好，表面涂有防止老化变形的保护膜。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3、脚架：白蜡木实木脚架，质地坚硬，纹理自然清晰。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4、油漆：选用环保水性底漆，环保水性面漆,五底三面工艺制作，色泽美观、不变色、光滑耐磨。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5、产品：检测依据符合GB/T 35607-2017《绿色产品评价 家具》、GB/T 10357.2-2013《家具力学性能试验》。</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实木本色，灰色坐垫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5000" w:type="pct"/>
            <w:gridSpan w:val="4"/>
            <w:tcBorders>
              <w:tl2br w:val="nil"/>
              <w:tr2bl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宿管值班室（2间）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宿管办公桌</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板材基材：采用E0级实木多层板，质量符合符合GB/T 9846-2015 《普通胶合板》、GB/T39600-2021《人造板及其制品甲醛释放量分级》E0级及以上标准；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2、板材贴面：采用树脂浸渍纸（MFC）贴面，防火，并具阻燃、耐磨性强、清洁方便等特点。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3、封边：同色加厚封边，采用油墨、耐晒、耐黄变不褪色。人造板贴边条：检测依据符合GB 28481-2012《塑料家具中有害物质限量》标准。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4、五金配件：优质三节滚珠滑轨、锁等；锁：检测依据符合GB/T 3325-2017《金属家具通用技术条件》、GB 21556-2008《锁具通用安全技术条件》标准。质量符合QB/T 2454-2013，其中耐久性测试80000次，表面无锈蚀痕迹、鼓泡、开裂、毛刺、露底。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胶粘剂：采用优质环保封边热熔胶。封边热熔胶：判定依据符合GB 18583-2008《室内装饰装修材料 胶粘剂中有害物质限量》（溶剂型其他类胶粘剂）标准。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产品：检测依据符合GB/T 35607-2017《绿色产品评价 家具》、GB/T 10357.2-2013《家具力学性能试验》。</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木纹色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宿管办公椅</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背网耐磨10万转、过防火测试，防泼水座布，更易清洁。检测依据符合GB 18401-2010《国家纺织产品基本安全技术规范》、GB 17927.1-2011《软体家具 床垫和沙发 抗引燃特性的评定 第1部分：阴燃的香烟》标准。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2、座位采用密度为70KG/立方米的优质一体成型定型海棉，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3、座板无木板，更环保，内置钢板加固，内外壳设有通风孔，更透气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4、金属管升降60mm扶手，顶部PU材质扶手面，提高用户舒适度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5、气杆统一标配优质的4级120mm行程气压棒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6、底盘选用带有同步倾仰功能，带有四级锁定，使用双杆控制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7、背部具有ABS材质，与两侧金属扶手更搭配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8、350mm（半径）高强度尼龙脚，最大化的地面接触面积防止倾倒发生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9、重载脚轮PA尼龙材质，直径65mm，保证良好的通过性</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10、产品：检测依据符合GB/T 35607-2017《绿色产品评价 家具》、GB/T 10357.2-2013《家具力学性能试验》。</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白色框架，灰色坐垫，网布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两门书柜</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基材：采用E0级实木多层板，质量符合符合GB/T 9846-2015 《普通胶合板》、GB/T39600-2021《人造板及其制品甲醛释放量分级》E0级及以上标准；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2、贴面：采用树脂浸渍纸（MFC）贴面，防火，并具阻燃、耐磨性强、清洁方便等特点。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3、封边：同色加厚封边，采用油墨、耐晒、耐黄变不褪色。人造板贴边条：检测依据符合GB 28481-2012《塑料家具中有害物质限量》标准。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功能特征：门内层板活动且高度可调，底部配有塑料调节脚防水功能且视觉效果具备悬浮感，高度上下调节（规格：80*80*25/45mm，升降20mm，方便安装及降低对场地的要求），斜边式拉手代替原有五金拉手更显简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5、五金件：采用优质缓冲门铰、导轨、锁等。锁：检测依据符合GB/T 3325-2017《金属家具通用技术条件》、GB 21556-2008《锁具通用安全技术条件》标准。采用阻尼铰链，质量符合QB/T 2189-2013 ，其中耐久性测试80000次；其中耐久性测试80000次；家具锁，电镀件外露表面经18h的中性盐雾试验（QB/T 3826-1999）后，外观评级≥9级，表面无锈蚀痕迹、鼓泡、开裂、毛刺、露底。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6、胶粘剂：采用优质环保封边热熔胶。封边热熔胶：判定依据符合GB 18583-2008《室内装饰装修材料 胶粘剂中有害物质限量》（溶剂型其他类胶粘剂）标准。</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木纹色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1.2米床</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板材基材：采用E0级实木多层板，质量符合符合GB/T 9846-2015 《普通胶合板》、GB/T39600-2021《人造板及其制品甲醛释放量分级》E0级及以上标准；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2、板材贴面：采用树脂浸渍纸（MFC）贴面，防火，并具阻燃、耐磨性强、清洁方便等特点。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3、封边：同色加厚封边，采用油墨、耐晒、耐黄变不褪色。人造板贴边条：检测依据符合GB 28481-2012《塑料家具中有害物质限量》标准；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4、五金配件：优质品牌连接件，铝合金支撑脚，表面无锈蚀痕迹、鼓泡、开裂、毛刺、露底。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5、胶粘剂：采用优质环保封边热熔胶。封边热熔胶：判定依据符合GB 18583-2008《室内装饰装修材料 胶粘剂中有害物质限量》（溶剂型其他类胶粘剂）标准。</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木纹色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5"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床垫（品牌）</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1、材料：采用优质弹簧系统，零甲醛高密度海绵，0石膏粉添加，环保山棕垫。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2、饰面：3D透气面料，具有高弹性和中空性，超级舒适透气，能强效保持床垫清洁干爽。面料成分棉成分含量80%以上，色牢度3级以上。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3、支撑结构：3D材料采用x-90结构，双面网孔呈现六面透气中空立体的结构，软硬适中，40个/CM2支撑点。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1、具备高强度弹力效果，睡眠中保持脊椎平衡。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2、经过防螨防蛀。抗菌处理，经久耐用。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备注：厚度：150mm。</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衣柜</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基材：采用E0级实木多层板，质量符合符合GB/T 9846-2015 《普通胶合板》、GB/T39600-2021《人造板及其制品甲醛释放量分级》E0级及以上标准；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2、贴面：采用树脂浸渍纸（MFC）贴面，防火，并具阻燃、耐磨性强、清洁方便等特点。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3、封边：同色加厚封边，采用油墨、耐晒、耐黄变不褪色。人造板贴边条：检测依据符合GB 28481-2012《塑料家具中有害物质限量》标准。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功能特征：门内层板活动且高度可调，底部配有塑料调节脚防水功能且视觉效果具备悬浮感，高度上下调节（规格：80*80*25/45mm，升降20mm，方便安装及降低对场地的要求），斜边式拉手代替原有五金拉手更显简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5、五金件：采用优质缓冲门铰、导轨、锁等。锁：检测依据符合GB/T 3325-2017《金属家具通用技术条件》、GB 21556-2008《锁具通用安全技术条件》标准，采用阻尼铰链，质量符合QB/T 2189-2013 ，其中耐久性测试80000次；家具锁，电镀件外露表面经18h的中性盐雾试验（QB/T 3826-1999）后，外观评级≥9级，表面无锈蚀痕迹、鼓泡、开裂、毛刺、露底。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6、胶粘剂：采用优质环保封边热熔胶。封边热熔胶：判定依据符合GB 18583-2008《室内装饰装修材料 胶粘剂中有害物质限量》（溶剂型其他类胶粘剂）标准。</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木纹色柜体，白色门板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5000" w:type="pct"/>
            <w:gridSpan w:val="4"/>
            <w:tcBorders>
              <w:tl2br w:val="nil"/>
              <w:tr2bl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单人间（209间）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床</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【提供样品】</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材质要求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1、基材：采用E0级实木多层板，质量符合符合GB/T 9846-2015 《普通胶合板》、GB/T39600-2021《人造板及其制品甲醛释放量分级》E0级及以上标准；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2、板材贴面：采用树脂浸渍纸（MFC）贴面，防火，并具阻燃、耐磨性强、清洁方便等特点。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3、封边：同色加厚封边，采用油墨、耐晒、耐黄变不褪色。人造板贴边条：检测依据符合GB 28481-2012《塑料家具中有害物质限量》标准；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4、五金件：采用优质阻尼铰链及连接件，表面无锈蚀痕迹开裂，优选优质品牌五金件。</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5、胶粘剂：采用优质环保封边热熔胶。封边热熔胶：判定依据符合GB 18583-2008《室内装饰装修材料 胶粘剂中有害物质限量》（溶剂型其他类胶粘剂）标准。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床侧边要带有抽屉及储物空间，满足日常储物；包含三组抽拉式抽屉，底部安装尼龙定向滚轮，活动抽屉需要设计挡边，不能使抽屉完全抽出床体；一组对开门的储物空间，可用于放置30寸行李箱，抽屉采用下斜切工艺处理的暗拉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备注：抽屉门板以及柜门板采用暖白色套色，其它部分为浅木纹色，最终颜色需要配合甲方要求为准。</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木纹色床体，白色门板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5"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床垫（品牌）</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【提供样品】</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1、材料：采用优质弹簧系统，零甲醛高密度海绵，0石膏粉添加，环保山棕垫。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2、饰面：3D透气面料，具有高弹性和中空性，超级舒适透气，能强效保持床垫清洁干爽。面料成分棉成分含量80%以上，色牢度3级以上。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3、支撑结构：3D材料采用x-90结构，双面网孔呈现六面透气中空立体的结构，软硬适中，40个/CM2支撑点。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1、具备高强度弹力效果，睡眠中保持脊椎平衡。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2、经过防螨防蛀。抗菌处理，经久耐用。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备注：厚度：150mm。</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床</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材质要求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1、基材：采用E0级实木多层板，质量符合符合GB/T 9846-2015 《普通胶合板》、GB/T39600-2021《人造板及其制品甲醛释放量分级》E0级及以上标准；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2、板材贴面：采用树脂浸渍纸（MFC）贴面，防火，并具阻燃、耐磨性强、清洁方便等特点。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3、封边：同色加厚封边，采用油墨、耐晒、耐黄变不褪色。人造板贴边条：检测依据符合GB 28481-2012《塑料家具中有害物质限量》标准；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4、五金件：采用优质阻尼铰链及连接件，表面无锈蚀痕迹开裂，优选优质品牌五金件。</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5、胶粘剂：采用优质环保封边热熔胶。封边热熔胶：判定依据符合GB 18583-2008《室内装饰装修材料 胶粘剂中有害物质限量》（溶剂型其他类胶粘剂）标准。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床侧边要带有抽屉及储物空间，满足日常储物；包含三组抽拉式抽屉，底部安装尼龙定向滚轮，活动抽屉需要设计挡边，不能使抽屉完全抽出床体；一组对开门的储物空间，可用于放置30寸行李箱，抽屉采用下斜切工艺处理的暗拉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备注：抽屉门板以及柜门板采用暖白色套色，其它部分为浅木纹色，最终颜色需要配合甲方要求为准。</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木纹色床体，白色门板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床垫（品牌）</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1、材料：采用优质弹簧系统，零甲醛高密度海绵，0石膏粉添加，环保山棕垫。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2、饰面：3D透气面料，具有高弹性和中空性，超级舒适透气，能强效保持床垫清洁干爽。面料成分棉成分含量80%以上，色牢度3级以上。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3、支撑结构：3D材料采用x-90结构，双面网孔呈现六面透气中空立体的结构，软硬适中，40个/CM2支撑点。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1、具备高强度弹力效果，睡眠中保持脊椎平衡。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2、经过防螨防蛀。抗菌处理，经久耐用。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备注：厚度：150mm。</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11" w:hRule="atLeast"/>
        </w:trPr>
        <w:tc>
          <w:tcPr>
            <w:tcW w:w="195" w:type="pct"/>
            <w:tcBorders>
              <w:bottom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46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书柜桌</w:t>
            </w:r>
          </w:p>
        </w:tc>
        <w:tc>
          <w:tcPr>
            <w:tcW w:w="3904"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基材：采用E0级实木多层板，质量符合符合GB/T 9846-2015 《普通胶合板》、GB/T39600-2021《人造板及其制品甲醛释放量分级》E0级及以上标准；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2、板材贴面：采用树脂浸渍纸（MFC）贴面，防火，并具阻燃、耐磨性强、清洁方便等特点。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3、封边：同色加厚封边，采用油墨、耐晒、耐黄变不褪色。人造板贴边条：检测依据符合GB 28481-2012《塑料家具中有害物质限量》标准；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4、五金件：采用优质缓冲门铰、导轨、锁等。锁：检测依据符合GB/T 3325-2017《金属家具通用技术条件》、GB 21556-2008《锁具通用安全技术条件》标准，采用阻尼铰链，质量符合QB/T 2189-2013 ，其中耐久性测试80000次；三节滚珠滑轨，质量符合QB/T 2454-2013，其中耐久性测试80000次；家具锁，电镀件外露表面经18h的中性盐雾试验（QB/T 3826-1999）后，外观评级≥9级，表面无锈蚀痕迹、鼓泡、开裂、毛刺、露底。优选优质品牌五金件。</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胶粘剂：采用优质环保封边热熔胶。封边热熔胶：判定依据符合GB 18583-2008《室内装饰装修材料 胶粘剂中有害物质限量》（溶剂型其他类胶粘剂）标准。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产品：检测依据符合GB/T 35607-2017《绿色产品评价 家具》、GB/T 10357.2-2013《家具力学性能试验》。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功能要求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1、柜门采用PP材质暗拉手。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备注：门板采用暖白色板材，其他部分为浅木纹色。</w:t>
            </w:r>
          </w:p>
        </w:tc>
        <w:tc>
          <w:tcPr>
            <w:tcW w:w="430"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木纹色，白色抽面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11" w:hRule="atLeast"/>
        </w:trPr>
        <w:tc>
          <w:tcPr>
            <w:tcW w:w="195" w:type="pct"/>
            <w:tcBorders>
              <w:top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469"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904" w:type="pct"/>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430" w:type="pct"/>
            <w:vMerge w:val="continue"/>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45" w:hRule="atLeast"/>
        </w:trPr>
        <w:tc>
          <w:tcPr>
            <w:tcW w:w="195" w:type="pct"/>
            <w:tcBorders>
              <w:bottom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46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单人间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组合衣柜</w:t>
            </w:r>
          </w:p>
        </w:tc>
        <w:tc>
          <w:tcPr>
            <w:tcW w:w="3904"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基材：采用E0级实木多层板，质量符合符合GB/T 9846-2015 《普通胶合板》、GB/T39600-2021《人造板及其制品甲醛释放量分级》E0级及以上标准；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2、板材贴面：采用树脂浸渍纸（MFC）贴面，防火，并具阻燃、耐磨性强、清洁方便等特点。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3、封边：同色加厚封边，采用油墨、耐晒、耐黄变不褪色。人造板贴边条：检测依据符合GB 28481-2012《塑料家具中有害物质限量》标准；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4、五金件采用优质缓冲门铰、导轨、锁等。锁：检测依据符合GB/T 3325-2017《金属家具通用技术条件》、GB 21556-2008《锁具通用安全技术条件》标准，采用阻尼铰链，质量符合QB/T 2189-2013 ，其中耐久性测试80000次；三节滚珠滑轨，质量符合QB/T 2454-2013，其中耐久性测试80000次；家具锁，电镀件外露表面经18h的中性盐雾试验（QB/T 3826-1999）后，外观评级≥9级，表面无锈蚀痕迹、鼓泡、开裂、毛刺、露底。优选优质品牌五金件。</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5、胶粘剂：采用优质环保封边热熔胶。封边热熔胶：判定依据符合GB 18583-2008《室内装饰装修材料 胶粘剂中有害物质限量》（溶剂型其他类胶粘剂）标准。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功能要求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1、柜门采PP材质暗拉手。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备注：门板采用暖白色板材，其他部分为浅木纹色。</w:t>
            </w:r>
          </w:p>
        </w:tc>
        <w:tc>
          <w:tcPr>
            <w:tcW w:w="43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木纹色柜体，白色门板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75" w:hRule="atLeast"/>
        </w:trPr>
        <w:tc>
          <w:tcPr>
            <w:tcW w:w="195" w:type="pct"/>
            <w:tcBorders>
              <w:top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469"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904" w:type="pct"/>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430"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学习椅</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【提供样品】</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红色座、背采用通风孔设计，彻底解决用户起身塑胶椅座位后的不雅汗渍，通风孔之间的链接使得座、背面内部有张力和弹力，更加舒适；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2、椅背顶部弧面弯曲，为方便使用者搭手臂，与侧面人员交流，椅背中下方内凹，为臀部腾出后屈空间，并且顶住用户腰椎位置，提供良好坐姿；座面中后部有凸起曲面，确保乘坐时符合人体曲线，不会前滑；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3、椅背中上位置设计有手提缺口位置，更加人性化，方便搬移；在不用时，椅子可以实现层叠堆放，节约现场面积；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4、实心椅架表面电镀处理，表面电镀通过24小时盐雾测试，椅架取消前端中置的横拉杆，增加用户腿部活动空间，改为椅架顶部拉杆下移，结构牢固，安全可靠；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5、椅子的塑胶采用全新尼龙料，更加坚固耐用，不会断裂；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6、椅子椅架底部使用螺栓锁住尼龙塑胶垫块，隔开金属与地面的摩擦，并且可以实现精确的并排锁定，在会场布置时，椅子摆放整齐划一；</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珊瑚红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5000" w:type="pct"/>
            <w:gridSpan w:val="4"/>
            <w:tcBorders>
              <w:tl2br w:val="nil"/>
              <w:tr2bl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四人间（123间）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单人床</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材质要求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1、基材：采用E0级实木多层板，质量符合符合GB/T 9846-2015 《普通胶合板》、GB/T39600-2021《人造板及其制品甲醛释放量分级》E0级及以上标准；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2、板材贴面：采用树脂浸渍纸（MFC）贴面，防火，并具阻燃、耐磨性强、清洁方便等特点。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3、封边：同色加厚封边，采用油墨、耐晒、耐黄变不褪色。人造板贴边条：检测依据符合GB 28481-2012《塑料家具中有害物质限量》标准；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4、五金件：采用优质阻尼铰链及连接件，表面无锈蚀痕迹开裂，优选优质品牌五金件。</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5、胶粘剂：采用优质环保封边热熔胶。封边热熔胶：判定依据符合GB 18583-2008《室内装饰装修材料 胶粘剂中有害物质限量》（溶剂型其他类胶粘剂）标准。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床侧边要带有抽屉及储物空间，满足日常储物；包含三组抽拉式抽屉，底部安装尼龙定向滚轮，活动抽屉需要设计挡边，不能使抽屉完全抽出床体；一组对开门的储物空间，可用于放置30寸行李箱，抽屉采用下斜切工艺处理的暗拉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备注：抽屉门板以及柜门板采用暖白色套色，其它部分为浅木纹色，最终颜色需要配合甲方要求为准。</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木纹色床体，白色门板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床垫（品牌）</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1、材料：采用优质弹簧系统，零甲醛高密度海绵，0石膏粉添加，环保山棕垫。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2、饰面：3D透气面料，具有高弹性和中空性，超级舒适透气，能强效保持床垫清洁干爽。面料成分棉成分含量80%以上，色牢度3级以上。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3、支撑结构：3D材料采用x-90结构，双面网孔呈现六面透气中空立体的结构，软硬适中，40个/CM2支撑点。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功能要求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1、具备高强度弹力效果，睡眠中保持脊椎平衡。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2、经过防螨防蛀。抗菌处理，经久耐用。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备注：厚度：150mm。</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双人衣柜</w:t>
            </w:r>
          </w:p>
        </w:tc>
        <w:tc>
          <w:tcPr>
            <w:tcW w:w="3904"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基材：采用E0级实木多层板，质量符合符合GB/T 9846-2015 《普通胶合板》、GB/T39600-2021《人造板及其制品甲醛释放量分级》E0级及以上标准；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2、贴面：采用树脂浸渍纸（MFC）贴面，防火，并具阻燃、耐磨性强、清洁方便等特点。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3、封边：同色加厚封边，采用油墨、耐晒、耐黄变不褪色。人造板贴边条：检测依据符合GB 28481-2012《塑料家具中有害物质限量》标准。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功能特征：门内层板活动且高度可调，底部配有塑料调节脚防水功能且视觉效果具备悬浮感，高度上下调节（规格：80*80*25/45mm，升降20mm，方便安装及降低对场地的要求），斜边式拉手代替原有五金拉手更显简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5、五金件：采用优质缓冲门铰、导轨、锁等。锁：检测依据符合GB/T 3325-2017《金属家具通用技术条件》、GB 21556-2008《锁具通用安全技术条件》标准，采用阻尼铰链，质量符合QB/T 2189-2013 ，其中耐久性测试80000次；家具锁，电镀件外露表面经18h的中性盐雾试验（QB/T 3826-1999）后，外观评级≥9级，表面无锈蚀痕迹、鼓泡、开裂、毛刺、露底。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6、胶粘剂：采用优质环保封边热熔胶。封边热熔胶：判定依据符合GB 18583-2008《室内装饰装修材料 胶粘剂中有害物质限量》（溶剂型其他类胶粘剂）标准。</w:t>
            </w:r>
          </w:p>
        </w:tc>
        <w:tc>
          <w:tcPr>
            <w:tcW w:w="43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木纹色柜体，白色门板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双人衣柜</w:t>
            </w:r>
          </w:p>
        </w:tc>
        <w:tc>
          <w:tcPr>
            <w:tcW w:w="3904" w:type="pct"/>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430"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2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双人学习桌</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台面基材：选用E0级实木颗粒板，质量符合GB/T15102-2017《浸渍胶膜纸饰面纤维板和实木颗粒板》、GB/T39600-2021《人造板及其制品甲醛释放量分级》E0级及以上标准，甲醛释放量≤0.02mg/m³ ；总挥发性化合物（TVOC）释放率≤0.08mg/（㎡.h）（72H）；抗弯力强，不易变形,台面板为25MM厚度。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2、封边：同色加厚封边，采用油墨、耐晒、耐黄变不褪色。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3、饰面：采用树脂浸渍纸（MFC）贴面，原纸净含量为130g,不透底、防污、耐磨，哑光饰面工艺比同行饰面更高端大气。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4、钢架：钢脚用3.0mm钢板 59.75°折弯（折弯公差+0.25），珊瑚红色装饰条采用1.2mm铝型材，调节脚ABS塑料，颜色黑色，可调节高度0-15mm，堵头ABS塑料，可选配带logo，连接杆采用30*60*1.5，连接件为开模配件，精准度和稳定性非常好，安装便捷，性价比高。钢脚使用一级冷轧钢板成型，表面采用静电粉沫喷涂处理，粉末喷涂是一种新型涂料，它具有无公害、无污染、强度高、耐腐、耐酸、耐碱、耐盐、耐油等性能。检测依据符合GB/T 3325-2017《金属家具通用技术条件》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5、桌面中间一个集成线盒，2个网络+4个插座。</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6、产品：检测依据符合GB/T 35607-2017《绿色产品评价 家具》、GB/T 10357.2-2013《家具力学性能试验》。</w:t>
            </w:r>
          </w:p>
        </w:tc>
        <w:tc>
          <w:tcPr>
            <w:tcW w:w="4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白色桌面，白色钢脚，珊瑚红装饰条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学习椅</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红色座、背采用通风孔设计，彻底解决用户起身塑胶椅座位后的不雅汗渍，通风孔之间的链接使得座、背面内部有张力和弹力，更加舒适；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2、椅背顶部弧面弯曲，为方便使用者搭手臂，与侧面人员交流，椅背中下方内凹，为臀部腾出后屈空间，并且顶住用户腰椎位置，提供良好坐姿；座面中后部有凸起曲面，确保乘坐时符合人体曲线，不会前滑；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3、椅背中上位置设计有手提缺口位置，更加人性化，方便搬移；在不用时，椅子可以实现层叠堆放，节约现场面积；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4、实心椅架表面电镀处理，表面电镀通过24小时盐雾测试，椅架取消前端中置的横拉杆，增加用户腿部活动空间，改为椅架顶部拉杆下移，结构牢固，安全可靠；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5、椅子的塑胶采用全新尼龙料，更加坚固耐用，不会断裂；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6、椅子椅架底部使用螺栓锁住尼龙塑胶垫块，隔开金属与地面的摩擦，并且可以实现精确的并排锁定，在会场布置时，椅子摆放整齐划一；</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珊瑚红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5000" w:type="pct"/>
            <w:gridSpan w:val="4"/>
            <w:tcBorders>
              <w:tl2br w:val="nil"/>
              <w:tr2bl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沙龙（1间）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培训椅（含写字板）</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1、座、背采用通风孔设计，彻底解决用户起身塑胶椅座位后的不雅汗渍，通风孔之间的链接使得座、背面内部有张力和弹力，更加舒适；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2、椅背顶部弧面弯曲，为方便使用者搭手臂，与侧面人员交流，椅背中下方内凹，为臀部腾出后屈空间，并且顶住用户腰椎位置，提供良好坐姿；座面中后部有凸起曲面，确保乘坐时符合人体曲线，不会前滑；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3、椅背中上位置设计有手提缺口位置，更加人性化，方便搬移；在不用时，椅子可以实现层叠堆放，节约现场面积；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4、实心椅架表面电镀处理，表面电镀通过24小时盐雾测试，椅架取消前端中置的横拉杆，增加用户腿部活动空间，改为椅架顶部拉杆下移，结构牢固，安全可靠；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5、椅子的塑胶采用全新尼龙料，更加坚固耐用，不会断裂；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6、椅子椅架底部使用螺栓锁住尼龙塑胶垫块，隔开金属与地面的摩擦，并且可以实现精确的并排锁定，在会场布置时，椅子摆放整齐划一；</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颜色待校方确认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5000" w:type="pct"/>
            <w:gridSpan w:val="4"/>
            <w:tcBorders>
              <w:tl2br w:val="nil"/>
              <w:tr2bl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讨论室（11间）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洽谈桌</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台面基材：选用E0级实木颗粒板，质量符合GB/T15102-2017《浸渍胶膜纸饰面纤维板和实木颗粒板》、GB/T39600-2021《人造板及其制品甲醛释放量分级》E0级及以上标准，甲醛释放量≤0.02mg/m³ ；总挥发性化合物（TVOC）释放率≤0.08mg/（㎡.h）（72H）；抗弯力强，不易变形,台面板为25MM厚度。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2、封边：同色加厚封边，采用油墨、耐晒、耐黄变不褪色。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3、饰面：采用树脂浸渍纸（MFC）贴面，原纸净含量为130g,不透底、防污、耐磨，哑光饰面工艺比同行饰面更高端大气。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4、钢架：钢脚用3.0mm钢板 59.75°折弯（折弯公差+0.25），装饰条采用1.2mm铝型材，调节脚ABS塑料，颜色黑色，可调节高度0-15mm，堵头ABS塑料，可选配带logo，连接杆采用30*60*1.5，连接件为开模配件，精准度和稳定性非常好，安装便捷，性价比高。钢脚使用一级冷轧钢板成型，表面采用静电粉沫喷涂处理，粉末喷涂是一种新型涂料，它具有无公害、无污染、强度高、耐腐、耐酸、耐碱、耐盐、耐油等性能。检测依据符合GB/T 3325-2017《金属家具通用技术条件》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5、台面为整块，两根30*60连接杆桌面中间一个多功能线盒。</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6、产品：检测依据符合GB/T 35607-2017《绿色产品评价 家具》、GB/T 10357.2-2013《家具力学性能试验》。</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白色桌面，白色钢脚，珊瑚红装饰条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5"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洽谈椅</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1、座、背采用通风孔设计，彻底解决用户起身塑胶椅座位后的不雅汗渍，通风孔之间的链接使得座、背面内部有张力和弹力，更加舒适；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2、椅背顶部弧面弯曲，为方便使用者搭手臂，与侧面人员交流，椅背中下方内凹，为臀部腾出后屈空间，并且顶住用户腰椎位置，提供良好坐姿；座面中后部有凸起曲面，确保乘坐时符合人体曲线，不会前滑；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3、椅背中上位置设计有手提缺口位置，更加人性化，方便搬移；在不用时，椅子可以实现层叠堆放，节约现场面积；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4、实心椅架表面电镀处理，表面电镀通过24小时盐雾测试，椅架取消前端中置的横拉杆，增加用户腿部活动空间，改为椅架顶部拉杆下移，结构牢固，安全可靠；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5、椅子的塑胶采用全新尼龙料，更加坚固耐用，不会断裂；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6、椅子椅架底部使用螺栓锁住尼龙塑胶垫块，隔开金属与地面的摩擦，并且可以实现精确的并排锁定，在会场布置时，椅子摆放整齐划一；</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颜色待校方确认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5000" w:type="pct"/>
            <w:gridSpan w:val="4"/>
            <w:tcBorders>
              <w:tl2br w:val="nil"/>
              <w:tr2bl w:val="nil"/>
            </w:tcBorders>
            <w:shd w:val="clear" w:color="auto" w:fill="D9D9D9"/>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公区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1"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方沙发</w:t>
            </w:r>
          </w:p>
        </w:tc>
        <w:tc>
          <w:tcPr>
            <w:tcW w:w="3904"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1、面料：采用优质布艺饰面，绒布色泽亮丽、多样、阻燃、防污、耐磨性强；检测依据符合GB 18401-2010《国家纺织产品基本安全技术规范》、GB 17927.1-2011《软体家具 床垫和沙发 抗引燃特性的评定 第1部分：阴燃的香烟》标准。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2、框架：靠背采用优质环保12mm曲木板，整体木框采用优质松木，经过熏蒸、防虫处理、无明显疤结。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3、海棉：符合GB/T 10802-2006《通用软质聚醚型聚氨酯泡沫塑料》，回弹率≥40%；触感柔软有弹性，包裹层次感更强。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4、结构：采用高密度橡胶绷带，5公分宽橡筋,有效提升坐感，使弹簧均匀受力；蛇形弹簧联轴，直径3.8mm的拱簧，弹性好，全面提升坐感, 高承重力，长久使用不变形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5、五金磨砂高脚：加高金属脚，160mm离地高度，让清洁更便利。</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颜色待校方确认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1"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长沙发(左靠背)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【提供样品】</w:t>
            </w:r>
          </w:p>
        </w:tc>
        <w:tc>
          <w:tcPr>
            <w:tcW w:w="3904" w:type="pct"/>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颜色待校方确认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长沙发(右靠背)</w:t>
            </w:r>
          </w:p>
        </w:tc>
        <w:tc>
          <w:tcPr>
            <w:tcW w:w="3904" w:type="pct"/>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颜色待校方确认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三角沙发</w:t>
            </w:r>
          </w:p>
        </w:tc>
        <w:tc>
          <w:tcPr>
            <w:tcW w:w="3904"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1、面料：采用优质布艺饰面，绒布色泽亮丽、多样、阻燃、防污、耐磨性强；检测依据符合GB 18401-2010《国家纺织产品基本安全技术规范》、GB 17927.1-2011《软体家具 床垫和沙发 抗引燃特性的评定 第1部分：阴燃的香烟》标准。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2、框架：靠背采用优质环保12mm曲木板，整体木框采用优质松木，经过熏蒸、防虫处理、无明显疤结。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3、海棉：符合GB/T 10802-2006《通用软质聚醚型聚氨酯泡沫塑料》，回弹率≥40%；触感柔软有弹性，包裹层次感更强。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4、结构：采用高密度橡胶绷带，5公分宽橡筋,有效提升坐感，使弹簧均匀受力；蛇形弹簧联轴，直径3.8mm的拱簧，弹性好，全面提升坐感, 高承重力，长久使用不变形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5、五金磨砂高脚：加高金属脚，160mm离地高度，让清洁更便利。</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颜色待校方确认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长沙发(左扶手)</w:t>
            </w:r>
          </w:p>
        </w:tc>
        <w:tc>
          <w:tcPr>
            <w:tcW w:w="3904" w:type="pct"/>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颜色待校方确认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1"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长沙发(右扶手)</w:t>
            </w:r>
          </w:p>
        </w:tc>
        <w:tc>
          <w:tcPr>
            <w:tcW w:w="3904" w:type="pct"/>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颜色待校方确认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单人沙发</w:t>
            </w:r>
          </w:p>
        </w:tc>
        <w:tc>
          <w:tcPr>
            <w:tcW w:w="3904"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1、面料：采用优质布艺饰面，绒布色泽亮丽、多样、阻燃、防污、耐磨性强；检测依据符合GB 18401-2010《国家纺织产品基本安全技术规范》、GB 17927.1-2011《软体家具 床垫和沙发 抗引燃特性的评定 第1部分：阴燃的香烟》标准。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2、框架：靠背采用优质环保12mm曲木板，整体木框采用优质松木，经过熏蒸、防虫处理、无明显疤结。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3、海棉：符合GB/T 10802-2006《通用软质聚醚型聚氨酯泡沫塑料》，回弹率≥40%；触感柔软有弹性，包裹层次感更强。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4、结构：采用高密度橡胶绷带，5公分宽橡筋,有效提升坐感，使弹簧均匀受力；蛇形弹簧联轴，直径3.8mm的拱簧，弹性好，全面提升坐感, 高承重力，长久使用不变形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5、五金磨砂高脚：加高金属脚，160mm离地高度，让清洁更便利。</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颜色待校方确认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不倒翁</w:t>
            </w:r>
          </w:p>
        </w:tc>
        <w:tc>
          <w:tcPr>
            <w:tcW w:w="3904" w:type="pct"/>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颜色待校方确认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0" w:hRule="atLeast"/>
        </w:trPr>
        <w:tc>
          <w:tcPr>
            <w:tcW w:w="19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4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方茶几</w:t>
            </w:r>
          </w:p>
        </w:tc>
        <w:tc>
          <w:tcPr>
            <w:tcW w:w="3904"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1、台面基材：选用E0级实木颗粒板，质量符合GB/T15102-2017《浸渍胶膜纸饰面纤维板和实木颗粒板》、GB/T39600-2021《人造板及其制品甲醛释放量分级》E0级及以上标准，甲醛释放量≤0.02mg/m³ ；总挥发性化合物（TVOC）释放率≤0.08mg/（㎡.h）（72H）；抗弯力强，不易变形,台面板为25MM厚度，贴面：采用树脂浸渍纸（MFC）贴面，防火，并具阻燃、耐磨性强、清洁方便等特点；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2、封边：同色加厚封边，采用油墨、耐晒、耐黄变不褪色。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3、饰面：采用树脂浸渍纸（MFC）贴面，原纸净含量为130g,不透底、防污、耐磨，哑光饰面工艺比同行饰面更高端大气。标配带双USB电源插座和国标电源适配器（标配带双USB电源插座和国标电源适配器）。</w:t>
            </w:r>
          </w:p>
        </w:tc>
        <w:tc>
          <w:tcPr>
            <w:tcW w:w="43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木纹色台面</w:t>
            </w:r>
          </w:p>
        </w:tc>
      </w:tr>
    </w:tbl>
    <w:p>
      <w:pPr>
        <w:widowControl/>
        <w:numPr>
          <w:ilvl w:val="0"/>
          <w:numId w:val="41"/>
        </w:numPr>
        <w:tabs>
          <w:tab w:val="left" w:pos="540"/>
        </w:tabs>
        <w:spacing w:line="440" w:lineRule="exact"/>
        <w:ind w:firstLine="417" w:firstLineChars="189"/>
        <w:rPr>
          <w:rFonts w:hint="eastAsia" w:ascii="宋体" w:hAnsi="宋体" w:eastAsia="宋体" w:cs="Arial"/>
          <w:b/>
          <w:bCs/>
          <w:color w:val="auto"/>
          <w:sz w:val="22"/>
          <w:szCs w:val="22"/>
          <w:highlight w:val="none"/>
        </w:rPr>
      </w:pPr>
      <w:r>
        <w:rPr>
          <w:rFonts w:hint="eastAsia" w:ascii="宋体" w:hAnsi="宋体" w:eastAsia="宋体" w:cs="Arial"/>
          <w:b/>
          <w:bCs/>
          <w:color w:val="auto"/>
          <w:sz w:val="22"/>
          <w:szCs w:val="22"/>
          <w:highlight w:val="none"/>
        </w:rPr>
        <w:t>样品</w:t>
      </w:r>
    </w:p>
    <w:p>
      <w:pPr>
        <w:tabs>
          <w:tab w:val="left" w:pos="900"/>
        </w:tabs>
        <w:autoSpaceDE w:val="0"/>
        <w:autoSpaceDN w:val="0"/>
        <w:adjustRightInd w:val="0"/>
        <w:snapToGrid w:val="0"/>
        <w:spacing w:line="460" w:lineRule="exact"/>
        <w:ind w:left="900"/>
        <w:textAlignment w:val="bottom"/>
        <w:rPr>
          <w:rFonts w:ascii="宋体" w:hAnsi="宋体"/>
          <w:color w:val="auto"/>
          <w:sz w:val="22"/>
          <w:szCs w:val="22"/>
          <w:highlight w:val="none"/>
        </w:rPr>
      </w:pPr>
      <w:r>
        <w:rPr>
          <w:rFonts w:hint="eastAsia" w:ascii="宋体" w:hAnsi="宋体"/>
          <w:color w:val="auto"/>
          <w:sz w:val="22"/>
          <w:szCs w:val="22"/>
          <w:highlight w:val="none"/>
          <w:lang w:val="en-US" w:eastAsia="zh-CN"/>
        </w:rPr>
        <w:t>投标人</w:t>
      </w:r>
      <w:r>
        <w:rPr>
          <w:rFonts w:hint="eastAsia" w:ascii="宋体" w:hAnsi="宋体"/>
          <w:color w:val="auto"/>
          <w:sz w:val="22"/>
          <w:szCs w:val="22"/>
          <w:highlight w:val="none"/>
        </w:rPr>
        <w:t>须按需求规格提供以下清单一套样品：</w:t>
      </w:r>
    </w:p>
    <w:tbl>
      <w:tblPr>
        <w:tblStyle w:val="62"/>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623"/>
        <w:gridCol w:w="2329"/>
        <w:gridCol w:w="1758"/>
        <w:gridCol w:w="1396"/>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序号</w:t>
            </w:r>
          </w:p>
        </w:tc>
        <w:tc>
          <w:tcPr>
            <w:tcW w:w="2010" w:type="pct"/>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名称</w:t>
            </w:r>
          </w:p>
        </w:tc>
        <w:tc>
          <w:tcPr>
            <w:tcW w:w="894"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规格尺寸（cm）</w:t>
            </w:r>
          </w:p>
        </w:tc>
        <w:tc>
          <w:tcPr>
            <w:tcW w:w="710"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数量</w:t>
            </w:r>
          </w:p>
        </w:tc>
        <w:tc>
          <w:tcPr>
            <w:tcW w:w="942"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43" w:type="pct"/>
            <w:vMerge w:val="restart"/>
            <w:tcBorders>
              <w:top w:val="single" w:color="auto" w:sz="4" w:space="0"/>
              <w:left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825" w:type="pct"/>
            <w:vMerge w:val="restart"/>
            <w:tcBorders>
              <w:top w:val="single" w:color="auto" w:sz="4" w:space="0"/>
              <w:left w:val="nil"/>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单人间-床</w:t>
            </w:r>
          </w:p>
        </w:tc>
        <w:tc>
          <w:tcPr>
            <w:tcW w:w="1184"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基材-环保多层板</w:t>
            </w:r>
          </w:p>
        </w:tc>
        <w:tc>
          <w:tcPr>
            <w:tcW w:w="894"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约30*30</w:t>
            </w:r>
          </w:p>
        </w:tc>
        <w:tc>
          <w:tcPr>
            <w:tcW w:w="710"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1块</w:t>
            </w:r>
          </w:p>
        </w:tc>
        <w:tc>
          <w:tcPr>
            <w:tcW w:w="942"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3" w:type="pct"/>
            <w:vMerge w:val="continue"/>
            <w:tcBorders>
              <w:left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p>
        </w:tc>
        <w:tc>
          <w:tcPr>
            <w:tcW w:w="825" w:type="pct"/>
            <w:vMerge w:val="continue"/>
            <w:tcBorders>
              <w:left w:val="nil"/>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p>
        </w:tc>
        <w:tc>
          <w:tcPr>
            <w:tcW w:w="1184"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抽屉面板</w:t>
            </w:r>
          </w:p>
        </w:tc>
        <w:tc>
          <w:tcPr>
            <w:tcW w:w="894"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约30*30</w:t>
            </w:r>
          </w:p>
        </w:tc>
        <w:tc>
          <w:tcPr>
            <w:tcW w:w="710"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1块</w:t>
            </w:r>
          </w:p>
        </w:tc>
        <w:tc>
          <w:tcPr>
            <w:tcW w:w="942"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留一侧不封边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3" w:type="pct"/>
            <w:vMerge w:val="continue"/>
            <w:tcBorders>
              <w:left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p>
        </w:tc>
        <w:tc>
          <w:tcPr>
            <w:tcW w:w="825" w:type="pct"/>
            <w:vMerge w:val="continue"/>
            <w:tcBorders>
              <w:left w:val="nil"/>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p>
        </w:tc>
        <w:tc>
          <w:tcPr>
            <w:tcW w:w="1184"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床靠背板</w:t>
            </w:r>
          </w:p>
        </w:tc>
        <w:tc>
          <w:tcPr>
            <w:tcW w:w="894"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约30*30</w:t>
            </w:r>
          </w:p>
        </w:tc>
        <w:tc>
          <w:tcPr>
            <w:tcW w:w="710"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1块</w:t>
            </w:r>
          </w:p>
        </w:tc>
        <w:tc>
          <w:tcPr>
            <w:tcW w:w="942"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留一侧不封边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3" w:type="pct"/>
            <w:vMerge w:val="continue"/>
            <w:tcBorders>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p>
        </w:tc>
        <w:tc>
          <w:tcPr>
            <w:tcW w:w="825" w:type="pct"/>
            <w:vMerge w:val="continue"/>
            <w:tcBorders>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p>
        </w:tc>
        <w:tc>
          <w:tcPr>
            <w:tcW w:w="1184"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五金件</w:t>
            </w:r>
          </w:p>
        </w:tc>
        <w:tc>
          <w:tcPr>
            <w:tcW w:w="894"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710"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1套</w:t>
            </w:r>
          </w:p>
        </w:tc>
        <w:tc>
          <w:tcPr>
            <w:tcW w:w="942"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2010" w:type="pct"/>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单人间-床垫</w:t>
            </w:r>
          </w:p>
        </w:tc>
        <w:tc>
          <w:tcPr>
            <w:tcW w:w="894"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约30*30</w:t>
            </w:r>
          </w:p>
        </w:tc>
        <w:tc>
          <w:tcPr>
            <w:tcW w:w="710"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1块</w:t>
            </w:r>
          </w:p>
        </w:tc>
        <w:tc>
          <w:tcPr>
            <w:tcW w:w="942"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立面1/4剖体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2010" w:type="pct"/>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单人间-</w:t>
            </w:r>
            <w:r>
              <w:rPr>
                <w:rFonts w:hint="eastAsia" w:ascii="宋体" w:hAnsi="宋体" w:cs="宋体"/>
                <w:i w:val="0"/>
                <w:iCs w:val="0"/>
                <w:color w:val="auto"/>
                <w:kern w:val="0"/>
                <w:sz w:val="22"/>
                <w:szCs w:val="22"/>
                <w:highlight w:val="none"/>
                <w:u w:val="none"/>
                <w:lang w:val="en-US" w:eastAsia="zh-CN" w:bidi="ar"/>
              </w:rPr>
              <w:t>书柜桌</w:t>
            </w:r>
          </w:p>
        </w:tc>
        <w:tc>
          <w:tcPr>
            <w:tcW w:w="894"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1400*550*2280</w:t>
            </w:r>
          </w:p>
        </w:tc>
        <w:tc>
          <w:tcPr>
            <w:tcW w:w="710"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1套</w:t>
            </w:r>
          </w:p>
        </w:tc>
        <w:tc>
          <w:tcPr>
            <w:tcW w:w="942"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2010" w:type="pct"/>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单人间-学习椅</w:t>
            </w:r>
          </w:p>
        </w:tc>
        <w:tc>
          <w:tcPr>
            <w:tcW w:w="894"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710"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1张</w:t>
            </w:r>
          </w:p>
        </w:tc>
        <w:tc>
          <w:tcPr>
            <w:tcW w:w="942"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w:t>
            </w:r>
          </w:p>
        </w:tc>
        <w:tc>
          <w:tcPr>
            <w:tcW w:w="2010" w:type="pct"/>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公区-长沙发(左靠背)</w:t>
            </w:r>
          </w:p>
        </w:tc>
        <w:tc>
          <w:tcPr>
            <w:tcW w:w="894"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p>
        </w:tc>
        <w:tc>
          <w:tcPr>
            <w:tcW w:w="710"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1套</w:t>
            </w:r>
          </w:p>
        </w:tc>
        <w:tc>
          <w:tcPr>
            <w:tcW w:w="942" w:type="pct"/>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400" w:lineRule="exact"/>
              <w:jc w:val="center"/>
              <w:textAlignment w:val="bottom"/>
              <w:rPr>
                <w:rFonts w:hint="eastAsia" w:ascii="宋体" w:hAnsi="宋体" w:eastAsia="宋体" w:cs="宋体"/>
                <w:i w:val="0"/>
                <w:iCs w:val="0"/>
                <w:color w:val="auto"/>
                <w:kern w:val="0"/>
                <w:sz w:val="22"/>
                <w:szCs w:val="22"/>
                <w:highlight w:val="none"/>
                <w:u w:val="none"/>
                <w:lang w:val="en-US" w:eastAsia="zh-CN" w:bidi="ar"/>
              </w:rPr>
            </w:pPr>
          </w:p>
        </w:tc>
      </w:tr>
    </w:tbl>
    <w:p>
      <w:pPr>
        <w:numPr>
          <w:ilvl w:val="2"/>
          <w:numId w:val="44"/>
        </w:numPr>
        <w:tabs>
          <w:tab w:val="left" w:pos="900"/>
          <w:tab w:val="clear" w:pos="1260"/>
        </w:tabs>
        <w:autoSpaceDE w:val="0"/>
        <w:autoSpaceDN w:val="0"/>
        <w:adjustRightInd w:val="0"/>
        <w:snapToGrid w:val="0"/>
        <w:spacing w:line="460" w:lineRule="exact"/>
        <w:ind w:left="900" w:hanging="540"/>
        <w:textAlignment w:val="bottom"/>
        <w:rPr>
          <w:rFonts w:hint="eastAsia" w:ascii="宋体" w:hAnsi="宋体" w:cs="Times New Roman"/>
          <w:b/>
          <w:bCs/>
          <w:color w:val="auto"/>
          <w:sz w:val="22"/>
          <w:szCs w:val="22"/>
          <w:highlight w:val="none"/>
        </w:rPr>
      </w:pPr>
      <w:r>
        <w:rPr>
          <w:rFonts w:hint="eastAsia" w:ascii="宋体" w:hAnsi="宋体"/>
          <w:b/>
          <w:bCs/>
          <w:color w:val="auto"/>
          <w:sz w:val="22"/>
          <w:szCs w:val="22"/>
          <w:highlight w:val="none"/>
        </w:rPr>
        <w:t>投标样品上须标注</w:t>
      </w:r>
      <w:r>
        <w:rPr>
          <w:rFonts w:hint="eastAsia" w:ascii="宋体" w:hAnsi="宋体"/>
          <w:b/>
          <w:bCs/>
          <w:color w:val="auto"/>
          <w:sz w:val="22"/>
          <w:szCs w:val="22"/>
          <w:highlight w:val="none"/>
          <w:lang w:val="en-US" w:eastAsia="zh-CN"/>
        </w:rPr>
        <w:t>投标人</w:t>
      </w:r>
      <w:r>
        <w:rPr>
          <w:rFonts w:hint="eastAsia" w:ascii="宋体" w:hAnsi="宋体" w:cs="Times New Roman"/>
          <w:b/>
          <w:bCs/>
          <w:color w:val="auto"/>
          <w:sz w:val="22"/>
          <w:szCs w:val="22"/>
          <w:highlight w:val="none"/>
        </w:rPr>
        <w:t>名称。投标样品请于开标当日7:30至投标文件递交截止时间前，安装好放置于温州市民中心A座东侧一楼“样品间”，保管责任由投标人自负</w:t>
      </w:r>
      <w:r>
        <w:rPr>
          <w:rFonts w:hint="eastAsia" w:ascii="宋体" w:hAnsi="宋体" w:cs="Times New Roman"/>
          <w:b/>
          <w:bCs/>
          <w:color w:val="auto"/>
          <w:sz w:val="22"/>
          <w:szCs w:val="22"/>
          <w:highlight w:val="none"/>
          <w:lang w:eastAsia="zh-CN"/>
        </w:rPr>
        <w:t>，</w:t>
      </w:r>
      <w:r>
        <w:rPr>
          <w:rFonts w:hint="eastAsia" w:ascii="宋体" w:hAnsi="宋体" w:cs="Times New Roman"/>
          <w:b/>
          <w:bCs/>
          <w:color w:val="auto"/>
          <w:sz w:val="22"/>
          <w:szCs w:val="22"/>
          <w:highlight w:val="none"/>
        </w:rPr>
        <w:t>逾期送达将予以拒收。</w:t>
      </w:r>
    </w:p>
    <w:p>
      <w:pPr>
        <w:numPr>
          <w:ilvl w:val="2"/>
          <w:numId w:val="44"/>
        </w:numPr>
        <w:tabs>
          <w:tab w:val="left" w:pos="900"/>
          <w:tab w:val="clear" w:pos="1260"/>
        </w:tabs>
        <w:autoSpaceDE w:val="0"/>
        <w:autoSpaceDN w:val="0"/>
        <w:adjustRightInd w:val="0"/>
        <w:snapToGrid w:val="0"/>
        <w:spacing w:line="460" w:lineRule="exact"/>
        <w:ind w:left="900" w:hanging="540"/>
        <w:textAlignment w:val="bottom"/>
        <w:rPr>
          <w:rFonts w:ascii="宋体" w:hAnsi="宋体"/>
          <w:color w:val="auto"/>
          <w:sz w:val="22"/>
          <w:szCs w:val="22"/>
          <w:highlight w:val="none"/>
        </w:rPr>
      </w:pPr>
      <w:r>
        <w:rPr>
          <w:rFonts w:hint="eastAsia" w:ascii="宋体" w:hAnsi="宋体"/>
          <w:color w:val="auto"/>
          <w:sz w:val="22"/>
          <w:szCs w:val="22"/>
          <w:highlight w:val="none"/>
          <w:lang w:val="en-US" w:eastAsia="zh-CN"/>
        </w:rPr>
        <w:t>投标人</w:t>
      </w:r>
      <w:r>
        <w:rPr>
          <w:rFonts w:hint="eastAsia" w:ascii="宋体" w:hAnsi="宋体"/>
          <w:color w:val="auto"/>
          <w:sz w:val="22"/>
          <w:szCs w:val="22"/>
          <w:highlight w:val="none"/>
        </w:rPr>
        <w:t>在样品提交完成后可以离开现场，招标代理机构在评审结束后会通知各个</w:t>
      </w:r>
      <w:r>
        <w:rPr>
          <w:rFonts w:hint="eastAsia" w:ascii="宋体" w:hAnsi="宋体"/>
          <w:color w:val="auto"/>
          <w:sz w:val="22"/>
          <w:szCs w:val="22"/>
          <w:highlight w:val="none"/>
          <w:lang w:val="en-US" w:eastAsia="zh-CN"/>
        </w:rPr>
        <w:t>投标人</w:t>
      </w:r>
      <w:r>
        <w:rPr>
          <w:rFonts w:hint="eastAsia" w:ascii="宋体" w:hAnsi="宋体"/>
          <w:color w:val="auto"/>
          <w:sz w:val="22"/>
          <w:szCs w:val="22"/>
          <w:highlight w:val="none"/>
        </w:rPr>
        <w:t>取回投标样品。</w:t>
      </w:r>
    </w:p>
    <w:p>
      <w:pPr>
        <w:numPr>
          <w:ilvl w:val="2"/>
          <w:numId w:val="44"/>
        </w:numPr>
        <w:tabs>
          <w:tab w:val="left" w:pos="900"/>
          <w:tab w:val="clear" w:pos="1260"/>
        </w:tabs>
        <w:autoSpaceDE w:val="0"/>
        <w:autoSpaceDN w:val="0"/>
        <w:adjustRightInd w:val="0"/>
        <w:snapToGrid w:val="0"/>
        <w:spacing w:line="460" w:lineRule="exact"/>
        <w:ind w:left="900" w:hanging="540"/>
        <w:textAlignment w:val="bottom"/>
        <w:rPr>
          <w:rFonts w:ascii="宋体" w:hAnsi="宋体"/>
          <w:b/>
          <w:color w:val="auto"/>
          <w:sz w:val="22"/>
          <w:szCs w:val="22"/>
          <w:highlight w:val="none"/>
          <w:u w:val="single"/>
        </w:rPr>
      </w:pPr>
      <w:r>
        <w:rPr>
          <w:rFonts w:hint="eastAsia" w:ascii="宋体" w:hAnsi="宋体"/>
          <w:b/>
          <w:color w:val="auto"/>
          <w:sz w:val="22"/>
          <w:szCs w:val="22"/>
          <w:highlight w:val="none"/>
          <w:u w:val="single"/>
        </w:rPr>
        <w:t>未提供投标样品或未按</w:t>
      </w:r>
      <w:r>
        <w:rPr>
          <w:rFonts w:hint="eastAsia" w:ascii="宋体" w:hAnsi="宋体"/>
          <w:b/>
          <w:color w:val="auto"/>
          <w:sz w:val="22"/>
          <w:szCs w:val="22"/>
          <w:highlight w:val="none"/>
          <w:u w:val="single"/>
          <w:lang w:val="en-US" w:eastAsia="zh-CN"/>
        </w:rPr>
        <w:t>招标</w:t>
      </w:r>
      <w:r>
        <w:rPr>
          <w:rFonts w:hint="eastAsia" w:ascii="宋体" w:hAnsi="宋体"/>
          <w:b/>
          <w:color w:val="auto"/>
          <w:sz w:val="22"/>
          <w:szCs w:val="22"/>
          <w:highlight w:val="none"/>
          <w:u w:val="single"/>
          <w:lang w:eastAsia="zh-CN"/>
        </w:rPr>
        <w:t>文件</w:t>
      </w:r>
      <w:r>
        <w:rPr>
          <w:rFonts w:hint="eastAsia" w:ascii="宋体" w:hAnsi="宋体"/>
          <w:b/>
          <w:color w:val="auto"/>
          <w:sz w:val="22"/>
          <w:szCs w:val="22"/>
          <w:highlight w:val="none"/>
          <w:u w:val="single"/>
        </w:rPr>
        <w:t>要求提供投标样品，</w:t>
      </w:r>
      <w:r>
        <w:rPr>
          <w:rFonts w:hint="eastAsia" w:ascii="宋体" w:hAnsi="宋体"/>
          <w:b/>
          <w:color w:val="auto"/>
          <w:sz w:val="22"/>
          <w:szCs w:val="22"/>
          <w:highlight w:val="none"/>
          <w:u w:val="single"/>
          <w:lang w:val="en-US" w:eastAsia="zh-CN"/>
        </w:rPr>
        <w:t>评标委员会</w:t>
      </w:r>
      <w:r>
        <w:rPr>
          <w:rFonts w:hint="eastAsia" w:ascii="宋体" w:hAnsi="宋体"/>
          <w:b/>
          <w:color w:val="auto"/>
          <w:sz w:val="22"/>
          <w:szCs w:val="22"/>
          <w:highlight w:val="none"/>
          <w:u w:val="single"/>
        </w:rPr>
        <w:t>可能对其作出不利评判</w:t>
      </w:r>
      <w:r>
        <w:rPr>
          <w:rFonts w:hint="eastAsia" w:ascii="宋体" w:hAnsi="宋体"/>
          <w:b/>
          <w:color w:val="auto"/>
          <w:sz w:val="22"/>
          <w:szCs w:val="22"/>
          <w:highlight w:val="none"/>
          <w:u w:val="single"/>
          <w:lang w:eastAsia="zh-CN"/>
        </w:rPr>
        <w:t>。</w:t>
      </w:r>
    </w:p>
    <w:p>
      <w:pPr>
        <w:numPr>
          <w:ilvl w:val="2"/>
          <w:numId w:val="44"/>
        </w:numPr>
        <w:tabs>
          <w:tab w:val="left" w:pos="900"/>
          <w:tab w:val="clear" w:pos="1260"/>
        </w:tabs>
        <w:autoSpaceDE w:val="0"/>
        <w:autoSpaceDN w:val="0"/>
        <w:adjustRightInd w:val="0"/>
        <w:snapToGrid w:val="0"/>
        <w:spacing w:line="460" w:lineRule="exact"/>
        <w:ind w:left="900" w:hanging="540"/>
        <w:textAlignment w:val="bottom"/>
        <w:rPr>
          <w:rFonts w:ascii="宋体" w:hAnsi="宋体"/>
          <w:b/>
          <w:color w:val="auto"/>
          <w:sz w:val="22"/>
          <w:szCs w:val="22"/>
          <w:highlight w:val="none"/>
          <w:u w:val="single"/>
        </w:rPr>
      </w:pPr>
      <w:r>
        <w:rPr>
          <w:rFonts w:hint="eastAsia" w:ascii="宋体" w:hAnsi="宋体"/>
          <w:b/>
          <w:color w:val="auto"/>
          <w:sz w:val="22"/>
          <w:szCs w:val="22"/>
          <w:highlight w:val="none"/>
          <w:u w:val="single"/>
          <w:lang w:val="en-US" w:eastAsia="zh-CN"/>
        </w:rPr>
        <w:t>评标委员会</w:t>
      </w:r>
      <w:r>
        <w:rPr>
          <w:rFonts w:hint="eastAsia" w:ascii="宋体" w:hAnsi="宋体"/>
          <w:b/>
          <w:color w:val="auto"/>
          <w:sz w:val="22"/>
          <w:szCs w:val="22"/>
          <w:highlight w:val="none"/>
          <w:u w:val="single"/>
        </w:rPr>
        <w:t>可能对其进行破坏性试验，</w:t>
      </w:r>
      <w:r>
        <w:rPr>
          <w:rFonts w:hint="eastAsia" w:ascii="宋体" w:hAnsi="宋体"/>
          <w:b/>
          <w:color w:val="auto"/>
          <w:sz w:val="22"/>
          <w:szCs w:val="22"/>
          <w:highlight w:val="none"/>
          <w:u w:val="single"/>
          <w:lang w:val="en-US" w:eastAsia="zh-CN"/>
        </w:rPr>
        <w:t>投标人</w:t>
      </w:r>
      <w:r>
        <w:rPr>
          <w:rFonts w:hint="eastAsia" w:ascii="宋体" w:hAnsi="宋体"/>
          <w:b/>
          <w:color w:val="auto"/>
          <w:sz w:val="22"/>
          <w:szCs w:val="22"/>
          <w:highlight w:val="none"/>
          <w:u w:val="single"/>
        </w:rPr>
        <w:t>自行承担样品费用。</w:t>
      </w:r>
      <w:r>
        <w:rPr>
          <w:rFonts w:hint="eastAsia" w:ascii="宋体" w:hAnsi="宋体"/>
          <w:b/>
          <w:color w:val="auto"/>
          <w:sz w:val="22"/>
          <w:szCs w:val="22"/>
          <w:highlight w:val="none"/>
          <w:u w:val="single"/>
          <w:lang w:val="en-US" w:eastAsia="zh-CN"/>
        </w:rPr>
        <w:t>成交</w:t>
      </w:r>
      <w:r>
        <w:rPr>
          <w:rFonts w:hint="eastAsia" w:ascii="宋体" w:hAnsi="宋体"/>
          <w:b/>
          <w:color w:val="auto"/>
          <w:sz w:val="22"/>
          <w:szCs w:val="22"/>
          <w:highlight w:val="none"/>
          <w:u w:val="single"/>
        </w:rPr>
        <w:t>样品由</w:t>
      </w:r>
      <w:r>
        <w:rPr>
          <w:rFonts w:hint="eastAsia" w:ascii="宋体" w:hAnsi="宋体"/>
          <w:b/>
          <w:color w:val="auto"/>
          <w:sz w:val="22"/>
          <w:szCs w:val="22"/>
          <w:highlight w:val="none"/>
          <w:u w:val="single"/>
          <w:lang w:val="en-US" w:eastAsia="zh-CN"/>
        </w:rPr>
        <w:t>采购</w:t>
      </w:r>
      <w:r>
        <w:rPr>
          <w:rFonts w:hint="eastAsia" w:ascii="宋体" w:hAnsi="宋体"/>
          <w:b/>
          <w:color w:val="auto"/>
          <w:sz w:val="22"/>
          <w:szCs w:val="22"/>
          <w:highlight w:val="none"/>
          <w:u w:val="single"/>
        </w:rPr>
        <w:t>人封存，并作为验收标准；未</w:t>
      </w:r>
      <w:r>
        <w:rPr>
          <w:rFonts w:hint="eastAsia" w:ascii="宋体" w:hAnsi="宋体"/>
          <w:b/>
          <w:color w:val="auto"/>
          <w:sz w:val="22"/>
          <w:szCs w:val="22"/>
          <w:highlight w:val="none"/>
          <w:u w:val="single"/>
          <w:lang w:val="en-US" w:eastAsia="zh-CN"/>
        </w:rPr>
        <w:t>成交</w:t>
      </w:r>
      <w:r>
        <w:rPr>
          <w:rFonts w:hint="eastAsia" w:ascii="宋体" w:hAnsi="宋体"/>
          <w:b/>
          <w:color w:val="auto"/>
          <w:sz w:val="22"/>
          <w:szCs w:val="22"/>
          <w:highlight w:val="none"/>
          <w:u w:val="single"/>
        </w:rPr>
        <w:t>样品在评</w:t>
      </w:r>
      <w:r>
        <w:rPr>
          <w:rFonts w:hint="eastAsia" w:ascii="宋体" w:hAnsi="宋体"/>
          <w:b/>
          <w:color w:val="auto"/>
          <w:sz w:val="22"/>
          <w:szCs w:val="22"/>
          <w:highlight w:val="none"/>
          <w:u w:val="single"/>
          <w:lang w:val="en-US" w:eastAsia="zh-CN"/>
        </w:rPr>
        <w:t>审</w:t>
      </w:r>
      <w:r>
        <w:rPr>
          <w:rFonts w:hint="eastAsia" w:ascii="宋体" w:hAnsi="宋体"/>
          <w:b/>
          <w:color w:val="auto"/>
          <w:sz w:val="22"/>
          <w:szCs w:val="22"/>
          <w:highlight w:val="none"/>
          <w:u w:val="single"/>
        </w:rPr>
        <w:t>结束后退还。</w:t>
      </w:r>
    </w:p>
    <w:p>
      <w:pPr>
        <w:numPr>
          <w:ilvl w:val="2"/>
          <w:numId w:val="44"/>
        </w:numPr>
        <w:tabs>
          <w:tab w:val="left" w:pos="900"/>
          <w:tab w:val="clear" w:pos="1260"/>
        </w:tabs>
        <w:autoSpaceDE w:val="0"/>
        <w:autoSpaceDN w:val="0"/>
        <w:adjustRightInd w:val="0"/>
        <w:snapToGrid w:val="0"/>
        <w:spacing w:line="460" w:lineRule="exact"/>
        <w:ind w:left="900" w:hanging="540"/>
        <w:textAlignment w:val="bottom"/>
        <w:rPr>
          <w:rFonts w:ascii="宋体" w:hAnsi="宋体"/>
          <w:color w:val="auto"/>
          <w:sz w:val="22"/>
          <w:szCs w:val="22"/>
          <w:highlight w:val="none"/>
        </w:rPr>
      </w:pPr>
      <w:r>
        <w:rPr>
          <w:rFonts w:hint="eastAsia" w:ascii="宋体" w:hAnsi="宋体"/>
          <w:color w:val="auto"/>
          <w:sz w:val="22"/>
          <w:szCs w:val="22"/>
          <w:highlight w:val="none"/>
          <w:lang w:val="en-US" w:eastAsia="zh-CN"/>
        </w:rPr>
        <w:t>中标候选人</w:t>
      </w:r>
      <w:r>
        <w:rPr>
          <w:rFonts w:hint="eastAsia" w:ascii="宋体" w:hAnsi="宋体"/>
          <w:color w:val="auto"/>
          <w:sz w:val="22"/>
          <w:szCs w:val="22"/>
          <w:highlight w:val="none"/>
        </w:rPr>
        <w:t>的实物样品送</w:t>
      </w:r>
      <w:r>
        <w:rPr>
          <w:rFonts w:hint="eastAsia" w:ascii="宋体" w:hAnsi="宋体"/>
          <w:color w:val="auto"/>
          <w:sz w:val="22"/>
          <w:szCs w:val="22"/>
          <w:highlight w:val="none"/>
          <w:lang w:val="en-US" w:eastAsia="zh-CN"/>
        </w:rPr>
        <w:t>采购</w:t>
      </w:r>
      <w:r>
        <w:rPr>
          <w:rFonts w:hint="eastAsia" w:ascii="宋体" w:hAnsi="宋体"/>
          <w:color w:val="auto"/>
          <w:sz w:val="22"/>
          <w:szCs w:val="22"/>
          <w:highlight w:val="none"/>
        </w:rPr>
        <w:t>人处保存，确定</w:t>
      </w:r>
      <w:r>
        <w:rPr>
          <w:rFonts w:hint="eastAsia" w:ascii="宋体" w:hAnsi="宋体"/>
          <w:color w:val="auto"/>
          <w:sz w:val="22"/>
          <w:szCs w:val="22"/>
          <w:highlight w:val="none"/>
          <w:lang w:val="en-US" w:eastAsia="zh-CN"/>
        </w:rPr>
        <w:t>中标候选人</w:t>
      </w:r>
      <w:r>
        <w:rPr>
          <w:rFonts w:hint="eastAsia" w:ascii="宋体" w:hAnsi="宋体"/>
          <w:color w:val="auto"/>
          <w:sz w:val="22"/>
          <w:szCs w:val="22"/>
          <w:highlight w:val="none"/>
        </w:rPr>
        <w:t>后，</w:t>
      </w:r>
      <w:r>
        <w:rPr>
          <w:rFonts w:hint="eastAsia" w:ascii="宋体" w:hAnsi="宋体"/>
          <w:color w:val="auto"/>
          <w:sz w:val="22"/>
          <w:szCs w:val="22"/>
          <w:highlight w:val="none"/>
          <w:lang w:val="en-US" w:eastAsia="zh-CN"/>
        </w:rPr>
        <w:t>中标候选人</w:t>
      </w:r>
      <w:r>
        <w:rPr>
          <w:rFonts w:hint="eastAsia" w:ascii="宋体" w:hAnsi="宋体"/>
          <w:color w:val="auto"/>
          <w:sz w:val="22"/>
          <w:szCs w:val="22"/>
          <w:highlight w:val="none"/>
        </w:rPr>
        <w:t>须保证供货产品质量不低于投标样品，如低于样品质量和</w:t>
      </w:r>
      <w:r>
        <w:rPr>
          <w:rFonts w:hint="eastAsia" w:ascii="宋体" w:hAnsi="宋体"/>
          <w:color w:val="auto"/>
          <w:sz w:val="22"/>
          <w:szCs w:val="22"/>
          <w:highlight w:val="none"/>
          <w:lang w:val="en-US" w:eastAsia="zh-CN"/>
        </w:rPr>
        <w:t>采购</w:t>
      </w:r>
      <w:r>
        <w:rPr>
          <w:rFonts w:hint="eastAsia" w:ascii="宋体" w:hAnsi="宋体"/>
          <w:color w:val="auto"/>
          <w:sz w:val="22"/>
          <w:szCs w:val="22"/>
          <w:highlight w:val="none"/>
        </w:rPr>
        <w:t>文件质量要求，</w:t>
      </w:r>
      <w:r>
        <w:rPr>
          <w:rFonts w:hint="eastAsia" w:ascii="宋体" w:hAnsi="宋体"/>
          <w:color w:val="auto"/>
          <w:sz w:val="22"/>
          <w:szCs w:val="22"/>
          <w:highlight w:val="none"/>
          <w:lang w:val="en-US" w:eastAsia="zh-CN"/>
        </w:rPr>
        <w:t>采购</w:t>
      </w:r>
      <w:r>
        <w:rPr>
          <w:rFonts w:hint="eastAsia" w:ascii="宋体" w:hAnsi="宋体"/>
          <w:color w:val="auto"/>
          <w:sz w:val="22"/>
          <w:szCs w:val="22"/>
          <w:highlight w:val="none"/>
        </w:rPr>
        <w:t>有权要求退货，调换合格的产品至</w:t>
      </w:r>
      <w:r>
        <w:rPr>
          <w:rFonts w:hint="eastAsia" w:ascii="宋体" w:hAnsi="宋体"/>
          <w:color w:val="auto"/>
          <w:sz w:val="22"/>
          <w:szCs w:val="22"/>
          <w:highlight w:val="none"/>
          <w:lang w:val="en-US" w:eastAsia="zh-CN"/>
        </w:rPr>
        <w:t>采购</w:t>
      </w:r>
      <w:r>
        <w:rPr>
          <w:rFonts w:hint="eastAsia" w:ascii="宋体" w:hAnsi="宋体"/>
          <w:color w:val="auto"/>
          <w:sz w:val="22"/>
          <w:szCs w:val="22"/>
          <w:highlight w:val="none"/>
        </w:rPr>
        <w:t>人满意为止，所产生的一切费用由</w:t>
      </w:r>
      <w:r>
        <w:rPr>
          <w:rFonts w:hint="eastAsia" w:ascii="宋体" w:hAnsi="宋体"/>
          <w:color w:val="auto"/>
          <w:sz w:val="22"/>
          <w:szCs w:val="22"/>
          <w:highlight w:val="none"/>
          <w:lang w:val="en-US" w:eastAsia="zh-CN"/>
        </w:rPr>
        <w:t>中标候选人</w:t>
      </w:r>
      <w:r>
        <w:rPr>
          <w:rFonts w:hint="eastAsia" w:ascii="宋体" w:hAnsi="宋体"/>
          <w:color w:val="auto"/>
          <w:sz w:val="22"/>
          <w:szCs w:val="22"/>
          <w:highlight w:val="none"/>
        </w:rPr>
        <w:t>自行承担。</w:t>
      </w:r>
    </w:p>
    <w:p>
      <w:pPr>
        <w:widowControl/>
        <w:numPr>
          <w:ilvl w:val="0"/>
          <w:numId w:val="41"/>
        </w:numPr>
        <w:tabs>
          <w:tab w:val="left" w:pos="540"/>
        </w:tabs>
        <w:spacing w:line="440" w:lineRule="exact"/>
        <w:ind w:firstLine="417" w:firstLineChars="189"/>
        <w:rPr>
          <w:rFonts w:hint="eastAsia" w:ascii="宋体" w:hAnsi="宋体" w:eastAsia="宋体" w:cs="Arial"/>
          <w:b/>
          <w:bCs/>
          <w:color w:val="auto"/>
          <w:sz w:val="22"/>
          <w:szCs w:val="22"/>
          <w:highlight w:val="none"/>
        </w:rPr>
      </w:pPr>
      <w:r>
        <w:rPr>
          <w:rFonts w:hint="eastAsia" w:ascii="宋体" w:hAnsi="宋体" w:eastAsia="宋体" w:cs="Arial"/>
          <w:b/>
          <w:bCs/>
          <w:color w:val="auto"/>
          <w:sz w:val="22"/>
          <w:szCs w:val="22"/>
          <w:highlight w:val="none"/>
        </w:rPr>
        <w:t>其他要求</w:t>
      </w:r>
    </w: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Pr>
        <w:widowControl/>
        <w:numPr>
          <w:ilvl w:val="0"/>
          <w:numId w:val="45"/>
        </w:numPr>
        <w:spacing w:line="420" w:lineRule="exact"/>
        <w:rPr>
          <w:rFonts w:ascii="宋体" w:hAnsi="宋体" w:cs="Arial"/>
          <w:color w:val="auto"/>
          <w:sz w:val="22"/>
          <w:szCs w:val="22"/>
          <w:highlight w:val="none"/>
        </w:rPr>
      </w:pPr>
      <w:bookmarkStart w:id="178" w:name="_Toc223716003"/>
      <w:bookmarkStart w:id="179" w:name="_Toc221423624"/>
      <w:bookmarkStart w:id="180" w:name="_Toc245722286"/>
      <w:bookmarkStart w:id="181" w:name="_Toc262105509"/>
      <w:bookmarkStart w:id="182" w:name="_Toc246261270"/>
      <w:bookmarkStart w:id="183" w:name="_Toc222114884"/>
      <w:bookmarkStart w:id="184" w:name="_Toc221356892"/>
      <w:bookmarkStart w:id="185" w:name="_Toc249758870"/>
      <w:bookmarkStart w:id="186" w:name="_Toc221374631"/>
      <w:bookmarkStart w:id="187" w:name="_Toc239145359"/>
      <w:bookmarkStart w:id="188" w:name="_Toc262049424"/>
      <w:bookmarkStart w:id="189" w:name="_Toc221356956"/>
      <w:bookmarkStart w:id="190" w:name="_Toc249758719"/>
      <w:bookmarkStart w:id="191" w:name="_Toc245191319"/>
      <w:bookmarkStart w:id="192" w:name="_Toc249758718"/>
      <w:bookmarkStart w:id="193" w:name="_Toc241404207"/>
      <w:r>
        <w:rPr>
          <w:rFonts w:hint="eastAsia" w:ascii="宋体" w:hAnsi="宋体" w:cs="Arial"/>
          <w:color w:val="auto"/>
          <w:sz w:val="22"/>
          <w:szCs w:val="22"/>
          <w:highlight w:val="none"/>
        </w:rPr>
        <w:t>本次采购所有设备类产品要求全部部件均为原厂原装，投标人所报价的所有设备需有产地证明、装箱清单、技术说明书等。</w:t>
      </w:r>
    </w:p>
    <w:p>
      <w:pPr>
        <w:widowControl/>
        <w:numPr>
          <w:ilvl w:val="0"/>
          <w:numId w:val="46"/>
        </w:numPr>
        <w:tabs>
          <w:tab w:val="left" w:pos="420"/>
        </w:tabs>
        <w:spacing w:line="420" w:lineRule="exact"/>
        <w:rPr>
          <w:rFonts w:ascii="宋体" w:hAnsi="宋体" w:cs="Arial"/>
          <w:b/>
          <w:bCs/>
          <w:color w:val="auto"/>
          <w:sz w:val="22"/>
          <w:szCs w:val="22"/>
          <w:highlight w:val="none"/>
        </w:rPr>
      </w:pPr>
      <w:r>
        <w:rPr>
          <w:rFonts w:hint="eastAsia" w:ascii="宋体" w:hAnsi="宋体" w:cs="Arial"/>
          <w:b/>
          <w:bCs/>
          <w:color w:val="auto"/>
          <w:sz w:val="22"/>
          <w:szCs w:val="22"/>
          <w:highlight w:val="none"/>
          <w:lang w:val="en-US" w:eastAsia="zh-CN"/>
        </w:rPr>
        <w:t>次采购货物的甲醛释放量必须符合国家相关标准。投标人在完成供货后，需委托有资质的第三方对供货现场做一次甲醛检测并出具相应的检测报告。费用由成交投标人承担，包含在本次投标报价内。</w:t>
      </w:r>
    </w:p>
    <w:p>
      <w:pPr>
        <w:widowControl/>
        <w:numPr>
          <w:ilvl w:val="0"/>
          <w:numId w:val="45"/>
        </w:numPr>
        <w:spacing w:line="420" w:lineRule="exact"/>
        <w:rPr>
          <w:rFonts w:ascii="宋体" w:hAnsi="宋体" w:cs="Arial"/>
          <w:b/>
          <w:bCs/>
          <w:color w:val="auto"/>
          <w:sz w:val="22"/>
          <w:szCs w:val="22"/>
          <w:highlight w:val="none"/>
        </w:rPr>
      </w:pPr>
      <w:r>
        <w:rPr>
          <w:rFonts w:hint="eastAsia" w:ascii="宋体" w:hAnsi="宋体" w:cs="Arial"/>
          <w:b/>
          <w:bCs/>
          <w:color w:val="auto"/>
          <w:sz w:val="22"/>
          <w:szCs w:val="22"/>
          <w:highlight w:val="none"/>
          <w:lang w:val="en-US" w:eastAsia="zh-CN"/>
        </w:rPr>
        <w:t>中标人在现场安装时，如对现场造成破坏或损坏，必须按要求进行复原或赔偿。投标人须做好相关工作及成本计算。</w:t>
      </w:r>
    </w:p>
    <w:p>
      <w:pPr>
        <w:widowControl/>
        <w:numPr>
          <w:ilvl w:val="0"/>
          <w:numId w:val="45"/>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如采购内容及技术要求有所遗漏进而造成</w:t>
      </w:r>
      <w:r>
        <w:rPr>
          <w:rFonts w:hint="eastAsia" w:ascii="宋体" w:hAnsi="宋体" w:cs="Arial"/>
          <w:color w:val="auto"/>
          <w:sz w:val="22"/>
          <w:szCs w:val="22"/>
          <w:highlight w:val="none"/>
          <w:lang w:eastAsia="zh-CN"/>
        </w:rPr>
        <w:t>招标人</w:t>
      </w:r>
      <w:r>
        <w:rPr>
          <w:rFonts w:hint="eastAsia" w:ascii="宋体" w:hAnsi="宋体" w:cs="Arial"/>
          <w:color w:val="auto"/>
          <w:sz w:val="22"/>
          <w:szCs w:val="22"/>
          <w:highlight w:val="none"/>
        </w:rPr>
        <w:t>不能正常使用，投标人须免费提供以上配置清单所需的所有配件并承担项目实施中产生的相关费用；</w:t>
      </w:r>
    </w:p>
    <w:p>
      <w:pPr>
        <w:widowControl/>
        <w:numPr>
          <w:ilvl w:val="0"/>
          <w:numId w:val="45"/>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项目交货及完工进度保证</w:t>
      </w:r>
    </w:p>
    <w:p>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交货及完工周期要求：</w:t>
      </w:r>
      <w:r>
        <w:rPr>
          <w:rFonts w:hint="eastAsia" w:ascii="宋体" w:hAnsi="宋体"/>
          <w:b/>
          <w:color w:val="auto"/>
          <w:sz w:val="22"/>
          <w:szCs w:val="22"/>
          <w:highlight w:val="none"/>
        </w:rPr>
        <w:t>中标人需在接到招标人书面通知后，</w:t>
      </w:r>
      <w:r>
        <w:rPr>
          <w:rFonts w:hint="eastAsia" w:ascii="宋体" w:hAnsi="宋体"/>
          <w:b/>
          <w:color w:val="auto"/>
          <w:sz w:val="22"/>
          <w:szCs w:val="22"/>
          <w:highlight w:val="none"/>
          <w:lang w:val="en-US" w:eastAsia="zh-CN"/>
        </w:rPr>
        <w:t>60</w:t>
      </w:r>
      <w:r>
        <w:rPr>
          <w:rFonts w:hint="eastAsia" w:ascii="宋体" w:hAnsi="宋体"/>
          <w:b/>
          <w:color w:val="auto"/>
          <w:sz w:val="22"/>
          <w:szCs w:val="22"/>
          <w:highlight w:val="none"/>
        </w:rPr>
        <w:t>日历天内完成全部的供货、安装等</w:t>
      </w:r>
      <w:r>
        <w:rPr>
          <w:rFonts w:hint="eastAsia" w:ascii="宋体" w:hAnsi="宋体"/>
          <w:b/>
          <w:color w:val="auto"/>
          <w:sz w:val="22"/>
          <w:szCs w:val="22"/>
          <w:highlight w:val="none"/>
          <w:lang w:val="en-US" w:eastAsia="zh-CN"/>
        </w:rPr>
        <w:t>全部</w:t>
      </w:r>
      <w:r>
        <w:rPr>
          <w:rFonts w:hint="eastAsia" w:ascii="宋体" w:hAnsi="宋体"/>
          <w:b/>
          <w:color w:val="auto"/>
          <w:sz w:val="22"/>
          <w:szCs w:val="22"/>
          <w:highlight w:val="none"/>
        </w:rPr>
        <w:t>工作内容。</w:t>
      </w:r>
    </w:p>
    <w:p>
      <w:pPr>
        <w:spacing w:line="420" w:lineRule="exact"/>
        <w:ind w:left="420"/>
        <w:rPr>
          <w:rFonts w:hint="default" w:ascii="宋体" w:hAnsi="宋体" w:eastAsia="宋体" w:cs="Arial"/>
          <w:color w:val="auto"/>
          <w:sz w:val="22"/>
          <w:szCs w:val="22"/>
          <w:highlight w:val="none"/>
          <w:lang w:val="en-US" w:eastAsia="zh-CN"/>
        </w:rPr>
      </w:pPr>
      <w:r>
        <w:rPr>
          <w:rFonts w:ascii="宋体" w:hAnsi="宋体" w:cs="Arial"/>
          <w:color w:val="auto"/>
          <w:sz w:val="22"/>
          <w:szCs w:val="22"/>
          <w:highlight w:val="none"/>
        </w:rPr>
        <w:t>2）</w:t>
      </w:r>
      <w:r>
        <w:rPr>
          <w:rFonts w:hint="eastAsia" w:ascii="宋体" w:hAnsi="宋体" w:cs="Arial"/>
          <w:color w:val="auto"/>
          <w:sz w:val="22"/>
          <w:szCs w:val="22"/>
          <w:highlight w:val="none"/>
          <w:lang w:val="en-US" w:eastAsia="zh-CN"/>
        </w:rPr>
        <w:t>交货及安装地点要求：招标人指定地点。</w:t>
      </w:r>
    </w:p>
    <w:p>
      <w:pPr>
        <w:spacing w:line="420" w:lineRule="exact"/>
        <w:ind w:left="420"/>
        <w:rPr>
          <w:rFonts w:ascii="宋体" w:hAnsi="宋体" w:cs="Arial"/>
          <w:color w:val="auto"/>
          <w:sz w:val="22"/>
          <w:szCs w:val="22"/>
          <w:highlight w:val="none"/>
        </w:rPr>
      </w:pPr>
      <w:r>
        <w:rPr>
          <w:rFonts w:hint="eastAsia" w:ascii="宋体" w:hAnsi="宋体" w:cs="Arial"/>
          <w:color w:val="auto"/>
          <w:sz w:val="22"/>
          <w:szCs w:val="22"/>
          <w:highlight w:val="none"/>
          <w:lang w:val="en-US" w:eastAsia="zh-CN"/>
        </w:rPr>
        <w:t>3</w:t>
      </w:r>
      <w:r>
        <w:rPr>
          <w:rFonts w:ascii="宋体" w:hAnsi="宋体" w:cs="Arial"/>
          <w:color w:val="auto"/>
          <w:sz w:val="22"/>
          <w:szCs w:val="22"/>
          <w:highlight w:val="none"/>
        </w:rPr>
        <w:t>）</w:t>
      </w:r>
      <w:r>
        <w:rPr>
          <w:rFonts w:hint="eastAsia" w:ascii="宋体" w:hAnsi="宋体" w:cs="Arial"/>
          <w:color w:val="auto"/>
          <w:sz w:val="22"/>
          <w:szCs w:val="22"/>
          <w:highlight w:val="none"/>
        </w:rPr>
        <w:t>投标人须在投标文件技术标中针对本次采购制定详细的施工计划及供货安装计划，保证本次采购项目按时优质完成。</w:t>
      </w:r>
    </w:p>
    <w:p>
      <w:pPr>
        <w:widowControl/>
        <w:numPr>
          <w:ilvl w:val="0"/>
          <w:numId w:val="45"/>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提供资料要求</w:t>
      </w:r>
    </w:p>
    <w:p>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根据上表，需原厂质保证明的产品，须在合同签订前提供针对该项目的原厂售后服务承诺函原件，且与投标产品必须一致。</w:t>
      </w:r>
    </w:p>
    <w:p>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在中标并签定合同后，中标人应根据</w:t>
      </w:r>
      <w:r>
        <w:rPr>
          <w:rFonts w:hint="eastAsia" w:ascii="宋体" w:hAnsi="宋体" w:cs="Arial"/>
          <w:color w:val="auto"/>
          <w:sz w:val="22"/>
          <w:szCs w:val="22"/>
          <w:highlight w:val="none"/>
          <w:lang w:eastAsia="zh-CN"/>
        </w:rPr>
        <w:t>招标人</w:t>
      </w:r>
      <w:r>
        <w:rPr>
          <w:rFonts w:hint="eastAsia" w:ascii="宋体" w:hAnsi="宋体" w:cs="Arial"/>
          <w:color w:val="auto"/>
          <w:sz w:val="22"/>
          <w:szCs w:val="22"/>
          <w:highlight w:val="none"/>
        </w:rPr>
        <w:t>的要求，免费向</w:t>
      </w:r>
      <w:r>
        <w:rPr>
          <w:rFonts w:hint="eastAsia" w:ascii="宋体" w:hAnsi="宋体" w:cs="Arial"/>
          <w:color w:val="auto"/>
          <w:sz w:val="22"/>
          <w:szCs w:val="22"/>
          <w:highlight w:val="none"/>
          <w:lang w:eastAsia="zh-CN"/>
        </w:rPr>
        <w:t>招标人</w:t>
      </w:r>
      <w:r>
        <w:rPr>
          <w:rFonts w:hint="eastAsia" w:ascii="宋体" w:hAnsi="宋体" w:cs="Arial"/>
          <w:color w:val="auto"/>
          <w:sz w:val="22"/>
          <w:szCs w:val="22"/>
          <w:highlight w:val="none"/>
        </w:rPr>
        <w:t>提交详细的相关技术资料。</w:t>
      </w:r>
    </w:p>
    <w:p>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3）</w:t>
      </w:r>
      <w:r>
        <w:rPr>
          <w:rFonts w:hint="eastAsia" w:ascii="宋体" w:hAnsi="宋体" w:cs="Arial"/>
          <w:color w:val="auto"/>
          <w:sz w:val="22"/>
          <w:szCs w:val="22"/>
          <w:highlight w:val="none"/>
        </w:rPr>
        <w:t>在供货时，中标人须向</w:t>
      </w:r>
      <w:r>
        <w:rPr>
          <w:rFonts w:hint="eastAsia" w:ascii="宋体" w:hAnsi="宋体" w:cs="Arial"/>
          <w:color w:val="auto"/>
          <w:sz w:val="22"/>
          <w:szCs w:val="22"/>
          <w:highlight w:val="none"/>
          <w:lang w:eastAsia="zh-CN"/>
        </w:rPr>
        <w:t>招标人</w:t>
      </w:r>
      <w:r>
        <w:rPr>
          <w:rFonts w:hint="eastAsia" w:ascii="宋体" w:hAnsi="宋体" w:cs="Arial"/>
          <w:color w:val="auto"/>
          <w:sz w:val="22"/>
          <w:szCs w:val="22"/>
          <w:highlight w:val="none"/>
        </w:rPr>
        <w:t>提供产品的检验标准和检测报告、合格证书等。</w:t>
      </w:r>
    </w:p>
    <w:p>
      <w:pPr>
        <w:widowControl/>
        <w:numPr>
          <w:ilvl w:val="0"/>
          <w:numId w:val="45"/>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产品的检验</w:t>
      </w:r>
    </w:p>
    <w:p>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中标人须按</w:t>
      </w:r>
      <w:r>
        <w:rPr>
          <w:rFonts w:hint="eastAsia" w:ascii="宋体" w:hAnsi="宋体" w:cs="Arial"/>
          <w:color w:val="auto"/>
          <w:sz w:val="22"/>
          <w:szCs w:val="22"/>
          <w:highlight w:val="none"/>
          <w:lang w:eastAsia="zh-CN"/>
        </w:rPr>
        <w:t>招标人</w:t>
      </w:r>
      <w:r>
        <w:rPr>
          <w:rFonts w:hint="eastAsia" w:ascii="宋体" w:hAnsi="宋体" w:cs="Arial"/>
          <w:color w:val="auto"/>
          <w:sz w:val="22"/>
          <w:szCs w:val="22"/>
          <w:highlight w:val="none"/>
        </w:rPr>
        <w:t>的要求提供必要的技术数据和检验、试验报告。</w:t>
      </w:r>
    </w:p>
    <w:p>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2</w:t>
      </w:r>
      <w:r>
        <w:rPr>
          <w:rFonts w:ascii="宋体" w:hAnsi="宋体" w:cs="Arial"/>
          <w:b/>
          <w:color w:val="auto"/>
          <w:sz w:val="22"/>
          <w:szCs w:val="22"/>
          <w:highlight w:val="none"/>
          <w:u w:val="single"/>
        </w:rPr>
        <w:t>）</w:t>
      </w:r>
      <w:r>
        <w:rPr>
          <w:rFonts w:hint="eastAsia" w:ascii="宋体" w:hAnsi="宋体" w:cs="Arial"/>
          <w:color w:val="auto"/>
          <w:sz w:val="22"/>
          <w:szCs w:val="22"/>
          <w:highlight w:val="none"/>
        </w:rPr>
        <w:t>中标人应派员在产品到交货地进行到货验收。若发现任何损坏及质量问题，中标人应负责更换，并妥善处理直至</w:t>
      </w:r>
      <w:r>
        <w:rPr>
          <w:rFonts w:hint="eastAsia" w:ascii="宋体" w:hAnsi="宋体" w:cs="Arial"/>
          <w:color w:val="auto"/>
          <w:sz w:val="22"/>
          <w:szCs w:val="22"/>
          <w:highlight w:val="none"/>
          <w:lang w:eastAsia="zh-CN"/>
        </w:rPr>
        <w:t>招标人</w:t>
      </w:r>
      <w:r>
        <w:rPr>
          <w:rFonts w:hint="eastAsia" w:ascii="宋体" w:hAnsi="宋体" w:cs="Arial"/>
          <w:color w:val="auto"/>
          <w:sz w:val="22"/>
          <w:szCs w:val="22"/>
          <w:highlight w:val="none"/>
        </w:rPr>
        <w:t>满意，由此发生的一切费用由中标人负责承担。</w:t>
      </w:r>
    </w:p>
    <w:p>
      <w:pPr>
        <w:widowControl/>
        <w:numPr>
          <w:ilvl w:val="0"/>
          <w:numId w:val="45"/>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质量保证</w:t>
      </w:r>
    </w:p>
    <w:p>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ascii="宋体" w:hAnsi="宋体" w:cs="Arial"/>
          <w:b/>
          <w:color w:val="auto"/>
          <w:sz w:val="22"/>
          <w:szCs w:val="22"/>
          <w:highlight w:val="none"/>
        </w:rPr>
        <w:t>）</w:t>
      </w:r>
      <w:r>
        <w:rPr>
          <w:rFonts w:hint="eastAsia" w:ascii="宋体" w:hAnsi="宋体" w:cs="Arial"/>
          <w:b/>
          <w:color w:val="auto"/>
          <w:sz w:val="22"/>
          <w:szCs w:val="22"/>
          <w:highlight w:val="none"/>
        </w:rPr>
        <w:t>本项目器材提供免费质保期为</w:t>
      </w:r>
      <w:r>
        <w:rPr>
          <w:rFonts w:hint="eastAsia" w:ascii="宋体" w:hAnsi="宋体" w:cs="Arial"/>
          <w:b/>
          <w:color w:val="auto"/>
          <w:sz w:val="22"/>
          <w:szCs w:val="22"/>
          <w:highlight w:val="none"/>
          <w:lang w:val="en-US" w:eastAsia="zh-CN"/>
        </w:rPr>
        <w:t>5</w:t>
      </w:r>
      <w:r>
        <w:rPr>
          <w:rFonts w:hint="eastAsia" w:ascii="宋体" w:hAnsi="宋体" w:cs="Arial"/>
          <w:b/>
          <w:color w:val="auto"/>
          <w:sz w:val="22"/>
          <w:szCs w:val="22"/>
          <w:highlight w:val="none"/>
        </w:rPr>
        <w:t>年（</w:t>
      </w:r>
      <w:r>
        <w:rPr>
          <w:rFonts w:hint="eastAsia" w:ascii="宋体" w:hAnsi="宋体" w:cs="Arial"/>
          <w:b/>
          <w:color w:val="auto"/>
          <w:sz w:val="22"/>
          <w:szCs w:val="22"/>
          <w:highlight w:val="none"/>
          <w:lang w:val="en-US" w:eastAsia="zh-CN"/>
        </w:rPr>
        <w:t>60</w:t>
      </w:r>
      <w:r>
        <w:rPr>
          <w:rFonts w:hint="eastAsia" w:ascii="宋体" w:hAnsi="宋体" w:cs="Arial"/>
          <w:b/>
          <w:color w:val="auto"/>
          <w:sz w:val="22"/>
          <w:szCs w:val="22"/>
          <w:highlight w:val="none"/>
        </w:rPr>
        <w:t>个月），终身维护；原厂商若有更高的保修期以原厂商提供为准，并在投标文件中明确承诺。</w:t>
      </w:r>
    </w:p>
    <w:p>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提供24小时服务，而且维修人员需在接到维修电话后4小时内赶到现场，处理问题，提供不间断的服务直到结束。</w:t>
      </w:r>
    </w:p>
    <w:p>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3）</w:t>
      </w:r>
      <w:r>
        <w:rPr>
          <w:rFonts w:hint="eastAsia" w:ascii="宋体" w:hAnsi="宋体" w:cs="Arial"/>
          <w:color w:val="auto"/>
          <w:sz w:val="22"/>
          <w:szCs w:val="22"/>
          <w:highlight w:val="none"/>
        </w:rPr>
        <w:t>在质保期内的工作应包括对所有产品常规检查、调整等。供货方须自行付费负责修理和更换任何由于产品自身的质量问题造成的损坏及故障。</w:t>
      </w:r>
    </w:p>
    <w:p>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4）</w:t>
      </w:r>
      <w:r>
        <w:rPr>
          <w:rFonts w:hint="eastAsia" w:ascii="宋体" w:hAnsi="宋体" w:cs="Arial"/>
          <w:color w:val="auto"/>
          <w:sz w:val="22"/>
          <w:szCs w:val="22"/>
          <w:highlight w:val="none"/>
        </w:rPr>
        <w:t>免费质保期满后，须以低于市场价的价格长期提供维修及日常保养及维修零部件。</w:t>
      </w:r>
    </w:p>
    <w:p>
      <w:pPr>
        <w:widowControl/>
        <w:numPr>
          <w:ilvl w:val="0"/>
          <w:numId w:val="45"/>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投标人必须确保设备的正常运转；必须配合用户做好技术支持，包括软件的安装和移植（费用包含在投标总价中）。</w:t>
      </w:r>
    </w:p>
    <w:p>
      <w:pPr>
        <w:spacing w:line="440" w:lineRule="exact"/>
        <w:ind w:firstLine="442" w:firstLineChars="200"/>
        <w:rPr>
          <w:rFonts w:ascii="宋体" w:hAnsi="宋体" w:cs="Arial"/>
          <w:b/>
          <w:color w:val="auto"/>
          <w:sz w:val="22"/>
          <w:szCs w:val="22"/>
          <w:highlight w:val="none"/>
        </w:rPr>
      </w:pPr>
    </w:p>
    <w:p>
      <w:pPr>
        <w:rPr>
          <w:rFonts w:ascii="宋体" w:hAnsi="宋体"/>
          <w:color w:val="auto"/>
          <w:sz w:val="22"/>
          <w:szCs w:val="22"/>
          <w:highlight w:val="none"/>
        </w:rPr>
      </w:pPr>
      <w:r>
        <w:rPr>
          <w:rFonts w:hint="eastAsia" w:ascii="宋体" w:hAnsi="宋体"/>
          <w:color w:val="auto"/>
          <w:sz w:val="22"/>
          <w:szCs w:val="22"/>
          <w:highlight w:val="none"/>
        </w:rPr>
        <w:br w:type="page"/>
      </w:r>
    </w:p>
    <w:p>
      <w:pPr>
        <w:pStyle w:val="6"/>
        <w:rPr>
          <w:rFonts w:hint="default" w:ascii="宋体" w:hAnsi="宋体" w:eastAsia="宋体" w:cs="Arial"/>
          <w:color w:val="auto"/>
          <w:sz w:val="36"/>
          <w:szCs w:val="36"/>
          <w:highlight w:val="none"/>
          <w:lang w:val="en-US" w:eastAsia="zh-CN"/>
        </w:rPr>
      </w:pPr>
      <w:bookmarkStart w:id="194" w:name="_Toc18610"/>
      <w:r>
        <w:rPr>
          <w:rFonts w:hint="eastAsia" w:ascii="宋体" w:hAnsi="宋体" w:eastAsia="宋体" w:cs="Arial"/>
          <w:color w:val="auto"/>
          <w:sz w:val="36"/>
          <w:szCs w:val="36"/>
          <w:highlight w:val="none"/>
        </w:rPr>
        <w:t xml:space="preserve">第三部分   </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宋体" w:hAnsi="宋体" w:eastAsia="宋体" w:cs="Arial"/>
          <w:color w:val="auto"/>
          <w:sz w:val="36"/>
          <w:szCs w:val="36"/>
          <w:highlight w:val="none"/>
          <w:lang w:val="en-US" w:eastAsia="zh-CN"/>
        </w:rPr>
        <w:t>评标原则及方法</w:t>
      </w:r>
      <w:bookmarkEnd w:id="194"/>
    </w:p>
    <w:p>
      <w:pPr>
        <w:spacing w:line="420" w:lineRule="exact"/>
        <w:ind w:left="439" w:leftChars="209"/>
        <w:rPr>
          <w:rFonts w:ascii="宋体" w:hAnsi="宋体"/>
          <w:b/>
          <w:color w:val="auto"/>
          <w:sz w:val="22"/>
          <w:szCs w:val="22"/>
          <w:highlight w:val="none"/>
        </w:rPr>
      </w:pPr>
      <w:r>
        <w:rPr>
          <w:rFonts w:hint="eastAsia" w:ascii="宋体" w:hAnsi="宋体"/>
          <w:b/>
          <w:color w:val="auto"/>
          <w:sz w:val="22"/>
          <w:szCs w:val="22"/>
          <w:highlight w:val="none"/>
        </w:rPr>
        <w:t>据《中华人民共和国政府采购法》等相关法规特制定以下评标办法。</w:t>
      </w:r>
    </w:p>
    <w:p>
      <w:pPr>
        <w:pStyle w:val="2"/>
        <w:spacing w:before="120" w:beforeLines="50" w:afterLines="50"/>
        <w:rPr>
          <w:rFonts w:ascii="宋体" w:hAnsi="宋体" w:cs="Arial"/>
          <w:b/>
          <w:color w:val="auto"/>
          <w:highlight w:val="none"/>
        </w:rPr>
      </w:pPr>
      <w:bookmarkStart w:id="195" w:name="_Toc221356961"/>
      <w:bookmarkStart w:id="196" w:name="_Toc221356898"/>
      <w:r>
        <w:rPr>
          <w:rFonts w:hint="eastAsia" w:ascii="宋体" w:hAnsi="宋体" w:cs="Arial"/>
          <w:b/>
          <w:color w:val="auto"/>
          <w:highlight w:val="none"/>
        </w:rPr>
        <w:t>一. 总  则</w:t>
      </w:r>
      <w:bookmarkEnd w:id="195"/>
      <w:bookmarkEnd w:id="196"/>
    </w:p>
    <w:p>
      <w:pPr>
        <w:spacing w:line="42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20" w:lineRule="exact"/>
        <w:rPr>
          <w:rFonts w:ascii="宋体" w:hAnsi="宋体" w:cs="Arial"/>
          <w:b/>
          <w:color w:val="auto"/>
          <w:sz w:val="22"/>
          <w:highlight w:val="none"/>
        </w:rPr>
      </w:pPr>
      <w:r>
        <w:rPr>
          <w:rFonts w:hint="eastAsia" w:ascii="宋体" w:hAnsi="宋体" w:cs="Arial"/>
          <w:b/>
          <w:color w:val="auto"/>
          <w:sz w:val="22"/>
          <w:highlight w:val="none"/>
        </w:rPr>
        <w:t>二、评标组织</w:t>
      </w:r>
    </w:p>
    <w:p>
      <w:pPr>
        <w:spacing w:line="420" w:lineRule="exact"/>
        <w:ind w:left="439" w:leftChars="209"/>
        <w:rPr>
          <w:rFonts w:ascii="宋体" w:hAnsi="宋体" w:cs="Arial"/>
          <w:color w:val="auto"/>
          <w:sz w:val="22"/>
          <w:szCs w:val="22"/>
          <w:highlight w:val="none"/>
        </w:rPr>
      </w:pPr>
      <w:r>
        <w:rPr>
          <w:rFonts w:hint="eastAsia" w:ascii="宋体" w:hAnsi="宋体"/>
          <w:color w:val="auto"/>
          <w:sz w:val="22"/>
          <w:szCs w:val="22"/>
          <w:highlight w:val="none"/>
        </w:rPr>
        <w:t>评标工作由招标人依法组建的评标委员会负责，评标全过程由有关部门指导监督。</w:t>
      </w:r>
    </w:p>
    <w:p>
      <w:pPr>
        <w:spacing w:line="420" w:lineRule="exact"/>
        <w:rPr>
          <w:rFonts w:ascii="宋体" w:hAnsi="宋体" w:cs="Arial"/>
          <w:b/>
          <w:color w:val="auto"/>
          <w:sz w:val="22"/>
          <w:highlight w:val="none"/>
        </w:rPr>
      </w:pPr>
      <w:r>
        <w:rPr>
          <w:rFonts w:hint="eastAsia" w:ascii="宋体" w:hAnsi="宋体" w:cs="Arial"/>
          <w:b/>
          <w:color w:val="auto"/>
          <w:sz w:val="22"/>
          <w:highlight w:val="none"/>
        </w:rPr>
        <w:t>三、评标办法</w:t>
      </w:r>
    </w:p>
    <w:p>
      <w:pPr>
        <w:spacing w:line="400" w:lineRule="exact"/>
        <w:ind w:left="439" w:leftChars="209"/>
        <w:rPr>
          <w:rFonts w:ascii="宋体" w:hAnsi="宋体" w:cs="Arial"/>
          <w:b/>
          <w:color w:val="auto"/>
          <w:sz w:val="22"/>
          <w:highlight w:val="none"/>
        </w:rPr>
      </w:pPr>
      <w:r>
        <w:rPr>
          <w:rFonts w:hint="eastAsia" w:ascii="宋体" w:hAnsi="宋体" w:cs="Arial"/>
          <w:color w:val="auto"/>
          <w:sz w:val="22"/>
          <w:highlight w:val="none"/>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Arial"/>
          <w:b/>
          <w:color w:val="auto"/>
          <w:sz w:val="22"/>
          <w:highlight w:val="none"/>
        </w:rPr>
        <w:t>总分设定为100分；其中商务技术文件</w:t>
      </w:r>
      <w:r>
        <w:rPr>
          <w:rFonts w:hint="eastAsia" w:ascii="宋体" w:hAnsi="宋体" w:cs="Arial"/>
          <w:b/>
          <w:color w:val="auto"/>
          <w:sz w:val="22"/>
          <w:highlight w:val="none"/>
          <w:lang w:val="en-US" w:eastAsia="zh-CN"/>
        </w:rPr>
        <w:t>70</w:t>
      </w:r>
      <w:r>
        <w:rPr>
          <w:rFonts w:hint="eastAsia" w:ascii="宋体" w:hAnsi="宋体" w:cs="Arial"/>
          <w:b/>
          <w:color w:val="auto"/>
          <w:sz w:val="22"/>
          <w:highlight w:val="none"/>
        </w:rPr>
        <w:t>分，报价文件（报价）</w:t>
      </w:r>
      <w:r>
        <w:rPr>
          <w:rFonts w:hint="eastAsia" w:ascii="宋体" w:hAnsi="宋体" w:cs="Arial"/>
          <w:b/>
          <w:color w:val="auto"/>
          <w:sz w:val="22"/>
          <w:highlight w:val="none"/>
          <w:lang w:val="en-US" w:eastAsia="zh-CN"/>
        </w:rPr>
        <w:t>30</w:t>
      </w:r>
      <w:r>
        <w:rPr>
          <w:rFonts w:hint="eastAsia" w:ascii="宋体" w:hAnsi="宋体" w:cs="Arial"/>
          <w:b/>
          <w:color w:val="auto"/>
          <w:sz w:val="22"/>
          <w:highlight w:val="none"/>
        </w:rPr>
        <w:t>分。</w:t>
      </w:r>
    </w:p>
    <w:p>
      <w:pPr>
        <w:spacing w:line="420" w:lineRule="exact"/>
        <w:rPr>
          <w:rFonts w:ascii="宋体" w:hAnsi="宋体" w:cs="Arial"/>
          <w:b/>
          <w:color w:val="auto"/>
          <w:sz w:val="22"/>
          <w:highlight w:val="none"/>
        </w:rPr>
      </w:pPr>
      <w:bookmarkStart w:id="197" w:name="_Toc221356965"/>
      <w:bookmarkStart w:id="198" w:name="_Toc221356902"/>
      <w:r>
        <w:rPr>
          <w:rFonts w:hint="eastAsia" w:ascii="宋体" w:hAnsi="宋体" w:cs="Arial"/>
          <w:b/>
          <w:color w:val="auto"/>
          <w:sz w:val="22"/>
          <w:highlight w:val="none"/>
        </w:rPr>
        <w:t>四、评分细则</w:t>
      </w:r>
      <w:bookmarkEnd w:id="197"/>
      <w:bookmarkEnd w:id="198"/>
    </w:p>
    <w:p>
      <w:pPr>
        <w:spacing w:line="400" w:lineRule="exact"/>
        <w:rPr>
          <w:rFonts w:ascii="宋体" w:hAnsi="宋体" w:cs="Arial"/>
          <w:color w:val="auto"/>
          <w:sz w:val="22"/>
          <w:highlight w:val="none"/>
        </w:rPr>
      </w:pPr>
      <w:bookmarkStart w:id="199" w:name="_Toc221356966"/>
      <w:bookmarkStart w:id="200" w:name="_Toc221356903"/>
      <w:r>
        <w:rPr>
          <w:rFonts w:hint="eastAsia" w:ascii="宋体" w:hAnsi="宋体" w:cs="Arial"/>
          <w:color w:val="auto"/>
          <w:sz w:val="22"/>
          <w:highlight w:val="none"/>
        </w:rPr>
        <w:t>1、商务技术分的评定（</w:t>
      </w:r>
      <w:r>
        <w:rPr>
          <w:rFonts w:hint="eastAsia" w:ascii="宋体" w:hAnsi="宋体" w:cs="Arial"/>
          <w:color w:val="auto"/>
          <w:sz w:val="22"/>
          <w:highlight w:val="none"/>
          <w:lang w:val="en-US" w:eastAsia="zh-CN"/>
        </w:rPr>
        <w:t>70</w:t>
      </w:r>
      <w:r>
        <w:rPr>
          <w:rFonts w:hint="eastAsia" w:ascii="宋体" w:hAnsi="宋体" w:cs="Arial"/>
          <w:color w:val="auto"/>
          <w:sz w:val="22"/>
          <w:highlight w:val="none"/>
        </w:rPr>
        <w:t>分）</w:t>
      </w:r>
    </w:p>
    <w:p>
      <w:pPr>
        <w:spacing w:line="400" w:lineRule="exact"/>
        <w:ind w:left="439" w:leftChars="209"/>
        <w:rPr>
          <w:rFonts w:hint="eastAsia" w:ascii="宋体" w:hAnsi="宋体" w:cs="Arial"/>
          <w:color w:val="auto"/>
          <w:sz w:val="22"/>
          <w:highlight w:val="none"/>
        </w:rPr>
      </w:pPr>
      <w:r>
        <w:rPr>
          <w:rFonts w:hint="eastAsia" w:ascii="宋体" w:hAnsi="宋体" w:cs="Arial"/>
          <w:color w:val="auto"/>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2"/>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7"/>
        <w:gridCol w:w="686"/>
        <w:gridCol w:w="1320"/>
        <w:gridCol w:w="635"/>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2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bCs/>
                <w:color w:val="auto"/>
                <w:sz w:val="22"/>
                <w:szCs w:val="22"/>
                <w:highlight w:val="none"/>
              </w:rPr>
              <w:t>评审内容</w:t>
            </w:r>
          </w:p>
        </w:tc>
        <w:tc>
          <w:tcPr>
            <w:tcW w:w="63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分值</w:t>
            </w:r>
          </w:p>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（分）</w:t>
            </w:r>
          </w:p>
        </w:tc>
        <w:tc>
          <w:tcPr>
            <w:tcW w:w="700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bCs/>
                <w:color w:val="auto"/>
                <w:kern w:val="0"/>
                <w:sz w:val="22"/>
                <w:szCs w:val="22"/>
                <w:highlight w:val="none"/>
              </w:rPr>
            </w:pPr>
            <w:r>
              <w:rPr>
                <w:rFonts w:hint="eastAsia" w:ascii="宋体" w:hAnsi="宋体" w:cs="宋体"/>
                <w:bCs/>
                <w:color w:val="auto"/>
                <w:sz w:val="22"/>
                <w:szCs w:val="22"/>
                <w:highlight w:val="none"/>
              </w:rPr>
              <w:t>评审标准及说明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制造商</w:t>
            </w:r>
            <w:r>
              <w:rPr>
                <w:rFonts w:hint="eastAsia" w:ascii="宋体" w:hAnsi="宋体" w:cs="宋体"/>
                <w:color w:val="auto"/>
                <w:kern w:val="0"/>
                <w:sz w:val="22"/>
                <w:szCs w:val="22"/>
                <w:highlight w:val="none"/>
              </w:rPr>
              <w:t>认证</w:t>
            </w:r>
          </w:p>
        </w:tc>
        <w:tc>
          <w:tcPr>
            <w:tcW w:w="6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3</w:t>
            </w:r>
          </w:p>
        </w:tc>
        <w:tc>
          <w:tcPr>
            <w:tcW w:w="7006"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47"/>
              </w:numP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制造商</w:t>
            </w:r>
            <w:r>
              <w:rPr>
                <w:rFonts w:hint="eastAsia" w:ascii="宋体" w:hAnsi="宋体" w:cs="宋体"/>
                <w:color w:val="auto"/>
                <w:sz w:val="22"/>
                <w:szCs w:val="22"/>
                <w:highlight w:val="none"/>
              </w:rPr>
              <w:t>获得质量管理体系认证、环境管理体系认证、职业健康安全管理体系认证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认证范围</w:t>
            </w:r>
            <w:r>
              <w:rPr>
                <w:rFonts w:hint="eastAsia" w:ascii="宋体" w:hAnsi="宋体" w:eastAsia="宋体" w:cs="宋体"/>
                <w:color w:val="auto"/>
                <w:sz w:val="22"/>
                <w:szCs w:val="22"/>
                <w:highlight w:val="none"/>
                <w:lang w:val="en-US" w:eastAsia="zh-CN"/>
              </w:rPr>
              <w:t>含</w:t>
            </w:r>
            <w:r>
              <w:rPr>
                <w:rFonts w:hint="eastAsia" w:ascii="宋体" w:hAnsi="宋体" w:cs="宋体"/>
                <w:color w:val="auto"/>
                <w:sz w:val="22"/>
                <w:szCs w:val="22"/>
                <w:highlight w:val="none"/>
                <w:lang w:val="en-US" w:eastAsia="zh-CN"/>
              </w:rPr>
              <w:t>木制家具类</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rPr>
              <w:t>，每提供1个有效证书得</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分，最高得</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分；</w:t>
            </w:r>
          </w:p>
          <w:p>
            <w:pPr>
              <w:numPr>
                <w:ilvl w:val="0"/>
                <w:numId w:val="47"/>
              </w:numP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制造商</w:t>
            </w:r>
            <w:r>
              <w:rPr>
                <w:rFonts w:hint="eastAsia" w:ascii="宋体" w:hAnsi="宋体" w:cs="宋体"/>
                <w:color w:val="auto"/>
                <w:sz w:val="22"/>
                <w:szCs w:val="22"/>
                <w:highlight w:val="none"/>
                <w:lang w:val="en-US" w:eastAsia="zh-CN"/>
              </w:rPr>
              <w:t>提供</w:t>
            </w:r>
            <w:r>
              <w:rPr>
                <w:rFonts w:hint="eastAsia" w:ascii="宋体" w:hAnsi="宋体" w:cs="宋体"/>
                <w:color w:val="auto"/>
                <w:sz w:val="22"/>
                <w:szCs w:val="22"/>
                <w:highlight w:val="none"/>
              </w:rPr>
              <w:t>安全生产标准化</w:t>
            </w:r>
            <w:r>
              <w:rPr>
                <w:rFonts w:hint="eastAsia" w:ascii="宋体" w:hAnsi="宋体" w:cs="宋体"/>
                <w:color w:val="auto"/>
                <w:sz w:val="22"/>
                <w:szCs w:val="22"/>
                <w:highlight w:val="none"/>
                <w:lang w:val="en-US" w:eastAsia="zh-CN"/>
              </w:rPr>
              <w:t>证书的得0.5分</w:t>
            </w:r>
            <w:r>
              <w:rPr>
                <w:rFonts w:hint="eastAsia" w:ascii="宋体" w:hAnsi="宋体" w:cs="宋体"/>
                <w:color w:val="auto"/>
                <w:sz w:val="22"/>
                <w:szCs w:val="22"/>
                <w:highlight w:val="none"/>
              </w:rPr>
              <w:t>；</w:t>
            </w:r>
          </w:p>
          <w:p>
            <w:pPr>
              <w:numPr>
                <w:ilvl w:val="0"/>
                <w:numId w:val="47"/>
              </w:numPr>
              <w:rPr>
                <w:rFonts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制造商</w:t>
            </w:r>
            <w:r>
              <w:rPr>
                <w:rFonts w:hint="eastAsia" w:ascii="宋体" w:hAnsi="宋体" w:cs="宋体"/>
                <w:color w:val="auto"/>
                <w:sz w:val="22"/>
                <w:szCs w:val="22"/>
                <w:highlight w:val="none"/>
              </w:rPr>
              <w:t>获得CQC中国环保产品认证证书每提供1个得0.5分，最高得1分；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c>
          <w:tcPr>
            <w:tcW w:w="2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制造商</w:t>
            </w:r>
            <w:r>
              <w:rPr>
                <w:rFonts w:hint="eastAsia" w:ascii="宋体" w:hAnsi="宋体" w:cs="宋体"/>
                <w:color w:val="auto"/>
                <w:sz w:val="22"/>
                <w:szCs w:val="22"/>
                <w:highlight w:val="none"/>
                <w:lang w:val="en-US" w:eastAsia="zh-CN"/>
              </w:rPr>
              <w:t>生产、</w:t>
            </w:r>
            <w:r>
              <w:rPr>
                <w:rFonts w:hint="eastAsia" w:ascii="宋体" w:hAnsi="宋体" w:cs="宋体"/>
                <w:color w:val="auto"/>
                <w:sz w:val="22"/>
                <w:szCs w:val="22"/>
                <w:highlight w:val="none"/>
              </w:rPr>
              <w:t>检测设备配置情况</w:t>
            </w:r>
          </w:p>
        </w:tc>
        <w:tc>
          <w:tcPr>
            <w:tcW w:w="63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0-</w:t>
            </w:r>
            <w:r>
              <w:rPr>
                <w:rFonts w:hint="eastAsia" w:ascii="宋体" w:hAnsi="宋体" w:cs="宋体"/>
                <w:color w:val="auto"/>
                <w:kern w:val="0"/>
                <w:sz w:val="22"/>
                <w:szCs w:val="22"/>
                <w:highlight w:val="none"/>
                <w:lang w:val="en-US" w:eastAsia="zh-CN"/>
              </w:rPr>
              <w:t>10</w:t>
            </w:r>
          </w:p>
        </w:tc>
        <w:tc>
          <w:tcPr>
            <w:tcW w:w="700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提供</w:t>
            </w:r>
            <w:r>
              <w:rPr>
                <w:rFonts w:hint="eastAsia" w:ascii="宋体" w:hAnsi="宋体" w:cs="宋体"/>
                <w:color w:val="auto"/>
                <w:kern w:val="0"/>
                <w:sz w:val="22"/>
                <w:szCs w:val="22"/>
                <w:highlight w:val="none"/>
                <w:lang w:val="en-US" w:eastAsia="zh-CN"/>
              </w:rPr>
              <w:t>制造商</w:t>
            </w:r>
            <w:r>
              <w:rPr>
                <w:rFonts w:hint="eastAsia" w:ascii="宋体" w:hAnsi="宋体" w:cs="宋体"/>
                <w:color w:val="auto"/>
                <w:sz w:val="22"/>
                <w:szCs w:val="22"/>
                <w:highlight w:val="none"/>
              </w:rPr>
              <w:t>自有功能相近的生产设备，</w:t>
            </w:r>
            <w:r>
              <w:rPr>
                <w:rFonts w:hint="eastAsia" w:ascii="宋体" w:hAnsi="宋体" w:cs="宋体"/>
                <w:color w:val="auto"/>
                <w:sz w:val="22"/>
                <w:szCs w:val="22"/>
                <w:highlight w:val="none"/>
                <w:lang w:val="en-US" w:eastAsia="zh-CN"/>
              </w:rPr>
              <w:t>包括但不仅限于</w:t>
            </w:r>
            <w:r>
              <w:rPr>
                <w:rFonts w:hint="eastAsia" w:ascii="宋体" w:hAnsi="宋体" w:cs="宋体"/>
                <w:color w:val="auto"/>
                <w:sz w:val="22"/>
                <w:szCs w:val="22"/>
                <w:highlight w:val="none"/>
              </w:rPr>
              <w:t>计算机数控多功能加工中心、数控点对点钻孔加工中心、UV 油漆滚涂线、全自动多轴六排钻机、全自动后上料电子开料锯、脉冲袋式中央除尘系统、定厚砂光机、全自动激光直线封边机、自动化裁剪系统设备、智能自动化生产线、智能立体仓储设备、静电自动化水性喷涂线、电脑海绵切割机等大型机械设备</w:t>
            </w:r>
            <w:r>
              <w:rPr>
                <w:rFonts w:hint="eastAsia" w:ascii="宋体" w:hAnsi="宋体" w:cs="宋体"/>
                <w:color w:val="auto"/>
                <w:sz w:val="22"/>
                <w:szCs w:val="22"/>
                <w:highlight w:val="none"/>
                <w:lang w:val="en-US" w:eastAsia="zh-CN"/>
              </w:rPr>
              <w:t>等</w:t>
            </w:r>
            <w:r>
              <w:rPr>
                <w:rFonts w:hint="eastAsia" w:ascii="宋体" w:hAnsi="宋体" w:cs="宋体"/>
                <w:color w:val="auto"/>
                <w:sz w:val="22"/>
                <w:szCs w:val="22"/>
                <w:highlight w:val="none"/>
              </w:rPr>
              <w:t>，每提供1个得0.5分，最高得</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p>
            <w:pPr>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提供</w:t>
            </w:r>
            <w:r>
              <w:rPr>
                <w:rFonts w:hint="eastAsia" w:ascii="宋体" w:hAnsi="宋体" w:cs="宋体"/>
                <w:color w:val="auto"/>
                <w:kern w:val="0"/>
                <w:sz w:val="22"/>
                <w:szCs w:val="22"/>
                <w:highlight w:val="none"/>
                <w:lang w:val="en-US" w:eastAsia="zh-CN"/>
              </w:rPr>
              <w:t>制造商</w:t>
            </w:r>
            <w:r>
              <w:rPr>
                <w:rFonts w:hint="eastAsia" w:ascii="宋体" w:hAnsi="宋体" w:cs="宋体"/>
                <w:color w:val="auto"/>
                <w:sz w:val="22"/>
                <w:szCs w:val="22"/>
                <w:highlight w:val="none"/>
              </w:rPr>
              <w:t>自有的原材料及成品功能相近的检测设备，</w:t>
            </w:r>
            <w:r>
              <w:rPr>
                <w:rFonts w:hint="eastAsia" w:ascii="宋体" w:hAnsi="宋体" w:cs="宋体"/>
                <w:color w:val="auto"/>
                <w:sz w:val="22"/>
                <w:szCs w:val="22"/>
                <w:highlight w:val="none"/>
                <w:lang w:val="en-US" w:eastAsia="zh-CN"/>
              </w:rPr>
              <w:t>包括但不仅限于</w:t>
            </w:r>
            <w:r>
              <w:rPr>
                <w:rFonts w:hint="eastAsia" w:ascii="宋体" w:hAnsi="宋体" w:cs="宋体"/>
                <w:color w:val="auto"/>
                <w:sz w:val="22"/>
                <w:szCs w:val="22"/>
                <w:highlight w:val="none"/>
              </w:rPr>
              <w:t>家具人造板甲醛测试仪、可程式盐雾试验机、微机人造板试验机、柜类稳定性测试仪、抽屉导轨耐久性测试仪、铰链耐久性测试仪、落球冲击试验机、漆膜冲击测试仪、光泽度仪、纸箱自动破裂强度试验机、干燥箱</w:t>
            </w:r>
            <w:r>
              <w:rPr>
                <w:rFonts w:hint="eastAsia" w:ascii="宋体" w:hAnsi="宋体" w:cs="宋体"/>
                <w:color w:val="auto"/>
                <w:sz w:val="22"/>
                <w:szCs w:val="22"/>
                <w:highlight w:val="none"/>
                <w:lang w:val="en-US" w:eastAsia="zh-CN"/>
              </w:rPr>
              <w:t>等</w:t>
            </w:r>
            <w:r>
              <w:rPr>
                <w:rFonts w:hint="eastAsia" w:ascii="宋体" w:hAnsi="宋体" w:cs="宋体"/>
                <w:color w:val="auto"/>
                <w:sz w:val="22"/>
                <w:szCs w:val="22"/>
                <w:highlight w:val="none"/>
              </w:rPr>
              <w:t>，每提供1个得0.5分，最高得</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p>
            <w:pPr>
              <w:jc w:val="left"/>
              <w:rPr>
                <w:rFonts w:ascii="宋体" w:hAnsi="宋体" w:eastAsia="宋体" w:cs="宋体"/>
                <w:color w:val="auto"/>
                <w:kern w:val="0"/>
                <w:sz w:val="22"/>
                <w:szCs w:val="22"/>
                <w:highlight w:val="none"/>
                <w:lang w:val="en-US" w:eastAsia="zh-CN" w:bidi="ar-SA"/>
              </w:rPr>
            </w:pPr>
            <w:r>
              <w:rPr>
                <w:rFonts w:hint="eastAsia" w:ascii="宋体" w:hAnsi="宋体" w:cs="宋体"/>
                <w:color w:val="auto"/>
                <w:sz w:val="22"/>
                <w:szCs w:val="22"/>
                <w:highlight w:val="none"/>
              </w:rPr>
              <w:t>注：上述设备，需提供购置发票作为证明材料，否则评分不予认可。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2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原材料、耗材检测（验）报告</w:t>
            </w:r>
          </w:p>
        </w:tc>
        <w:tc>
          <w:tcPr>
            <w:tcW w:w="6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0-</w:t>
            </w:r>
            <w:r>
              <w:rPr>
                <w:rFonts w:hint="eastAsia" w:ascii="宋体" w:hAnsi="宋体" w:eastAsia="宋体" w:cs="宋体"/>
                <w:color w:val="auto"/>
                <w:kern w:val="0"/>
                <w:sz w:val="22"/>
                <w:szCs w:val="22"/>
                <w:highlight w:val="none"/>
                <w:lang w:val="en-US" w:eastAsia="zh-CN"/>
              </w:rPr>
              <w:t>4</w:t>
            </w:r>
          </w:p>
        </w:tc>
        <w:tc>
          <w:tcPr>
            <w:tcW w:w="700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8"/>
              <w:ind w:firstLine="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提供具有CMA资质的质量检测部门出具的关于原材料检测（验）报告（招标公告发布前一年内）包含内容如下：封边条、实木</w:t>
            </w:r>
            <w:r>
              <w:rPr>
                <w:rFonts w:hint="eastAsia" w:ascii="宋体" w:hAnsi="宋体" w:cs="宋体"/>
                <w:color w:val="auto"/>
                <w:kern w:val="2"/>
                <w:sz w:val="22"/>
                <w:szCs w:val="22"/>
                <w:highlight w:val="none"/>
                <w:lang w:val="en-US" w:eastAsia="zh-CN"/>
              </w:rPr>
              <w:t>多层板</w:t>
            </w:r>
            <w:r>
              <w:rPr>
                <w:rFonts w:hint="eastAsia" w:ascii="宋体" w:hAnsi="宋体" w:eastAsia="宋体" w:cs="宋体"/>
                <w:color w:val="auto"/>
                <w:kern w:val="2"/>
                <w:sz w:val="22"/>
                <w:szCs w:val="22"/>
                <w:highlight w:val="none"/>
              </w:rPr>
              <w:t>、</w:t>
            </w:r>
            <w:r>
              <w:rPr>
                <w:rFonts w:hint="eastAsia" w:ascii="宋体" w:hAnsi="宋体" w:cs="宋体"/>
                <w:color w:val="auto"/>
                <w:kern w:val="2"/>
                <w:sz w:val="22"/>
                <w:szCs w:val="22"/>
                <w:highlight w:val="none"/>
                <w:lang w:val="en-US" w:eastAsia="zh-CN"/>
              </w:rPr>
              <w:t>实木颗粒</w:t>
            </w:r>
            <w:r>
              <w:rPr>
                <w:rFonts w:hint="eastAsia" w:ascii="宋体" w:hAnsi="宋体" w:eastAsia="宋体" w:cs="宋体"/>
                <w:color w:val="auto"/>
                <w:kern w:val="2"/>
                <w:sz w:val="22"/>
                <w:szCs w:val="22"/>
                <w:highlight w:val="none"/>
              </w:rPr>
              <w:t>板、密度板、油漆、防火板、牛皮、布绒、钢板、发泡海绵、铰链、导轨、胶粘剂、五金件。每提供一个种类的原材料检测（验）报告且符合标准的，得0.5分，最高得</w:t>
            </w:r>
            <w:r>
              <w:rPr>
                <w:rFonts w:hint="eastAsia" w:ascii="宋体" w:hAnsi="宋体" w:eastAsia="宋体" w:cs="宋体"/>
                <w:color w:val="auto"/>
                <w:kern w:val="2"/>
                <w:sz w:val="22"/>
                <w:szCs w:val="22"/>
                <w:highlight w:val="none"/>
                <w:lang w:val="en-US" w:eastAsia="zh-CN"/>
              </w:rPr>
              <w:t>4</w:t>
            </w:r>
            <w:r>
              <w:rPr>
                <w:rFonts w:hint="eastAsia" w:ascii="宋体" w:hAnsi="宋体" w:eastAsia="宋体" w:cs="宋体"/>
                <w:color w:val="auto"/>
                <w:kern w:val="2"/>
                <w:sz w:val="22"/>
                <w:szCs w:val="22"/>
                <w:highlight w:val="none"/>
              </w:rPr>
              <w:t>分。</w:t>
            </w:r>
          </w:p>
          <w:p>
            <w:pP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b/>
                <w:bCs/>
                <w:color w:val="auto"/>
                <w:sz w:val="22"/>
                <w:szCs w:val="22"/>
                <w:highlight w:val="none"/>
              </w:rPr>
              <w:t>出具的检测（验）报告必须由通过国家计量认证（CMA资质）的第三方检测机构提供。检测（验）报告封面上需体现清晰的二维码，可验真伪或提供电话查询，首页、内容页、结尾页等完整页面。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2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产品</w:t>
            </w:r>
            <w:r>
              <w:rPr>
                <w:rFonts w:hint="eastAsia" w:ascii="宋体" w:hAnsi="宋体" w:cs="宋体"/>
                <w:color w:val="auto"/>
                <w:sz w:val="22"/>
                <w:szCs w:val="22"/>
                <w:highlight w:val="none"/>
              </w:rPr>
              <w:t>技术参数</w:t>
            </w:r>
          </w:p>
        </w:tc>
        <w:tc>
          <w:tcPr>
            <w:tcW w:w="63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0-</w:t>
            </w:r>
            <w:r>
              <w:rPr>
                <w:rFonts w:hint="eastAsia" w:ascii="宋体" w:hAnsi="宋体" w:cs="宋体"/>
                <w:color w:val="auto"/>
                <w:kern w:val="0"/>
                <w:sz w:val="22"/>
                <w:szCs w:val="22"/>
                <w:highlight w:val="none"/>
                <w:lang w:val="en-US" w:eastAsia="zh-CN"/>
              </w:rPr>
              <w:t>10</w:t>
            </w:r>
          </w:p>
        </w:tc>
        <w:tc>
          <w:tcPr>
            <w:tcW w:w="70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4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产品</w:t>
            </w:r>
            <w:r>
              <w:rPr>
                <w:rFonts w:hint="eastAsia" w:ascii="宋体" w:hAnsi="宋体" w:eastAsia="宋体" w:cs="宋体"/>
                <w:color w:val="auto"/>
                <w:sz w:val="22"/>
                <w:szCs w:val="22"/>
                <w:highlight w:val="none"/>
              </w:rPr>
              <w:t>与招标货物技术参数对比，投标货物技术参数</w:t>
            </w:r>
            <w:r>
              <w:rPr>
                <w:rFonts w:hint="eastAsia" w:ascii="宋体" w:hAnsi="宋体" w:eastAsia="宋体" w:cs="宋体"/>
                <w:color w:val="auto"/>
                <w:sz w:val="22"/>
                <w:szCs w:val="22"/>
                <w:highlight w:val="none"/>
                <w:lang w:val="en-US" w:eastAsia="zh-CN"/>
              </w:rPr>
              <w:t>全部</w:t>
            </w:r>
            <w:r>
              <w:rPr>
                <w:rFonts w:hint="eastAsia" w:ascii="宋体" w:hAnsi="宋体" w:cs="宋体"/>
                <w:color w:val="auto"/>
                <w:sz w:val="22"/>
                <w:szCs w:val="22"/>
                <w:highlight w:val="none"/>
                <w:lang w:val="en-US" w:eastAsia="zh-CN"/>
              </w:rPr>
              <w:t>满足</w:t>
            </w:r>
            <w:r>
              <w:rPr>
                <w:rFonts w:hint="eastAsia" w:ascii="宋体" w:hAnsi="宋体" w:eastAsia="宋体" w:cs="宋体"/>
                <w:color w:val="auto"/>
                <w:sz w:val="22"/>
                <w:szCs w:val="22"/>
                <w:highlight w:val="none"/>
              </w:rPr>
              <w:t>招标货物要求的配置参数的得</w:t>
            </w:r>
            <w:r>
              <w:rPr>
                <w:rFonts w:hint="eastAsia" w:ascii="宋体" w:hAnsi="宋体" w:cs="宋体"/>
                <w:color w:val="auto"/>
                <w:sz w:val="22"/>
                <w:szCs w:val="22"/>
                <w:highlight w:val="none"/>
                <w:lang w:val="en-US" w:eastAsia="zh-CN"/>
              </w:rPr>
              <w:t>基本分2.5</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不满足或部分不满足不得分；</w:t>
            </w:r>
          </w:p>
          <w:p>
            <w:pPr>
              <w:spacing w:line="3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2.颗粒板甲醛释放量、多层板甲醛释放量、阻尼铰链耐久性测试、面料</w:t>
            </w:r>
            <w:r>
              <w:rPr>
                <w:rFonts w:hint="eastAsia" w:ascii="宋体" w:hAnsi="宋体" w:eastAsia="宋体" w:cs="Times New Roman"/>
                <w:color w:val="auto"/>
                <w:kern w:val="0"/>
                <w:sz w:val="22"/>
                <w:highlight w:val="none"/>
              </w:rPr>
              <w:t>布绒</w:t>
            </w:r>
            <w:r>
              <w:rPr>
                <w:rFonts w:hint="eastAsia" w:ascii="宋体" w:hAnsi="宋体" w:eastAsia="宋体" w:cs="Times New Roman"/>
                <w:color w:val="auto"/>
                <w:kern w:val="0"/>
                <w:sz w:val="22"/>
                <w:highlight w:val="none"/>
                <w:lang w:val="en-US" w:eastAsia="zh-CN"/>
              </w:rPr>
              <w:t>的阻燃性能、封边条有害物质限量等5项参数指标，</w:t>
            </w:r>
            <w:r>
              <w:rPr>
                <w:rFonts w:hint="eastAsia" w:ascii="宋体" w:hAnsi="宋体" w:cs="宋体"/>
                <w:color w:val="auto"/>
                <w:sz w:val="22"/>
                <w:szCs w:val="22"/>
                <w:highlight w:val="none"/>
                <w:lang w:val="en-US" w:eastAsia="zh-CN"/>
              </w:rPr>
              <w:t>每正</w:t>
            </w:r>
            <w:r>
              <w:rPr>
                <w:rFonts w:hint="eastAsia" w:ascii="宋体" w:hAnsi="宋体" w:eastAsia="宋体" w:cs="宋体"/>
                <w:color w:val="auto"/>
                <w:sz w:val="22"/>
                <w:szCs w:val="22"/>
                <w:highlight w:val="none"/>
              </w:rPr>
              <w:t>偏离的</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项</w:t>
            </w:r>
            <w:r>
              <w:rPr>
                <w:rFonts w:hint="eastAsia" w:ascii="宋体" w:hAnsi="宋体" w:cs="宋体"/>
                <w:color w:val="auto"/>
                <w:sz w:val="22"/>
                <w:szCs w:val="22"/>
                <w:highlight w:val="none"/>
                <w:lang w:val="en-US" w:eastAsia="zh-CN"/>
              </w:rPr>
              <w:t>加</w:t>
            </w: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val="en-US" w:eastAsia="zh-CN"/>
              </w:rPr>
              <w:t>最高加7.5分</w:t>
            </w:r>
            <w:r>
              <w:rPr>
                <w:rFonts w:hint="eastAsia" w:ascii="宋体" w:hAnsi="宋体" w:eastAsia="宋体" w:cs="宋体"/>
                <w:color w:val="auto"/>
                <w:sz w:val="22"/>
                <w:szCs w:val="22"/>
                <w:highlight w:val="none"/>
              </w:rPr>
              <w:t>。</w:t>
            </w:r>
          </w:p>
          <w:p>
            <w:pPr>
              <w:pStyle w:val="75"/>
              <w:rPr>
                <w:rFonts w:hint="eastAsia"/>
                <w:b/>
                <w:bCs/>
                <w:color w:val="auto"/>
                <w:highlight w:val="none"/>
                <w:lang w:val="en-US" w:eastAsia="zh-CN"/>
              </w:rPr>
            </w:pPr>
            <w:r>
              <w:rPr>
                <w:rFonts w:hint="eastAsia"/>
                <w:b/>
                <w:bCs/>
                <w:color w:val="auto"/>
                <w:highlight w:val="none"/>
                <w:lang w:val="en-US" w:eastAsia="zh-CN"/>
              </w:rPr>
              <w:t xml:space="preserve"> 说明：</w:t>
            </w:r>
          </w:p>
          <w:p>
            <w:pPr>
              <w:pStyle w:val="75"/>
              <w:rPr>
                <w:rFonts w:hint="default"/>
                <w:b/>
                <w:bCs/>
                <w:color w:val="auto"/>
                <w:highlight w:val="none"/>
                <w:lang w:val="en-US" w:eastAsia="zh-CN"/>
              </w:rPr>
            </w:pPr>
            <w:r>
              <w:rPr>
                <w:rFonts w:hint="eastAsia"/>
                <w:b/>
                <w:bCs/>
                <w:color w:val="auto"/>
                <w:highlight w:val="none"/>
                <w:lang w:val="en-US" w:eastAsia="zh-CN"/>
              </w:rPr>
              <w:t>1.投标文件内需提供投标产品工艺图及渲染图。（实际供货以校方需求为准）</w:t>
            </w:r>
          </w:p>
          <w:p>
            <w:pPr>
              <w:pStyle w:val="75"/>
              <w:rPr>
                <w:rFonts w:hint="eastAsia" w:ascii="宋体" w:hAnsi="宋体" w:cs="宋体"/>
                <w:b/>
                <w:bCs/>
                <w:color w:val="auto"/>
                <w:sz w:val="22"/>
                <w:szCs w:val="22"/>
                <w:highlight w:val="none"/>
                <w:lang w:val="en-US" w:eastAsia="zh-CN"/>
              </w:rPr>
            </w:pPr>
            <w:r>
              <w:rPr>
                <w:rFonts w:hint="eastAsia"/>
                <w:b/>
                <w:bCs/>
                <w:color w:val="auto"/>
                <w:highlight w:val="none"/>
                <w:lang w:val="en-US" w:eastAsia="zh-CN"/>
              </w:rPr>
              <w:t>2.正偏离指标赋分需提供</w:t>
            </w:r>
            <w:r>
              <w:rPr>
                <w:rFonts w:hint="eastAsia" w:ascii="宋体" w:hAnsi="宋体" w:eastAsia="宋体" w:cs="宋体"/>
                <w:b/>
                <w:bCs/>
                <w:color w:val="auto"/>
                <w:sz w:val="22"/>
                <w:szCs w:val="22"/>
                <w:highlight w:val="none"/>
              </w:rPr>
              <w:t>通过国家计量认证（CMA资质）的第三方检测机构</w:t>
            </w:r>
            <w:r>
              <w:rPr>
                <w:rFonts w:hint="eastAsia" w:ascii="宋体" w:hAnsi="宋体" w:cs="宋体"/>
                <w:b/>
                <w:bCs/>
                <w:color w:val="auto"/>
                <w:sz w:val="22"/>
                <w:szCs w:val="22"/>
                <w:highlight w:val="none"/>
                <w:lang w:val="en-US" w:eastAsia="zh-CN"/>
              </w:rPr>
              <w:t>出具的检测报告，并在报告内体现相关信息。</w:t>
            </w:r>
          </w:p>
          <w:p>
            <w:pPr>
              <w:pStyle w:val="75"/>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3.投标人承诺的</w:t>
            </w:r>
            <w:r>
              <w:rPr>
                <w:rFonts w:hint="eastAsia"/>
                <w:b/>
                <w:bCs/>
                <w:color w:val="auto"/>
                <w:highlight w:val="none"/>
                <w:lang w:val="en-US" w:eastAsia="zh-CN"/>
              </w:rPr>
              <w:t>正偏离指标适用于本项目中所有使用该项材料的产品，不得限于个别个体项。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7" w:type="dxa"/>
            <w:vMerge w:val="restart"/>
            <w:tcBorders>
              <w:top w:val="single" w:color="auto" w:sz="4" w:space="0"/>
              <w:left w:val="single" w:color="auto" w:sz="4" w:space="0"/>
              <w:right w:val="single" w:color="auto" w:sz="4" w:space="0"/>
              <w:tl2br w:val="nil"/>
              <w:tr2bl w:val="nil"/>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c>
          <w:tcPr>
            <w:tcW w:w="686" w:type="dxa"/>
            <w:vMerge w:val="restart"/>
            <w:tcBorders>
              <w:top w:val="single" w:color="auto" w:sz="4" w:space="0"/>
              <w:left w:val="single" w:color="auto" w:sz="4" w:space="0"/>
              <w:right w:val="single" w:color="auto" w:sz="4" w:space="0"/>
              <w:tl2br w:val="nil"/>
              <w:tr2bl w:val="nil"/>
            </w:tcBorders>
            <w:noWrap w:val="0"/>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实物样品</w:t>
            </w:r>
          </w:p>
        </w:tc>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单人间-床</w:t>
            </w:r>
          </w:p>
        </w:tc>
        <w:tc>
          <w:tcPr>
            <w:tcW w:w="6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7</w:t>
            </w:r>
          </w:p>
        </w:tc>
        <w:tc>
          <w:tcPr>
            <w:tcW w:w="700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1.环保多层板：评委根据所提样品的原材料质量、制作工艺、外观，由评委综合打分；（0-2分）</w:t>
            </w:r>
          </w:p>
          <w:p>
            <w:pPr>
              <w:widowControl/>
              <w:jc w:val="left"/>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2.抽屉面板：评委根据所提样品的原材料质量、制作工艺、外观，由评委综合打分；（0-2分）</w:t>
            </w:r>
          </w:p>
          <w:p>
            <w:pPr>
              <w:widowControl/>
              <w:jc w:val="left"/>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3.床靠背板：评委根据所提样品的原材料质量、制作工艺、外观，由评委综合打分；（0-2分）</w:t>
            </w:r>
          </w:p>
          <w:p>
            <w:pPr>
              <w:widowControl/>
              <w:jc w:val="left"/>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4.五金件：评委根据所提样品的原材料质量、制作工艺、外观，由评委综合打分。（0-1分）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7" w:type="dxa"/>
            <w:vMerge w:val="continue"/>
            <w:tcBorders>
              <w:left w:val="single" w:color="auto" w:sz="4" w:space="0"/>
              <w:right w:val="single" w:color="auto" w:sz="4" w:space="0"/>
              <w:tl2br w:val="nil"/>
              <w:tr2bl w:val="nil"/>
            </w:tcBorders>
            <w:noWrap w:val="0"/>
            <w:vAlign w:val="center"/>
          </w:tcPr>
          <w:p>
            <w:pPr>
              <w:widowControl/>
              <w:jc w:val="center"/>
              <w:rPr>
                <w:rFonts w:hint="eastAsia" w:ascii="宋体" w:hAnsi="宋体" w:cs="宋体"/>
                <w:color w:val="auto"/>
                <w:kern w:val="0"/>
                <w:sz w:val="22"/>
                <w:szCs w:val="22"/>
                <w:highlight w:val="none"/>
                <w:lang w:val="en-US" w:eastAsia="zh-CN"/>
              </w:rPr>
            </w:pPr>
          </w:p>
        </w:tc>
        <w:tc>
          <w:tcPr>
            <w:tcW w:w="686" w:type="dxa"/>
            <w:vMerge w:val="continue"/>
            <w:tcBorders>
              <w:left w:val="single" w:color="auto" w:sz="4" w:space="0"/>
              <w:right w:val="single" w:color="auto" w:sz="4" w:space="0"/>
              <w:tl2br w:val="nil"/>
              <w:tr2bl w:val="nil"/>
            </w:tcBorders>
            <w:noWrap w:val="0"/>
            <w:vAlign w:val="center"/>
          </w:tcPr>
          <w:p>
            <w:pPr>
              <w:widowControl/>
              <w:jc w:val="center"/>
              <w:rPr>
                <w:rFonts w:hint="eastAsia" w:ascii="宋体" w:hAnsi="宋体" w:cs="宋体"/>
                <w:color w:val="auto"/>
                <w:sz w:val="22"/>
                <w:szCs w:val="22"/>
                <w:highlight w:val="none"/>
              </w:rPr>
            </w:pPr>
          </w:p>
        </w:tc>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单人间-床垫</w:t>
            </w:r>
          </w:p>
        </w:tc>
        <w:tc>
          <w:tcPr>
            <w:tcW w:w="6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rPr>
              <w:t>0-</w:t>
            </w:r>
            <w:r>
              <w:rPr>
                <w:rFonts w:hint="eastAsia" w:ascii="宋体" w:hAnsi="宋体" w:cs="宋体"/>
                <w:color w:val="auto"/>
                <w:kern w:val="0"/>
                <w:sz w:val="22"/>
                <w:szCs w:val="22"/>
                <w:highlight w:val="none"/>
                <w:lang w:val="en-US" w:eastAsia="zh-CN"/>
              </w:rPr>
              <w:t>6</w:t>
            </w:r>
          </w:p>
        </w:tc>
        <w:tc>
          <w:tcPr>
            <w:tcW w:w="700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评委根据所提样品的品牌影响力（0-2分）、原材料质量（0-2分）、制作工艺（0-2分），由评委综合打分。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37" w:type="dxa"/>
            <w:vMerge w:val="continue"/>
            <w:tcBorders>
              <w:left w:val="single" w:color="auto" w:sz="4" w:space="0"/>
              <w:right w:val="single" w:color="auto" w:sz="4" w:space="0"/>
              <w:tl2br w:val="nil"/>
              <w:tr2bl w:val="nil"/>
            </w:tcBorders>
            <w:noWrap w:val="0"/>
            <w:vAlign w:val="center"/>
          </w:tcPr>
          <w:p>
            <w:pPr>
              <w:widowControl/>
              <w:jc w:val="center"/>
              <w:rPr>
                <w:rFonts w:hint="eastAsia" w:ascii="宋体" w:hAnsi="宋体" w:cs="宋体"/>
                <w:color w:val="auto"/>
                <w:kern w:val="0"/>
                <w:sz w:val="22"/>
                <w:szCs w:val="22"/>
                <w:highlight w:val="none"/>
                <w:lang w:val="en-US" w:eastAsia="zh-CN"/>
              </w:rPr>
            </w:pPr>
          </w:p>
        </w:tc>
        <w:tc>
          <w:tcPr>
            <w:tcW w:w="686" w:type="dxa"/>
            <w:vMerge w:val="continue"/>
            <w:tcBorders>
              <w:left w:val="single" w:color="auto" w:sz="4" w:space="0"/>
              <w:right w:val="single" w:color="auto" w:sz="4" w:space="0"/>
              <w:tl2br w:val="nil"/>
              <w:tr2bl w:val="nil"/>
            </w:tcBorders>
            <w:noWrap w:val="0"/>
            <w:vAlign w:val="center"/>
          </w:tcPr>
          <w:p>
            <w:pPr>
              <w:widowControl/>
              <w:jc w:val="center"/>
              <w:rPr>
                <w:rFonts w:hint="eastAsia" w:ascii="宋体" w:hAnsi="宋体" w:cs="宋体"/>
                <w:color w:val="auto"/>
                <w:sz w:val="22"/>
                <w:szCs w:val="22"/>
                <w:highlight w:val="none"/>
              </w:rPr>
            </w:pPr>
          </w:p>
        </w:tc>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单人间-</w:t>
            </w:r>
            <w:r>
              <w:rPr>
                <w:rFonts w:hint="eastAsia" w:ascii="宋体" w:hAnsi="宋体" w:cs="宋体"/>
                <w:i w:val="0"/>
                <w:iCs w:val="0"/>
                <w:color w:val="auto"/>
                <w:kern w:val="0"/>
                <w:sz w:val="22"/>
                <w:szCs w:val="22"/>
                <w:highlight w:val="none"/>
                <w:u w:val="none"/>
                <w:lang w:val="en-US" w:eastAsia="zh-CN" w:bidi="ar"/>
              </w:rPr>
              <w:t>书柜桌</w:t>
            </w:r>
          </w:p>
        </w:tc>
        <w:tc>
          <w:tcPr>
            <w:tcW w:w="6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rPr>
              <w:t>0-</w:t>
            </w:r>
            <w:r>
              <w:rPr>
                <w:rFonts w:hint="eastAsia" w:ascii="宋体" w:hAnsi="宋体" w:cs="宋体"/>
                <w:color w:val="auto"/>
                <w:kern w:val="0"/>
                <w:sz w:val="22"/>
                <w:szCs w:val="22"/>
                <w:highlight w:val="none"/>
                <w:lang w:val="en-US" w:eastAsia="zh-CN"/>
              </w:rPr>
              <w:t>7</w:t>
            </w:r>
          </w:p>
        </w:tc>
        <w:tc>
          <w:tcPr>
            <w:tcW w:w="700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评委根据所提样品的品牌影响力（0-2分）、原材料质量（0-2分）、制作工艺（0-2分）、外观（0-1分），由评委综合打分。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437" w:type="dxa"/>
            <w:vMerge w:val="continue"/>
            <w:tcBorders>
              <w:left w:val="single" w:color="auto" w:sz="4" w:space="0"/>
              <w:right w:val="single" w:color="auto" w:sz="4" w:space="0"/>
              <w:tl2br w:val="nil"/>
              <w:tr2bl w:val="nil"/>
            </w:tcBorders>
            <w:noWrap w:val="0"/>
            <w:vAlign w:val="center"/>
          </w:tcPr>
          <w:p>
            <w:pPr>
              <w:widowControl/>
              <w:jc w:val="center"/>
              <w:rPr>
                <w:rFonts w:hint="eastAsia" w:ascii="宋体" w:hAnsi="宋体" w:cs="宋体"/>
                <w:color w:val="auto"/>
                <w:kern w:val="0"/>
                <w:sz w:val="22"/>
                <w:szCs w:val="22"/>
                <w:highlight w:val="none"/>
                <w:lang w:val="en-US" w:eastAsia="zh-CN"/>
              </w:rPr>
            </w:pPr>
          </w:p>
        </w:tc>
        <w:tc>
          <w:tcPr>
            <w:tcW w:w="686" w:type="dxa"/>
            <w:vMerge w:val="continue"/>
            <w:tcBorders>
              <w:left w:val="single" w:color="auto" w:sz="4" w:space="0"/>
              <w:right w:val="single" w:color="auto" w:sz="4" w:space="0"/>
              <w:tl2br w:val="nil"/>
              <w:tr2bl w:val="nil"/>
            </w:tcBorders>
            <w:noWrap w:val="0"/>
            <w:vAlign w:val="center"/>
          </w:tcPr>
          <w:p>
            <w:pPr>
              <w:widowControl/>
              <w:jc w:val="center"/>
              <w:rPr>
                <w:rFonts w:hint="eastAsia" w:ascii="宋体" w:hAnsi="宋体" w:cs="宋体"/>
                <w:color w:val="auto"/>
                <w:sz w:val="22"/>
                <w:szCs w:val="22"/>
                <w:highlight w:val="none"/>
              </w:rPr>
            </w:pPr>
          </w:p>
        </w:tc>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单人间-学习椅</w:t>
            </w:r>
          </w:p>
        </w:tc>
        <w:tc>
          <w:tcPr>
            <w:tcW w:w="6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rPr>
              <w:t>0-</w:t>
            </w:r>
            <w:r>
              <w:rPr>
                <w:rFonts w:hint="eastAsia" w:ascii="宋体" w:hAnsi="宋体" w:cs="宋体"/>
                <w:color w:val="auto"/>
                <w:kern w:val="0"/>
                <w:sz w:val="22"/>
                <w:szCs w:val="22"/>
                <w:highlight w:val="none"/>
                <w:lang w:val="en-US" w:eastAsia="zh-CN"/>
              </w:rPr>
              <w:t>5</w:t>
            </w:r>
          </w:p>
        </w:tc>
        <w:tc>
          <w:tcPr>
            <w:tcW w:w="700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评委根据所提样品的整体质量、制作工艺、原材料质量、外观及规格尺寸，由评委综合打分。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7" w:type="dxa"/>
            <w:vMerge w:val="continue"/>
            <w:tcBorders>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color w:val="auto"/>
                <w:kern w:val="0"/>
                <w:sz w:val="22"/>
                <w:szCs w:val="22"/>
                <w:highlight w:val="none"/>
                <w:lang w:val="en-US" w:eastAsia="zh-CN"/>
              </w:rPr>
            </w:pPr>
          </w:p>
        </w:tc>
        <w:tc>
          <w:tcPr>
            <w:tcW w:w="686" w:type="dxa"/>
            <w:vMerge w:val="continue"/>
            <w:tcBorders>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color w:val="auto"/>
                <w:sz w:val="22"/>
                <w:szCs w:val="22"/>
                <w:highlight w:val="none"/>
              </w:rPr>
            </w:pPr>
          </w:p>
        </w:tc>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cs="宋体"/>
                <w:color w:val="auto"/>
                <w:sz w:val="22"/>
                <w:szCs w:val="22"/>
                <w:highlight w:val="none"/>
                <w:lang w:val="en-US" w:eastAsia="zh-CN"/>
              </w:rPr>
            </w:pPr>
            <w:r>
              <w:rPr>
                <w:rFonts w:hint="eastAsia" w:ascii="宋体" w:hAnsi="宋体" w:cs="宋体"/>
                <w:i w:val="0"/>
                <w:iCs w:val="0"/>
                <w:color w:val="auto"/>
                <w:kern w:val="0"/>
                <w:sz w:val="22"/>
                <w:szCs w:val="22"/>
                <w:highlight w:val="none"/>
                <w:u w:val="none"/>
                <w:lang w:val="en-US" w:eastAsia="zh-CN" w:bidi="ar"/>
              </w:rPr>
              <w:t>公区-</w:t>
            </w:r>
            <w:r>
              <w:rPr>
                <w:rFonts w:hint="eastAsia" w:ascii="宋体" w:hAnsi="宋体" w:eastAsia="宋体" w:cs="宋体"/>
                <w:i w:val="0"/>
                <w:iCs w:val="0"/>
                <w:color w:val="auto"/>
                <w:kern w:val="0"/>
                <w:sz w:val="22"/>
                <w:szCs w:val="22"/>
                <w:highlight w:val="none"/>
                <w:u w:val="none"/>
                <w:lang w:val="en-US" w:eastAsia="zh-CN" w:bidi="ar"/>
              </w:rPr>
              <w:t>长沙发(左靠背)</w:t>
            </w:r>
          </w:p>
        </w:tc>
        <w:tc>
          <w:tcPr>
            <w:tcW w:w="6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rPr>
              <w:t>0-</w:t>
            </w:r>
            <w:r>
              <w:rPr>
                <w:rFonts w:hint="eastAsia" w:ascii="宋体" w:hAnsi="宋体" w:cs="宋体"/>
                <w:color w:val="auto"/>
                <w:kern w:val="0"/>
                <w:sz w:val="22"/>
                <w:szCs w:val="22"/>
                <w:highlight w:val="none"/>
                <w:lang w:val="en-US" w:eastAsia="zh-CN"/>
              </w:rPr>
              <w:t>5</w:t>
            </w:r>
          </w:p>
        </w:tc>
        <w:tc>
          <w:tcPr>
            <w:tcW w:w="700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left"/>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val="en-US" w:eastAsia="zh-CN"/>
              </w:rPr>
              <w:t>评委根据所提样品的整体质量、制作工艺、原材料质量、外观及规格尺寸，由评委综合打分。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4" w:hRule="atLeast"/>
          <w:jc w:val="center"/>
        </w:trPr>
        <w:tc>
          <w:tcPr>
            <w:tcW w:w="437" w:type="dxa"/>
            <w:tcBorders>
              <w:top w:val="single" w:color="auto" w:sz="4" w:space="0"/>
              <w:left w:val="single" w:color="auto" w:sz="4" w:space="0"/>
              <w:right w:val="single" w:color="auto" w:sz="4" w:space="0"/>
              <w:tl2br w:val="nil"/>
              <w:tr2bl w:val="nil"/>
            </w:tcBorders>
            <w:noWrap w:val="0"/>
            <w:vAlign w:val="center"/>
          </w:tcPr>
          <w:p>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6</w:t>
            </w:r>
          </w:p>
        </w:tc>
        <w:tc>
          <w:tcPr>
            <w:tcW w:w="2006" w:type="dxa"/>
            <w:gridSpan w:val="2"/>
            <w:tcBorders>
              <w:top w:val="single" w:color="auto" w:sz="4" w:space="0"/>
              <w:left w:val="single" w:color="auto" w:sz="4" w:space="0"/>
              <w:right w:val="single" w:color="auto" w:sz="4" w:space="0"/>
              <w:tl2br w:val="nil"/>
              <w:tr2bl w:val="nil"/>
            </w:tcBorders>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实施方案及质量保证措施</w:t>
            </w:r>
          </w:p>
        </w:tc>
        <w:tc>
          <w:tcPr>
            <w:tcW w:w="6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7006" w:type="dxa"/>
            <w:tcBorders>
              <w:top w:val="single" w:color="auto" w:sz="4" w:space="0"/>
              <w:left w:val="single" w:color="auto" w:sz="4" w:space="0"/>
              <w:right w:val="single" w:color="auto" w:sz="4" w:space="0"/>
              <w:tl2br w:val="nil"/>
              <w:tr2bl w:val="nil"/>
            </w:tcBorders>
            <w:noWrap w:val="0"/>
            <w:vAlign w:val="center"/>
          </w:tcPr>
          <w:p>
            <w:pPr>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1.项目实施计划</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根据投标人对本项目的</w:t>
            </w:r>
            <w:r>
              <w:rPr>
                <w:rFonts w:hint="eastAsia" w:ascii="宋体" w:hAnsi="宋体" w:cs="宋体"/>
                <w:color w:val="auto"/>
                <w:sz w:val="22"/>
                <w:szCs w:val="22"/>
                <w:highlight w:val="none"/>
              </w:rPr>
              <w:t>项目总体部署、总工期、生产流程</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工艺流程控制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进度安排</w:t>
            </w:r>
            <w:r>
              <w:rPr>
                <w:rFonts w:hint="eastAsia" w:ascii="宋体" w:hAnsi="宋体" w:cs="宋体"/>
                <w:color w:val="auto"/>
                <w:sz w:val="22"/>
                <w:szCs w:val="22"/>
                <w:highlight w:val="none"/>
                <w:lang w:val="en-US" w:eastAsia="zh-CN"/>
              </w:rPr>
              <w:t>等情况，综合打分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0-2</w:t>
            </w:r>
            <w:r>
              <w:rPr>
                <w:rFonts w:hint="eastAsia" w:ascii="宋体" w:hAnsi="宋体" w:cs="宋体"/>
                <w:color w:val="auto"/>
                <w:sz w:val="22"/>
                <w:szCs w:val="22"/>
                <w:highlight w:val="none"/>
              </w:rPr>
              <w:t>分）</w:t>
            </w:r>
          </w:p>
          <w:p>
            <w:pPr>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项目</w:t>
            </w:r>
            <w:r>
              <w:rPr>
                <w:rFonts w:hint="eastAsia" w:ascii="宋体" w:hAnsi="宋体" w:cs="宋体"/>
                <w:color w:val="auto"/>
                <w:sz w:val="22"/>
                <w:szCs w:val="22"/>
                <w:highlight w:val="none"/>
                <w:lang w:val="en-US" w:eastAsia="zh-CN"/>
              </w:rPr>
              <w:t>供货、</w:t>
            </w:r>
            <w:r>
              <w:rPr>
                <w:rFonts w:hint="eastAsia" w:ascii="宋体" w:hAnsi="宋体" w:cs="宋体"/>
                <w:color w:val="auto"/>
                <w:sz w:val="22"/>
                <w:szCs w:val="22"/>
                <w:highlight w:val="none"/>
              </w:rPr>
              <w:t>安装方案：投标人针对该项目的运输安排表、现场卸货及搬运入户措施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现场安装管理</w:t>
            </w:r>
            <w:r>
              <w:rPr>
                <w:rFonts w:hint="eastAsia" w:ascii="宋体" w:hAnsi="宋体" w:cs="宋体"/>
                <w:color w:val="auto"/>
                <w:sz w:val="22"/>
                <w:szCs w:val="22"/>
                <w:highlight w:val="none"/>
                <w:lang w:val="en-US" w:eastAsia="zh-CN"/>
              </w:rPr>
              <w:t>等</w:t>
            </w:r>
            <w:r>
              <w:rPr>
                <w:rFonts w:hint="eastAsia" w:ascii="宋体" w:hAnsi="宋体" w:cs="宋体"/>
                <w:color w:val="auto"/>
                <w:sz w:val="22"/>
                <w:szCs w:val="22"/>
                <w:highlight w:val="none"/>
              </w:rPr>
              <w:t>方案</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综合打分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0-1</w:t>
            </w:r>
            <w:r>
              <w:rPr>
                <w:rFonts w:hint="eastAsia" w:ascii="宋体" w:hAnsi="宋体" w:cs="宋体"/>
                <w:color w:val="auto"/>
                <w:sz w:val="22"/>
                <w:szCs w:val="22"/>
                <w:highlight w:val="none"/>
              </w:rPr>
              <w:t>分）</w:t>
            </w:r>
          </w:p>
          <w:p>
            <w:pPr>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.项目品控方案：投标人针对该项目产品的质量检验程序控制方案综合打分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0-2</w:t>
            </w:r>
            <w:r>
              <w:rPr>
                <w:rFonts w:hint="eastAsia" w:ascii="宋体" w:hAnsi="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jc w:val="center"/>
        </w:trPr>
        <w:tc>
          <w:tcPr>
            <w:tcW w:w="437" w:type="dxa"/>
            <w:tcBorders>
              <w:top w:val="single" w:color="auto" w:sz="4" w:space="0"/>
              <w:left w:val="single" w:color="auto" w:sz="4" w:space="0"/>
              <w:right w:val="single" w:color="auto" w:sz="4" w:space="0"/>
              <w:tl2br w:val="nil"/>
              <w:tr2bl w:val="nil"/>
            </w:tcBorders>
            <w:noWrap w:val="0"/>
            <w:vAlign w:val="center"/>
          </w:tcPr>
          <w:p>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7</w:t>
            </w:r>
          </w:p>
        </w:tc>
        <w:tc>
          <w:tcPr>
            <w:tcW w:w="2006" w:type="dxa"/>
            <w:gridSpan w:val="2"/>
            <w:tcBorders>
              <w:top w:val="single" w:color="auto" w:sz="4" w:space="0"/>
              <w:left w:val="single" w:color="auto" w:sz="4" w:space="0"/>
              <w:right w:val="single" w:color="auto" w:sz="4" w:space="0"/>
              <w:tl2br w:val="nil"/>
              <w:tr2bl w:val="nil"/>
            </w:tcBorders>
            <w:noWrap w:val="0"/>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项目服务团队</w:t>
            </w:r>
          </w:p>
        </w:tc>
        <w:tc>
          <w:tcPr>
            <w:tcW w:w="6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0-2</w:t>
            </w:r>
          </w:p>
        </w:tc>
        <w:tc>
          <w:tcPr>
            <w:tcW w:w="7006" w:type="dxa"/>
            <w:tcBorders>
              <w:top w:val="single" w:color="auto" w:sz="4" w:space="0"/>
              <w:left w:val="single" w:color="auto" w:sz="4" w:space="0"/>
              <w:right w:val="single" w:color="auto" w:sz="4" w:space="0"/>
              <w:tl2br w:val="nil"/>
              <w:tr2bl w:val="nil"/>
            </w:tcBorders>
            <w:noWrap w:val="0"/>
            <w:vAlign w:val="center"/>
          </w:tcPr>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根据拟派</w:t>
            </w:r>
            <w:r>
              <w:rPr>
                <w:rFonts w:hint="eastAsia"/>
                <w:color w:val="auto"/>
                <w:highlight w:val="none"/>
                <w:lang w:val="en-US" w:eastAsia="zh-CN"/>
              </w:rPr>
              <w:t>团队成员的岗位配置、专业素养、</w:t>
            </w:r>
            <w:r>
              <w:rPr>
                <w:rFonts w:hint="eastAsia"/>
                <w:color w:val="auto"/>
                <w:highlight w:val="none"/>
              </w:rPr>
              <w:t>工作履历</w:t>
            </w:r>
            <w:r>
              <w:rPr>
                <w:rFonts w:hint="eastAsia"/>
                <w:color w:val="auto"/>
                <w:highlight w:val="none"/>
                <w:lang w:val="en-US" w:eastAsia="zh-CN"/>
              </w:rPr>
              <w:t>等情况</w:t>
            </w:r>
            <w:r>
              <w:rPr>
                <w:rFonts w:hint="eastAsia"/>
                <w:color w:val="auto"/>
                <w:highlight w:val="none"/>
              </w:rPr>
              <w:t>，由评委综合打分</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7" w:type="dxa"/>
            <w:tcBorders>
              <w:top w:val="single" w:color="auto" w:sz="4" w:space="0"/>
              <w:left w:val="single" w:color="auto" w:sz="4" w:space="0"/>
              <w:right w:val="single" w:color="auto" w:sz="4" w:space="0"/>
              <w:tl2br w:val="nil"/>
              <w:tr2bl w:val="nil"/>
            </w:tcBorders>
            <w:noWrap w:val="0"/>
            <w:vAlign w:val="center"/>
          </w:tcPr>
          <w:p>
            <w:pPr>
              <w:widowControl/>
              <w:jc w:val="center"/>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8</w:t>
            </w:r>
          </w:p>
        </w:tc>
        <w:tc>
          <w:tcPr>
            <w:tcW w:w="2006" w:type="dxa"/>
            <w:gridSpan w:val="2"/>
            <w:tcBorders>
              <w:top w:val="single" w:color="auto" w:sz="4" w:space="0"/>
              <w:left w:val="single" w:color="auto" w:sz="4" w:space="0"/>
              <w:right w:val="single" w:color="auto" w:sz="4" w:space="0"/>
              <w:tl2br w:val="nil"/>
              <w:tr2bl w:val="nil"/>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售后服务</w:t>
            </w:r>
            <w:r>
              <w:rPr>
                <w:rFonts w:hint="eastAsia" w:ascii="宋体" w:hAnsi="宋体" w:cs="宋体"/>
                <w:color w:val="auto"/>
                <w:kern w:val="0"/>
                <w:sz w:val="22"/>
                <w:szCs w:val="22"/>
                <w:highlight w:val="none"/>
                <w:lang w:val="en-US" w:eastAsia="zh-CN"/>
              </w:rPr>
              <w:t>方案及</w:t>
            </w:r>
            <w:r>
              <w:rPr>
                <w:rFonts w:hint="eastAsia" w:ascii="宋体" w:hAnsi="宋体" w:cs="宋体"/>
                <w:color w:val="auto"/>
                <w:kern w:val="0"/>
                <w:sz w:val="22"/>
                <w:szCs w:val="22"/>
                <w:highlight w:val="none"/>
              </w:rPr>
              <w:t>承诺</w:t>
            </w:r>
          </w:p>
        </w:tc>
        <w:tc>
          <w:tcPr>
            <w:tcW w:w="63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3</w:t>
            </w:r>
          </w:p>
        </w:tc>
        <w:tc>
          <w:tcPr>
            <w:tcW w:w="700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ascii="宋体" w:hAnsi="宋体" w:cs="宋体"/>
                <w:color w:val="auto"/>
                <w:sz w:val="22"/>
                <w:szCs w:val="22"/>
                <w:highlight w:val="none"/>
              </w:rPr>
            </w:pPr>
            <w:r>
              <w:rPr>
                <w:rFonts w:hint="eastAsia" w:ascii="宋体" w:hAnsi="宋体" w:cs="宋体"/>
                <w:color w:val="auto"/>
                <w:sz w:val="22"/>
                <w:szCs w:val="22"/>
                <w:highlight w:val="none"/>
              </w:rPr>
              <w:t>根据售后服务</w:t>
            </w:r>
            <w:r>
              <w:rPr>
                <w:rFonts w:hint="eastAsia" w:ascii="宋体" w:hAnsi="宋体" w:cs="宋体"/>
                <w:color w:val="auto"/>
                <w:sz w:val="22"/>
                <w:szCs w:val="22"/>
                <w:highlight w:val="none"/>
                <w:lang w:val="en-US" w:eastAsia="zh-CN"/>
              </w:rPr>
              <w:t>方案</w:t>
            </w:r>
            <w:r>
              <w:rPr>
                <w:rFonts w:hint="eastAsia" w:ascii="宋体" w:hAnsi="宋体" w:cs="宋体"/>
                <w:color w:val="auto"/>
                <w:sz w:val="22"/>
                <w:szCs w:val="22"/>
                <w:highlight w:val="none"/>
              </w:rPr>
              <w:t>的</w:t>
            </w:r>
            <w:r>
              <w:rPr>
                <w:rFonts w:hint="eastAsia" w:ascii="宋体" w:hAnsi="宋体" w:cs="宋体"/>
                <w:color w:val="auto"/>
                <w:sz w:val="22"/>
                <w:szCs w:val="22"/>
                <w:highlight w:val="none"/>
                <w:lang w:val="en-US" w:eastAsia="zh-CN"/>
              </w:rPr>
              <w:t>内容</w:t>
            </w:r>
            <w:r>
              <w:rPr>
                <w:rFonts w:hint="eastAsia" w:ascii="宋体" w:hAnsi="宋体" w:cs="宋体"/>
                <w:color w:val="auto"/>
                <w:sz w:val="22"/>
                <w:szCs w:val="22"/>
                <w:highlight w:val="none"/>
              </w:rPr>
              <w:t>和完善程度（包括服务网点的远近情况、人员配备情况、售后服务承诺、保修范围服务标准、故障响应修复时间方式等保障措施），由评委综合打。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rPr>
              <w:t>9</w:t>
            </w:r>
          </w:p>
        </w:tc>
        <w:tc>
          <w:tcPr>
            <w:tcW w:w="2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sz w:val="22"/>
                <w:szCs w:val="22"/>
                <w:highlight w:val="none"/>
                <w:lang w:val="en-US" w:eastAsia="zh-CN"/>
              </w:rPr>
              <w:t>同类</w:t>
            </w:r>
            <w:r>
              <w:rPr>
                <w:rFonts w:hint="eastAsia" w:ascii="宋体" w:hAnsi="宋体" w:cs="宋体"/>
                <w:color w:val="auto"/>
                <w:sz w:val="22"/>
                <w:szCs w:val="22"/>
                <w:highlight w:val="none"/>
              </w:rPr>
              <w:t>项目业绩</w:t>
            </w:r>
          </w:p>
        </w:tc>
        <w:tc>
          <w:tcPr>
            <w:tcW w:w="6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1</w:t>
            </w:r>
          </w:p>
        </w:tc>
        <w:tc>
          <w:tcPr>
            <w:tcW w:w="700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20</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rPr>
              <w:t>年1月1日至今</w:t>
            </w:r>
            <w:r>
              <w:rPr>
                <w:rFonts w:hint="eastAsia" w:ascii="宋体" w:hAnsi="宋体" w:cs="宋体"/>
                <w:color w:val="auto"/>
                <w:sz w:val="22"/>
                <w:szCs w:val="22"/>
                <w:highlight w:val="none"/>
                <w:lang w:val="en-US" w:eastAsia="zh-CN"/>
              </w:rPr>
              <w:t>同类</w:t>
            </w:r>
            <w:r>
              <w:rPr>
                <w:rFonts w:hint="eastAsia" w:ascii="宋体" w:hAnsi="宋体" w:cs="宋体"/>
                <w:color w:val="auto"/>
                <w:sz w:val="22"/>
                <w:szCs w:val="22"/>
                <w:highlight w:val="none"/>
              </w:rPr>
              <w:t>项目业绩进行评分，项目业绩需提证明材料，证明文件以提供的发票、合同和验收报告为准（三者缺一不可）。每提供1个有效业绩得0.5分，最高得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default"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0</w:t>
            </w:r>
          </w:p>
        </w:tc>
        <w:tc>
          <w:tcPr>
            <w:tcW w:w="2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rPr>
              <w:t>节能</w:t>
            </w:r>
            <w:r>
              <w:rPr>
                <w:rFonts w:hint="eastAsia" w:ascii="宋体" w:hAnsi="宋体"/>
                <w:color w:val="auto"/>
                <w:sz w:val="22"/>
                <w:szCs w:val="22"/>
                <w:highlight w:val="none"/>
                <w:lang w:eastAsia="zh-CN"/>
              </w:rPr>
              <w:t>、</w:t>
            </w:r>
            <w:r>
              <w:rPr>
                <w:rFonts w:hint="eastAsia" w:ascii="宋体" w:hAnsi="宋体"/>
                <w:color w:val="auto"/>
                <w:sz w:val="22"/>
                <w:szCs w:val="22"/>
                <w:highlight w:val="none"/>
              </w:rPr>
              <w:t>环保</w:t>
            </w:r>
          </w:p>
        </w:tc>
        <w:tc>
          <w:tcPr>
            <w:tcW w:w="63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val="en-US" w:eastAsia="zh-CN"/>
              </w:rPr>
              <w:t>0-2</w:t>
            </w:r>
          </w:p>
        </w:tc>
        <w:tc>
          <w:tcPr>
            <w:tcW w:w="70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1.投标产品属于政府采购品目清单范围且提供国家确定的认证机构出具的处于有效期之内的节能产品认证证书或“投标产品在‘中国政府采购网’上节能产品查询截图的，每项产品得0.5分，最高得</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分（投标产品属于节能产品政府采购品目清单中强制采购的除外）；</w:t>
            </w:r>
          </w:p>
          <w:p>
            <w:pPr>
              <w:adjustRightInd w:val="0"/>
              <w:spacing w:line="276" w:lineRule="auto"/>
              <w:jc w:val="left"/>
              <w:rPr>
                <w:rFonts w:hint="eastAsia" w:ascii="宋体" w:hAnsi="宋体" w:eastAsia="宋体" w:cs="Times New Roman"/>
                <w:bCs/>
                <w:color w:val="auto"/>
                <w:kern w:val="2"/>
                <w:sz w:val="22"/>
                <w:szCs w:val="22"/>
                <w:highlight w:val="none"/>
                <w:lang w:val="en-US" w:eastAsia="zh-CN" w:bidi="ar-SA"/>
              </w:rPr>
            </w:pPr>
            <w:r>
              <w:rPr>
                <w:rFonts w:hint="eastAsia" w:ascii="宋体" w:hAnsi="宋体" w:cs="宋体"/>
                <w:color w:val="auto"/>
                <w:sz w:val="22"/>
                <w:szCs w:val="22"/>
                <w:highlight w:val="none"/>
              </w:rPr>
              <w:t>2.投标产品属于政府采购品目清单范围且提供国家确定的认证机构出具的处于有效期之内的环境标志产品认证证书或“投标产品在‘中国政府采购网’上环境标志产品查询截图的，每项产品得0.5分，最高得</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分。</w:t>
            </w:r>
          </w:p>
        </w:tc>
      </w:tr>
    </w:tbl>
    <w:p>
      <w:pPr>
        <w:spacing w:line="400" w:lineRule="exact"/>
        <w:rPr>
          <w:rFonts w:ascii="宋体" w:hAnsi="宋体" w:cs="Arial"/>
          <w:color w:val="auto"/>
          <w:sz w:val="22"/>
          <w:highlight w:val="none"/>
        </w:rPr>
      </w:pPr>
      <w:r>
        <w:rPr>
          <w:rFonts w:hint="eastAsia" w:ascii="宋体" w:hAnsi="宋体" w:cs="Arial"/>
          <w:color w:val="auto"/>
          <w:sz w:val="22"/>
          <w:highlight w:val="none"/>
        </w:rPr>
        <w:t>2、</w:t>
      </w:r>
      <w:r>
        <w:rPr>
          <w:rFonts w:hint="eastAsia" w:ascii="宋体" w:hAnsi="宋体" w:cs="Arial"/>
          <w:b/>
          <w:color w:val="auto"/>
          <w:sz w:val="22"/>
          <w:highlight w:val="none"/>
        </w:rPr>
        <w:t>商务评分（</w:t>
      </w:r>
      <w:r>
        <w:rPr>
          <w:rFonts w:hint="eastAsia" w:ascii="宋体" w:hAnsi="宋体" w:cs="Arial"/>
          <w:b/>
          <w:color w:val="auto"/>
          <w:sz w:val="22"/>
          <w:highlight w:val="none"/>
          <w:lang w:val="en-US" w:eastAsia="zh-CN"/>
        </w:rPr>
        <w:t>30</w:t>
      </w:r>
      <w:r>
        <w:rPr>
          <w:rFonts w:hint="eastAsia" w:ascii="宋体" w:hAnsi="宋体" w:cs="Arial"/>
          <w:b/>
          <w:color w:val="auto"/>
          <w:sz w:val="22"/>
          <w:highlight w:val="none"/>
        </w:rPr>
        <w:t>分）</w:t>
      </w:r>
      <w:r>
        <w:rPr>
          <w:rFonts w:hint="eastAsia" w:ascii="宋体" w:hAnsi="宋体" w:cs="Arial"/>
          <w:color w:val="auto"/>
          <w:sz w:val="22"/>
          <w:highlight w:val="none"/>
        </w:rPr>
        <w:t>：</w:t>
      </w:r>
    </w:p>
    <w:p>
      <w:pPr>
        <w:spacing w:line="400" w:lineRule="exact"/>
        <w:ind w:left="328" w:leftChars="156"/>
        <w:rPr>
          <w:rFonts w:ascii="宋体" w:hAnsi="宋体" w:cs="Arial"/>
          <w:color w:val="auto"/>
          <w:sz w:val="22"/>
          <w:highlight w:val="none"/>
        </w:rPr>
      </w:pPr>
      <w:r>
        <w:rPr>
          <w:rFonts w:hint="eastAsia" w:ascii="宋体" w:hAnsi="宋体" w:cs="Arial"/>
          <w:color w:val="auto"/>
          <w:sz w:val="22"/>
          <w:highlight w:val="none"/>
        </w:rPr>
        <w:t>满足招标文件要求且报价最低的投标报价为评标基准价。</w:t>
      </w:r>
    </w:p>
    <w:p>
      <w:pPr>
        <w:spacing w:line="440" w:lineRule="exact"/>
        <w:ind w:firstLine="330" w:firstLineChars="150"/>
        <w:rPr>
          <w:rFonts w:hint="eastAsia" w:ascii="宋体" w:hAnsi="宋体"/>
          <w:color w:val="auto"/>
          <w:sz w:val="22"/>
          <w:highlight w:val="none"/>
          <w:lang w:val="en-US" w:eastAsia="zh-CN"/>
        </w:rPr>
      </w:pPr>
      <w:r>
        <w:rPr>
          <w:rFonts w:ascii="宋体" w:hAnsi="宋体"/>
          <w:color w:val="auto"/>
          <w:sz w:val="22"/>
          <w:highlight w:val="none"/>
        </w:rPr>
        <w:t>1</w:t>
      </w:r>
      <w:r>
        <w:rPr>
          <w:rFonts w:hint="eastAsia" w:ascii="宋体" w:hAnsi="宋体"/>
          <w:color w:val="auto"/>
          <w:sz w:val="22"/>
          <w:highlight w:val="none"/>
        </w:rPr>
        <w:t>）</w:t>
      </w:r>
      <w:r>
        <w:rPr>
          <w:rFonts w:hint="eastAsia" w:ascii="宋体" w:hAnsi="宋体" w:cs="Arial"/>
          <w:color w:val="auto"/>
          <w:sz w:val="22"/>
          <w:highlight w:val="none"/>
        </w:rPr>
        <w:t>有效投标人的投标报价等于评标基准价时其商务分为满分</w:t>
      </w:r>
      <w:r>
        <w:rPr>
          <w:rFonts w:hint="eastAsia" w:ascii="宋体" w:hAnsi="宋体" w:cs="Arial"/>
          <w:color w:val="auto"/>
          <w:sz w:val="22"/>
          <w:highlight w:val="none"/>
          <w:lang w:val="en-US" w:eastAsia="zh-CN"/>
        </w:rPr>
        <w:t>30</w:t>
      </w:r>
      <w:r>
        <w:rPr>
          <w:rFonts w:hint="eastAsia" w:ascii="宋体" w:hAnsi="宋体" w:cs="Arial"/>
          <w:color w:val="auto"/>
          <w:sz w:val="22"/>
          <w:highlight w:val="none"/>
        </w:rPr>
        <w:t>分</w:t>
      </w:r>
      <w:r>
        <w:rPr>
          <w:rFonts w:hint="eastAsia" w:ascii="宋体" w:hAnsi="宋体"/>
          <w:color w:val="auto"/>
          <w:sz w:val="22"/>
          <w:highlight w:val="none"/>
          <w:lang w:val="en-US" w:eastAsia="zh-CN"/>
        </w:rPr>
        <w:t>。</w:t>
      </w:r>
    </w:p>
    <w:p>
      <w:pPr>
        <w:spacing w:line="440" w:lineRule="exact"/>
        <w:ind w:firstLine="330" w:firstLineChars="150"/>
        <w:rPr>
          <w:rFonts w:ascii="宋体"/>
          <w:color w:val="auto"/>
          <w:sz w:val="22"/>
          <w:highlight w:val="none"/>
        </w:rPr>
      </w:pPr>
      <w:r>
        <w:rPr>
          <w:rFonts w:ascii="宋体" w:hAnsi="宋体"/>
          <w:color w:val="auto"/>
          <w:sz w:val="22"/>
          <w:highlight w:val="none"/>
        </w:rPr>
        <w:t>2</w:t>
      </w:r>
      <w:r>
        <w:rPr>
          <w:rFonts w:hint="eastAsia" w:ascii="宋体" w:hAnsi="宋体"/>
          <w:color w:val="auto"/>
          <w:sz w:val="22"/>
          <w:highlight w:val="none"/>
        </w:rPr>
        <w:t>）其他</w:t>
      </w:r>
      <w:r>
        <w:rPr>
          <w:rFonts w:hint="eastAsia" w:ascii="宋体" w:hAnsi="宋体"/>
          <w:color w:val="auto"/>
          <w:sz w:val="22"/>
          <w:highlight w:val="none"/>
          <w:lang w:eastAsia="zh-CN"/>
        </w:rPr>
        <w:t>投标人</w:t>
      </w:r>
      <w:r>
        <w:rPr>
          <w:rFonts w:hint="eastAsia" w:ascii="宋体" w:hAnsi="宋体"/>
          <w:color w:val="auto"/>
          <w:sz w:val="22"/>
          <w:highlight w:val="none"/>
        </w:rPr>
        <w:t>的价格分按以下公式计算：</w:t>
      </w:r>
    </w:p>
    <w:p>
      <w:pPr>
        <w:numPr>
          <w:ilvl w:val="0"/>
          <w:numId w:val="0"/>
        </w:numPr>
        <w:spacing w:line="440" w:lineRule="exact"/>
        <w:ind w:left="400" w:leftChars="0"/>
        <w:rPr>
          <w:rFonts w:hint="eastAsia" w:ascii="宋体" w:hAnsi="宋体"/>
          <w:color w:val="auto"/>
          <w:sz w:val="22"/>
          <w:highlight w:val="none"/>
        </w:rPr>
      </w:pPr>
      <w:r>
        <w:rPr>
          <w:rFonts w:hint="eastAsia" w:ascii="宋体" w:hAnsi="宋体"/>
          <w:color w:val="auto"/>
          <w:sz w:val="22"/>
          <w:highlight w:val="none"/>
        </w:rPr>
        <w:t>商务分得分</w:t>
      </w:r>
      <w:r>
        <w:rPr>
          <w:rFonts w:ascii="宋体" w:hAnsi="宋体"/>
          <w:color w:val="auto"/>
          <w:sz w:val="22"/>
          <w:highlight w:val="none"/>
        </w:rPr>
        <w:t>=</w:t>
      </w:r>
      <w:r>
        <w:rPr>
          <w:rFonts w:hint="eastAsia" w:ascii="宋体" w:hAnsi="宋体"/>
          <w:color w:val="auto"/>
          <w:sz w:val="22"/>
          <w:highlight w:val="none"/>
        </w:rPr>
        <w:t>（</w:t>
      </w:r>
      <w:r>
        <w:rPr>
          <w:rFonts w:hint="eastAsia" w:ascii="宋体" w:hAnsi="宋体"/>
          <w:color w:val="auto"/>
          <w:sz w:val="22"/>
          <w:highlight w:val="none"/>
          <w:lang w:val="en-US" w:eastAsia="zh-CN"/>
        </w:rPr>
        <w:t>评标</w:t>
      </w:r>
      <w:r>
        <w:rPr>
          <w:rFonts w:hint="eastAsia" w:ascii="宋体" w:hAnsi="宋体"/>
          <w:color w:val="auto"/>
          <w:sz w:val="22"/>
          <w:highlight w:val="none"/>
        </w:rPr>
        <w:t>基准价</w:t>
      </w:r>
      <w:r>
        <w:rPr>
          <w:rFonts w:ascii="宋体" w:hAnsi="宋体"/>
          <w:color w:val="auto"/>
          <w:sz w:val="22"/>
          <w:highlight w:val="none"/>
        </w:rPr>
        <w:t>/</w:t>
      </w:r>
      <w:r>
        <w:rPr>
          <w:rFonts w:hint="eastAsia" w:ascii="宋体" w:hAnsi="宋体"/>
          <w:color w:val="auto"/>
          <w:sz w:val="22"/>
          <w:highlight w:val="none"/>
          <w:lang w:eastAsia="zh-CN"/>
        </w:rPr>
        <w:t>投标</w:t>
      </w:r>
      <w:r>
        <w:rPr>
          <w:rFonts w:hint="eastAsia" w:ascii="宋体" w:hAnsi="宋体"/>
          <w:color w:val="auto"/>
          <w:sz w:val="22"/>
          <w:highlight w:val="none"/>
          <w:lang w:val="en-US" w:eastAsia="zh-CN"/>
        </w:rPr>
        <w:t>人投标</w:t>
      </w:r>
      <w:r>
        <w:rPr>
          <w:rFonts w:hint="eastAsia" w:ascii="宋体" w:hAnsi="宋体"/>
          <w:color w:val="auto"/>
          <w:sz w:val="22"/>
          <w:highlight w:val="none"/>
        </w:rPr>
        <w:t>报价）×</w:t>
      </w:r>
      <w:r>
        <w:rPr>
          <w:rFonts w:hint="eastAsia" w:ascii="宋体" w:hAnsi="宋体" w:cs="Arial"/>
          <w:color w:val="auto"/>
          <w:sz w:val="22"/>
          <w:highlight w:val="none"/>
          <w:lang w:val="en-US" w:eastAsia="zh-CN"/>
        </w:rPr>
        <w:t>30</w:t>
      </w:r>
      <w:r>
        <w:rPr>
          <w:rFonts w:hint="eastAsia" w:ascii="宋体" w:hAnsi="宋体" w:cs="Arial"/>
          <w:color w:val="auto"/>
          <w:sz w:val="22"/>
          <w:highlight w:val="none"/>
        </w:rPr>
        <w:t>% ×100</w:t>
      </w:r>
      <w:r>
        <w:rPr>
          <w:rFonts w:hint="eastAsia" w:ascii="宋体" w:hAnsi="宋体"/>
          <w:color w:val="auto"/>
          <w:sz w:val="22"/>
          <w:highlight w:val="none"/>
        </w:rPr>
        <w:t>（四舍五入后保留小数</w:t>
      </w:r>
      <w:r>
        <w:rPr>
          <w:rFonts w:ascii="宋体" w:hAnsi="宋体"/>
          <w:color w:val="auto"/>
          <w:sz w:val="22"/>
          <w:highlight w:val="none"/>
        </w:rPr>
        <w:t>2</w:t>
      </w:r>
      <w:r>
        <w:rPr>
          <w:rFonts w:hint="eastAsia" w:ascii="宋体" w:hAnsi="宋体"/>
          <w:color w:val="auto"/>
          <w:sz w:val="22"/>
          <w:highlight w:val="none"/>
        </w:rPr>
        <w:t>位）</w:t>
      </w:r>
    </w:p>
    <w:p>
      <w:pPr>
        <w:spacing w:line="400" w:lineRule="exact"/>
        <w:ind w:firstLine="221" w:firstLineChars="100"/>
        <w:rPr>
          <w:rFonts w:ascii="宋体" w:hAnsi="宋体" w:cs="Arial"/>
          <w:color w:val="auto"/>
          <w:sz w:val="22"/>
          <w:highlight w:val="none"/>
        </w:rPr>
      </w:pPr>
      <w:r>
        <w:rPr>
          <w:rFonts w:hint="eastAsia" w:ascii="宋体" w:hAnsi="宋体" w:cs="宋体"/>
          <w:b/>
          <w:color w:val="auto"/>
          <w:sz w:val="22"/>
          <w:szCs w:val="22"/>
          <w:highlight w:val="none"/>
        </w:rPr>
        <w:t xml:space="preserve">3）本项目为对应的中小企业划分标准所属行业： </w:t>
      </w:r>
      <w:r>
        <w:rPr>
          <w:rFonts w:hint="eastAsia" w:ascii="宋体" w:hAnsi="宋体" w:cs="宋体"/>
          <w:b/>
          <w:color w:val="auto"/>
          <w:sz w:val="22"/>
          <w:szCs w:val="22"/>
          <w:highlight w:val="none"/>
          <w:lang w:val="en-US" w:eastAsia="zh-CN"/>
        </w:rPr>
        <w:t>工</w:t>
      </w:r>
      <w:r>
        <w:rPr>
          <w:rFonts w:hint="eastAsia" w:ascii="宋体" w:hAnsi="宋体" w:cs="宋体"/>
          <w:b/>
          <w:color w:val="auto"/>
          <w:sz w:val="22"/>
          <w:szCs w:val="22"/>
          <w:highlight w:val="none"/>
        </w:rPr>
        <w:t>业。</w:t>
      </w:r>
    </w:p>
    <w:p>
      <w:pPr>
        <w:spacing w:line="400" w:lineRule="exact"/>
        <w:ind w:firstLine="330" w:firstLineChars="150"/>
        <w:rPr>
          <w:rFonts w:hint="eastAsia" w:ascii="宋体" w:hAnsi="宋体" w:cs="Arial"/>
          <w:b/>
          <w:color w:val="auto"/>
          <w:sz w:val="22"/>
          <w:szCs w:val="22"/>
          <w:highlight w:val="none"/>
          <w:u w:val="single"/>
        </w:rPr>
      </w:pPr>
      <w:r>
        <w:rPr>
          <w:rFonts w:hint="eastAsia" w:ascii="宋体" w:hAnsi="宋体" w:cs="Arial"/>
          <w:color w:val="auto"/>
          <w:sz w:val="22"/>
          <w:highlight w:val="none"/>
          <w:lang w:val="en-US" w:eastAsia="zh-CN"/>
        </w:rPr>
        <w:t>4</w:t>
      </w:r>
      <w:r>
        <w:rPr>
          <w:rFonts w:hint="eastAsia" w:ascii="宋体" w:hAnsi="宋体" w:cs="Arial"/>
          <w:color w:val="auto"/>
          <w:sz w:val="22"/>
          <w:highlight w:val="none"/>
        </w:rPr>
        <w:t>）</w:t>
      </w:r>
      <w:r>
        <w:rPr>
          <w:rFonts w:hint="eastAsia" w:ascii="宋体" w:hAnsi="宋体" w:cs="Arial"/>
          <w:b/>
          <w:color w:val="auto"/>
          <w:sz w:val="22"/>
          <w:szCs w:val="22"/>
          <w:highlight w:val="none"/>
          <w:u w:val="single"/>
        </w:rPr>
        <w:t>本项目采购预算为</w:t>
      </w:r>
      <w:r>
        <w:rPr>
          <w:rFonts w:hint="eastAsia" w:ascii="宋体" w:hAnsi="宋体" w:cs="Arial"/>
          <w:b/>
          <w:color w:val="auto"/>
          <w:sz w:val="22"/>
          <w:szCs w:val="22"/>
          <w:highlight w:val="none"/>
          <w:u w:val="single"/>
          <w:lang w:val="en-US" w:eastAsia="zh-CN"/>
        </w:rPr>
        <w:t xml:space="preserve">6000000 </w:t>
      </w:r>
      <w:r>
        <w:rPr>
          <w:rFonts w:hint="eastAsia" w:ascii="宋体" w:hAnsi="宋体" w:cs="Arial"/>
          <w:b/>
          <w:color w:val="auto"/>
          <w:sz w:val="22"/>
          <w:szCs w:val="22"/>
          <w:highlight w:val="none"/>
          <w:u w:val="single"/>
        </w:rPr>
        <w:t>元。</w:t>
      </w:r>
    </w:p>
    <w:p>
      <w:pPr>
        <w:spacing w:line="400" w:lineRule="exact"/>
        <w:ind w:firstLine="330" w:firstLineChars="150"/>
        <w:rPr>
          <w:rFonts w:ascii="宋体" w:hAnsi="宋体" w:cs="Arial"/>
          <w:b/>
          <w:color w:val="auto"/>
          <w:sz w:val="22"/>
          <w:szCs w:val="22"/>
          <w:highlight w:val="none"/>
          <w:u w:val="single"/>
        </w:rPr>
      </w:pPr>
      <w:r>
        <w:rPr>
          <w:rFonts w:hint="eastAsia" w:ascii="宋体" w:hAnsi="宋体" w:cs="Arial"/>
          <w:color w:val="auto"/>
          <w:sz w:val="22"/>
          <w:highlight w:val="none"/>
          <w:lang w:val="en-US" w:eastAsia="zh-CN"/>
        </w:rPr>
        <w:t>5</w:t>
      </w:r>
      <w:r>
        <w:rPr>
          <w:rFonts w:hint="eastAsia" w:ascii="宋体" w:hAnsi="宋体" w:cs="Arial"/>
          <w:color w:val="auto"/>
          <w:sz w:val="22"/>
          <w:highlight w:val="none"/>
        </w:rPr>
        <w:t>）</w:t>
      </w:r>
      <w:r>
        <w:rPr>
          <w:rFonts w:hint="eastAsia" w:ascii="宋体" w:hAnsi="宋体"/>
          <w:b/>
          <w:bCs/>
          <w:color w:val="auto"/>
          <w:sz w:val="22"/>
          <w:szCs w:val="22"/>
          <w:highlight w:val="none"/>
        </w:rPr>
        <w:t>▲</w:t>
      </w:r>
      <w:r>
        <w:rPr>
          <w:rFonts w:hint="eastAsia" w:ascii="宋体" w:hAnsi="宋体" w:cs="Arial"/>
          <w:b/>
          <w:color w:val="auto"/>
          <w:sz w:val="22"/>
          <w:szCs w:val="22"/>
          <w:highlight w:val="none"/>
          <w:u w:val="single"/>
        </w:rPr>
        <w:t>本项目</w:t>
      </w:r>
      <w:r>
        <w:rPr>
          <w:rFonts w:hint="eastAsia" w:ascii="宋体" w:hAnsi="宋体" w:cs="Arial"/>
          <w:b/>
          <w:color w:val="auto"/>
          <w:sz w:val="22"/>
          <w:szCs w:val="22"/>
          <w:highlight w:val="none"/>
          <w:u w:val="single"/>
          <w:lang w:val="en-US" w:eastAsia="zh-CN"/>
        </w:rPr>
        <w:t>最高限价</w:t>
      </w:r>
      <w:r>
        <w:rPr>
          <w:rFonts w:hint="eastAsia" w:ascii="宋体" w:hAnsi="宋体" w:cs="Arial"/>
          <w:b/>
          <w:color w:val="auto"/>
          <w:sz w:val="22"/>
          <w:szCs w:val="22"/>
          <w:highlight w:val="none"/>
          <w:u w:val="single"/>
        </w:rPr>
        <w:t>为</w:t>
      </w:r>
      <w:r>
        <w:rPr>
          <w:rFonts w:hint="eastAsia" w:ascii="宋体" w:hAnsi="宋体" w:cs="Arial"/>
          <w:b/>
          <w:color w:val="auto"/>
          <w:sz w:val="22"/>
          <w:szCs w:val="22"/>
          <w:highlight w:val="none"/>
          <w:u w:val="single"/>
          <w:lang w:val="en-US" w:eastAsia="zh-CN"/>
        </w:rPr>
        <w:t xml:space="preserve">5180000 </w:t>
      </w:r>
      <w:r>
        <w:rPr>
          <w:rFonts w:hint="eastAsia" w:ascii="宋体" w:hAnsi="宋体" w:cs="Arial"/>
          <w:b/>
          <w:color w:val="auto"/>
          <w:sz w:val="22"/>
          <w:szCs w:val="22"/>
          <w:highlight w:val="none"/>
          <w:u w:val="single"/>
        </w:rPr>
        <w:t>元。如</w:t>
      </w:r>
      <w:r>
        <w:rPr>
          <w:rFonts w:hint="eastAsia" w:ascii="宋体" w:hAnsi="宋体" w:cs="Arial"/>
          <w:b/>
          <w:color w:val="auto"/>
          <w:sz w:val="22"/>
          <w:szCs w:val="22"/>
          <w:highlight w:val="none"/>
          <w:u w:val="single"/>
          <w:lang w:eastAsia="zh-CN"/>
        </w:rPr>
        <w:t>投标人</w:t>
      </w:r>
      <w:r>
        <w:rPr>
          <w:rFonts w:hint="eastAsia" w:ascii="宋体" w:hAnsi="宋体" w:cs="Arial"/>
          <w:b/>
          <w:color w:val="auto"/>
          <w:sz w:val="22"/>
          <w:szCs w:val="22"/>
          <w:highlight w:val="none"/>
          <w:u w:val="single"/>
        </w:rPr>
        <w:t>报价超过</w:t>
      </w:r>
      <w:r>
        <w:rPr>
          <w:rFonts w:hint="eastAsia" w:ascii="宋体" w:hAnsi="宋体" w:cs="Arial"/>
          <w:b/>
          <w:color w:val="auto"/>
          <w:sz w:val="22"/>
          <w:szCs w:val="22"/>
          <w:highlight w:val="none"/>
          <w:u w:val="single"/>
          <w:lang w:val="en-US" w:eastAsia="zh-CN"/>
        </w:rPr>
        <w:t>最高限价</w:t>
      </w:r>
      <w:r>
        <w:rPr>
          <w:rFonts w:hint="eastAsia" w:ascii="宋体" w:hAnsi="宋体"/>
          <w:b/>
          <w:color w:val="auto"/>
          <w:sz w:val="22"/>
          <w:szCs w:val="22"/>
          <w:highlight w:val="none"/>
          <w:u w:val="single"/>
        </w:rPr>
        <w:t>，其</w:t>
      </w:r>
      <w:r>
        <w:rPr>
          <w:rFonts w:hint="eastAsia" w:ascii="宋体" w:hAnsi="宋体"/>
          <w:b/>
          <w:color w:val="auto"/>
          <w:sz w:val="22"/>
          <w:szCs w:val="22"/>
          <w:highlight w:val="none"/>
          <w:u w:val="single"/>
          <w:lang w:eastAsia="zh-CN"/>
        </w:rPr>
        <w:t>投标文件</w:t>
      </w:r>
      <w:r>
        <w:rPr>
          <w:rFonts w:hint="eastAsia" w:ascii="宋体" w:hAnsi="宋体"/>
          <w:b/>
          <w:color w:val="auto"/>
          <w:sz w:val="22"/>
          <w:szCs w:val="22"/>
          <w:highlight w:val="none"/>
          <w:u w:val="single"/>
        </w:rPr>
        <w:t>作无效标处理</w:t>
      </w:r>
      <w:r>
        <w:rPr>
          <w:rFonts w:hint="eastAsia" w:ascii="宋体" w:hAnsi="宋体" w:cs="Arial"/>
          <w:color w:val="auto"/>
          <w:sz w:val="22"/>
          <w:highlight w:val="none"/>
        </w:rPr>
        <w:t>。</w:t>
      </w:r>
    </w:p>
    <w:p>
      <w:pPr>
        <w:spacing w:line="400" w:lineRule="exact"/>
        <w:ind w:firstLine="330" w:firstLineChars="150"/>
        <w:rPr>
          <w:rFonts w:ascii="宋体" w:hAnsi="宋体" w:cs="Arial"/>
          <w:color w:val="auto"/>
          <w:sz w:val="22"/>
          <w:highlight w:val="none"/>
        </w:rPr>
      </w:pPr>
      <w:r>
        <w:rPr>
          <w:rFonts w:hint="eastAsia" w:ascii="宋体" w:hAnsi="宋体" w:cs="Arial"/>
          <w:color w:val="auto"/>
          <w:sz w:val="22"/>
          <w:highlight w:val="none"/>
          <w:lang w:val="en-US" w:eastAsia="zh-CN"/>
        </w:rPr>
        <w:t>6</w:t>
      </w:r>
      <w:r>
        <w:rPr>
          <w:rFonts w:hint="eastAsia" w:ascii="宋体" w:hAnsi="宋体" w:cs="Arial"/>
          <w:color w:val="auto"/>
          <w:sz w:val="22"/>
          <w:highlight w:val="none"/>
        </w:rPr>
        <w:t>）</w:t>
      </w:r>
      <w:r>
        <w:rPr>
          <w:rFonts w:hint="eastAsia" w:ascii="宋体" w:hAnsi="宋体" w:cs="Arial"/>
          <w:color w:val="auto"/>
          <w:sz w:val="22"/>
          <w:szCs w:val="22"/>
          <w:highlight w:val="none"/>
        </w:rPr>
        <w:t>所有</w:t>
      </w:r>
      <w:r>
        <w:rPr>
          <w:rFonts w:hint="eastAsia" w:ascii="宋体" w:hAnsi="宋体" w:cs="Arial"/>
          <w:color w:val="auto"/>
          <w:sz w:val="22"/>
          <w:szCs w:val="22"/>
          <w:highlight w:val="none"/>
          <w:lang w:eastAsia="zh-CN"/>
        </w:rPr>
        <w:t>投标人</w:t>
      </w:r>
      <w:r>
        <w:rPr>
          <w:rFonts w:hint="eastAsia" w:ascii="宋体" w:hAnsi="宋体" w:cs="Arial"/>
          <w:color w:val="auto"/>
          <w:sz w:val="22"/>
          <w:szCs w:val="22"/>
          <w:highlight w:val="none"/>
        </w:rPr>
        <w:t>商务报价均超采购预算，</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无法支付的,</w:t>
      </w:r>
      <w:r>
        <w:rPr>
          <w:rFonts w:hint="eastAsia" w:ascii="宋体" w:hAnsi="宋体" w:cs="Arial"/>
          <w:color w:val="auto"/>
          <w:sz w:val="22"/>
          <w:szCs w:val="22"/>
          <w:highlight w:val="none"/>
        </w:rPr>
        <w:t>重新组织招标</w:t>
      </w:r>
      <w:r>
        <w:rPr>
          <w:rFonts w:hint="eastAsia" w:ascii="宋体" w:hAnsi="宋体" w:cs="Arial"/>
          <w:color w:val="auto"/>
          <w:sz w:val="22"/>
          <w:highlight w:val="none"/>
        </w:rPr>
        <w:t>。</w:t>
      </w:r>
    </w:p>
    <w:p>
      <w:pPr>
        <w:spacing w:line="400" w:lineRule="exact"/>
        <w:rPr>
          <w:rFonts w:ascii="宋体" w:hAnsi="宋体" w:cs="宋体"/>
          <w:color w:val="auto"/>
          <w:kern w:val="0"/>
          <w:sz w:val="22"/>
          <w:szCs w:val="22"/>
          <w:highlight w:val="none"/>
        </w:rPr>
      </w:pPr>
      <w:r>
        <w:rPr>
          <w:rFonts w:hint="eastAsia" w:ascii="宋体" w:hAnsi="宋体" w:cs="Arial"/>
          <w:color w:val="auto"/>
          <w:sz w:val="22"/>
          <w:highlight w:val="none"/>
        </w:rPr>
        <w:t>3、 有效投标人的综合得分为技术资信分和商务（报价）分的总和。</w:t>
      </w:r>
      <w:bookmarkEnd w:id="199"/>
      <w:bookmarkEnd w:id="200"/>
      <w:bookmarkStart w:id="201" w:name="_Toc221356957"/>
      <w:bookmarkStart w:id="202" w:name="_Toc222114885"/>
      <w:bookmarkStart w:id="203" w:name="_Toc221423625"/>
      <w:bookmarkStart w:id="204" w:name="_Toc246261271"/>
      <w:bookmarkStart w:id="205" w:name="_Toc245722287"/>
      <w:bookmarkStart w:id="206" w:name="_Toc223716004"/>
      <w:bookmarkStart w:id="207" w:name="_Toc241404208"/>
      <w:bookmarkStart w:id="208" w:name="_Toc221374632"/>
      <w:bookmarkStart w:id="209" w:name="_Toc245191320"/>
      <w:bookmarkStart w:id="210" w:name="_Toc221356894"/>
      <w:bookmarkStart w:id="211" w:name="_Toc239145360"/>
    </w:p>
    <w:p>
      <w:pPr>
        <w:pStyle w:val="6"/>
        <w:rPr>
          <w:rFonts w:ascii="宋体" w:hAnsi="宋体" w:eastAsia="宋体" w:cs="Arial"/>
          <w:color w:val="auto"/>
          <w:sz w:val="36"/>
          <w:szCs w:val="36"/>
          <w:highlight w:val="none"/>
        </w:rPr>
      </w:pPr>
      <w:r>
        <w:rPr>
          <w:rFonts w:hint="eastAsia" w:ascii="宋体" w:hAnsi="宋体" w:eastAsia="宋体"/>
          <w:color w:val="auto"/>
          <w:sz w:val="22"/>
          <w:highlight w:val="none"/>
        </w:rPr>
        <w:br w:type="page"/>
      </w:r>
      <w:bookmarkStart w:id="212" w:name="_Toc249758871"/>
      <w:bookmarkStart w:id="213" w:name="_Toc249758721"/>
      <w:bookmarkStart w:id="214" w:name="_Toc262105510"/>
      <w:bookmarkStart w:id="215" w:name="_Toc23332"/>
      <w:bookmarkStart w:id="216" w:name="_Toc262049425"/>
      <w:r>
        <w:rPr>
          <w:rFonts w:hint="eastAsia" w:ascii="宋体" w:hAnsi="宋体" w:eastAsia="宋体" w:cs="Arial"/>
          <w:color w:val="auto"/>
          <w:sz w:val="36"/>
          <w:szCs w:val="36"/>
          <w:highlight w:val="none"/>
        </w:rPr>
        <w:t>第四部分   合同主要条款</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rPr>
          <w:color w:val="auto"/>
          <w:highlight w:val="none"/>
        </w:rPr>
      </w:pPr>
      <w:bookmarkStart w:id="217" w:name="_Toc221374633"/>
      <w:bookmarkStart w:id="218" w:name="_Toc221356960"/>
      <w:bookmarkStart w:id="219" w:name="_Toc221356897"/>
    </w:p>
    <w:p>
      <w:pPr>
        <w:spacing w:line="400" w:lineRule="exact"/>
        <w:ind w:firstLine="440" w:firstLineChars="200"/>
        <w:rPr>
          <w:rFonts w:hint="eastAsia" w:ascii="宋体" w:hAnsi="宋体" w:eastAsia="宋体" w:cs="宋体"/>
          <w:b/>
          <w:color w:val="auto"/>
          <w:sz w:val="22"/>
          <w:szCs w:val="22"/>
          <w:highlight w:val="none"/>
        </w:rPr>
      </w:pPr>
      <w:r>
        <w:rPr>
          <w:rFonts w:hint="eastAsia" w:ascii="宋体" w:hAnsi="宋体" w:cs="Arial"/>
          <w:color w:val="auto"/>
          <w:sz w:val="22"/>
          <w:szCs w:val="22"/>
          <w:highlight w:val="none"/>
        </w:rPr>
        <w:t>本条款为甲乙双方必须遵守的基本条款，买卖双方也可根据实际情况另签合同条款，正式合同以双方签字盖章的文本为准。</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righ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b/>
          <w:bCs/>
          <w:color w:val="auto"/>
          <w:kern w:val="0"/>
          <w:sz w:val="22"/>
          <w:szCs w:val="22"/>
          <w:highlight w:val="none"/>
        </w:rPr>
        <w:t>合同编号：</w:t>
      </w:r>
      <w:r>
        <w:rPr>
          <w:rFonts w:hint="eastAsia" w:ascii="宋体" w:hAnsi="宋体" w:eastAsia="宋体" w:cs="宋体"/>
          <w:b/>
          <w:bCs/>
          <w:color w:val="auto"/>
          <w:kern w:val="0"/>
          <w:sz w:val="22"/>
          <w:szCs w:val="22"/>
          <w:highlight w:val="none"/>
          <w:lang w:val="en-US" w:eastAsia="zh-CN"/>
        </w:rPr>
        <w:t xml:space="preserve">    </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甲方</w:t>
      </w:r>
      <w:r>
        <w:rPr>
          <w:rFonts w:hint="eastAsia" w:ascii="宋体" w:hAnsi="宋体" w:eastAsia="宋体" w:cs="宋体"/>
          <w:b/>
          <w:bCs/>
          <w:color w:val="auto"/>
          <w:sz w:val="22"/>
          <w:szCs w:val="22"/>
          <w:highlight w:val="none"/>
        </w:rPr>
        <w:t xml:space="preserve">（采购人）：   </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乙方</w:t>
      </w:r>
      <w:r>
        <w:rPr>
          <w:rFonts w:hint="eastAsia" w:ascii="宋体" w:hAnsi="宋体" w:eastAsia="宋体" w:cs="宋体"/>
          <w:b/>
          <w:bCs/>
          <w:color w:val="auto"/>
          <w:sz w:val="22"/>
          <w:szCs w:val="22"/>
          <w:highlight w:val="none"/>
        </w:rPr>
        <w:t>（中标人）：</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u w:val="single"/>
        </w:rPr>
      </w:pP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日在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招标采购中，</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接受</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对本次设备的投标，</w:t>
      </w:r>
      <w:r>
        <w:rPr>
          <w:rFonts w:hint="eastAsia" w:ascii="宋体" w:hAnsi="宋体" w:eastAsia="宋体" w:cs="宋体"/>
          <w:color w:val="auto"/>
          <w:sz w:val="22"/>
          <w:szCs w:val="22"/>
          <w:highlight w:val="none"/>
          <w:lang w:val="en-US" w:eastAsia="zh-CN"/>
        </w:rPr>
        <w:t>甲乙</w:t>
      </w:r>
      <w:r>
        <w:rPr>
          <w:rFonts w:hint="eastAsia" w:ascii="宋体" w:hAnsi="宋体" w:eastAsia="宋体" w:cs="宋体"/>
          <w:color w:val="auto"/>
          <w:sz w:val="22"/>
          <w:szCs w:val="22"/>
          <w:highlight w:val="none"/>
        </w:rPr>
        <w:t>双方及采购方根据《中华人民共和国政府采购法》、《中华人民共和国民法典》等法规和本合同的招标文件、招标响应文件及其投标中的承诺，经双方协商，同意签订本合同，共同遵守。</w:t>
      </w:r>
    </w:p>
    <w:p>
      <w:pPr>
        <w:pageBreakBefore w:val="0"/>
        <w:kinsoku/>
        <w:wordWrap/>
        <w:overflowPunct/>
        <w:topLinePunct w:val="0"/>
        <w:autoSpaceDE/>
        <w:autoSpaceDN/>
        <w:bidi w:val="0"/>
        <w:adjustRightInd/>
        <w:spacing w:line="380" w:lineRule="exact"/>
        <w:ind w:firstLine="440" w:firstLineChars="200"/>
        <w:textAlignment w:val="auto"/>
        <w:outlineLvl w:val="0"/>
        <w:rPr>
          <w:rFonts w:hint="eastAsia" w:ascii="宋体" w:hAnsi="宋体" w:eastAsia="宋体" w:cs="宋体"/>
          <w:color w:val="auto"/>
          <w:sz w:val="22"/>
          <w:szCs w:val="22"/>
          <w:highlight w:val="none"/>
          <w:u w:val="single"/>
        </w:rPr>
      </w:pPr>
      <w:bookmarkStart w:id="220" w:name="_Toc27232"/>
      <w:r>
        <w:rPr>
          <w:rFonts w:hint="eastAsia" w:ascii="宋体" w:hAnsi="宋体" w:eastAsia="宋体" w:cs="宋体"/>
          <w:color w:val="auto"/>
          <w:sz w:val="22"/>
          <w:szCs w:val="22"/>
          <w:highlight w:val="none"/>
        </w:rPr>
        <w:t xml:space="preserve">1、采购设备内容及价格（详细清单可附后）    单位： </w:t>
      </w:r>
      <w:r>
        <w:rPr>
          <w:rFonts w:hint="eastAsia" w:ascii="宋体" w:hAnsi="宋体" w:eastAsia="宋体" w:cs="宋体"/>
          <w:color w:val="auto"/>
          <w:sz w:val="22"/>
          <w:szCs w:val="22"/>
          <w:highlight w:val="none"/>
          <w:u w:val="single"/>
        </w:rPr>
        <w:t xml:space="preserve"> 元</w:t>
      </w:r>
      <w:bookmarkEnd w:id="220"/>
      <w:r>
        <w:rPr>
          <w:rFonts w:hint="eastAsia" w:ascii="宋体" w:hAnsi="宋体" w:eastAsia="宋体" w:cs="宋体"/>
          <w:color w:val="auto"/>
          <w:sz w:val="22"/>
          <w:szCs w:val="22"/>
          <w:highlight w:val="none"/>
          <w:u w:val="single"/>
        </w:rPr>
        <w:t xml:space="preserve"> </w:t>
      </w:r>
    </w:p>
    <w:tbl>
      <w:tblPr>
        <w:tblStyle w:val="62"/>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46"/>
        <w:gridCol w:w="1333"/>
        <w:gridCol w:w="1804"/>
        <w:gridCol w:w="1002"/>
        <w:gridCol w:w="1678"/>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96" w:type="dxa"/>
            <w:noWrap w:val="0"/>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346" w:type="dxa"/>
            <w:noWrap w:val="0"/>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设备名称</w:t>
            </w:r>
          </w:p>
        </w:tc>
        <w:tc>
          <w:tcPr>
            <w:tcW w:w="1333" w:type="dxa"/>
            <w:noWrap w:val="0"/>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品牌</w:t>
            </w:r>
          </w:p>
        </w:tc>
        <w:tc>
          <w:tcPr>
            <w:tcW w:w="1804" w:type="dxa"/>
            <w:noWrap w:val="0"/>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型号规格和主要配置</w:t>
            </w:r>
          </w:p>
        </w:tc>
        <w:tc>
          <w:tcPr>
            <w:tcW w:w="1002" w:type="dxa"/>
            <w:noWrap w:val="0"/>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678" w:type="dxa"/>
            <w:noWrap w:val="0"/>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w:t>
            </w:r>
          </w:p>
        </w:tc>
        <w:tc>
          <w:tcPr>
            <w:tcW w:w="1774" w:type="dxa"/>
            <w:noWrap w:val="0"/>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6" w:type="dxa"/>
            <w:noWrap w:val="0"/>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46" w:type="dxa"/>
            <w:noWrap w:val="0"/>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 w:val="22"/>
                <w:szCs w:val="22"/>
                <w:highlight w:val="none"/>
              </w:rPr>
            </w:pPr>
          </w:p>
        </w:tc>
        <w:tc>
          <w:tcPr>
            <w:tcW w:w="1333" w:type="dxa"/>
            <w:noWrap w:val="0"/>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 w:val="22"/>
                <w:szCs w:val="22"/>
                <w:highlight w:val="none"/>
              </w:rPr>
            </w:pPr>
          </w:p>
        </w:tc>
        <w:tc>
          <w:tcPr>
            <w:tcW w:w="1804" w:type="dxa"/>
            <w:noWrap w:val="0"/>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详见附件</w:t>
            </w:r>
          </w:p>
        </w:tc>
        <w:tc>
          <w:tcPr>
            <w:tcW w:w="1002" w:type="dxa"/>
            <w:noWrap w:val="0"/>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 w:val="22"/>
                <w:szCs w:val="22"/>
                <w:highlight w:val="none"/>
              </w:rPr>
            </w:pPr>
          </w:p>
        </w:tc>
        <w:tc>
          <w:tcPr>
            <w:tcW w:w="1678" w:type="dxa"/>
            <w:noWrap w:val="0"/>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元</w:t>
            </w:r>
          </w:p>
        </w:tc>
        <w:tc>
          <w:tcPr>
            <w:tcW w:w="1774" w:type="dxa"/>
            <w:noWrap w:val="0"/>
            <w:vAlign w:val="center"/>
          </w:tcPr>
          <w:p>
            <w:pPr>
              <w:pageBreakBefore w:val="0"/>
              <w:kinsoku/>
              <w:wordWrap/>
              <w:overflowPunct/>
              <w:topLinePunct w:val="0"/>
              <w:autoSpaceDE/>
              <w:autoSpaceDN/>
              <w:bidi w:val="0"/>
              <w:adjustRightInd/>
              <w:spacing w:line="38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9633" w:type="dxa"/>
            <w:gridSpan w:val="7"/>
            <w:noWrap w:val="0"/>
            <w:vAlign w:val="center"/>
          </w:tcPr>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合计：（大写）                                   。 小写：￥       元</w:t>
            </w:r>
          </w:p>
        </w:tc>
      </w:tr>
    </w:tbl>
    <w:p>
      <w:pPr>
        <w:pageBreakBefore w:val="0"/>
        <w:kinsoku/>
        <w:wordWrap/>
        <w:overflowPunct/>
        <w:topLinePunct w:val="0"/>
        <w:autoSpaceDE/>
        <w:autoSpaceDN/>
        <w:bidi w:val="0"/>
        <w:adjustRightInd/>
        <w:spacing w:line="380" w:lineRule="exact"/>
        <w:ind w:firstLine="440" w:firstLineChars="200"/>
        <w:textAlignment w:val="auto"/>
        <w:outlineLvl w:val="0"/>
        <w:rPr>
          <w:rFonts w:hint="eastAsia" w:ascii="宋体" w:hAnsi="宋体" w:eastAsia="宋体" w:cs="宋体"/>
          <w:color w:val="auto"/>
          <w:sz w:val="22"/>
          <w:szCs w:val="22"/>
          <w:highlight w:val="none"/>
        </w:rPr>
      </w:pPr>
      <w:bookmarkStart w:id="221" w:name="_Toc8546"/>
      <w:r>
        <w:rPr>
          <w:rFonts w:hint="eastAsia" w:ascii="宋体" w:hAnsi="宋体" w:eastAsia="宋体" w:cs="宋体"/>
          <w:color w:val="auto"/>
          <w:sz w:val="22"/>
          <w:szCs w:val="22"/>
          <w:highlight w:val="none"/>
        </w:rPr>
        <w:t>2、本合同总价为货物及其附件的采购、制造、包装、税金、运输及运输保险费、装卸费、搬运费、质保期内维修保护费、备品备件费、特殊工具费、售后服务费、政策性文件规定及合同包含的所有风险、责任等全部费用，实行固定总价包干。除发生下列因素可调整合同价外，不得以任何其他理由调整任何费用。</w:t>
      </w:r>
      <w:bookmarkEnd w:id="221"/>
    </w:p>
    <w:p>
      <w:pPr>
        <w:pageBreakBefore w:val="0"/>
        <w:kinsoku/>
        <w:wordWrap/>
        <w:overflowPunct/>
        <w:topLinePunct w:val="0"/>
        <w:autoSpaceDE/>
        <w:autoSpaceDN/>
        <w:bidi w:val="0"/>
        <w:adjustRightInd/>
        <w:spacing w:line="380" w:lineRule="exact"/>
        <w:ind w:firstLine="440" w:firstLineChars="200"/>
        <w:textAlignment w:val="auto"/>
        <w:outlineLvl w:val="0"/>
        <w:rPr>
          <w:rFonts w:hint="eastAsia" w:ascii="宋体" w:hAnsi="宋体" w:eastAsia="宋体" w:cs="宋体"/>
          <w:color w:val="auto"/>
          <w:sz w:val="22"/>
          <w:szCs w:val="22"/>
          <w:highlight w:val="none"/>
        </w:rPr>
      </w:pPr>
      <w:bookmarkStart w:id="222" w:name="_Toc25834"/>
      <w:r>
        <w:rPr>
          <w:rFonts w:hint="eastAsia" w:ascii="宋体" w:hAnsi="宋体" w:eastAsia="宋体" w:cs="宋体"/>
          <w:color w:val="auto"/>
          <w:sz w:val="22"/>
          <w:szCs w:val="22"/>
          <w:highlight w:val="none"/>
        </w:rPr>
        <w:t>3、设备、材料供应</w:t>
      </w:r>
      <w:bookmarkEnd w:id="222"/>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本合同范围所需的设备均由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提供。采购供应的材料、设备均须有合格证、质保书等相关技术资料。如发现不合格的设备材料，由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承担全部的经济损失和责任。</w:t>
      </w:r>
    </w:p>
    <w:p>
      <w:pPr>
        <w:pageBreakBefore w:val="0"/>
        <w:kinsoku/>
        <w:wordWrap/>
        <w:overflowPunct/>
        <w:topLinePunct w:val="0"/>
        <w:autoSpaceDE/>
        <w:autoSpaceDN/>
        <w:bidi w:val="0"/>
        <w:adjustRightInd/>
        <w:spacing w:line="380" w:lineRule="exact"/>
        <w:ind w:firstLine="440" w:firstLineChars="200"/>
        <w:textAlignment w:val="auto"/>
        <w:outlineLvl w:val="0"/>
        <w:rPr>
          <w:rFonts w:hint="eastAsia" w:ascii="宋体" w:hAnsi="宋体" w:eastAsia="宋体" w:cs="宋体"/>
          <w:color w:val="auto"/>
          <w:sz w:val="22"/>
          <w:szCs w:val="22"/>
          <w:highlight w:val="none"/>
        </w:rPr>
      </w:pPr>
      <w:bookmarkStart w:id="223" w:name="_Toc23703"/>
      <w:r>
        <w:rPr>
          <w:rFonts w:hint="eastAsia" w:ascii="宋体" w:hAnsi="宋体" w:eastAsia="宋体" w:cs="宋体"/>
          <w:color w:val="auto"/>
          <w:sz w:val="22"/>
          <w:szCs w:val="22"/>
          <w:highlight w:val="none"/>
        </w:rPr>
        <w:t>4、产品包装</w:t>
      </w:r>
      <w:bookmarkEnd w:id="223"/>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4.1为了保证设备在长途运输和装卸过程中的安全，产品包装应符合国家或专业（部）标准规定。由于包装不善导致设备锈蚀、失缺或损坏，由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承担一切责任。</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4.2每一包装箱内必须附有装箱清单。</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5、唛头</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应在每件包装箱上，明显地标注下列标记：</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1)收货人；2)产品名称；3)合同号；4)品目号和箱号；5)到达站或到货地点；6)外形尺寸(长宽高)，以厘米计；7)毛重、净重(公斤)。</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应根据设备特点，在包装箱上标明“小心轻放”、“请勿倒置”、“防潮”等字样和吊装标记。</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u w:val="single"/>
        </w:rPr>
        <w:t>▲本合同产品的免费保修期限为设备验收合格交付使用后所有货物免费保修五年，终身维护。</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在产品质量保证期限内，</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对由于产品设计、工艺、材料、配套件的缺陷而造成的任何产品质量问题或故障负责。</w:t>
      </w:r>
    </w:p>
    <w:p>
      <w:pPr>
        <w:pageBreakBefore w:val="0"/>
        <w:kinsoku/>
        <w:wordWrap/>
        <w:overflowPunct/>
        <w:topLinePunct w:val="0"/>
        <w:autoSpaceDE/>
        <w:autoSpaceDN/>
        <w:bidi w:val="0"/>
        <w:adjustRightInd/>
        <w:spacing w:line="380" w:lineRule="exact"/>
        <w:ind w:firstLine="440" w:firstLineChars="200"/>
        <w:textAlignment w:val="auto"/>
        <w:outlineLvl w:val="0"/>
        <w:rPr>
          <w:rFonts w:hint="eastAsia" w:ascii="宋体" w:hAnsi="宋体" w:eastAsia="宋体" w:cs="宋体"/>
          <w:color w:val="auto"/>
          <w:sz w:val="22"/>
          <w:szCs w:val="22"/>
          <w:highlight w:val="none"/>
        </w:rPr>
      </w:pPr>
      <w:bookmarkStart w:id="224" w:name="_Toc31474"/>
      <w:r>
        <w:rPr>
          <w:rFonts w:hint="eastAsia" w:ascii="宋体" w:hAnsi="宋体" w:eastAsia="宋体" w:cs="宋体"/>
          <w:color w:val="auto"/>
          <w:sz w:val="22"/>
          <w:szCs w:val="22"/>
          <w:highlight w:val="none"/>
        </w:rPr>
        <w:t>7、产品资料</w:t>
      </w:r>
      <w:bookmarkEnd w:id="224"/>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档案资料，包括：设备的数量、型号、规格，设备生产厂家的产品检测证书，出厂检验报告，合格证书，产品说明书等有关资料。如发现不合格的设备材料，由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承担全部的经济损失的责任。设备开箱后的全部随机资料所有权归</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所有。开箱验收后由</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保管。</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u w:val="single"/>
        </w:rPr>
        <w:t>▲交付使用时间：交货时间为60</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日历天</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内完成交付并验收通过（其中给予中标方45天的生产时间，另外15天进行安装及调试验收）。交货地点： 温州肯恩大学指定地点（联系人：    ，联系电话：       ） 。</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9、付款方式与结算</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生效以及具备实施条件后7个工作日内采购人先预付合同金额的40%给中标人，本项目整体验收合格后，按实际供货数量结算，中标人出具全额增值税发票后7个工作日内采购人支付剩余的货款（根据中标单价据实结算）</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合同签订后5个工作日内，中标人向采购人提交合同金额</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%的履约保证金（提交方式：支票、汇票、本票或者金融机构、担保机构出具的保函等非现金形式），履约保证金待</w:t>
      </w:r>
      <w:r>
        <w:rPr>
          <w:rFonts w:hint="eastAsia" w:ascii="宋体" w:hAnsi="宋体" w:eastAsia="宋体" w:cs="宋体"/>
          <w:color w:val="auto"/>
          <w:sz w:val="22"/>
          <w:szCs w:val="22"/>
          <w:highlight w:val="none"/>
          <w:lang w:val="en-US" w:eastAsia="zh-CN"/>
        </w:rPr>
        <w:t>该</w:t>
      </w:r>
      <w:r>
        <w:rPr>
          <w:rFonts w:hint="eastAsia" w:ascii="宋体" w:hAnsi="宋体" w:eastAsia="宋体" w:cs="宋体"/>
          <w:color w:val="auto"/>
          <w:sz w:val="22"/>
          <w:szCs w:val="22"/>
          <w:highlight w:val="none"/>
        </w:rPr>
        <w:t>项目验收合格后无质量及服务等问题15个工作日内无息退还。中标人没有履行本合同项下约定的义务和责任所需承担的违约金、赔偿金及其他费用，采购人有权直接从履约保证金中扣除，履约保证金中不足以扣除的，采购人有权从任何一笔合同价款中扣除。</w:t>
      </w:r>
    </w:p>
    <w:p>
      <w:pPr>
        <w:pStyle w:val="27"/>
        <w:pageBreakBefore w:val="0"/>
        <w:kinsoku/>
        <w:wordWrap/>
        <w:overflowPunct/>
        <w:topLinePunct w:val="0"/>
        <w:autoSpaceDE/>
        <w:autoSpaceDN/>
        <w:bidi w:val="0"/>
        <w:adjustRightInd/>
        <w:spacing w:line="380" w:lineRule="exact"/>
        <w:ind w:left="479" w:leftChars="228"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10、验收标准</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10.1安装调试</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1）安装标准：符合我国国家有关技术规范要求和技术标准。</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应根据按照投标文件中提出安装调试计划，应对现场每间房间进行实测，考虑室内可能存在的异形梁柱，及地面不平整，根据实际房间情况考虑调整尺寸，墙面不垂直，空调安装，墙上插座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家电预留接电点位</w:t>
      </w:r>
      <w:r>
        <w:rPr>
          <w:rFonts w:hint="eastAsia" w:ascii="宋体" w:hAnsi="宋体" w:eastAsia="宋体" w:cs="宋体"/>
          <w:color w:val="auto"/>
          <w:sz w:val="22"/>
          <w:szCs w:val="22"/>
          <w:highlight w:val="none"/>
        </w:rPr>
        <w:t>等等实际情况，对家具尺寸根据实际情况调整并经</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确认。若由于</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不认真履行上述职责造成后续返工，则一切额外费用由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负责</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3）乙方应完成所有需接电家具的内部布线，并接入已预留接电点位电源中。在家具运输及安装中对建筑墙体、地面、或已完成成品造成损伤或破坏所产生的一切费用，由乙方负责。</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所供货物在现场进行到货验收时乙方必须派员参加并与甲方一起检验，按供货清单验收，若有缺少或损坏，乙方应立即补足或更换全新同规格产品，并承担相关费用直至使甲方满意为止。乙方应在货物运抵安装现场前5天内，向甲方提供详细的安装计划（包含安装时采用的方法、现场负责人、工程师及参与安装人员的名单、身份证号码），在甲方确认该计划的可行性，乙方必须严格按照安装计划实施，不得随意更改。所供货物安装必须符合有关标准和规范，甲方将对安装过程及安装质量进行监督。</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10.2验收</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将委托相关检测机构在家具生产中的原材料进货、生产组装及成品安装等阶段中按一定比例向生产商抽取家具的某一部位进行质量、环保检测，</w:t>
      </w:r>
      <w:r>
        <w:rPr>
          <w:rFonts w:hint="eastAsia" w:ascii="宋体" w:hAnsi="宋体" w:eastAsia="宋体" w:cs="宋体"/>
          <w:color w:val="auto"/>
          <w:sz w:val="22"/>
          <w:szCs w:val="22"/>
          <w:highlight w:val="none"/>
          <w:lang w:val="en-US" w:eastAsia="zh-CN"/>
        </w:rPr>
        <w:t>检测结果合格，检测费用由甲方负责；</w:t>
      </w:r>
      <w:r>
        <w:rPr>
          <w:rFonts w:hint="eastAsia" w:ascii="宋体" w:hAnsi="宋体" w:eastAsia="宋体" w:cs="宋体"/>
          <w:color w:val="auto"/>
          <w:sz w:val="22"/>
          <w:szCs w:val="22"/>
          <w:highlight w:val="none"/>
        </w:rPr>
        <w:t>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的产品达不到上述检测标准或要求，</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将作退货处理，因此而造成的损失</w:t>
      </w:r>
      <w:r>
        <w:rPr>
          <w:rFonts w:hint="eastAsia" w:ascii="宋体" w:hAnsi="宋体" w:cs="宋体"/>
          <w:color w:val="auto"/>
          <w:sz w:val="22"/>
          <w:szCs w:val="22"/>
          <w:highlight w:val="none"/>
          <w:lang w:val="en-US" w:eastAsia="zh-CN"/>
        </w:rPr>
        <w:t>及检测费用</w:t>
      </w:r>
      <w:r>
        <w:rPr>
          <w:rFonts w:hint="eastAsia" w:ascii="宋体" w:hAnsi="宋体" w:eastAsia="宋体" w:cs="宋体"/>
          <w:color w:val="auto"/>
          <w:sz w:val="22"/>
          <w:szCs w:val="22"/>
          <w:highlight w:val="none"/>
        </w:rPr>
        <w:t>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负责。其余部分包括抽检部分的破坏性检测造成的损失、抽检内容缺失部分的修补、制作费均包含在合同价内。</w:t>
      </w:r>
    </w:p>
    <w:p>
      <w:pPr>
        <w:pStyle w:val="122"/>
        <w:pageBreakBefore w:val="0"/>
        <w:kinsoku/>
        <w:wordWrap/>
        <w:overflowPunct/>
        <w:topLinePunct w:val="0"/>
        <w:autoSpaceDE/>
        <w:autoSpaceDN/>
        <w:bidi w:val="0"/>
        <w:adjustRightInd/>
        <w:spacing w:line="380" w:lineRule="exact"/>
        <w:ind w:firstLine="48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将有权按一定比例抽取已安装完成成品家具的某一部位送第三方权威检测机构进行环保或材质方面的检测，所有家具成品及部件在环保方面必须符合室内装饰装修材料中有害物质限量(GB18584-2001)的要求和环境标志产品认证技术要求(HJ\T302-303-2006)，甲醛释放量数值要求小于或等于0.5mg/L</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检测结果合格，检测费用由甲方负责；被抽检样品如因破坏性检测产生无法修复的损坏，此件样品可由甲方购买，乙方</w:t>
      </w:r>
      <w:r>
        <w:rPr>
          <w:rFonts w:hint="eastAsia" w:ascii="宋体" w:hAnsi="宋体" w:eastAsia="宋体" w:cs="宋体"/>
          <w:color w:val="auto"/>
          <w:kern w:val="2"/>
          <w:sz w:val="22"/>
          <w:szCs w:val="22"/>
          <w:highlight w:val="none"/>
          <w:lang w:val="en-US" w:eastAsia="zh-CN" w:bidi="ar-SA"/>
        </w:rPr>
        <w:t>应立即补足或更换全新同规格产品。</w:t>
      </w:r>
      <w:r>
        <w:rPr>
          <w:rFonts w:hint="eastAsia" w:ascii="宋体" w:hAnsi="宋体" w:eastAsia="宋体" w:cs="宋体"/>
          <w:color w:val="auto"/>
          <w:sz w:val="22"/>
          <w:szCs w:val="22"/>
          <w:highlight w:val="none"/>
        </w:rPr>
        <w:t>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的产品达不到上述检测标准或要求，</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将作退货处理，因此而造成的损失由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负责。对</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未能按时提供符合</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要求的产品而给</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造成的损失，</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有权向</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进行索赔。</w:t>
      </w:r>
    </w:p>
    <w:p>
      <w:pPr>
        <w:pStyle w:val="122"/>
        <w:pageBreakBefore w:val="0"/>
        <w:kinsoku/>
        <w:wordWrap/>
        <w:overflowPunct/>
        <w:topLinePunct w:val="0"/>
        <w:autoSpaceDE/>
        <w:autoSpaceDN/>
        <w:bidi w:val="0"/>
        <w:adjustRightInd/>
        <w:spacing w:line="38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合同履约验收参照《温州市政府采购履约验收办法》(温财采[2020]6号)相关规定。合同履约达到验收条件时，乙方向甲方书面发起验收申请，甲方在收到乙方验收申请五个工作日内启动项目验收。按照采购合同、响应文件、采购文件等约定的质量、数量、技术指标或者服务要求设验收指标及其标准。未约定的，应当符合国家强制性规定、政策要求、安全标准、行业或企业有关标准等。</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验收时，中标人向采购人提供所有板材、油漆、五金件等原材料的出货证明及检测合格证明、验收标准，同时家具产品必须和招标文件要求及采购人认可的式样或样品相一致。所供货物在现场进行到货验收时中标人必须派员参加并与采购人一起检验，按供货清单验收，若有缺少或损坏，乙方应立即补足或更换全新同规格产品，并承担相关费用直至使采购人满意为止。</w:t>
      </w:r>
    </w:p>
    <w:p>
      <w:pPr>
        <w:pageBreakBefore w:val="0"/>
        <w:numPr>
          <w:ilvl w:val="0"/>
          <w:numId w:val="48"/>
        </w:numPr>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安装调试完毕后，经采购人检验合格，并在采购人接受了中标人提供的技术资料、图纸等，视为验收合格，签订验收报告，验收报告由验收人及具体使用部门盖章确认。若因中标人产品质量或安装不当导致验收不合格，应及时处理直至验收合格，期间产生的一切费用由中标人承担，若二次验收不合格，采购人有权退货，采购人在此期间保留对中标人的索赔权利。</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6）中标人在货物到货、安装和验收期间应采取严格的安全措施，承担由于自身原因所造成的事故责任及其发生的一切费用。</w:t>
      </w:r>
    </w:p>
    <w:p>
      <w:pPr>
        <w:pageBreakBefore w:val="0"/>
        <w:kinsoku/>
        <w:wordWrap/>
        <w:overflowPunct/>
        <w:topLinePunct w:val="0"/>
        <w:autoSpaceDE/>
        <w:autoSpaceDN/>
        <w:bidi w:val="0"/>
        <w:adjustRightInd/>
        <w:spacing w:line="380" w:lineRule="exact"/>
        <w:ind w:left="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11、违约责任</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11.1设备质量责任</w:t>
      </w:r>
    </w:p>
    <w:p>
      <w:pPr>
        <w:pageBreakBefore w:val="0"/>
        <w:numPr>
          <w:ilvl w:val="0"/>
          <w:numId w:val="49"/>
        </w:numPr>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在设备质量保证期内，凡设备在开箱检验、安装调试、设备试运行过程中发现的设备质量问题，由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负责处理，实行包修、包换、包退、直至产品符合质量要求。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承担修理、调换、退货发生的一切费用和</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的直接经济损失。</w:t>
      </w:r>
    </w:p>
    <w:p>
      <w:pPr>
        <w:pageBreakBefore w:val="0"/>
        <w:numPr>
          <w:ilvl w:val="0"/>
          <w:numId w:val="49"/>
        </w:numPr>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乙方交付的定制家具产品必须符合有关安全健康、环保方面的国家法律法规、强制性标准和产品明示标准的要求（包括合同或其他方式明示的质量要求）。</w:t>
      </w:r>
    </w:p>
    <w:p>
      <w:pPr>
        <w:pageBreakBefore w:val="0"/>
        <w:numPr>
          <w:ilvl w:val="0"/>
          <w:numId w:val="49"/>
        </w:numPr>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ageBreakBefore w:val="0"/>
        <w:numPr>
          <w:ilvl w:val="0"/>
          <w:numId w:val="49"/>
        </w:numPr>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乙方为甲方提供定制家具产品的三包服务，其中包括包修、包换、包退服务，甲乙双方约定的三包期限</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免费质保期）</w:t>
      </w:r>
      <w:r>
        <w:rPr>
          <w:rFonts w:hint="eastAsia" w:ascii="宋体" w:hAnsi="宋体" w:eastAsia="宋体" w:cs="宋体"/>
          <w:color w:val="auto"/>
          <w:sz w:val="22"/>
          <w:szCs w:val="22"/>
          <w:highlight w:val="none"/>
        </w:rPr>
        <w:t>为</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eastAsia="zh-CN"/>
        </w:rPr>
        <w:t>。</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2）接到</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通知后，温州及附近地区4小时内，外地24小时内派人赴现场处理设备质量问题。不能在24小时内修复的应经采购人同意并提供代用品。</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3）由于</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保管不善或使用不当造成设备短缺、故障或损坏，由</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负责。但</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保证及时给予补齐和修复。</w:t>
      </w:r>
    </w:p>
    <w:p>
      <w:pPr>
        <w:pageBreakBefore w:val="0"/>
        <w:kinsoku/>
        <w:wordWrap/>
        <w:overflowPunct/>
        <w:topLinePunct w:val="0"/>
        <w:autoSpaceDE/>
        <w:autoSpaceDN/>
        <w:bidi w:val="0"/>
        <w:adjustRightInd/>
        <w:spacing w:line="380" w:lineRule="exact"/>
        <w:ind w:firstLine="440" w:firstLineChars="200"/>
        <w:textAlignment w:val="auto"/>
        <w:outlineLvl w:val="0"/>
        <w:rPr>
          <w:rFonts w:hint="eastAsia" w:ascii="宋体" w:hAnsi="宋体" w:eastAsia="宋体" w:cs="宋体"/>
          <w:color w:val="auto"/>
          <w:sz w:val="22"/>
          <w:szCs w:val="22"/>
          <w:highlight w:val="none"/>
        </w:rPr>
      </w:pPr>
      <w:bookmarkStart w:id="225" w:name="_Toc27440"/>
      <w:r>
        <w:rPr>
          <w:rFonts w:hint="eastAsia" w:ascii="宋体" w:hAnsi="宋体" w:eastAsia="宋体" w:cs="宋体"/>
          <w:color w:val="auto"/>
          <w:sz w:val="22"/>
          <w:szCs w:val="22"/>
          <w:highlight w:val="none"/>
        </w:rPr>
        <w:t>11.2违约赔偿</w:t>
      </w:r>
      <w:bookmarkEnd w:id="225"/>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除不可抗力外，如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发生不能按期交货或提供服务，</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发生中途退货等情况，应及时以书面形式通知对方。双方应本着友好的态度进行协商，妥善解决。</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如协商无效，按下列规定处以罚金。</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1）逾期交货</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逾期交货，应向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偿付违约金，每逾一</w:t>
      </w:r>
      <w:r>
        <w:rPr>
          <w:rFonts w:hint="eastAsia" w:ascii="宋体" w:hAnsi="宋体" w:cs="宋体"/>
          <w:color w:val="auto"/>
          <w:sz w:val="22"/>
          <w:szCs w:val="22"/>
          <w:highlight w:val="none"/>
          <w:lang w:val="en-US" w:eastAsia="zh-CN"/>
        </w:rPr>
        <w:t>日</w:t>
      </w:r>
      <w:r>
        <w:rPr>
          <w:rFonts w:hint="eastAsia" w:ascii="宋体" w:hAnsi="宋体" w:eastAsia="宋体" w:cs="宋体"/>
          <w:color w:val="auto"/>
          <w:sz w:val="22"/>
          <w:szCs w:val="22"/>
          <w:highlight w:val="none"/>
        </w:rPr>
        <w:t>违约罚款按合同总价的0.</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%计收，直至交货为止。逾期交货的违约赔偿最高限额为合同总价的8%，如违约金达到最高限额时</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仍不能交货，</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可考虑终止合同。</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不能交货或</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中途退货</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不能交货，</w:t>
      </w:r>
      <w:r>
        <w:rPr>
          <w:rFonts w:hint="eastAsia" w:ascii="宋体" w:hAnsi="宋体" w:cs="宋体"/>
          <w:color w:val="auto"/>
          <w:sz w:val="22"/>
          <w:szCs w:val="22"/>
          <w:highlight w:val="none"/>
          <w:lang w:val="en-US" w:eastAsia="zh-CN"/>
        </w:rPr>
        <w:t>甲方可终止合同。</w:t>
      </w:r>
      <w:r>
        <w:rPr>
          <w:rFonts w:hint="eastAsia" w:ascii="宋体" w:hAnsi="宋体" w:eastAsia="宋体" w:cs="宋体"/>
          <w:color w:val="auto"/>
          <w:sz w:val="22"/>
          <w:szCs w:val="22"/>
          <w:highlight w:val="none"/>
        </w:rPr>
        <w:t>履约保证金将被没收并向甲方偿付违约金。违约金按合同总价的</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0%计算。</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中途退货，</w:t>
      </w:r>
      <w:r>
        <w:rPr>
          <w:rFonts w:hint="eastAsia" w:ascii="宋体" w:hAnsi="宋体" w:cs="宋体"/>
          <w:color w:val="auto"/>
          <w:sz w:val="22"/>
          <w:szCs w:val="22"/>
          <w:highlight w:val="none"/>
          <w:lang w:val="en-US" w:eastAsia="zh-CN"/>
        </w:rPr>
        <w:t>乙方可终止合同。</w:t>
      </w:r>
      <w:r>
        <w:rPr>
          <w:rFonts w:hint="eastAsia" w:ascii="宋体" w:hAnsi="宋体" w:eastAsia="宋体" w:cs="宋体"/>
          <w:color w:val="auto"/>
          <w:sz w:val="22"/>
          <w:szCs w:val="22"/>
          <w:highlight w:val="none"/>
        </w:rPr>
        <w:t>退还履约保证金并向乙方偿付违约金。违约金的计算方法与</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违约相同。</w:t>
      </w:r>
    </w:p>
    <w:p>
      <w:pPr>
        <w:pageBreakBefore w:val="0"/>
        <w:kinsoku/>
        <w:wordWrap/>
        <w:overflowPunct/>
        <w:topLinePunct w:val="0"/>
        <w:autoSpaceDE/>
        <w:autoSpaceDN/>
        <w:bidi w:val="0"/>
        <w:adjustRightInd/>
        <w:spacing w:line="3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3）经双方协商同意延期交货和经双方友好协商同意退货且无需罚款者不在此例。</w:t>
      </w:r>
    </w:p>
    <w:p>
      <w:pPr>
        <w:pStyle w:val="122"/>
        <w:pageBreakBefore w:val="0"/>
        <w:widowControl/>
        <w:suppressAutoHyphens/>
        <w:kinsoku/>
        <w:wordWrap/>
        <w:overflowPunct/>
        <w:topLinePunct w:val="0"/>
        <w:autoSpaceDE/>
        <w:autoSpaceDN/>
        <w:bidi w:val="0"/>
        <w:adjustRightInd/>
        <w:spacing w:line="380" w:lineRule="exact"/>
        <w:ind w:firstLine="480"/>
        <w:textAlignment w:val="auto"/>
        <w:rPr>
          <w:rFonts w:hint="eastAsia" w:ascii="宋体" w:hAnsi="宋体" w:eastAsia="宋体" w:cs="宋体"/>
          <w:bCs/>
          <w:color w:val="auto"/>
          <w:kern w:val="1"/>
          <w:sz w:val="22"/>
          <w:szCs w:val="22"/>
          <w:highlight w:val="none"/>
          <w:lang w:eastAsia="ar-SA"/>
        </w:rPr>
      </w:pPr>
      <w:r>
        <w:rPr>
          <w:rFonts w:hint="eastAsia" w:ascii="宋体" w:hAnsi="宋体" w:eastAsia="宋体" w:cs="宋体"/>
          <w:color w:val="auto"/>
          <w:sz w:val="22"/>
          <w:szCs w:val="22"/>
          <w:highlight w:val="none"/>
        </w:rPr>
        <w:t>12、</w:t>
      </w:r>
      <w:r>
        <w:rPr>
          <w:rFonts w:hint="eastAsia" w:ascii="宋体" w:hAnsi="宋体" w:eastAsia="宋体" w:cs="宋体"/>
          <w:bCs/>
          <w:color w:val="auto"/>
          <w:kern w:val="1"/>
          <w:sz w:val="22"/>
          <w:szCs w:val="22"/>
          <w:highlight w:val="none"/>
          <w:lang w:eastAsia="ar-SA"/>
        </w:rPr>
        <w:t>争议的解决</w:t>
      </w:r>
    </w:p>
    <w:p>
      <w:pPr>
        <w:pageBreakBefore w:val="0"/>
        <w:kinsoku/>
        <w:wordWrap/>
        <w:overflowPunct/>
        <w:topLinePunct w:val="0"/>
        <w:autoSpaceDE/>
        <w:autoSpaceDN/>
        <w:bidi w:val="0"/>
        <w:adjustRightInd/>
        <w:snapToGrid w:val="0"/>
        <w:spacing w:line="380" w:lineRule="exact"/>
        <w:ind w:firstLine="416" w:firstLineChars="200"/>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合同实施或与合同有关的一切争端，甲乙双方首先应通过友好协商解决，如果协商仍得不到解决，任何一方可向甲方所在地申请诉讼。</w:t>
      </w:r>
    </w:p>
    <w:p>
      <w:pPr>
        <w:pageBreakBefore w:val="0"/>
        <w:kinsoku/>
        <w:wordWrap/>
        <w:overflowPunct/>
        <w:topLinePunct w:val="0"/>
        <w:autoSpaceDE/>
        <w:autoSpaceDN/>
        <w:bidi w:val="0"/>
        <w:adjustRightInd/>
        <w:snapToGrid w:val="0"/>
        <w:spacing w:line="380" w:lineRule="exact"/>
        <w:ind w:firstLine="440" w:firstLineChars="200"/>
        <w:textAlignment w:val="auto"/>
        <w:rPr>
          <w:rFonts w:hint="eastAsia" w:ascii="宋体" w:hAnsi="宋体" w:eastAsia="宋体" w:cs="宋体"/>
          <w:bCs/>
          <w:color w:val="auto"/>
          <w:kern w:val="1"/>
          <w:sz w:val="22"/>
          <w:szCs w:val="22"/>
          <w:highlight w:val="none"/>
          <w:lang w:eastAsia="ar-SA"/>
        </w:rPr>
      </w:pPr>
      <w:r>
        <w:rPr>
          <w:rFonts w:hint="eastAsia" w:ascii="宋体" w:hAnsi="宋体" w:eastAsia="宋体" w:cs="宋体"/>
          <w:bCs/>
          <w:color w:val="auto"/>
          <w:kern w:val="1"/>
          <w:sz w:val="22"/>
          <w:szCs w:val="22"/>
          <w:highlight w:val="none"/>
        </w:rPr>
        <w:t>1</w:t>
      </w:r>
      <w:r>
        <w:rPr>
          <w:rFonts w:hint="eastAsia" w:ascii="宋体" w:hAnsi="宋体" w:eastAsia="宋体" w:cs="宋体"/>
          <w:bCs/>
          <w:color w:val="auto"/>
          <w:kern w:val="1"/>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bCs/>
          <w:color w:val="auto"/>
          <w:kern w:val="1"/>
          <w:sz w:val="22"/>
          <w:szCs w:val="22"/>
          <w:highlight w:val="none"/>
          <w:lang w:eastAsia="ar-SA"/>
        </w:rPr>
        <w:t>转让和分包</w:t>
      </w:r>
    </w:p>
    <w:p>
      <w:pPr>
        <w:pageBreakBefore w:val="0"/>
        <w:kinsoku/>
        <w:wordWrap/>
        <w:overflowPunct/>
        <w:topLinePunct w:val="0"/>
        <w:autoSpaceDE/>
        <w:autoSpaceDN/>
        <w:bidi w:val="0"/>
        <w:adjustRightInd/>
        <w:snapToGrid w:val="0"/>
        <w:spacing w:line="380" w:lineRule="exact"/>
        <w:ind w:firstLine="416" w:firstLineChars="200"/>
        <w:textAlignment w:val="auto"/>
        <w:rPr>
          <w:rFonts w:hint="eastAsia" w:ascii="宋体" w:hAnsi="宋体" w:eastAsia="宋体" w:cs="宋体"/>
          <w:bCs/>
          <w:color w:val="auto"/>
          <w:spacing w:val="-6"/>
          <w:sz w:val="22"/>
          <w:szCs w:val="22"/>
          <w:highlight w:val="none"/>
        </w:rPr>
      </w:pPr>
      <w:r>
        <w:rPr>
          <w:rFonts w:hint="eastAsia" w:ascii="宋体" w:hAnsi="宋体" w:eastAsia="宋体" w:cs="宋体"/>
          <w:bCs/>
          <w:color w:val="auto"/>
          <w:spacing w:val="-6"/>
          <w:sz w:val="22"/>
          <w:szCs w:val="22"/>
          <w:highlight w:val="none"/>
        </w:rPr>
        <w:t>1</w:t>
      </w:r>
      <w:r>
        <w:rPr>
          <w:rFonts w:hint="eastAsia" w:ascii="宋体" w:hAnsi="宋体" w:eastAsia="宋体" w:cs="宋体"/>
          <w:bCs/>
          <w:color w:val="auto"/>
          <w:spacing w:val="-6"/>
          <w:sz w:val="22"/>
          <w:szCs w:val="22"/>
          <w:highlight w:val="none"/>
          <w:lang w:val="en-US" w:eastAsia="zh-CN"/>
        </w:rPr>
        <w:t>3</w:t>
      </w:r>
      <w:r>
        <w:rPr>
          <w:rFonts w:hint="eastAsia" w:ascii="宋体" w:hAnsi="宋体" w:eastAsia="宋体" w:cs="宋体"/>
          <w:bCs/>
          <w:color w:val="auto"/>
          <w:spacing w:val="-6"/>
          <w:sz w:val="22"/>
          <w:szCs w:val="22"/>
          <w:highlight w:val="none"/>
        </w:rPr>
        <w:t>.1未经甲方事先书面同意，乙方不得分包应履行的合同义务，否则即为违约，甲方有权乙方追究违约责任。</w:t>
      </w:r>
    </w:p>
    <w:p>
      <w:pPr>
        <w:pageBreakBefore w:val="0"/>
        <w:kinsoku/>
        <w:wordWrap/>
        <w:overflowPunct/>
        <w:topLinePunct w:val="0"/>
        <w:autoSpaceDE/>
        <w:autoSpaceDN/>
        <w:bidi w:val="0"/>
        <w:adjustRightInd/>
        <w:snapToGrid w:val="0"/>
        <w:spacing w:line="380" w:lineRule="exact"/>
        <w:ind w:firstLine="416"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pacing w:val="-6"/>
          <w:sz w:val="22"/>
          <w:szCs w:val="22"/>
          <w:highlight w:val="none"/>
        </w:rPr>
        <w:t>1</w:t>
      </w:r>
      <w:r>
        <w:rPr>
          <w:rFonts w:hint="eastAsia" w:ascii="宋体" w:hAnsi="宋体" w:eastAsia="宋体" w:cs="宋体"/>
          <w:bCs/>
          <w:color w:val="auto"/>
          <w:spacing w:val="-6"/>
          <w:sz w:val="22"/>
          <w:szCs w:val="22"/>
          <w:highlight w:val="none"/>
          <w:lang w:val="en-US" w:eastAsia="zh-CN"/>
        </w:rPr>
        <w:t>3</w:t>
      </w:r>
      <w:r>
        <w:rPr>
          <w:rFonts w:hint="eastAsia" w:ascii="宋体" w:hAnsi="宋体" w:eastAsia="宋体" w:cs="宋体"/>
          <w:bCs/>
          <w:color w:val="auto"/>
          <w:spacing w:val="-6"/>
          <w:sz w:val="22"/>
          <w:szCs w:val="22"/>
          <w:highlight w:val="none"/>
        </w:rPr>
        <w:t>.2乙方不得部分转让或全部转让其应履行的合同义务，否则即为违约，甲方有权乙方追究违约责任。</w:t>
      </w:r>
    </w:p>
    <w:p>
      <w:pPr>
        <w:pageBreakBefore w:val="0"/>
        <w:kinsoku/>
        <w:wordWrap/>
        <w:overflowPunct/>
        <w:topLinePunct w:val="0"/>
        <w:autoSpaceDE/>
        <w:autoSpaceDN/>
        <w:bidi w:val="0"/>
        <w:adjustRightInd/>
        <w:snapToGrid w:val="0"/>
        <w:spacing w:line="380" w:lineRule="exact"/>
        <w:ind w:firstLine="440" w:firstLineChars="200"/>
        <w:textAlignment w:val="auto"/>
        <w:rPr>
          <w:rFonts w:hint="eastAsia" w:ascii="宋体" w:hAnsi="宋体" w:eastAsia="宋体" w:cs="宋体"/>
          <w:bCs/>
          <w:color w:val="auto"/>
          <w:kern w:val="1"/>
          <w:sz w:val="22"/>
          <w:szCs w:val="22"/>
          <w:highlight w:val="none"/>
        </w:rPr>
      </w:pPr>
      <w:r>
        <w:rPr>
          <w:rFonts w:hint="eastAsia" w:ascii="宋体" w:hAnsi="宋体" w:eastAsia="宋体" w:cs="宋体"/>
          <w:bCs/>
          <w:color w:val="auto"/>
          <w:kern w:val="1"/>
          <w:sz w:val="22"/>
          <w:szCs w:val="22"/>
          <w:highlight w:val="none"/>
        </w:rPr>
        <w:t>1</w:t>
      </w:r>
      <w:r>
        <w:rPr>
          <w:rFonts w:hint="eastAsia" w:ascii="宋体" w:hAnsi="宋体" w:eastAsia="宋体" w:cs="宋体"/>
          <w:bCs/>
          <w:color w:val="auto"/>
          <w:kern w:val="1"/>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eastAsia="宋体" w:cs="宋体"/>
          <w:bCs/>
          <w:color w:val="auto"/>
          <w:kern w:val="1"/>
          <w:sz w:val="22"/>
          <w:szCs w:val="22"/>
          <w:highlight w:val="none"/>
        </w:rPr>
        <w:t>合同生效及其他</w:t>
      </w:r>
    </w:p>
    <w:p>
      <w:pPr>
        <w:pageBreakBefore w:val="0"/>
        <w:kinsoku/>
        <w:wordWrap/>
        <w:overflowPunct/>
        <w:topLinePunct w:val="0"/>
        <w:autoSpaceDE/>
        <w:autoSpaceDN/>
        <w:bidi w:val="0"/>
        <w:adjustRightInd/>
        <w:snapToGrid w:val="0"/>
        <w:spacing w:line="380" w:lineRule="exact"/>
        <w:ind w:firstLine="880" w:firstLineChars="4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项目招标文件以及投标文件、询标记录、</w:t>
      </w:r>
      <w:r>
        <w:rPr>
          <w:rFonts w:hint="eastAsia" w:ascii="宋体" w:hAnsi="宋体" w:eastAsia="宋体" w:cs="宋体"/>
          <w:color w:val="auto"/>
          <w:sz w:val="22"/>
          <w:szCs w:val="22"/>
          <w:highlight w:val="none"/>
        </w:rPr>
        <w:t xml:space="preserve">          </w:t>
      </w:r>
      <w:r>
        <w:rPr>
          <w:rFonts w:hint="eastAsia" w:ascii="宋体" w:hAnsi="宋体" w:eastAsia="宋体" w:cs="宋体"/>
          <w:bCs/>
          <w:color w:val="auto"/>
          <w:sz w:val="22"/>
          <w:szCs w:val="22"/>
          <w:highlight w:val="none"/>
        </w:rPr>
        <w:t>保密协议书和承诺书（如有）是本合同不可分割的组成部分，本合同未尽事宜从其规定。若本合同约定与前述文件约定不一致的，按照下列顺序予以解释：</w:t>
      </w:r>
    </w:p>
    <w:p>
      <w:pPr>
        <w:pStyle w:val="3"/>
        <w:pageBreakBefore w:val="0"/>
        <w:kinsoku/>
        <w:wordWrap/>
        <w:overflowPunct/>
        <w:topLinePunct w:val="0"/>
        <w:autoSpaceDE/>
        <w:autoSpaceDN/>
        <w:bidi w:val="0"/>
        <w:adjustRightInd/>
        <w:spacing w:line="380" w:lineRule="exact"/>
        <w:ind w:firstLine="24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（1）本合同履行过程中双方签署的变更或补充协议（如有）；</w:t>
      </w:r>
    </w:p>
    <w:p>
      <w:pPr>
        <w:pStyle w:val="3"/>
        <w:pageBreakBefore w:val="0"/>
        <w:kinsoku/>
        <w:wordWrap/>
        <w:overflowPunct/>
        <w:topLinePunct w:val="0"/>
        <w:autoSpaceDE/>
        <w:autoSpaceDN/>
        <w:bidi w:val="0"/>
        <w:adjustRightInd/>
        <w:spacing w:line="380" w:lineRule="exact"/>
        <w:ind w:firstLine="24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（2）本合同；</w:t>
      </w:r>
    </w:p>
    <w:p>
      <w:pPr>
        <w:pStyle w:val="3"/>
        <w:pageBreakBefore w:val="0"/>
        <w:kinsoku/>
        <w:wordWrap/>
        <w:overflowPunct/>
        <w:topLinePunct w:val="0"/>
        <w:autoSpaceDE/>
        <w:autoSpaceDN/>
        <w:bidi w:val="0"/>
        <w:adjustRightInd/>
        <w:spacing w:line="380" w:lineRule="exact"/>
        <w:ind w:firstLine="24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eastAsia="宋体" w:cs="宋体"/>
          <w:color w:val="auto"/>
          <w:sz w:val="22"/>
          <w:szCs w:val="22"/>
          <w:highlight w:val="none"/>
        </w:rPr>
        <w:t>项目保密协议书和承诺书；</w:t>
      </w:r>
    </w:p>
    <w:p>
      <w:pPr>
        <w:pStyle w:val="3"/>
        <w:pageBreakBefore w:val="0"/>
        <w:kinsoku/>
        <w:wordWrap/>
        <w:overflowPunct/>
        <w:topLinePunct w:val="0"/>
        <w:autoSpaceDE/>
        <w:autoSpaceDN/>
        <w:bidi w:val="0"/>
        <w:adjustRightInd/>
        <w:spacing w:line="380" w:lineRule="exact"/>
        <w:ind w:firstLine="24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w:t>
      </w:r>
    </w:p>
    <w:p>
      <w:pPr>
        <w:pStyle w:val="3"/>
        <w:pageBreakBefore w:val="0"/>
        <w:kinsoku/>
        <w:wordWrap/>
        <w:overflowPunct/>
        <w:topLinePunct w:val="0"/>
        <w:autoSpaceDE/>
        <w:autoSpaceDN/>
        <w:bidi w:val="0"/>
        <w:adjustRightInd/>
        <w:spacing w:line="380" w:lineRule="exact"/>
        <w:ind w:firstLine="24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（5）招标文件；</w:t>
      </w:r>
    </w:p>
    <w:p>
      <w:pPr>
        <w:pStyle w:val="3"/>
        <w:pageBreakBefore w:val="0"/>
        <w:kinsoku/>
        <w:wordWrap/>
        <w:overflowPunct/>
        <w:topLinePunct w:val="0"/>
        <w:autoSpaceDE/>
        <w:autoSpaceDN/>
        <w:bidi w:val="0"/>
        <w:adjustRightInd/>
        <w:spacing w:line="380" w:lineRule="exact"/>
        <w:ind w:firstLine="24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（6）其他合同文件。</w:t>
      </w:r>
    </w:p>
    <w:p>
      <w:pPr>
        <w:pStyle w:val="3"/>
        <w:pageBreakBefore w:val="0"/>
        <w:kinsoku/>
        <w:wordWrap/>
        <w:overflowPunct/>
        <w:topLinePunct w:val="0"/>
        <w:autoSpaceDE/>
        <w:autoSpaceDN/>
        <w:bidi w:val="0"/>
        <w:adjustRightInd/>
        <w:spacing w:line="380" w:lineRule="exact"/>
        <w:ind w:firstLine="0" w:firstLine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、本合同经甲乙双方盖章后生效。合同内容如遇国家法律、法规及政策另有规定的，从其规定。</w:t>
      </w:r>
    </w:p>
    <w:p>
      <w:pPr>
        <w:pageBreakBefore w:val="0"/>
        <w:widowControl/>
        <w:suppressAutoHyphens/>
        <w:kinsoku/>
        <w:wordWrap/>
        <w:overflowPunct/>
        <w:topLinePunct w:val="0"/>
        <w:autoSpaceDE/>
        <w:autoSpaceDN/>
        <w:bidi w:val="0"/>
        <w:adjustRightInd/>
        <w:spacing w:line="380" w:lineRule="exact"/>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rPr>
        <w:t>、</w:t>
      </w:r>
      <w:r>
        <w:rPr>
          <w:rFonts w:hint="eastAsia" w:ascii="宋体" w:hAnsi="宋体" w:eastAsia="宋体" w:cs="宋体"/>
          <w:bCs/>
          <w:color w:val="auto"/>
          <w:spacing w:val="-6"/>
          <w:sz w:val="22"/>
          <w:szCs w:val="22"/>
          <w:highlight w:val="none"/>
        </w:rPr>
        <w:t>本合同一式肆份，</w:t>
      </w:r>
      <w:r>
        <w:rPr>
          <w:rFonts w:hint="eastAsia" w:ascii="宋体" w:hAnsi="宋体" w:eastAsia="宋体" w:cs="宋体"/>
          <w:color w:val="auto"/>
          <w:spacing w:val="-6"/>
          <w:sz w:val="22"/>
          <w:szCs w:val="22"/>
          <w:highlight w:val="none"/>
        </w:rPr>
        <w:t>甲乙双方各贰份，</w:t>
      </w:r>
      <w:r>
        <w:rPr>
          <w:rFonts w:hint="eastAsia" w:ascii="宋体" w:hAnsi="宋体" w:eastAsia="宋体" w:cs="宋体"/>
          <w:color w:val="auto"/>
          <w:sz w:val="22"/>
          <w:szCs w:val="22"/>
          <w:highlight w:val="none"/>
        </w:rPr>
        <w:t>甲方负责将合同上传至“政采云”系统进行合同公告。</w:t>
      </w:r>
    </w:p>
    <w:tbl>
      <w:tblPr>
        <w:tblStyle w:val="62"/>
        <w:tblW w:w="0" w:type="auto"/>
        <w:tblInd w:w="0" w:type="dxa"/>
        <w:tblLayout w:type="autofit"/>
        <w:tblCellMar>
          <w:top w:w="0" w:type="dxa"/>
          <w:left w:w="108" w:type="dxa"/>
          <w:bottom w:w="0" w:type="dxa"/>
          <w:right w:w="108" w:type="dxa"/>
        </w:tblCellMar>
      </w:tblPr>
      <w:tblGrid>
        <w:gridCol w:w="4927"/>
        <w:gridCol w:w="4927"/>
      </w:tblGrid>
      <w:tr>
        <w:tblPrEx>
          <w:tblCellMar>
            <w:top w:w="0" w:type="dxa"/>
            <w:left w:w="108" w:type="dxa"/>
            <w:bottom w:w="0" w:type="dxa"/>
            <w:right w:w="108" w:type="dxa"/>
          </w:tblCellMar>
        </w:tblPrEx>
        <w:trPr>
          <w:trHeight w:val="393" w:hRule="atLeast"/>
        </w:trPr>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甲方（盖章）：  </w:t>
            </w:r>
          </w:p>
        </w:tc>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乙方（盖章）：</w:t>
            </w:r>
          </w:p>
        </w:tc>
      </w:tr>
      <w:tr>
        <w:tblPrEx>
          <w:tblCellMar>
            <w:top w:w="0" w:type="dxa"/>
            <w:left w:w="108" w:type="dxa"/>
            <w:bottom w:w="0" w:type="dxa"/>
            <w:right w:w="108" w:type="dxa"/>
          </w:tblCellMar>
        </w:tblPrEx>
        <w:trPr>
          <w:trHeight w:val="393" w:hRule="atLeast"/>
        </w:trPr>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法人代表：</w:t>
            </w:r>
          </w:p>
        </w:tc>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法人代表：</w:t>
            </w:r>
          </w:p>
        </w:tc>
      </w:tr>
      <w:tr>
        <w:tblPrEx>
          <w:tblCellMar>
            <w:top w:w="0" w:type="dxa"/>
            <w:left w:w="108" w:type="dxa"/>
            <w:bottom w:w="0" w:type="dxa"/>
            <w:right w:w="108" w:type="dxa"/>
          </w:tblCellMar>
        </w:tblPrEx>
        <w:trPr>
          <w:trHeight w:val="393" w:hRule="atLeast"/>
        </w:trPr>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w:t>
            </w:r>
          </w:p>
        </w:tc>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w:t>
            </w:r>
          </w:p>
        </w:tc>
      </w:tr>
      <w:tr>
        <w:tblPrEx>
          <w:tblCellMar>
            <w:top w:w="0" w:type="dxa"/>
            <w:left w:w="108" w:type="dxa"/>
            <w:bottom w:w="0" w:type="dxa"/>
            <w:right w:w="108" w:type="dxa"/>
          </w:tblCellMar>
        </w:tblPrEx>
        <w:trPr>
          <w:trHeight w:val="393" w:hRule="atLeast"/>
        </w:trPr>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tc>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tc>
      </w:tr>
      <w:tr>
        <w:tblPrEx>
          <w:tblCellMar>
            <w:top w:w="0" w:type="dxa"/>
            <w:left w:w="108" w:type="dxa"/>
            <w:bottom w:w="0" w:type="dxa"/>
            <w:right w:w="108" w:type="dxa"/>
          </w:tblCellMar>
        </w:tblPrEx>
        <w:trPr>
          <w:trHeight w:val="393" w:hRule="atLeast"/>
        </w:trPr>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址：温州瓯海区大学路88号</w:t>
            </w:r>
          </w:p>
        </w:tc>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r>
      <w:tr>
        <w:tblPrEx>
          <w:tblCellMar>
            <w:top w:w="0" w:type="dxa"/>
            <w:left w:w="108" w:type="dxa"/>
            <w:bottom w:w="0" w:type="dxa"/>
            <w:right w:w="108" w:type="dxa"/>
          </w:tblCellMar>
        </w:tblPrEx>
        <w:trPr>
          <w:trHeight w:val="393" w:hRule="atLeast"/>
        </w:trPr>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纳税人名称：温州肯恩大学</w:t>
            </w:r>
          </w:p>
        </w:tc>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纳税人名称：</w:t>
            </w:r>
          </w:p>
        </w:tc>
      </w:tr>
      <w:tr>
        <w:tblPrEx>
          <w:tblCellMar>
            <w:top w:w="0" w:type="dxa"/>
            <w:left w:w="108" w:type="dxa"/>
            <w:bottom w:w="0" w:type="dxa"/>
            <w:right w:w="108" w:type="dxa"/>
          </w:tblCellMar>
        </w:tblPrEx>
        <w:trPr>
          <w:trHeight w:val="393" w:hRule="atLeast"/>
        </w:trPr>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纳税人识别号：123303005985125280</w:t>
            </w:r>
          </w:p>
        </w:tc>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纳税人识别号：</w:t>
            </w:r>
          </w:p>
        </w:tc>
      </w:tr>
      <w:tr>
        <w:tblPrEx>
          <w:tblCellMar>
            <w:top w:w="0" w:type="dxa"/>
            <w:left w:w="108" w:type="dxa"/>
            <w:bottom w:w="0" w:type="dxa"/>
            <w:right w:w="108" w:type="dxa"/>
          </w:tblCellMar>
        </w:tblPrEx>
        <w:trPr>
          <w:trHeight w:val="393" w:hRule="atLeast"/>
        </w:trPr>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开户行：工商银行</w:t>
            </w:r>
          </w:p>
        </w:tc>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开户行：</w:t>
            </w:r>
          </w:p>
        </w:tc>
      </w:tr>
      <w:tr>
        <w:tblPrEx>
          <w:tblCellMar>
            <w:top w:w="0" w:type="dxa"/>
            <w:left w:w="108" w:type="dxa"/>
            <w:bottom w:w="0" w:type="dxa"/>
            <w:right w:w="108" w:type="dxa"/>
          </w:tblCellMar>
        </w:tblPrEx>
        <w:trPr>
          <w:trHeight w:val="393" w:hRule="atLeast"/>
        </w:trPr>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账号：1203202009045435292</w:t>
            </w:r>
          </w:p>
        </w:tc>
        <w:tc>
          <w:tcPr>
            <w:tcW w:w="4927" w:type="dxa"/>
            <w:noWrap w:val="0"/>
            <w:vAlign w:val="center"/>
          </w:tcPr>
          <w:p>
            <w:pPr>
              <w:pStyle w:val="27"/>
              <w:pageBreakBefore w:val="0"/>
              <w:kinsoku/>
              <w:wordWrap/>
              <w:overflowPunct/>
              <w:topLinePunct w:val="0"/>
              <w:autoSpaceDE/>
              <w:autoSpaceDN/>
              <w:bidi w:val="0"/>
              <w:adjustRightInd/>
              <w:spacing w:line="380" w:lineRule="exact"/>
              <w:ind w:left="440" w:hanging="44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tc>
      </w:tr>
    </w:tbl>
    <w:p>
      <w:pPr>
        <w:pageBreakBefore w:val="0"/>
        <w:tabs>
          <w:tab w:val="left" w:pos="840"/>
        </w:tabs>
        <w:kinsoku/>
        <w:wordWrap/>
        <w:overflowPunct/>
        <w:topLinePunct w:val="0"/>
        <w:autoSpaceDE/>
        <w:autoSpaceDN/>
        <w:bidi w:val="0"/>
        <w:adjustRightInd/>
        <w:spacing w:line="380" w:lineRule="exact"/>
        <w:ind w:firstLine="456"/>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签约时间：  年   月   日</w:t>
      </w:r>
      <w:r>
        <w:rPr>
          <w:rFonts w:hint="eastAsia" w:ascii="宋体" w:hAnsi="宋体" w:eastAsia="宋体" w:cs="宋体"/>
          <w:b/>
          <w:bCs/>
          <w:color w:val="auto"/>
          <w:kern w:val="0"/>
          <w:sz w:val="22"/>
          <w:szCs w:val="22"/>
          <w:highlight w:val="none"/>
        </w:rPr>
        <w:t xml:space="preserve">              </w:t>
      </w:r>
    </w:p>
    <w:p>
      <w:pPr>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b/>
          <w:bCs/>
          <w:color w:val="auto"/>
          <w:sz w:val="24"/>
          <w:highlight w:val="none"/>
          <w:u w:val="single"/>
        </w:rPr>
        <w:t>注：本合同作为示范文本，具体以中标人与招标人所签定正式合同为准。</w:t>
      </w:r>
    </w:p>
    <w:p>
      <w:pPr>
        <w:spacing w:line="440" w:lineRule="exact"/>
        <w:ind w:firstLine="440" w:firstLineChars="200"/>
        <w:rPr>
          <w:rFonts w:ascii="宋体" w:hAnsi="宋体" w:cs="Arial"/>
          <w:b/>
          <w:color w:val="auto"/>
          <w:sz w:val="36"/>
          <w:szCs w:val="36"/>
          <w:highlight w:val="none"/>
        </w:rPr>
      </w:pPr>
      <w:r>
        <w:rPr>
          <w:rFonts w:ascii="宋体" w:hAnsi="宋体" w:cs="Arial"/>
          <w:color w:val="auto"/>
          <w:sz w:val="22"/>
          <w:szCs w:val="22"/>
          <w:highlight w:val="none"/>
        </w:rPr>
        <w:br w:type="page"/>
      </w:r>
      <w:bookmarkStart w:id="226" w:name="_Toc249758872"/>
      <w:bookmarkStart w:id="227" w:name="_Toc246261272"/>
      <w:bookmarkStart w:id="228" w:name="_Toc262105511"/>
      <w:bookmarkStart w:id="229" w:name="_Toc245722288"/>
      <w:bookmarkStart w:id="230" w:name="_Toc245191321"/>
      <w:bookmarkStart w:id="231" w:name="_Toc239145361"/>
      <w:bookmarkStart w:id="232" w:name="_Toc222114886"/>
      <w:bookmarkStart w:id="233" w:name="_Toc241404209"/>
      <w:bookmarkStart w:id="234" w:name="_Toc221423626"/>
      <w:bookmarkStart w:id="235" w:name="_Toc249758722"/>
      <w:bookmarkStart w:id="236" w:name="_Toc223716005"/>
      <w:bookmarkStart w:id="237" w:name="_Toc262049426"/>
    </w:p>
    <w:p>
      <w:pPr>
        <w:pStyle w:val="6"/>
        <w:rPr>
          <w:rFonts w:hint="eastAsia" w:ascii="宋体" w:hAnsi="宋体" w:eastAsia="宋体" w:cs="Arial"/>
          <w:color w:val="auto"/>
          <w:sz w:val="36"/>
          <w:szCs w:val="36"/>
          <w:highlight w:val="none"/>
          <w:lang w:eastAsia="zh-CN"/>
        </w:rPr>
      </w:pPr>
      <w:bookmarkStart w:id="238" w:name="_Toc26168"/>
      <w:r>
        <w:rPr>
          <w:rFonts w:hint="eastAsia" w:ascii="宋体" w:hAnsi="宋体" w:eastAsia="宋体" w:cs="Arial"/>
          <w:color w:val="auto"/>
          <w:sz w:val="36"/>
          <w:szCs w:val="36"/>
          <w:highlight w:val="none"/>
        </w:rPr>
        <w:t xml:space="preserve">第五部分   </w:t>
      </w:r>
      <w:bookmarkEnd w:id="217"/>
      <w:bookmarkEnd w:id="218"/>
      <w:bookmarkEnd w:id="219"/>
      <w:bookmarkEnd w:id="226"/>
      <w:bookmarkEnd w:id="227"/>
      <w:bookmarkEnd w:id="228"/>
      <w:bookmarkEnd w:id="229"/>
      <w:bookmarkEnd w:id="230"/>
      <w:bookmarkEnd w:id="231"/>
      <w:bookmarkEnd w:id="232"/>
      <w:bookmarkEnd w:id="233"/>
      <w:bookmarkEnd w:id="234"/>
      <w:bookmarkEnd w:id="235"/>
      <w:bookmarkEnd w:id="236"/>
      <w:bookmarkEnd w:id="237"/>
      <w:r>
        <w:rPr>
          <w:rFonts w:hint="eastAsia" w:ascii="宋体" w:hAnsi="宋体" w:eastAsia="宋体" w:cs="Arial"/>
          <w:color w:val="auto"/>
          <w:sz w:val="36"/>
          <w:szCs w:val="36"/>
          <w:highlight w:val="none"/>
          <w:lang w:val="en-US" w:eastAsia="zh-CN"/>
        </w:rPr>
        <w:t>附件</w:t>
      </w:r>
      <w:bookmarkEnd w:id="238"/>
    </w:p>
    <w:p>
      <w:pPr>
        <w:rPr>
          <w:rFonts w:ascii="宋体" w:hAnsi="宋体"/>
          <w:color w:val="auto"/>
          <w:highlight w:val="none"/>
        </w:rPr>
      </w:pPr>
    </w:p>
    <w:p>
      <w:pPr>
        <w:spacing w:line="460" w:lineRule="exact"/>
        <w:rPr>
          <w:rFonts w:ascii="宋体" w:hAnsi="宋体"/>
          <w:b/>
          <w:bCs/>
          <w:color w:val="auto"/>
          <w:sz w:val="22"/>
          <w:szCs w:val="22"/>
          <w:highlight w:val="none"/>
        </w:rPr>
      </w:pPr>
      <w:r>
        <w:rPr>
          <w:rFonts w:hint="eastAsia" w:ascii="宋体" w:hAnsi="宋体"/>
          <w:b/>
          <w:bCs/>
          <w:color w:val="auto"/>
          <w:sz w:val="22"/>
          <w:szCs w:val="22"/>
          <w:highlight w:val="none"/>
        </w:rPr>
        <w:t>附件一</w:t>
      </w:r>
    </w:p>
    <w:p>
      <w:pPr>
        <w:spacing w:line="460" w:lineRule="exact"/>
        <w:jc w:val="center"/>
        <w:rPr>
          <w:rFonts w:ascii="宋体" w:hAnsi="宋体" w:cs="仿宋"/>
          <w:b/>
          <w:bCs/>
          <w:color w:val="auto"/>
          <w:sz w:val="28"/>
          <w:szCs w:val="28"/>
          <w:highlight w:val="none"/>
        </w:rPr>
      </w:pPr>
      <w:r>
        <w:rPr>
          <w:rFonts w:hint="eastAsia" w:ascii="宋体" w:hAnsi="宋体" w:cs="仿宋"/>
          <w:b/>
          <w:bCs/>
          <w:color w:val="auto"/>
          <w:sz w:val="28"/>
          <w:szCs w:val="28"/>
          <w:highlight w:val="none"/>
        </w:rPr>
        <w:t>资格审查料</w:t>
      </w:r>
    </w:p>
    <w:p>
      <w:pPr>
        <w:spacing w:line="460" w:lineRule="exact"/>
        <w:jc w:val="center"/>
        <w:rPr>
          <w:rFonts w:ascii="宋体" w:hAnsi="宋体" w:cs="仿宋"/>
          <w:color w:val="auto"/>
          <w:sz w:val="28"/>
          <w:szCs w:val="28"/>
          <w:highlight w:val="none"/>
        </w:rPr>
      </w:pPr>
    </w:p>
    <w:p>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（1-1）法定代表人声明书</w:t>
      </w:r>
    </w:p>
    <w:p>
      <w:pPr>
        <w:spacing w:line="400" w:lineRule="exact"/>
        <w:rPr>
          <w:rFonts w:ascii="宋体" w:hAnsi="宋体"/>
          <w:color w:val="auto"/>
          <w:highlight w:val="none"/>
        </w:rPr>
      </w:pPr>
    </w:p>
    <w:p>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温州肯恩大学</w:t>
      </w:r>
      <w:r>
        <w:rPr>
          <w:rFonts w:hint="eastAsia" w:ascii="宋体" w:hAnsi="宋体"/>
          <w:color w:val="auto"/>
          <w:sz w:val="22"/>
          <w:szCs w:val="22"/>
          <w:highlight w:val="none"/>
        </w:rPr>
        <w:t>：</w:t>
      </w:r>
    </w:p>
    <w:p>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pPr>
        <w:spacing w:line="460" w:lineRule="exact"/>
        <w:rPr>
          <w:rFonts w:ascii="宋体" w:hAnsi="宋体"/>
          <w:color w:val="auto"/>
          <w:sz w:val="22"/>
          <w:szCs w:val="22"/>
          <w:highlight w:val="none"/>
          <w:u w:val="single"/>
        </w:rPr>
      </w:pPr>
    </w:p>
    <w:p>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本人</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为</w:t>
      </w: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的法定代表人。我公司参加贵处组织的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的招标活动，由我本人全权代表我方处理招标活动中的一切事宜。联系方式如下：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60" w:lineRule="exact"/>
        <w:ind w:firstLine="3971" w:firstLineChars="1805"/>
        <w:rPr>
          <w:rFonts w:ascii="宋体" w:hAnsi="宋体"/>
          <w:color w:val="auto"/>
          <w:sz w:val="22"/>
          <w:szCs w:val="22"/>
          <w:highlight w:val="none"/>
        </w:rPr>
      </w:pPr>
    </w:p>
    <w:p>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pPr>
        <w:spacing w:line="460" w:lineRule="exact"/>
        <w:rPr>
          <w:rFonts w:ascii="宋体" w:hAnsi="宋体"/>
          <w:color w:val="auto"/>
          <w:sz w:val="22"/>
          <w:szCs w:val="22"/>
          <w:highlight w:val="none"/>
        </w:rPr>
      </w:pPr>
    </w:p>
    <w:p>
      <w:pPr>
        <w:widowControl/>
        <w:jc w:val="left"/>
        <w:rPr>
          <w:rFonts w:ascii="Arial" w:hAnsi="Arial" w:cs="Arial"/>
          <w:color w:val="auto"/>
          <w:szCs w:val="21"/>
          <w:highlight w:val="none"/>
        </w:rPr>
      </w:pPr>
    </w:p>
    <w:p>
      <w:pPr>
        <w:widowControl/>
        <w:jc w:val="left"/>
        <w:rPr>
          <w:rFonts w:ascii="Arial" w:hAnsi="Arial" w:cs="Arial"/>
          <w:color w:val="auto"/>
          <w:szCs w:val="21"/>
          <w:highlight w:val="none"/>
        </w:rPr>
      </w:pPr>
    </w:p>
    <w:p>
      <w:pPr>
        <w:widowControl/>
        <w:jc w:val="left"/>
        <w:rPr>
          <w:rFonts w:ascii="Arial" w:hAnsi="Arial" w:cs="Arial"/>
          <w:color w:val="auto"/>
          <w:szCs w:val="21"/>
          <w:highlight w:val="none"/>
        </w:rPr>
      </w:pPr>
      <w:r>
        <w:rPr>
          <w:rFonts w:hint="eastAsia" w:ascii="宋体" w:hAnsi="宋体"/>
          <w:b/>
          <w:color w:val="auto"/>
          <w:sz w:val="22"/>
          <w:szCs w:val="22"/>
          <w:highlight w:val="none"/>
        </w:rPr>
        <w:t>附：法定代表人</w:t>
      </w:r>
      <w:r>
        <w:rPr>
          <w:rFonts w:ascii="宋体" w:hAnsi="宋体"/>
          <w:b/>
          <w:color w:val="auto"/>
          <w:sz w:val="22"/>
          <w:szCs w:val="22"/>
          <w:highlight w:val="none"/>
        </w:rPr>
        <w:t>身</w:t>
      </w:r>
      <w:r>
        <w:rPr>
          <w:rFonts w:ascii="宋体" w:hAnsi="宋体" w:cs="Courier New"/>
          <w:b/>
          <w:color w:val="auto"/>
          <w:sz w:val="22"/>
          <w:szCs w:val="22"/>
          <w:highlight w:val="none"/>
        </w:rPr>
        <w:t>份证正反面复印件</w:t>
      </w:r>
      <w:r>
        <w:rPr>
          <w:rFonts w:ascii="Arial" w:hAnsi="Arial" w:cs="Arial"/>
          <w:color w:val="auto"/>
          <w:szCs w:val="21"/>
          <w:highlight w:val="none"/>
        </w:rPr>
        <w:br w:type="page"/>
      </w:r>
    </w:p>
    <w:p>
      <w:pPr>
        <w:spacing w:line="360" w:lineRule="exact"/>
        <w:rPr>
          <w:rFonts w:ascii="Arial" w:hAnsi="Arial" w:cs="Arial"/>
          <w:color w:val="auto"/>
          <w:szCs w:val="21"/>
          <w:highlight w:val="none"/>
        </w:rPr>
      </w:pPr>
    </w:p>
    <w:p>
      <w:pPr>
        <w:spacing w:line="380" w:lineRule="exact"/>
        <w:jc w:val="center"/>
        <w:rPr>
          <w:rFonts w:ascii="宋体" w:hAnsi="宋体" w:cs="仿宋"/>
          <w:b/>
          <w:color w:val="auto"/>
          <w:sz w:val="22"/>
          <w:szCs w:val="22"/>
          <w:highlight w:val="none"/>
        </w:rPr>
      </w:pPr>
    </w:p>
    <w:p>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（1-2）法定代表人授权书</w:t>
      </w:r>
    </w:p>
    <w:p>
      <w:pPr>
        <w:spacing w:line="400" w:lineRule="exact"/>
        <w:jc w:val="center"/>
        <w:rPr>
          <w:rFonts w:ascii="宋体" w:hAnsi="宋体"/>
          <w:b/>
          <w:bCs/>
          <w:color w:val="auto"/>
          <w:sz w:val="28"/>
          <w:szCs w:val="28"/>
          <w:highlight w:val="none"/>
        </w:rPr>
      </w:pPr>
    </w:p>
    <w:p>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温州肯恩大学</w:t>
      </w:r>
      <w:r>
        <w:rPr>
          <w:rFonts w:hint="eastAsia" w:ascii="宋体" w:hAnsi="宋体"/>
          <w:color w:val="auto"/>
          <w:sz w:val="22"/>
          <w:szCs w:val="22"/>
          <w:highlight w:val="none"/>
        </w:rPr>
        <w:t>：</w:t>
      </w:r>
    </w:p>
    <w:p>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pPr>
        <w:spacing w:line="460" w:lineRule="exact"/>
        <w:rPr>
          <w:rFonts w:ascii="宋体" w:hAnsi="宋体"/>
          <w:color w:val="auto"/>
          <w:sz w:val="22"/>
          <w:szCs w:val="22"/>
          <w:highlight w:val="none"/>
          <w:u w:val="single"/>
        </w:rPr>
      </w:pPr>
    </w:p>
    <w:p>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 xml:space="preserve">法定代表人 </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 xml:space="preserve"> 授权</w:t>
      </w:r>
      <w:r>
        <w:rPr>
          <w:rFonts w:hint="eastAsia" w:ascii="宋体" w:hAnsi="宋体"/>
          <w:color w:val="auto"/>
          <w:sz w:val="22"/>
          <w:szCs w:val="22"/>
          <w:highlight w:val="none"/>
          <w:u w:val="single"/>
        </w:rPr>
        <w:t>（全权代表姓名）</w:t>
      </w:r>
      <w:r>
        <w:rPr>
          <w:rFonts w:hint="eastAsia" w:ascii="宋体" w:hAnsi="宋体"/>
          <w:color w:val="auto"/>
          <w:sz w:val="22"/>
          <w:szCs w:val="22"/>
          <w:highlight w:val="none"/>
        </w:rPr>
        <w:t>为本项目全权代表，参加贵处组织的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pPr>
        <w:spacing w:line="460" w:lineRule="exact"/>
        <w:ind w:firstLine="220" w:firstLineChars="100"/>
        <w:rPr>
          <w:rFonts w:ascii="宋体" w:hAnsi="宋体"/>
          <w:color w:val="auto"/>
          <w:sz w:val="22"/>
          <w:szCs w:val="22"/>
          <w:highlight w:val="none"/>
        </w:rPr>
      </w:pPr>
    </w:p>
    <w:p>
      <w:pPr>
        <w:spacing w:line="460" w:lineRule="exact"/>
        <w:ind w:firstLine="550" w:firstLineChars="250"/>
        <w:rPr>
          <w:rFonts w:ascii="宋体" w:hAnsi="宋体"/>
          <w:color w:val="auto"/>
          <w:sz w:val="22"/>
          <w:szCs w:val="22"/>
          <w:highlight w:val="none"/>
        </w:rPr>
      </w:pPr>
    </w:p>
    <w:p>
      <w:pPr>
        <w:spacing w:line="460" w:lineRule="exact"/>
        <w:ind w:firstLine="2955"/>
        <w:rPr>
          <w:rFonts w:ascii="宋体" w:hAnsi="宋体"/>
          <w:color w:val="auto"/>
          <w:sz w:val="22"/>
          <w:szCs w:val="22"/>
          <w:highlight w:val="none"/>
        </w:rPr>
      </w:pPr>
    </w:p>
    <w:p>
      <w:pPr>
        <w:spacing w:line="460" w:lineRule="exact"/>
        <w:ind w:firstLine="3971" w:firstLineChars="1805"/>
        <w:rPr>
          <w:rFonts w:ascii="宋体" w:hAnsi="宋体"/>
          <w:color w:val="auto"/>
          <w:sz w:val="22"/>
          <w:szCs w:val="22"/>
          <w:highlight w:val="none"/>
        </w:rPr>
      </w:pPr>
      <w:r>
        <w:rPr>
          <w:rFonts w:hint="eastAsia" w:ascii="宋体" w:hAnsi="宋体"/>
          <w:color w:val="auto"/>
          <w:sz w:val="22"/>
          <w:szCs w:val="22"/>
          <w:highlight w:val="none"/>
        </w:rPr>
        <w:t>法定代表人 (签字或盖章)：</w:t>
      </w:r>
    </w:p>
    <w:p>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pPr>
        <w:spacing w:line="460" w:lineRule="exact"/>
        <w:rPr>
          <w:rFonts w:ascii="宋体" w:hAnsi="宋体"/>
          <w:color w:val="auto"/>
          <w:sz w:val="22"/>
          <w:szCs w:val="22"/>
          <w:highlight w:val="none"/>
        </w:rPr>
      </w:pPr>
    </w:p>
    <w:p>
      <w:pPr>
        <w:spacing w:line="460" w:lineRule="exact"/>
        <w:rPr>
          <w:rFonts w:ascii="宋体" w:hAnsi="宋体"/>
          <w:color w:val="auto"/>
          <w:sz w:val="22"/>
          <w:szCs w:val="22"/>
          <w:highlight w:val="none"/>
        </w:rPr>
      </w:pPr>
    </w:p>
    <w:p>
      <w:pPr>
        <w:spacing w:line="460" w:lineRule="exact"/>
        <w:rPr>
          <w:rFonts w:ascii="宋体" w:hAnsi="宋体"/>
          <w:color w:val="auto"/>
          <w:sz w:val="22"/>
          <w:szCs w:val="22"/>
          <w:highlight w:val="none"/>
        </w:rPr>
      </w:pPr>
      <w:r>
        <w:rPr>
          <w:rFonts w:hint="eastAsia" w:ascii="宋体" w:hAnsi="宋体"/>
          <w:b/>
          <w:color w:val="auto"/>
          <w:sz w:val="22"/>
          <w:szCs w:val="22"/>
          <w:highlight w:val="none"/>
        </w:rPr>
        <w:t>附：法定代表人及授权代表的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正反面复印件</w:t>
      </w: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spacing w:line="460" w:lineRule="exact"/>
        <w:rPr>
          <w:rFonts w:ascii="宋体" w:hAnsi="宋体"/>
          <w:color w:val="auto"/>
          <w:sz w:val="22"/>
          <w:szCs w:val="22"/>
          <w:highlight w:val="none"/>
        </w:rPr>
      </w:pPr>
      <w:r>
        <w:rPr>
          <w:rFonts w:hint="eastAsia" w:ascii="宋体" w:hAnsi="宋体"/>
          <w:color w:val="auto"/>
          <w:sz w:val="22"/>
          <w:szCs w:val="22"/>
          <w:highlight w:val="none"/>
        </w:rPr>
        <w:t>说明：</w:t>
      </w:r>
    </w:p>
    <w:p>
      <w:pPr>
        <w:spacing w:line="460" w:lineRule="exact"/>
        <w:rPr>
          <w:rFonts w:ascii="宋体" w:hAnsi="宋体"/>
          <w:color w:val="auto"/>
          <w:sz w:val="22"/>
          <w:szCs w:val="22"/>
          <w:highlight w:val="none"/>
        </w:rPr>
      </w:pPr>
      <w:r>
        <w:rPr>
          <w:rFonts w:hint="eastAsia" w:ascii="宋体" w:hAnsi="宋体" w:cs="Courier New"/>
          <w:b/>
          <w:color w:val="auto"/>
          <w:sz w:val="22"/>
          <w:szCs w:val="22"/>
          <w:highlight w:val="none"/>
        </w:rPr>
        <w:t>1、</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，应提供</w:t>
      </w:r>
      <w:r>
        <w:rPr>
          <w:rFonts w:hint="eastAsia" w:ascii="宋体" w:hAnsi="宋体" w:cs="Courier New"/>
          <w:b/>
          <w:color w:val="auto"/>
          <w:sz w:val="22"/>
          <w:szCs w:val="22"/>
          <w:highlight w:val="none"/>
        </w:rPr>
        <w:t>声明</w:t>
      </w:r>
      <w:r>
        <w:rPr>
          <w:rFonts w:ascii="宋体" w:hAnsi="宋体" w:cs="Courier New"/>
          <w:b/>
          <w:color w:val="auto"/>
          <w:sz w:val="22"/>
          <w:szCs w:val="22"/>
          <w:highlight w:val="none"/>
        </w:rPr>
        <w:t>书（1-1）</w:t>
      </w:r>
      <w:r>
        <w:rPr>
          <w:rFonts w:hint="eastAsia" w:ascii="宋体" w:hAnsi="宋体" w:cs="Courier New"/>
          <w:b/>
          <w:color w:val="auto"/>
          <w:sz w:val="22"/>
          <w:szCs w:val="22"/>
          <w:highlight w:val="none"/>
        </w:rPr>
        <w:t>并提</w:t>
      </w:r>
      <w:r>
        <w:rPr>
          <w:rFonts w:ascii="宋体" w:hAnsi="宋体" w:cs="Courier New"/>
          <w:b/>
          <w:color w:val="auto"/>
          <w:sz w:val="22"/>
          <w:szCs w:val="22"/>
          <w:highlight w:val="none"/>
        </w:rPr>
        <w:t>交</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身份证正反面复印件</w:t>
      </w:r>
      <w:r>
        <w:rPr>
          <w:rFonts w:hint="eastAsia" w:ascii="宋体" w:hAnsi="宋体"/>
          <w:b/>
          <w:color w:val="auto"/>
          <w:sz w:val="22"/>
          <w:szCs w:val="22"/>
          <w:highlight w:val="none"/>
        </w:rPr>
        <w:t>；</w:t>
      </w:r>
    </w:p>
    <w:p>
      <w:pPr>
        <w:spacing w:line="460" w:lineRule="exact"/>
        <w:rPr>
          <w:rFonts w:ascii="宋体" w:hAnsi="宋体"/>
          <w:color w:val="auto"/>
          <w:sz w:val="22"/>
          <w:szCs w:val="22"/>
          <w:highlight w:val="none"/>
        </w:rPr>
      </w:pPr>
      <w:r>
        <w:rPr>
          <w:rFonts w:ascii="宋体" w:hAnsi="宋体" w:cs="Courier New"/>
          <w:b/>
          <w:color w:val="auto"/>
          <w:sz w:val="22"/>
          <w:szCs w:val="22"/>
          <w:highlight w:val="none"/>
        </w:rPr>
        <w:t>2</w:t>
      </w:r>
      <w:r>
        <w:rPr>
          <w:rFonts w:hint="eastAsia" w:ascii="宋体" w:hAnsi="宋体" w:cs="Courier New"/>
          <w:b/>
          <w:color w:val="auto"/>
          <w:sz w:val="22"/>
          <w:szCs w:val="22"/>
          <w:highlight w:val="none"/>
        </w:rPr>
        <w:t>、</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授权的委托代理人，应提供授权书（1-2）</w:t>
      </w:r>
      <w:r>
        <w:rPr>
          <w:rFonts w:hint="eastAsia" w:ascii="宋体" w:hAnsi="宋体" w:cs="Courier New"/>
          <w:b/>
          <w:color w:val="auto"/>
          <w:sz w:val="22"/>
          <w:szCs w:val="22"/>
          <w:highlight w:val="none"/>
        </w:rPr>
        <w:t>，并附</w:t>
      </w:r>
      <w:r>
        <w:rPr>
          <w:rFonts w:hint="eastAsia" w:ascii="宋体" w:hAnsi="宋体"/>
          <w:b/>
          <w:color w:val="auto"/>
          <w:sz w:val="22"/>
          <w:szCs w:val="22"/>
          <w:highlight w:val="none"/>
        </w:rPr>
        <w:t>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正反面复印件</w:t>
      </w:r>
      <w:r>
        <w:rPr>
          <w:rFonts w:hint="eastAsia" w:ascii="宋体" w:hAnsi="宋体" w:cs="Courier New"/>
          <w:b/>
          <w:color w:val="auto"/>
          <w:sz w:val="22"/>
          <w:szCs w:val="22"/>
          <w:highlight w:val="none"/>
        </w:rPr>
        <w:t>。</w:t>
      </w:r>
    </w:p>
    <w:p>
      <w:pPr>
        <w:spacing w:line="460" w:lineRule="exact"/>
        <w:rPr>
          <w:rFonts w:ascii="宋体" w:hAnsi="宋体"/>
          <w:color w:val="auto"/>
          <w:sz w:val="22"/>
          <w:szCs w:val="22"/>
          <w:highlight w:val="none"/>
        </w:rPr>
      </w:pPr>
    </w:p>
    <w:p>
      <w:pPr>
        <w:spacing w:line="380" w:lineRule="exact"/>
        <w:jc w:val="center"/>
        <w:rPr>
          <w:rFonts w:ascii="宋体" w:hAnsi="宋体"/>
          <w:b/>
          <w:bCs/>
          <w:color w:val="auto"/>
          <w:sz w:val="32"/>
          <w:highlight w:val="none"/>
        </w:rPr>
      </w:pPr>
      <w:r>
        <w:rPr>
          <w:rFonts w:hint="eastAsia" w:ascii="宋体" w:hAnsi="宋体"/>
          <w:b/>
          <w:bCs/>
          <w:color w:val="auto"/>
          <w:sz w:val="32"/>
          <w:highlight w:val="none"/>
        </w:rPr>
        <w:br w:type="page"/>
      </w:r>
    </w:p>
    <w:p>
      <w:pPr>
        <w:spacing w:line="380" w:lineRule="exact"/>
        <w:jc w:val="center"/>
        <w:rPr>
          <w:rFonts w:ascii="宋体" w:hAnsi="宋体"/>
          <w:b/>
          <w:bCs/>
          <w:color w:val="auto"/>
          <w:sz w:val="32"/>
          <w:highlight w:val="none"/>
        </w:rPr>
      </w:pPr>
    </w:p>
    <w:p>
      <w:pPr>
        <w:widowControl/>
        <w:adjustRightInd w:val="0"/>
        <w:snapToGrid w:val="0"/>
        <w:spacing w:line="360" w:lineRule="auto"/>
        <w:jc w:val="center"/>
        <w:rPr>
          <w:rFonts w:ascii="宋体" w:hAnsi="宋体"/>
          <w:b/>
          <w:color w:val="auto"/>
          <w:sz w:val="22"/>
          <w:szCs w:val="22"/>
          <w:highlight w:val="none"/>
        </w:rPr>
      </w:pPr>
      <w:r>
        <w:rPr>
          <w:rFonts w:hint="eastAsia" w:ascii="宋体" w:hAnsi="宋体"/>
          <w:b/>
          <w:color w:val="auto"/>
          <w:sz w:val="22"/>
          <w:szCs w:val="22"/>
          <w:highlight w:val="none"/>
        </w:rPr>
        <w:t>（</w:t>
      </w:r>
      <w:r>
        <w:rPr>
          <w:rFonts w:ascii="宋体" w:hAnsi="宋体"/>
          <w:b/>
          <w:color w:val="auto"/>
          <w:sz w:val="22"/>
          <w:szCs w:val="22"/>
          <w:highlight w:val="none"/>
        </w:rPr>
        <w:t>2</w:t>
      </w:r>
      <w:r>
        <w:rPr>
          <w:rFonts w:hint="eastAsia" w:ascii="宋体" w:hAnsi="宋体"/>
          <w:b/>
          <w:color w:val="auto"/>
          <w:sz w:val="22"/>
          <w:szCs w:val="22"/>
          <w:highlight w:val="none"/>
        </w:rPr>
        <w:t>）</w:t>
      </w:r>
      <w:r>
        <w:rPr>
          <w:rFonts w:hint="eastAsia" w:ascii="宋体" w:hAnsi="宋体"/>
          <w:b/>
          <w:color w:val="auto"/>
          <w:sz w:val="22"/>
          <w:szCs w:val="22"/>
          <w:highlight w:val="none"/>
          <w:lang w:eastAsia="zh-CN"/>
        </w:rPr>
        <w:t>投标人</w:t>
      </w:r>
      <w:r>
        <w:rPr>
          <w:rFonts w:hint="eastAsia" w:ascii="宋体" w:hAnsi="宋体"/>
          <w:b/>
          <w:color w:val="auto"/>
          <w:sz w:val="22"/>
          <w:szCs w:val="22"/>
          <w:highlight w:val="none"/>
        </w:rPr>
        <w:t>参与政府采购活动投标资格声明函</w:t>
      </w:r>
    </w:p>
    <w:p>
      <w:pPr>
        <w:widowControl/>
        <w:adjustRightInd w:val="0"/>
        <w:snapToGrid w:val="0"/>
        <w:spacing w:line="360" w:lineRule="auto"/>
        <w:jc w:val="left"/>
        <w:rPr>
          <w:rFonts w:ascii="宋体" w:hAnsi="宋体" w:cs="新宋体"/>
          <w:color w:val="auto"/>
          <w:kern w:val="0"/>
          <w:sz w:val="22"/>
          <w:szCs w:val="22"/>
          <w:highlight w:val="none"/>
        </w:rPr>
      </w:pPr>
    </w:p>
    <w:p>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olor w:val="auto"/>
          <w:sz w:val="22"/>
          <w:szCs w:val="22"/>
          <w:highlight w:val="none"/>
          <w:lang w:eastAsia="zh-CN"/>
        </w:rPr>
        <w:t>温州肯恩大学</w:t>
      </w:r>
      <w:r>
        <w:rPr>
          <w:rFonts w:hint="eastAsia" w:ascii="宋体" w:hAnsi="宋体" w:cs="宋体"/>
          <w:color w:val="auto"/>
          <w:kern w:val="0"/>
          <w:sz w:val="22"/>
          <w:szCs w:val="22"/>
          <w:highlight w:val="none"/>
        </w:rPr>
        <w:t>：</w:t>
      </w:r>
    </w:p>
    <w:p>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温州元信工程项目管理有限公司：</w:t>
      </w: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我单位参与</w:t>
      </w:r>
      <w:r>
        <w:rPr>
          <w:rFonts w:hint="eastAsia" w:ascii="宋体" w:hAnsi="宋体"/>
          <w:color w:val="auto"/>
          <w:sz w:val="22"/>
          <w:szCs w:val="22"/>
          <w:highlight w:val="none"/>
          <w:u w:val="single"/>
        </w:rPr>
        <w:t xml:space="preserve">（项目名称） </w:t>
      </w:r>
      <w:r>
        <w:rPr>
          <w:rFonts w:hint="eastAsia" w:ascii="宋体" w:hAnsi="宋体" w:cs="宋体"/>
          <w:color w:val="auto"/>
          <w:kern w:val="0"/>
          <w:sz w:val="22"/>
          <w:szCs w:val="22"/>
          <w:highlight w:val="none"/>
        </w:rPr>
        <w:t>项目的采购活动，现声明如下：</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1、我单位具有独立承担民事责任的能力。</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2、我单位具有良好的商业信誉和健全的财务会计制度。</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3、我单位具有依法缴纳税收和社会保障资金的良好记录。</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4、我单位具有履行本项目政府采购合同所必需的设备和专业技术能力。</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6、我单位未与单位负责人为同一人或者存在直接控股、管理关系的其他</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，一起参加本项目的政府采购活动。</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7、我单位符合本项目特定资格条件：</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的要求，并在谈判响应文件中提供了相应的证明材料（采购文件没有要求特定资格条件的，本条款空格处可以空白）</w:t>
      </w: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以上事项如有虚假，</w:t>
      </w:r>
      <w:r>
        <w:rPr>
          <w:rFonts w:hint="eastAsia" w:ascii="宋体" w:hAnsi="宋体" w:cs="宋体"/>
          <w:color w:val="auto"/>
          <w:kern w:val="0"/>
          <w:sz w:val="22"/>
          <w:szCs w:val="22"/>
          <w:highlight w:val="none"/>
          <w:lang w:eastAsia="zh-CN"/>
        </w:rPr>
        <w:t>招标人</w:t>
      </w:r>
      <w:r>
        <w:rPr>
          <w:rFonts w:hint="eastAsia" w:ascii="宋体" w:hAnsi="宋体" w:cs="宋体"/>
          <w:color w:val="auto"/>
          <w:kern w:val="0"/>
          <w:sz w:val="22"/>
          <w:szCs w:val="22"/>
          <w:highlight w:val="none"/>
        </w:rPr>
        <w:t>可取消我方任何资格（投标/中标/签订合同），我方对此无任何异议。</w:t>
      </w: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pPr>
        <w:widowControl/>
        <w:adjustRightInd w:val="0"/>
        <w:snapToGrid w:val="0"/>
        <w:spacing w:line="360" w:lineRule="auto"/>
        <w:ind w:firstLine="440" w:firstLineChars="200"/>
        <w:jc w:val="left"/>
        <w:rPr>
          <w:rFonts w:ascii="宋体" w:hAnsi="宋体" w:cs="新宋体"/>
          <w:color w:val="auto"/>
          <w:kern w:val="0"/>
          <w:sz w:val="22"/>
          <w:szCs w:val="22"/>
          <w:highlight w:val="none"/>
        </w:rPr>
      </w:pPr>
    </w:p>
    <w:p>
      <w:pPr>
        <w:pStyle w:val="2"/>
        <w:rPr>
          <w:color w:val="auto"/>
          <w:highlight w:val="none"/>
        </w:rPr>
      </w:pP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投标人名称（盖章）</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w:t>
      </w: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法定代表人（负责人）或其授权代表（签字或盖章）：</w:t>
      </w: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pPr>
        <w:pStyle w:val="2"/>
        <w:rPr>
          <w:color w:val="auto"/>
          <w:highlight w:val="none"/>
        </w:rPr>
      </w:pPr>
    </w:p>
    <w:p>
      <w:pPr>
        <w:widowControl/>
        <w:adjustRightInd w:val="0"/>
        <w:snapToGrid w:val="0"/>
        <w:spacing w:line="360" w:lineRule="auto"/>
        <w:jc w:val="left"/>
        <w:rPr>
          <w:rFonts w:ascii="宋体" w:hAnsi="宋体"/>
          <w:color w:val="auto"/>
          <w:sz w:val="22"/>
          <w:szCs w:val="22"/>
          <w:highlight w:val="none"/>
        </w:rPr>
      </w:pPr>
      <w:r>
        <w:rPr>
          <w:rFonts w:ascii="宋体" w:hAnsi="宋体" w:cs="新宋体"/>
          <w:color w:val="auto"/>
          <w:kern w:val="0"/>
          <w:sz w:val="22"/>
          <w:szCs w:val="22"/>
          <w:highlight w:val="none"/>
        </w:rPr>
        <w:br w:type="page"/>
      </w:r>
    </w:p>
    <w:p>
      <w:pPr>
        <w:pStyle w:val="35"/>
        <w:snapToGrid w:val="0"/>
        <w:spacing w:line="324" w:lineRule="auto"/>
        <w:jc w:val="center"/>
        <w:rPr>
          <w:rFonts w:hAnsi="宋体"/>
          <w:b/>
          <w:bCs/>
          <w:color w:val="auto"/>
          <w:sz w:val="22"/>
          <w:szCs w:val="22"/>
          <w:highlight w:val="none"/>
        </w:rPr>
      </w:pPr>
      <w:r>
        <w:rPr>
          <w:rFonts w:hint="eastAsia" w:hAnsi="宋体"/>
          <w:b/>
          <w:bCs/>
          <w:color w:val="auto"/>
          <w:sz w:val="22"/>
          <w:szCs w:val="22"/>
          <w:highlight w:val="none"/>
        </w:rPr>
        <w:t>（3）诚信投标承诺书</w:t>
      </w:r>
    </w:p>
    <w:p>
      <w:pPr>
        <w:ind w:right="-153" w:rightChars="-73"/>
        <w:jc w:val="center"/>
        <w:rPr>
          <w:rFonts w:ascii="宋体" w:hAnsi="宋体"/>
          <w:color w:val="auto"/>
          <w:sz w:val="22"/>
          <w:szCs w:val="22"/>
          <w:highlight w:val="none"/>
        </w:rPr>
      </w:pPr>
    </w:p>
    <w:p>
      <w:pPr>
        <w:spacing w:line="520" w:lineRule="exact"/>
        <w:ind w:right="-153" w:rightChars="-73"/>
        <w:rPr>
          <w:rFonts w:ascii="宋体" w:hAnsi="宋体"/>
          <w:color w:val="auto"/>
          <w:sz w:val="22"/>
          <w:szCs w:val="22"/>
          <w:highlight w:val="none"/>
        </w:rPr>
      </w:pPr>
      <w:r>
        <w:rPr>
          <w:rFonts w:hint="eastAsia" w:ascii="宋体" w:hAnsi="宋体"/>
          <w:color w:val="auto"/>
          <w:sz w:val="22"/>
          <w:szCs w:val="22"/>
          <w:highlight w:val="none"/>
        </w:rPr>
        <w:t>本企业郑重承诺：</w:t>
      </w:r>
    </w:p>
    <w:p>
      <w:pPr>
        <w:spacing w:line="5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为了积极配合贵公司组织的</w:t>
      </w:r>
      <w:r>
        <w:rPr>
          <w:rFonts w:hint="eastAsia" w:ascii="宋体" w:hAnsi="宋体"/>
          <w:color w:val="auto"/>
          <w:sz w:val="22"/>
          <w:szCs w:val="22"/>
          <w:highlight w:val="none"/>
          <w:u w:val="single"/>
        </w:rPr>
        <w:t xml:space="preserve"> （项目名称） </w:t>
      </w:r>
      <w:r>
        <w:rPr>
          <w:rFonts w:hint="eastAsia" w:ascii="宋体" w:hAnsi="宋体"/>
          <w:color w:val="auto"/>
          <w:sz w:val="22"/>
          <w:szCs w:val="22"/>
          <w:highlight w:val="none"/>
        </w:rPr>
        <w:t>招标工作，有效遏制不公平竞争和违规违纪问题的发生，确保招标工作的公平、公正、公开，我们保证认真贯彻</w:t>
      </w:r>
      <w:r>
        <w:rPr>
          <w:rFonts w:hint="eastAsia" w:ascii="宋体" w:hAnsi="宋体" w:cs="Century Gothic"/>
          <w:color w:val="auto"/>
          <w:sz w:val="22"/>
          <w:szCs w:val="22"/>
          <w:highlight w:val="none"/>
        </w:rPr>
        <w:t>《中华人民共和国政府采购法》、《中华人民共和国政府采购法实施条例》、《政府采购货物和服务招标投标管理办法》和《关于进一步规范政府采购活动的若干意见》等法律及有关法规</w:t>
      </w:r>
      <w:r>
        <w:rPr>
          <w:rFonts w:hint="eastAsia" w:ascii="宋体" w:hAnsi="宋体"/>
          <w:color w:val="auto"/>
          <w:sz w:val="22"/>
          <w:szCs w:val="22"/>
          <w:highlight w:val="none"/>
        </w:rPr>
        <w:t>相关规定以及有关廉洁要求，特承诺如下事项：</w:t>
      </w:r>
    </w:p>
    <w:p>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自觉遵守国家法律法规及有关廉政建设制度。</w:t>
      </w:r>
    </w:p>
    <w:p>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主动了解</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招投标纪律，积极配合</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执行招投标廉政建设的有关规定。</w:t>
      </w:r>
    </w:p>
    <w:p>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不使用不正当手段妨碍、排挤其它投标人或串通投标。</w:t>
      </w:r>
    </w:p>
    <w:p>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按照本招标文件规定的方式进行投标，不隐瞒本单位投标资质的真实情况，投标资质符合规定。</w:t>
      </w:r>
    </w:p>
    <w:p>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不以任何方式向</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员赠送礼品、礼金及有价证券；不宴请或邀请</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的任何人参加高档娱乐消费、旅游、考察、参观等活动；不以任何形式报销</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的任何人以及亲友的各种票据及费用；不进行可能影响招投标公平、公正的任何活动。</w:t>
      </w:r>
    </w:p>
    <w:p>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及个人购置或提供通讯工具、交通工具和高档办公用品等。</w:t>
      </w:r>
    </w:p>
    <w:p>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涉及招标的人员的配偶、子女分包此次招标项目。</w:t>
      </w:r>
    </w:p>
    <w:p>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w:t>
      </w:r>
      <w:r>
        <w:rPr>
          <w:rFonts w:hint="eastAsia" w:ascii="宋体" w:hAnsi="宋体"/>
          <w:color w:val="auto"/>
          <w:sz w:val="22"/>
          <w:szCs w:val="22"/>
          <w:highlight w:val="none"/>
          <w:lang w:eastAsia="zh-CN"/>
        </w:rPr>
        <w:t>招标人</w:t>
      </w:r>
      <w:r>
        <w:rPr>
          <w:rFonts w:hint="eastAsia" w:ascii="宋体" w:hAnsi="宋体"/>
          <w:color w:val="auto"/>
          <w:sz w:val="22"/>
          <w:szCs w:val="22"/>
          <w:highlight w:val="none"/>
        </w:rPr>
        <w:t>及个人支付好处费、介绍费。</w:t>
      </w:r>
    </w:p>
    <w:p>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一旦发现相关人员在招标过程中的索要财物等不廉洁行为，坚决予以抵制，并及时向有关纪检监察部门举报。</w:t>
      </w:r>
    </w:p>
    <w:p>
      <w:pPr>
        <w:numPr>
          <w:ilvl w:val="0"/>
          <w:numId w:val="50"/>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我们若违反上述承诺，愿接受取消投标人资格及其他任何形式的处理。</w:t>
      </w:r>
    </w:p>
    <w:p>
      <w:pPr>
        <w:snapToGrid w:val="0"/>
        <w:spacing w:line="500" w:lineRule="exact"/>
        <w:ind w:firstLine="385" w:firstLineChars="175"/>
        <w:rPr>
          <w:rFonts w:ascii="宋体" w:hAnsi="宋体"/>
          <w:color w:val="auto"/>
          <w:sz w:val="22"/>
          <w:szCs w:val="22"/>
          <w:highlight w:val="none"/>
        </w:rPr>
      </w:pP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投标人名称（盖章）</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w:t>
      </w: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法定代表人（负责人）或其授权代表（签字或盖章）：</w:t>
      </w: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pPr>
        <w:rPr>
          <w:rFonts w:ascii="宋体"/>
          <w:b/>
          <w:bCs/>
          <w:color w:val="auto"/>
          <w:sz w:val="22"/>
          <w:szCs w:val="22"/>
          <w:highlight w:val="none"/>
        </w:rPr>
      </w:pPr>
      <w:r>
        <w:rPr>
          <w:rFonts w:ascii="宋体"/>
          <w:b/>
          <w:bCs/>
          <w:color w:val="auto"/>
          <w:sz w:val="22"/>
          <w:szCs w:val="22"/>
          <w:highlight w:val="none"/>
        </w:rPr>
        <w:br w:type="page"/>
      </w:r>
    </w:p>
    <w:p>
      <w:pPr>
        <w:spacing w:line="440" w:lineRule="atLeast"/>
        <w:jc w:val="center"/>
        <w:rPr>
          <w:rFonts w:hint="eastAsia" w:ascii="宋体" w:hAnsi="宋体" w:eastAsia="宋体" w:cs="宋体"/>
          <w:b/>
          <w:color w:val="auto"/>
          <w:sz w:val="22"/>
          <w:szCs w:val="22"/>
          <w:highlight w:val="none"/>
        </w:rPr>
      </w:pPr>
      <w:r>
        <w:rPr>
          <w:rFonts w:hint="eastAsia" w:hAnsi="宋体"/>
          <w:b/>
          <w:bCs/>
          <w:color w:val="auto"/>
          <w:sz w:val="22"/>
          <w:szCs w:val="22"/>
          <w:highlight w:val="none"/>
        </w:rPr>
        <w:t>（</w:t>
      </w:r>
      <w:r>
        <w:rPr>
          <w:rFonts w:hint="eastAsia" w:hAnsi="宋体"/>
          <w:b/>
          <w:bCs/>
          <w:color w:val="auto"/>
          <w:sz w:val="22"/>
          <w:szCs w:val="22"/>
          <w:highlight w:val="none"/>
          <w:lang w:val="en-US" w:eastAsia="zh-CN"/>
        </w:rPr>
        <w:t>4</w:t>
      </w:r>
      <w:r>
        <w:rPr>
          <w:rFonts w:hint="eastAsia" w:hAnsi="宋体"/>
          <w:b/>
          <w:bCs/>
          <w:color w:val="auto"/>
          <w:sz w:val="22"/>
          <w:szCs w:val="22"/>
          <w:highlight w:val="none"/>
        </w:rPr>
        <w:t>）</w:t>
      </w:r>
      <w:r>
        <w:rPr>
          <w:rFonts w:hint="eastAsia" w:ascii="宋体" w:hAnsi="宋体" w:eastAsia="宋体" w:cs="宋体"/>
          <w:b/>
          <w:color w:val="auto"/>
          <w:sz w:val="22"/>
          <w:szCs w:val="22"/>
          <w:highlight w:val="none"/>
        </w:rPr>
        <w:t>中小企业声明函</w:t>
      </w:r>
    </w:p>
    <w:p>
      <w:pPr>
        <w:spacing w:after="120"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中小企业声明函（</w:t>
      </w:r>
      <w:r>
        <w:rPr>
          <w:rFonts w:hint="eastAsia" w:ascii="宋体" w:hAnsi="宋体" w:cs="宋体"/>
          <w:b/>
          <w:bCs/>
          <w:color w:val="auto"/>
          <w:sz w:val="22"/>
          <w:szCs w:val="22"/>
          <w:highlight w:val="none"/>
          <w:lang w:val="en-US" w:eastAsia="zh-CN"/>
        </w:rPr>
        <w:t>货物</w:t>
      </w:r>
      <w:r>
        <w:rPr>
          <w:rFonts w:hint="eastAsia" w:ascii="宋体" w:hAnsi="宋体" w:eastAsia="宋体" w:cs="宋体"/>
          <w:b/>
          <w:bCs/>
          <w:color w:val="auto"/>
          <w:sz w:val="22"/>
          <w:szCs w:val="22"/>
          <w:highlight w:val="none"/>
        </w:rPr>
        <w:t>）</w:t>
      </w:r>
    </w:p>
    <w:p>
      <w:pPr>
        <w:spacing w:before="5" w:after="120" w:line="440" w:lineRule="exact"/>
        <w:rPr>
          <w:rFonts w:hint="eastAsia" w:ascii="宋体" w:hAnsi="宋体" w:eastAsia="宋体" w:cs="宋体"/>
          <w:b/>
          <w:color w:val="auto"/>
          <w:sz w:val="22"/>
          <w:szCs w:val="22"/>
          <w:highlight w:val="none"/>
        </w:rPr>
      </w:pPr>
    </w:p>
    <w:p>
      <w:pPr>
        <w:spacing w:before="240" w:beforeLines="100" w:line="440" w:lineRule="atLeast"/>
        <w:ind w:firstLine="440" w:firstLineChars="200"/>
        <w:rPr>
          <w:rFonts w:hint="eastAsia" w:ascii="宋体" w:hAnsi="宋体" w:eastAsia="宋体" w:cs="宋体"/>
          <w:color w:val="auto"/>
          <w:sz w:val="22"/>
          <w:szCs w:val="22"/>
          <w:highlight w:val="none"/>
          <w:lang w:val="zh-CN" w:eastAsia="zh-CN" w:bidi="zh-CN"/>
        </w:rPr>
      </w:pPr>
      <w:r>
        <w:rPr>
          <w:rFonts w:hint="eastAsia" w:ascii="宋体" w:hAnsi="宋体" w:cs="宋体"/>
          <w:color w:val="auto"/>
          <w:kern w:val="0"/>
          <w:sz w:val="22"/>
          <w:szCs w:val="22"/>
          <w:highlight w:val="none"/>
          <w:lang w:val="zh-CN"/>
        </w:rPr>
        <w:t>本公司（联合体）郑重声明，根据《政府采购促进中小企业发展管理办法》（财库﹝2020﹞46 号）的规定</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lang w:val="zh-CN" w:bidi="zh-CN"/>
        </w:rPr>
        <w:t>本公司（联合体）参加</w:t>
      </w:r>
      <w:r>
        <w:rPr>
          <w:rFonts w:hint="eastAsia" w:ascii="宋体" w:hAnsi="宋体" w:cs="宋体"/>
          <w:i/>
          <w:iCs/>
          <w:color w:val="auto"/>
          <w:sz w:val="22"/>
          <w:szCs w:val="22"/>
          <w:highlight w:val="none"/>
          <w:u w:val="single"/>
          <w:lang w:val="zh-CN" w:bidi="zh-CN"/>
        </w:rPr>
        <w:t>（单位名称）</w:t>
      </w:r>
      <w:r>
        <w:rPr>
          <w:rFonts w:hint="eastAsia" w:ascii="宋体" w:hAnsi="宋体" w:cs="宋体"/>
          <w:color w:val="auto"/>
          <w:sz w:val="22"/>
          <w:szCs w:val="22"/>
          <w:highlight w:val="none"/>
          <w:lang w:val="zh-CN" w:bidi="zh-CN"/>
        </w:rPr>
        <w:t>的</w:t>
      </w:r>
      <w:r>
        <w:rPr>
          <w:rFonts w:hint="eastAsia" w:ascii="宋体" w:hAnsi="宋体" w:cs="宋体"/>
          <w:i/>
          <w:iCs/>
          <w:color w:val="auto"/>
          <w:sz w:val="22"/>
          <w:szCs w:val="22"/>
          <w:highlight w:val="none"/>
          <w:u w:val="single"/>
          <w:lang w:val="zh-CN" w:bidi="zh-CN"/>
        </w:rPr>
        <w:t>（项目名称）</w:t>
      </w:r>
      <w:r>
        <w:rPr>
          <w:rFonts w:hint="eastAsia" w:ascii="宋体" w:hAnsi="宋体" w:cs="宋体"/>
          <w:color w:val="auto"/>
          <w:sz w:val="22"/>
          <w:szCs w:val="22"/>
          <w:highlight w:val="none"/>
          <w:lang w:val="zh-CN" w:bidi="zh-CN"/>
        </w:rPr>
        <w:t>采购活动，提供的货物全部由符合政策要求的中小企业制造。相关企业（含联合体中的中小企业、签订分包意向协议的中小企业） 的具体情况如下：</w:t>
      </w:r>
    </w:p>
    <w:p>
      <w:pPr>
        <w:spacing w:before="240" w:beforeLines="100" w:line="440" w:lineRule="atLeast"/>
        <w:ind w:firstLine="440" w:firstLineChars="200"/>
        <w:rPr>
          <w:rFonts w:hint="eastAsia" w:ascii="宋体" w:hAnsi="宋体" w:eastAsia="宋体" w:cs="宋体"/>
          <w:color w:val="auto"/>
          <w:sz w:val="22"/>
          <w:szCs w:val="22"/>
          <w:highlight w:val="none"/>
          <w:lang w:val="zh-CN" w:eastAsia="zh-CN" w:bidi="zh-CN"/>
        </w:rPr>
      </w:pPr>
      <w:r>
        <w:rPr>
          <w:rFonts w:hint="eastAsia" w:ascii="宋体" w:hAnsi="宋体" w:cs="宋体"/>
          <w:color w:val="auto"/>
          <w:kern w:val="0"/>
          <w:sz w:val="22"/>
          <w:szCs w:val="22"/>
          <w:highlight w:val="none"/>
        </w:rPr>
        <w:t>    1.</w:t>
      </w:r>
      <w:r>
        <w:rPr>
          <w:rFonts w:hint="eastAsia" w:ascii="宋体" w:hAnsi="宋体" w:cs="宋体"/>
          <w:i/>
          <w:iCs/>
          <w:color w:val="auto"/>
          <w:sz w:val="22"/>
          <w:szCs w:val="22"/>
          <w:highlight w:val="none"/>
          <w:u w:val="single"/>
          <w:lang w:val="zh-CN" w:bidi="zh-CN"/>
        </w:rPr>
        <w:t>（标的名称）</w:t>
      </w:r>
      <w:r>
        <w:rPr>
          <w:rFonts w:hint="eastAsia" w:ascii="宋体" w:hAnsi="宋体" w:cs="宋体"/>
          <w:color w:val="auto"/>
          <w:sz w:val="22"/>
          <w:szCs w:val="22"/>
          <w:highlight w:val="none"/>
          <w:lang w:val="zh-CN" w:bidi="zh-CN"/>
        </w:rPr>
        <w:t>，属于</w:t>
      </w:r>
      <w:r>
        <w:rPr>
          <w:rFonts w:hint="eastAsia" w:ascii="宋体" w:hAnsi="宋体" w:cs="宋体"/>
          <w:i/>
          <w:iCs/>
          <w:color w:val="auto"/>
          <w:sz w:val="22"/>
          <w:szCs w:val="22"/>
          <w:highlight w:val="none"/>
          <w:u w:val="single"/>
          <w:lang w:val="zh-CN" w:bidi="zh-CN"/>
        </w:rPr>
        <w:t>（招标文件中明确的所属行业）</w:t>
      </w:r>
      <w:r>
        <w:rPr>
          <w:rFonts w:hint="eastAsia" w:ascii="宋体" w:hAnsi="宋体" w:cs="宋体"/>
          <w:color w:val="auto"/>
          <w:sz w:val="22"/>
          <w:szCs w:val="22"/>
          <w:highlight w:val="none"/>
          <w:lang w:val="zh-CN" w:bidi="zh-CN"/>
        </w:rPr>
        <w:t>行业；制造商为</w:t>
      </w:r>
      <w:r>
        <w:rPr>
          <w:rFonts w:hint="eastAsia" w:ascii="宋体" w:hAnsi="宋体" w:cs="宋体"/>
          <w:i/>
          <w:iCs/>
          <w:color w:val="auto"/>
          <w:sz w:val="22"/>
          <w:szCs w:val="22"/>
          <w:highlight w:val="none"/>
          <w:u w:val="single"/>
          <w:lang w:val="zh-CN" w:bidi="zh-CN"/>
        </w:rPr>
        <w:t>（企业名称）</w:t>
      </w:r>
      <w:r>
        <w:rPr>
          <w:rFonts w:hint="eastAsia" w:ascii="宋体" w:hAnsi="宋体" w:cs="宋体"/>
          <w:color w:val="auto"/>
          <w:sz w:val="22"/>
          <w:szCs w:val="22"/>
          <w:highlight w:val="none"/>
          <w:lang w:val="zh-CN" w:bidi="zh-CN"/>
        </w:rPr>
        <w:t>，从业人员</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lang w:val="zh-CN" w:bidi="zh-CN"/>
        </w:rPr>
        <w:t>人，营业收入为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万元，资产总额为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万元，属于</w:t>
      </w:r>
      <w:r>
        <w:rPr>
          <w:rFonts w:hint="eastAsia" w:ascii="宋体" w:hAnsi="宋体" w:cs="宋体"/>
          <w:i/>
          <w:iCs/>
          <w:color w:val="auto"/>
          <w:sz w:val="22"/>
          <w:szCs w:val="22"/>
          <w:highlight w:val="none"/>
          <w:u w:val="single"/>
          <w:lang w:val="zh-CN" w:bidi="zh-CN"/>
        </w:rPr>
        <w:t>（中型企业、小型企业、微型企业）</w:t>
      </w:r>
      <w:r>
        <w:rPr>
          <w:rFonts w:hint="eastAsia" w:ascii="宋体" w:hAnsi="宋体" w:cs="宋体"/>
          <w:color w:val="auto"/>
          <w:sz w:val="22"/>
          <w:szCs w:val="22"/>
          <w:highlight w:val="none"/>
          <w:lang w:val="zh-CN" w:bidi="zh-CN"/>
        </w:rPr>
        <w:t>；</w:t>
      </w:r>
    </w:p>
    <w:p>
      <w:pPr>
        <w:spacing w:before="240" w:beforeLines="100" w:line="44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2.</w:t>
      </w:r>
      <w:r>
        <w:rPr>
          <w:rFonts w:hint="eastAsia" w:ascii="宋体" w:hAnsi="宋体" w:cs="宋体"/>
          <w:i/>
          <w:iCs/>
          <w:color w:val="auto"/>
          <w:sz w:val="22"/>
          <w:szCs w:val="22"/>
          <w:highlight w:val="none"/>
          <w:u w:val="single"/>
          <w:lang w:val="zh-CN" w:bidi="zh-CN"/>
        </w:rPr>
        <w:t>（标的名称）</w:t>
      </w:r>
      <w:r>
        <w:rPr>
          <w:rFonts w:hint="eastAsia" w:ascii="宋体" w:hAnsi="宋体" w:cs="宋体"/>
          <w:color w:val="auto"/>
          <w:sz w:val="22"/>
          <w:szCs w:val="22"/>
          <w:highlight w:val="none"/>
          <w:lang w:val="zh-CN" w:bidi="zh-CN"/>
        </w:rPr>
        <w:t>，属于</w:t>
      </w:r>
      <w:r>
        <w:rPr>
          <w:rFonts w:hint="eastAsia" w:ascii="宋体" w:hAnsi="宋体" w:cs="宋体"/>
          <w:i/>
          <w:iCs/>
          <w:color w:val="auto"/>
          <w:sz w:val="22"/>
          <w:szCs w:val="22"/>
          <w:highlight w:val="none"/>
          <w:u w:val="single"/>
          <w:lang w:val="zh-CN" w:bidi="zh-CN"/>
        </w:rPr>
        <w:t>（招标文件中明确的所属行业）</w:t>
      </w:r>
      <w:r>
        <w:rPr>
          <w:rFonts w:hint="eastAsia" w:ascii="宋体" w:hAnsi="宋体" w:cs="宋体"/>
          <w:color w:val="auto"/>
          <w:sz w:val="22"/>
          <w:szCs w:val="22"/>
          <w:highlight w:val="none"/>
          <w:lang w:val="zh-CN" w:bidi="zh-CN"/>
        </w:rPr>
        <w:t>行业；制造商为</w:t>
      </w:r>
      <w:r>
        <w:rPr>
          <w:rFonts w:hint="eastAsia" w:ascii="宋体" w:hAnsi="宋体" w:cs="宋体"/>
          <w:i/>
          <w:iCs/>
          <w:color w:val="auto"/>
          <w:sz w:val="22"/>
          <w:szCs w:val="22"/>
          <w:highlight w:val="none"/>
          <w:u w:val="single"/>
          <w:lang w:val="zh-CN" w:bidi="zh-CN"/>
        </w:rPr>
        <w:t>（企业名称）</w:t>
      </w:r>
      <w:r>
        <w:rPr>
          <w:rFonts w:hint="eastAsia" w:ascii="宋体" w:hAnsi="宋体" w:cs="宋体"/>
          <w:color w:val="auto"/>
          <w:sz w:val="22"/>
          <w:szCs w:val="22"/>
          <w:highlight w:val="none"/>
          <w:lang w:val="zh-CN" w:bidi="zh-CN"/>
        </w:rPr>
        <w:t>，从业人员</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lang w:val="zh-CN" w:bidi="zh-CN"/>
        </w:rPr>
        <w:t>人，营业收入为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万元，资产总额为</w:t>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万元，属于</w:t>
      </w:r>
      <w:r>
        <w:rPr>
          <w:rFonts w:hint="eastAsia" w:ascii="宋体" w:hAnsi="宋体" w:cs="宋体"/>
          <w:i/>
          <w:iCs/>
          <w:color w:val="auto"/>
          <w:sz w:val="22"/>
          <w:szCs w:val="22"/>
          <w:highlight w:val="none"/>
          <w:u w:val="single"/>
          <w:lang w:val="zh-CN" w:bidi="zh-CN"/>
        </w:rPr>
        <w:t>（中型企业、小型企业、微型企业）</w:t>
      </w:r>
      <w:r>
        <w:rPr>
          <w:rFonts w:hint="eastAsia" w:ascii="宋体" w:hAnsi="宋体" w:cs="宋体"/>
          <w:color w:val="auto"/>
          <w:kern w:val="0"/>
          <w:sz w:val="22"/>
          <w:szCs w:val="22"/>
          <w:highlight w:val="none"/>
        </w:rPr>
        <w:t>；</w:t>
      </w:r>
    </w:p>
    <w:p>
      <w:pPr>
        <w:spacing w:before="240" w:beforeLines="100" w:line="440" w:lineRule="atLeast"/>
        <w:ind w:firstLine="440" w:firstLineChars="200"/>
        <w:rPr>
          <w:rFonts w:hint="eastAsia" w:ascii="宋体" w:hAnsi="宋体" w:eastAsia="宋体" w:cs="宋体"/>
          <w:color w:val="auto"/>
          <w:sz w:val="22"/>
          <w:szCs w:val="22"/>
          <w:highlight w:val="none"/>
          <w:lang w:val="zh-CN" w:eastAsia="zh-CN" w:bidi="zh-CN"/>
        </w:rPr>
      </w:pPr>
      <w:r>
        <w:rPr>
          <w:rFonts w:hint="eastAsia" w:ascii="宋体" w:hAnsi="宋体" w:cs="宋体"/>
          <w:color w:val="auto"/>
          <w:sz w:val="22"/>
          <w:szCs w:val="22"/>
          <w:highlight w:val="none"/>
          <w:lang w:val="zh-CN" w:bidi="zh-CN"/>
        </w:rPr>
        <w:t>……</w:t>
      </w:r>
    </w:p>
    <w:p>
      <w:pPr>
        <w:spacing w:before="240" w:beforeLines="100" w:line="44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r>
        <w:rPr>
          <w:rFonts w:hint="eastAsia" w:ascii="宋体" w:hAnsi="宋体" w:cs="宋体"/>
          <w:color w:val="auto"/>
          <w:sz w:val="22"/>
          <w:szCs w:val="22"/>
          <w:highlight w:val="none"/>
          <w:lang w:val="zh-CN" w:bidi="zh-CN"/>
        </w:rPr>
        <w:t>以上企业，不属于大企业的分支机构，不存在控股股东为大企业的情形，也不存在与大企业的负责人为同一人的情形。</w:t>
      </w:r>
      <w:r>
        <w:rPr>
          <w:rFonts w:hint="eastAsia" w:ascii="宋体" w:hAnsi="宋体" w:cs="宋体"/>
          <w:color w:val="auto"/>
          <w:kern w:val="0"/>
          <w:sz w:val="22"/>
          <w:szCs w:val="22"/>
          <w:highlight w:val="none"/>
        </w:rPr>
        <w:t xml:space="preserve">  </w:t>
      </w:r>
    </w:p>
    <w:p>
      <w:pPr>
        <w:widowControl/>
        <w:adjustRightInd w:val="0"/>
        <w:snapToGrid w:val="0"/>
        <w:spacing w:line="400" w:lineRule="exact"/>
        <w:ind w:firstLine="440" w:firstLineChars="200"/>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本企业对上述声明内容的真实性负责。如有虚假，将依法承担相应责任。</w:t>
      </w:r>
    </w:p>
    <w:p>
      <w:pPr>
        <w:widowControl/>
        <w:adjustRightInd w:val="0"/>
        <w:snapToGrid w:val="0"/>
        <w:spacing w:line="400" w:lineRule="exact"/>
        <w:ind w:firstLine="3300" w:firstLineChars="1500"/>
        <w:jc w:val="left"/>
        <w:rPr>
          <w:rFonts w:ascii="宋体" w:hAnsi="宋体" w:cs="宋体"/>
          <w:color w:val="auto"/>
          <w:sz w:val="22"/>
          <w:szCs w:val="22"/>
          <w:highlight w:val="none"/>
        </w:rPr>
      </w:pPr>
    </w:p>
    <w:p>
      <w:pPr>
        <w:widowControl/>
        <w:adjustRightInd w:val="0"/>
        <w:snapToGrid w:val="0"/>
        <w:spacing w:line="400" w:lineRule="exact"/>
        <w:ind w:firstLine="3300" w:firstLineChars="1500"/>
        <w:jc w:val="left"/>
        <w:rPr>
          <w:rFonts w:ascii="宋体" w:hAnsi="宋体" w:cs="宋体"/>
          <w:color w:val="auto"/>
          <w:sz w:val="22"/>
          <w:szCs w:val="22"/>
          <w:highlight w:val="none"/>
        </w:rPr>
      </w:pPr>
    </w:p>
    <w:p>
      <w:pPr>
        <w:widowControl/>
        <w:adjustRightInd w:val="0"/>
        <w:snapToGrid w:val="0"/>
        <w:spacing w:line="400" w:lineRule="exact"/>
        <w:ind w:firstLine="3300" w:firstLineChars="1500"/>
        <w:jc w:val="left"/>
        <w:rPr>
          <w:rFonts w:ascii="宋体" w:hAnsi="宋体" w:cs="宋体"/>
          <w:color w:val="auto"/>
          <w:sz w:val="22"/>
          <w:szCs w:val="22"/>
          <w:highlight w:val="none"/>
        </w:rPr>
      </w:pPr>
    </w:p>
    <w:p>
      <w:pPr>
        <w:pStyle w:val="2"/>
        <w:rPr>
          <w:rFonts w:ascii="宋体" w:hAnsi="宋体" w:cs="宋体"/>
          <w:color w:val="auto"/>
          <w:sz w:val="22"/>
          <w:szCs w:val="22"/>
          <w:highlight w:val="none"/>
        </w:rPr>
      </w:pP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lang w:eastAsia="zh-CN"/>
        </w:rPr>
      </w:pP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名称（盖章）：</w:t>
      </w: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pStyle w:val="748"/>
        <w:spacing w:before="60" w:after="60"/>
        <w:rPr>
          <w:rFonts w:hint="eastAsia" w:ascii="宋体" w:hAnsi="宋体" w:eastAsia="宋体" w:cs="宋体"/>
          <w:color w:val="auto"/>
          <w:sz w:val="22"/>
          <w:szCs w:val="22"/>
          <w:highlight w:val="none"/>
        </w:rPr>
      </w:pPr>
    </w:p>
    <w:p>
      <w:pPr>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说明：</w:t>
      </w:r>
    </w:p>
    <w:p>
      <w:pPr>
        <w:numPr>
          <w:ilvl w:val="0"/>
          <w:numId w:val="51"/>
        </w:numPr>
        <w:tabs>
          <w:tab w:val="left" w:pos="420"/>
        </w:tabs>
        <w:spacing w:line="400" w:lineRule="exact"/>
        <w:ind w:left="425" w:leftChars="0" w:hanging="425"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本项目为对应的中小企业划分标准所属行业：</w:t>
      </w:r>
      <w:r>
        <w:rPr>
          <w:rFonts w:hint="eastAsia" w:ascii="宋体" w:hAnsi="宋体" w:cs="宋体"/>
          <w:b/>
          <w:color w:val="auto"/>
          <w:sz w:val="22"/>
          <w:szCs w:val="22"/>
          <w:highlight w:val="none"/>
          <w:lang w:val="en-US" w:eastAsia="zh-CN"/>
        </w:rPr>
        <w:t>工</w:t>
      </w:r>
      <w:r>
        <w:rPr>
          <w:rFonts w:hint="eastAsia" w:ascii="宋体" w:hAnsi="宋体" w:eastAsia="宋体" w:cs="宋体"/>
          <w:b/>
          <w:color w:val="auto"/>
          <w:sz w:val="22"/>
          <w:szCs w:val="22"/>
          <w:highlight w:val="none"/>
        </w:rPr>
        <w:t>业。</w:t>
      </w:r>
    </w:p>
    <w:p>
      <w:pPr>
        <w:numPr>
          <w:ilvl w:val="0"/>
          <w:numId w:val="51"/>
        </w:numPr>
        <w:tabs>
          <w:tab w:val="left" w:pos="420"/>
        </w:tabs>
        <w:spacing w:line="400" w:lineRule="exact"/>
        <w:ind w:left="425" w:leftChars="0" w:hanging="425"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从业人员、营业收入、资产总额填报上一年度数据，无上一年度数据的新成立企业可不填报。</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spacing w:before="240" w:beforeLines="100" w:line="440" w:lineRule="atLeast"/>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p>
      <w:pPr>
        <w:spacing w:line="440" w:lineRule="atLeast"/>
        <w:rPr>
          <w:rFonts w:hint="eastAsia" w:ascii="宋体" w:hAnsi="宋体" w:eastAsia="宋体" w:cs="宋体"/>
          <w:color w:val="auto"/>
          <w:sz w:val="22"/>
          <w:szCs w:val="22"/>
          <w:highlight w:val="none"/>
        </w:rPr>
      </w:pPr>
    </w:p>
    <w:p>
      <w:pPr>
        <w:spacing w:line="440" w:lineRule="atLeas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z w:val="22"/>
          <w:szCs w:val="22"/>
          <w:highlight w:val="none"/>
        </w:rPr>
        <w:t>（</w:t>
      </w: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w:t>
      </w: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324" w:lineRule="auto"/>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300" w:lineRule="auto"/>
        <w:jc w:val="center"/>
        <w:rPr>
          <w:rFonts w:hint="eastAsia" w:ascii="宋体" w:hAnsi="宋体" w:eastAsia="宋体" w:cs="宋体"/>
          <w:b/>
          <w:bCs/>
          <w:color w:val="auto"/>
          <w:sz w:val="22"/>
          <w:szCs w:val="22"/>
          <w:highlight w:val="none"/>
        </w:rPr>
      </w:pP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w:t>
      </w:r>
      <w:r>
        <w:rPr>
          <w:rFonts w:hint="eastAsia" w:ascii="宋体" w:hAnsi="宋体" w:cs="宋体"/>
          <w:color w:val="auto"/>
          <w:spacing w:val="6"/>
          <w:sz w:val="22"/>
          <w:szCs w:val="22"/>
          <w:highlight w:val="none"/>
          <w:u w:val="single"/>
          <w:lang w:eastAsia="zh-CN"/>
        </w:rPr>
        <w:t>招标人</w:t>
      </w:r>
      <w:r>
        <w:rPr>
          <w:rFonts w:hint="eastAsia" w:ascii="宋体" w:hAnsi="宋体" w:eastAsia="宋体" w:cs="宋体"/>
          <w:color w:val="auto"/>
          <w:spacing w:val="6"/>
          <w:sz w:val="22"/>
          <w:szCs w:val="22"/>
          <w:highlight w:val="none"/>
          <w:u w:val="single"/>
        </w:rPr>
        <w:t>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300" w:lineRule="auto"/>
        <w:ind w:firstLine="464" w:firstLineChars="200"/>
        <w:rPr>
          <w:rFonts w:hint="eastAsia" w:ascii="宋体" w:hAnsi="宋体" w:eastAsia="宋体" w:cs="宋体"/>
          <w:color w:val="auto"/>
          <w:spacing w:val="6"/>
          <w:sz w:val="22"/>
          <w:szCs w:val="22"/>
          <w:highlight w:val="none"/>
        </w:rPr>
      </w:pPr>
    </w:p>
    <w:p>
      <w:pPr>
        <w:snapToGrid w:val="0"/>
        <w:spacing w:line="300" w:lineRule="auto"/>
        <w:ind w:firstLine="464" w:firstLineChars="200"/>
        <w:rPr>
          <w:rFonts w:hint="eastAsia" w:ascii="宋体" w:hAnsi="宋体" w:eastAsia="宋体" w:cs="宋体"/>
          <w:color w:val="auto"/>
          <w:spacing w:val="6"/>
          <w:sz w:val="22"/>
          <w:szCs w:val="22"/>
          <w:highlight w:val="none"/>
        </w:rPr>
      </w:pP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名称（盖章）：</w:t>
      </w: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adjustRightInd w:val="0"/>
        <w:snapToGrid w:val="0"/>
        <w:spacing w:line="300" w:lineRule="auto"/>
        <w:ind w:firstLine="440" w:firstLineChars="200"/>
        <w:rPr>
          <w:rFonts w:hint="eastAsia" w:ascii="宋体" w:hAnsi="宋体" w:eastAsia="宋体" w:cs="宋体"/>
          <w:color w:val="auto"/>
          <w:kern w:val="0"/>
          <w:sz w:val="22"/>
          <w:szCs w:val="22"/>
          <w:highlight w:val="none"/>
        </w:rPr>
      </w:pPr>
    </w:p>
    <w:p>
      <w:pPr>
        <w:pStyle w:val="43"/>
        <w:rPr>
          <w:rFonts w:hint="eastAsia" w:ascii="宋体" w:hAnsi="宋体" w:eastAsia="宋体" w:cs="宋体"/>
          <w:color w:val="auto"/>
          <w:highlight w:val="none"/>
        </w:rPr>
      </w:pPr>
    </w:p>
    <w:p>
      <w:pPr>
        <w:adjustRightInd w:val="0"/>
        <w:snapToGrid w:val="0"/>
        <w:spacing w:line="300" w:lineRule="auto"/>
        <w:ind w:firstLine="440" w:firstLineChars="200"/>
        <w:rPr>
          <w:rFonts w:hint="eastAsia" w:ascii="宋体" w:hAnsi="宋体" w:eastAsia="宋体" w:cs="宋体"/>
          <w:color w:val="auto"/>
          <w:kern w:val="0"/>
          <w:sz w:val="22"/>
          <w:szCs w:val="22"/>
          <w:highlight w:val="none"/>
        </w:rPr>
      </w:pPr>
    </w:p>
    <w:p>
      <w:pPr>
        <w:spacing w:line="440" w:lineRule="atLeast"/>
        <w:rPr>
          <w:rFonts w:hint="eastAsia" w:ascii="宋体" w:hAnsi="宋体" w:eastAsia="宋体" w:cs="宋体"/>
          <w:color w:val="auto"/>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z w:val="22"/>
          <w:szCs w:val="22"/>
          <w:highlight w:val="none"/>
        </w:rPr>
        <w:t>（</w:t>
      </w:r>
      <w:r>
        <w:rPr>
          <w:rFonts w:hint="eastAsia" w:ascii="宋体" w:hAnsi="宋体" w:cs="宋体"/>
          <w:b/>
          <w:color w:val="auto"/>
          <w:sz w:val="22"/>
          <w:szCs w:val="22"/>
          <w:highlight w:val="none"/>
          <w:lang w:val="en-US" w:eastAsia="zh-CN"/>
        </w:rPr>
        <w:t>6</w:t>
      </w:r>
      <w:r>
        <w:rPr>
          <w:rFonts w:hint="eastAsia" w:ascii="宋体" w:hAnsi="宋体" w:eastAsia="宋体" w:cs="宋体"/>
          <w:b/>
          <w:color w:val="auto"/>
          <w:sz w:val="22"/>
          <w:szCs w:val="22"/>
          <w:highlight w:val="none"/>
        </w:rPr>
        <w:t>）</w:t>
      </w:r>
      <w:r>
        <w:rPr>
          <w:rFonts w:hint="eastAsia" w:ascii="宋体" w:hAnsi="宋体" w:eastAsia="宋体" w:cs="宋体"/>
          <w:b/>
          <w:color w:val="auto"/>
          <w:spacing w:val="6"/>
          <w:sz w:val="22"/>
          <w:szCs w:val="22"/>
          <w:highlight w:val="none"/>
        </w:rPr>
        <w:t>监狱企业声明函</w:t>
      </w:r>
    </w:p>
    <w:p>
      <w:pPr>
        <w:snapToGrid w:val="0"/>
        <w:spacing w:line="300" w:lineRule="auto"/>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根据上述标准，我企业属于监狱企业的理由为：。 </w:t>
      </w: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）（项目编号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名称（盖章）：</w:t>
      </w: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pStyle w:val="75"/>
        <w:rPr>
          <w:rFonts w:hint="eastAsia" w:ascii="宋体" w:hAnsi="宋体" w:eastAsia="宋体" w:cs="宋体"/>
          <w:color w:val="auto"/>
          <w:sz w:val="22"/>
          <w:szCs w:val="22"/>
          <w:highlight w:val="none"/>
        </w:rPr>
      </w:pPr>
    </w:p>
    <w:p>
      <w:pPr>
        <w:pStyle w:val="75"/>
        <w:rPr>
          <w:rFonts w:hint="eastAsia" w:ascii="宋体" w:hAnsi="宋体" w:eastAsia="宋体" w:cs="宋体"/>
          <w:color w:val="auto"/>
          <w:sz w:val="22"/>
          <w:szCs w:val="22"/>
          <w:highlight w:val="none"/>
        </w:rPr>
      </w:pPr>
    </w:p>
    <w:p>
      <w:pPr>
        <w:spacing w:line="380" w:lineRule="exact"/>
        <w:rPr>
          <w:rFonts w:ascii="宋体"/>
          <w:b/>
          <w:bCs/>
          <w:color w:val="auto"/>
          <w:sz w:val="22"/>
          <w:szCs w:val="22"/>
          <w:highlight w:val="none"/>
        </w:rPr>
      </w:pPr>
    </w:p>
    <w:p>
      <w:pPr>
        <w:rPr>
          <w:rFonts w:hint="eastAsia" w:ascii="宋体" w:hAnsi="宋体"/>
          <w:b/>
          <w:bCs/>
          <w:color w:val="auto"/>
          <w:sz w:val="22"/>
          <w:szCs w:val="22"/>
          <w:highlight w:val="none"/>
        </w:rPr>
      </w:pPr>
      <w:r>
        <w:rPr>
          <w:rFonts w:ascii="宋体"/>
          <w:b/>
          <w:bCs/>
          <w:color w:val="auto"/>
          <w:sz w:val="22"/>
          <w:szCs w:val="22"/>
          <w:highlight w:val="none"/>
        </w:rPr>
        <w:br w:type="page"/>
      </w:r>
    </w:p>
    <w:p>
      <w:pPr>
        <w:pStyle w:val="61"/>
        <w:rPr>
          <w:color w:val="auto"/>
          <w:highlight w:val="none"/>
        </w:rPr>
      </w:pPr>
    </w:p>
    <w:p>
      <w:pPr>
        <w:pStyle w:val="2"/>
        <w:rPr>
          <w:color w:val="auto"/>
          <w:highlight w:val="none"/>
        </w:rPr>
      </w:pPr>
    </w:p>
    <w:p>
      <w:pPr>
        <w:spacing w:line="460" w:lineRule="exact"/>
        <w:jc w:val="center"/>
        <w:rPr>
          <w:rFonts w:ascii="宋体" w:hAnsi="宋体"/>
          <w:b/>
          <w:bCs/>
          <w:color w:val="auto"/>
          <w:sz w:val="28"/>
          <w:szCs w:val="28"/>
          <w:highlight w:val="none"/>
        </w:rPr>
      </w:pPr>
    </w:p>
    <w:p>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 xml:space="preserve">附件二 </w:t>
      </w:r>
    </w:p>
    <w:p>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1）</w:t>
      </w:r>
      <w:r>
        <w:rPr>
          <w:rFonts w:hint="eastAsia" w:ascii="宋体" w:hAnsi="宋体"/>
          <w:b/>
          <w:bCs/>
          <w:color w:val="auto"/>
          <w:sz w:val="28"/>
          <w:szCs w:val="28"/>
          <w:highlight w:val="none"/>
        </w:rPr>
        <w:t>开标一览表</w:t>
      </w:r>
    </w:p>
    <w:p>
      <w:pPr>
        <w:spacing w:line="380" w:lineRule="exact"/>
        <w:jc w:val="center"/>
        <w:rPr>
          <w:rFonts w:ascii="宋体" w:hAnsi="宋体"/>
          <w:b/>
          <w:bCs/>
          <w:color w:val="auto"/>
          <w:sz w:val="28"/>
          <w:highlight w:val="none"/>
        </w:rPr>
      </w:pPr>
    </w:p>
    <w:p>
      <w:pPr>
        <w:spacing w:line="380" w:lineRule="exact"/>
        <w:ind w:right="349" w:rightChars="166"/>
        <w:rPr>
          <w:rFonts w:ascii="宋体" w:hAnsi="宋体"/>
          <w:b/>
          <w:color w:val="auto"/>
          <w:sz w:val="22"/>
          <w:highlight w:val="none"/>
        </w:rPr>
      </w:pPr>
      <w:r>
        <w:rPr>
          <w:rFonts w:hint="eastAsia" w:ascii="宋体" w:hAnsi="宋体"/>
          <w:b/>
          <w:color w:val="auto"/>
          <w:sz w:val="22"/>
          <w:highlight w:val="none"/>
        </w:rPr>
        <w:t xml:space="preserve">                                                             单位：人民币元</w:t>
      </w:r>
    </w:p>
    <w:tbl>
      <w:tblPr>
        <w:tblStyle w:val="62"/>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98"/>
        <w:gridCol w:w="2333"/>
        <w:gridCol w:w="41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710" w:type="dxa"/>
            <w:vAlign w:val="center"/>
          </w:tcPr>
          <w:p>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序号</w:t>
            </w:r>
          </w:p>
        </w:tc>
        <w:tc>
          <w:tcPr>
            <w:tcW w:w="4631" w:type="dxa"/>
            <w:gridSpan w:val="2"/>
            <w:vAlign w:val="center"/>
          </w:tcPr>
          <w:p>
            <w:pPr>
              <w:spacing w:line="460" w:lineRule="exact"/>
              <w:jc w:val="center"/>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项目</w:t>
            </w:r>
            <w:r>
              <w:rPr>
                <w:rFonts w:ascii="宋体" w:hAnsi="宋体" w:cs="Arial"/>
                <w:b/>
                <w:snapToGrid w:val="0"/>
                <w:color w:val="auto"/>
                <w:kern w:val="0"/>
                <w:sz w:val="22"/>
                <w:szCs w:val="22"/>
                <w:highlight w:val="none"/>
              </w:rPr>
              <w:t>名称</w:t>
            </w:r>
          </w:p>
        </w:tc>
        <w:tc>
          <w:tcPr>
            <w:tcW w:w="4127" w:type="dxa"/>
            <w:vAlign w:val="center"/>
          </w:tcPr>
          <w:p>
            <w:pPr>
              <w:spacing w:line="460" w:lineRule="exact"/>
              <w:jc w:val="center"/>
              <w:rPr>
                <w:rFonts w:hint="default" w:ascii="宋体" w:hAnsi="宋体" w:eastAsia="宋体" w:cs="Arial"/>
                <w:b/>
                <w:snapToGrid w:val="0"/>
                <w:color w:val="auto"/>
                <w:kern w:val="0"/>
                <w:sz w:val="22"/>
                <w:szCs w:val="22"/>
                <w:highlight w:val="none"/>
                <w:lang w:val="en-US" w:eastAsia="zh-CN"/>
              </w:rPr>
            </w:pPr>
            <w:r>
              <w:rPr>
                <w:rFonts w:hint="eastAsia" w:ascii="宋体" w:hAnsi="宋体" w:cs="Arial"/>
                <w:b/>
                <w:snapToGrid w:val="0"/>
                <w:color w:val="auto"/>
                <w:kern w:val="0"/>
                <w:sz w:val="22"/>
                <w:szCs w:val="22"/>
                <w:highlight w:val="none"/>
                <w:lang w:val="en-US" w:eastAsia="zh-CN"/>
              </w:rPr>
              <w:t>免费质保期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vAlign w:val="center"/>
          </w:tcPr>
          <w:p>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1</w:t>
            </w:r>
          </w:p>
        </w:tc>
        <w:tc>
          <w:tcPr>
            <w:tcW w:w="4631" w:type="dxa"/>
            <w:gridSpan w:val="2"/>
            <w:vAlign w:val="center"/>
          </w:tcPr>
          <w:p>
            <w:pPr>
              <w:spacing w:line="460" w:lineRule="exact"/>
              <w:jc w:val="center"/>
              <w:rPr>
                <w:rFonts w:hint="eastAsia" w:ascii="宋体" w:hAnsi="宋体" w:eastAsia="宋体" w:cs="Arial"/>
                <w:snapToGrid w:val="0"/>
                <w:color w:val="auto"/>
                <w:kern w:val="0"/>
                <w:sz w:val="22"/>
                <w:szCs w:val="22"/>
                <w:highlight w:val="none"/>
                <w:lang w:eastAsia="zh-CN"/>
              </w:rPr>
            </w:pPr>
            <w:r>
              <w:rPr>
                <w:rFonts w:hint="eastAsia" w:ascii="宋体" w:hAnsi="宋体" w:cs="Arial"/>
                <w:snapToGrid w:val="0"/>
                <w:color w:val="auto"/>
                <w:kern w:val="0"/>
                <w:sz w:val="22"/>
                <w:szCs w:val="22"/>
                <w:highlight w:val="none"/>
                <w:lang w:eastAsia="zh-CN"/>
              </w:rPr>
              <w:t>温州肯恩大学留学生楼家具采购</w:t>
            </w:r>
          </w:p>
        </w:tc>
        <w:tc>
          <w:tcPr>
            <w:tcW w:w="4127" w:type="dxa"/>
            <w:vAlign w:val="center"/>
          </w:tcPr>
          <w:p>
            <w:pPr>
              <w:spacing w:line="460" w:lineRule="exact"/>
              <w:jc w:val="center"/>
              <w:rPr>
                <w:rFonts w:ascii="宋体" w:hAnsi="宋体" w:cs="Arial"/>
                <w:b/>
                <w:snapToGrid w:val="0"/>
                <w:color w:val="auto"/>
                <w:kern w:val="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08" w:type="dxa"/>
            <w:gridSpan w:val="2"/>
            <w:vAlign w:val="center"/>
          </w:tcPr>
          <w:p>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投标</w:t>
            </w:r>
            <w:r>
              <w:rPr>
                <w:rFonts w:hint="eastAsia" w:ascii="宋体" w:hAnsi="宋体" w:cs="Arial"/>
                <w:b/>
                <w:snapToGrid w:val="0"/>
                <w:color w:val="auto"/>
                <w:kern w:val="0"/>
                <w:sz w:val="22"/>
                <w:szCs w:val="22"/>
                <w:highlight w:val="none"/>
              </w:rPr>
              <w:t>报价</w:t>
            </w:r>
          </w:p>
        </w:tc>
        <w:tc>
          <w:tcPr>
            <w:tcW w:w="6460" w:type="dxa"/>
            <w:gridSpan w:val="2"/>
            <w:vAlign w:val="center"/>
          </w:tcPr>
          <w:p>
            <w:pPr>
              <w:spacing w:line="460" w:lineRule="exact"/>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 xml:space="preserve">大写：    </w:t>
            </w:r>
          </w:p>
          <w:p>
            <w:pPr>
              <w:spacing w:line="460" w:lineRule="exact"/>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 xml:space="preserve">小写（￥）：      </w:t>
            </w:r>
          </w:p>
        </w:tc>
      </w:tr>
    </w:tbl>
    <w:p>
      <w:pPr>
        <w:spacing w:line="460" w:lineRule="exact"/>
        <w:rPr>
          <w:rFonts w:ascii="宋体" w:hAnsi="宋体"/>
          <w:color w:val="auto"/>
          <w:sz w:val="22"/>
          <w:szCs w:val="22"/>
          <w:highlight w:val="none"/>
        </w:rPr>
      </w:pPr>
    </w:p>
    <w:p>
      <w:pPr>
        <w:spacing w:line="380" w:lineRule="exact"/>
        <w:ind w:right="349" w:rightChars="166" w:firstLine="331" w:firstLineChars="150"/>
        <w:rPr>
          <w:rFonts w:ascii="宋体" w:hAnsi="宋体"/>
          <w:b/>
          <w:color w:val="auto"/>
          <w:sz w:val="22"/>
          <w:highlight w:val="none"/>
        </w:rPr>
      </w:pPr>
    </w:p>
    <w:p>
      <w:pPr>
        <w:spacing w:line="380" w:lineRule="exact"/>
        <w:ind w:left="528" w:leftChars="-15" w:hanging="559" w:hangingChars="253"/>
        <w:rPr>
          <w:rFonts w:ascii="宋体" w:hAnsi="宋体" w:cs="Arial"/>
          <w:b/>
          <w:bCs/>
          <w:color w:val="auto"/>
          <w:sz w:val="22"/>
          <w:szCs w:val="22"/>
          <w:highlight w:val="none"/>
        </w:rPr>
      </w:pPr>
      <w:r>
        <w:rPr>
          <w:rFonts w:hint="eastAsia" w:ascii="宋体" w:hAnsi="宋体"/>
          <w:b/>
          <w:color w:val="auto"/>
          <w:sz w:val="22"/>
          <w:highlight w:val="none"/>
        </w:rPr>
        <w:t>说明：</w:t>
      </w:r>
      <w:r>
        <w:rPr>
          <w:rFonts w:hint="eastAsia" w:ascii="宋体" w:hAnsi="宋体" w:cs="Arial"/>
          <w:b/>
          <w:bCs/>
          <w:color w:val="auto"/>
          <w:sz w:val="22"/>
          <w:szCs w:val="22"/>
          <w:highlight w:val="none"/>
        </w:rPr>
        <w:t>1、《开标一览表》中“投标报价”应与</w:t>
      </w:r>
      <w:r>
        <w:rPr>
          <w:rFonts w:hint="eastAsia" w:ascii="宋体" w:hAnsi="宋体"/>
          <w:b/>
          <w:color w:val="auto"/>
          <w:sz w:val="22"/>
          <w:highlight w:val="none"/>
        </w:rPr>
        <w:t>《投标分项报价表》中“投标总价”相一致</w:t>
      </w:r>
      <w:r>
        <w:rPr>
          <w:rFonts w:hint="eastAsia" w:ascii="宋体" w:hAnsi="宋体" w:cs="Arial"/>
          <w:b/>
          <w:bCs/>
          <w:color w:val="auto"/>
          <w:sz w:val="22"/>
          <w:szCs w:val="22"/>
          <w:highlight w:val="none"/>
        </w:rPr>
        <w:t xml:space="preserve">。 </w:t>
      </w:r>
    </w:p>
    <w:p>
      <w:pPr>
        <w:spacing w:line="380" w:lineRule="exact"/>
        <w:ind w:left="532" w:leftChars="-66" w:hanging="671" w:hangingChars="304"/>
        <w:rPr>
          <w:rFonts w:ascii="宋体" w:hAnsi="宋体"/>
          <w:b/>
          <w:color w:val="auto"/>
          <w:sz w:val="22"/>
          <w:highlight w:val="none"/>
        </w:rPr>
      </w:pPr>
      <w:r>
        <w:rPr>
          <w:rFonts w:hint="eastAsia" w:ascii="宋体" w:hAnsi="宋体" w:cs="Arial"/>
          <w:b/>
          <w:bCs/>
          <w:color w:val="auto"/>
          <w:sz w:val="22"/>
          <w:szCs w:val="22"/>
          <w:highlight w:val="none"/>
        </w:rPr>
        <w:t>2、▲</w:t>
      </w:r>
      <w:r>
        <w:rPr>
          <w:rFonts w:hint="eastAsia" w:ascii="宋体" w:hAnsi="宋体" w:cs="Arial"/>
          <w:b/>
          <w:color w:val="auto"/>
          <w:sz w:val="22"/>
          <w:szCs w:val="22"/>
          <w:highlight w:val="none"/>
          <w:u w:val="single"/>
        </w:rPr>
        <w:t>不按要求提供开标一览表的投标文件将被视为未实质性响应招标文件</w:t>
      </w:r>
      <w:r>
        <w:rPr>
          <w:rFonts w:hint="eastAsia" w:ascii="宋体" w:hAnsi="宋体"/>
          <w:b/>
          <w:color w:val="auto"/>
          <w:sz w:val="22"/>
          <w:highlight w:val="none"/>
          <w:u w:val="single"/>
        </w:rPr>
        <w:t>。</w:t>
      </w:r>
    </w:p>
    <w:p>
      <w:pPr>
        <w:spacing w:line="380" w:lineRule="exact"/>
        <w:ind w:firstLine="660" w:firstLineChars="300"/>
        <w:rPr>
          <w:rFonts w:ascii="宋体" w:hAnsi="宋体"/>
          <w:color w:val="auto"/>
          <w:sz w:val="22"/>
          <w:szCs w:val="22"/>
          <w:highlight w:val="none"/>
        </w:rPr>
      </w:pPr>
    </w:p>
    <w:p>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投标人全称（盖章）：</w:t>
      </w:r>
    </w:p>
    <w:p>
      <w:pPr>
        <w:spacing w:line="380" w:lineRule="exact"/>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pPr>
        <w:spacing w:line="380" w:lineRule="exact"/>
        <w:rPr>
          <w:rFonts w:ascii="宋体" w:hAnsi="宋体"/>
          <w:color w:val="auto"/>
          <w:sz w:val="22"/>
          <w:szCs w:val="22"/>
          <w:highlight w:val="none"/>
        </w:rPr>
      </w:pPr>
      <w:r>
        <w:rPr>
          <w:rFonts w:hint="eastAsia" w:ascii="宋体" w:hAnsi="宋体"/>
          <w:color w:val="auto"/>
          <w:sz w:val="22"/>
          <w:szCs w:val="22"/>
          <w:highlight w:val="none"/>
        </w:rPr>
        <w:t>日 期：  年  月  日</w:t>
      </w:r>
    </w:p>
    <w:p>
      <w:pPr>
        <w:spacing w:line="460" w:lineRule="exact"/>
        <w:rPr>
          <w:rFonts w:ascii="宋体" w:hAnsi="宋体"/>
          <w:b/>
          <w:bCs/>
          <w:color w:val="auto"/>
          <w:sz w:val="22"/>
          <w:szCs w:val="22"/>
          <w:highlight w:val="none"/>
        </w:rPr>
      </w:pPr>
      <w:r>
        <w:rPr>
          <w:rFonts w:hint="eastAsia" w:ascii="宋体" w:hAnsi="宋体"/>
          <w:color w:val="auto"/>
          <w:sz w:val="22"/>
          <w:szCs w:val="22"/>
          <w:highlight w:val="none"/>
        </w:rPr>
        <w:br w:type="page"/>
      </w:r>
    </w:p>
    <w:p>
      <w:pPr>
        <w:spacing w:line="380" w:lineRule="exact"/>
        <w:jc w:val="center"/>
        <w:rPr>
          <w:rFonts w:ascii="宋体" w:hAnsi="宋体"/>
          <w:b/>
          <w:bCs/>
          <w:color w:val="auto"/>
          <w:sz w:val="28"/>
          <w:szCs w:val="28"/>
          <w:highlight w:val="none"/>
        </w:rPr>
      </w:pP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2）</w:t>
      </w:r>
      <w:r>
        <w:rPr>
          <w:rFonts w:ascii="宋体" w:hAnsi="宋体"/>
          <w:b/>
          <w:bCs/>
          <w:color w:val="auto"/>
          <w:sz w:val="28"/>
          <w:szCs w:val="28"/>
          <w:highlight w:val="none"/>
        </w:rPr>
        <w:t>投标分项报价表</w:t>
      </w:r>
    </w:p>
    <w:p>
      <w:pPr>
        <w:spacing w:line="380" w:lineRule="exact"/>
        <w:jc w:val="center"/>
        <w:rPr>
          <w:rFonts w:ascii="宋体" w:hAnsi="宋体"/>
          <w:b/>
          <w:bCs/>
          <w:color w:val="auto"/>
          <w:sz w:val="28"/>
          <w:szCs w:val="28"/>
          <w:highlight w:val="none"/>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2493"/>
        <w:gridCol w:w="2207"/>
        <w:gridCol w:w="1196"/>
        <w:gridCol w:w="1521"/>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318"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65"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项目内容</w:t>
            </w:r>
          </w:p>
        </w:tc>
        <w:tc>
          <w:tcPr>
            <w:tcW w:w="1120"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规格</w:t>
            </w:r>
          </w:p>
        </w:tc>
        <w:tc>
          <w:tcPr>
            <w:tcW w:w="607"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数量</w:t>
            </w:r>
          </w:p>
        </w:tc>
        <w:tc>
          <w:tcPr>
            <w:tcW w:w="772"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单价</w:t>
            </w:r>
          </w:p>
          <w:p>
            <w:pPr>
              <w:jc w:val="center"/>
              <w:rPr>
                <w:rFonts w:ascii="宋体" w:hAnsi="宋体"/>
                <w:color w:val="auto"/>
                <w:sz w:val="22"/>
                <w:szCs w:val="22"/>
                <w:highlight w:val="none"/>
              </w:rPr>
            </w:pPr>
            <w:r>
              <w:rPr>
                <w:rFonts w:hint="eastAsia" w:ascii="宋体" w:hAnsi="宋体"/>
                <w:color w:val="auto"/>
                <w:sz w:val="22"/>
                <w:szCs w:val="22"/>
                <w:highlight w:val="none"/>
              </w:rPr>
              <w:t>（元）</w:t>
            </w:r>
          </w:p>
        </w:tc>
        <w:tc>
          <w:tcPr>
            <w:tcW w:w="919"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报价</w:t>
            </w:r>
          </w:p>
          <w:p>
            <w:pPr>
              <w:jc w:val="center"/>
              <w:rPr>
                <w:rFonts w:ascii="宋体" w:hAnsi="宋体"/>
                <w:color w:val="auto"/>
                <w:sz w:val="22"/>
                <w:szCs w:val="22"/>
                <w:highlight w:val="none"/>
              </w:rPr>
            </w:pPr>
            <w:r>
              <w:rPr>
                <w:rFonts w:hint="eastAsia" w:ascii="宋体" w:hAnsi="宋体"/>
                <w:color w:val="auto"/>
                <w:sz w:val="22"/>
                <w:szCs w:val="22"/>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65" w:type="pct"/>
            <w:vAlign w:val="center"/>
          </w:tcPr>
          <w:p>
            <w:pPr>
              <w:jc w:val="center"/>
              <w:rPr>
                <w:rFonts w:ascii="宋体" w:hAnsi="宋体"/>
                <w:color w:val="auto"/>
                <w:sz w:val="22"/>
                <w:szCs w:val="22"/>
                <w:highlight w:val="none"/>
                <w:lang w:val="en-GB"/>
              </w:rPr>
            </w:pPr>
          </w:p>
        </w:tc>
        <w:tc>
          <w:tcPr>
            <w:tcW w:w="1120" w:type="pct"/>
            <w:vAlign w:val="center"/>
          </w:tcPr>
          <w:p>
            <w:pPr>
              <w:jc w:val="center"/>
              <w:rPr>
                <w:rFonts w:ascii="宋体" w:hAnsi="宋体"/>
                <w:color w:val="auto"/>
                <w:sz w:val="22"/>
                <w:szCs w:val="22"/>
                <w:highlight w:val="none"/>
              </w:rPr>
            </w:pPr>
          </w:p>
        </w:tc>
        <w:tc>
          <w:tcPr>
            <w:tcW w:w="607" w:type="pct"/>
            <w:vAlign w:val="center"/>
          </w:tcPr>
          <w:p>
            <w:pPr>
              <w:jc w:val="center"/>
              <w:rPr>
                <w:rFonts w:ascii="宋体" w:hAnsi="宋体"/>
                <w:color w:val="auto"/>
                <w:sz w:val="22"/>
                <w:szCs w:val="22"/>
                <w:highlight w:val="none"/>
              </w:rPr>
            </w:pPr>
          </w:p>
        </w:tc>
        <w:tc>
          <w:tcPr>
            <w:tcW w:w="772" w:type="pct"/>
            <w:vAlign w:val="center"/>
          </w:tcPr>
          <w:p>
            <w:pPr>
              <w:jc w:val="center"/>
              <w:rPr>
                <w:rFonts w:ascii="宋体" w:hAnsi="宋体"/>
                <w:color w:val="auto"/>
                <w:sz w:val="22"/>
                <w:szCs w:val="22"/>
                <w:highlight w:val="none"/>
              </w:rPr>
            </w:pPr>
          </w:p>
        </w:tc>
        <w:tc>
          <w:tcPr>
            <w:tcW w:w="919" w:type="pct"/>
            <w:vAlign w:val="center"/>
          </w:tcPr>
          <w:p>
            <w:pPr>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2</w:t>
            </w:r>
          </w:p>
        </w:tc>
        <w:tc>
          <w:tcPr>
            <w:tcW w:w="1265" w:type="pct"/>
            <w:vAlign w:val="center"/>
          </w:tcPr>
          <w:p>
            <w:pPr>
              <w:jc w:val="center"/>
              <w:rPr>
                <w:rFonts w:ascii="宋体" w:hAnsi="宋体"/>
                <w:color w:val="auto"/>
                <w:sz w:val="22"/>
                <w:szCs w:val="22"/>
                <w:highlight w:val="none"/>
                <w:lang w:val="en-GB"/>
              </w:rPr>
            </w:pPr>
          </w:p>
        </w:tc>
        <w:tc>
          <w:tcPr>
            <w:tcW w:w="1120" w:type="pct"/>
            <w:vAlign w:val="center"/>
          </w:tcPr>
          <w:p>
            <w:pPr>
              <w:jc w:val="center"/>
              <w:rPr>
                <w:rFonts w:ascii="宋体" w:hAnsi="宋体"/>
                <w:color w:val="auto"/>
                <w:sz w:val="22"/>
                <w:szCs w:val="22"/>
                <w:highlight w:val="none"/>
              </w:rPr>
            </w:pPr>
          </w:p>
        </w:tc>
        <w:tc>
          <w:tcPr>
            <w:tcW w:w="607" w:type="pct"/>
            <w:vAlign w:val="center"/>
          </w:tcPr>
          <w:p>
            <w:pPr>
              <w:jc w:val="center"/>
              <w:rPr>
                <w:rFonts w:ascii="宋体" w:hAnsi="宋体"/>
                <w:color w:val="auto"/>
                <w:sz w:val="22"/>
                <w:szCs w:val="22"/>
                <w:highlight w:val="none"/>
              </w:rPr>
            </w:pPr>
          </w:p>
        </w:tc>
        <w:tc>
          <w:tcPr>
            <w:tcW w:w="772" w:type="pct"/>
            <w:vAlign w:val="center"/>
          </w:tcPr>
          <w:p>
            <w:pPr>
              <w:jc w:val="center"/>
              <w:rPr>
                <w:rFonts w:ascii="宋体" w:hAnsi="宋体"/>
                <w:color w:val="auto"/>
                <w:sz w:val="22"/>
                <w:szCs w:val="22"/>
                <w:highlight w:val="none"/>
              </w:rPr>
            </w:pPr>
          </w:p>
        </w:tc>
        <w:tc>
          <w:tcPr>
            <w:tcW w:w="919" w:type="pct"/>
            <w:vAlign w:val="center"/>
          </w:tcPr>
          <w:p>
            <w:pPr>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3</w:t>
            </w:r>
          </w:p>
        </w:tc>
        <w:tc>
          <w:tcPr>
            <w:tcW w:w="1265" w:type="pct"/>
            <w:vAlign w:val="center"/>
          </w:tcPr>
          <w:p>
            <w:pPr>
              <w:jc w:val="center"/>
              <w:rPr>
                <w:rFonts w:ascii="宋体" w:hAnsi="宋体"/>
                <w:color w:val="auto"/>
                <w:sz w:val="22"/>
                <w:szCs w:val="22"/>
                <w:highlight w:val="none"/>
                <w:lang w:val="en-GB"/>
              </w:rPr>
            </w:pPr>
          </w:p>
        </w:tc>
        <w:tc>
          <w:tcPr>
            <w:tcW w:w="1120" w:type="pct"/>
            <w:vAlign w:val="center"/>
          </w:tcPr>
          <w:p>
            <w:pPr>
              <w:jc w:val="center"/>
              <w:rPr>
                <w:rFonts w:ascii="宋体" w:hAnsi="宋体"/>
                <w:color w:val="auto"/>
                <w:sz w:val="22"/>
                <w:szCs w:val="22"/>
                <w:highlight w:val="none"/>
              </w:rPr>
            </w:pPr>
          </w:p>
        </w:tc>
        <w:tc>
          <w:tcPr>
            <w:tcW w:w="607" w:type="pct"/>
            <w:vAlign w:val="center"/>
          </w:tcPr>
          <w:p>
            <w:pPr>
              <w:jc w:val="center"/>
              <w:rPr>
                <w:rFonts w:ascii="宋体" w:hAnsi="宋体"/>
                <w:color w:val="auto"/>
                <w:sz w:val="22"/>
                <w:szCs w:val="22"/>
                <w:highlight w:val="none"/>
              </w:rPr>
            </w:pPr>
          </w:p>
        </w:tc>
        <w:tc>
          <w:tcPr>
            <w:tcW w:w="772" w:type="pct"/>
            <w:vAlign w:val="center"/>
          </w:tcPr>
          <w:p>
            <w:pPr>
              <w:jc w:val="center"/>
              <w:rPr>
                <w:rFonts w:ascii="宋体" w:hAnsi="宋体"/>
                <w:color w:val="auto"/>
                <w:sz w:val="22"/>
                <w:szCs w:val="22"/>
                <w:highlight w:val="none"/>
              </w:rPr>
            </w:pPr>
          </w:p>
        </w:tc>
        <w:tc>
          <w:tcPr>
            <w:tcW w:w="919" w:type="pct"/>
            <w:vAlign w:val="center"/>
          </w:tcPr>
          <w:p>
            <w:pPr>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4</w:t>
            </w:r>
          </w:p>
        </w:tc>
        <w:tc>
          <w:tcPr>
            <w:tcW w:w="1265" w:type="pct"/>
            <w:vAlign w:val="center"/>
          </w:tcPr>
          <w:p>
            <w:pPr>
              <w:jc w:val="center"/>
              <w:rPr>
                <w:rFonts w:ascii="宋体" w:hAnsi="宋体"/>
                <w:color w:val="auto"/>
                <w:sz w:val="22"/>
                <w:szCs w:val="22"/>
                <w:highlight w:val="none"/>
                <w:lang w:val="en-GB"/>
              </w:rPr>
            </w:pPr>
          </w:p>
        </w:tc>
        <w:tc>
          <w:tcPr>
            <w:tcW w:w="1120" w:type="pct"/>
            <w:vAlign w:val="center"/>
          </w:tcPr>
          <w:p>
            <w:pPr>
              <w:jc w:val="center"/>
              <w:rPr>
                <w:rFonts w:ascii="宋体" w:hAnsi="宋体"/>
                <w:color w:val="auto"/>
                <w:sz w:val="22"/>
                <w:szCs w:val="22"/>
                <w:highlight w:val="none"/>
              </w:rPr>
            </w:pPr>
          </w:p>
        </w:tc>
        <w:tc>
          <w:tcPr>
            <w:tcW w:w="607" w:type="pct"/>
            <w:vAlign w:val="center"/>
          </w:tcPr>
          <w:p>
            <w:pPr>
              <w:jc w:val="center"/>
              <w:rPr>
                <w:rFonts w:ascii="宋体" w:hAnsi="宋体"/>
                <w:color w:val="auto"/>
                <w:sz w:val="22"/>
                <w:szCs w:val="22"/>
                <w:highlight w:val="none"/>
              </w:rPr>
            </w:pPr>
          </w:p>
        </w:tc>
        <w:tc>
          <w:tcPr>
            <w:tcW w:w="772" w:type="pct"/>
            <w:vAlign w:val="center"/>
          </w:tcPr>
          <w:p>
            <w:pPr>
              <w:jc w:val="center"/>
              <w:rPr>
                <w:rFonts w:ascii="宋体" w:hAnsi="宋体"/>
                <w:color w:val="auto"/>
                <w:sz w:val="22"/>
                <w:szCs w:val="22"/>
                <w:highlight w:val="none"/>
              </w:rPr>
            </w:pPr>
          </w:p>
        </w:tc>
        <w:tc>
          <w:tcPr>
            <w:tcW w:w="919" w:type="pct"/>
            <w:vAlign w:val="center"/>
          </w:tcPr>
          <w:p>
            <w:pPr>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5</w:t>
            </w:r>
          </w:p>
        </w:tc>
        <w:tc>
          <w:tcPr>
            <w:tcW w:w="1265" w:type="pct"/>
            <w:vAlign w:val="center"/>
          </w:tcPr>
          <w:p>
            <w:pPr>
              <w:jc w:val="center"/>
              <w:rPr>
                <w:rFonts w:ascii="宋体" w:hAnsi="宋体"/>
                <w:color w:val="auto"/>
                <w:sz w:val="22"/>
                <w:szCs w:val="22"/>
                <w:highlight w:val="none"/>
                <w:lang w:val="en-GB"/>
              </w:rPr>
            </w:pPr>
          </w:p>
        </w:tc>
        <w:tc>
          <w:tcPr>
            <w:tcW w:w="1120" w:type="pct"/>
            <w:vAlign w:val="center"/>
          </w:tcPr>
          <w:p>
            <w:pPr>
              <w:jc w:val="center"/>
              <w:rPr>
                <w:rFonts w:ascii="宋体" w:hAnsi="宋体"/>
                <w:color w:val="auto"/>
                <w:sz w:val="22"/>
                <w:szCs w:val="22"/>
                <w:highlight w:val="none"/>
              </w:rPr>
            </w:pPr>
          </w:p>
        </w:tc>
        <w:tc>
          <w:tcPr>
            <w:tcW w:w="607" w:type="pct"/>
            <w:vAlign w:val="center"/>
          </w:tcPr>
          <w:p>
            <w:pPr>
              <w:jc w:val="center"/>
              <w:rPr>
                <w:rFonts w:ascii="宋体" w:hAnsi="宋体"/>
                <w:color w:val="auto"/>
                <w:sz w:val="22"/>
                <w:szCs w:val="22"/>
                <w:highlight w:val="none"/>
              </w:rPr>
            </w:pPr>
          </w:p>
        </w:tc>
        <w:tc>
          <w:tcPr>
            <w:tcW w:w="772" w:type="pct"/>
            <w:vAlign w:val="center"/>
          </w:tcPr>
          <w:p>
            <w:pPr>
              <w:jc w:val="center"/>
              <w:rPr>
                <w:rFonts w:ascii="宋体" w:hAnsi="宋体"/>
                <w:color w:val="auto"/>
                <w:sz w:val="22"/>
                <w:szCs w:val="22"/>
                <w:highlight w:val="none"/>
              </w:rPr>
            </w:pPr>
          </w:p>
        </w:tc>
        <w:tc>
          <w:tcPr>
            <w:tcW w:w="919" w:type="pct"/>
            <w:vAlign w:val="center"/>
          </w:tcPr>
          <w:p>
            <w:pPr>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318"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6</w:t>
            </w:r>
          </w:p>
        </w:tc>
        <w:tc>
          <w:tcPr>
            <w:tcW w:w="1265" w:type="pct"/>
            <w:vAlign w:val="center"/>
          </w:tcPr>
          <w:p>
            <w:pPr>
              <w:jc w:val="center"/>
              <w:rPr>
                <w:rFonts w:ascii="宋体" w:hAnsi="宋体"/>
                <w:color w:val="auto"/>
                <w:sz w:val="22"/>
                <w:szCs w:val="22"/>
                <w:highlight w:val="none"/>
                <w:lang w:val="en-GB"/>
              </w:rPr>
            </w:pPr>
          </w:p>
        </w:tc>
        <w:tc>
          <w:tcPr>
            <w:tcW w:w="1120" w:type="pct"/>
            <w:vAlign w:val="center"/>
          </w:tcPr>
          <w:p>
            <w:pPr>
              <w:jc w:val="center"/>
              <w:rPr>
                <w:rFonts w:ascii="宋体" w:hAnsi="宋体"/>
                <w:color w:val="auto"/>
                <w:sz w:val="22"/>
                <w:szCs w:val="22"/>
                <w:highlight w:val="none"/>
              </w:rPr>
            </w:pPr>
          </w:p>
        </w:tc>
        <w:tc>
          <w:tcPr>
            <w:tcW w:w="607" w:type="pct"/>
            <w:vAlign w:val="center"/>
          </w:tcPr>
          <w:p>
            <w:pPr>
              <w:jc w:val="center"/>
              <w:rPr>
                <w:rFonts w:ascii="宋体" w:hAnsi="宋体"/>
                <w:color w:val="auto"/>
                <w:sz w:val="22"/>
                <w:szCs w:val="22"/>
                <w:highlight w:val="none"/>
              </w:rPr>
            </w:pPr>
          </w:p>
        </w:tc>
        <w:tc>
          <w:tcPr>
            <w:tcW w:w="772" w:type="pct"/>
            <w:vAlign w:val="center"/>
          </w:tcPr>
          <w:p>
            <w:pPr>
              <w:jc w:val="center"/>
              <w:rPr>
                <w:rFonts w:ascii="宋体" w:hAnsi="宋体"/>
                <w:color w:val="auto"/>
                <w:sz w:val="22"/>
                <w:szCs w:val="22"/>
                <w:highlight w:val="none"/>
              </w:rPr>
            </w:pPr>
          </w:p>
        </w:tc>
        <w:tc>
          <w:tcPr>
            <w:tcW w:w="919" w:type="pct"/>
            <w:vAlign w:val="center"/>
          </w:tcPr>
          <w:p>
            <w:pPr>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7</w:t>
            </w:r>
          </w:p>
        </w:tc>
        <w:tc>
          <w:tcPr>
            <w:tcW w:w="1265" w:type="pct"/>
            <w:vAlign w:val="center"/>
          </w:tcPr>
          <w:p>
            <w:pPr>
              <w:jc w:val="center"/>
              <w:rPr>
                <w:rFonts w:ascii="宋体" w:hAnsi="宋体"/>
                <w:color w:val="auto"/>
                <w:sz w:val="22"/>
                <w:szCs w:val="22"/>
                <w:highlight w:val="none"/>
                <w:lang w:val="en-GB"/>
              </w:rPr>
            </w:pPr>
          </w:p>
        </w:tc>
        <w:tc>
          <w:tcPr>
            <w:tcW w:w="1120" w:type="pct"/>
            <w:vAlign w:val="center"/>
          </w:tcPr>
          <w:p>
            <w:pPr>
              <w:jc w:val="center"/>
              <w:rPr>
                <w:rFonts w:ascii="宋体" w:hAnsi="宋体"/>
                <w:color w:val="auto"/>
                <w:sz w:val="22"/>
                <w:szCs w:val="22"/>
                <w:highlight w:val="none"/>
              </w:rPr>
            </w:pPr>
          </w:p>
        </w:tc>
        <w:tc>
          <w:tcPr>
            <w:tcW w:w="607" w:type="pct"/>
            <w:vAlign w:val="center"/>
          </w:tcPr>
          <w:p>
            <w:pPr>
              <w:jc w:val="center"/>
              <w:rPr>
                <w:rFonts w:ascii="宋体" w:hAnsi="宋体"/>
                <w:color w:val="auto"/>
                <w:sz w:val="22"/>
                <w:szCs w:val="22"/>
                <w:highlight w:val="none"/>
              </w:rPr>
            </w:pPr>
          </w:p>
        </w:tc>
        <w:tc>
          <w:tcPr>
            <w:tcW w:w="772" w:type="pct"/>
            <w:vAlign w:val="center"/>
          </w:tcPr>
          <w:p>
            <w:pPr>
              <w:jc w:val="center"/>
              <w:rPr>
                <w:rFonts w:ascii="宋体" w:hAnsi="宋体"/>
                <w:color w:val="auto"/>
                <w:sz w:val="22"/>
                <w:szCs w:val="22"/>
                <w:highlight w:val="none"/>
              </w:rPr>
            </w:pPr>
          </w:p>
        </w:tc>
        <w:tc>
          <w:tcPr>
            <w:tcW w:w="919" w:type="pct"/>
            <w:vAlign w:val="center"/>
          </w:tcPr>
          <w:p>
            <w:pPr>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318"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8</w:t>
            </w:r>
          </w:p>
        </w:tc>
        <w:tc>
          <w:tcPr>
            <w:tcW w:w="1265" w:type="pct"/>
            <w:vAlign w:val="center"/>
          </w:tcPr>
          <w:p>
            <w:pPr>
              <w:spacing w:line="360" w:lineRule="auto"/>
              <w:jc w:val="center"/>
              <w:rPr>
                <w:rFonts w:ascii="宋体" w:hAnsi="宋体"/>
                <w:b/>
                <w:color w:val="auto"/>
                <w:sz w:val="22"/>
                <w:szCs w:val="22"/>
                <w:highlight w:val="none"/>
              </w:rPr>
            </w:pPr>
          </w:p>
        </w:tc>
        <w:tc>
          <w:tcPr>
            <w:tcW w:w="1120" w:type="pct"/>
            <w:vAlign w:val="center"/>
          </w:tcPr>
          <w:p>
            <w:pPr>
              <w:jc w:val="center"/>
              <w:rPr>
                <w:rFonts w:ascii="宋体" w:hAnsi="宋体"/>
                <w:b/>
                <w:color w:val="auto"/>
                <w:sz w:val="22"/>
                <w:szCs w:val="22"/>
                <w:highlight w:val="none"/>
              </w:rPr>
            </w:pPr>
          </w:p>
        </w:tc>
        <w:tc>
          <w:tcPr>
            <w:tcW w:w="607" w:type="pct"/>
            <w:vAlign w:val="center"/>
          </w:tcPr>
          <w:p>
            <w:pPr>
              <w:jc w:val="center"/>
              <w:rPr>
                <w:rFonts w:ascii="宋体" w:hAnsi="宋体"/>
                <w:b/>
                <w:color w:val="auto"/>
                <w:sz w:val="22"/>
                <w:szCs w:val="22"/>
                <w:highlight w:val="none"/>
              </w:rPr>
            </w:pPr>
          </w:p>
        </w:tc>
        <w:tc>
          <w:tcPr>
            <w:tcW w:w="772" w:type="pct"/>
            <w:vAlign w:val="center"/>
          </w:tcPr>
          <w:p>
            <w:pPr>
              <w:jc w:val="center"/>
              <w:rPr>
                <w:rFonts w:ascii="宋体" w:hAnsi="宋体"/>
                <w:b/>
                <w:color w:val="auto"/>
                <w:sz w:val="22"/>
                <w:szCs w:val="22"/>
                <w:highlight w:val="none"/>
              </w:rPr>
            </w:pPr>
          </w:p>
        </w:tc>
        <w:tc>
          <w:tcPr>
            <w:tcW w:w="919" w:type="pct"/>
            <w:vAlign w:val="center"/>
          </w:tcPr>
          <w:p>
            <w:pPr>
              <w:jc w:val="center"/>
              <w:rPr>
                <w:rFonts w:ascii="宋体" w:hAnsi="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318"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9</w:t>
            </w:r>
          </w:p>
        </w:tc>
        <w:tc>
          <w:tcPr>
            <w:tcW w:w="1265" w:type="pct"/>
            <w:vAlign w:val="center"/>
          </w:tcPr>
          <w:p>
            <w:pPr>
              <w:jc w:val="center"/>
              <w:rPr>
                <w:rFonts w:ascii="宋体" w:hAnsi="宋体"/>
                <w:color w:val="auto"/>
                <w:sz w:val="22"/>
                <w:szCs w:val="22"/>
                <w:highlight w:val="none"/>
              </w:rPr>
            </w:pPr>
          </w:p>
        </w:tc>
        <w:tc>
          <w:tcPr>
            <w:tcW w:w="1120" w:type="pct"/>
            <w:vAlign w:val="center"/>
          </w:tcPr>
          <w:p>
            <w:pPr>
              <w:jc w:val="center"/>
              <w:rPr>
                <w:rFonts w:ascii="宋体" w:hAnsi="宋体"/>
                <w:color w:val="auto"/>
                <w:sz w:val="22"/>
                <w:szCs w:val="22"/>
                <w:highlight w:val="none"/>
              </w:rPr>
            </w:pPr>
          </w:p>
        </w:tc>
        <w:tc>
          <w:tcPr>
            <w:tcW w:w="607" w:type="pct"/>
            <w:vAlign w:val="center"/>
          </w:tcPr>
          <w:p>
            <w:pPr>
              <w:jc w:val="center"/>
              <w:rPr>
                <w:rFonts w:ascii="宋体" w:hAnsi="宋体"/>
                <w:color w:val="auto"/>
                <w:sz w:val="22"/>
                <w:szCs w:val="22"/>
                <w:highlight w:val="none"/>
              </w:rPr>
            </w:pPr>
          </w:p>
        </w:tc>
        <w:tc>
          <w:tcPr>
            <w:tcW w:w="772" w:type="pct"/>
            <w:vAlign w:val="center"/>
          </w:tcPr>
          <w:p>
            <w:pPr>
              <w:jc w:val="center"/>
              <w:rPr>
                <w:rFonts w:ascii="宋体" w:hAnsi="宋体"/>
                <w:color w:val="auto"/>
                <w:sz w:val="22"/>
                <w:szCs w:val="22"/>
                <w:highlight w:val="none"/>
              </w:rPr>
            </w:pPr>
          </w:p>
        </w:tc>
        <w:tc>
          <w:tcPr>
            <w:tcW w:w="919" w:type="pct"/>
            <w:vAlign w:val="center"/>
          </w:tcPr>
          <w:p>
            <w:pPr>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10</w:t>
            </w:r>
          </w:p>
        </w:tc>
        <w:tc>
          <w:tcPr>
            <w:tcW w:w="1265" w:type="pct"/>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w:t>
            </w:r>
          </w:p>
        </w:tc>
        <w:tc>
          <w:tcPr>
            <w:tcW w:w="1120" w:type="pct"/>
            <w:vAlign w:val="center"/>
          </w:tcPr>
          <w:p>
            <w:pPr>
              <w:jc w:val="center"/>
              <w:rPr>
                <w:rFonts w:ascii="宋体" w:hAnsi="宋体"/>
                <w:color w:val="auto"/>
                <w:sz w:val="22"/>
                <w:szCs w:val="22"/>
                <w:highlight w:val="none"/>
              </w:rPr>
            </w:pPr>
          </w:p>
        </w:tc>
        <w:tc>
          <w:tcPr>
            <w:tcW w:w="607" w:type="pct"/>
            <w:vAlign w:val="center"/>
          </w:tcPr>
          <w:p>
            <w:pPr>
              <w:jc w:val="center"/>
              <w:rPr>
                <w:rFonts w:ascii="宋体" w:hAnsi="宋体"/>
                <w:color w:val="auto"/>
                <w:sz w:val="22"/>
                <w:szCs w:val="22"/>
                <w:highlight w:val="none"/>
              </w:rPr>
            </w:pPr>
          </w:p>
        </w:tc>
        <w:tc>
          <w:tcPr>
            <w:tcW w:w="772" w:type="pct"/>
            <w:vAlign w:val="center"/>
          </w:tcPr>
          <w:p>
            <w:pPr>
              <w:jc w:val="center"/>
              <w:rPr>
                <w:rFonts w:ascii="宋体" w:hAnsi="宋体"/>
                <w:color w:val="auto"/>
                <w:sz w:val="22"/>
                <w:szCs w:val="22"/>
                <w:highlight w:val="none"/>
              </w:rPr>
            </w:pPr>
          </w:p>
        </w:tc>
        <w:tc>
          <w:tcPr>
            <w:tcW w:w="919" w:type="pct"/>
            <w:vAlign w:val="center"/>
          </w:tcPr>
          <w:p>
            <w:pPr>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081" w:type="pct"/>
            <w:gridSpan w:val="5"/>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投标总价</w:t>
            </w:r>
          </w:p>
        </w:tc>
        <w:tc>
          <w:tcPr>
            <w:tcW w:w="919" w:type="pct"/>
            <w:vAlign w:val="center"/>
          </w:tcPr>
          <w:p>
            <w:pPr>
              <w:spacing w:line="360" w:lineRule="auto"/>
              <w:jc w:val="center"/>
              <w:rPr>
                <w:rFonts w:ascii="宋体" w:hAnsi="宋体"/>
                <w:color w:val="auto"/>
                <w:sz w:val="22"/>
                <w:szCs w:val="22"/>
                <w:highlight w:val="none"/>
              </w:rPr>
            </w:pPr>
          </w:p>
        </w:tc>
      </w:tr>
    </w:tbl>
    <w:p>
      <w:pPr>
        <w:spacing w:line="360" w:lineRule="auto"/>
        <w:rPr>
          <w:rFonts w:ascii="宋体" w:hAnsi="宋体" w:cs="宋体"/>
          <w:color w:val="auto"/>
          <w:kern w:val="0"/>
          <w:szCs w:val="21"/>
          <w:highlight w:val="none"/>
        </w:rPr>
      </w:pPr>
    </w:p>
    <w:p>
      <w:pPr>
        <w:spacing w:line="360" w:lineRule="exact"/>
        <w:rPr>
          <w:rFonts w:ascii="宋体" w:hAnsi="宋体"/>
          <w:b/>
          <w:color w:val="auto"/>
          <w:sz w:val="22"/>
          <w:szCs w:val="22"/>
          <w:highlight w:val="none"/>
        </w:rPr>
      </w:pPr>
      <w:r>
        <w:rPr>
          <w:rFonts w:hint="eastAsia" w:ascii="宋体" w:hAnsi="宋体"/>
          <w:b/>
          <w:bCs/>
          <w:color w:val="auto"/>
          <w:sz w:val="22"/>
          <w:szCs w:val="22"/>
          <w:highlight w:val="none"/>
        </w:rPr>
        <w:t>说明：</w:t>
      </w:r>
      <w:r>
        <w:rPr>
          <w:rFonts w:hint="eastAsia" w:ascii="宋体" w:hAnsi="宋体"/>
          <w:b/>
          <w:color w:val="auto"/>
          <w:sz w:val="22"/>
          <w:szCs w:val="22"/>
          <w:highlight w:val="none"/>
        </w:rPr>
        <w:t>1、此表内投标总价应与</w:t>
      </w:r>
      <w:r>
        <w:rPr>
          <w:rFonts w:hint="eastAsia" w:ascii="宋体" w:hAnsi="宋体" w:cs="Arial"/>
          <w:b/>
          <w:bCs/>
          <w:color w:val="auto"/>
          <w:sz w:val="22"/>
          <w:szCs w:val="22"/>
          <w:highlight w:val="none"/>
        </w:rPr>
        <w:t>《开标一览表》</w:t>
      </w:r>
      <w:r>
        <w:rPr>
          <w:rFonts w:hint="eastAsia" w:ascii="宋体" w:hAnsi="宋体"/>
          <w:b/>
          <w:color w:val="auto"/>
          <w:sz w:val="22"/>
          <w:szCs w:val="22"/>
          <w:highlight w:val="none"/>
        </w:rPr>
        <w:t>投标报价相一致。</w:t>
      </w:r>
    </w:p>
    <w:p>
      <w:pPr>
        <w:spacing w:line="360" w:lineRule="exact"/>
        <w:rPr>
          <w:rFonts w:ascii="宋体" w:hAnsi="宋体"/>
          <w:b/>
          <w:color w:val="auto"/>
          <w:sz w:val="22"/>
          <w:szCs w:val="22"/>
          <w:highlight w:val="none"/>
        </w:rPr>
      </w:pPr>
      <w:r>
        <w:rPr>
          <w:rFonts w:hint="eastAsia" w:ascii="宋体" w:hAnsi="宋体"/>
          <w:b/>
          <w:color w:val="auto"/>
          <w:sz w:val="22"/>
          <w:szCs w:val="22"/>
          <w:highlight w:val="none"/>
        </w:rPr>
        <w:t>2、</w:t>
      </w:r>
      <w:r>
        <w:rPr>
          <w:rFonts w:hint="eastAsia" w:ascii="宋体" w:hAnsi="宋体" w:cs="Arial"/>
          <w:b/>
          <w:bCs/>
          <w:color w:val="auto"/>
          <w:sz w:val="22"/>
          <w:szCs w:val="22"/>
          <w:highlight w:val="none"/>
        </w:rPr>
        <w:t>▲</w:t>
      </w:r>
      <w:r>
        <w:rPr>
          <w:rFonts w:hint="eastAsia" w:ascii="宋体" w:hAnsi="宋体"/>
          <w:b/>
          <w:color w:val="auto"/>
          <w:sz w:val="22"/>
          <w:szCs w:val="22"/>
          <w:highlight w:val="none"/>
          <w:u w:val="single"/>
        </w:rPr>
        <w:t>不提供《投标分项报价表》的报价，视为没有实质性响应招标文件要求。</w:t>
      </w:r>
    </w:p>
    <w:p>
      <w:pPr>
        <w:spacing w:line="360" w:lineRule="exact"/>
        <w:ind w:left="325" w:hanging="325" w:hangingChars="147"/>
        <w:rPr>
          <w:rFonts w:ascii="宋体" w:hAnsi="宋体"/>
          <w:b/>
          <w:color w:val="auto"/>
          <w:sz w:val="22"/>
          <w:szCs w:val="22"/>
          <w:highlight w:val="none"/>
        </w:rPr>
      </w:pPr>
      <w:r>
        <w:rPr>
          <w:rFonts w:hint="eastAsia" w:ascii="宋体" w:hAnsi="宋体"/>
          <w:b/>
          <w:color w:val="auto"/>
          <w:sz w:val="22"/>
          <w:szCs w:val="22"/>
          <w:highlight w:val="none"/>
        </w:rPr>
        <w:t>3、如果免费请在该备注栏内注明“免”，如果含在产品价格中则填“含”，如无此项内容则填“无”，不留空白。</w:t>
      </w:r>
    </w:p>
    <w:p>
      <w:pPr>
        <w:spacing w:line="360" w:lineRule="auto"/>
        <w:ind w:firstLine="420" w:firstLineChars="200"/>
        <w:rPr>
          <w:rFonts w:ascii="宋体" w:hAnsi="宋体"/>
          <w:color w:val="auto"/>
          <w:szCs w:val="21"/>
          <w:highlight w:val="none"/>
        </w:rPr>
      </w:pPr>
    </w:p>
    <w:p>
      <w:pPr>
        <w:spacing w:line="380" w:lineRule="exact"/>
        <w:ind w:firstLine="420" w:firstLineChars="200"/>
        <w:rPr>
          <w:rFonts w:ascii="宋体" w:hAnsi="宋体"/>
          <w:color w:val="auto"/>
          <w:szCs w:val="21"/>
          <w:highlight w:val="none"/>
        </w:rPr>
      </w:pPr>
    </w:p>
    <w:p>
      <w:pPr>
        <w:spacing w:line="380" w:lineRule="exact"/>
        <w:ind w:left="2722" w:leftChars="1028" w:hanging="563" w:hangingChars="256"/>
        <w:rPr>
          <w:rFonts w:ascii="宋体" w:hAnsi="宋体"/>
          <w:color w:val="auto"/>
          <w:sz w:val="22"/>
          <w:szCs w:val="22"/>
          <w:highlight w:val="none"/>
        </w:rPr>
      </w:pPr>
      <w:r>
        <w:rPr>
          <w:rFonts w:hint="eastAsia" w:ascii="宋体" w:hAnsi="宋体"/>
          <w:color w:val="auto"/>
          <w:sz w:val="22"/>
          <w:szCs w:val="22"/>
          <w:highlight w:val="none"/>
        </w:rPr>
        <w:t>投标人全称（盖章）：</w:t>
      </w:r>
    </w:p>
    <w:p>
      <w:pPr>
        <w:spacing w:line="380" w:lineRule="exact"/>
        <w:ind w:left="2722" w:leftChars="1028" w:hanging="563" w:hangingChars="256"/>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pPr>
        <w:spacing w:line="380" w:lineRule="exact"/>
        <w:ind w:left="2722" w:leftChars="1028" w:hanging="563" w:hangingChars="256"/>
        <w:jc w:val="left"/>
        <w:rPr>
          <w:rFonts w:ascii="宋体" w:hAnsi="宋体" w:cs="Arial"/>
          <w:b/>
          <w:bCs/>
          <w:color w:val="auto"/>
          <w:sz w:val="22"/>
          <w:szCs w:val="22"/>
          <w:highlight w:val="none"/>
        </w:rPr>
      </w:pPr>
      <w:r>
        <w:rPr>
          <w:rFonts w:hint="eastAsia" w:ascii="宋体" w:hAnsi="宋体"/>
          <w:color w:val="auto"/>
          <w:sz w:val="22"/>
          <w:szCs w:val="22"/>
          <w:highlight w:val="none"/>
        </w:rPr>
        <w:t>日期：</w:t>
      </w:r>
    </w:p>
    <w:p>
      <w:pPr>
        <w:rPr>
          <w:rFonts w:ascii="宋体" w:hAnsi="宋体"/>
          <w:b/>
          <w:bCs/>
          <w:color w:val="auto"/>
          <w:sz w:val="22"/>
          <w:szCs w:val="22"/>
          <w:highlight w:val="none"/>
        </w:rPr>
      </w:pPr>
      <w:r>
        <w:rPr>
          <w:rFonts w:ascii="宋体" w:hAnsi="宋体"/>
          <w:b/>
          <w:bCs/>
          <w:color w:val="auto"/>
          <w:sz w:val="22"/>
          <w:szCs w:val="22"/>
          <w:highlight w:val="none"/>
        </w:rPr>
        <w:br w:type="page"/>
      </w:r>
    </w:p>
    <w:p>
      <w:pPr>
        <w:spacing w:line="460" w:lineRule="exact"/>
        <w:rPr>
          <w:rFonts w:hint="eastAsia" w:ascii="宋体" w:hAnsi="宋体" w:eastAsia="宋体"/>
          <w:b/>
          <w:bCs/>
          <w:color w:val="auto"/>
          <w:sz w:val="22"/>
          <w:szCs w:val="22"/>
          <w:highlight w:val="none"/>
          <w:lang w:eastAsia="zh-CN"/>
        </w:rPr>
      </w:pPr>
      <w:r>
        <w:rPr>
          <w:rFonts w:hint="eastAsia" w:ascii="宋体" w:hAnsi="宋体"/>
          <w:b/>
          <w:bCs/>
          <w:color w:val="auto"/>
          <w:sz w:val="22"/>
          <w:szCs w:val="22"/>
          <w:highlight w:val="none"/>
        </w:rPr>
        <w:t>附件</w:t>
      </w:r>
      <w:r>
        <w:rPr>
          <w:rFonts w:hint="eastAsia" w:ascii="宋体" w:hAnsi="宋体"/>
          <w:b/>
          <w:bCs/>
          <w:color w:val="auto"/>
          <w:sz w:val="22"/>
          <w:szCs w:val="22"/>
          <w:highlight w:val="none"/>
          <w:lang w:val="en-US" w:eastAsia="zh-CN"/>
        </w:rPr>
        <w:t>三</w:t>
      </w:r>
    </w:p>
    <w:p>
      <w:pPr>
        <w:spacing w:line="460" w:lineRule="exact"/>
        <w:rPr>
          <w:rFonts w:ascii="宋体" w:hAnsi="宋体"/>
          <w:b/>
          <w:bCs/>
          <w:color w:val="auto"/>
          <w:highlight w:val="none"/>
        </w:rPr>
      </w:pPr>
    </w:p>
    <w:p>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投 标 函</w:t>
      </w:r>
    </w:p>
    <w:p>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温州肯恩大学</w:t>
      </w:r>
      <w:r>
        <w:rPr>
          <w:rFonts w:hint="eastAsia" w:ascii="宋体" w:hAnsi="宋体"/>
          <w:color w:val="auto"/>
          <w:sz w:val="22"/>
          <w:szCs w:val="22"/>
          <w:highlight w:val="none"/>
        </w:rPr>
        <w:t>：</w:t>
      </w:r>
    </w:p>
    <w:p>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pPr>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根据贵方为项目（招标编号：）的投标邀请，我方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（投标人名称）作为投标人正式授权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（授权代表全名，职务）代表我方处理有关本投标的一切事宜。</w:t>
      </w:r>
    </w:p>
    <w:p>
      <w:pPr>
        <w:pStyle w:val="18"/>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szCs w:val="22"/>
          <w:highlight w:val="none"/>
        </w:rPr>
        <w:t>在此提交的投标文件中，包括如下内</w:t>
      </w:r>
      <w:r>
        <w:rPr>
          <w:rFonts w:hint="eastAsia" w:ascii="宋体" w:hAnsi="宋体" w:cs="hakuyoxingshu7000"/>
          <w:color w:val="auto"/>
          <w:sz w:val="22"/>
          <w:highlight w:val="none"/>
        </w:rPr>
        <w:t>容：</w:t>
      </w:r>
    </w:p>
    <w:p>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1、</w:t>
      </w:r>
      <w:r>
        <w:rPr>
          <w:rFonts w:hint="eastAsia" w:ascii="宋体" w:hAnsi="宋体" w:cs="新宋体"/>
          <w:color w:val="auto"/>
          <w:sz w:val="22"/>
          <w:highlight w:val="none"/>
        </w:rPr>
        <w:t>按“投标人须知”要求编制的投标文件资格文件；</w:t>
      </w:r>
    </w:p>
    <w:p>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2、按“投标人须知”要求编制的投标文件商务技术文件；</w:t>
      </w:r>
    </w:p>
    <w:p>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3、按“投标人须知”要求编制的投标文件报价文件；</w:t>
      </w:r>
    </w:p>
    <w:p>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我方己完全明白招标文件的所有条款要求，并重申以下几点：</w:t>
      </w:r>
    </w:p>
    <w:p>
      <w:pPr>
        <w:pStyle w:val="122"/>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本投标文件的有效期自投标截止日起  90 天内有效，如中标，有效期将延至合同终止日为止；</w:t>
      </w:r>
    </w:p>
    <w:p>
      <w:pPr>
        <w:pStyle w:val="122"/>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我方已详细研究了招标文件的所有内容包括修改书（如有）和所有已提供的参考资料以及有关附件，我方完全理解并同意放弃在此方面提出含糊意见或误解的一切权力；</w:t>
      </w:r>
    </w:p>
    <w:p>
      <w:pPr>
        <w:pStyle w:val="122"/>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我方郑重承诺所提供的“信用中国网站”、“中国政府采购网”信用查询证明文件真实有效；</w:t>
      </w:r>
    </w:p>
    <w:p>
      <w:pPr>
        <w:pStyle w:val="122"/>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我方在参加本项目前三年内</w:t>
      </w:r>
      <w:r>
        <w:rPr>
          <w:rFonts w:hint="eastAsia" w:ascii="宋体" w:hAnsi="宋体" w:cs="hakuyoxingshu7000"/>
          <w:color w:val="auto"/>
          <w:sz w:val="22"/>
          <w:highlight w:val="none"/>
          <w:u w:val="single"/>
        </w:rPr>
        <w:t>（被通报或者处罚的违法行为有：               ）</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没有因违法经营受到刑事处罚或者责令停产停业、吊销许可证或者执照、较大数额罚款等行政处罚或处罚）</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（在  至  期间禁止参加政府采购活动但是期限届满，须附相关证明文件）</w:t>
      </w:r>
      <w:r>
        <w:rPr>
          <w:rFonts w:hint="eastAsia" w:ascii="宋体" w:hAnsi="宋体" w:cs="hakuyoxingshu7000"/>
          <w:color w:val="auto"/>
          <w:sz w:val="22"/>
          <w:highlight w:val="none"/>
        </w:rPr>
        <w:t>；</w:t>
      </w:r>
    </w:p>
    <w:p>
      <w:pPr>
        <w:pStyle w:val="122"/>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我方同意提供按照贵方可能要求的与投标有关的一切数据或资料；</w:t>
      </w:r>
    </w:p>
    <w:p>
      <w:pPr>
        <w:pStyle w:val="122"/>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我方理解贵方不一定接受最低报价。</w:t>
      </w:r>
      <w:r>
        <w:rPr>
          <w:rFonts w:ascii="宋体" w:hAnsi="宋体" w:cs="hakuyoxingshu7000"/>
          <w:color w:val="auto"/>
          <w:sz w:val="22"/>
          <w:highlight w:val="none"/>
        </w:rPr>
        <w:tab/>
      </w:r>
    </w:p>
    <w:p>
      <w:pPr>
        <w:pStyle w:val="122"/>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我方如果中标，将保证履行招标文件以及招标文件修改书（如有）中的全部责任和义务，按质、按量、按期完成《合同书》中的全部任务。</w:t>
      </w:r>
    </w:p>
    <w:p>
      <w:pPr>
        <w:pStyle w:val="122"/>
        <w:numPr>
          <w:ilvl w:val="1"/>
          <w:numId w:val="52"/>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所有与本投标有关的函件请发往下列地址：</w:t>
      </w:r>
    </w:p>
    <w:p>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地址</w:t>
      </w:r>
    </w:p>
    <w:p>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电话</w:t>
      </w:r>
    </w:p>
    <w:p>
      <w:pPr>
        <w:spacing w:line="360" w:lineRule="exact"/>
        <w:ind w:firstLine="435"/>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 xml:space="preserve">   传真</w:t>
      </w:r>
    </w:p>
    <w:p>
      <w:pPr>
        <w:spacing w:line="360" w:lineRule="exact"/>
        <w:ind w:firstLine="770" w:firstLineChars="350"/>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电子邮件</w:t>
      </w:r>
    </w:p>
    <w:p>
      <w:pPr>
        <w:spacing w:line="420" w:lineRule="exact"/>
        <w:ind w:firstLine="435"/>
        <w:rPr>
          <w:rFonts w:ascii="宋体" w:hAnsi="宋体"/>
          <w:color w:val="auto"/>
          <w:sz w:val="22"/>
          <w:szCs w:val="22"/>
          <w:highlight w:val="none"/>
        </w:rPr>
      </w:pPr>
    </w:p>
    <w:p>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投标人名称（盖章）</w:t>
      </w:r>
    </w:p>
    <w:p>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投标人代表（签字或盖章）</w:t>
      </w:r>
    </w:p>
    <w:p>
      <w:pPr>
        <w:spacing w:line="460" w:lineRule="exact"/>
        <w:ind w:firstLine="435"/>
        <w:rPr>
          <w:rFonts w:ascii="宋体" w:hAnsi="宋体"/>
          <w:color w:val="auto"/>
          <w:sz w:val="22"/>
          <w:szCs w:val="22"/>
          <w:highlight w:val="none"/>
          <w:u w:val="single"/>
        </w:rPr>
        <w:sectPr>
          <w:footerReference r:id="rId6" w:type="first"/>
          <w:headerReference r:id="rId3" w:type="default"/>
          <w:footerReference r:id="rId4" w:type="default"/>
          <w:footerReference r:id="rId5" w:type="even"/>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olor w:val="auto"/>
          <w:sz w:val="22"/>
          <w:szCs w:val="22"/>
          <w:highlight w:val="none"/>
        </w:rPr>
        <w:t xml:space="preserve">                                   日    期</w:t>
      </w:r>
    </w:p>
    <w:p>
      <w:pPr>
        <w:spacing w:line="460" w:lineRule="exact"/>
        <w:rPr>
          <w:rFonts w:hint="eastAsia" w:ascii="宋体" w:hAnsi="宋体" w:eastAsia="宋体"/>
          <w:color w:val="auto"/>
          <w:highlight w:val="none"/>
          <w:lang w:eastAsia="zh-CN"/>
        </w:rPr>
      </w:pPr>
      <w:r>
        <w:rPr>
          <w:rFonts w:hint="eastAsia" w:ascii="宋体" w:hAnsi="宋体"/>
          <w:b/>
          <w:bCs/>
          <w:color w:val="auto"/>
          <w:sz w:val="22"/>
          <w:szCs w:val="22"/>
          <w:highlight w:val="none"/>
        </w:rPr>
        <w:t>附件</w:t>
      </w:r>
      <w:r>
        <w:rPr>
          <w:rFonts w:hint="eastAsia" w:ascii="宋体" w:hAnsi="宋体"/>
          <w:b/>
          <w:bCs/>
          <w:color w:val="auto"/>
          <w:sz w:val="22"/>
          <w:szCs w:val="22"/>
          <w:highlight w:val="none"/>
          <w:lang w:val="en-US" w:eastAsia="zh-CN"/>
        </w:rPr>
        <w:t>四</w:t>
      </w:r>
    </w:p>
    <w:p>
      <w:pPr>
        <w:spacing w:line="460" w:lineRule="exact"/>
        <w:rPr>
          <w:rFonts w:ascii="宋体" w:hAnsi="宋体"/>
          <w:b/>
          <w:color w:val="auto"/>
          <w:sz w:val="22"/>
          <w:szCs w:val="22"/>
          <w:highlight w:val="none"/>
        </w:rPr>
      </w:pPr>
    </w:p>
    <w:p>
      <w:pPr>
        <w:spacing w:line="460" w:lineRule="exact"/>
        <w:ind w:firstLine="437"/>
        <w:jc w:val="center"/>
        <w:rPr>
          <w:rFonts w:ascii="宋体" w:hAnsi="宋体"/>
          <w:b/>
          <w:bCs/>
          <w:color w:val="auto"/>
          <w:sz w:val="28"/>
          <w:szCs w:val="28"/>
          <w:highlight w:val="none"/>
        </w:rPr>
      </w:pPr>
      <w:r>
        <w:rPr>
          <w:rFonts w:hint="eastAsia" w:ascii="宋体" w:hAnsi="宋体"/>
          <w:b/>
          <w:bCs/>
          <w:color w:val="auto"/>
          <w:sz w:val="28"/>
          <w:szCs w:val="28"/>
          <w:highlight w:val="none"/>
        </w:rPr>
        <w:t>技术规格、商务条款偏离表</w:t>
      </w:r>
    </w:p>
    <w:p>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投标人名称：                                          招标编号：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jc w:val="center"/>
        </w:trPr>
        <w:tc>
          <w:tcPr>
            <w:tcW w:w="943" w:type="dxa"/>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2097" w:type="dxa"/>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条目号</w:t>
            </w:r>
          </w:p>
        </w:tc>
        <w:tc>
          <w:tcPr>
            <w:tcW w:w="1992" w:type="dxa"/>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规范要求</w:t>
            </w:r>
          </w:p>
        </w:tc>
        <w:tc>
          <w:tcPr>
            <w:tcW w:w="1866" w:type="dxa"/>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投标文件</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对应规范</w:t>
            </w:r>
          </w:p>
        </w:tc>
        <w:tc>
          <w:tcPr>
            <w:tcW w:w="1592" w:type="dxa"/>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0" w:hRule="atLeast"/>
          <w:jc w:val="center"/>
        </w:trPr>
        <w:tc>
          <w:tcPr>
            <w:tcW w:w="943" w:type="dxa"/>
            <w:vMerge w:val="restart"/>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技</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术</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格</w:t>
            </w: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ind w:firstLine="220" w:firstLineChars="100"/>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7" w:hRule="atLeast"/>
          <w:jc w:val="center"/>
        </w:trPr>
        <w:tc>
          <w:tcPr>
            <w:tcW w:w="943" w:type="dxa"/>
            <w:vMerge w:val="restart"/>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商</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务</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款</w:t>
            </w: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bl>
    <w:p>
      <w:pPr>
        <w:spacing w:line="380" w:lineRule="exact"/>
        <w:rPr>
          <w:rFonts w:ascii="宋体" w:hAnsi="宋体"/>
          <w:b/>
          <w:color w:val="auto"/>
          <w:sz w:val="22"/>
          <w:szCs w:val="22"/>
          <w:highlight w:val="none"/>
        </w:rPr>
      </w:pPr>
      <w:r>
        <w:rPr>
          <w:rFonts w:hint="eastAsia" w:ascii="宋体" w:hAnsi="宋体"/>
          <w:b/>
          <w:color w:val="auto"/>
          <w:sz w:val="22"/>
          <w:szCs w:val="22"/>
          <w:highlight w:val="none"/>
        </w:rPr>
        <w:t>注：</w:t>
      </w:r>
      <w:r>
        <w:rPr>
          <w:rFonts w:hint="eastAsia" w:ascii="宋体" w:hAnsi="宋体"/>
          <w:b/>
          <w:color w:val="auto"/>
          <w:highlight w:val="none"/>
        </w:rPr>
        <w:t>不填写此表视为完全响应招标文件内容。</w:t>
      </w:r>
    </w:p>
    <w:p>
      <w:pPr>
        <w:spacing w:line="380" w:lineRule="exact"/>
        <w:ind w:firstLine="4417" w:firstLineChars="2000"/>
        <w:rPr>
          <w:rFonts w:ascii="宋体" w:hAnsi="宋体"/>
          <w:b/>
          <w:color w:val="auto"/>
          <w:sz w:val="22"/>
          <w:szCs w:val="22"/>
          <w:highlight w:val="none"/>
        </w:rPr>
      </w:pPr>
    </w:p>
    <w:p>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投标人全称（盖章）：</w:t>
      </w:r>
    </w:p>
    <w:p>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日期：  年   月  日</w:t>
      </w:r>
    </w:p>
    <w:p>
      <w:pPr>
        <w:spacing w:line="400" w:lineRule="exact"/>
        <w:rPr>
          <w:rFonts w:ascii="宋体" w:hAnsi="宋体"/>
          <w:color w:val="auto"/>
          <w:sz w:val="22"/>
          <w:szCs w:val="22"/>
          <w:highlight w:val="none"/>
        </w:rPr>
      </w:pPr>
    </w:p>
    <w:p>
      <w:pPr>
        <w:spacing w:line="460" w:lineRule="exact"/>
        <w:rPr>
          <w:rFonts w:ascii="宋体" w:hAnsi="宋体"/>
          <w:b/>
          <w:color w:val="auto"/>
          <w:sz w:val="22"/>
          <w:szCs w:val="22"/>
          <w:highlight w:val="none"/>
        </w:rPr>
      </w:pPr>
      <w:r>
        <w:rPr>
          <w:rFonts w:hint="eastAsia" w:ascii="宋体" w:hAnsi="宋体"/>
          <w:color w:val="auto"/>
          <w:highlight w:val="none"/>
        </w:rPr>
        <w:br w:type="page"/>
      </w:r>
    </w:p>
    <w:p>
      <w:pPr>
        <w:spacing w:line="460" w:lineRule="exact"/>
        <w:rPr>
          <w:rFonts w:hint="eastAsia" w:hAnsi="宋体" w:eastAsia="宋体"/>
          <w:b/>
          <w:bCs/>
          <w:color w:val="auto"/>
          <w:highlight w:val="none"/>
          <w:lang w:val="en-US" w:eastAsia="zh-CN"/>
        </w:rPr>
      </w:pPr>
      <w:r>
        <w:rPr>
          <w:rFonts w:hint="eastAsia" w:ascii="宋体" w:hAnsi="宋体"/>
          <w:b/>
          <w:color w:val="auto"/>
          <w:sz w:val="22"/>
          <w:szCs w:val="22"/>
          <w:highlight w:val="none"/>
        </w:rPr>
        <w:t>附件</w:t>
      </w:r>
      <w:r>
        <w:rPr>
          <w:rFonts w:hint="eastAsia" w:ascii="宋体" w:hAnsi="宋体"/>
          <w:b/>
          <w:color w:val="auto"/>
          <w:sz w:val="22"/>
          <w:szCs w:val="22"/>
          <w:highlight w:val="none"/>
          <w:lang w:val="en-US" w:eastAsia="zh-CN"/>
        </w:rPr>
        <w:t>五</w:t>
      </w:r>
    </w:p>
    <w:p>
      <w:pPr>
        <w:spacing w:line="380" w:lineRule="exact"/>
        <w:ind w:firstLine="787" w:firstLineChars="245"/>
        <w:jc w:val="center"/>
        <w:rPr>
          <w:rFonts w:ascii="宋体" w:hAnsi="宋体" w:cs="hakuyoxingshu7000"/>
          <w:b/>
          <w:bCs/>
          <w:color w:val="auto"/>
          <w:sz w:val="32"/>
          <w:szCs w:val="32"/>
          <w:highlight w:val="none"/>
        </w:rPr>
      </w:pPr>
      <w:r>
        <w:rPr>
          <w:rFonts w:hint="eastAsia" w:ascii="宋体" w:hAnsi="宋体" w:cs="hakuyoxingshu7000"/>
          <w:b/>
          <w:bCs/>
          <w:color w:val="auto"/>
          <w:sz w:val="32"/>
          <w:szCs w:val="32"/>
          <w:highlight w:val="none"/>
        </w:rPr>
        <w:t>供货范围详细清单</w:t>
      </w:r>
    </w:p>
    <w:p>
      <w:pPr>
        <w:spacing w:line="380" w:lineRule="exact"/>
        <w:ind w:firstLine="784" w:firstLineChars="245"/>
        <w:jc w:val="center"/>
        <w:rPr>
          <w:rFonts w:ascii="宋体" w:hAnsi="宋体" w:cs="hakuyoxingshu7000"/>
          <w:color w:val="auto"/>
          <w:sz w:val="32"/>
          <w:szCs w:val="32"/>
          <w:highlight w:val="none"/>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3804"/>
        <w:gridCol w:w="1141"/>
        <w:gridCol w:w="911"/>
        <w:gridCol w:w="1592"/>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Borders>
              <w:top w:val="single" w:color="auto" w:sz="12" w:space="0"/>
              <w:bottom w:val="single" w:color="auto" w:sz="12" w:space="0"/>
            </w:tcBorders>
          </w:tcPr>
          <w:p>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序号</w:t>
            </w:r>
          </w:p>
        </w:tc>
        <w:tc>
          <w:tcPr>
            <w:tcW w:w="1930" w:type="pct"/>
            <w:tcBorders>
              <w:top w:val="single" w:color="auto" w:sz="12" w:space="0"/>
              <w:bottom w:val="single" w:color="auto" w:sz="12" w:space="0"/>
            </w:tcBorders>
            <w:vAlign w:val="center"/>
          </w:tcPr>
          <w:p>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产品名称</w:t>
            </w:r>
          </w:p>
        </w:tc>
        <w:tc>
          <w:tcPr>
            <w:tcW w:w="579" w:type="pct"/>
            <w:tcBorders>
              <w:top w:val="single" w:color="auto" w:sz="12" w:space="0"/>
              <w:bottom w:val="single" w:color="auto" w:sz="12" w:space="0"/>
            </w:tcBorders>
            <w:vAlign w:val="center"/>
          </w:tcPr>
          <w:p>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产地</w:t>
            </w:r>
          </w:p>
        </w:tc>
        <w:tc>
          <w:tcPr>
            <w:tcW w:w="462" w:type="pct"/>
            <w:tcBorders>
              <w:top w:val="single" w:color="auto" w:sz="12" w:space="0"/>
              <w:bottom w:val="single" w:color="auto" w:sz="12" w:space="0"/>
            </w:tcBorders>
            <w:vAlign w:val="center"/>
          </w:tcPr>
          <w:p>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数量</w:t>
            </w:r>
          </w:p>
        </w:tc>
        <w:tc>
          <w:tcPr>
            <w:tcW w:w="808" w:type="pct"/>
            <w:tcBorders>
              <w:top w:val="single" w:color="auto" w:sz="12" w:space="0"/>
              <w:bottom w:val="single" w:color="auto" w:sz="12" w:space="0"/>
            </w:tcBorders>
            <w:vAlign w:val="center"/>
          </w:tcPr>
          <w:p>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质保期限</w:t>
            </w:r>
          </w:p>
        </w:tc>
        <w:tc>
          <w:tcPr>
            <w:tcW w:w="690" w:type="pct"/>
            <w:tcBorders>
              <w:top w:val="single" w:color="auto" w:sz="12" w:space="0"/>
              <w:bottom w:val="single" w:color="auto" w:sz="12" w:space="0"/>
              <w:right w:val="single" w:color="auto" w:sz="12" w:space="0"/>
            </w:tcBorders>
            <w:vAlign w:val="center"/>
          </w:tcPr>
          <w:p>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Borders>
              <w:top w:val="single" w:color="auto" w:sz="12" w:space="0"/>
            </w:tcBorders>
          </w:tcPr>
          <w:p>
            <w:pPr>
              <w:spacing w:line="400" w:lineRule="exact"/>
              <w:jc w:val="center"/>
              <w:rPr>
                <w:rFonts w:ascii="宋体" w:hAnsi="宋体"/>
                <w:bCs/>
                <w:color w:val="auto"/>
                <w:sz w:val="22"/>
                <w:szCs w:val="22"/>
                <w:highlight w:val="none"/>
              </w:rPr>
            </w:pPr>
          </w:p>
        </w:tc>
        <w:tc>
          <w:tcPr>
            <w:tcW w:w="1930" w:type="pct"/>
            <w:tcBorders>
              <w:top w:val="single" w:color="auto" w:sz="12" w:space="0"/>
            </w:tcBorders>
            <w:vAlign w:val="center"/>
          </w:tcPr>
          <w:p>
            <w:pPr>
              <w:spacing w:line="400" w:lineRule="exact"/>
              <w:jc w:val="center"/>
              <w:rPr>
                <w:rFonts w:ascii="宋体" w:hAnsi="宋体"/>
                <w:bCs/>
                <w:color w:val="auto"/>
                <w:sz w:val="22"/>
                <w:szCs w:val="22"/>
                <w:highlight w:val="none"/>
              </w:rPr>
            </w:pPr>
          </w:p>
        </w:tc>
        <w:tc>
          <w:tcPr>
            <w:tcW w:w="579" w:type="pct"/>
            <w:tcBorders>
              <w:top w:val="single" w:color="auto" w:sz="12" w:space="0"/>
            </w:tcBorders>
            <w:vAlign w:val="center"/>
          </w:tcPr>
          <w:p>
            <w:pPr>
              <w:spacing w:line="400" w:lineRule="exact"/>
              <w:jc w:val="center"/>
              <w:rPr>
                <w:rFonts w:ascii="宋体" w:hAnsi="宋体"/>
                <w:bCs/>
                <w:color w:val="auto"/>
                <w:sz w:val="22"/>
                <w:szCs w:val="22"/>
                <w:highlight w:val="none"/>
              </w:rPr>
            </w:pPr>
          </w:p>
        </w:tc>
        <w:tc>
          <w:tcPr>
            <w:tcW w:w="462" w:type="pct"/>
            <w:tcBorders>
              <w:top w:val="single" w:color="auto" w:sz="12" w:space="0"/>
            </w:tcBorders>
            <w:vAlign w:val="center"/>
          </w:tcPr>
          <w:p>
            <w:pPr>
              <w:spacing w:line="400" w:lineRule="exact"/>
              <w:jc w:val="center"/>
              <w:rPr>
                <w:rFonts w:ascii="宋体" w:hAnsi="宋体"/>
                <w:bCs/>
                <w:color w:val="auto"/>
                <w:sz w:val="22"/>
                <w:szCs w:val="22"/>
                <w:highlight w:val="none"/>
              </w:rPr>
            </w:pPr>
          </w:p>
        </w:tc>
        <w:tc>
          <w:tcPr>
            <w:tcW w:w="808" w:type="pct"/>
            <w:tcBorders>
              <w:top w:val="single" w:color="auto" w:sz="12" w:space="0"/>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top w:val="single" w:color="auto" w:sz="12" w:space="0"/>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1" w:type="pct"/>
          </w:tcPr>
          <w:p>
            <w:pPr>
              <w:spacing w:line="400" w:lineRule="exact"/>
              <w:jc w:val="center"/>
              <w:rPr>
                <w:rFonts w:ascii="宋体" w:hAnsi="宋体"/>
                <w:bCs/>
                <w:color w:val="auto"/>
                <w:sz w:val="22"/>
                <w:szCs w:val="22"/>
                <w:highlight w:val="none"/>
              </w:rPr>
            </w:pPr>
          </w:p>
        </w:tc>
        <w:tc>
          <w:tcPr>
            <w:tcW w:w="1930" w:type="pct"/>
            <w:vAlign w:val="center"/>
          </w:tcPr>
          <w:p>
            <w:pPr>
              <w:spacing w:line="400" w:lineRule="exact"/>
              <w:jc w:val="center"/>
              <w:rPr>
                <w:rFonts w:ascii="宋体" w:hAnsi="宋体"/>
                <w:bCs/>
                <w:color w:val="auto"/>
                <w:sz w:val="22"/>
                <w:szCs w:val="22"/>
                <w:highlight w:val="none"/>
              </w:rPr>
            </w:pPr>
          </w:p>
        </w:tc>
        <w:tc>
          <w:tcPr>
            <w:tcW w:w="579" w:type="pct"/>
            <w:vAlign w:val="center"/>
          </w:tcPr>
          <w:p>
            <w:pPr>
              <w:spacing w:line="400" w:lineRule="exact"/>
              <w:jc w:val="center"/>
              <w:rPr>
                <w:rFonts w:ascii="宋体" w:hAnsi="宋体"/>
                <w:bCs/>
                <w:color w:val="auto"/>
                <w:sz w:val="22"/>
                <w:szCs w:val="22"/>
                <w:highlight w:val="none"/>
              </w:rPr>
            </w:pPr>
          </w:p>
        </w:tc>
        <w:tc>
          <w:tcPr>
            <w:tcW w:w="462" w:type="pct"/>
            <w:vAlign w:val="center"/>
          </w:tcPr>
          <w:p>
            <w:pPr>
              <w:spacing w:line="400" w:lineRule="exact"/>
              <w:jc w:val="center"/>
              <w:rPr>
                <w:rFonts w:ascii="宋体" w:hAnsi="宋体"/>
                <w:bCs/>
                <w:color w:val="auto"/>
                <w:sz w:val="22"/>
                <w:szCs w:val="22"/>
                <w:highlight w:val="none"/>
              </w:rPr>
            </w:pPr>
          </w:p>
        </w:tc>
        <w:tc>
          <w:tcPr>
            <w:tcW w:w="808" w:type="pct"/>
            <w:tcBorders>
              <w:right w:val="single" w:color="auto" w:sz="4" w:space="0"/>
            </w:tcBorders>
            <w:vAlign w:val="center"/>
          </w:tcPr>
          <w:p>
            <w:pPr>
              <w:spacing w:line="400" w:lineRule="exact"/>
              <w:jc w:val="center"/>
              <w:rPr>
                <w:rFonts w:ascii="宋体" w:hAnsi="宋体"/>
                <w:bCs/>
                <w:color w:val="auto"/>
                <w:sz w:val="22"/>
                <w:szCs w:val="22"/>
                <w:highlight w:val="none"/>
              </w:rPr>
            </w:pPr>
          </w:p>
        </w:tc>
        <w:tc>
          <w:tcPr>
            <w:tcW w:w="690" w:type="pct"/>
            <w:tcBorders>
              <w:left w:val="single" w:color="auto" w:sz="4" w:space="0"/>
              <w:right w:val="single" w:color="auto" w:sz="12" w:space="0"/>
            </w:tcBorders>
            <w:vAlign w:val="center"/>
          </w:tcPr>
          <w:p>
            <w:pPr>
              <w:spacing w:line="400" w:lineRule="exact"/>
              <w:jc w:val="center"/>
              <w:rPr>
                <w:rFonts w:ascii="宋体" w:hAnsi="宋体"/>
                <w:bCs/>
                <w:color w:val="auto"/>
                <w:sz w:val="22"/>
                <w:szCs w:val="22"/>
                <w:highlight w:val="none"/>
              </w:rPr>
            </w:pPr>
          </w:p>
        </w:tc>
      </w:tr>
    </w:tbl>
    <w:p>
      <w:pPr>
        <w:spacing w:line="380" w:lineRule="exact"/>
        <w:ind w:firstLine="4400" w:firstLineChars="2000"/>
        <w:rPr>
          <w:rFonts w:ascii="宋体" w:hAnsi="宋体" w:cs="hakuyoxingshu7000"/>
          <w:color w:val="auto"/>
          <w:sz w:val="22"/>
          <w:szCs w:val="22"/>
          <w:highlight w:val="none"/>
        </w:rPr>
      </w:pPr>
    </w:p>
    <w:p>
      <w:pPr>
        <w:spacing w:line="380" w:lineRule="exact"/>
        <w:jc w:val="left"/>
        <w:rPr>
          <w:rFonts w:ascii="宋体" w:hAnsi="宋体"/>
          <w:color w:val="auto"/>
          <w:sz w:val="22"/>
          <w:szCs w:val="22"/>
          <w:highlight w:val="none"/>
        </w:rPr>
      </w:pPr>
      <w:r>
        <w:rPr>
          <w:rFonts w:hint="eastAsia" w:ascii="宋体" w:hAnsi="宋体"/>
          <w:b/>
          <w:bCs/>
          <w:color w:val="auto"/>
          <w:sz w:val="22"/>
          <w:szCs w:val="22"/>
          <w:highlight w:val="none"/>
        </w:rPr>
        <w:t>注：</w:t>
      </w:r>
      <w:r>
        <w:rPr>
          <w:rFonts w:hint="eastAsia" w:ascii="宋体" w:hAnsi="宋体"/>
          <w:bCs/>
          <w:color w:val="auto"/>
          <w:sz w:val="22"/>
          <w:szCs w:val="22"/>
          <w:highlight w:val="none"/>
        </w:rPr>
        <w:t>1.</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应按“招标内容及要求”的明细分别填写，附在</w:t>
      </w:r>
      <w:r>
        <w:rPr>
          <w:rFonts w:hint="eastAsia" w:ascii="宋体" w:hAnsi="宋体"/>
          <w:color w:val="auto"/>
          <w:sz w:val="22"/>
          <w:szCs w:val="22"/>
          <w:highlight w:val="none"/>
          <w:lang w:val="en-US" w:eastAsia="zh-CN"/>
        </w:rPr>
        <w:t>投标</w:t>
      </w:r>
      <w:r>
        <w:rPr>
          <w:rFonts w:hint="eastAsia" w:ascii="宋体" w:hAnsi="宋体"/>
          <w:color w:val="auto"/>
          <w:sz w:val="22"/>
          <w:szCs w:val="22"/>
          <w:highlight w:val="none"/>
          <w:lang w:eastAsia="zh-CN"/>
        </w:rPr>
        <w:t>文件</w:t>
      </w:r>
      <w:r>
        <w:rPr>
          <w:rFonts w:hint="eastAsia" w:ascii="宋体" w:hAnsi="宋体"/>
          <w:color w:val="auto"/>
          <w:sz w:val="22"/>
          <w:szCs w:val="22"/>
          <w:highlight w:val="none"/>
        </w:rPr>
        <w:t>内。</w:t>
      </w:r>
    </w:p>
    <w:p>
      <w:pPr>
        <w:spacing w:line="38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 此表仅提供了表格形式，</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应根据需要准备足够数量的表格来填写清单一览表。</w:t>
      </w:r>
    </w:p>
    <w:p>
      <w:pPr>
        <w:spacing w:line="38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 不提供供货范围详细清单将视为没有实质性响应</w:t>
      </w:r>
      <w:r>
        <w:rPr>
          <w:rFonts w:hint="eastAsia" w:ascii="宋体" w:hAnsi="宋体"/>
          <w:color w:val="auto"/>
          <w:sz w:val="22"/>
          <w:szCs w:val="22"/>
          <w:highlight w:val="none"/>
          <w:lang w:val="en-US" w:eastAsia="zh-CN"/>
        </w:rPr>
        <w:t>招标</w:t>
      </w:r>
      <w:r>
        <w:rPr>
          <w:rFonts w:hint="eastAsia" w:ascii="宋体" w:hAnsi="宋体"/>
          <w:color w:val="auto"/>
          <w:sz w:val="22"/>
          <w:szCs w:val="22"/>
          <w:highlight w:val="none"/>
          <w:lang w:eastAsia="zh-CN"/>
        </w:rPr>
        <w:t>文件</w:t>
      </w:r>
      <w:r>
        <w:rPr>
          <w:rFonts w:hint="eastAsia" w:ascii="宋体" w:hAnsi="宋体"/>
          <w:color w:val="auto"/>
          <w:sz w:val="22"/>
          <w:szCs w:val="22"/>
          <w:highlight w:val="none"/>
        </w:rPr>
        <w:t>。</w:t>
      </w:r>
    </w:p>
    <w:p>
      <w:pPr>
        <w:spacing w:line="380" w:lineRule="exact"/>
        <w:ind w:firstLine="440" w:firstLineChars="200"/>
        <w:rPr>
          <w:rFonts w:ascii="宋体" w:cs="Arial"/>
          <w:color w:val="auto"/>
          <w:sz w:val="22"/>
          <w:szCs w:val="22"/>
          <w:highlight w:val="none"/>
        </w:rPr>
      </w:pPr>
    </w:p>
    <w:p>
      <w:pPr>
        <w:pStyle w:val="3"/>
        <w:rPr>
          <w:color w:val="auto"/>
          <w:highlight w:val="none"/>
        </w:rPr>
      </w:pPr>
    </w:p>
    <w:p>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投标人全称（盖章）：</w:t>
      </w:r>
    </w:p>
    <w:p>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法定代表人或授权代表（签字或盖章）：</w:t>
      </w:r>
    </w:p>
    <w:p>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日期：  年   月  日</w:t>
      </w:r>
    </w:p>
    <w:p>
      <w:pPr>
        <w:spacing w:line="380" w:lineRule="exact"/>
        <w:ind w:firstLine="4400" w:firstLineChars="2000"/>
        <w:rPr>
          <w:rFonts w:ascii="宋体" w:hAnsi="宋体" w:cs="hakuyoxingshu7000"/>
          <w:color w:val="auto"/>
          <w:sz w:val="22"/>
          <w:highlight w:val="none"/>
        </w:rPr>
      </w:pPr>
    </w:p>
    <w:p>
      <w:pPr>
        <w:rPr>
          <w:rFonts w:hint="eastAsia" w:ascii="宋体" w:hAnsi="宋体"/>
          <w:b/>
          <w:color w:val="auto"/>
          <w:sz w:val="22"/>
          <w:szCs w:val="22"/>
          <w:highlight w:val="none"/>
        </w:rPr>
      </w:pPr>
      <w:r>
        <w:rPr>
          <w:rFonts w:hint="eastAsia" w:ascii="宋体" w:hAnsi="宋体"/>
          <w:b/>
          <w:color w:val="auto"/>
          <w:sz w:val="22"/>
          <w:szCs w:val="22"/>
          <w:highlight w:val="none"/>
        </w:rPr>
        <w:br w:type="page"/>
      </w:r>
    </w:p>
    <w:p>
      <w:pPr>
        <w:rPr>
          <w:rFonts w:hint="eastAsia" w:ascii="宋体" w:hAnsi="宋体" w:eastAsia="宋体"/>
          <w:b/>
          <w:color w:val="auto"/>
          <w:sz w:val="22"/>
          <w:highlight w:val="none"/>
          <w:lang w:val="en-US" w:eastAsia="zh-CN"/>
        </w:rPr>
      </w:pPr>
      <w:r>
        <w:rPr>
          <w:rFonts w:hint="eastAsia" w:ascii="宋体" w:hAnsi="宋体"/>
          <w:b/>
          <w:color w:val="auto"/>
          <w:sz w:val="22"/>
          <w:szCs w:val="22"/>
          <w:highlight w:val="none"/>
        </w:rPr>
        <w:t>附件</w:t>
      </w:r>
      <w:r>
        <w:rPr>
          <w:rFonts w:hint="eastAsia" w:ascii="宋体" w:hAnsi="宋体"/>
          <w:b/>
          <w:color w:val="auto"/>
          <w:sz w:val="22"/>
          <w:szCs w:val="22"/>
          <w:highlight w:val="none"/>
          <w:lang w:val="en-US" w:eastAsia="zh-CN"/>
        </w:rPr>
        <w:t>六</w:t>
      </w:r>
    </w:p>
    <w:p>
      <w:pPr>
        <w:pStyle w:val="75"/>
        <w:rPr>
          <w:color w:val="auto"/>
          <w:highlight w:val="none"/>
        </w:rPr>
      </w:pPr>
      <w:r>
        <w:rPr>
          <w:color w:val="auto"/>
          <w:highlight w:val="none"/>
        </w:rPr>
        <w:fldChar w:fldCharType="begin"/>
      </w:r>
      <w:r>
        <w:rPr>
          <w:color w:val="auto"/>
          <w:highlight w:val="none"/>
        </w:rPr>
        <w:instrText xml:space="preserve"> HYPERLINK "mailto:（开评标阶段填写，并邮件发送至Yxgcxmgl@126.com邮箱）" </w:instrText>
      </w:r>
      <w:r>
        <w:rPr>
          <w:color w:val="auto"/>
          <w:highlight w:val="none"/>
        </w:rPr>
        <w:fldChar w:fldCharType="separate"/>
      </w:r>
      <w:r>
        <w:rPr>
          <w:rStyle w:val="72"/>
          <w:rFonts w:hint="eastAsia"/>
          <w:color w:val="auto"/>
          <w:highlight w:val="none"/>
        </w:rPr>
        <w:t>（开评标阶段填写，并邮件发送至Yxgc666@126.com邮箱）</w:t>
      </w:r>
      <w:r>
        <w:rPr>
          <w:rStyle w:val="72"/>
          <w:rFonts w:hint="eastAsia"/>
          <w:color w:val="auto"/>
          <w:highlight w:val="none"/>
        </w:rPr>
        <w:fldChar w:fldCharType="end"/>
      </w:r>
    </w:p>
    <w:p>
      <w:pPr>
        <w:tabs>
          <w:tab w:val="left" w:pos="795"/>
          <w:tab w:val="center" w:pos="4873"/>
        </w:tabs>
        <w:overflowPunct w:val="0"/>
        <w:spacing w:line="500" w:lineRule="exact"/>
        <w:ind w:firstLine="107" w:firstLineChars="49"/>
        <w:jc w:val="left"/>
        <w:rPr>
          <w:rFonts w:hint="eastAsia" w:ascii="宋体" w:hAnsi="宋体" w:eastAsia="宋体" w:cs="hakuyoxingshu7000"/>
          <w:color w:val="auto"/>
          <w:sz w:val="22"/>
          <w:highlight w:val="none"/>
          <w:lang w:eastAsia="zh-CN"/>
        </w:rPr>
      </w:pPr>
    </w:p>
    <w:p>
      <w:pPr>
        <w:jc w:val="center"/>
        <w:rPr>
          <w:rFonts w:ascii="宋体" w:hAnsi="宋体"/>
          <w:b/>
          <w:color w:val="auto"/>
          <w:spacing w:val="6"/>
          <w:sz w:val="22"/>
          <w:szCs w:val="22"/>
          <w:highlight w:val="none"/>
        </w:rPr>
      </w:pPr>
      <w:r>
        <w:rPr>
          <w:rFonts w:hint="eastAsia" w:ascii="宋体" w:hAnsi="宋体"/>
          <w:b/>
          <w:color w:val="auto"/>
          <w:spacing w:val="6"/>
          <w:sz w:val="22"/>
          <w:szCs w:val="22"/>
          <w:highlight w:val="none"/>
        </w:rPr>
        <w:t>政府采购活动现场确认声明书</w:t>
      </w:r>
    </w:p>
    <w:p>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pPr>
        <w:pStyle w:val="811"/>
        <w:widowControl w:val="0"/>
        <w:snapToGrid w:val="0"/>
        <w:spacing w:line="440" w:lineRule="exact"/>
        <w:jc w:val="both"/>
        <w:rPr>
          <w:rFonts w:hint="default" w:hAnsi="宋体"/>
          <w:b/>
          <w:color w:val="auto"/>
          <w:spacing w:val="6"/>
          <w:sz w:val="22"/>
          <w:szCs w:val="22"/>
          <w:highlight w:val="none"/>
          <w:u w:val="single"/>
        </w:rPr>
      </w:pPr>
      <w:r>
        <w:rPr>
          <w:rFonts w:hint="eastAsia" w:hAnsi="宋体"/>
          <w:b/>
          <w:bCs/>
          <w:color w:val="auto"/>
          <w:spacing w:val="6"/>
          <w:sz w:val="22"/>
          <w:szCs w:val="22"/>
          <w:highlight w:val="none"/>
          <w:u w:val="single"/>
          <w:lang w:eastAsia="zh-CN"/>
        </w:rPr>
        <w:t>温州肯恩大学</w:t>
      </w:r>
      <w:r>
        <w:rPr>
          <w:rFonts w:hAnsi="宋体"/>
          <w:b/>
          <w:color w:val="auto"/>
          <w:spacing w:val="6"/>
          <w:sz w:val="22"/>
          <w:szCs w:val="22"/>
          <w:highlight w:val="none"/>
        </w:rPr>
        <w:t>：</w:t>
      </w:r>
    </w:p>
    <w:p>
      <w:pPr>
        <w:pStyle w:val="811"/>
        <w:widowControl w:val="0"/>
        <w:snapToGrid w:val="0"/>
        <w:spacing w:line="440" w:lineRule="exact"/>
        <w:jc w:val="both"/>
        <w:rPr>
          <w:rFonts w:hint="default" w:hAnsi="宋体"/>
          <w:b/>
          <w:color w:val="auto"/>
          <w:spacing w:val="6"/>
          <w:sz w:val="22"/>
          <w:szCs w:val="22"/>
          <w:highlight w:val="none"/>
          <w:u w:val="single"/>
        </w:rPr>
      </w:pPr>
      <w:r>
        <w:rPr>
          <w:rFonts w:hAnsi="宋体"/>
          <w:b/>
          <w:color w:val="auto"/>
          <w:spacing w:val="6"/>
          <w:sz w:val="22"/>
          <w:szCs w:val="22"/>
          <w:highlight w:val="none"/>
          <w:u w:val="single"/>
        </w:rPr>
        <w:t>温州元信工程项目管理有限公司</w:t>
      </w:r>
      <w:r>
        <w:rPr>
          <w:rFonts w:hAnsi="宋体"/>
          <w:b/>
          <w:color w:val="auto"/>
          <w:kern w:val="0"/>
          <w:sz w:val="22"/>
          <w:szCs w:val="22"/>
          <w:highlight w:val="none"/>
        </w:rPr>
        <w:t>：</w:t>
      </w:r>
    </w:p>
    <w:p>
      <w:pPr>
        <w:pStyle w:val="811"/>
        <w:widowControl w:val="0"/>
        <w:snapToGrid w:val="0"/>
        <w:spacing w:line="440" w:lineRule="exact"/>
        <w:ind w:firstLine="464" w:firstLineChars="200"/>
        <w:jc w:val="both"/>
        <w:rPr>
          <w:rFonts w:hint="default" w:hAnsi="宋体"/>
          <w:color w:val="auto"/>
          <w:spacing w:val="6"/>
          <w:sz w:val="22"/>
          <w:szCs w:val="22"/>
          <w:highlight w:val="none"/>
        </w:rPr>
      </w:pPr>
      <w:r>
        <w:rPr>
          <w:rFonts w:hAnsi="宋体"/>
          <w:color w:val="auto"/>
          <w:spacing w:val="6"/>
          <w:sz w:val="22"/>
          <w:szCs w:val="22"/>
          <w:highlight w:val="none"/>
        </w:rPr>
        <w:t>本人经由</w:t>
      </w:r>
      <w:r>
        <w:rPr>
          <w:rFonts w:hAnsi="宋体"/>
          <w:color w:val="auto"/>
          <w:spacing w:val="6"/>
          <w:sz w:val="22"/>
          <w:szCs w:val="22"/>
          <w:highlight w:val="none"/>
          <w:u w:val="single"/>
        </w:rPr>
        <w:t xml:space="preserve">                       （单位）</w:t>
      </w:r>
      <w:r>
        <w:rPr>
          <w:rFonts w:hAnsi="宋体"/>
          <w:color w:val="auto"/>
          <w:spacing w:val="6"/>
          <w:sz w:val="22"/>
          <w:szCs w:val="22"/>
          <w:highlight w:val="none"/>
        </w:rPr>
        <w:t>负责人</w:t>
      </w:r>
      <w:r>
        <w:rPr>
          <w:rFonts w:hAnsi="宋体"/>
          <w:color w:val="auto"/>
          <w:spacing w:val="6"/>
          <w:sz w:val="22"/>
          <w:szCs w:val="22"/>
          <w:highlight w:val="none"/>
          <w:u w:val="single"/>
        </w:rPr>
        <w:t xml:space="preserve">          （姓名）</w:t>
      </w:r>
      <w:r>
        <w:rPr>
          <w:rFonts w:hAnsi="宋体"/>
          <w:color w:val="auto"/>
          <w:spacing w:val="6"/>
          <w:sz w:val="22"/>
          <w:szCs w:val="22"/>
          <w:highlight w:val="none"/>
        </w:rPr>
        <w:t>合法授权</w:t>
      </w:r>
      <w:r>
        <w:rPr>
          <w:rFonts w:hint="eastAsia" w:hAnsi="宋体"/>
          <w:color w:val="auto"/>
          <w:spacing w:val="6"/>
          <w:sz w:val="22"/>
          <w:szCs w:val="22"/>
          <w:highlight w:val="none"/>
          <w:u w:val="single"/>
          <w:lang w:eastAsia="zh-CN"/>
        </w:rPr>
        <w:t>温州肯恩大学留学生楼家具采购</w:t>
      </w:r>
      <w:r>
        <w:rPr>
          <w:rFonts w:hAnsi="宋体"/>
          <w:color w:val="auto"/>
          <w:spacing w:val="6"/>
          <w:sz w:val="22"/>
          <w:szCs w:val="22"/>
          <w:highlight w:val="none"/>
        </w:rPr>
        <w:t>项目（编号：</w:t>
      </w:r>
      <w:r>
        <w:rPr>
          <w:rFonts w:hint="eastAsia" w:hAnsi="宋体"/>
          <w:color w:val="auto"/>
          <w:spacing w:val="6"/>
          <w:sz w:val="22"/>
          <w:szCs w:val="22"/>
          <w:highlight w:val="none"/>
          <w:u w:val="single"/>
          <w:lang w:eastAsia="zh-CN"/>
        </w:rPr>
        <w:t>WZYX-W2023011102</w:t>
      </w:r>
      <w:r>
        <w:rPr>
          <w:rFonts w:hAnsi="宋体"/>
          <w:color w:val="auto"/>
          <w:spacing w:val="6"/>
          <w:sz w:val="22"/>
          <w:szCs w:val="22"/>
          <w:highlight w:val="none"/>
        </w:rPr>
        <w:t xml:space="preserve">）政府采购活动，经与本单位法人代表（负责人）联系确认，现就有关公平竞争事项郑重声明如下： </w:t>
      </w:r>
    </w:p>
    <w:p>
      <w:pPr>
        <w:pStyle w:val="810"/>
        <w:widowControl/>
        <w:numPr>
          <w:ilvl w:val="0"/>
          <w:numId w:val="41"/>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本单位与</w:t>
      </w:r>
      <w:r>
        <w:rPr>
          <w:rFonts w:hint="eastAsia" w:ascii="宋体" w:hAnsi="宋体"/>
          <w:color w:val="auto"/>
          <w:kern w:val="0"/>
          <w:sz w:val="22"/>
          <w:szCs w:val="22"/>
          <w:highlight w:val="none"/>
          <w:lang w:eastAsia="zh-CN"/>
        </w:rPr>
        <w:t>招标人</w:t>
      </w:r>
      <w:r>
        <w:rPr>
          <w:rFonts w:ascii="宋体" w:hAnsi="宋体"/>
          <w:color w:val="auto"/>
          <w:kern w:val="0"/>
          <w:sz w:val="22"/>
          <w:szCs w:val="22"/>
          <w:highlight w:val="none"/>
        </w:rPr>
        <w:t xml:space="preserve">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p>
    <w:p>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 xml:space="preserve">现已清楚知道参加本项目采购活动的其他所有投标人名称，本单位 </w:t>
      </w:r>
      <w:r>
        <w:rPr>
          <w:rFonts w:ascii="宋体" w:hAnsi="宋体" w:cs="宋体"/>
          <w:color w:val="auto"/>
          <w:kern w:val="0"/>
          <w:sz w:val="22"/>
          <w:szCs w:val="22"/>
          <w:highlight w:val="none"/>
        </w:rPr>
        <w:t>□与其他所有投标人之间均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（投标人名称）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p>
    <w:p>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pPr>
        <w:pStyle w:val="811"/>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pPr>
        <w:pStyle w:val="811"/>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pPr>
        <w:pStyle w:val="811"/>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pPr>
        <w:pStyle w:val="811"/>
        <w:widowControl w:val="0"/>
        <w:snapToGrid w:val="0"/>
        <w:spacing w:line="440" w:lineRule="exact"/>
        <w:jc w:val="both"/>
        <w:outlineLvl w:val="0"/>
        <w:rPr>
          <w:rFonts w:hint="default" w:hAnsi="宋体"/>
          <w:color w:val="auto"/>
          <w:kern w:val="0"/>
          <w:sz w:val="22"/>
          <w:szCs w:val="22"/>
          <w:highlight w:val="none"/>
        </w:rPr>
      </w:pPr>
      <w:r>
        <w:rPr>
          <w:rFonts w:hAnsi="宋体"/>
          <w:color w:val="auto"/>
          <w:kern w:val="0"/>
          <w:sz w:val="22"/>
          <w:szCs w:val="22"/>
          <w:highlight w:val="none"/>
        </w:rPr>
        <w:t xml:space="preserve">  </w:t>
      </w:r>
      <w:bookmarkStart w:id="239" w:name="_Toc26171"/>
      <w:bookmarkStart w:id="240" w:name="_Toc22986"/>
      <w:bookmarkStart w:id="241" w:name="_Toc18637"/>
      <w:r>
        <w:rPr>
          <w:rFonts w:hAnsi="宋体"/>
          <w:color w:val="auto"/>
          <w:kern w:val="0"/>
          <w:sz w:val="22"/>
          <w:szCs w:val="22"/>
          <w:highlight w:val="none"/>
        </w:rPr>
        <w:t>G.存在共同直接或间接投资设立子公司、联营企业和合营企业情况</w:t>
      </w:r>
      <w:bookmarkEnd w:id="239"/>
      <w:bookmarkEnd w:id="240"/>
      <w:bookmarkEnd w:id="241"/>
    </w:p>
    <w:p>
      <w:pPr>
        <w:pStyle w:val="811"/>
        <w:widowControl w:val="0"/>
        <w:snapToGrid w:val="0"/>
        <w:spacing w:line="440" w:lineRule="exact"/>
        <w:jc w:val="both"/>
        <w:rPr>
          <w:rFonts w:hint="default"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pPr>
        <w:pStyle w:val="811"/>
        <w:widowControl w:val="0"/>
        <w:snapToGrid w:val="0"/>
        <w:spacing w:line="440" w:lineRule="exact"/>
        <w:jc w:val="both"/>
        <w:rPr>
          <w:rFonts w:hint="default"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kern w:val="0"/>
          <w:sz w:val="22"/>
          <w:szCs w:val="22"/>
          <w:highlight w:val="none"/>
        </w:rPr>
        <w:t>。</w:t>
      </w:r>
    </w:p>
    <w:p>
      <w:pPr>
        <w:pStyle w:val="810"/>
        <w:widowControl/>
        <w:numPr>
          <w:ilvl w:val="0"/>
          <w:numId w:val="53"/>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pPr>
        <w:pStyle w:val="810"/>
        <w:widowControl/>
        <w:numPr>
          <w:ilvl w:val="0"/>
          <w:numId w:val="53"/>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我发现投标人之间存在或可能存在上述第二条第项利害关系。</w:t>
      </w:r>
    </w:p>
    <w:p>
      <w:pPr>
        <w:pStyle w:val="811"/>
        <w:widowControl w:val="0"/>
        <w:snapToGrid w:val="0"/>
        <w:spacing w:line="440" w:lineRule="exact"/>
        <w:ind w:firstLine="440" w:firstLineChars="200"/>
        <w:jc w:val="both"/>
        <w:rPr>
          <w:rFonts w:hint="default" w:hAnsi="宋体"/>
          <w:color w:val="auto"/>
          <w:sz w:val="22"/>
          <w:szCs w:val="22"/>
          <w:highlight w:val="none"/>
        </w:rPr>
      </w:pPr>
    </w:p>
    <w:p>
      <w:pPr>
        <w:pStyle w:val="811"/>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投标人代表签名：</w:t>
      </w:r>
    </w:p>
    <w:p>
      <w:pPr>
        <w:pStyle w:val="811"/>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年   月   日</w:t>
      </w:r>
    </w:p>
    <w:p>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pPr>
        <w:spacing w:line="400" w:lineRule="exact"/>
        <w:ind w:left="439" w:leftChars="209"/>
        <w:rPr>
          <w:rFonts w:ascii="宋体" w:hAnsi="宋体" w:cs="Arial"/>
          <w:color w:val="auto"/>
          <w:sz w:val="22"/>
          <w:szCs w:val="22"/>
          <w:highlight w:val="none"/>
        </w:rPr>
      </w:pPr>
    </w:p>
    <w:sectPr>
      <w:footerReference r:id="rId9" w:type="first"/>
      <w:headerReference r:id="rId7" w:type="default"/>
      <w:footerReference r:id="rId8" w:type="default"/>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0000000000000000000"/>
    <w:charset w:val="88"/>
    <w:family w:val="script"/>
    <w:pitch w:val="default"/>
    <w:sig w:usb0="00000000" w:usb1="00000000" w:usb2="00000016" w:usb3="00000000" w:csb0="00100001" w:csb1="00000000"/>
  </w:font>
  <w:font w:name="Century Gothic">
    <w:panose1 w:val="020B0502020202020204"/>
    <w:charset w:val="00"/>
    <w:family w:val="swiss"/>
    <w:pitch w:val="default"/>
    <w:sig w:usb0="00000287" w:usb1="00000000" w:usb2="00000000" w:usb3="00000000" w:csb0="2000009F" w:csb1="DFD70000"/>
  </w:font>
  <w:font w:name="PMingLiU">
    <w:altName w:val="Microsoft JhengHei UI"/>
    <w:panose1 w:val="02010601000101010101"/>
    <w:charset w:val="88"/>
    <w:family w:val="roman"/>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hakuyoxingshu7000">
    <w:altName w:val="宋体"/>
    <w:panose1 w:val="00000000000000000000"/>
    <w:charset w:val="86"/>
    <w:family w:val="auto"/>
    <w:pitch w:val="default"/>
    <w:sig w:usb0="00000000" w:usb1="00000000" w:usb2="0000003F" w:usb3="00000000" w:csb0="003F00FF" w:csb1="00000000"/>
  </w:font>
  <w:font w:name="Wingdings 2">
    <w:panose1 w:val="05020102010507070707"/>
    <w:charset w:val="00"/>
    <w:family w:val="auto"/>
    <w:pitch w:val="default"/>
    <w:sig w:usb0="00000000" w:usb1="00000000" w:usb2="00000000" w:usb3="00000000" w:csb0="80000000"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center" w:y="1"/>
      <w:pBdr>
        <w:bottom w:val="single" w:color="auto" w:sz="6" w:space="3"/>
      </w:pBdr>
      <w:rPr>
        <w:rStyle w:val="68"/>
      </w:rPr>
    </w:pPr>
    <w:r>
      <w:fldChar w:fldCharType="begin"/>
    </w:r>
    <w:r>
      <w:rPr>
        <w:rStyle w:val="68"/>
      </w:rPr>
      <w:instrText xml:space="preserve">PAGE  </w:instrText>
    </w:r>
    <w:r>
      <w:fldChar w:fldCharType="end"/>
    </w:r>
  </w:p>
  <w:p>
    <w:pPr>
      <w:pStyle w:val="43"/>
      <w:pBdr>
        <w:bottom w:val="single" w:color="auto" w:sz="6" w:space="3"/>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instrText xml:space="preserve"> PAGE   \* MERGEFORMAT </w:instrText>
                          </w:r>
                          <w:r>
                            <w:fldChar w:fldCharType="separate"/>
                          </w:r>
                          <w:r>
                            <w:rPr>
                              <w:lang w:val="zh-CN"/>
                            </w:rPr>
                            <w:t>49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jc w:val="center"/>
                    </w:pPr>
                    <w:r>
                      <w:fldChar w:fldCharType="begin"/>
                    </w:r>
                    <w:r>
                      <w:instrText xml:space="preserve"> PAGE   \* MERGEFORMAT </w:instrText>
                    </w:r>
                    <w:r>
                      <w:fldChar w:fldCharType="separate"/>
                    </w:r>
                    <w:r>
                      <w:rPr>
                        <w:lang w:val="zh-CN"/>
                      </w:rPr>
                      <w:t>49</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DD5D3"/>
    <w:multiLevelType w:val="multilevel"/>
    <w:tmpl w:val="851DD5D3"/>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85570643"/>
    <w:multiLevelType w:val="multilevel"/>
    <w:tmpl w:val="85570643"/>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89A0DEE1"/>
    <w:multiLevelType w:val="singleLevel"/>
    <w:tmpl w:val="89A0DEE1"/>
    <w:lvl w:ilvl="0" w:tentative="0">
      <w:start w:val="1"/>
      <w:numFmt w:val="decimal"/>
      <w:lvlText w:val="(%1)"/>
      <w:lvlJc w:val="left"/>
      <w:pPr>
        <w:ind w:left="425" w:hanging="425"/>
      </w:pPr>
      <w:rPr>
        <w:rFonts w:hint="default"/>
      </w:rPr>
    </w:lvl>
  </w:abstractNum>
  <w:abstractNum w:abstractNumId="3">
    <w:nsid w:val="9E46C32E"/>
    <w:multiLevelType w:val="singleLevel"/>
    <w:tmpl w:val="9E46C32E"/>
    <w:lvl w:ilvl="0" w:tentative="0">
      <w:start w:val="1"/>
      <w:numFmt w:val="decimal"/>
      <w:lvlText w:val="%1)"/>
      <w:lvlJc w:val="left"/>
      <w:pPr>
        <w:ind w:left="425" w:hanging="425"/>
      </w:pPr>
      <w:rPr>
        <w:rFonts w:hint="default"/>
      </w:rPr>
    </w:lvl>
  </w:abstractNum>
  <w:abstractNum w:abstractNumId="4">
    <w:nsid w:val="B0C8D056"/>
    <w:multiLevelType w:val="multilevel"/>
    <w:tmpl w:val="B0C8D0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5">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6">
    <w:nsid w:val="B41003A9"/>
    <w:multiLevelType w:val="multilevel"/>
    <w:tmpl w:val="B41003A9"/>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B728518F"/>
    <w:multiLevelType w:val="singleLevel"/>
    <w:tmpl w:val="B728518F"/>
    <w:lvl w:ilvl="0" w:tentative="0">
      <w:start w:val="1"/>
      <w:numFmt w:val="decimal"/>
      <w:lvlText w:val="%1."/>
      <w:lvlJc w:val="left"/>
      <w:pPr>
        <w:ind w:left="425" w:hanging="425"/>
      </w:pPr>
      <w:rPr>
        <w:rFonts w:hint="default" w:cs="Times New Roman"/>
      </w:rPr>
    </w:lvl>
  </w:abstractNum>
  <w:abstractNum w:abstractNumId="8">
    <w:nsid w:val="B98F8BE0"/>
    <w:multiLevelType w:val="multilevel"/>
    <w:tmpl w:val="B98F8BE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C7F702AA"/>
    <w:multiLevelType w:val="multilevel"/>
    <w:tmpl w:val="C7F702AA"/>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D1B5A987"/>
    <w:multiLevelType w:val="multilevel"/>
    <w:tmpl w:val="D1B5A987"/>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D44A826A"/>
    <w:multiLevelType w:val="multilevel"/>
    <w:tmpl w:val="D44A826A"/>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EC545A32"/>
    <w:multiLevelType w:val="multilevel"/>
    <w:tmpl w:val="EC545A32"/>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3">
    <w:nsid w:val="FB0F5EB6"/>
    <w:multiLevelType w:val="singleLevel"/>
    <w:tmpl w:val="FB0F5EB6"/>
    <w:lvl w:ilvl="0" w:tentative="0">
      <w:start w:val="1"/>
      <w:numFmt w:val="decimalEnclosedCircleChinese"/>
      <w:suff w:val="nothing"/>
      <w:lvlText w:val="%1　"/>
      <w:lvlJc w:val="left"/>
      <w:pPr>
        <w:ind w:firstLine="400"/>
      </w:pPr>
      <w:rPr>
        <w:rFonts w:hint="eastAsia" w:cs="Times New Roman"/>
      </w:rPr>
    </w:lvl>
  </w:abstractNum>
  <w:abstractNum w:abstractNumId="14">
    <w:nsid w:val="00000002"/>
    <w:multiLevelType w:val="multilevel"/>
    <w:tmpl w:val="0000000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E"/>
    <w:multiLevelType w:val="multilevel"/>
    <w:tmpl w:val="0000000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7F1F61"/>
    <w:multiLevelType w:val="multilevel"/>
    <w:tmpl w:val="007F1F6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0585F458"/>
    <w:multiLevelType w:val="multilevel"/>
    <w:tmpl w:val="0585F45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9">
    <w:nsid w:val="074514F2"/>
    <w:multiLevelType w:val="singleLevel"/>
    <w:tmpl w:val="074514F2"/>
    <w:lvl w:ilvl="0" w:tentative="0">
      <w:start w:val="1"/>
      <w:numFmt w:val="decimal"/>
      <w:suff w:val="nothing"/>
      <w:lvlText w:val="%1）"/>
      <w:lvlJc w:val="left"/>
    </w:lvl>
  </w:abstractNum>
  <w:abstractNum w:abstractNumId="20">
    <w:nsid w:val="091807E1"/>
    <w:multiLevelType w:val="multilevel"/>
    <w:tmpl w:val="091807E1"/>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D03D146"/>
    <w:multiLevelType w:val="singleLevel"/>
    <w:tmpl w:val="0D03D146"/>
    <w:lvl w:ilvl="0" w:tentative="0">
      <w:start w:val="1"/>
      <w:numFmt w:val="decimal"/>
      <w:lvlText w:val="%1."/>
      <w:lvlJc w:val="left"/>
      <w:pPr>
        <w:ind w:left="425" w:hanging="425"/>
      </w:pPr>
      <w:rPr>
        <w:rFonts w:hint="default"/>
      </w:rPr>
    </w:lvl>
  </w:abstractNum>
  <w:abstractNum w:abstractNumId="22">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4">
    <w:nsid w:val="14F41327"/>
    <w:multiLevelType w:val="multilevel"/>
    <w:tmpl w:val="14F41327"/>
    <w:lvl w:ilvl="0" w:tentative="0">
      <w:start w:val="1"/>
      <w:numFmt w:val="decimal"/>
      <w:lvlText w:val="%1."/>
      <w:lvlJc w:val="left"/>
      <w:pPr>
        <w:tabs>
          <w:tab w:val="left" w:pos="420"/>
        </w:tabs>
        <w:ind w:left="420" w:hanging="420"/>
      </w:pPr>
      <w:rPr>
        <w:rFonts w:hint="eastAsia" w:ascii="宋体" w:hAnsi="宋体" w:eastAsia="宋体"/>
      </w:rPr>
    </w:lvl>
    <w:lvl w:ilvl="1" w:tentative="0">
      <w:start w:val="0"/>
      <w:numFmt w:val="none"/>
      <w:lvlText w:val="%2."/>
      <w:lvlJc w:val="left"/>
      <w:pPr>
        <w:tabs>
          <w:tab w:val="left" w:pos="1440"/>
        </w:tabs>
        <w:ind w:left="1440" w:hanging="360"/>
      </w:pPr>
    </w:lvl>
    <w:lvl w:ilvl="2" w:tentative="0">
      <w:start w:val="0"/>
      <w:numFmt w:val="none"/>
      <w:lvlText w:val="%3."/>
      <w:lvlJc w:val="left"/>
      <w:pPr>
        <w:tabs>
          <w:tab w:val="left" w:pos="2160"/>
        </w:tabs>
        <w:ind w:left="2160" w:hanging="360"/>
      </w:pPr>
    </w:lvl>
    <w:lvl w:ilvl="3" w:tentative="0">
      <w:start w:val="0"/>
      <w:numFmt w:val="none"/>
      <w:lvlText w:val="%4."/>
      <w:lvlJc w:val="left"/>
      <w:pPr>
        <w:tabs>
          <w:tab w:val="left" w:pos="2880"/>
        </w:tabs>
        <w:ind w:left="2880" w:hanging="360"/>
      </w:pPr>
    </w:lvl>
    <w:lvl w:ilvl="4" w:tentative="0">
      <w:start w:val="0"/>
      <w:numFmt w:val="none"/>
      <w:lvlText w:val="%5."/>
      <w:lvlJc w:val="left"/>
      <w:pPr>
        <w:tabs>
          <w:tab w:val="left" w:pos="3600"/>
        </w:tabs>
        <w:ind w:left="3600" w:hanging="360"/>
      </w:pPr>
    </w:lvl>
    <w:lvl w:ilvl="5" w:tentative="0">
      <w:start w:val="0"/>
      <w:numFmt w:val="none"/>
      <w:lvlText w:val="%6."/>
      <w:lvlJc w:val="left"/>
      <w:pPr>
        <w:tabs>
          <w:tab w:val="left" w:pos="4320"/>
        </w:tabs>
        <w:ind w:left="4320" w:hanging="360"/>
      </w:pPr>
    </w:lvl>
    <w:lvl w:ilvl="6" w:tentative="0">
      <w:start w:val="0"/>
      <w:numFmt w:val="none"/>
      <w:lvlText w:val="%7."/>
      <w:lvlJc w:val="left"/>
      <w:pPr>
        <w:tabs>
          <w:tab w:val="left" w:pos="5040"/>
        </w:tabs>
        <w:ind w:left="5040" w:hanging="360"/>
      </w:pPr>
    </w:lvl>
    <w:lvl w:ilvl="7" w:tentative="0">
      <w:start w:val="0"/>
      <w:numFmt w:val="none"/>
      <w:lvlText w:val="%8."/>
      <w:lvlJc w:val="left"/>
      <w:pPr>
        <w:tabs>
          <w:tab w:val="left" w:pos="5760"/>
        </w:tabs>
        <w:ind w:left="5760" w:hanging="360"/>
      </w:pPr>
    </w:lvl>
    <w:lvl w:ilvl="8" w:tentative="0">
      <w:start w:val="0"/>
      <w:numFmt w:val="none"/>
      <w:lvlText w:val="%9."/>
      <w:lvlJc w:val="left"/>
      <w:pPr>
        <w:tabs>
          <w:tab w:val="left" w:pos="6480"/>
        </w:tabs>
        <w:ind w:left="6480" w:hanging="360"/>
      </w:pPr>
    </w:lvl>
  </w:abstractNum>
  <w:abstractNum w:abstractNumId="25">
    <w:nsid w:val="1808B767"/>
    <w:multiLevelType w:val="multilevel"/>
    <w:tmpl w:val="1808B76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18C1EDA2"/>
    <w:multiLevelType w:val="multilevel"/>
    <w:tmpl w:val="18C1EDA2"/>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1AEE5853"/>
    <w:multiLevelType w:val="singleLevel"/>
    <w:tmpl w:val="1AEE5853"/>
    <w:lvl w:ilvl="0" w:tentative="0">
      <w:start w:val="5"/>
      <w:numFmt w:val="decimal"/>
      <w:suff w:val="nothing"/>
      <w:lvlText w:val="%1）"/>
      <w:lvlJc w:val="left"/>
    </w:lvl>
  </w:abstractNum>
  <w:abstractNum w:abstractNumId="28">
    <w:nsid w:val="1DE6CA46"/>
    <w:multiLevelType w:val="multilevel"/>
    <w:tmpl w:val="1DE6CA4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9">
    <w:nsid w:val="1E507798"/>
    <w:multiLevelType w:val="multilevel"/>
    <w:tmpl w:val="1E507798"/>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1">
    <w:nsid w:val="1FBAA356"/>
    <w:multiLevelType w:val="multilevel"/>
    <w:tmpl w:val="1FBAA356"/>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2">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3">
    <w:nsid w:val="270C2544"/>
    <w:multiLevelType w:val="multilevel"/>
    <w:tmpl w:val="270C254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7D639A9"/>
    <w:multiLevelType w:val="multilevel"/>
    <w:tmpl w:val="27D639A9"/>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5">
    <w:nsid w:val="283A0536"/>
    <w:multiLevelType w:val="multilevel"/>
    <w:tmpl w:val="283A053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6">
    <w:nsid w:val="2B127F5B"/>
    <w:multiLevelType w:val="multilevel"/>
    <w:tmpl w:val="2B127F5B"/>
    <w:lvl w:ilvl="0" w:tentative="0">
      <w:start w:val="1"/>
      <w:numFmt w:val="decimal"/>
      <w:lvlText w:val="%1)"/>
      <w:lvlJc w:val="left"/>
      <w:pPr>
        <w:ind w:left="862" w:hanging="420"/>
      </w:p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37">
    <w:nsid w:val="2CFDCB7F"/>
    <w:multiLevelType w:val="multilevel"/>
    <w:tmpl w:val="2CFDCB7F"/>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8">
    <w:nsid w:val="32C25C32"/>
    <w:multiLevelType w:val="multilevel"/>
    <w:tmpl w:val="32C25C3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0">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1">
    <w:nsid w:val="3F31A2EA"/>
    <w:multiLevelType w:val="singleLevel"/>
    <w:tmpl w:val="3F31A2EA"/>
    <w:lvl w:ilvl="0" w:tentative="0">
      <w:start w:val="1"/>
      <w:numFmt w:val="decimal"/>
      <w:lvlText w:val="%1."/>
      <w:lvlJc w:val="left"/>
      <w:pPr>
        <w:ind w:left="425" w:hanging="425"/>
      </w:pPr>
      <w:rPr>
        <w:rFonts w:hint="default"/>
      </w:rPr>
    </w:lvl>
  </w:abstractNum>
  <w:abstractNum w:abstractNumId="42">
    <w:nsid w:val="44A246E4"/>
    <w:multiLevelType w:val="multilevel"/>
    <w:tmpl w:val="44A246E4"/>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3">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44">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49DB4B5"/>
    <w:multiLevelType w:val="multilevel"/>
    <w:tmpl w:val="549DB4B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6">
    <w:nsid w:val="54F403B5"/>
    <w:multiLevelType w:val="singleLevel"/>
    <w:tmpl w:val="54F403B5"/>
    <w:lvl w:ilvl="0" w:tentative="0">
      <w:start w:val="1"/>
      <w:numFmt w:val="chineseCounting"/>
      <w:suff w:val="nothing"/>
      <w:lvlText w:val="%1、"/>
      <w:lvlJc w:val="left"/>
      <w:pPr>
        <w:ind w:left="0" w:firstLine="0"/>
      </w:pPr>
    </w:lvl>
  </w:abstractNum>
  <w:abstractNum w:abstractNumId="47">
    <w:nsid w:val="557FD3DA"/>
    <w:multiLevelType w:val="singleLevel"/>
    <w:tmpl w:val="557FD3DA"/>
    <w:lvl w:ilvl="0" w:tentative="0">
      <w:start w:val="3"/>
      <w:numFmt w:val="chineseCounting"/>
      <w:suff w:val="nothing"/>
      <w:lvlText w:val="%1、"/>
      <w:lvlJc w:val="left"/>
      <w:pPr>
        <w:ind w:left="0" w:firstLine="0"/>
      </w:pPr>
    </w:lvl>
  </w:abstractNum>
  <w:abstractNum w:abstractNumId="48">
    <w:nsid w:val="572A8CE4"/>
    <w:multiLevelType w:val="multilevel"/>
    <w:tmpl w:val="572A8CE4"/>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9">
    <w:nsid w:val="5A3C92CC"/>
    <w:multiLevelType w:val="singleLevel"/>
    <w:tmpl w:val="5A3C92CC"/>
    <w:lvl w:ilvl="0" w:tentative="0">
      <w:start w:val="1"/>
      <w:numFmt w:val="decimalEnclosedCircleChinese"/>
      <w:suff w:val="nothing"/>
      <w:lvlText w:val="%1　"/>
      <w:lvlJc w:val="left"/>
      <w:pPr>
        <w:ind w:firstLine="400"/>
      </w:pPr>
      <w:rPr>
        <w:rFonts w:hint="eastAsia" w:cs="Times New Roman"/>
      </w:rPr>
    </w:lvl>
  </w:abstractNum>
  <w:abstractNum w:abstractNumId="50">
    <w:nsid w:val="65832174"/>
    <w:multiLevelType w:val="multilevel"/>
    <w:tmpl w:val="65832174"/>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51">
    <w:nsid w:val="7AE7526B"/>
    <w:multiLevelType w:val="singleLevel"/>
    <w:tmpl w:val="7AE7526B"/>
    <w:lvl w:ilvl="0" w:tentative="0">
      <w:start w:val="1"/>
      <w:numFmt w:val="decimal"/>
      <w:suff w:val="nothing"/>
      <w:lvlText w:val="%1、"/>
      <w:lvlJc w:val="left"/>
      <w:pPr>
        <w:ind w:left="0" w:firstLine="0"/>
      </w:pPr>
      <w:rPr>
        <w:rFonts w:hint="eastAsia" w:cs="Times New Roman"/>
        <w:b w:val="0"/>
        <w:bCs w:val="0"/>
      </w:rPr>
    </w:lvl>
  </w:abstractNum>
  <w:num w:numId="1">
    <w:abstractNumId w:val="2"/>
  </w:num>
  <w:num w:numId="2">
    <w:abstractNumId w:val="49"/>
  </w:num>
  <w:num w:numId="3">
    <w:abstractNumId w:val="13"/>
  </w:num>
  <w:num w:numId="4">
    <w:abstractNumId w:val="7"/>
  </w:num>
  <w:num w:numId="5">
    <w:abstractNumId w:val="41"/>
  </w:num>
  <w:num w:numId="6">
    <w:abstractNumId w:val="3"/>
  </w:num>
  <w:num w:numId="7">
    <w:abstractNumId w:val="32"/>
  </w:num>
  <w:num w:numId="8">
    <w:abstractNumId w:val="28"/>
  </w:num>
  <w:num w:numId="9">
    <w:abstractNumId w:val="30"/>
  </w:num>
  <w:num w:numId="10">
    <w:abstractNumId w:val="31"/>
  </w:num>
  <w:num w:numId="11">
    <w:abstractNumId w:val="0"/>
  </w:num>
  <w:num w:numId="12">
    <w:abstractNumId w:val="23"/>
  </w:num>
  <w:num w:numId="13">
    <w:abstractNumId w:val="5"/>
  </w:num>
  <w:num w:numId="14">
    <w:abstractNumId w:val="39"/>
  </w:num>
  <w:num w:numId="15">
    <w:abstractNumId w:val="17"/>
  </w:num>
  <w:num w:numId="16">
    <w:abstractNumId w:val="9"/>
  </w:num>
  <w:num w:numId="17">
    <w:abstractNumId w:val="16"/>
  </w:num>
  <w:num w:numId="18">
    <w:abstractNumId w:val="48"/>
  </w:num>
  <w:num w:numId="19">
    <w:abstractNumId w:val="40"/>
  </w:num>
  <w:num w:numId="20">
    <w:abstractNumId w:val="10"/>
  </w:num>
  <w:num w:numId="21">
    <w:abstractNumId w:val="29"/>
  </w:num>
  <w:num w:numId="22">
    <w:abstractNumId w:val="4"/>
  </w:num>
  <w:num w:numId="23">
    <w:abstractNumId w:val="8"/>
  </w:num>
  <w:num w:numId="24">
    <w:abstractNumId w:val="34"/>
  </w:num>
  <w:num w:numId="25">
    <w:abstractNumId w:val="50"/>
  </w:num>
  <w:num w:numId="26">
    <w:abstractNumId w:val="37"/>
  </w:num>
  <w:num w:numId="27">
    <w:abstractNumId w:val="45"/>
  </w:num>
  <w:num w:numId="28">
    <w:abstractNumId w:val="33"/>
  </w:num>
  <w:num w:numId="29">
    <w:abstractNumId w:val="26"/>
  </w:num>
  <w:num w:numId="30">
    <w:abstractNumId w:val="14"/>
  </w:num>
  <w:num w:numId="31">
    <w:abstractNumId w:val="36"/>
  </w:num>
  <w:num w:numId="32">
    <w:abstractNumId w:val="6"/>
  </w:num>
  <w:num w:numId="33">
    <w:abstractNumId w:val="35"/>
  </w:num>
  <w:num w:numId="34">
    <w:abstractNumId w:val="1"/>
  </w:num>
  <w:num w:numId="35">
    <w:abstractNumId w:val="11"/>
  </w:num>
  <w:num w:numId="36">
    <w:abstractNumId w:val="22"/>
  </w:num>
  <w:num w:numId="37">
    <w:abstractNumId w:val="12"/>
  </w:num>
  <w:num w:numId="38">
    <w:abstractNumId w:val="25"/>
  </w:num>
  <w:num w:numId="39">
    <w:abstractNumId w:val="42"/>
  </w:num>
  <w:num w:numId="40">
    <w:abstractNumId w:val="18"/>
  </w:num>
  <w:num w:numId="41">
    <w:abstractNumId w:val="46"/>
  </w:num>
  <w:num w:numId="42">
    <w:abstractNumId w:val="15"/>
  </w:num>
  <w:num w:numId="43">
    <w:abstractNumId w:val="38"/>
  </w:num>
  <w:num w:numId="44">
    <w:abstractNumId w:val="20"/>
  </w:num>
  <w:num w:numId="45">
    <w:abstractNumId w:val="24"/>
    <w:lvlOverride w:ilvl="0">
      <w:startOverride w:val="1"/>
    </w:lvlOverride>
  </w:num>
  <w:num w:numId="46">
    <w:abstractNumId w:val="24"/>
    <w:lvlOverride w:ilvl="0">
      <w:startOverride w:val="1"/>
    </w:lvlOverride>
  </w:num>
  <w:num w:numId="47">
    <w:abstractNumId w:val="51"/>
  </w:num>
  <w:num w:numId="48">
    <w:abstractNumId w:val="27"/>
  </w:num>
  <w:num w:numId="49">
    <w:abstractNumId w:val="19"/>
  </w:num>
  <w:num w:numId="50">
    <w:abstractNumId w:val="43"/>
  </w:num>
  <w:num w:numId="51">
    <w:abstractNumId w:val="21"/>
  </w:num>
  <w:num w:numId="52">
    <w:abstractNumId w:val="44"/>
  </w:num>
  <w:num w:numId="5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hNzcwYWMxNDc0YjRjN2UxZDk1NTg4ZWEwNTIzZDUifQ=="/>
    <w:docVar w:name="KSO_WPS_MARK_KEY" w:val="cf748da3-edaa-4ca3-9ca0-4483cc677d43"/>
  </w:docVars>
  <w:rsids>
    <w:rsidRoot w:val="00C0263E"/>
    <w:rsid w:val="000009F5"/>
    <w:rsid w:val="0000118C"/>
    <w:rsid w:val="00001380"/>
    <w:rsid w:val="00002CB1"/>
    <w:rsid w:val="0000340D"/>
    <w:rsid w:val="00003A66"/>
    <w:rsid w:val="000053C0"/>
    <w:rsid w:val="000066EF"/>
    <w:rsid w:val="00007C55"/>
    <w:rsid w:val="00007D33"/>
    <w:rsid w:val="00011067"/>
    <w:rsid w:val="000115A8"/>
    <w:rsid w:val="00014395"/>
    <w:rsid w:val="00014590"/>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668C"/>
    <w:rsid w:val="000873E1"/>
    <w:rsid w:val="00087F08"/>
    <w:rsid w:val="00090259"/>
    <w:rsid w:val="00092D6D"/>
    <w:rsid w:val="000930EA"/>
    <w:rsid w:val="00094254"/>
    <w:rsid w:val="00095884"/>
    <w:rsid w:val="000966E8"/>
    <w:rsid w:val="00096ABD"/>
    <w:rsid w:val="000A0528"/>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A62"/>
    <w:rsid w:val="000E4534"/>
    <w:rsid w:val="000E6B70"/>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568D"/>
    <w:rsid w:val="001064A6"/>
    <w:rsid w:val="0010684A"/>
    <w:rsid w:val="00107EF0"/>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24BC"/>
    <w:rsid w:val="00142EB9"/>
    <w:rsid w:val="00143117"/>
    <w:rsid w:val="0014546D"/>
    <w:rsid w:val="00146114"/>
    <w:rsid w:val="0014791A"/>
    <w:rsid w:val="001508A1"/>
    <w:rsid w:val="00150AA7"/>
    <w:rsid w:val="001528B3"/>
    <w:rsid w:val="001528EB"/>
    <w:rsid w:val="00152A36"/>
    <w:rsid w:val="001547EB"/>
    <w:rsid w:val="0015505B"/>
    <w:rsid w:val="00155310"/>
    <w:rsid w:val="00156F66"/>
    <w:rsid w:val="0016030B"/>
    <w:rsid w:val="00160445"/>
    <w:rsid w:val="00161CFC"/>
    <w:rsid w:val="00161EA2"/>
    <w:rsid w:val="00161ECC"/>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B0BAA"/>
    <w:rsid w:val="001B1B9B"/>
    <w:rsid w:val="001B2696"/>
    <w:rsid w:val="001B28CB"/>
    <w:rsid w:val="001B45D2"/>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B6E"/>
    <w:rsid w:val="001F430D"/>
    <w:rsid w:val="001F5880"/>
    <w:rsid w:val="001F69BE"/>
    <w:rsid w:val="001F7200"/>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B34"/>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5AAF"/>
    <w:rsid w:val="00286DD8"/>
    <w:rsid w:val="00286F17"/>
    <w:rsid w:val="00287A2E"/>
    <w:rsid w:val="0029043C"/>
    <w:rsid w:val="00290CB4"/>
    <w:rsid w:val="00291B72"/>
    <w:rsid w:val="00291D32"/>
    <w:rsid w:val="0029218D"/>
    <w:rsid w:val="00292455"/>
    <w:rsid w:val="00292814"/>
    <w:rsid w:val="002928CA"/>
    <w:rsid w:val="00294454"/>
    <w:rsid w:val="00295525"/>
    <w:rsid w:val="00295F60"/>
    <w:rsid w:val="002A02F3"/>
    <w:rsid w:val="002A051B"/>
    <w:rsid w:val="002A28B3"/>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58AB"/>
    <w:rsid w:val="002C64A3"/>
    <w:rsid w:val="002C6AE5"/>
    <w:rsid w:val="002D0A09"/>
    <w:rsid w:val="002D2571"/>
    <w:rsid w:val="002D3563"/>
    <w:rsid w:val="002D6CCA"/>
    <w:rsid w:val="002D7C9E"/>
    <w:rsid w:val="002E09BA"/>
    <w:rsid w:val="002E0B9B"/>
    <w:rsid w:val="002E1874"/>
    <w:rsid w:val="002E1F1D"/>
    <w:rsid w:val="002E3588"/>
    <w:rsid w:val="002E369D"/>
    <w:rsid w:val="002E414F"/>
    <w:rsid w:val="002E4D98"/>
    <w:rsid w:val="002E4FC2"/>
    <w:rsid w:val="002E621E"/>
    <w:rsid w:val="002E7FC6"/>
    <w:rsid w:val="002F1A8C"/>
    <w:rsid w:val="002F205E"/>
    <w:rsid w:val="002F2128"/>
    <w:rsid w:val="002F4EE5"/>
    <w:rsid w:val="002F6F42"/>
    <w:rsid w:val="002F74A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6994"/>
    <w:rsid w:val="0033791E"/>
    <w:rsid w:val="00337E75"/>
    <w:rsid w:val="00341BF5"/>
    <w:rsid w:val="00342785"/>
    <w:rsid w:val="0034347F"/>
    <w:rsid w:val="003445DC"/>
    <w:rsid w:val="0034506F"/>
    <w:rsid w:val="0034675A"/>
    <w:rsid w:val="00346D10"/>
    <w:rsid w:val="003475ED"/>
    <w:rsid w:val="003478BA"/>
    <w:rsid w:val="00347A0A"/>
    <w:rsid w:val="00350E2E"/>
    <w:rsid w:val="003527E3"/>
    <w:rsid w:val="00352E06"/>
    <w:rsid w:val="003564E1"/>
    <w:rsid w:val="00356990"/>
    <w:rsid w:val="00356D20"/>
    <w:rsid w:val="00360BC0"/>
    <w:rsid w:val="00360D09"/>
    <w:rsid w:val="003612EF"/>
    <w:rsid w:val="00361E7B"/>
    <w:rsid w:val="00362A3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420"/>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9E1"/>
    <w:rsid w:val="00481A01"/>
    <w:rsid w:val="00485076"/>
    <w:rsid w:val="00485212"/>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DA9"/>
    <w:rsid w:val="004B1CFB"/>
    <w:rsid w:val="004B2188"/>
    <w:rsid w:val="004B2353"/>
    <w:rsid w:val="004B2461"/>
    <w:rsid w:val="004B27CE"/>
    <w:rsid w:val="004B481A"/>
    <w:rsid w:val="004C120E"/>
    <w:rsid w:val="004C1BB5"/>
    <w:rsid w:val="004C30FF"/>
    <w:rsid w:val="004C320B"/>
    <w:rsid w:val="004C40CD"/>
    <w:rsid w:val="004C4CF2"/>
    <w:rsid w:val="004C5FD5"/>
    <w:rsid w:val="004C6222"/>
    <w:rsid w:val="004C6CB1"/>
    <w:rsid w:val="004D27C2"/>
    <w:rsid w:val="004D2C24"/>
    <w:rsid w:val="004D3753"/>
    <w:rsid w:val="004D50DA"/>
    <w:rsid w:val="004D58A7"/>
    <w:rsid w:val="004D61B2"/>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17287"/>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C78"/>
    <w:rsid w:val="00544D67"/>
    <w:rsid w:val="00545454"/>
    <w:rsid w:val="00545D1F"/>
    <w:rsid w:val="00550294"/>
    <w:rsid w:val="0055074D"/>
    <w:rsid w:val="00550A9D"/>
    <w:rsid w:val="0055146E"/>
    <w:rsid w:val="00552790"/>
    <w:rsid w:val="00553B65"/>
    <w:rsid w:val="00554FA5"/>
    <w:rsid w:val="0055630A"/>
    <w:rsid w:val="00562458"/>
    <w:rsid w:val="00563E31"/>
    <w:rsid w:val="005649F0"/>
    <w:rsid w:val="00565774"/>
    <w:rsid w:val="00567288"/>
    <w:rsid w:val="00567387"/>
    <w:rsid w:val="0057403F"/>
    <w:rsid w:val="005764A8"/>
    <w:rsid w:val="00581B85"/>
    <w:rsid w:val="00581C75"/>
    <w:rsid w:val="0058232E"/>
    <w:rsid w:val="0058391D"/>
    <w:rsid w:val="00583CC1"/>
    <w:rsid w:val="00585AE0"/>
    <w:rsid w:val="00585FF4"/>
    <w:rsid w:val="00587089"/>
    <w:rsid w:val="00590404"/>
    <w:rsid w:val="00590BED"/>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D616F"/>
    <w:rsid w:val="005E0760"/>
    <w:rsid w:val="005E2264"/>
    <w:rsid w:val="005E2743"/>
    <w:rsid w:val="005E3D2F"/>
    <w:rsid w:val="005E639D"/>
    <w:rsid w:val="005E7B5F"/>
    <w:rsid w:val="005E7D70"/>
    <w:rsid w:val="005F11D1"/>
    <w:rsid w:val="005F3359"/>
    <w:rsid w:val="005F3416"/>
    <w:rsid w:val="005F3A7B"/>
    <w:rsid w:val="005F6C3A"/>
    <w:rsid w:val="005F70DA"/>
    <w:rsid w:val="00603948"/>
    <w:rsid w:val="00603D90"/>
    <w:rsid w:val="00603EA3"/>
    <w:rsid w:val="0060545D"/>
    <w:rsid w:val="00605A96"/>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660"/>
    <w:rsid w:val="00636DB2"/>
    <w:rsid w:val="00637038"/>
    <w:rsid w:val="00637722"/>
    <w:rsid w:val="0064203B"/>
    <w:rsid w:val="006420FC"/>
    <w:rsid w:val="00645BF8"/>
    <w:rsid w:val="00650C87"/>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03ED"/>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541"/>
    <w:rsid w:val="006F26B0"/>
    <w:rsid w:val="006F2CB1"/>
    <w:rsid w:val="006F30BD"/>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5ED2"/>
    <w:rsid w:val="00727B6C"/>
    <w:rsid w:val="007313BA"/>
    <w:rsid w:val="007313DE"/>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32F6"/>
    <w:rsid w:val="00783D5D"/>
    <w:rsid w:val="007847D8"/>
    <w:rsid w:val="00786543"/>
    <w:rsid w:val="00787D93"/>
    <w:rsid w:val="00787EB1"/>
    <w:rsid w:val="007901F5"/>
    <w:rsid w:val="007904E1"/>
    <w:rsid w:val="00791213"/>
    <w:rsid w:val="00791F8A"/>
    <w:rsid w:val="00797610"/>
    <w:rsid w:val="007A03DF"/>
    <w:rsid w:val="007A040D"/>
    <w:rsid w:val="007A0DB8"/>
    <w:rsid w:val="007A0E99"/>
    <w:rsid w:val="007A17D9"/>
    <w:rsid w:val="007A73AD"/>
    <w:rsid w:val="007B0FA6"/>
    <w:rsid w:val="007B14EC"/>
    <w:rsid w:val="007B377B"/>
    <w:rsid w:val="007B3E74"/>
    <w:rsid w:val="007B504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03E"/>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BF5"/>
    <w:rsid w:val="009B5DB8"/>
    <w:rsid w:val="009B6327"/>
    <w:rsid w:val="009B6A1C"/>
    <w:rsid w:val="009C43BB"/>
    <w:rsid w:val="009C55EC"/>
    <w:rsid w:val="009C5BEB"/>
    <w:rsid w:val="009C6B5D"/>
    <w:rsid w:val="009C7925"/>
    <w:rsid w:val="009D0DC3"/>
    <w:rsid w:val="009D12A1"/>
    <w:rsid w:val="009D433B"/>
    <w:rsid w:val="009D4379"/>
    <w:rsid w:val="009D5595"/>
    <w:rsid w:val="009D62F3"/>
    <w:rsid w:val="009D6E9A"/>
    <w:rsid w:val="009E03FF"/>
    <w:rsid w:val="009E0418"/>
    <w:rsid w:val="009E07FD"/>
    <w:rsid w:val="009E1BB6"/>
    <w:rsid w:val="009E350A"/>
    <w:rsid w:val="009E374B"/>
    <w:rsid w:val="009E4137"/>
    <w:rsid w:val="009E54FD"/>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EE8"/>
    <w:rsid w:val="00B104C6"/>
    <w:rsid w:val="00B11D84"/>
    <w:rsid w:val="00B1224E"/>
    <w:rsid w:val="00B125BF"/>
    <w:rsid w:val="00B12D57"/>
    <w:rsid w:val="00B13390"/>
    <w:rsid w:val="00B13865"/>
    <w:rsid w:val="00B13E71"/>
    <w:rsid w:val="00B15BC3"/>
    <w:rsid w:val="00B21447"/>
    <w:rsid w:val="00B223C8"/>
    <w:rsid w:val="00B2296A"/>
    <w:rsid w:val="00B22D64"/>
    <w:rsid w:val="00B24C5F"/>
    <w:rsid w:val="00B25796"/>
    <w:rsid w:val="00B27A07"/>
    <w:rsid w:val="00B27AF6"/>
    <w:rsid w:val="00B31690"/>
    <w:rsid w:val="00B3337D"/>
    <w:rsid w:val="00B34136"/>
    <w:rsid w:val="00B346C1"/>
    <w:rsid w:val="00B34944"/>
    <w:rsid w:val="00B36A21"/>
    <w:rsid w:val="00B3726C"/>
    <w:rsid w:val="00B374A8"/>
    <w:rsid w:val="00B37BEF"/>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1207"/>
    <w:rsid w:val="00B9205C"/>
    <w:rsid w:val="00B920E4"/>
    <w:rsid w:val="00B94187"/>
    <w:rsid w:val="00B94B43"/>
    <w:rsid w:val="00B96AED"/>
    <w:rsid w:val="00B97073"/>
    <w:rsid w:val="00B97620"/>
    <w:rsid w:val="00BA1AB7"/>
    <w:rsid w:val="00BA3FCD"/>
    <w:rsid w:val="00BA47A8"/>
    <w:rsid w:val="00BA4DDB"/>
    <w:rsid w:val="00BA57D7"/>
    <w:rsid w:val="00BA5CA3"/>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618A"/>
    <w:rsid w:val="00BC769F"/>
    <w:rsid w:val="00BC7A4C"/>
    <w:rsid w:val="00BC7FF9"/>
    <w:rsid w:val="00BD07E6"/>
    <w:rsid w:val="00BD2EED"/>
    <w:rsid w:val="00BD3855"/>
    <w:rsid w:val="00BD5628"/>
    <w:rsid w:val="00BD5AF3"/>
    <w:rsid w:val="00BD6C21"/>
    <w:rsid w:val="00BD7681"/>
    <w:rsid w:val="00BD7EF8"/>
    <w:rsid w:val="00BE0142"/>
    <w:rsid w:val="00BE22C8"/>
    <w:rsid w:val="00BE2377"/>
    <w:rsid w:val="00BE3345"/>
    <w:rsid w:val="00BE35EB"/>
    <w:rsid w:val="00BE461E"/>
    <w:rsid w:val="00BE5A4D"/>
    <w:rsid w:val="00BE61C8"/>
    <w:rsid w:val="00BE64F5"/>
    <w:rsid w:val="00BE7956"/>
    <w:rsid w:val="00BE79A6"/>
    <w:rsid w:val="00BF086C"/>
    <w:rsid w:val="00BF17F2"/>
    <w:rsid w:val="00BF1A73"/>
    <w:rsid w:val="00BF1CAD"/>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DE8"/>
    <w:rsid w:val="00C43E3A"/>
    <w:rsid w:val="00C44D2D"/>
    <w:rsid w:val="00C44DAE"/>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29D3"/>
    <w:rsid w:val="00C729E7"/>
    <w:rsid w:val="00C72B5E"/>
    <w:rsid w:val="00C737F9"/>
    <w:rsid w:val="00C73A5B"/>
    <w:rsid w:val="00C73FA9"/>
    <w:rsid w:val="00C74081"/>
    <w:rsid w:val="00C7632C"/>
    <w:rsid w:val="00C77E0D"/>
    <w:rsid w:val="00C801D4"/>
    <w:rsid w:val="00C8146A"/>
    <w:rsid w:val="00C815B5"/>
    <w:rsid w:val="00C81AD4"/>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31D3C"/>
    <w:rsid w:val="00D33E71"/>
    <w:rsid w:val="00D35C26"/>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4837"/>
    <w:rsid w:val="00DD785C"/>
    <w:rsid w:val="00DD7BC3"/>
    <w:rsid w:val="00DD7D4D"/>
    <w:rsid w:val="00DE009F"/>
    <w:rsid w:val="00DE042E"/>
    <w:rsid w:val="00DE0739"/>
    <w:rsid w:val="00DE0E94"/>
    <w:rsid w:val="00DE12D7"/>
    <w:rsid w:val="00DE2E53"/>
    <w:rsid w:val="00DE2EE9"/>
    <w:rsid w:val="00DE2EF3"/>
    <w:rsid w:val="00DE379F"/>
    <w:rsid w:val="00DE617C"/>
    <w:rsid w:val="00DE67A0"/>
    <w:rsid w:val="00DF1C33"/>
    <w:rsid w:val="00DF2382"/>
    <w:rsid w:val="00DF2A62"/>
    <w:rsid w:val="00DF4349"/>
    <w:rsid w:val="00DF4808"/>
    <w:rsid w:val="00DF4D0D"/>
    <w:rsid w:val="00DF62FA"/>
    <w:rsid w:val="00E016DB"/>
    <w:rsid w:val="00E0197C"/>
    <w:rsid w:val="00E0237A"/>
    <w:rsid w:val="00E0254F"/>
    <w:rsid w:val="00E02B10"/>
    <w:rsid w:val="00E04084"/>
    <w:rsid w:val="00E047E0"/>
    <w:rsid w:val="00E04B3B"/>
    <w:rsid w:val="00E07445"/>
    <w:rsid w:val="00E111E4"/>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89C"/>
    <w:rsid w:val="00E25B7D"/>
    <w:rsid w:val="00E2632E"/>
    <w:rsid w:val="00E31502"/>
    <w:rsid w:val="00E32462"/>
    <w:rsid w:val="00E33424"/>
    <w:rsid w:val="00E33A75"/>
    <w:rsid w:val="00E33F87"/>
    <w:rsid w:val="00E3463F"/>
    <w:rsid w:val="00E34B6C"/>
    <w:rsid w:val="00E361F5"/>
    <w:rsid w:val="00E375CE"/>
    <w:rsid w:val="00E40242"/>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E2C"/>
    <w:rsid w:val="00E569EB"/>
    <w:rsid w:val="00E5716A"/>
    <w:rsid w:val="00E61630"/>
    <w:rsid w:val="00E6166A"/>
    <w:rsid w:val="00E64356"/>
    <w:rsid w:val="00E64F3E"/>
    <w:rsid w:val="00E65519"/>
    <w:rsid w:val="00E6560A"/>
    <w:rsid w:val="00E65726"/>
    <w:rsid w:val="00E662BB"/>
    <w:rsid w:val="00E673C8"/>
    <w:rsid w:val="00E67446"/>
    <w:rsid w:val="00E67A22"/>
    <w:rsid w:val="00E7044D"/>
    <w:rsid w:val="00E704EA"/>
    <w:rsid w:val="00E70611"/>
    <w:rsid w:val="00E713CD"/>
    <w:rsid w:val="00E736FF"/>
    <w:rsid w:val="00E75432"/>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2146"/>
    <w:rsid w:val="00ED2BB9"/>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ED6"/>
    <w:rsid w:val="00F13F50"/>
    <w:rsid w:val="00F14A5A"/>
    <w:rsid w:val="00F15D9E"/>
    <w:rsid w:val="00F16B52"/>
    <w:rsid w:val="00F17C0E"/>
    <w:rsid w:val="00F210AC"/>
    <w:rsid w:val="00F21403"/>
    <w:rsid w:val="00F249C2"/>
    <w:rsid w:val="00F253C7"/>
    <w:rsid w:val="00F279A4"/>
    <w:rsid w:val="00F30C0A"/>
    <w:rsid w:val="00F3232F"/>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8713E"/>
    <w:rsid w:val="00F908DC"/>
    <w:rsid w:val="00F928CB"/>
    <w:rsid w:val="00F9425D"/>
    <w:rsid w:val="00F94F1D"/>
    <w:rsid w:val="00F967F6"/>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76D"/>
    <w:rsid w:val="00FE68EA"/>
    <w:rsid w:val="00FE71F2"/>
    <w:rsid w:val="00FE7293"/>
    <w:rsid w:val="00FE76FD"/>
    <w:rsid w:val="00FF0C6B"/>
    <w:rsid w:val="00FF0E71"/>
    <w:rsid w:val="00FF2FB1"/>
    <w:rsid w:val="00FF36D3"/>
    <w:rsid w:val="00FF3D8E"/>
    <w:rsid w:val="00FF4C69"/>
    <w:rsid w:val="00FF4F18"/>
    <w:rsid w:val="00FF5FCF"/>
    <w:rsid w:val="00FF6953"/>
    <w:rsid w:val="01992A24"/>
    <w:rsid w:val="01F11666"/>
    <w:rsid w:val="026927C0"/>
    <w:rsid w:val="041028A2"/>
    <w:rsid w:val="042943E8"/>
    <w:rsid w:val="04710602"/>
    <w:rsid w:val="04BD6835"/>
    <w:rsid w:val="04F550AA"/>
    <w:rsid w:val="05310009"/>
    <w:rsid w:val="054D6A9E"/>
    <w:rsid w:val="05A83926"/>
    <w:rsid w:val="06594A11"/>
    <w:rsid w:val="08842DC1"/>
    <w:rsid w:val="09153CCC"/>
    <w:rsid w:val="096107B7"/>
    <w:rsid w:val="0A063254"/>
    <w:rsid w:val="0A344230"/>
    <w:rsid w:val="0B886F7D"/>
    <w:rsid w:val="0BA36C6F"/>
    <w:rsid w:val="0BBC2B25"/>
    <w:rsid w:val="0BCA27B3"/>
    <w:rsid w:val="0CDF2F6F"/>
    <w:rsid w:val="0D316E18"/>
    <w:rsid w:val="0FEA3A6E"/>
    <w:rsid w:val="104B0093"/>
    <w:rsid w:val="10665B03"/>
    <w:rsid w:val="11A14224"/>
    <w:rsid w:val="121A6820"/>
    <w:rsid w:val="12C42B13"/>
    <w:rsid w:val="142573E4"/>
    <w:rsid w:val="143B1FD3"/>
    <w:rsid w:val="14AD1D54"/>
    <w:rsid w:val="14C627AF"/>
    <w:rsid w:val="15D050E0"/>
    <w:rsid w:val="15E87C22"/>
    <w:rsid w:val="16307361"/>
    <w:rsid w:val="163C4D6F"/>
    <w:rsid w:val="169F5708"/>
    <w:rsid w:val="16E62715"/>
    <w:rsid w:val="177B641D"/>
    <w:rsid w:val="17A3345B"/>
    <w:rsid w:val="17F14DDF"/>
    <w:rsid w:val="18070DF2"/>
    <w:rsid w:val="18172B07"/>
    <w:rsid w:val="1858672E"/>
    <w:rsid w:val="1927589A"/>
    <w:rsid w:val="192F4A36"/>
    <w:rsid w:val="19AD1639"/>
    <w:rsid w:val="1C5A7687"/>
    <w:rsid w:val="1C6A6934"/>
    <w:rsid w:val="1CF3514C"/>
    <w:rsid w:val="1E297B6C"/>
    <w:rsid w:val="1E4B3C40"/>
    <w:rsid w:val="1ECF36EA"/>
    <w:rsid w:val="1F1D3AF5"/>
    <w:rsid w:val="1FBF409D"/>
    <w:rsid w:val="21220D00"/>
    <w:rsid w:val="221E2698"/>
    <w:rsid w:val="22352338"/>
    <w:rsid w:val="230072A4"/>
    <w:rsid w:val="2305383D"/>
    <w:rsid w:val="23846AEF"/>
    <w:rsid w:val="23CD4082"/>
    <w:rsid w:val="23E65DA1"/>
    <w:rsid w:val="24455A33"/>
    <w:rsid w:val="2493436C"/>
    <w:rsid w:val="2549001C"/>
    <w:rsid w:val="25D56AD6"/>
    <w:rsid w:val="262000C4"/>
    <w:rsid w:val="26DF235B"/>
    <w:rsid w:val="278E2F9A"/>
    <w:rsid w:val="278E34D5"/>
    <w:rsid w:val="27AA5AD0"/>
    <w:rsid w:val="2956041F"/>
    <w:rsid w:val="297053DF"/>
    <w:rsid w:val="2A9A4DF4"/>
    <w:rsid w:val="2AF5733A"/>
    <w:rsid w:val="2B634913"/>
    <w:rsid w:val="2BC563F1"/>
    <w:rsid w:val="2BFC4F9F"/>
    <w:rsid w:val="2C2F2E5B"/>
    <w:rsid w:val="2CF55097"/>
    <w:rsid w:val="2DC2617B"/>
    <w:rsid w:val="2E1C3845"/>
    <w:rsid w:val="2FCF7117"/>
    <w:rsid w:val="30574A44"/>
    <w:rsid w:val="306B6744"/>
    <w:rsid w:val="30D83F02"/>
    <w:rsid w:val="31B5579D"/>
    <w:rsid w:val="3229683B"/>
    <w:rsid w:val="322A6F4B"/>
    <w:rsid w:val="329335FB"/>
    <w:rsid w:val="32C30AF4"/>
    <w:rsid w:val="32F369EE"/>
    <w:rsid w:val="330F7C45"/>
    <w:rsid w:val="338102BC"/>
    <w:rsid w:val="33B52F92"/>
    <w:rsid w:val="342D06DC"/>
    <w:rsid w:val="34BA1A48"/>
    <w:rsid w:val="34BE73F7"/>
    <w:rsid w:val="34C76929"/>
    <w:rsid w:val="39221B61"/>
    <w:rsid w:val="3AB1122C"/>
    <w:rsid w:val="3B563B4D"/>
    <w:rsid w:val="3C761041"/>
    <w:rsid w:val="3CAC748F"/>
    <w:rsid w:val="3D9A41CA"/>
    <w:rsid w:val="3E134FA6"/>
    <w:rsid w:val="3F00274D"/>
    <w:rsid w:val="3F51591E"/>
    <w:rsid w:val="3FAF14E4"/>
    <w:rsid w:val="4004724E"/>
    <w:rsid w:val="4084719F"/>
    <w:rsid w:val="41700164"/>
    <w:rsid w:val="419158DF"/>
    <w:rsid w:val="421373D0"/>
    <w:rsid w:val="427F57B3"/>
    <w:rsid w:val="434A1719"/>
    <w:rsid w:val="43731F9A"/>
    <w:rsid w:val="43963419"/>
    <w:rsid w:val="43AD2CD4"/>
    <w:rsid w:val="445F4661"/>
    <w:rsid w:val="44907C3B"/>
    <w:rsid w:val="45241161"/>
    <w:rsid w:val="459C7DF3"/>
    <w:rsid w:val="45C967F5"/>
    <w:rsid w:val="467F3DD0"/>
    <w:rsid w:val="4792366F"/>
    <w:rsid w:val="47BB0620"/>
    <w:rsid w:val="48FA15B5"/>
    <w:rsid w:val="4989458D"/>
    <w:rsid w:val="49B91F6F"/>
    <w:rsid w:val="4A8061AA"/>
    <w:rsid w:val="4ADD2964"/>
    <w:rsid w:val="4B2332A6"/>
    <w:rsid w:val="4BA76BC0"/>
    <w:rsid w:val="4C7153F5"/>
    <w:rsid w:val="4C81727E"/>
    <w:rsid w:val="4D026B14"/>
    <w:rsid w:val="4D22779C"/>
    <w:rsid w:val="4E597784"/>
    <w:rsid w:val="4EF851EF"/>
    <w:rsid w:val="4F0C1DC1"/>
    <w:rsid w:val="4F4D1477"/>
    <w:rsid w:val="509E7570"/>
    <w:rsid w:val="511F4FD0"/>
    <w:rsid w:val="515C67AF"/>
    <w:rsid w:val="517F461E"/>
    <w:rsid w:val="52037499"/>
    <w:rsid w:val="571A7E3F"/>
    <w:rsid w:val="576135B0"/>
    <w:rsid w:val="576E0986"/>
    <w:rsid w:val="578C2807"/>
    <w:rsid w:val="57CD4D3F"/>
    <w:rsid w:val="58C074BE"/>
    <w:rsid w:val="594919CB"/>
    <w:rsid w:val="599B3347"/>
    <w:rsid w:val="59CB51D7"/>
    <w:rsid w:val="5A517CF1"/>
    <w:rsid w:val="5A663DD4"/>
    <w:rsid w:val="5A8C5EC2"/>
    <w:rsid w:val="5A930A90"/>
    <w:rsid w:val="5B533D47"/>
    <w:rsid w:val="5CFF69ED"/>
    <w:rsid w:val="5D206234"/>
    <w:rsid w:val="5D9B7B77"/>
    <w:rsid w:val="5E713F1C"/>
    <w:rsid w:val="5FAB6B76"/>
    <w:rsid w:val="607E7999"/>
    <w:rsid w:val="61585C2F"/>
    <w:rsid w:val="62354DE3"/>
    <w:rsid w:val="631E36A8"/>
    <w:rsid w:val="638A7BED"/>
    <w:rsid w:val="63A131C2"/>
    <w:rsid w:val="647937F6"/>
    <w:rsid w:val="65A7591F"/>
    <w:rsid w:val="66DF78CE"/>
    <w:rsid w:val="67165838"/>
    <w:rsid w:val="67191A6E"/>
    <w:rsid w:val="67AB1D56"/>
    <w:rsid w:val="67C116AC"/>
    <w:rsid w:val="6961142C"/>
    <w:rsid w:val="69AC34B6"/>
    <w:rsid w:val="69C24894"/>
    <w:rsid w:val="6A031098"/>
    <w:rsid w:val="6A3E6297"/>
    <w:rsid w:val="6ACE082C"/>
    <w:rsid w:val="6C4C4BAA"/>
    <w:rsid w:val="6CF21B60"/>
    <w:rsid w:val="6D044EB2"/>
    <w:rsid w:val="6E374FFD"/>
    <w:rsid w:val="6FF41839"/>
    <w:rsid w:val="6FFE228A"/>
    <w:rsid w:val="70230C37"/>
    <w:rsid w:val="709E6CED"/>
    <w:rsid w:val="72A74FF1"/>
    <w:rsid w:val="73267C07"/>
    <w:rsid w:val="744C0614"/>
    <w:rsid w:val="750033AF"/>
    <w:rsid w:val="76266F37"/>
    <w:rsid w:val="771816DB"/>
    <w:rsid w:val="78332F27"/>
    <w:rsid w:val="788E1124"/>
    <w:rsid w:val="794C7D62"/>
    <w:rsid w:val="795B5E20"/>
    <w:rsid w:val="79C835E8"/>
    <w:rsid w:val="79EB422E"/>
    <w:rsid w:val="7A147F78"/>
    <w:rsid w:val="7ADB6F81"/>
    <w:rsid w:val="7AF7379A"/>
    <w:rsid w:val="7B6F3A41"/>
    <w:rsid w:val="7C6575D1"/>
    <w:rsid w:val="7CD32A90"/>
    <w:rsid w:val="7CF94350"/>
    <w:rsid w:val="7D0A66C6"/>
    <w:rsid w:val="7D4A5387"/>
    <w:rsid w:val="7F71201A"/>
    <w:rsid w:val="7F761695"/>
    <w:rsid w:val="7FA866C0"/>
    <w:rsid w:val="7FF35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7"/>
    <w:qFormat/>
    <w:uiPriority w:val="9"/>
    <w:pPr>
      <w:keepNext/>
      <w:jc w:val="center"/>
      <w:outlineLvl w:val="0"/>
    </w:pPr>
    <w:rPr>
      <w:rFonts w:ascii="楷体_GB2312" w:eastAsia="楷体_GB2312"/>
      <w:b/>
      <w:bCs/>
    </w:rPr>
  </w:style>
  <w:style w:type="paragraph" w:styleId="7">
    <w:name w:val="heading 2"/>
    <w:basedOn w:val="1"/>
    <w:next w:val="1"/>
    <w:link w:val="78"/>
    <w:qFormat/>
    <w:uiPriority w:val="9"/>
    <w:pPr>
      <w:keepNext/>
      <w:keepLines/>
      <w:spacing w:before="260" w:after="260" w:line="416" w:lineRule="auto"/>
      <w:outlineLvl w:val="1"/>
    </w:pPr>
    <w:rPr>
      <w:rFonts w:ascii="Cambria" w:hAnsi="Cambria"/>
      <w:b/>
      <w:bCs/>
      <w:sz w:val="32"/>
      <w:szCs w:val="32"/>
    </w:rPr>
  </w:style>
  <w:style w:type="paragraph" w:styleId="8">
    <w:name w:val="heading 3"/>
    <w:basedOn w:val="1"/>
    <w:next w:val="1"/>
    <w:link w:val="79"/>
    <w:qFormat/>
    <w:uiPriority w:val="9"/>
    <w:pPr>
      <w:keepNext/>
      <w:keepLines/>
      <w:spacing w:before="260" w:after="260" w:line="416" w:lineRule="auto"/>
      <w:outlineLvl w:val="2"/>
    </w:pPr>
    <w:rPr>
      <w:b/>
      <w:bCs/>
      <w:sz w:val="32"/>
      <w:szCs w:val="32"/>
    </w:rPr>
  </w:style>
  <w:style w:type="paragraph" w:styleId="9">
    <w:name w:val="heading 4"/>
    <w:basedOn w:val="1"/>
    <w:next w:val="1"/>
    <w:link w:val="80"/>
    <w:qFormat/>
    <w:uiPriority w:val="0"/>
    <w:pPr>
      <w:keepNext/>
      <w:keepLines/>
      <w:spacing w:before="280" w:after="290" w:line="376" w:lineRule="auto"/>
      <w:outlineLvl w:val="3"/>
    </w:pPr>
    <w:rPr>
      <w:rFonts w:ascii="Cambria" w:hAnsi="Cambria"/>
      <w:b/>
      <w:bCs/>
      <w:sz w:val="28"/>
      <w:szCs w:val="28"/>
    </w:rPr>
  </w:style>
  <w:style w:type="paragraph" w:styleId="10">
    <w:name w:val="heading 5"/>
    <w:basedOn w:val="1"/>
    <w:next w:val="1"/>
    <w:link w:val="81"/>
    <w:qFormat/>
    <w:uiPriority w:val="9"/>
    <w:pPr>
      <w:keepNext/>
      <w:keepLines/>
      <w:spacing w:before="280" w:after="290" w:line="376" w:lineRule="auto"/>
      <w:outlineLvl w:val="4"/>
    </w:pPr>
    <w:rPr>
      <w:b/>
      <w:bCs/>
      <w:sz w:val="28"/>
      <w:szCs w:val="28"/>
    </w:rPr>
  </w:style>
  <w:style w:type="paragraph" w:styleId="11">
    <w:name w:val="heading 6"/>
    <w:basedOn w:val="1"/>
    <w:next w:val="1"/>
    <w:link w:val="82"/>
    <w:qFormat/>
    <w:uiPriority w:val="9"/>
    <w:pPr>
      <w:keepNext/>
      <w:keepLines/>
      <w:spacing w:before="240" w:after="64" w:line="320" w:lineRule="auto"/>
      <w:outlineLvl w:val="5"/>
    </w:pPr>
    <w:rPr>
      <w:rFonts w:ascii="Cambria" w:hAnsi="Cambria"/>
      <w:b/>
      <w:bCs/>
      <w:sz w:val="24"/>
    </w:rPr>
  </w:style>
  <w:style w:type="paragraph" w:styleId="12">
    <w:name w:val="heading 7"/>
    <w:basedOn w:val="1"/>
    <w:next w:val="1"/>
    <w:link w:val="165"/>
    <w:qFormat/>
    <w:uiPriority w:val="9"/>
    <w:pPr>
      <w:keepNext/>
      <w:keepLines/>
      <w:adjustRightInd w:val="0"/>
      <w:spacing w:before="240" w:after="64" w:line="320" w:lineRule="atLeast"/>
      <w:textAlignment w:val="baseline"/>
      <w:outlineLvl w:val="6"/>
    </w:pPr>
    <w:rPr>
      <w:rFonts w:eastAsia="等线"/>
      <w:b/>
      <w:sz w:val="24"/>
    </w:rPr>
  </w:style>
  <w:style w:type="paragraph" w:styleId="13">
    <w:name w:val="heading 8"/>
    <w:basedOn w:val="1"/>
    <w:next w:val="1"/>
    <w:link w:val="166"/>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4">
    <w:name w:val="heading 9"/>
    <w:basedOn w:val="1"/>
    <w:next w:val="1"/>
    <w:link w:val="167"/>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8"/>
    <w:qFormat/>
    <w:uiPriority w:val="99"/>
    <w:pPr>
      <w:spacing w:after="120"/>
    </w:pPr>
  </w:style>
  <w:style w:type="paragraph" w:styleId="3">
    <w:name w:val="Body Text First Indent"/>
    <w:basedOn w:val="2"/>
    <w:next w:val="4"/>
    <w:link w:val="100"/>
    <w:qFormat/>
    <w:uiPriority w:val="0"/>
    <w:pPr>
      <w:ind w:firstLine="420" w:firstLineChars="100"/>
    </w:pPr>
  </w:style>
  <w:style w:type="paragraph" w:styleId="4">
    <w:name w:val="toc 6"/>
    <w:basedOn w:val="1"/>
    <w:next w:val="1"/>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5">
    <w:name w:val="macro"/>
    <w:link w:val="42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5">
    <w:name w:val="toc 7"/>
    <w:basedOn w:val="1"/>
    <w:next w:val="1"/>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6">
    <w:name w:val="Note Heading"/>
    <w:basedOn w:val="1"/>
    <w:next w:val="1"/>
    <w:link w:val="419"/>
    <w:qFormat/>
    <w:uiPriority w:val="0"/>
    <w:pPr>
      <w:spacing w:line="360" w:lineRule="auto"/>
      <w:ind w:firstLine="200" w:firstLineChars="200"/>
      <w:jc w:val="center"/>
    </w:pPr>
    <w:rPr>
      <w:rFonts w:ascii="DFKai-SB" w:hAnsi="DFKai-SB" w:eastAsia="DFKai-SB" w:cs="等线"/>
      <w:sz w:val="20"/>
      <w:szCs w:val="20"/>
      <w:lang w:eastAsia="zh-TW"/>
    </w:rPr>
  </w:style>
  <w:style w:type="paragraph" w:styleId="17">
    <w:name w:val="List Number"/>
    <w:basedOn w:val="1"/>
    <w:qFormat/>
    <w:uiPriority w:val="0"/>
    <w:pPr>
      <w:tabs>
        <w:tab w:val="left" w:pos="360"/>
      </w:tabs>
      <w:ind w:left="360" w:hanging="360" w:hangingChars="200"/>
    </w:pPr>
    <w:rPr>
      <w:rFonts w:ascii="等线" w:hAnsi="等线" w:eastAsia="等线" w:cs="等线"/>
    </w:rPr>
  </w:style>
  <w:style w:type="paragraph" w:styleId="18">
    <w:name w:val="Normal Indent"/>
    <w:basedOn w:val="1"/>
    <w:next w:val="1"/>
    <w:link w:val="101"/>
    <w:qFormat/>
    <w:uiPriority w:val="0"/>
    <w:pPr>
      <w:adjustRightInd w:val="0"/>
      <w:spacing w:line="312" w:lineRule="atLeast"/>
      <w:ind w:firstLine="420"/>
      <w:textAlignment w:val="baseline"/>
    </w:pPr>
    <w:rPr>
      <w:kern w:val="0"/>
      <w:szCs w:val="20"/>
    </w:rPr>
  </w:style>
  <w:style w:type="paragraph" w:styleId="19">
    <w:name w:val="caption"/>
    <w:basedOn w:val="1"/>
    <w:next w:val="1"/>
    <w:qFormat/>
    <w:uiPriority w:val="0"/>
    <w:rPr>
      <w:rFonts w:ascii="Cambria" w:hAnsi="Cambria" w:eastAsia="黑体"/>
      <w:sz w:val="20"/>
      <w:szCs w:val="20"/>
    </w:rPr>
  </w:style>
  <w:style w:type="paragraph" w:styleId="20">
    <w:name w:val="List Bullet"/>
    <w:basedOn w:val="1"/>
    <w:qFormat/>
    <w:uiPriority w:val="0"/>
    <w:pPr>
      <w:tabs>
        <w:tab w:val="left" w:pos="360"/>
      </w:tabs>
      <w:ind w:left="360" w:hanging="360"/>
    </w:pPr>
    <w:rPr>
      <w:rFonts w:ascii="Century Gothic" w:hAnsi="Century Gothic" w:eastAsia="等线" w:cs="等线"/>
      <w:szCs w:val="22"/>
    </w:rPr>
  </w:style>
  <w:style w:type="paragraph" w:styleId="21">
    <w:name w:val="Document Map"/>
    <w:basedOn w:val="1"/>
    <w:link w:val="204"/>
    <w:qFormat/>
    <w:uiPriority w:val="0"/>
    <w:pPr>
      <w:shd w:val="clear" w:color="auto" w:fill="000080"/>
    </w:pPr>
  </w:style>
  <w:style w:type="paragraph" w:styleId="22">
    <w:name w:val="toa heading"/>
    <w:basedOn w:val="1"/>
    <w:next w:val="1"/>
    <w:qFormat/>
    <w:uiPriority w:val="0"/>
    <w:pPr>
      <w:spacing w:before="120" w:line="560" w:lineRule="exact"/>
      <w:ind w:firstLine="200" w:firstLineChars="200"/>
    </w:pPr>
    <w:rPr>
      <w:rFonts w:ascii="Arial" w:hAnsi="Arial" w:cs="Arial"/>
      <w:sz w:val="24"/>
    </w:rPr>
  </w:style>
  <w:style w:type="paragraph" w:styleId="23">
    <w:name w:val="annotation text"/>
    <w:basedOn w:val="1"/>
    <w:link w:val="112"/>
    <w:qFormat/>
    <w:uiPriority w:val="1"/>
    <w:pPr>
      <w:jc w:val="left"/>
    </w:pPr>
  </w:style>
  <w:style w:type="paragraph" w:styleId="24">
    <w:name w:val="Salutation"/>
    <w:basedOn w:val="1"/>
    <w:next w:val="1"/>
    <w:link w:val="407"/>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5">
    <w:name w:val="Body Text 3"/>
    <w:basedOn w:val="1"/>
    <w:link w:val="422"/>
    <w:qFormat/>
    <w:uiPriority w:val="0"/>
    <w:pPr>
      <w:autoSpaceDE w:val="0"/>
      <w:autoSpaceDN w:val="0"/>
      <w:adjustRightInd w:val="0"/>
      <w:jc w:val="center"/>
    </w:pPr>
    <w:rPr>
      <w:rFonts w:ascii="等线" w:hAnsi="等线" w:eastAsia="等线" w:cs="等线"/>
      <w:kern w:val="0"/>
      <w:sz w:val="20"/>
      <w:szCs w:val="20"/>
    </w:rPr>
  </w:style>
  <w:style w:type="paragraph" w:styleId="26">
    <w:name w:val="List Bullet 3"/>
    <w:basedOn w:val="1"/>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7">
    <w:name w:val="Body Text Indent"/>
    <w:basedOn w:val="1"/>
    <w:next w:val="28"/>
    <w:link w:val="89"/>
    <w:qFormat/>
    <w:uiPriority w:val="0"/>
    <w:pPr>
      <w:ind w:left="480" w:hanging="480" w:hangingChars="200"/>
    </w:pPr>
    <w:rPr>
      <w:sz w:val="24"/>
    </w:rPr>
  </w:style>
  <w:style w:type="paragraph" w:styleId="28">
    <w:name w:val="envelope return"/>
    <w:basedOn w:val="1"/>
    <w:qFormat/>
    <w:uiPriority w:val="0"/>
    <w:pPr>
      <w:snapToGrid w:val="0"/>
      <w:spacing w:line="360" w:lineRule="auto"/>
      <w:ind w:firstLine="200" w:firstLineChars="200"/>
    </w:pPr>
    <w:rPr>
      <w:rFonts w:ascii="Arial" w:hAnsi="Arial" w:eastAsia="等线" w:cs="等线"/>
      <w:spacing w:val="-10"/>
      <w:szCs w:val="20"/>
    </w:rPr>
  </w:style>
  <w:style w:type="paragraph" w:styleId="29">
    <w:name w:val="List Number 3"/>
    <w:basedOn w:val="1"/>
    <w:qFormat/>
    <w:uiPriority w:val="0"/>
    <w:pPr>
      <w:tabs>
        <w:tab w:val="left" w:pos="1200"/>
      </w:tabs>
      <w:ind w:left="1200" w:leftChars="400" w:hanging="360" w:hangingChars="200"/>
    </w:pPr>
    <w:rPr>
      <w:rFonts w:ascii="等线" w:hAnsi="等线" w:eastAsia="等线" w:cs="等线"/>
    </w:rPr>
  </w:style>
  <w:style w:type="paragraph" w:styleId="30">
    <w:name w:val="List 2"/>
    <w:basedOn w:val="1"/>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1">
    <w:name w:val="Block Text"/>
    <w:basedOn w:val="1"/>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2">
    <w:name w:val="List Bullet 2"/>
    <w:basedOn w:val="1"/>
    <w:qFormat/>
    <w:uiPriority w:val="0"/>
    <w:pPr>
      <w:tabs>
        <w:tab w:val="left" w:pos="780"/>
      </w:tabs>
      <w:spacing w:line="360" w:lineRule="auto"/>
      <w:ind w:left="780" w:leftChars="200" w:hanging="360" w:hangingChars="200"/>
    </w:pPr>
    <w:rPr>
      <w:rFonts w:ascii="等线" w:hAnsi="等线" w:eastAsia="等线" w:cs="等线"/>
    </w:rPr>
  </w:style>
  <w:style w:type="paragraph" w:styleId="33">
    <w:name w:val="toc 5"/>
    <w:basedOn w:val="1"/>
    <w:next w:val="1"/>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4">
    <w:name w:val="toc 3"/>
    <w:basedOn w:val="1"/>
    <w:next w:val="1"/>
    <w:qFormat/>
    <w:uiPriority w:val="39"/>
    <w:pPr>
      <w:ind w:left="840" w:leftChars="400"/>
    </w:pPr>
  </w:style>
  <w:style w:type="paragraph" w:styleId="35">
    <w:name w:val="Plain Text"/>
    <w:basedOn w:val="1"/>
    <w:next w:val="36"/>
    <w:link w:val="90"/>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6">
    <w:name w:val="toc 2"/>
    <w:basedOn w:val="1"/>
    <w:next w:val="1"/>
    <w:qFormat/>
    <w:uiPriority w:val="39"/>
    <w:pPr>
      <w:ind w:left="420" w:leftChars="200"/>
    </w:pPr>
  </w:style>
  <w:style w:type="paragraph" w:styleId="37">
    <w:name w:val="List Number 4"/>
    <w:basedOn w:val="1"/>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8">
    <w:name w:val="toc 8"/>
    <w:basedOn w:val="1"/>
    <w:next w:val="1"/>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9">
    <w:name w:val="Date"/>
    <w:basedOn w:val="1"/>
    <w:next w:val="1"/>
    <w:link w:val="83"/>
    <w:qFormat/>
    <w:uiPriority w:val="0"/>
    <w:pPr>
      <w:ind w:left="100" w:leftChars="2500"/>
    </w:pPr>
  </w:style>
  <w:style w:type="paragraph" w:styleId="40">
    <w:name w:val="Body Text Indent 2"/>
    <w:basedOn w:val="1"/>
    <w:link w:val="304"/>
    <w:qFormat/>
    <w:uiPriority w:val="0"/>
    <w:pPr>
      <w:spacing w:line="500" w:lineRule="exact"/>
      <w:ind w:firstLine="511" w:firstLineChars="213"/>
    </w:pPr>
    <w:rPr>
      <w:sz w:val="24"/>
    </w:rPr>
  </w:style>
  <w:style w:type="paragraph" w:styleId="41">
    <w:name w:val="endnote text"/>
    <w:basedOn w:val="1"/>
    <w:link w:val="757"/>
    <w:unhideWhenUsed/>
    <w:qFormat/>
    <w:uiPriority w:val="1"/>
    <w:pPr>
      <w:snapToGrid w:val="0"/>
      <w:spacing w:line="360" w:lineRule="auto"/>
      <w:ind w:firstLine="200" w:firstLineChars="200"/>
      <w:jc w:val="left"/>
    </w:pPr>
    <w:rPr>
      <w:sz w:val="28"/>
    </w:rPr>
  </w:style>
  <w:style w:type="paragraph" w:styleId="42">
    <w:name w:val="Balloon Text"/>
    <w:basedOn w:val="1"/>
    <w:link w:val="267"/>
    <w:qFormat/>
    <w:uiPriority w:val="0"/>
    <w:rPr>
      <w:sz w:val="18"/>
      <w:szCs w:val="18"/>
    </w:rPr>
  </w:style>
  <w:style w:type="paragraph" w:styleId="43">
    <w:name w:val="footer"/>
    <w:basedOn w:val="1"/>
    <w:link w:val="87"/>
    <w:qFormat/>
    <w:uiPriority w:val="99"/>
    <w:pPr>
      <w:tabs>
        <w:tab w:val="center" w:pos="4153"/>
        <w:tab w:val="right" w:pos="8306"/>
      </w:tabs>
      <w:snapToGrid w:val="0"/>
      <w:jc w:val="left"/>
    </w:pPr>
    <w:rPr>
      <w:sz w:val="18"/>
      <w:szCs w:val="18"/>
    </w:rPr>
  </w:style>
  <w:style w:type="paragraph" w:styleId="44">
    <w:name w:val="header"/>
    <w:basedOn w:val="1"/>
    <w:link w:val="37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439"/>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6">
    <w:name w:val="toc 1"/>
    <w:basedOn w:val="1"/>
    <w:next w:val="1"/>
    <w:qFormat/>
    <w:uiPriority w:val="39"/>
    <w:pPr>
      <w:tabs>
        <w:tab w:val="right" w:leader="dot" w:pos="9628"/>
      </w:tabs>
      <w:spacing w:line="480" w:lineRule="auto"/>
    </w:pPr>
    <w:rPr>
      <w:rFonts w:ascii="Arial" w:hAnsi="Arial" w:eastAsia="新宋体" w:cs="Arial"/>
      <w:bCs/>
      <w:sz w:val="24"/>
    </w:rPr>
  </w:style>
  <w:style w:type="paragraph" w:styleId="47">
    <w:name w:val="toc 4"/>
    <w:basedOn w:val="1"/>
    <w:next w:val="1"/>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8">
    <w:name w:val="Subtitle"/>
    <w:basedOn w:val="1"/>
    <w:next w:val="1"/>
    <w:link w:val="435"/>
    <w:qFormat/>
    <w:uiPriority w:val="0"/>
    <w:pPr>
      <w:spacing w:before="240" w:after="60" w:line="312" w:lineRule="auto"/>
      <w:jc w:val="center"/>
      <w:outlineLvl w:val="1"/>
    </w:pPr>
    <w:rPr>
      <w:rFonts w:ascii="Verdana" w:hAnsi="Verdana" w:eastAsia="仿宋_GB2312"/>
      <w:b/>
      <w:bCs/>
      <w:kern w:val="28"/>
      <w:sz w:val="32"/>
      <w:szCs w:val="32"/>
    </w:rPr>
  </w:style>
  <w:style w:type="paragraph" w:styleId="49">
    <w:name w:val="List Number 5"/>
    <w:basedOn w:val="1"/>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50">
    <w:name w:val="footnote text"/>
    <w:basedOn w:val="1"/>
    <w:link w:val="434"/>
    <w:qFormat/>
    <w:uiPriority w:val="0"/>
    <w:pPr>
      <w:snapToGrid w:val="0"/>
      <w:spacing w:line="360" w:lineRule="auto"/>
      <w:ind w:firstLine="200" w:firstLineChars="200"/>
      <w:jc w:val="left"/>
    </w:pPr>
    <w:rPr>
      <w:rFonts w:ascii="等线" w:hAnsi="等线" w:eastAsia="等线" w:cs="等线"/>
      <w:sz w:val="18"/>
      <w:szCs w:val="18"/>
    </w:rPr>
  </w:style>
  <w:style w:type="paragraph" w:styleId="51">
    <w:name w:val="Body Text Indent 3"/>
    <w:basedOn w:val="1"/>
    <w:link w:val="201"/>
    <w:qFormat/>
    <w:uiPriority w:val="0"/>
    <w:pPr>
      <w:spacing w:line="500" w:lineRule="exact"/>
      <w:ind w:left="511" w:hanging="511" w:hangingChars="213"/>
    </w:pPr>
    <w:rPr>
      <w:sz w:val="24"/>
    </w:rPr>
  </w:style>
  <w:style w:type="paragraph" w:styleId="52">
    <w:name w:val="table of figures"/>
    <w:basedOn w:val="1"/>
    <w:next w:val="1"/>
    <w:qFormat/>
    <w:uiPriority w:val="0"/>
    <w:pPr>
      <w:spacing w:line="360" w:lineRule="auto"/>
      <w:ind w:left="840" w:leftChars="200" w:hanging="420" w:hangingChars="200"/>
    </w:pPr>
    <w:rPr>
      <w:rFonts w:ascii="等线" w:hAnsi="等线" w:eastAsia="等线" w:cs="等线"/>
      <w:szCs w:val="20"/>
    </w:rPr>
  </w:style>
  <w:style w:type="paragraph" w:styleId="53">
    <w:name w:val="toc 9"/>
    <w:basedOn w:val="1"/>
    <w:next w:val="1"/>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4">
    <w:name w:val="Body Text 2"/>
    <w:basedOn w:val="1"/>
    <w:link w:val="433"/>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5">
    <w:name w:val="Message Header"/>
    <w:basedOn w:val="1"/>
    <w:link w:val="436"/>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6">
    <w:name w:val="HTML Preformatted"/>
    <w:basedOn w:val="1"/>
    <w:link w:val="4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7">
    <w:name w:val="Normal (Web)"/>
    <w:basedOn w:val="1"/>
    <w:link w:val="164"/>
    <w:qFormat/>
    <w:uiPriority w:val="1"/>
    <w:pPr>
      <w:widowControl/>
      <w:spacing w:before="100" w:beforeAutospacing="1" w:after="100" w:afterAutospacing="1"/>
      <w:jc w:val="left"/>
    </w:pPr>
    <w:rPr>
      <w:rFonts w:ascii="宋体" w:hAnsi="宋体"/>
      <w:kern w:val="0"/>
      <w:sz w:val="24"/>
    </w:rPr>
  </w:style>
  <w:style w:type="paragraph" w:styleId="58">
    <w:name w:val="index 1"/>
    <w:basedOn w:val="1"/>
    <w:next w:val="1"/>
    <w:qFormat/>
    <w:uiPriority w:val="0"/>
    <w:pPr>
      <w:spacing w:line="360" w:lineRule="auto"/>
      <w:ind w:firstLine="200" w:firstLineChars="200"/>
    </w:pPr>
    <w:rPr>
      <w:rFonts w:ascii="等线" w:hAnsi="等线" w:eastAsia="等线" w:cs="等线"/>
      <w:szCs w:val="20"/>
    </w:rPr>
  </w:style>
  <w:style w:type="paragraph" w:styleId="59">
    <w:name w:val="Title"/>
    <w:basedOn w:val="1"/>
    <w:link w:val="155"/>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0">
    <w:name w:val="annotation subject"/>
    <w:basedOn w:val="23"/>
    <w:next w:val="23"/>
    <w:link w:val="168"/>
    <w:qFormat/>
    <w:uiPriority w:val="1"/>
    <w:rPr>
      <w:b/>
      <w:bCs/>
    </w:rPr>
  </w:style>
  <w:style w:type="paragraph" w:styleId="61">
    <w:name w:val="Body Text First Indent 2"/>
    <w:basedOn w:val="27"/>
    <w:next w:val="1"/>
    <w:link w:val="437"/>
    <w:unhideWhenUsed/>
    <w:qFormat/>
    <w:uiPriority w:val="0"/>
    <w:pPr>
      <w:spacing w:after="120"/>
      <w:ind w:left="420" w:leftChars="200" w:firstLine="420" w:firstLineChars="20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qFormat/>
    <w:uiPriority w:val="0"/>
    <w:rPr>
      <w:b/>
      <w:bCs/>
    </w:rPr>
  </w:style>
  <w:style w:type="character" w:styleId="67">
    <w:name w:val="endnote reference"/>
    <w:unhideWhenUsed/>
    <w:qFormat/>
    <w:uiPriority w:val="1"/>
    <w:rPr>
      <w:vertAlign w:val="superscript"/>
    </w:rPr>
  </w:style>
  <w:style w:type="character" w:styleId="68">
    <w:name w:val="page number"/>
    <w:basedOn w:val="65"/>
    <w:qFormat/>
    <w:uiPriority w:val="0"/>
  </w:style>
  <w:style w:type="character" w:styleId="69">
    <w:name w:val="FollowedHyperlink"/>
    <w:qFormat/>
    <w:uiPriority w:val="0"/>
    <w:rPr>
      <w:color w:val="800080"/>
      <w:u w:val="single"/>
    </w:rPr>
  </w:style>
  <w:style w:type="character" w:styleId="70">
    <w:name w:val="Emphasis"/>
    <w:qFormat/>
    <w:uiPriority w:val="1"/>
    <w:rPr>
      <w:i/>
      <w:iCs/>
    </w:rPr>
  </w:style>
  <w:style w:type="character" w:styleId="71">
    <w:name w:val="line number"/>
    <w:basedOn w:val="65"/>
    <w:qFormat/>
    <w:uiPriority w:val="0"/>
  </w:style>
  <w:style w:type="character" w:styleId="72">
    <w:name w:val="Hyperlink"/>
    <w:basedOn w:val="65"/>
    <w:qFormat/>
    <w:uiPriority w:val="99"/>
    <w:rPr>
      <w:color w:val="000000"/>
      <w:sz w:val="20"/>
      <w:szCs w:val="20"/>
      <w:u w:val="none"/>
    </w:rPr>
  </w:style>
  <w:style w:type="character" w:styleId="73">
    <w:name w:val="annotation reference"/>
    <w:qFormat/>
    <w:uiPriority w:val="1"/>
    <w:rPr>
      <w:sz w:val="21"/>
      <w:szCs w:val="21"/>
    </w:rPr>
  </w:style>
  <w:style w:type="character" w:styleId="74">
    <w:name w:val="HTML Cite"/>
    <w:qFormat/>
    <w:uiPriority w:val="0"/>
    <w:rPr>
      <w:color w:val="008000"/>
    </w:rPr>
  </w:style>
  <w:style w:type="paragraph" w:customStyle="1" w:styleId="75">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样式 正文首行缩进 2 + 首行缩进:  2 字符"/>
    <w:basedOn w:val="1"/>
    <w:qFormat/>
    <w:uiPriority w:val="0"/>
    <w:pPr>
      <w:widowControl/>
      <w:adjustRightInd/>
      <w:snapToGrid/>
      <w:ind w:firstLine="480"/>
      <w:jc w:val="left"/>
    </w:pPr>
    <w:rPr>
      <w:rFonts w:asciiTheme="minorHAnsi" w:hAnsiTheme="minorHAnsi" w:eastAsiaTheme="minorEastAsia"/>
      <w:sz w:val="24"/>
      <w:szCs w:val="21"/>
    </w:rPr>
  </w:style>
  <w:style w:type="character" w:customStyle="1" w:styleId="77">
    <w:name w:val="标题 1 字符1"/>
    <w:link w:val="6"/>
    <w:qFormat/>
    <w:uiPriority w:val="9"/>
    <w:rPr>
      <w:rFonts w:ascii="楷体_GB2312" w:eastAsia="楷体_GB2312"/>
      <w:b/>
      <w:bCs/>
      <w:kern w:val="2"/>
      <w:sz w:val="21"/>
      <w:szCs w:val="24"/>
    </w:rPr>
  </w:style>
  <w:style w:type="character" w:customStyle="1" w:styleId="78">
    <w:name w:val="标题 2 字符"/>
    <w:link w:val="7"/>
    <w:qFormat/>
    <w:uiPriority w:val="9"/>
    <w:rPr>
      <w:rFonts w:ascii="Cambria" w:hAnsi="Cambria" w:eastAsia="宋体" w:cs="Times New Roman"/>
      <w:b/>
      <w:bCs/>
      <w:kern w:val="2"/>
      <w:sz w:val="32"/>
      <w:szCs w:val="32"/>
    </w:rPr>
  </w:style>
  <w:style w:type="character" w:customStyle="1" w:styleId="79">
    <w:name w:val="标题 3 字符1"/>
    <w:link w:val="8"/>
    <w:qFormat/>
    <w:uiPriority w:val="9"/>
    <w:rPr>
      <w:b/>
      <w:bCs/>
      <w:kern w:val="2"/>
      <w:sz w:val="32"/>
      <w:szCs w:val="32"/>
      <w:lang w:bidi="ar-SA"/>
    </w:rPr>
  </w:style>
  <w:style w:type="character" w:customStyle="1" w:styleId="80">
    <w:name w:val="标题 4 字符1"/>
    <w:link w:val="9"/>
    <w:qFormat/>
    <w:uiPriority w:val="0"/>
    <w:rPr>
      <w:rFonts w:ascii="Cambria" w:hAnsi="Cambria" w:eastAsia="宋体"/>
      <w:b/>
      <w:bCs/>
      <w:kern w:val="2"/>
      <w:sz w:val="28"/>
      <w:szCs w:val="28"/>
      <w:lang w:bidi="ar-SA"/>
    </w:rPr>
  </w:style>
  <w:style w:type="character" w:customStyle="1" w:styleId="81">
    <w:name w:val="标题 5 字符1"/>
    <w:link w:val="10"/>
    <w:qFormat/>
    <w:uiPriority w:val="9"/>
    <w:rPr>
      <w:b/>
      <w:bCs/>
      <w:kern w:val="2"/>
      <w:sz w:val="28"/>
      <w:szCs w:val="28"/>
    </w:rPr>
  </w:style>
  <w:style w:type="character" w:customStyle="1" w:styleId="82">
    <w:name w:val="标题 6 字符1"/>
    <w:link w:val="11"/>
    <w:qFormat/>
    <w:uiPriority w:val="9"/>
    <w:rPr>
      <w:rFonts w:ascii="Cambria" w:hAnsi="Cambria" w:eastAsia="宋体" w:cs="Times New Roman"/>
      <w:b/>
      <w:bCs/>
      <w:kern w:val="2"/>
      <w:sz w:val="24"/>
      <w:szCs w:val="24"/>
    </w:rPr>
  </w:style>
  <w:style w:type="character" w:customStyle="1" w:styleId="83">
    <w:name w:val="日期 字符"/>
    <w:link w:val="39"/>
    <w:qFormat/>
    <w:uiPriority w:val="0"/>
    <w:rPr>
      <w:kern w:val="2"/>
      <w:sz w:val="21"/>
      <w:szCs w:val="24"/>
    </w:rPr>
  </w:style>
  <w:style w:type="character" w:customStyle="1" w:styleId="84">
    <w:name w:val="样式6 列表并列 Char"/>
    <w:link w:val="85"/>
    <w:qFormat/>
    <w:locked/>
    <w:uiPriority w:val="0"/>
    <w:rPr>
      <w:rFonts w:ascii="Arial" w:hAnsi="Arial" w:cs="Arial"/>
      <w:kern w:val="21"/>
      <w:sz w:val="21"/>
      <w:szCs w:val="24"/>
    </w:rPr>
  </w:style>
  <w:style w:type="paragraph" w:customStyle="1" w:styleId="85">
    <w:name w:val="样式6 列表并列"/>
    <w:link w:val="84"/>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6">
    <w:name w:val="Texte Char Char"/>
    <w:qFormat/>
    <w:uiPriority w:val="0"/>
    <w:rPr>
      <w:rFonts w:ascii="宋体" w:hAnsi="Courier New" w:eastAsia="宋体"/>
      <w:sz w:val="21"/>
      <w:szCs w:val="21"/>
      <w:lang w:val="en-US" w:eastAsia="zh-CN" w:bidi="ar-SA"/>
    </w:rPr>
  </w:style>
  <w:style w:type="character" w:customStyle="1" w:styleId="87">
    <w:name w:val="页脚 字符"/>
    <w:link w:val="43"/>
    <w:qFormat/>
    <w:uiPriority w:val="99"/>
    <w:rPr>
      <w:kern w:val="2"/>
      <w:sz w:val="18"/>
      <w:szCs w:val="18"/>
    </w:rPr>
  </w:style>
  <w:style w:type="character" w:customStyle="1" w:styleId="88">
    <w:name w:val="正文文本 字符1"/>
    <w:link w:val="2"/>
    <w:qFormat/>
    <w:uiPriority w:val="99"/>
    <w:rPr>
      <w:kern w:val="2"/>
      <w:sz w:val="21"/>
      <w:szCs w:val="24"/>
    </w:rPr>
  </w:style>
  <w:style w:type="character" w:customStyle="1" w:styleId="89">
    <w:name w:val="正文文本缩进 字符1"/>
    <w:link w:val="27"/>
    <w:qFormat/>
    <w:uiPriority w:val="0"/>
    <w:rPr>
      <w:kern w:val="2"/>
      <w:sz w:val="24"/>
      <w:szCs w:val="24"/>
    </w:rPr>
  </w:style>
  <w:style w:type="character" w:customStyle="1" w:styleId="90">
    <w:name w:val="纯文本 字符1"/>
    <w:link w:val="35"/>
    <w:qFormat/>
    <w:uiPriority w:val="0"/>
    <w:rPr>
      <w:rFonts w:ascii="宋体" w:hAnsi="Courier New" w:eastAsia="宋体"/>
      <w:sz w:val="21"/>
      <w:szCs w:val="21"/>
      <w:lang w:val="en-US" w:eastAsia="zh-CN" w:bidi="ar-SA"/>
    </w:rPr>
  </w:style>
  <w:style w:type="character" w:customStyle="1" w:styleId="91">
    <w:name w:val="font31"/>
    <w:qFormat/>
    <w:uiPriority w:val="0"/>
    <w:rPr>
      <w:rFonts w:hint="eastAsia" w:ascii="新宋体" w:hAnsi="新宋体" w:eastAsia="新宋体" w:cs="新宋体"/>
      <w:color w:val="000000"/>
      <w:sz w:val="22"/>
      <w:szCs w:val="22"/>
      <w:u w:val="none"/>
    </w:rPr>
  </w:style>
  <w:style w:type="character" w:customStyle="1" w:styleId="92">
    <w:name w:val="style21"/>
    <w:qFormat/>
    <w:uiPriority w:val="0"/>
    <w:rPr>
      <w:sz w:val="15"/>
      <w:szCs w:val="15"/>
    </w:rPr>
  </w:style>
  <w:style w:type="character" w:customStyle="1" w:styleId="93">
    <w:name w:val="BZ_正文 Char"/>
    <w:link w:val="94"/>
    <w:qFormat/>
    <w:uiPriority w:val="0"/>
    <w:rPr>
      <w:rFonts w:ascii="宋体" w:hAnsi="宋体" w:eastAsia="宋体"/>
      <w:kern w:val="2"/>
      <w:sz w:val="24"/>
      <w:szCs w:val="24"/>
    </w:rPr>
  </w:style>
  <w:style w:type="paragraph" w:customStyle="1" w:styleId="94">
    <w:name w:val="BZ_正文"/>
    <w:basedOn w:val="1"/>
    <w:link w:val="93"/>
    <w:qFormat/>
    <w:uiPriority w:val="0"/>
    <w:pPr>
      <w:widowControl/>
      <w:spacing w:line="360" w:lineRule="auto"/>
      <w:ind w:firstLine="480" w:firstLineChars="200"/>
    </w:pPr>
    <w:rPr>
      <w:rFonts w:ascii="宋体" w:hAnsi="宋体"/>
      <w:sz w:val="24"/>
      <w:shd w:val="clear" w:color="auto" w:fill="FFFFFF"/>
    </w:rPr>
  </w:style>
  <w:style w:type="character" w:customStyle="1" w:styleId="95">
    <w:name w:val="Char Char Char"/>
    <w:qFormat/>
    <w:uiPriority w:val="0"/>
    <w:rPr>
      <w:rFonts w:ascii="宋体" w:hAnsi="Courier New" w:eastAsia="宋体"/>
      <w:sz w:val="21"/>
      <w:szCs w:val="21"/>
      <w:lang w:val="en-US" w:eastAsia="zh-CN" w:bidi="ar-SA"/>
    </w:rPr>
  </w:style>
  <w:style w:type="character" w:customStyle="1" w:styleId="96">
    <w:name w:val="font21"/>
    <w:qFormat/>
    <w:uiPriority w:val="0"/>
    <w:rPr>
      <w:rFonts w:hint="eastAsia" w:ascii="宋体" w:hAnsi="宋体" w:eastAsia="宋体" w:cs="宋体"/>
      <w:b/>
      <w:color w:val="000000"/>
      <w:sz w:val="21"/>
      <w:szCs w:val="21"/>
      <w:u w:val="none"/>
    </w:rPr>
  </w:style>
  <w:style w:type="character" w:customStyle="1" w:styleId="97">
    <w:name w:val="font11"/>
    <w:qFormat/>
    <w:uiPriority w:val="0"/>
    <w:rPr>
      <w:rFonts w:hint="default" w:ascii="Times New Roman" w:hAnsi="Times New Roman" w:eastAsia="仿宋_GB2312" w:cs="Times New Roman"/>
      <w:b/>
      <w:color w:val="000000"/>
      <w:sz w:val="21"/>
      <w:szCs w:val="21"/>
      <w:u w:val="none"/>
    </w:rPr>
  </w:style>
  <w:style w:type="character" w:customStyle="1" w:styleId="98">
    <w:name w:val="正文1 Char"/>
    <w:link w:val="99"/>
    <w:qFormat/>
    <w:uiPriority w:val="0"/>
    <w:rPr>
      <w:sz w:val="24"/>
      <w:lang w:val="en-US" w:eastAsia="zh-CN" w:bidi="ar-SA"/>
    </w:rPr>
  </w:style>
  <w:style w:type="paragraph" w:customStyle="1" w:styleId="99">
    <w:name w:val="正文1"/>
    <w:link w:val="98"/>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100">
    <w:name w:val="正文文本首行缩进 字符"/>
    <w:basedOn w:val="88"/>
    <w:link w:val="3"/>
    <w:qFormat/>
    <w:uiPriority w:val="0"/>
    <w:rPr>
      <w:kern w:val="2"/>
      <w:sz w:val="21"/>
      <w:szCs w:val="24"/>
    </w:rPr>
  </w:style>
  <w:style w:type="character" w:customStyle="1" w:styleId="101">
    <w:name w:val="正文缩进 字符1"/>
    <w:link w:val="18"/>
    <w:qFormat/>
    <w:uiPriority w:val="0"/>
    <w:rPr>
      <w:rFonts w:eastAsia="宋体"/>
      <w:sz w:val="21"/>
      <w:lang w:val="en-US" w:eastAsia="zh-CN" w:bidi="ar-SA"/>
    </w:rPr>
  </w:style>
  <w:style w:type="character" w:customStyle="1" w:styleId="102">
    <w:name w:val="BZ_题注_图 Char"/>
    <w:link w:val="103"/>
    <w:qFormat/>
    <w:uiPriority w:val="0"/>
    <w:rPr>
      <w:rFonts w:eastAsia="黑体"/>
      <w:kern w:val="2"/>
      <w:sz w:val="21"/>
      <w:szCs w:val="21"/>
    </w:rPr>
  </w:style>
  <w:style w:type="paragraph" w:customStyle="1" w:styleId="103">
    <w:name w:val="BZ_题注_图"/>
    <w:basedOn w:val="19"/>
    <w:next w:val="1"/>
    <w:link w:val="102"/>
    <w:qFormat/>
    <w:uiPriority w:val="0"/>
    <w:pPr>
      <w:widowControl/>
      <w:spacing w:beforeLines="50" w:afterLines="50"/>
      <w:jc w:val="center"/>
    </w:pPr>
    <w:rPr>
      <w:rFonts w:ascii="Times New Roman" w:hAnsi="Times New Roman"/>
      <w:sz w:val="21"/>
      <w:szCs w:val="21"/>
    </w:rPr>
  </w:style>
  <w:style w:type="character" w:customStyle="1" w:styleId="104">
    <w:name w:val="文档正文 Char"/>
    <w:link w:val="105"/>
    <w:qFormat/>
    <w:uiPriority w:val="0"/>
    <w:rPr>
      <w:rFonts w:ascii="Tahoma" w:hAnsi="Tahoma" w:eastAsia="仿宋_GB2312"/>
      <w:sz w:val="28"/>
      <w:lang w:val="en-US" w:eastAsia="zh-CN" w:bidi="ar-SA"/>
    </w:rPr>
  </w:style>
  <w:style w:type="paragraph" w:customStyle="1" w:styleId="105">
    <w:name w:val="文档正文"/>
    <w:basedOn w:val="1"/>
    <w:link w:val="104"/>
    <w:qFormat/>
    <w:uiPriority w:val="0"/>
    <w:pPr>
      <w:spacing w:line="360" w:lineRule="auto"/>
      <w:ind w:firstLine="480" w:firstLineChars="200"/>
    </w:pPr>
    <w:rPr>
      <w:rFonts w:ascii="Tahoma" w:hAnsi="Tahoma" w:eastAsia="仿宋_GB2312"/>
      <w:kern w:val="0"/>
      <w:sz w:val="28"/>
      <w:szCs w:val="20"/>
    </w:rPr>
  </w:style>
  <w:style w:type="character" w:customStyle="1" w:styleId="106">
    <w:name w:val="unnamed51"/>
    <w:qFormat/>
    <w:uiPriority w:val="0"/>
    <w:rPr>
      <w:sz w:val="22"/>
      <w:szCs w:val="22"/>
    </w:rPr>
  </w:style>
  <w:style w:type="character" w:customStyle="1" w:styleId="107">
    <w:name w:val="Char Char2"/>
    <w:qFormat/>
    <w:uiPriority w:val="0"/>
    <w:rPr>
      <w:rFonts w:ascii="宋体" w:hAnsi="Courier New" w:eastAsia="宋体"/>
      <w:kern w:val="2"/>
      <w:sz w:val="21"/>
      <w:lang w:val="en-US" w:eastAsia="zh-CN"/>
    </w:rPr>
  </w:style>
  <w:style w:type="character" w:customStyle="1" w:styleId="108">
    <w:name w:val="BZ_三级标题 Char"/>
    <w:link w:val="109"/>
    <w:qFormat/>
    <w:uiPriority w:val="0"/>
    <w:rPr>
      <w:rFonts w:eastAsia="黑体"/>
      <w:b/>
      <w:bCs/>
      <w:kern w:val="2"/>
      <w:sz w:val="28"/>
      <w:szCs w:val="28"/>
    </w:rPr>
  </w:style>
  <w:style w:type="paragraph" w:customStyle="1" w:styleId="109">
    <w:name w:val="BZ_三级标题"/>
    <w:basedOn w:val="8"/>
    <w:next w:val="94"/>
    <w:link w:val="108"/>
    <w:qFormat/>
    <w:uiPriority w:val="0"/>
    <w:pPr>
      <w:spacing w:line="240" w:lineRule="auto"/>
      <w:ind w:left="720" w:hanging="720"/>
    </w:pPr>
    <w:rPr>
      <w:rFonts w:eastAsia="黑体"/>
      <w:sz w:val="28"/>
      <w:szCs w:val="28"/>
    </w:rPr>
  </w:style>
  <w:style w:type="character" w:customStyle="1" w:styleId="110">
    <w:name w:val="哈哈正文 Char"/>
    <w:link w:val="111"/>
    <w:qFormat/>
    <w:uiPriority w:val="0"/>
    <w:rPr>
      <w:rFonts w:ascii="宋体" w:hAnsi="宋体" w:eastAsia="宋体" w:cs="宋体"/>
      <w:kern w:val="2"/>
      <w:sz w:val="24"/>
      <w:lang w:val="en-US" w:eastAsia="zh-CN" w:bidi="ar-SA"/>
    </w:rPr>
  </w:style>
  <w:style w:type="paragraph" w:customStyle="1" w:styleId="111">
    <w:name w:val="哈哈正文"/>
    <w:basedOn w:val="1"/>
    <w:link w:val="110"/>
    <w:qFormat/>
    <w:uiPriority w:val="0"/>
    <w:pPr>
      <w:spacing w:line="360" w:lineRule="auto"/>
      <w:ind w:firstLine="200" w:firstLineChars="200"/>
    </w:pPr>
    <w:rPr>
      <w:rFonts w:ascii="宋体" w:hAnsi="宋体" w:cs="宋体"/>
      <w:sz w:val="24"/>
      <w:szCs w:val="20"/>
    </w:rPr>
  </w:style>
  <w:style w:type="character" w:customStyle="1" w:styleId="112">
    <w:name w:val="批注文字 字符"/>
    <w:link w:val="23"/>
    <w:qFormat/>
    <w:uiPriority w:val="1"/>
    <w:rPr>
      <w:kern w:val="2"/>
      <w:sz w:val="21"/>
      <w:szCs w:val="24"/>
    </w:rPr>
  </w:style>
  <w:style w:type="character" w:customStyle="1" w:styleId="113">
    <w:name w:val="fontstyle01"/>
    <w:qFormat/>
    <w:uiPriority w:val="0"/>
    <w:rPr>
      <w:rFonts w:hint="eastAsia" w:ascii="楷体" w:hAnsi="楷体" w:eastAsia="楷体"/>
      <w:color w:val="000000"/>
      <w:sz w:val="24"/>
      <w:szCs w:val="24"/>
    </w:rPr>
  </w:style>
  <w:style w:type="character" w:customStyle="1" w:styleId="114">
    <w:name w:val="List Paragraph Char"/>
    <w:link w:val="115"/>
    <w:qFormat/>
    <w:uiPriority w:val="0"/>
    <w:rPr>
      <w:rFonts w:ascii="Calibri" w:hAnsi="Calibri" w:eastAsia="宋体"/>
      <w:kern w:val="2"/>
      <w:sz w:val="21"/>
      <w:szCs w:val="22"/>
      <w:lang w:val="en-US" w:eastAsia="zh-CN" w:bidi="ar-SA"/>
    </w:rPr>
  </w:style>
  <w:style w:type="paragraph" w:customStyle="1" w:styleId="115">
    <w:name w:val="列出段落1"/>
    <w:basedOn w:val="1"/>
    <w:link w:val="114"/>
    <w:qFormat/>
    <w:uiPriority w:val="0"/>
    <w:pPr>
      <w:ind w:firstLine="420" w:firstLineChars="200"/>
    </w:pPr>
    <w:rPr>
      <w:rFonts w:ascii="Calibri" w:hAnsi="Calibri"/>
      <w:szCs w:val="22"/>
    </w:rPr>
  </w:style>
  <w:style w:type="paragraph" w:customStyle="1" w:styleId="116">
    <w:name w:val="正文2"/>
    <w:basedOn w:val="1"/>
    <w:qFormat/>
    <w:uiPriority w:val="0"/>
    <w:pPr>
      <w:spacing w:before="156" w:line="360" w:lineRule="auto"/>
      <w:ind w:firstLine="510" w:firstLineChars="200"/>
    </w:pPr>
    <w:rPr>
      <w:sz w:val="24"/>
      <w:szCs w:val="20"/>
    </w:rPr>
  </w:style>
  <w:style w:type="paragraph" w:customStyle="1" w:styleId="117">
    <w:name w:val="Char Char Char Char"/>
    <w:basedOn w:val="21"/>
    <w:qFormat/>
    <w:uiPriority w:val="0"/>
    <w:rPr>
      <w:rFonts w:ascii="Tahoma" w:hAnsi="Tahoma"/>
      <w:sz w:val="24"/>
    </w:rPr>
  </w:style>
  <w:style w:type="paragraph" w:customStyle="1" w:styleId="118">
    <w:name w:val="Char1 Char Char Char"/>
    <w:basedOn w:val="1"/>
    <w:qFormat/>
    <w:uiPriority w:val="0"/>
    <w:rPr>
      <w:rFonts w:ascii="Tahoma" w:hAnsi="Tahoma"/>
      <w:sz w:val="24"/>
      <w:szCs w:val="20"/>
    </w:rPr>
  </w:style>
  <w:style w:type="paragraph" w:customStyle="1" w:styleId="119">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1">
    <w:name w:val="Char Char Char Char Char Char Char Char Char Char Char Char Char1"/>
    <w:basedOn w:val="1"/>
    <w:qFormat/>
    <w:uiPriority w:val="0"/>
    <w:rPr>
      <w:rFonts w:ascii="Tahoma" w:hAnsi="Tahoma"/>
      <w:sz w:val="24"/>
      <w:szCs w:val="20"/>
    </w:rPr>
  </w:style>
  <w:style w:type="paragraph" w:styleId="122">
    <w:name w:val="List Paragraph"/>
    <w:basedOn w:val="1"/>
    <w:qFormat/>
    <w:uiPriority w:val="0"/>
    <w:pPr>
      <w:ind w:firstLine="420" w:firstLineChars="200"/>
    </w:pPr>
  </w:style>
  <w:style w:type="paragraph" w:customStyle="1" w:styleId="123">
    <w:name w:val="BZ_六级标题"/>
    <w:basedOn w:val="11"/>
    <w:next w:val="94"/>
    <w:qFormat/>
    <w:uiPriority w:val="0"/>
    <w:pPr>
      <w:widowControl/>
      <w:tabs>
        <w:tab w:val="left" w:pos="360"/>
      </w:tabs>
      <w:spacing w:beforeLines="50" w:afterLines="50" w:line="240" w:lineRule="auto"/>
    </w:pPr>
    <w:rPr>
      <w:rFonts w:eastAsia="黑体"/>
    </w:rPr>
  </w:style>
  <w:style w:type="paragraph" w:customStyle="1" w:styleId="124">
    <w:name w:val="正文－恩普"/>
    <w:basedOn w:val="18"/>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5">
    <w:name w:val="Char Char Char Char2"/>
    <w:basedOn w:val="21"/>
    <w:qFormat/>
    <w:uiPriority w:val="0"/>
  </w:style>
  <w:style w:type="paragraph" w:customStyle="1" w:styleId="126">
    <w:name w:val="默认段落字体 Para Char"/>
    <w:basedOn w:val="1"/>
    <w:qFormat/>
    <w:uiPriority w:val="0"/>
    <w:pPr>
      <w:tabs>
        <w:tab w:val="left" w:pos="360"/>
      </w:tabs>
      <w:adjustRightInd w:val="0"/>
      <w:textAlignment w:val="baseline"/>
    </w:pPr>
    <w:rPr>
      <w:kern w:val="0"/>
      <w:sz w:val="24"/>
      <w:szCs w:val="20"/>
    </w:rPr>
  </w:style>
  <w:style w:type="paragraph" w:customStyle="1" w:styleId="127">
    <w:name w:val="Char Char Char Char Char Char Char1"/>
    <w:basedOn w:val="1"/>
    <w:qFormat/>
    <w:uiPriority w:val="0"/>
    <w:rPr>
      <w:rFonts w:ascii="仿宋_GB2312" w:eastAsia="仿宋_GB2312"/>
      <w:b/>
      <w:sz w:val="32"/>
      <w:szCs w:val="32"/>
    </w:rPr>
  </w:style>
  <w:style w:type="paragraph" w:customStyle="1" w:styleId="128">
    <w:name w:val="简单回函地址"/>
    <w:basedOn w:val="1"/>
    <w:qFormat/>
    <w:uiPriority w:val="0"/>
  </w:style>
  <w:style w:type="paragraph" w:customStyle="1" w:styleId="129">
    <w:name w:val="Char Char7 Char"/>
    <w:basedOn w:val="1"/>
    <w:qFormat/>
    <w:uiPriority w:val="0"/>
    <w:pPr>
      <w:tabs>
        <w:tab w:val="left" w:pos="425"/>
      </w:tabs>
      <w:ind w:left="420" w:leftChars="200" w:firstLine="270" w:firstLineChars="150"/>
    </w:pPr>
  </w:style>
  <w:style w:type="paragraph" w:customStyle="1" w:styleId="130">
    <w:name w:val="BZ_一级标题"/>
    <w:basedOn w:val="6"/>
    <w:next w:val="94"/>
    <w:link w:val="174"/>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1">
    <w:name w:val="保留正文"/>
    <w:basedOn w:val="2"/>
    <w:qFormat/>
    <w:uiPriority w:val="0"/>
    <w:pPr>
      <w:keepNext/>
      <w:spacing w:after="160"/>
    </w:pPr>
  </w:style>
  <w:style w:type="paragraph" w:customStyle="1" w:styleId="132">
    <w:name w:val="Char Char Char Char Char Char Char"/>
    <w:basedOn w:val="1"/>
    <w:qFormat/>
    <w:uiPriority w:val="0"/>
    <w:rPr>
      <w:rFonts w:ascii="仿宋_GB2312" w:eastAsia="仿宋_GB2312"/>
      <w:b/>
      <w:sz w:val="32"/>
      <w:szCs w:val="32"/>
    </w:rPr>
  </w:style>
  <w:style w:type="paragraph" w:customStyle="1" w:styleId="133">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4">
    <w:name w:val="Char Char"/>
    <w:basedOn w:val="1"/>
    <w:qFormat/>
    <w:uiPriority w:val="0"/>
    <w:rPr>
      <w:rFonts w:ascii="仿宋_GB2312" w:eastAsia="仿宋_GB2312"/>
      <w:b/>
      <w:sz w:val="32"/>
      <w:szCs w:val="32"/>
    </w:rPr>
  </w:style>
  <w:style w:type="paragraph" w:customStyle="1" w:styleId="135">
    <w:name w:val="CM106"/>
    <w:basedOn w:val="136"/>
    <w:next w:val="136"/>
    <w:qFormat/>
    <w:uiPriority w:val="0"/>
    <w:rPr>
      <w:rFonts w:ascii="宋体" w:cs="Times New Roman"/>
      <w:color w:val="auto"/>
    </w:rPr>
  </w:style>
  <w:style w:type="paragraph" w:customStyle="1" w:styleId="136">
    <w:name w:val="Default"/>
    <w:next w:val="21"/>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7">
    <w:name w:val="Char Char Char Char1"/>
    <w:basedOn w:val="1"/>
    <w:qFormat/>
    <w:uiPriority w:val="0"/>
    <w:rPr>
      <w:rFonts w:ascii="Tahoma" w:hAnsi="Tahoma"/>
      <w:sz w:val="24"/>
      <w:szCs w:val="20"/>
    </w:rPr>
  </w:style>
  <w:style w:type="paragraph" w:customStyle="1" w:styleId="138">
    <w:name w:val="Char Char Char Char Char Char Char Char Char Char Char Char Char"/>
    <w:basedOn w:val="1"/>
    <w:qFormat/>
    <w:uiPriority w:val="0"/>
    <w:rPr>
      <w:rFonts w:ascii="Tahoma" w:hAnsi="Tahoma"/>
      <w:sz w:val="24"/>
      <w:szCs w:val="20"/>
    </w:rPr>
  </w:style>
  <w:style w:type="paragraph" w:customStyle="1" w:styleId="139">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140">
    <w:name w:val="BZ_五级标题"/>
    <w:basedOn w:val="10"/>
    <w:next w:val="94"/>
    <w:qFormat/>
    <w:uiPriority w:val="0"/>
    <w:pPr>
      <w:widowControl/>
      <w:spacing w:beforeLines="50" w:afterLines="50" w:line="240" w:lineRule="auto"/>
    </w:pPr>
    <w:rPr>
      <w:rFonts w:eastAsia="黑体"/>
      <w:b w:val="0"/>
      <w:sz w:val="24"/>
      <w:szCs w:val="24"/>
    </w:rPr>
  </w:style>
  <w:style w:type="paragraph" w:customStyle="1" w:styleId="141">
    <w:name w:val="Char Char Char Char Char Char Char Char Char Char Char Char Char2"/>
    <w:basedOn w:val="1"/>
    <w:qFormat/>
    <w:uiPriority w:val="0"/>
    <w:rPr>
      <w:rFonts w:ascii="Tahoma" w:hAnsi="Tahoma"/>
      <w:sz w:val="24"/>
      <w:szCs w:val="20"/>
    </w:rPr>
  </w:style>
  <w:style w:type="paragraph" w:customStyle="1" w:styleId="142">
    <w:name w:val="Char Char Char Char Char Char Char2"/>
    <w:basedOn w:val="1"/>
    <w:qFormat/>
    <w:uiPriority w:val="0"/>
    <w:rPr>
      <w:rFonts w:ascii="仿宋_GB2312" w:eastAsia="仿宋_GB2312"/>
      <w:b/>
      <w:sz w:val="32"/>
      <w:szCs w:val="32"/>
    </w:rPr>
  </w:style>
  <w:style w:type="paragraph" w:customStyle="1" w:styleId="143">
    <w:name w:val="1"/>
    <w:basedOn w:val="18"/>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4">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145">
    <w:name w:val="修订1"/>
    <w:qFormat/>
    <w:uiPriority w:val="99"/>
    <w:rPr>
      <w:rFonts w:ascii="Times New Roman" w:hAnsi="Times New Roman" w:eastAsia="宋体" w:cs="Times New Roman"/>
      <w:kern w:val="2"/>
      <w:sz w:val="21"/>
      <w:szCs w:val="24"/>
      <w:lang w:val="en-US" w:eastAsia="zh-CN" w:bidi="ar-SA"/>
    </w:rPr>
  </w:style>
  <w:style w:type="paragraph" w:customStyle="1" w:styleId="14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7">
    <w:name w:val="BZ_二级标题"/>
    <w:basedOn w:val="7"/>
    <w:next w:val="132"/>
    <w:qFormat/>
    <w:uiPriority w:val="0"/>
    <w:pPr>
      <w:widowControl/>
      <w:spacing w:beforeLines="50" w:afterLines="50" w:line="240" w:lineRule="auto"/>
      <w:ind w:left="576" w:hanging="576"/>
    </w:pPr>
    <w:rPr>
      <w:rFonts w:ascii="Times New Roman" w:hAnsi="Times New Roman" w:eastAsia="楷体"/>
    </w:rPr>
  </w:style>
  <w:style w:type="paragraph" w:customStyle="1" w:styleId="148">
    <w:name w:val="Char1 Char Char Char1"/>
    <w:basedOn w:val="1"/>
    <w:qFormat/>
    <w:uiPriority w:val="0"/>
    <w:rPr>
      <w:rFonts w:ascii="仿宋_GB2312" w:eastAsia="仿宋_GB2312"/>
      <w:b/>
      <w:sz w:val="32"/>
      <w:szCs w:val="32"/>
    </w:rPr>
  </w:style>
  <w:style w:type="character" w:customStyle="1" w:styleId="149">
    <w:name w:val="纯文本 Char1"/>
    <w:qFormat/>
    <w:uiPriority w:val="0"/>
    <w:rPr>
      <w:rFonts w:ascii="宋体" w:hAnsi="Courier New"/>
      <w:kern w:val="2"/>
      <w:sz w:val="21"/>
      <w:szCs w:val="24"/>
    </w:rPr>
  </w:style>
  <w:style w:type="paragraph" w:customStyle="1" w:styleId="150">
    <w:name w:val="样式6"/>
    <w:basedOn w:val="1"/>
    <w:qFormat/>
    <w:uiPriority w:val="0"/>
    <w:pPr>
      <w:spacing w:line="360" w:lineRule="auto"/>
      <w:ind w:firstLine="200" w:firstLineChars="200"/>
      <w:jc w:val="left"/>
    </w:pPr>
    <w:rPr>
      <w:sz w:val="24"/>
    </w:rPr>
  </w:style>
  <w:style w:type="paragraph" w:customStyle="1" w:styleId="151">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2">
    <w:name w:val="正文首行缩进2字符 Char"/>
    <w:link w:val="153"/>
    <w:qFormat/>
    <w:uiPriority w:val="0"/>
    <w:rPr>
      <w:rFonts w:eastAsia="仿宋"/>
      <w:sz w:val="28"/>
    </w:rPr>
  </w:style>
  <w:style w:type="paragraph" w:customStyle="1" w:styleId="153">
    <w:name w:val="正文首行缩进2字符"/>
    <w:basedOn w:val="1"/>
    <w:link w:val="152"/>
    <w:qFormat/>
    <w:locked/>
    <w:uiPriority w:val="0"/>
    <w:pPr>
      <w:spacing w:line="360" w:lineRule="auto"/>
      <w:ind w:firstLine="200" w:firstLineChars="200"/>
    </w:pPr>
    <w:rPr>
      <w:rFonts w:eastAsia="仿宋"/>
      <w:kern w:val="0"/>
      <w:sz w:val="28"/>
      <w:szCs w:val="20"/>
    </w:rPr>
  </w:style>
  <w:style w:type="character" w:customStyle="1" w:styleId="154">
    <w:name w:val="generalinfo-address-text"/>
    <w:basedOn w:val="65"/>
    <w:qFormat/>
    <w:uiPriority w:val="0"/>
  </w:style>
  <w:style w:type="character" w:customStyle="1" w:styleId="155">
    <w:name w:val="标题 字符"/>
    <w:link w:val="59"/>
    <w:qFormat/>
    <w:uiPriority w:val="0"/>
    <w:rPr>
      <w:rFonts w:ascii="Verdana" w:hAnsi="Verdana" w:eastAsia="仿宋_GB2312"/>
      <w:b/>
      <w:bCs/>
      <w:sz w:val="32"/>
      <w:szCs w:val="32"/>
    </w:rPr>
  </w:style>
  <w:style w:type="paragraph" w:customStyle="1" w:styleId="156">
    <w:name w:val="方案正文"/>
    <w:basedOn w:val="1"/>
    <w:link w:val="157"/>
    <w:qFormat/>
    <w:uiPriority w:val="0"/>
    <w:pPr>
      <w:spacing w:line="360" w:lineRule="auto"/>
      <w:ind w:firstLine="200" w:firstLineChars="200"/>
    </w:pPr>
    <w:rPr>
      <w:rFonts w:ascii="Century Gothic" w:hAnsi="Century Gothic"/>
      <w:szCs w:val="28"/>
    </w:rPr>
  </w:style>
  <w:style w:type="character" w:customStyle="1" w:styleId="157">
    <w:name w:val="方案正文 字符"/>
    <w:link w:val="156"/>
    <w:qFormat/>
    <w:uiPriority w:val="0"/>
    <w:rPr>
      <w:rFonts w:ascii="Century Gothic" w:hAnsi="Century Gothic" w:cs="Times New Roman"/>
      <w:kern w:val="2"/>
      <w:sz w:val="21"/>
      <w:szCs w:val="28"/>
    </w:rPr>
  </w:style>
  <w:style w:type="paragraph" w:customStyle="1" w:styleId="158">
    <w:name w:val="正文缩进1"/>
    <w:basedOn w:val="1"/>
    <w:qFormat/>
    <w:uiPriority w:val="0"/>
    <w:pPr>
      <w:spacing w:line="360" w:lineRule="auto"/>
      <w:ind w:firstLine="454"/>
      <w:jc w:val="left"/>
    </w:pPr>
    <w:rPr>
      <w:sz w:val="24"/>
    </w:rPr>
  </w:style>
  <w:style w:type="character" w:customStyle="1" w:styleId="159">
    <w:name w:val="ant-form-item-children"/>
    <w:basedOn w:val="65"/>
    <w:qFormat/>
    <w:uiPriority w:val="0"/>
  </w:style>
  <w:style w:type="paragraph" w:customStyle="1" w:styleId="160">
    <w:name w:val="BZ_四级标题"/>
    <w:basedOn w:val="9"/>
    <w:next w:val="1"/>
    <w:link w:val="308"/>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1">
    <w:name w:val="_Style 10"/>
    <w:basedOn w:val="1"/>
    <w:qFormat/>
    <w:uiPriority w:val="0"/>
    <w:pPr>
      <w:spacing w:beforeLines="50" w:afterLines="50"/>
    </w:pPr>
    <w:rPr>
      <w:rFonts w:ascii="Calibri" w:hAnsi="Calibri"/>
      <w:szCs w:val="20"/>
    </w:rPr>
  </w:style>
  <w:style w:type="paragraph" w:customStyle="1" w:styleId="162">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4">
    <w:name w:val="普通(网站) 字符"/>
    <w:link w:val="57"/>
    <w:qFormat/>
    <w:uiPriority w:val="0"/>
    <w:rPr>
      <w:rFonts w:ascii="宋体" w:hAnsi="宋体" w:cs="宋体"/>
      <w:sz w:val="24"/>
      <w:szCs w:val="24"/>
    </w:rPr>
  </w:style>
  <w:style w:type="character" w:customStyle="1" w:styleId="165">
    <w:name w:val="标题 7 字符1"/>
    <w:basedOn w:val="65"/>
    <w:link w:val="12"/>
    <w:qFormat/>
    <w:uiPriority w:val="9"/>
    <w:rPr>
      <w:rFonts w:eastAsia="等线"/>
      <w:b/>
      <w:kern w:val="2"/>
      <w:sz w:val="24"/>
      <w:szCs w:val="24"/>
    </w:rPr>
  </w:style>
  <w:style w:type="character" w:customStyle="1" w:styleId="166">
    <w:name w:val="标题 8 字符1"/>
    <w:basedOn w:val="65"/>
    <w:link w:val="13"/>
    <w:qFormat/>
    <w:uiPriority w:val="9"/>
    <w:rPr>
      <w:rFonts w:ascii="Arial" w:hAnsi="Arial" w:eastAsia="黑体"/>
      <w:kern w:val="2"/>
      <w:sz w:val="24"/>
      <w:szCs w:val="24"/>
    </w:rPr>
  </w:style>
  <w:style w:type="character" w:customStyle="1" w:styleId="167">
    <w:name w:val="标题 9 字符1"/>
    <w:basedOn w:val="65"/>
    <w:link w:val="14"/>
    <w:qFormat/>
    <w:uiPriority w:val="9"/>
    <w:rPr>
      <w:rFonts w:ascii="Arial" w:hAnsi="Arial" w:eastAsia="黑体"/>
      <w:kern w:val="2"/>
      <w:sz w:val="24"/>
      <w:szCs w:val="24"/>
    </w:rPr>
  </w:style>
  <w:style w:type="character" w:customStyle="1" w:styleId="168">
    <w:name w:val="批注主题 字符"/>
    <w:link w:val="60"/>
    <w:qFormat/>
    <w:uiPriority w:val="1"/>
    <w:rPr>
      <w:b/>
      <w:bCs/>
      <w:kern w:val="2"/>
      <w:sz w:val="21"/>
      <w:szCs w:val="24"/>
    </w:rPr>
  </w:style>
  <w:style w:type="character" w:customStyle="1" w:styleId="169">
    <w:name w:val="Char Char112"/>
    <w:qFormat/>
    <w:uiPriority w:val="0"/>
    <w:rPr>
      <w:rFonts w:eastAsia="仿宋_GB2312"/>
      <w:kern w:val="2"/>
      <w:sz w:val="21"/>
      <w:szCs w:val="24"/>
      <w:lang w:val="en-US" w:eastAsia="zh-CN" w:bidi="ar-SA"/>
    </w:rPr>
  </w:style>
  <w:style w:type="character" w:customStyle="1" w:styleId="170">
    <w:name w:val="No Spacing Char"/>
    <w:link w:val="171"/>
    <w:qFormat/>
    <w:locked/>
    <w:uiPriority w:val="0"/>
    <w:rPr>
      <w:rFonts w:ascii="Calibri" w:hAnsi="Calibri" w:eastAsia="仿宋_GB2312"/>
      <w:sz w:val="28"/>
      <w:szCs w:val="22"/>
    </w:rPr>
  </w:style>
  <w:style w:type="paragraph" w:customStyle="1" w:styleId="171">
    <w:name w:val="无间隔1"/>
    <w:link w:val="170"/>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2">
    <w:name w:val="Char Char14"/>
    <w:qFormat/>
    <w:uiPriority w:val="0"/>
    <w:rPr>
      <w:rFonts w:eastAsia="仿宋_GB2312"/>
      <w:kern w:val="2"/>
      <w:sz w:val="21"/>
      <w:szCs w:val="24"/>
      <w:lang w:val="en-US" w:eastAsia="zh-CN" w:bidi="ar-SA"/>
    </w:rPr>
  </w:style>
  <w:style w:type="character" w:customStyle="1" w:styleId="173">
    <w:name w:val="明显强调1"/>
    <w:qFormat/>
    <w:uiPriority w:val="0"/>
    <w:rPr>
      <w:rFonts w:eastAsia="宋体"/>
      <w:b/>
      <w:bCs/>
      <w:iCs/>
      <w:color w:val="auto"/>
      <w:sz w:val="24"/>
    </w:rPr>
  </w:style>
  <w:style w:type="character" w:customStyle="1" w:styleId="174">
    <w:name w:val="BZ_一级标题 Char"/>
    <w:link w:val="130"/>
    <w:qFormat/>
    <w:uiPriority w:val="0"/>
    <w:rPr>
      <w:rFonts w:eastAsia="华文中宋"/>
      <w:b/>
      <w:bCs/>
      <w:kern w:val="44"/>
      <w:sz w:val="36"/>
      <w:szCs w:val="36"/>
    </w:rPr>
  </w:style>
  <w:style w:type="character" w:customStyle="1" w:styleId="175">
    <w:name w:val="样式 宋体 小四 行距: 1.5 倍行距 Char"/>
    <w:link w:val="176"/>
    <w:qFormat/>
    <w:uiPriority w:val="0"/>
    <w:rPr>
      <w:rFonts w:ascii="宋体" w:hAnsi="宋体" w:cs="宋体"/>
      <w:kern w:val="2"/>
      <w:sz w:val="24"/>
    </w:rPr>
  </w:style>
  <w:style w:type="paragraph" w:customStyle="1" w:styleId="176">
    <w:name w:val="样式 宋体 小四 行距: 1.5 倍行距"/>
    <w:basedOn w:val="1"/>
    <w:link w:val="175"/>
    <w:qFormat/>
    <w:uiPriority w:val="0"/>
    <w:pPr>
      <w:spacing w:line="360" w:lineRule="auto"/>
      <w:ind w:firstLine="540" w:firstLineChars="225"/>
    </w:pPr>
    <w:rPr>
      <w:rFonts w:ascii="宋体" w:hAnsi="宋体" w:cs="宋体"/>
      <w:sz w:val="24"/>
      <w:szCs w:val="20"/>
    </w:rPr>
  </w:style>
  <w:style w:type="character" w:customStyle="1" w:styleId="177">
    <w:name w:val="正文1 Char Char"/>
    <w:qFormat/>
    <w:uiPriority w:val="0"/>
    <w:rPr>
      <w:rFonts w:ascii="仿宋_GB2312" w:hAnsi="仿宋_GB2312" w:eastAsia="仿宋_GB2312" w:cs="仿宋_GB2312"/>
      <w:sz w:val="21"/>
      <w:lang w:val="en-US" w:eastAsia="zh-CN" w:bidi="ar-SA"/>
    </w:rPr>
  </w:style>
  <w:style w:type="character" w:customStyle="1" w:styleId="178">
    <w:name w:val="编号正文缩进 Char Char"/>
    <w:link w:val="179"/>
    <w:qFormat/>
    <w:uiPriority w:val="0"/>
    <w:rPr>
      <w:kern w:val="2"/>
      <w:sz w:val="24"/>
      <w:szCs w:val="24"/>
    </w:rPr>
  </w:style>
  <w:style w:type="paragraph" w:customStyle="1" w:styleId="179">
    <w:name w:val="编号正文缩进"/>
    <w:basedOn w:val="18"/>
    <w:link w:val="178"/>
    <w:qFormat/>
    <w:uiPriority w:val="0"/>
    <w:pPr>
      <w:tabs>
        <w:tab w:val="left" w:pos="1497"/>
      </w:tabs>
      <w:spacing w:line="400" w:lineRule="atLeast"/>
      <w:ind w:left="567" w:firstLine="510"/>
    </w:pPr>
    <w:rPr>
      <w:kern w:val="2"/>
      <w:sz w:val="24"/>
      <w:szCs w:val="24"/>
    </w:rPr>
  </w:style>
  <w:style w:type="character" w:customStyle="1" w:styleId="180">
    <w:name w:val="Char Char18"/>
    <w:qFormat/>
    <w:uiPriority w:val="0"/>
    <w:rPr>
      <w:b/>
      <w:bCs/>
      <w:kern w:val="2"/>
      <w:sz w:val="32"/>
      <w:szCs w:val="32"/>
    </w:rPr>
  </w:style>
  <w:style w:type="character" w:customStyle="1" w:styleId="181">
    <w:name w:val="样式1 Char"/>
    <w:link w:val="182"/>
    <w:qFormat/>
    <w:uiPriority w:val="0"/>
    <w:rPr>
      <w:rFonts w:ascii="楷体_GB2312" w:hAnsi="Calibri" w:eastAsia="楷体_GB2312"/>
      <w:kern w:val="2"/>
      <w:sz w:val="24"/>
      <w:szCs w:val="24"/>
    </w:rPr>
  </w:style>
  <w:style w:type="paragraph" w:customStyle="1" w:styleId="182">
    <w:name w:val="样式1"/>
    <w:basedOn w:val="183"/>
    <w:link w:val="181"/>
    <w:qFormat/>
    <w:uiPriority w:val="0"/>
    <w:pPr>
      <w:spacing w:line="360" w:lineRule="auto"/>
      <w:ind w:firstLine="480"/>
    </w:pPr>
    <w:rPr>
      <w:rFonts w:ascii="楷体_GB2312" w:eastAsia="楷体_GB2312" w:cs="Times New Roman"/>
      <w:sz w:val="24"/>
      <w:szCs w:val="24"/>
    </w:rPr>
  </w:style>
  <w:style w:type="paragraph" w:customStyle="1" w:styleId="183">
    <w:name w:val="列出段落11"/>
    <w:basedOn w:val="1"/>
    <w:qFormat/>
    <w:uiPriority w:val="34"/>
    <w:pPr>
      <w:ind w:firstLine="420" w:firstLineChars="200"/>
    </w:pPr>
    <w:rPr>
      <w:rFonts w:ascii="Calibri" w:hAnsi="Calibri" w:eastAsia="等线" w:cs="黑体"/>
      <w:szCs w:val="22"/>
    </w:rPr>
  </w:style>
  <w:style w:type="character" w:customStyle="1" w:styleId="184">
    <w:name w:val="Style3"/>
    <w:qFormat/>
    <w:uiPriority w:val="0"/>
    <w:rPr>
      <w:rFonts w:ascii="Century Gothic" w:hAnsi="仿宋_GB2312" w:eastAsia="仿宋_GB2312" w:cs="新宋体"/>
      <w:szCs w:val="22"/>
      <w:lang w:eastAsia="zh-CN"/>
    </w:rPr>
  </w:style>
  <w:style w:type="character" w:customStyle="1" w:styleId="185">
    <w:name w:val="副标题 Char1"/>
    <w:qFormat/>
    <w:uiPriority w:val="11"/>
    <w:rPr>
      <w:rFonts w:ascii="Cambria" w:hAnsi="Cambria" w:cs="Times New Roman"/>
      <w:b/>
      <w:bCs/>
      <w:kern w:val="28"/>
      <w:sz w:val="32"/>
      <w:szCs w:val="32"/>
    </w:rPr>
  </w:style>
  <w:style w:type="character" w:customStyle="1" w:styleId="186">
    <w:name w:val="Style4"/>
    <w:qFormat/>
    <w:uiPriority w:val="0"/>
    <w:rPr>
      <w:rFonts w:ascii="Century Gothic" w:hAnsi="仿宋_GB2312" w:eastAsia="仿宋_GB2312" w:cs="新宋体"/>
      <w:szCs w:val="22"/>
      <w:lang w:eastAsia="zh-CN"/>
    </w:rPr>
  </w:style>
  <w:style w:type="character" w:customStyle="1" w:styleId="187">
    <w:name w:val="页眉注释 Char Char"/>
    <w:link w:val="188"/>
    <w:qFormat/>
    <w:uiPriority w:val="0"/>
    <w:rPr>
      <w:rFonts w:ascii="华文细黑" w:hAnsi="华文细黑" w:eastAsia="华文细黑"/>
      <w:b/>
      <w:color w:val="FFFFFF"/>
      <w:kern w:val="2"/>
      <w:sz w:val="18"/>
      <w:szCs w:val="18"/>
    </w:rPr>
  </w:style>
  <w:style w:type="paragraph" w:customStyle="1" w:styleId="188">
    <w:name w:val="页眉注释"/>
    <w:basedOn w:val="1"/>
    <w:link w:val="187"/>
    <w:qFormat/>
    <w:uiPriority w:val="0"/>
    <w:pPr>
      <w:spacing w:line="0" w:lineRule="atLeast"/>
      <w:jc w:val="center"/>
    </w:pPr>
    <w:rPr>
      <w:rFonts w:ascii="华文细黑" w:hAnsi="华文细黑" w:eastAsia="华文细黑"/>
      <w:b/>
      <w:color w:val="FFFFFF"/>
      <w:sz w:val="18"/>
      <w:szCs w:val="18"/>
    </w:rPr>
  </w:style>
  <w:style w:type="character" w:customStyle="1" w:styleId="189">
    <w:name w:val="heading 2 Char1"/>
    <w:qFormat/>
    <w:uiPriority w:val="0"/>
    <w:rPr>
      <w:rFonts w:ascii="Verdana" w:hAnsi="Verdana" w:eastAsia="仿宋_GB2312"/>
      <w:b/>
      <w:bCs/>
      <w:kern w:val="2"/>
      <w:sz w:val="32"/>
      <w:szCs w:val="32"/>
      <w:lang w:val="en-US" w:eastAsia="zh-CN" w:bidi="ar-SA"/>
    </w:rPr>
  </w:style>
  <w:style w:type="character" w:customStyle="1" w:styleId="190">
    <w:name w:val="heading 4 Char"/>
    <w:qFormat/>
    <w:uiPriority w:val="0"/>
    <w:rPr>
      <w:rFonts w:ascii="Tahoma" w:hAnsi="Tahoma" w:eastAsia="Helvetica" w:cs="新宋体"/>
      <w:sz w:val="21"/>
      <w:szCs w:val="21"/>
    </w:rPr>
  </w:style>
  <w:style w:type="character" w:customStyle="1" w:styleId="191">
    <w:name w:val="Char Char16"/>
    <w:qFormat/>
    <w:uiPriority w:val="0"/>
    <w:rPr>
      <w:b/>
      <w:bCs/>
      <w:kern w:val="2"/>
      <w:sz w:val="28"/>
      <w:szCs w:val="28"/>
    </w:rPr>
  </w:style>
  <w:style w:type="character" w:customStyle="1" w:styleId="192">
    <w:name w:val="Char Char23"/>
    <w:qFormat/>
    <w:uiPriority w:val="0"/>
    <w:rPr>
      <w:rFonts w:eastAsia="仿宋_GB2312"/>
      <w:b/>
      <w:bCs/>
      <w:kern w:val="2"/>
      <w:sz w:val="32"/>
      <w:szCs w:val="32"/>
      <w:lang w:val="en-US" w:eastAsia="zh-CN" w:bidi="ar-SA"/>
    </w:rPr>
  </w:style>
  <w:style w:type="character" w:customStyle="1" w:styleId="193">
    <w:name w:val="apple-converted-space"/>
    <w:qFormat/>
    <w:uiPriority w:val="0"/>
  </w:style>
  <w:style w:type="character" w:customStyle="1" w:styleId="194">
    <w:name w:val="Char Char25"/>
    <w:qFormat/>
    <w:uiPriority w:val="0"/>
    <w:rPr>
      <w:rFonts w:ascii="Arial Unicode MS" w:eastAsia="Arial Unicode MS"/>
      <w:b/>
      <w:bCs/>
      <w:kern w:val="2"/>
      <w:sz w:val="21"/>
      <w:szCs w:val="24"/>
      <w:lang w:val="en-US" w:eastAsia="zh-CN" w:bidi="ar-SA"/>
    </w:rPr>
  </w:style>
  <w:style w:type="character" w:customStyle="1" w:styleId="195">
    <w:name w:val="heading 3 Char1"/>
    <w:qFormat/>
    <w:uiPriority w:val="0"/>
    <w:rPr>
      <w:rFonts w:eastAsia="仿宋_GB2312"/>
      <w:b/>
      <w:bCs/>
      <w:kern w:val="2"/>
      <w:sz w:val="32"/>
      <w:szCs w:val="32"/>
      <w:lang w:val="en-US" w:eastAsia="zh-CN" w:bidi="ar-SA"/>
    </w:rPr>
  </w:style>
  <w:style w:type="character" w:customStyle="1" w:styleId="196">
    <w:name w:val="不明显强调1"/>
    <w:qFormat/>
    <w:uiPriority w:val="0"/>
    <w:rPr>
      <w:i/>
      <w:iCs/>
      <w:color w:val="808080"/>
    </w:rPr>
  </w:style>
  <w:style w:type="character" w:customStyle="1" w:styleId="197">
    <w:name w:val="pt141"/>
    <w:qFormat/>
    <w:uiPriority w:val="0"/>
    <w:rPr>
      <w:color w:val="330066"/>
      <w:spacing w:val="450"/>
      <w:sz w:val="22"/>
      <w:szCs w:val="22"/>
    </w:rPr>
  </w:style>
  <w:style w:type="character" w:customStyle="1" w:styleId="198">
    <w:name w:val="无间隔 字符"/>
    <w:link w:val="199"/>
    <w:qFormat/>
    <w:uiPriority w:val="1"/>
    <w:rPr>
      <w:rFonts w:ascii="Century Gothic" w:hAnsi="Century Gothic" w:eastAsia="Times New Roman"/>
      <w:sz w:val="22"/>
      <w:szCs w:val="22"/>
    </w:rPr>
  </w:style>
  <w:style w:type="paragraph" w:styleId="199">
    <w:name w:val="No Spacing"/>
    <w:link w:val="198"/>
    <w:qFormat/>
    <w:uiPriority w:val="1"/>
    <w:rPr>
      <w:rFonts w:ascii="Century Gothic" w:hAnsi="Century Gothic" w:eastAsia="Times New Roman" w:cs="Times New Roman"/>
      <w:sz w:val="22"/>
      <w:szCs w:val="22"/>
      <w:lang w:val="en-US" w:eastAsia="zh-CN" w:bidi="ar-SA"/>
    </w:rPr>
  </w:style>
  <w:style w:type="character" w:customStyle="1" w:styleId="200">
    <w:name w:val="明显参考1"/>
    <w:qFormat/>
    <w:uiPriority w:val="0"/>
    <w:rPr>
      <w:b/>
      <w:bCs/>
      <w:smallCaps/>
      <w:color w:val="C0504D"/>
      <w:spacing w:val="5"/>
      <w:u w:val="single"/>
    </w:rPr>
  </w:style>
  <w:style w:type="character" w:customStyle="1" w:styleId="201">
    <w:name w:val="正文文本缩进 3 字符1"/>
    <w:link w:val="51"/>
    <w:qFormat/>
    <w:uiPriority w:val="0"/>
    <w:rPr>
      <w:kern w:val="2"/>
      <w:sz w:val="24"/>
      <w:szCs w:val="24"/>
    </w:rPr>
  </w:style>
  <w:style w:type="character" w:customStyle="1" w:styleId="202">
    <w:name w:val="样式2 Char"/>
    <w:link w:val="203"/>
    <w:qFormat/>
    <w:uiPriority w:val="0"/>
    <w:rPr>
      <w:rFonts w:ascii="仿宋_GB2312" w:hAnsi="仿宋_GB2312" w:eastAsia="仿宋_GB2312"/>
      <w:bCs/>
      <w:kern w:val="2"/>
      <w:sz w:val="28"/>
      <w:szCs w:val="28"/>
    </w:rPr>
  </w:style>
  <w:style w:type="paragraph" w:customStyle="1" w:styleId="203">
    <w:name w:val="样式2"/>
    <w:basedOn w:val="7"/>
    <w:link w:val="202"/>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4">
    <w:name w:val="文档结构图 字符1"/>
    <w:link w:val="21"/>
    <w:qFormat/>
    <w:uiPriority w:val="0"/>
    <w:rPr>
      <w:kern w:val="2"/>
      <w:sz w:val="21"/>
      <w:szCs w:val="24"/>
      <w:shd w:val="clear" w:color="auto" w:fill="000080"/>
    </w:rPr>
  </w:style>
  <w:style w:type="character" w:customStyle="1" w:styleId="205">
    <w:name w:val="1233 Char"/>
    <w:link w:val="206"/>
    <w:qFormat/>
    <w:uiPriority w:val="0"/>
    <w:rPr>
      <w:rFonts w:ascii="仿宋" w:hAnsi="仿宋" w:eastAsia="仿宋"/>
      <w:b/>
      <w:bCs/>
      <w:kern w:val="44"/>
      <w:sz w:val="24"/>
      <w:szCs w:val="24"/>
    </w:rPr>
  </w:style>
  <w:style w:type="paragraph" w:customStyle="1" w:styleId="206">
    <w:name w:val="1233"/>
    <w:basedOn w:val="6"/>
    <w:link w:val="205"/>
    <w:qFormat/>
    <w:uiPriority w:val="0"/>
    <w:pPr>
      <w:keepLines/>
      <w:spacing w:line="360" w:lineRule="auto"/>
      <w:ind w:firstLine="200" w:firstLineChars="200"/>
      <w:jc w:val="both"/>
    </w:pPr>
    <w:rPr>
      <w:rFonts w:ascii="仿宋" w:hAnsi="仿宋" w:eastAsia="仿宋"/>
      <w:kern w:val="44"/>
      <w:sz w:val="24"/>
    </w:rPr>
  </w:style>
  <w:style w:type="character" w:customStyle="1" w:styleId="207">
    <w:name w:val="heading 2 Char"/>
    <w:qFormat/>
    <w:uiPriority w:val="0"/>
    <w:rPr>
      <w:rFonts w:ascii="Tahoma" w:hAnsi="Tahoma" w:eastAsia="Helvetica" w:cs="新宋体"/>
      <w:sz w:val="30"/>
      <w:szCs w:val="24"/>
    </w:rPr>
  </w:style>
  <w:style w:type="character" w:customStyle="1" w:styleId="208">
    <w:name w:val="Intense Emphasis1"/>
    <w:qFormat/>
    <w:uiPriority w:val="0"/>
    <w:rPr>
      <w:b/>
      <w:bCs/>
      <w:i/>
      <w:iCs/>
      <w:color w:val="4F81BD"/>
    </w:rPr>
  </w:style>
  <w:style w:type="character" w:customStyle="1" w:styleId="209">
    <w:name w:val="emailstyle16"/>
    <w:qFormat/>
    <w:uiPriority w:val="0"/>
    <w:rPr>
      <w:rFonts w:ascii="Arial" w:hAnsi="Arial" w:eastAsia="宋体" w:cs="Arial"/>
      <w:color w:val="auto"/>
      <w:kern w:val="2"/>
      <w:sz w:val="20"/>
      <w:szCs w:val="24"/>
      <w:lang w:val="en-US" w:eastAsia="zh-CN" w:bidi="ar-SA"/>
    </w:rPr>
  </w:style>
  <w:style w:type="character" w:customStyle="1" w:styleId="210">
    <w:name w:val="正文靠右 Char Char"/>
    <w:link w:val="211"/>
    <w:qFormat/>
    <w:uiPriority w:val="0"/>
    <w:rPr>
      <w:kern w:val="2"/>
      <w:sz w:val="21"/>
      <w:szCs w:val="24"/>
    </w:rPr>
  </w:style>
  <w:style w:type="paragraph" w:customStyle="1" w:styleId="211">
    <w:name w:val="正文靠右"/>
    <w:basedOn w:val="1"/>
    <w:link w:val="210"/>
    <w:qFormat/>
    <w:uiPriority w:val="0"/>
    <w:pPr>
      <w:jc w:val="right"/>
    </w:pPr>
  </w:style>
  <w:style w:type="character" w:customStyle="1" w:styleId="212">
    <w:name w:val="Char Char111"/>
    <w:qFormat/>
    <w:uiPriority w:val="0"/>
    <w:rPr>
      <w:rFonts w:ascii="新宋体" w:hAnsi="新宋体" w:eastAsia="仿宋_GB2312" w:cs="新宋体"/>
      <w:sz w:val="18"/>
      <w:szCs w:val="18"/>
    </w:rPr>
  </w:style>
  <w:style w:type="character" w:customStyle="1" w:styleId="213">
    <w:name w:val="HTML 预设格式 Char1"/>
    <w:qFormat/>
    <w:uiPriority w:val="0"/>
    <w:rPr>
      <w:rFonts w:ascii="宋体" w:hAnsi="宋体" w:cs="宋体"/>
      <w:sz w:val="24"/>
      <w:szCs w:val="24"/>
    </w:rPr>
  </w:style>
  <w:style w:type="character" w:customStyle="1" w:styleId="214">
    <w:name w:val="正文缩进 字符"/>
    <w:qFormat/>
    <w:uiPriority w:val="0"/>
    <w:rPr>
      <w:sz w:val="28"/>
    </w:rPr>
  </w:style>
  <w:style w:type="character" w:customStyle="1" w:styleId="215">
    <w:name w:val="Style1"/>
    <w:qFormat/>
    <w:uiPriority w:val="0"/>
    <w:rPr>
      <w:rFonts w:ascii="Century Gothic" w:hAnsi="仿宋_GB2312" w:eastAsia="仿宋_GB2312" w:cs="新宋体"/>
      <w:sz w:val="22"/>
      <w:szCs w:val="22"/>
      <w:lang w:eastAsia="zh-CN"/>
    </w:rPr>
  </w:style>
  <w:style w:type="character" w:customStyle="1" w:styleId="216">
    <w:name w:val="BZ_封面_名称 Char"/>
    <w:link w:val="217"/>
    <w:qFormat/>
    <w:uiPriority w:val="0"/>
    <w:rPr>
      <w:rFonts w:eastAsia="黑体"/>
      <w:kern w:val="2"/>
      <w:sz w:val="44"/>
      <w:szCs w:val="44"/>
    </w:rPr>
  </w:style>
  <w:style w:type="paragraph" w:customStyle="1" w:styleId="217">
    <w:name w:val="BZ_封面_名称"/>
    <w:basedOn w:val="1"/>
    <w:link w:val="216"/>
    <w:qFormat/>
    <w:uiPriority w:val="0"/>
    <w:pPr>
      <w:widowControl/>
      <w:jc w:val="center"/>
    </w:pPr>
    <w:rPr>
      <w:rFonts w:eastAsia="黑体"/>
      <w:sz w:val="44"/>
      <w:szCs w:val="44"/>
    </w:rPr>
  </w:style>
  <w:style w:type="character" w:customStyle="1" w:styleId="218">
    <w:name w:val="个人答复风格"/>
    <w:qFormat/>
    <w:uiPriority w:val="0"/>
    <w:rPr>
      <w:rFonts w:ascii="Arial" w:hAnsi="Arial" w:eastAsia="宋体" w:cs="Arial"/>
      <w:color w:val="auto"/>
      <w:kern w:val="2"/>
      <w:sz w:val="20"/>
      <w:szCs w:val="24"/>
      <w:lang w:val="en-US" w:eastAsia="zh-CN" w:bidi="ar-SA"/>
    </w:rPr>
  </w:style>
  <w:style w:type="character" w:customStyle="1" w:styleId="219">
    <w:name w:val="kpk:3级 Char"/>
    <w:link w:val="220"/>
    <w:qFormat/>
    <w:uiPriority w:val="0"/>
    <w:rPr>
      <w:rFonts w:ascii="黑体" w:eastAsia="黑体"/>
      <w:b/>
      <w:bCs/>
      <w:kern w:val="2"/>
      <w:sz w:val="24"/>
      <w:szCs w:val="24"/>
    </w:rPr>
  </w:style>
  <w:style w:type="paragraph" w:customStyle="1" w:styleId="220">
    <w:name w:val="kpk:3级"/>
    <w:basedOn w:val="8"/>
    <w:link w:val="219"/>
    <w:qFormat/>
    <w:uiPriority w:val="0"/>
    <w:pPr>
      <w:tabs>
        <w:tab w:val="left" w:pos="420"/>
      </w:tabs>
      <w:spacing w:before="0" w:after="0" w:line="360" w:lineRule="auto"/>
      <w:ind w:left="420" w:hanging="420"/>
    </w:pPr>
    <w:rPr>
      <w:rFonts w:ascii="黑体" w:eastAsia="黑体"/>
      <w:sz w:val="24"/>
      <w:szCs w:val="24"/>
    </w:rPr>
  </w:style>
  <w:style w:type="character" w:customStyle="1" w:styleId="221">
    <w:name w:val="Char Char19"/>
    <w:qFormat/>
    <w:uiPriority w:val="0"/>
    <w:rPr>
      <w:rFonts w:ascii="Tahoma" w:hAnsi="Tahoma" w:eastAsia="Helvetica"/>
      <w:sz w:val="21"/>
      <w:szCs w:val="21"/>
      <w:lang w:val="en-US" w:eastAsia="zh-CN" w:bidi="ar-SA"/>
    </w:rPr>
  </w:style>
  <w:style w:type="character" w:customStyle="1" w:styleId="222">
    <w:name w:val="Table Text Char Char"/>
    <w:qFormat/>
    <w:uiPriority w:val="0"/>
    <w:rPr>
      <w:rFonts w:eastAsia="仿宋_GB2312"/>
      <w:sz w:val="24"/>
      <w:lang w:bidi="ar-SA"/>
    </w:rPr>
  </w:style>
  <w:style w:type="character" w:customStyle="1" w:styleId="223">
    <w:name w:val="heading 4 Char1"/>
    <w:qFormat/>
    <w:uiPriority w:val="0"/>
    <w:rPr>
      <w:rFonts w:ascii="Verdana" w:hAnsi="Verdana" w:eastAsia="仿宋_GB2312"/>
      <w:b/>
      <w:bCs/>
      <w:kern w:val="2"/>
      <w:sz w:val="28"/>
      <w:szCs w:val="28"/>
      <w:lang w:val="en-US" w:eastAsia="zh-CN" w:bidi="ar-SA"/>
    </w:rPr>
  </w:style>
  <w:style w:type="character" w:customStyle="1" w:styleId="224">
    <w:name w:val="a61"/>
    <w:qFormat/>
    <w:uiPriority w:val="0"/>
    <w:rPr>
      <w:rFonts w:hint="eastAsia" w:ascii="宋体" w:hAnsi="宋体" w:eastAsia="宋体"/>
      <w:kern w:val="2"/>
      <w:sz w:val="23"/>
      <w:szCs w:val="23"/>
      <w:lang w:val="en-US" w:eastAsia="zh-CN" w:bidi="ar-SA"/>
    </w:rPr>
  </w:style>
  <w:style w:type="character" w:customStyle="1" w:styleId="225">
    <w:name w:val="kpk:4级 Char1"/>
    <w:link w:val="226"/>
    <w:qFormat/>
    <w:locked/>
    <w:uiPriority w:val="0"/>
    <w:rPr>
      <w:rFonts w:ascii="Arial" w:hAnsi="Arial" w:eastAsia="黑体"/>
      <w:bCs/>
      <w:sz w:val="24"/>
      <w:szCs w:val="28"/>
    </w:rPr>
  </w:style>
  <w:style w:type="paragraph" w:customStyle="1" w:styleId="226">
    <w:name w:val="kpk:4级"/>
    <w:basedOn w:val="9"/>
    <w:link w:val="225"/>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7">
    <w:name w:val="heading 3 Char"/>
    <w:qFormat/>
    <w:uiPriority w:val="0"/>
    <w:rPr>
      <w:rFonts w:ascii="Tahoma" w:hAnsi="Tahoma" w:eastAsia="Helvetica"/>
      <w:sz w:val="28"/>
      <w:szCs w:val="24"/>
    </w:rPr>
  </w:style>
  <w:style w:type="character" w:customStyle="1" w:styleId="228">
    <w:name w:val="heading 4 Char2"/>
    <w:qFormat/>
    <w:uiPriority w:val="0"/>
    <w:rPr>
      <w:rFonts w:ascii="Verdana" w:hAnsi="Verdana"/>
      <w:b/>
      <w:bCs/>
      <w:kern w:val="2"/>
      <w:sz w:val="28"/>
      <w:szCs w:val="28"/>
    </w:rPr>
  </w:style>
  <w:style w:type="character" w:customStyle="1" w:styleId="229">
    <w:name w:val="样式 标题 3 + 黑体 小四 Char Char"/>
    <w:qFormat/>
    <w:uiPriority w:val="0"/>
    <w:rPr>
      <w:rFonts w:ascii="Helvetica" w:hAnsi="Tahoma" w:eastAsia="Helvetica"/>
      <w:bCs/>
      <w:sz w:val="24"/>
      <w:szCs w:val="24"/>
      <w:lang w:bidi="ar-SA"/>
    </w:rPr>
  </w:style>
  <w:style w:type="character" w:customStyle="1" w:styleId="230">
    <w:name w:val="四级标题 Char"/>
    <w:link w:val="231"/>
    <w:qFormat/>
    <w:uiPriority w:val="0"/>
    <w:rPr>
      <w:rFonts w:eastAsia="黑体"/>
      <w:b/>
      <w:kern w:val="2"/>
      <w:sz w:val="28"/>
      <w:szCs w:val="22"/>
    </w:rPr>
  </w:style>
  <w:style w:type="paragraph" w:customStyle="1" w:styleId="231">
    <w:name w:val="四级标题"/>
    <w:basedOn w:val="1"/>
    <w:link w:val="230"/>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2">
    <w:name w:val="标题 4 字符"/>
    <w:qFormat/>
    <w:uiPriority w:val="0"/>
    <w:rPr>
      <w:rFonts w:eastAsia="楷体_GB2312"/>
      <w:b/>
      <w:snapToGrid/>
      <w:sz w:val="28"/>
    </w:rPr>
  </w:style>
  <w:style w:type="character" w:customStyle="1" w:styleId="233">
    <w:name w:val="heading 5 Char2"/>
    <w:qFormat/>
    <w:uiPriority w:val="0"/>
    <w:rPr>
      <w:b/>
      <w:bCs/>
      <w:kern w:val="2"/>
      <w:sz w:val="28"/>
      <w:szCs w:val="28"/>
    </w:rPr>
  </w:style>
  <w:style w:type="character" w:customStyle="1" w:styleId="234">
    <w:name w:val="书籍标题1"/>
    <w:qFormat/>
    <w:uiPriority w:val="0"/>
    <w:rPr>
      <w:b/>
      <w:bCs/>
      <w:smallCaps/>
      <w:spacing w:val="5"/>
    </w:rPr>
  </w:style>
  <w:style w:type="character" w:customStyle="1" w:styleId="235">
    <w:name w:val="Ò³Ã¼ Char Char2"/>
    <w:qFormat/>
    <w:uiPriority w:val="0"/>
    <w:rPr>
      <w:kern w:val="2"/>
      <w:sz w:val="18"/>
      <w:szCs w:val="18"/>
    </w:rPr>
  </w:style>
  <w:style w:type="character" w:customStyle="1" w:styleId="236">
    <w:name w:val="不明显参考1"/>
    <w:qFormat/>
    <w:uiPriority w:val="0"/>
    <w:rPr>
      <w:smallCaps/>
      <w:color w:val="C0504D"/>
      <w:u w:val="single"/>
    </w:rPr>
  </w:style>
  <w:style w:type="character" w:customStyle="1" w:styleId="237">
    <w:name w:val="标题 6 字符"/>
    <w:qFormat/>
    <w:uiPriority w:val="0"/>
    <w:rPr>
      <w:rFonts w:ascii="Arial" w:hAnsi="Arial" w:eastAsia="黑体"/>
      <w:spacing w:val="20"/>
      <w:kern w:val="2"/>
      <w:sz w:val="28"/>
    </w:rPr>
  </w:style>
  <w:style w:type="character" w:customStyle="1" w:styleId="238">
    <w:name w:val="A3 Char Char"/>
    <w:qFormat/>
    <w:uiPriority w:val="0"/>
    <w:rPr>
      <w:rFonts w:eastAsia="宋体"/>
      <w:b/>
      <w:bCs/>
      <w:sz w:val="32"/>
      <w:szCs w:val="32"/>
      <w:lang w:bidi="ar-SA"/>
    </w:rPr>
  </w:style>
  <w:style w:type="character" w:customStyle="1" w:styleId="239">
    <w:name w:val="Footer-Even Char"/>
    <w:qFormat/>
    <w:uiPriority w:val="0"/>
    <w:rPr>
      <w:sz w:val="18"/>
      <w:szCs w:val="18"/>
    </w:rPr>
  </w:style>
  <w:style w:type="character" w:customStyle="1" w:styleId="240">
    <w:name w:val="标题 8 字符"/>
    <w:qFormat/>
    <w:uiPriority w:val="0"/>
    <w:rPr>
      <w:rFonts w:ascii="Arial" w:hAnsi="Arial" w:eastAsia="黑体"/>
      <w:kern w:val="2"/>
      <w:sz w:val="24"/>
      <w:vertAlign w:val="superscript"/>
    </w:rPr>
  </w:style>
  <w:style w:type="character" w:customStyle="1" w:styleId="241">
    <w:name w:val="标题 1 字符"/>
    <w:qFormat/>
    <w:uiPriority w:val="0"/>
    <w:rPr>
      <w:rFonts w:eastAsia="黑体"/>
      <w:snapToGrid/>
      <w:sz w:val="44"/>
    </w:rPr>
  </w:style>
  <w:style w:type="character" w:customStyle="1" w:styleId="242">
    <w:name w:val="content_title1"/>
    <w:qFormat/>
    <w:uiPriority w:val="0"/>
    <w:rPr>
      <w:rFonts w:eastAsia="宋体"/>
      <w:color w:val="9A1601"/>
      <w:kern w:val="2"/>
      <w:sz w:val="21"/>
      <w:szCs w:val="21"/>
      <w:lang w:val="en-US" w:eastAsia="zh-CN" w:bidi="ar-SA"/>
    </w:rPr>
  </w:style>
  <w:style w:type="character" w:customStyle="1" w:styleId="243">
    <w:name w:val="正文文本 2 Char"/>
    <w:qFormat/>
    <w:uiPriority w:val="0"/>
    <w:rPr>
      <w:rFonts w:ascii="等线" w:hAnsi="等线" w:eastAsia="等线" w:cs="等线"/>
    </w:rPr>
  </w:style>
  <w:style w:type="character" w:customStyle="1" w:styleId="244">
    <w:name w:val="标题 7 字符"/>
    <w:qFormat/>
    <w:uiPriority w:val="0"/>
    <w:rPr>
      <w:b/>
      <w:kern w:val="2"/>
      <w:sz w:val="24"/>
      <w:vertAlign w:val="superscript"/>
    </w:rPr>
  </w:style>
  <w:style w:type="character" w:customStyle="1" w:styleId="245">
    <w:name w:val="Char Char6"/>
    <w:qFormat/>
    <w:uiPriority w:val="0"/>
    <w:rPr>
      <w:rFonts w:ascii="新宋体" w:hAnsi="新宋体" w:eastAsia="仿宋_GB2312" w:cs="新宋体"/>
      <w:szCs w:val="24"/>
    </w:rPr>
  </w:style>
  <w:style w:type="character" w:customStyle="1" w:styleId="246">
    <w:name w:val="标题 5 字符"/>
    <w:qFormat/>
    <w:uiPriority w:val="0"/>
    <w:rPr>
      <w:kern w:val="2"/>
      <w:sz w:val="28"/>
    </w:rPr>
  </w:style>
  <w:style w:type="character" w:customStyle="1" w:styleId="247">
    <w:name w:val="smalltxt1"/>
    <w:qFormat/>
    <w:uiPriority w:val="0"/>
    <w:rPr>
      <w:rFonts w:hint="default" w:ascii="宋体,Verdana,Arial" w:hAnsi="宋体,Verdana,Arial"/>
      <w:sz w:val="24"/>
      <w:szCs w:val="24"/>
    </w:rPr>
  </w:style>
  <w:style w:type="character" w:customStyle="1" w:styleId="248">
    <w:name w:val="正文居中 Char Char"/>
    <w:link w:val="249"/>
    <w:qFormat/>
    <w:uiPriority w:val="0"/>
    <w:rPr>
      <w:kern w:val="2"/>
      <w:sz w:val="21"/>
      <w:szCs w:val="24"/>
    </w:rPr>
  </w:style>
  <w:style w:type="paragraph" w:customStyle="1" w:styleId="249">
    <w:name w:val="正文居中"/>
    <w:basedOn w:val="1"/>
    <w:link w:val="248"/>
    <w:qFormat/>
    <w:uiPriority w:val="0"/>
    <w:pPr>
      <w:jc w:val="center"/>
    </w:pPr>
  </w:style>
  <w:style w:type="character" w:customStyle="1" w:styleId="250">
    <w:name w:val="样式2 Char Char"/>
    <w:qFormat/>
    <w:uiPriority w:val="0"/>
    <w:rPr>
      <w:rFonts w:ascii="仿宋_GB2312" w:hAnsi="仿宋_GB2312" w:eastAsia="仿宋_GB2312"/>
      <w:bCs/>
      <w:kern w:val="2"/>
      <w:sz w:val="28"/>
      <w:szCs w:val="28"/>
      <w:lang w:val="en-US" w:eastAsia="zh-CN" w:bidi="ar-SA"/>
    </w:rPr>
  </w:style>
  <w:style w:type="character" w:customStyle="1" w:styleId="251">
    <w:name w:val="heading 6 Char1"/>
    <w:qFormat/>
    <w:uiPriority w:val="0"/>
    <w:rPr>
      <w:rFonts w:ascii="Tahoma" w:hAnsi="Tahoma" w:eastAsia="Helvetica"/>
      <w:kern w:val="2"/>
      <w:sz w:val="24"/>
      <w:szCs w:val="24"/>
      <w:lang w:val="en-US" w:eastAsia="zh-CN" w:bidi="ar-SA"/>
    </w:rPr>
  </w:style>
  <w:style w:type="character" w:customStyle="1" w:styleId="252">
    <w:name w:val="正文文本缩进 2 字符"/>
    <w:qFormat/>
    <w:uiPriority w:val="0"/>
    <w:rPr>
      <w:sz w:val="28"/>
    </w:rPr>
  </w:style>
  <w:style w:type="character" w:customStyle="1" w:styleId="253">
    <w:name w:val="正文文本缩进 字符"/>
    <w:qFormat/>
    <w:uiPriority w:val="0"/>
    <w:rPr>
      <w:sz w:val="28"/>
    </w:rPr>
  </w:style>
  <w:style w:type="character" w:customStyle="1" w:styleId="254">
    <w:name w:val="t11"/>
    <w:qFormat/>
    <w:uiPriority w:val="0"/>
    <w:rPr>
      <w:rFonts w:eastAsia="宋体"/>
      <w:color w:val="333333"/>
      <w:kern w:val="2"/>
      <w:sz w:val="18"/>
      <w:szCs w:val="18"/>
      <w:lang w:val="en-US" w:eastAsia="zh-CN" w:bidi="ar-SA"/>
    </w:rPr>
  </w:style>
  <w:style w:type="character" w:customStyle="1" w:styleId="255">
    <w:name w:val="正文文本 Char Char"/>
    <w:qFormat/>
    <w:uiPriority w:val="0"/>
    <w:rPr>
      <w:rFonts w:ascii="Times New Roman" w:hAnsi="Times New Roman"/>
      <w:kern w:val="2"/>
      <w:sz w:val="21"/>
      <w:szCs w:val="24"/>
    </w:rPr>
  </w:style>
  <w:style w:type="character" w:customStyle="1" w:styleId="256">
    <w:name w:val="引用 Char"/>
    <w:qFormat/>
    <w:uiPriority w:val="0"/>
    <w:rPr>
      <w:rFonts w:ascii="Century Gothic" w:hAnsi="Century Gothic" w:eastAsia="仿宋_GB2312"/>
      <w:i/>
      <w:iCs/>
      <w:color w:val="000000"/>
    </w:rPr>
  </w:style>
  <w:style w:type="paragraph" w:styleId="257">
    <w:name w:val="Quote"/>
    <w:basedOn w:val="1"/>
    <w:next w:val="1"/>
    <w:link w:val="458"/>
    <w:qFormat/>
    <w:uiPriority w:val="0"/>
    <w:rPr>
      <w:rFonts w:ascii="Century Gothic" w:hAnsi="Century Gothic" w:eastAsia="仿宋_GB2312"/>
      <w:i/>
      <w:iCs/>
      <w:color w:val="000000"/>
      <w:kern w:val="0"/>
      <w:sz w:val="20"/>
      <w:szCs w:val="20"/>
    </w:rPr>
  </w:style>
  <w:style w:type="character" w:customStyle="1" w:styleId="258">
    <w:name w:val="Plain Text Char"/>
    <w:qFormat/>
    <w:uiPriority w:val="0"/>
    <w:rPr>
      <w:rFonts w:ascii="仿宋_GB2312" w:hAnsi="Wingdings" w:eastAsia="仿宋_GB2312" w:cs="新宋体"/>
      <w:sz w:val="21"/>
      <w:szCs w:val="21"/>
    </w:rPr>
  </w:style>
  <w:style w:type="character" w:customStyle="1" w:styleId="259">
    <w:name w:val="A4 Char Char"/>
    <w:qFormat/>
    <w:uiPriority w:val="0"/>
    <w:rPr>
      <w:rFonts w:ascii="Cambria" w:hAnsi="Cambria" w:eastAsia="宋体"/>
      <w:b/>
      <w:bCs/>
      <w:sz w:val="28"/>
      <w:szCs w:val="28"/>
    </w:rPr>
  </w:style>
  <w:style w:type="character" w:customStyle="1" w:styleId="260">
    <w:name w:val="正文4 Char"/>
    <w:qFormat/>
    <w:uiPriority w:val="0"/>
    <w:rPr>
      <w:rFonts w:ascii="新宋体" w:hAnsi="新宋体" w:eastAsia="宋体" w:cs="新宋体"/>
      <w:kern w:val="2"/>
      <w:sz w:val="24"/>
      <w:szCs w:val="24"/>
      <w:lang w:val="en-US" w:eastAsia="zh-CN" w:bidi="ar-SA"/>
    </w:rPr>
  </w:style>
  <w:style w:type="character" w:customStyle="1" w:styleId="261">
    <w:name w:val="heading 5 Char1"/>
    <w:qFormat/>
    <w:uiPriority w:val="0"/>
    <w:rPr>
      <w:rFonts w:eastAsia="仿宋_GB2312"/>
      <w:b/>
      <w:bCs/>
      <w:kern w:val="2"/>
      <w:sz w:val="28"/>
      <w:szCs w:val="28"/>
      <w:lang w:val="en-US" w:eastAsia="zh-CN" w:bidi="ar-SA"/>
    </w:rPr>
  </w:style>
  <w:style w:type="character" w:customStyle="1" w:styleId="262">
    <w:name w:val="Char Char22"/>
    <w:qFormat/>
    <w:uiPriority w:val="0"/>
    <w:rPr>
      <w:rFonts w:ascii="Tahoma" w:hAnsi="Tahoma" w:eastAsia="Helvetica"/>
      <w:b/>
      <w:bCs/>
      <w:kern w:val="44"/>
      <w:sz w:val="30"/>
      <w:szCs w:val="44"/>
      <w:lang w:val="en-US" w:eastAsia="zh-CN" w:bidi="ar-SA"/>
    </w:rPr>
  </w:style>
  <w:style w:type="character" w:customStyle="1" w:styleId="263">
    <w:name w:val="表格 Char Char"/>
    <w:link w:val="264"/>
    <w:qFormat/>
    <w:uiPriority w:val="0"/>
    <w:rPr>
      <w:rFonts w:ascii="仿宋_GB2312" w:hAnsi="仿宋_GB2312" w:eastAsia="仿宋_GB2312"/>
    </w:rPr>
  </w:style>
  <w:style w:type="paragraph" w:customStyle="1" w:styleId="264">
    <w:name w:val="表格"/>
    <w:basedOn w:val="1"/>
    <w:link w:val="263"/>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5">
    <w:name w:val="一级标题 Char"/>
    <w:link w:val="266"/>
    <w:qFormat/>
    <w:uiPriority w:val="0"/>
    <w:rPr>
      <w:rFonts w:ascii="黑体" w:eastAsia="华文中宋"/>
      <w:b/>
      <w:kern w:val="44"/>
      <w:sz w:val="36"/>
      <w:szCs w:val="44"/>
    </w:rPr>
  </w:style>
  <w:style w:type="paragraph" w:customStyle="1" w:styleId="266">
    <w:name w:val="一级标题"/>
    <w:basedOn w:val="6"/>
    <w:link w:val="265"/>
    <w:qFormat/>
    <w:uiPriority w:val="0"/>
    <w:pPr>
      <w:keepLines/>
      <w:pageBreakBefore/>
      <w:spacing w:line="578" w:lineRule="auto"/>
      <w:ind w:left="432" w:hanging="432"/>
    </w:pPr>
    <w:rPr>
      <w:rFonts w:ascii="黑体" w:eastAsia="华文中宋"/>
      <w:bCs w:val="0"/>
      <w:kern w:val="44"/>
      <w:sz w:val="36"/>
      <w:szCs w:val="44"/>
    </w:rPr>
  </w:style>
  <w:style w:type="character" w:customStyle="1" w:styleId="267">
    <w:name w:val="批注框文本 字符1"/>
    <w:link w:val="42"/>
    <w:qFormat/>
    <w:uiPriority w:val="0"/>
    <w:rPr>
      <w:kern w:val="2"/>
      <w:sz w:val="18"/>
      <w:szCs w:val="18"/>
    </w:rPr>
  </w:style>
  <w:style w:type="character" w:customStyle="1" w:styleId="268">
    <w:name w:val="正文（小四+1.25倍行距） Char"/>
    <w:link w:val="269"/>
    <w:qFormat/>
    <w:uiPriority w:val="0"/>
    <w:rPr>
      <w:sz w:val="24"/>
      <w:szCs w:val="24"/>
    </w:rPr>
  </w:style>
  <w:style w:type="paragraph" w:customStyle="1" w:styleId="269">
    <w:name w:val="正文（小四+1.25倍行距）"/>
    <w:basedOn w:val="1"/>
    <w:link w:val="268"/>
    <w:qFormat/>
    <w:uiPriority w:val="0"/>
    <w:pPr>
      <w:spacing w:afterLines="50" w:line="300" w:lineRule="auto"/>
      <w:ind w:firstLine="420"/>
    </w:pPr>
    <w:rPr>
      <w:kern w:val="0"/>
      <w:sz w:val="24"/>
    </w:rPr>
  </w:style>
  <w:style w:type="character" w:customStyle="1" w:styleId="270">
    <w:name w:val="Ò³Ã¼ Char Char1"/>
    <w:qFormat/>
    <w:uiPriority w:val="0"/>
    <w:rPr>
      <w:rFonts w:eastAsia="仿宋_GB2312"/>
      <w:kern w:val="2"/>
      <w:sz w:val="18"/>
      <w:szCs w:val="18"/>
      <w:lang w:val="en-US" w:eastAsia="zh-CN" w:bidi="ar-SA"/>
    </w:rPr>
  </w:style>
  <w:style w:type="character" w:customStyle="1" w:styleId="271">
    <w:name w:val="正文首行缩进 字符"/>
    <w:basedOn w:val="272"/>
    <w:qFormat/>
    <w:uiPriority w:val="0"/>
    <w:rPr>
      <w:rFonts w:ascii="宋体"/>
      <w:sz w:val="21"/>
    </w:rPr>
  </w:style>
  <w:style w:type="character" w:customStyle="1" w:styleId="272">
    <w:name w:val="正文文本 字符"/>
    <w:qFormat/>
    <w:uiPriority w:val="0"/>
    <w:rPr>
      <w:rFonts w:ascii="宋体"/>
      <w:sz w:val="21"/>
    </w:rPr>
  </w:style>
  <w:style w:type="character" w:customStyle="1" w:styleId="273">
    <w:name w:val="信息标题 Char"/>
    <w:qFormat/>
    <w:uiPriority w:val="0"/>
    <w:rPr>
      <w:rFonts w:eastAsia="仿宋_GB2312"/>
      <w:kern w:val="2"/>
      <w:sz w:val="21"/>
      <w:szCs w:val="24"/>
      <w:shd w:val="pct20" w:color="auto" w:fill="auto"/>
    </w:rPr>
  </w:style>
  <w:style w:type="character" w:customStyle="1" w:styleId="274">
    <w:name w:val="A4 Char"/>
    <w:link w:val="275"/>
    <w:qFormat/>
    <w:uiPriority w:val="0"/>
    <w:rPr>
      <w:rFonts w:ascii="Cambria" w:hAnsi="Cambria" w:cs="新宋体"/>
      <w:b/>
      <w:bCs/>
      <w:sz w:val="28"/>
      <w:szCs w:val="28"/>
    </w:rPr>
  </w:style>
  <w:style w:type="paragraph" w:customStyle="1" w:styleId="275">
    <w:name w:val="A4"/>
    <w:basedOn w:val="9"/>
    <w:link w:val="274"/>
    <w:qFormat/>
    <w:uiPriority w:val="0"/>
    <w:pPr>
      <w:spacing w:line="377" w:lineRule="auto"/>
      <w:jc w:val="left"/>
    </w:pPr>
    <w:rPr>
      <w:rFonts w:cs="新宋体"/>
      <w:kern w:val="0"/>
    </w:rPr>
  </w:style>
  <w:style w:type="character" w:customStyle="1" w:styleId="276">
    <w:name w:val="Char Char61"/>
    <w:qFormat/>
    <w:uiPriority w:val="0"/>
    <w:rPr>
      <w:rFonts w:ascii="新宋体" w:hAnsi="新宋体" w:eastAsia="仿宋_GB2312" w:cs="新宋体"/>
      <w:szCs w:val="24"/>
    </w:rPr>
  </w:style>
  <w:style w:type="character" w:customStyle="1" w:styleId="277">
    <w:name w:val="符号正文缩进 Char Char"/>
    <w:link w:val="278"/>
    <w:qFormat/>
    <w:uiPriority w:val="0"/>
    <w:rPr>
      <w:kern w:val="2"/>
      <w:sz w:val="24"/>
      <w:szCs w:val="24"/>
    </w:rPr>
  </w:style>
  <w:style w:type="paragraph" w:customStyle="1" w:styleId="278">
    <w:name w:val="符号正文缩进"/>
    <w:basedOn w:val="18"/>
    <w:link w:val="277"/>
    <w:qFormat/>
    <w:uiPriority w:val="0"/>
    <w:pPr>
      <w:tabs>
        <w:tab w:val="left" w:pos="1497"/>
      </w:tabs>
      <w:spacing w:line="400" w:lineRule="atLeast"/>
      <w:ind w:left="567" w:firstLine="510"/>
    </w:pPr>
    <w:rPr>
      <w:kern w:val="2"/>
      <w:sz w:val="24"/>
      <w:szCs w:val="24"/>
    </w:rPr>
  </w:style>
  <w:style w:type="character" w:customStyle="1" w:styleId="279">
    <w:name w:val="Char Char11"/>
    <w:qFormat/>
    <w:uiPriority w:val="0"/>
    <w:rPr>
      <w:rFonts w:ascii="新宋体" w:hAnsi="新宋体" w:eastAsia="仿宋_GB2312" w:cs="新宋体"/>
      <w:sz w:val="18"/>
      <w:szCs w:val="18"/>
    </w:rPr>
  </w:style>
  <w:style w:type="character" w:customStyle="1" w:styleId="280">
    <w:name w:val="heading 1 Char2"/>
    <w:qFormat/>
    <w:uiPriority w:val="0"/>
    <w:rPr>
      <w:b/>
      <w:bCs/>
      <w:kern w:val="44"/>
      <w:sz w:val="44"/>
      <w:szCs w:val="44"/>
    </w:rPr>
  </w:style>
  <w:style w:type="character" w:customStyle="1" w:styleId="281">
    <w:name w:val="Char Char13"/>
    <w:basedOn w:val="65"/>
    <w:qFormat/>
    <w:uiPriority w:val="0"/>
    <w:rPr>
      <w:rFonts w:ascii="Times New Roman" w:hAnsi="Times New Roman" w:eastAsia="宋体" w:cs="Times New Roman"/>
      <w:b/>
      <w:bCs/>
      <w:color w:val="auto"/>
      <w:kern w:val="2"/>
      <w:szCs w:val="20"/>
    </w:rPr>
  </w:style>
  <w:style w:type="character" w:customStyle="1" w:styleId="282">
    <w:name w:val="heading 7 Char1"/>
    <w:qFormat/>
    <w:uiPriority w:val="0"/>
    <w:rPr>
      <w:rFonts w:ascii="Tahoma" w:hAnsi="Tahoma" w:eastAsia="Helvetica"/>
      <w:sz w:val="21"/>
      <w:szCs w:val="21"/>
      <w:lang w:val="en-US" w:eastAsia="zh-CN" w:bidi="ar-SA"/>
    </w:rPr>
  </w:style>
  <w:style w:type="character" w:customStyle="1" w:styleId="283">
    <w:name w:val="Style2"/>
    <w:qFormat/>
    <w:uiPriority w:val="0"/>
    <w:rPr>
      <w:rFonts w:ascii="Century Gothic" w:hAnsi="仿宋_GB2312" w:eastAsia="仿宋_GB2312" w:cs="新宋体"/>
      <w:sz w:val="22"/>
      <w:szCs w:val="22"/>
      <w:lang w:eastAsia="zh-CN"/>
    </w:rPr>
  </w:style>
  <w:style w:type="character" w:customStyle="1" w:styleId="284">
    <w:name w:val="blue1"/>
    <w:basedOn w:val="65"/>
    <w:qFormat/>
    <w:uiPriority w:val="0"/>
  </w:style>
  <w:style w:type="character" w:customStyle="1" w:styleId="285">
    <w:name w:val="style111"/>
    <w:qFormat/>
    <w:uiPriority w:val="0"/>
    <w:rPr>
      <w:sz w:val="27"/>
      <w:szCs w:val="27"/>
    </w:rPr>
  </w:style>
  <w:style w:type="character" w:customStyle="1" w:styleId="286">
    <w:name w:val="emailstyle15"/>
    <w:qFormat/>
    <w:uiPriority w:val="0"/>
    <w:rPr>
      <w:rFonts w:ascii="Arial" w:hAnsi="Arial" w:eastAsia="宋体" w:cs="Arial"/>
      <w:color w:val="auto"/>
      <w:kern w:val="2"/>
      <w:sz w:val="20"/>
      <w:szCs w:val="24"/>
      <w:lang w:val="en-US" w:eastAsia="zh-CN" w:bidi="ar-SA"/>
    </w:rPr>
  </w:style>
  <w:style w:type="character" w:customStyle="1" w:styleId="287">
    <w:name w:val="个人撰写风格"/>
    <w:qFormat/>
    <w:uiPriority w:val="0"/>
    <w:rPr>
      <w:rFonts w:ascii="Arial" w:hAnsi="Arial" w:eastAsia="宋体" w:cs="Arial"/>
      <w:color w:val="auto"/>
      <w:kern w:val="2"/>
      <w:sz w:val="20"/>
      <w:szCs w:val="24"/>
      <w:lang w:val="en-US" w:eastAsia="zh-CN" w:bidi="ar-SA"/>
    </w:rPr>
  </w:style>
  <w:style w:type="character" w:customStyle="1" w:styleId="288">
    <w:name w:val="font01"/>
    <w:qFormat/>
    <w:uiPriority w:val="0"/>
    <w:rPr>
      <w:rFonts w:hint="eastAsia" w:ascii="宋体" w:hAnsi="宋体" w:eastAsia="宋体" w:cs="宋体"/>
      <w:color w:val="000000"/>
      <w:sz w:val="18"/>
      <w:szCs w:val="18"/>
      <w:u w:val="none"/>
      <w:vertAlign w:val="superscript"/>
    </w:rPr>
  </w:style>
  <w:style w:type="character" w:customStyle="1" w:styleId="289">
    <w:name w:val="Char Char21"/>
    <w:qFormat/>
    <w:uiPriority w:val="0"/>
    <w:rPr>
      <w:rFonts w:ascii="新宋体" w:hAnsi="新宋体" w:eastAsia="仿宋_GB2312" w:cs="新宋体"/>
      <w:b/>
      <w:bCs/>
      <w:kern w:val="44"/>
      <w:sz w:val="44"/>
      <w:szCs w:val="44"/>
    </w:rPr>
  </w:style>
  <w:style w:type="character" w:customStyle="1" w:styleId="290">
    <w:name w:val="Char Char24"/>
    <w:qFormat/>
    <w:uiPriority w:val="0"/>
    <w:rPr>
      <w:rFonts w:ascii="Verdana" w:hAnsi="Verdana" w:eastAsia="仿宋_GB2312"/>
      <w:b/>
      <w:bCs/>
      <w:kern w:val="2"/>
      <w:sz w:val="32"/>
      <w:szCs w:val="32"/>
      <w:lang w:val="en-US" w:eastAsia="zh-CN" w:bidi="ar-SA"/>
    </w:rPr>
  </w:style>
  <w:style w:type="character" w:customStyle="1" w:styleId="291">
    <w:name w:val="Char Char181"/>
    <w:qFormat/>
    <w:uiPriority w:val="0"/>
    <w:rPr>
      <w:rFonts w:ascii="Tahoma" w:hAnsi="Tahoma" w:eastAsia="Helvetica"/>
      <w:sz w:val="24"/>
      <w:lang w:val="en-US" w:eastAsia="zh-CN" w:bidi="ar-SA"/>
    </w:rPr>
  </w:style>
  <w:style w:type="character" w:customStyle="1" w:styleId="292">
    <w:name w:val="heading 5 Char"/>
    <w:qFormat/>
    <w:uiPriority w:val="0"/>
    <w:rPr>
      <w:rFonts w:ascii="Tahoma" w:hAnsi="Tahoma" w:eastAsia="Helvetica"/>
      <w:sz w:val="21"/>
      <w:szCs w:val="21"/>
    </w:rPr>
  </w:style>
  <w:style w:type="character" w:customStyle="1" w:styleId="293">
    <w:name w:val="heading 3 Char2"/>
    <w:qFormat/>
    <w:uiPriority w:val="0"/>
    <w:rPr>
      <w:b/>
      <w:bCs/>
      <w:kern w:val="2"/>
      <w:sz w:val="32"/>
      <w:szCs w:val="32"/>
    </w:rPr>
  </w:style>
  <w:style w:type="character" w:customStyle="1" w:styleId="294">
    <w:name w:val="列出段落 Char1"/>
    <w:qFormat/>
    <w:uiPriority w:val="0"/>
    <w:rPr>
      <w:kern w:val="2"/>
      <w:sz w:val="21"/>
      <w:szCs w:val="24"/>
    </w:rPr>
  </w:style>
  <w:style w:type="character" w:customStyle="1" w:styleId="295">
    <w:name w:val="Footer-Even Char2"/>
    <w:qFormat/>
    <w:uiPriority w:val="0"/>
    <w:rPr>
      <w:kern w:val="2"/>
      <w:sz w:val="18"/>
      <w:szCs w:val="18"/>
    </w:rPr>
  </w:style>
  <w:style w:type="character" w:customStyle="1" w:styleId="296">
    <w:name w:val="heading 1 Char1"/>
    <w:qFormat/>
    <w:uiPriority w:val="0"/>
    <w:rPr>
      <w:rFonts w:eastAsia="仿宋_GB2312"/>
      <w:b/>
      <w:bCs/>
      <w:kern w:val="44"/>
      <w:sz w:val="44"/>
      <w:szCs w:val="44"/>
      <w:lang w:val="en-US" w:eastAsia="zh-CN" w:bidi="ar-SA"/>
    </w:rPr>
  </w:style>
  <w:style w:type="character" w:customStyle="1" w:styleId="297">
    <w:name w:val="kpk:正文 Char"/>
    <w:link w:val="298"/>
    <w:qFormat/>
    <w:uiPriority w:val="0"/>
    <w:rPr>
      <w:rFonts w:ascii="宋体" w:hAnsi="宋体"/>
      <w:kern w:val="2"/>
      <w:sz w:val="24"/>
      <w:szCs w:val="24"/>
      <w:lang w:val="en-GB"/>
    </w:rPr>
  </w:style>
  <w:style w:type="paragraph" w:customStyle="1" w:styleId="298">
    <w:name w:val="kpk:正文"/>
    <w:basedOn w:val="1"/>
    <w:link w:val="297"/>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299">
    <w:name w:val="彩色列表 - 强调文字颜色 1 Char"/>
    <w:link w:val="300"/>
    <w:qFormat/>
    <w:uiPriority w:val="0"/>
    <w:rPr>
      <w:kern w:val="2"/>
      <w:sz w:val="21"/>
      <w:szCs w:val="22"/>
    </w:rPr>
  </w:style>
  <w:style w:type="paragraph" w:customStyle="1" w:styleId="300">
    <w:name w:val="彩色列表 - 强调文字颜色 11"/>
    <w:basedOn w:val="1"/>
    <w:link w:val="299"/>
    <w:qFormat/>
    <w:uiPriority w:val="0"/>
    <w:pPr>
      <w:ind w:firstLine="420" w:firstLineChars="200"/>
    </w:pPr>
    <w:rPr>
      <w:szCs w:val="22"/>
    </w:rPr>
  </w:style>
  <w:style w:type="character" w:customStyle="1" w:styleId="301">
    <w:name w:val="A3 Char"/>
    <w:link w:val="302"/>
    <w:qFormat/>
    <w:uiPriority w:val="0"/>
    <w:rPr>
      <w:b/>
      <w:bCs/>
      <w:sz w:val="32"/>
      <w:szCs w:val="32"/>
    </w:rPr>
  </w:style>
  <w:style w:type="paragraph" w:customStyle="1" w:styleId="302">
    <w:name w:val="A3"/>
    <w:basedOn w:val="8"/>
    <w:link w:val="301"/>
    <w:qFormat/>
    <w:uiPriority w:val="0"/>
    <w:pPr>
      <w:spacing w:before="0" w:after="0" w:line="415" w:lineRule="auto"/>
      <w:ind w:left="720" w:hanging="720"/>
      <w:jc w:val="left"/>
    </w:pPr>
    <w:rPr>
      <w:kern w:val="0"/>
    </w:rPr>
  </w:style>
  <w:style w:type="character" w:customStyle="1" w:styleId="303">
    <w:name w:val="批注框文本 字符"/>
    <w:semiHidden/>
    <w:qFormat/>
    <w:uiPriority w:val="0"/>
    <w:rPr>
      <w:sz w:val="18"/>
      <w:szCs w:val="18"/>
    </w:rPr>
  </w:style>
  <w:style w:type="character" w:customStyle="1" w:styleId="304">
    <w:name w:val="正文文本缩进 2 字符1"/>
    <w:link w:val="40"/>
    <w:qFormat/>
    <w:uiPriority w:val="0"/>
    <w:rPr>
      <w:kern w:val="2"/>
      <w:sz w:val="24"/>
      <w:szCs w:val="24"/>
    </w:rPr>
  </w:style>
  <w:style w:type="character" w:customStyle="1" w:styleId="305">
    <w:name w:val="Table Text Char"/>
    <w:link w:val="306"/>
    <w:qFormat/>
    <w:uiPriority w:val="0"/>
    <w:rPr>
      <w:rFonts w:eastAsia="仿宋_GB2312"/>
      <w:sz w:val="24"/>
    </w:rPr>
  </w:style>
  <w:style w:type="paragraph" w:customStyle="1" w:styleId="306">
    <w:name w:val="Table Text"/>
    <w:basedOn w:val="1"/>
    <w:link w:val="305"/>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7">
    <w:name w:val="!我的正文 Ctr+Q Char Char"/>
    <w:qFormat/>
    <w:uiPriority w:val="0"/>
    <w:rPr>
      <w:rFonts w:ascii="Arial" w:hAnsi="Arial"/>
      <w:kern w:val="2"/>
      <w:sz w:val="24"/>
      <w:szCs w:val="21"/>
      <w:lang w:bidi="ar-SA"/>
    </w:rPr>
  </w:style>
  <w:style w:type="character" w:customStyle="1" w:styleId="308">
    <w:name w:val="BZ_四级标题 Char"/>
    <w:link w:val="160"/>
    <w:qFormat/>
    <w:uiPriority w:val="0"/>
    <w:rPr>
      <w:rFonts w:eastAsia="黑体"/>
      <w:bCs/>
      <w:kern w:val="2"/>
      <w:sz w:val="24"/>
      <w:szCs w:val="28"/>
    </w:rPr>
  </w:style>
  <w:style w:type="character" w:customStyle="1" w:styleId="309">
    <w:name w:val="Char Char17"/>
    <w:qFormat/>
    <w:uiPriority w:val="0"/>
    <w:rPr>
      <w:rFonts w:ascii="Tahoma" w:hAnsi="Tahoma" w:eastAsia="Helvetica"/>
      <w:sz w:val="21"/>
      <w:lang w:val="en-US" w:eastAsia="zh-CN" w:bidi="ar-SA"/>
    </w:rPr>
  </w:style>
  <w:style w:type="character" w:customStyle="1" w:styleId="310">
    <w:name w:val="heading 2 Char2"/>
    <w:qFormat/>
    <w:uiPriority w:val="0"/>
    <w:rPr>
      <w:rFonts w:ascii="Verdana" w:hAnsi="Verdana"/>
      <w:b/>
      <w:bCs/>
      <w:kern w:val="2"/>
      <w:sz w:val="32"/>
      <w:szCs w:val="32"/>
    </w:rPr>
  </w:style>
  <w:style w:type="character" w:customStyle="1" w:styleId="311">
    <w:name w:val="正文缩进字符"/>
    <w:link w:val="312"/>
    <w:qFormat/>
    <w:uiPriority w:val="0"/>
    <w:rPr>
      <w:rFonts w:ascii="宋体"/>
      <w:sz w:val="24"/>
    </w:rPr>
  </w:style>
  <w:style w:type="paragraph" w:customStyle="1" w:styleId="312">
    <w:name w:val="正文缩进2"/>
    <w:basedOn w:val="1"/>
    <w:link w:val="311"/>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3">
    <w:name w:val="1Text Char"/>
    <w:link w:val="314"/>
    <w:qFormat/>
    <w:uiPriority w:val="0"/>
    <w:rPr>
      <w:rFonts w:ascii="Calibri" w:hAnsi="Calibri"/>
      <w:sz w:val="24"/>
      <w:szCs w:val="24"/>
    </w:rPr>
  </w:style>
  <w:style w:type="paragraph" w:customStyle="1" w:styleId="314">
    <w:name w:val="1Text"/>
    <w:basedOn w:val="1"/>
    <w:link w:val="313"/>
    <w:qFormat/>
    <w:uiPriority w:val="0"/>
    <w:pPr>
      <w:spacing w:beforeLines="50" w:afterLines="50" w:line="360" w:lineRule="auto"/>
      <w:ind w:firstLine="480" w:firstLineChars="200"/>
      <w:jc w:val="left"/>
    </w:pPr>
    <w:rPr>
      <w:rFonts w:ascii="Calibri" w:hAnsi="Calibri"/>
      <w:kern w:val="0"/>
      <w:sz w:val="24"/>
    </w:rPr>
  </w:style>
  <w:style w:type="character" w:customStyle="1" w:styleId="315">
    <w:name w:val="文档结构图 字符"/>
    <w:semiHidden/>
    <w:qFormat/>
    <w:uiPriority w:val="99"/>
    <w:rPr>
      <w:rFonts w:ascii="宋体"/>
      <w:sz w:val="18"/>
      <w:szCs w:val="18"/>
    </w:rPr>
  </w:style>
  <w:style w:type="character" w:customStyle="1" w:styleId="316">
    <w:name w:val="heading 8 Char1"/>
    <w:qFormat/>
    <w:uiPriority w:val="0"/>
    <w:rPr>
      <w:rFonts w:ascii="Tahoma" w:hAnsi="Tahoma" w:eastAsia="Helvetica"/>
      <w:sz w:val="24"/>
      <w:lang w:val="en-US" w:eastAsia="zh-CN" w:bidi="ar-SA"/>
    </w:rPr>
  </w:style>
  <w:style w:type="character" w:customStyle="1" w:styleId="317">
    <w:name w:val="Char Char171"/>
    <w:qFormat/>
    <w:uiPriority w:val="0"/>
    <w:rPr>
      <w:rFonts w:ascii="Verdana" w:hAnsi="Verdana"/>
      <w:b/>
      <w:bCs/>
      <w:kern w:val="2"/>
      <w:sz w:val="28"/>
      <w:szCs w:val="28"/>
    </w:rPr>
  </w:style>
  <w:style w:type="character" w:customStyle="1" w:styleId="318">
    <w:name w:val="副标题 Char"/>
    <w:qFormat/>
    <w:uiPriority w:val="0"/>
    <w:rPr>
      <w:rFonts w:ascii="Verdana" w:hAnsi="Verdana" w:eastAsia="仿宋_GB2312"/>
      <w:b/>
      <w:bCs/>
      <w:kern w:val="28"/>
      <w:sz w:val="32"/>
      <w:szCs w:val="32"/>
    </w:rPr>
  </w:style>
  <w:style w:type="character" w:customStyle="1" w:styleId="319">
    <w:name w:val="内容文本 Char"/>
    <w:link w:val="320"/>
    <w:qFormat/>
    <w:uiPriority w:val="0"/>
    <w:rPr>
      <w:rFonts w:ascii="宋体" w:hAnsi="宋体"/>
      <w:sz w:val="24"/>
      <w:szCs w:val="24"/>
      <w:lang w:eastAsia="en-US" w:bidi="en-US"/>
    </w:rPr>
  </w:style>
  <w:style w:type="paragraph" w:customStyle="1" w:styleId="320">
    <w:name w:val="内容文本"/>
    <w:basedOn w:val="300"/>
    <w:link w:val="319"/>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1">
    <w:name w:val="明显引用 Char"/>
    <w:qFormat/>
    <w:uiPriority w:val="0"/>
    <w:rPr>
      <w:rFonts w:ascii="Century Gothic" w:hAnsi="Century Gothic" w:eastAsia="仿宋_GB2312"/>
      <w:b/>
      <w:bCs/>
      <w:i/>
      <w:iCs/>
      <w:color w:val="4F81BD"/>
    </w:rPr>
  </w:style>
  <w:style w:type="paragraph" w:styleId="322">
    <w:name w:val="Intense Quote"/>
    <w:basedOn w:val="1"/>
    <w:next w:val="1"/>
    <w:link w:val="593"/>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3">
    <w:name w:val="Style5"/>
    <w:qFormat/>
    <w:uiPriority w:val="0"/>
    <w:rPr>
      <w:rFonts w:ascii="Century Gothic" w:hAnsi="仿宋_GB2312" w:eastAsia="仿宋_GB2312" w:cs="新宋体"/>
      <w:sz w:val="22"/>
      <w:szCs w:val="22"/>
      <w:lang w:eastAsia="zh-CN"/>
    </w:rPr>
  </w:style>
  <w:style w:type="character" w:customStyle="1" w:styleId="324">
    <w:name w:val="HTML 预设格式 Char"/>
    <w:qFormat/>
    <w:uiPriority w:val="0"/>
    <w:rPr>
      <w:rFonts w:ascii="黑体" w:hAnsi="Courier New" w:eastAsia="黑体"/>
    </w:rPr>
  </w:style>
  <w:style w:type="character" w:customStyle="1" w:styleId="325">
    <w:name w:val="BZ_图 Char"/>
    <w:link w:val="326"/>
    <w:qFormat/>
    <w:uiPriority w:val="0"/>
    <w:rPr>
      <w:kern w:val="2"/>
      <w:sz w:val="21"/>
      <w:szCs w:val="24"/>
    </w:rPr>
  </w:style>
  <w:style w:type="paragraph" w:customStyle="1" w:styleId="326">
    <w:name w:val="BZ_图"/>
    <w:basedOn w:val="1"/>
    <w:next w:val="1"/>
    <w:link w:val="325"/>
    <w:qFormat/>
    <w:uiPriority w:val="0"/>
    <w:pPr>
      <w:keepNext/>
      <w:widowControl/>
      <w:spacing w:beforeLines="50" w:afterLines="50"/>
      <w:jc w:val="center"/>
    </w:pPr>
  </w:style>
  <w:style w:type="character" w:customStyle="1" w:styleId="327">
    <w:name w:val="Char Char Char Char Char Char Char Char Char Char Char Char Char Char Char"/>
    <w:qFormat/>
    <w:uiPriority w:val="0"/>
    <w:rPr>
      <w:rFonts w:ascii="仿宋_GB2312" w:hAnsi="Wingdings" w:eastAsia="仿宋_GB2312"/>
      <w:sz w:val="21"/>
      <w:szCs w:val="21"/>
      <w:lang w:val="en-US" w:eastAsia="zh-CN" w:bidi="ar-SA"/>
    </w:rPr>
  </w:style>
  <w:style w:type="character" w:customStyle="1" w:styleId="328">
    <w:name w:val="标题 3 字符"/>
    <w:qFormat/>
    <w:uiPriority w:val="0"/>
    <w:rPr>
      <w:rFonts w:eastAsia="黑体"/>
      <w:b/>
      <w:sz w:val="28"/>
    </w:rPr>
  </w:style>
  <w:style w:type="character" w:customStyle="1" w:styleId="329">
    <w:name w:val="dandyren_title1"/>
    <w:qFormat/>
    <w:uiPriority w:val="0"/>
    <w:rPr>
      <w:b/>
      <w:bCs/>
      <w:color w:val="FF6633"/>
      <w:sz w:val="18"/>
      <w:szCs w:val="18"/>
    </w:rPr>
  </w:style>
  <w:style w:type="character" w:customStyle="1" w:styleId="330">
    <w:name w:val="样式 正文缩进首行缩进两字正文（首行缩进两字） Char正文（首行缩进两字） Char Char Char正文（首行缩进... Char"/>
    <w:link w:val="331"/>
    <w:qFormat/>
    <w:uiPriority w:val="0"/>
    <w:rPr>
      <w:rFonts w:cs="宋体"/>
      <w:szCs w:val="28"/>
    </w:rPr>
  </w:style>
  <w:style w:type="paragraph" w:customStyle="1" w:styleId="331">
    <w:name w:val="样式 正文缩进首行缩进两字正文（首行缩进两字） Char正文（首行缩进两字） Char Char Char正文（首行缩进..."/>
    <w:basedOn w:val="18"/>
    <w:link w:val="330"/>
    <w:qFormat/>
    <w:uiPriority w:val="0"/>
    <w:pPr>
      <w:autoSpaceDE w:val="0"/>
      <w:autoSpaceDN w:val="0"/>
      <w:spacing w:line="240" w:lineRule="auto"/>
      <w:ind w:firstLine="567"/>
    </w:pPr>
    <w:rPr>
      <w:rFonts w:cs="宋体"/>
      <w:sz w:val="20"/>
      <w:szCs w:val="28"/>
    </w:rPr>
  </w:style>
  <w:style w:type="character" w:customStyle="1" w:styleId="332">
    <w:name w:val="1Text Char Char"/>
    <w:qFormat/>
    <w:uiPriority w:val="0"/>
    <w:rPr>
      <w:rFonts w:ascii="Calibri" w:hAnsi="Calibri" w:eastAsia="宋体"/>
      <w:sz w:val="24"/>
      <w:szCs w:val="24"/>
      <w:lang w:bidi="ar-SA"/>
    </w:rPr>
  </w:style>
  <w:style w:type="character" w:customStyle="1" w:styleId="333">
    <w:name w:val="Char Char211"/>
    <w:qFormat/>
    <w:uiPriority w:val="0"/>
    <w:rPr>
      <w:rFonts w:ascii="新宋体" w:hAnsi="新宋体" w:eastAsia="仿宋_GB2312" w:cs="新宋体"/>
      <w:b/>
      <w:bCs/>
      <w:kern w:val="44"/>
      <w:sz w:val="44"/>
      <w:szCs w:val="44"/>
    </w:rPr>
  </w:style>
  <w:style w:type="character" w:customStyle="1" w:styleId="334">
    <w:name w:val="强调划线"/>
    <w:qFormat/>
    <w:uiPriority w:val="0"/>
    <w:rPr>
      <w:u w:val="single"/>
    </w:rPr>
  </w:style>
  <w:style w:type="character" w:customStyle="1" w:styleId="335">
    <w:name w:val="backtitle1"/>
    <w:qFormat/>
    <w:uiPriority w:val="0"/>
    <w:rPr>
      <w:rFonts w:eastAsia="宋体"/>
      <w:b/>
      <w:bCs/>
      <w:color w:val="000000"/>
      <w:kern w:val="2"/>
      <w:sz w:val="18"/>
      <w:szCs w:val="18"/>
      <w:lang w:val="en-US" w:eastAsia="zh-CN" w:bidi="ar-SA"/>
    </w:rPr>
  </w:style>
  <w:style w:type="character" w:customStyle="1" w:styleId="336">
    <w:name w:val="哈哈正文 Char Char"/>
    <w:qFormat/>
    <w:uiPriority w:val="0"/>
    <w:rPr>
      <w:rFonts w:ascii="宋体" w:hAnsi="宋体"/>
      <w:kern w:val="2"/>
      <w:sz w:val="24"/>
      <w:lang w:bidi="ar-SA"/>
    </w:rPr>
  </w:style>
  <w:style w:type="character" w:customStyle="1" w:styleId="337">
    <w:name w:val="正文首行缩进 2 Char"/>
    <w:qFormat/>
    <w:uiPriority w:val="0"/>
    <w:rPr>
      <w:kern w:val="2"/>
      <w:sz w:val="21"/>
      <w:szCs w:val="24"/>
    </w:rPr>
  </w:style>
  <w:style w:type="character" w:customStyle="1" w:styleId="338">
    <w:name w:val="注释题目"/>
    <w:qFormat/>
    <w:uiPriority w:val="0"/>
    <w:rPr>
      <w:rFonts w:eastAsia="黑体"/>
      <w:sz w:val="28"/>
      <w:u w:val="none"/>
    </w:rPr>
  </w:style>
  <w:style w:type="character" w:customStyle="1" w:styleId="339">
    <w:name w:val="三级标题 Char"/>
    <w:link w:val="340"/>
    <w:qFormat/>
    <w:uiPriority w:val="0"/>
    <w:rPr>
      <w:rFonts w:eastAsia="黑体"/>
      <w:b/>
      <w:kern w:val="2"/>
      <w:sz w:val="28"/>
      <w:szCs w:val="22"/>
    </w:rPr>
  </w:style>
  <w:style w:type="paragraph" w:customStyle="1" w:styleId="340">
    <w:name w:val="三级标题"/>
    <w:basedOn w:val="1"/>
    <w:link w:val="339"/>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1">
    <w:name w:val="样式 宋体"/>
    <w:qFormat/>
    <w:uiPriority w:val="0"/>
    <w:rPr>
      <w:rFonts w:ascii="仿宋_GB2312" w:hAnsi="仿宋_GB2312" w:eastAsia="仿宋_GB2312"/>
      <w:sz w:val="24"/>
      <w:szCs w:val="24"/>
    </w:rPr>
  </w:style>
  <w:style w:type="character" w:customStyle="1" w:styleId="342">
    <w:name w:val="heading 1 Char"/>
    <w:qFormat/>
    <w:uiPriority w:val="0"/>
    <w:rPr>
      <w:rFonts w:ascii="Tahoma" w:hAnsi="Tahoma" w:eastAsia="Helvetica"/>
      <w:b/>
      <w:sz w:val="36"/>
      <w:szCs w:val="36"/>
    </w:rPr>
  </w:style>
  <w:style w:type="character" w:customStyle="1" w:styleId="343">
    <w:name w:val="栏目标题 Char Char"/>
    <w:link w:val="344"/>
    <w:qFormat/>
    <w:uiPriority w:val="0"/>
    <w:rPr>
      <w:rFonts w:ascii="黑体" w:hAnsi="黑体" w:eastAsia="黑体"/>
      <w:b/>
      <w:kern w:val="2"/>
      <w:sz w:val="21"/>
      <w:szCs w:val="24"/>
    </w:rPr>
  </w:style>
  <w:style w:type="paragraph" w:customStyle="1" w:styleId="344">
    <w:name w:val="栏目标题"/>
    <w:basedOn w:val="1"/>
    <w:link w:val="343"/>
    <w:qFormat/>
    <w:uiPriority w:val="0"/>
    <w:pPr>
      <w:jc w:val="center"/>
    </w:pPr>
    <w:rPr>
      <w:rFonts w:ascii="黑体" w:hAnsi="黑体" w:eastAsia="黑体"/>
      <w:b/>
    </w:rPr>
  </w:style>
  <w:style w:type="character" w:customStyle="1" w:styleId="345">
    <w:name w:val="纯文本 字符"/>
    <w:qFormat/>
    <w:uiPriority w:val="0"/>
    <w:rPr>
      <w:rFonts w:ascii="宋体" w:hAnsi="Courier New"/>
      <w:kern w:val="2"/>
      <w:sz w:val="21"/>
    </w:rPr>
  </w:style>
  <w:style w:type="character" w:customStyle="1" w:styleId="346">
    <w:name w:val="!我的正文 Ctr+Q Char"/>
    <w:link w:val="347"/>
    <w:qFormat/>
    <w:uiPriority w:val="0"/>
    <w:rPr>
      <w:rFonts w:ascii="Arial" w:hAnsi="Arial"/>
      <w:kern w:val="2"/>
      <w:sz w:val="24"/>
      <w:szCs w:val="21"/>
    </w:rPr>
  </w:style>
  <w:style w:type="paragraph" w:customStyle="1" w:styleId="347">
    <w:name w:val="!我的正文 Ctr+Q"/>
    <w:basedOn w:val="1"/>
    <w:link w:val="346"/>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8">
    <w:name w:val="标题 9 字符"/>
    <w:qFormat/>
    <w:uiPriority w:val="0"/>
    <w:rPr>
      <w:rFonts w:ascii="Arial" w:hAnsi="Arial" w:eastAsia="黑体"/>
      <w:kern w:val="2"/>
      <w:sz w:val="21"/>
      <w:vertAlign w:val="superscript"/>
    </w:rPr>
  </w:style>
  <w:style w:type="character" w:customStyle="1" w:styleId="349">
    <w:name w:val="Char Char12"/>
    <w:qFormat/>
    <w:uiPriority w:val="0"/>
    <w:rPr>
      <w:rFonts w:ascii="仿宋_GB2312" w:hAnsi="Wingdings" w:eastAsia="仿宋_GB2312"/>
      <w:sz w:val="21"/>
      <w:szCs w:val="21"/>
      <w:lang w:val="en-US" w:eastAsia="zh-CN" w:bidi="ar-SA"/>
    </w:rPr>
  </w:style>
  <w:style w:type="character" w:customStyle="1" w:styleId="350">
    <w:name w:val="Char Char221"/>
    <w:qFormat/>
    <w:uiPriority w:val="0"/>
    <w:rPr>
      <w:rFonts w:ascii="Verdana" w:hAnsi="Verdana" w:eastAsia="仿宋_GB2312"/>
      <w:b/>
      <w:bCs/>
      <w:kern w:val="2"/>
      <w:sz w:val="28"/>
      <w:szCs w:val="28"/>
      <w:lang w:val="en-US" w:eastAsia="zh-CN" w:bidi="ar-SA"/>
    </w:rPr>
  </w:style>
  <w:style w:type="character" w:customStyle="1" w:styleId="351">
    <w:name w:val="Footer-Even Char1"/>
    <w:qFormat/>
    <w:uiPriority w:val="0"/>
    <w:rPr>
      <w:rFonts w:eastAsia="仿宋_GB2312"/>
      <w:kern w:val="2"/>
      <w:sz w:val="18"/>
      <w:szCs w:val="18"/>
      <w:lang w:val="en-US" w:eastAsia="zh-CN" w:bidi="ar-SA"/>
    </w:rPr>
  </w:style>
  <w:style w:type="character" w:customStyle="1" w:styleId="352">
    <w:name w:val="xl77 Char"/>
    <w:link w:val="353"/>
    <w:qFormat/>
    <w:uiPriority w:val="0"/>
    <w:rPr>
      <w:b/>
      <w:bCs/>
      <w:sz w:val="28"/>
      <w:szCs w:val="28"/>
    </w:rPr>
  </w:style>
  <w:style w:type="paragraph" w:customStyle="1" w:styleId="353">
    <w:name w:val="xl77"/>
    <w:basedOn w:val="1"/>
    <w:link w:val="352"/>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4">
    <w:name w:val="正文文本缩进 3 字符"/>
    <w:qFormat/>
    <w:uiPriority w:val="0"/>
    <w:rPr>
      <w:kern w:val="2"/>
      <w:sz w:val="16"/>
      <w:szCs w:val="16"/>
    </w:rPr>
  </w:style>
  <w:style w:type="character" w:customStyle="1" w:styleId="355">
    <w:name w:val="Subtle Emphasis1"/>
    <w:qFormat/>
    <w:uiPriority w:val="0"/>
    <w:rPr>
      <w:i/>
      <w:iCs/>
      <w:color w:val="808080"/>
    </w:rPr>
  </w:style>
  <w:style w:type="character" w:customStyle="1" w:styleId="356">
    <w:name w:val="Book Title1"/>
    <w:qFormat/>
    <w:uiPriority w:val="0"/>
    <w:rPr>
      <w:b/>
      <w:bCs/>
      <w:smallCaps/>
      <w:spacing w:val="5"/>
    </w:rPr>
  </w:style>
  <w:style w:type="character" w:customStyle="1" w:styleId="357">
    <w:name w:val="目录标题 Char Char"/>
    <w:link w:val="358"/>
    <w:qFormat/>
    <w:uiPriority w:val="0"/>
    <w:rPr>
      <w:rFonts w:eastAsia="黑体"/>
      <w:b/>
      <w:bCs/>
      <w:kern w:val="2"/>
      <w:sz w:val="44"/>
      <w:szCs w:val="44"/>
    </w:rPr>
  </w:style>
  <w:style w:type="paragraph" w:customStyle="1" w:styleId="358">
    <w:name w:val="目录标题"/>
    <w:basedOn w:val="1"/>
    <w:link w:val="357"/>
    <w:qFormat/>
    <w:uiPriority w:val="0"/>
    <w:pPr>
      <w:jc w:val="center"/>
    </w:pPr>
    <w:rPr>
      <w:rFonts w:eastAsia="黑体"/>
      <w:b/>
      <w:bCs/>
      <w:sz w:val="44"/>
      <w:szCs w:val="44"/>
    </w:rPr>
  </w:style>
  <w:style w:type="character" w:customStyle="1" w:styleId="359">
    <w:name w:val="4 Char"/>
    <w:link w:val="360"/>
    <w:qFormat/>
    <w:uiPriority w:val="0"/>
    <w:rPr>
      <w:rFonts w:ascii="仿宋" w:hAnsi="仿宋" w:eastAsia="仿宋"/>
      <w:b/>
      <w:bCs/>
      <w:kern w:val="2"/>
      <w:sz w:val="24"/>
      <w:szCs w:val="24"/>
    </w:rPr>
  </w:style>
  <w:style w:type="paragraph" w:customStyle="1" w:styleId="360">
    <w:name w:val="4"/>
    <w:basedOn w:val="9"/>
    <w:link w:val="359"/>
    <w:qFormat/>
    <w:uiPriority w:val="0"/>
    <w:pPr>
      <w:spacing w:before="0" w:after="0" w:line="360" w:lineRule="auto"/>
      <w:ind w:firstLine="200" w:firstLineChars="200"/>
    </w:pPr>
    <w:rPr>
      <w:rFonts w:ascii="仿宋" w:hAnsi="仿宋" w:eastAsia="仿宋"/>
      <w:sz w:val="24"/>
      <w:szCs w:val="24"/>
    </w:rPr>
  </w:style>
  <w:style w:type="character" w:customStyle="1" w:styleId="361">
    <w:name w:val="文本正文 Char"/>
    <w:link w:val="362"/>
    <w:qFormat/>
    <w:uiPriority w:val="0"/>
    <w:rPr>
      <w:rFonts w:ascii="Calibri" w:hAnsi="Calibri" w:eastAsia="仿宋"/>
      <w:kern w:val="2"/>
      <w:sz w:val="24"/>
      <w:szCs w:val="22"/>
    </w:rPr>
  </w:style>
  <w:style w:type="paragraph" w:customStyle="1" w:styleId="362">
    <w:name w:val="文本正文"/>
    <w:basedOn w:val="1"/>
    <w:link w:val="361"/>
    <w:qFormat/>
    <w:uiPriority w:val="0"/>
    <w:pPr>
      <w:spacing w:beforeLines="50" w:afterLines="50" w:line="360" w:lineRule="auto"/>
      <w:ind w:firstLine="200" w:firstLineChars="200"/>
    </w:pPr>
    <w:rPr>
      <w:rFonts w:ascii="Calibri" w:hAnsi="Calibri" w:eastAsia="仿宋"/>
      <w:sz w:val="24"/>
      <w:szCs w:val="22"/>
    </w:rPr>
  </w:style>
  <w:style w:type="character" w:customStyle="1" w:styleId="363">
    <w:name w:val="ll"/>
    <w:qFormat/>
    <w:uiPriority w:val="0"/>
    <w:rPr>
      <w:rFonts w:eastAsia="宋体"/>
      <w:kern w:val="2"/>
      <w:sz w:val="21"/>
      <w:szCs w:val="24"/>
      <w:lang w:val="en-US" w:eastAsia="zh-CN" w:bidi="ar-SA"/>
    </w:rPr>
  </w:style>
  <w:style w:type="character" w:customStyle="1" w:styleId="364">
    <w:name w:val="五级标题 Char"/>
    <w:link w:val="365"/>
    <w:qFormat/>
    <w:uiPriority w:val="0"/>
    <w:rPr>
      <w:rFonts w:eastAsia="黑体"/>
      <w:b/>
      <w:kern w:val="2"/>
      <w:sz w:val="28"/>
      <w:szCs w:val="22"/>
    </w:rPr>
  </w:style>
  <w:style w:type="paragraph" w:customStyle="1" w:styleId="365">
    <w:name w:val="五级标题"/>
    <w:basedOn w:val="1"/>
    <w:link w:val="364"/>
    <w:qFormat/>
    <w:uiPriority w:val="0"/>
    <w:pPr>
      <w:spacing w:line="360" w:lineRule="auto"/>
      <w:ind w:left="420" w:firstLine="200" w:firstLineChars="200"/>
      <w:outlineLvl w:val="4"/>
    </w:pPr>
    <w:rPr>
      <w:rFonts w:eastAsia="黑体"/>
      <w:b/>
      <w:sz w:val="28"/>
      <w:szCs w:val="22"/>
    </w:rPr>
  </w:style>
  <w:style w:type="character" w:customStyle="1" w:styleId="366">
    <w:name w:val="正文首行缩进 Char1"/>
    <w:qFormat/>
    <w:uiPriority w:val="0"/>
    <w:rPr>
      <w:rFonts w:eastAsia="仿宋_GB2312"/>
      <w:lang w:val="en-US" w:eastAsia="zh-CN" w:bidi="ar-SA"/>
    </w:rPr>
  </w:style>
  <w:style w:type="character" w:customStyle="1" w:styleId="367">
    <w:name w:val="Char Char212"/>
    <w:qFormat/>
    <w:uiPriority w:val="0"/>
    <w:rPr>
      <w:rFonts w:eastAsia="仿宋_GB2312"/>
      <w:b/>
      <w:bCs/>
      <w:kern w:val="2"/>
      <w:sz w:val="28"/>
      <w:szCs w:val="28"/>
      <w:lang w:val="en-US" w:eastAsia="zh-CN" w:bidi="ar-SA"/>
    </w:rPr>
  </w:style>
  <w:style w:type="character" w:customStyle="1" w:styleId="368">
    <w:name w:val="PI Char"/>
    <w:qFormat/>
    <w:uiPriority w:val="0"/>
    <w:rPr>
      <w:rFonts w:ascii="仿宋_GB2312" w:hAnsi="仿宋_GB2312"/>
      <w:sz w:val="24"/>
    </w:rPr>
  </w:style>
  <w:style w:type="character" w:customStyle="1" w:styleId="369">
    <w:name w:val="表正文 Char2"/>
    <w:qFormat/>
    <w:uiPriority w:val="0"/>
    <w:rPr>
      <w:rFonts w:ascii="新宋体" w:hAnsi="新宋体" w:eastAsia="仿宋_GB2312" w:cs="新宋体"/>
      <w:szCs w:val="24"/>
    </w:rPr>
  </w:style>
  <w:style w:type="character" w:customStyle="1" w:styleId="370">
    <w:name w:val="页眉 字符"/>
    <w:link w:val="44"/>
    <w:qFormat/>
    <w:uiPriority w:val="99"/>
    <w:rPr>
      <w:kern w:val="2"/>
      <w:sz w:val="18"/>
      <w:szCs w:val="18"/>
    </w:rPr>
  </w:style>
  <w:style w:type="character" w:customStyle="1" w:styleId="371">
    <w:name w:val="大标题 Char"/>
    <w:qFormat/>
    <w:uiPriority w:val="0"/>
    <w:rPr>
      <w:rFonts w:ascii="黑体" w:hAnsi="黑体" w:eastAsia="黑体"/>
      <w:b/>
      <w:bCs/>
      <w:kern w:val="2"/>
      <w:sz w:val="72"/>
      <w:szCs w:val="72"/>
    </w:rPr>
  </w:style>
  <w:style w:type="character" w:customStyle="1" w:styleId="372">
    <w:name w:val="Char Char Char1"/>
    <w:qFormat/>
    <w:uiPriority w:val="0"/>
    <w:rPr>
      <w:rFonts w:ascii="仿宋_GB2312" w:hAnsi="Wingdings"/>
      <w:sz w:val="21"/>
      <w:szCs w:val="21"/>
    </w:rPr>
  </w:style>
  <w:style w:type="character" w:customStyle="1" w:styleId="373">
    <w:name w:val="Char Char15"/>
    <w:qFormat/>
    <w:uiPriority w:val="0"/>
    <w:rPr>
      <w:rFonts w:ascii="Tahoma" w:hAnsi="Tahoma" w:eastAsia="Helvetica"/>
      <w:sz w:val="24"/>
      <w:szCs w:val="24"/>
    </w:rPr>
  </w:style>
  <w:style w:type="character" w:customStyle="1" w:styleId="374">
    <w:name w:val="表格标题 Char Char"/>
    <w:link w:val="375"/>
    <w:qFormat/>
    <w:uiPriority w:val="0"/>
    <w:rPr>
      <w:rFonts w:ascii="黑体" w:hAnsi="黑体" w:eastAsia="黑体"/>
      <w:b/>
      <w:color w:val="FFFFFF"/>
      <w:kern w:val="2"/>
      <w:sz w:val="21"/>
      <w:szCs w:val="24"/>
    </w:rPr>
  </w:style>
  <w:style w:type="paragraph" w:customStyle="1" w:styleId="375">
    <w:name w:val="表格标题"/>
    <w:basedOn w:val="1"/>
    <w:link w:val="374"/>
    <w:qFormat/>
    <w:uiPriority w:val="0"/>
    <w:rPr>
      <w:rFonts w:ascii="黑体" w:hAnsi="黑体" w:eastAsia="黑体"/>
      <w:b/>
      <w:color w:val="FFFFFF"/>
    </w:rPr>
  </w:style>
  <w:style w:type="character" w:customStyle="1" w:styleId="376">
    <w:name w:val="Intense Reference1"/>
    <w:qFormat/>
    <w:uiPriority w:val="32"/>
    <w:rPr>
      <w:b/>
      <w:bCs/>
      <w:smallCaps/>
      <w:color w:val="C0504D"/>
      <w:spacing w:val="5"/>
      <w:u w:val="single"/>
    </w:rPr>
  </w:style>
  <w:style w:type="character" w:customStyle="1" w:styleId="377">
    <w:name w:val="gray6"/>
    <w:basedOn w:val="65"/>
    <w:qFormat/>
    <w:uiPriority w:val="0"/>
  </w:style>
  <w:style w:type="character" w:customStyle="1" w:styleId="378">
    <w:name w:val="Char Char202"/>
    <w:qFormat/>
    <w:uiPriority w:val="0"/>
    <w:rPr>
      <w:b/>
      <w:bCs/>
      <w:kern w:val="44"/>
      <w:sz w:val="44"/>
      <w:szCs w:val="44"/>
    </w:rPr>
  </w:style>
  <w:style w:type="character" w:customStyle="1" w:styleId="379">
    <w:name w:val="ändrad Char"/>
    <w:qFormat/>
    <w:uiPriority w:val="0"/>
    <w:rPr>
      <w:rFonts w:eastAsia="仿宋_GB2312"/>
      <w:kern w:val="2"/>
      <w:sz w:val="21"/>
      <w:szCs w:val="24"/>
      <w:lang w:val="en-US" w:eastAsia="zh-CN" w:bidi="ar-SA"/>
    </w:rPr>
  </w:style>
  <w:style w:type="character" w:customStyle="1" w:styleId="380">
    <w:name w:val="大标题 Char Char"/>
    <w:link w:val="381"/>
    <w:qFormat/>
    <w:uiPriority w:val="0"/>
    <w:rPr>
      <w:rFonts w:ascii="黑体" w:hAnsi="黑体" w:eastAsia="黑体"/>
      <w:b/>
      <w:bCs/>
      <w:kern w:val="2"/>
      <w:sz w:val="72"/>
      <w:szCs w:val="72"/>
    </w:rPr>
  </w:style>
  <w:style w:type="paragraph" w:customStyle="1" w:styleId="381">
    <w:name w:val="大标题"/>
    <w:basedOn w:val="1"/>
    <w:link w:val="380"/>
    <w:qFormat/>
    <w:uiPriority w:val="0"/>
    <w:pPr>
      <w:spacing w:line="40" w:lineRule="atLeast"/>
    </w:pPr>
    <w:rPr>
      <w:rFonts w:ascii="黑体" w:hAnsi="黑体" w:eastAsia="黑体"/>
      <w:b/>
      <w:bCs/>
      <w:sz w:val="72"/>
      <w:szCs w:val="72"/>
    </w:rPr>
  </w:style>
  <w:style w:type="character" w:customStyle="1" w:styleId="382">
    <w:name w:val="Ò³Ã¼ Char Char"/>
    <w:qFormat/>
    <w:uiPriority w:val="0"/>
    <w:rPr>
      <w:sz w:val="18"/>
      <w:szCs w:val="18"/>
    </w:rPr>
  </w:style>
  <w:style w:type="character" w:customStyle="1" w:styleId="383">
    <w:name w:val="Char Char161"/>
    <w:qFormat/>
    <w:uiPriority w:val="0"/>
    <w:rPr>
      <w:rFonts w:eastAsia="仿宋_GB2312"/>
      <w:sz w:val="21"/>
      <w:lang w:val="en-US" w:eastAsia="zh-CN" w:bidi="ar-SA"/>
    </w:rPr>
  </w:style>
  <w:style w:type="character" w:customStyle="1" w:styleId="384">
    <w:name w:val="style41"/>
    <w:qFormat/>
    <w:uiPriority w:val="0"/>
    <w:rPr>
      <w:color w:val="auto"/>
    </w:rPr>
  </w:style>
  <w:style w:type="character" w:customStyle="1" w:styleId="385">
    <w:name w:val="正文4 Char Char"/>
    <w:link w:val="386"/>
    <w:qFormat/>
    <w:uiPriority w:val="0"/>
    <w:rPr>
      <w:kern w:val="2"/>
      <w:sz w:val="24"/>
      <w:szCs w:val="24"/>
    </w:rPr>
  </w:style>
  <w:style w:type="paragraph" w:customStyle="1" w:styleId="386">
    <w:name w:val="正文4"/>
    <w:basedOn w:val="1"/>
    <w:link w:val="385"/>
    <w:qFormat/>
    <w:uiPriority w:val="0"/>
    <w:pPr>
      <w:tabs>
        <w:tab w:val="left" w:pos="520"/>
      </w:tabs>
      <w:spacing w:before="60" w:after="60" w:line="360" w:lineRule="auto"/>
    </w:pPr>
    <w:rPr>
      <w:sz w:val="24"/>
    </w:rPr>
  </w:style>
  <w:style w:type="character" w:customStyle="1" w:styleId="387">
    <w:name w:val="Char Char201"/>
    <w:qFormat/>
    <w:uiPriority w:val="0"/>
    <w:rPr>
      <w:rFonts w:ascii="Verdana" w:hAnsi="Verdana" w:eastAsia="仿宋_GB2312" w:cs="新宋体"/>
      <w:b/>
      <w:bCs/>
      <w:sz w:val="32"/>
      <w:szCs w:val="32"/>
    </w:rPr>
  </w:style>
  <w:style w:type="character" w:customStyle="1" w:styleId="388">
    <w:name w:val="Char Char20"/>
    <w:qFormat/>
    <w:uiPriority w:val="0"/>
    <w:rPr>
      <w:rFonts w:ascii="Tahoma" w:hAnsi="Tahoma" w:eastAsia="Helvetica"/>
      <w:sz w:val="21"/>
      <w:szCs w:val="21"/>
      <w:lang w:val="en-US" w:eastAsia="zh-CN" w:bidi="ar-SA"/>
    </w:rPr>
  </w:style>
  <w:style w:type="character" w:customStyle="1" w:styleId="389">
    <w:name w:val="Char Char10"/>
    <w:qFormat/>
    <w:uiPriority w:val="0"/>
    <w:rPr>
      <w:rFonts w:eastAsia="仿宋_GB2312"/>
      <w:b/>
      <w:bCs/>
      <w:kern w:val="2"/>
      <w:sz w:val="21"/>
      <w:szCs w:val="24"/>
      <w:lang w:val="en-US" w:eastAsia="zh-CN" w:bidi="ar-SA"/>
    </w:rPr>
  </w:style>
  <w:style w:type="character" w:customStyle="1" w:styleId="390">
    <w:name w:val="heading 9 Char1"/>
    <w:qFormat/>
    <w:uiPriority w:val="0"/>
    <w:rPr>
      <w:rFonts w:ascii="Tahoma" w:hAnsi="Tahoma" w:eastAsia="Helvetica"/>
      <w:sz w:val="21"/>
      <w:lang w:val="en-US" w:eastAsia="zh-CN" w:bidi="ar-SA"/>
    </w:rPr>
  </w:style>
  <w:style w:type="character" w:customStyle="1" w:styleId="391">
    <w:name w:val="PI Char1"/>
    <w:qFormat/>
    <w:uiPriority w:val="0"/>
    <w:rPr>
      <w:rFonts w:eastAsia="仿宋_GB2312"/>
      <w:kern w:val="2"/>
      <w:sz w:val="24"/>
      <w:szCs w:val="24"/>
      <w:lang w:val="en-US" w:eastAsia="zh-CN" w:bidi="ar-SA"/>
    </w:rPr>
  </w:style>
  <w:style w:type="character" w:customStyle="1" w:styleId="392">
    <w:name w:val="注释正文"/>
    <w:qFormat/>
    <w:uiPriority w:val="0"/>
    <w:rPr>
      <w:rFonts w:eastAsia="宋体"/>
      <w:sz w:val="28"/>
      <w:u w:val="single"/>
    </w:rPr>
  </w:style>
  <w:style w:type="character" w:customStyle="1" w:styleId="393">
    <w:name w:val="金保标题2 Char"/>
    <w:link w:val="394"/>
    <w:qFormat/>
    <w:locked/>
    <w:uiPriority w:val="0"/>
    <w:rPr>
      <w:rFonts w:ascii="新宋体" w:hAnsi="新宋体" w:eastAsia="新宋体"/>
      <w:b/>
      <w:bCs/>
      <w:color w:val="000000"/>
      <w:kern w:val="2"/>
      <w:sz w:val="22"/>
      <w:szCs w:val="22"/>
      <w:lang w:val="zh-CN"/>
    </w:rPr>
  </w:style>
  <w:style w:type="paragraph" w:customStyle="1" w:styleId="394">
    <w:name w:val="金保标题2"/>
    <w:basedOn w:val="7"/>
    <w:next w:val="1"/>
    <w:link w:val="393"/>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5">
    <w:name w:val="样式 标题 3 + 黑体 小四 Char"/>
    <w:link w:val="396"/>
    <w:qFormat/>
    <w:uiPriority w:val="0"/>
    <w:rPr>
      <w:rFonts w:ascii="Helvetica" w:hAnsi="Tahoma" w:eastAsia="Helvetica"/>
      <w:bCs/>
      <w:sz w:val="24"/>
      <w:szCs w:val="24"/>
    </w:rPr>
  </w:style>
  <w:style w:type="paragraph" w:customStyle="1" w:styleId="396">
    <w:name w:val="样式 标题 3 + 黑体 小四"/>
    <w:basedOn w:val="8"/>
    <w:link w:val="395"/>
    <w:qFormat/>
    <w:uiPriority w:val="0"/>
    <w:pPr>
      <w:spacing w:before="0" w:after="0" w:line="415" w:lineRule="auto"/>
    </w:pPr>
    <w:rPr>
      <w:rFonts w:ascii="Helvetica" w:hAnsi="Tahoma" w:eastAsia="Helvetica"/>
      <w:b w:val="0"/>
      <w:kern w:val="0"/>
      <w:sz w:val="24"/>
      <w:szCs w:val="24"/>
    </w:rPr>
  </w:style>
  <w:style w:type="character" w:customStyle="1" w:styleId="397">
    <w:name w:val="宏文本 Char"/>
    <w:qFormat/>
    <w:uiPriority w:val="0"/>
    <w:rPr>
      <w:rFonts w:ascii="Wingdings" w:hAnsi="Wingdings" w:eastAsia="Times New Roman"/>
      <w:kern w:val="2"/>
      <w:sz w:val="24"/>
      <w:szCs w:val="24"/>
    </w:rPr>
  </w:style>
  <w:style w:type="character" w:customStyle="1" w:styleId="398">
    <w:name w:val="Subtle Reference1"/>
    <w:qFormat/>
    <w:uiPriority w:val="0"/>
    <w:rPr>
      <w:smallCaps/>
      <w:color w:val="C0504D"/>
      <w:u w:val="single"/>
    </w:rPr>
  </w:style>
  <w:style w:type="character" w:customStyle="1" w:styleId="399">
    <w:name w:val="Char Char191"/>
    <w:qFormat/>
    <w:uiPriority w:val="0"/>
    <w:rPr>
      <w:rFonts w:ascii="Verdana" w:hAnsi="Verdana"/>
      <w:b/>
      <w:bCs/>
      <w:kern w:val="2"/>
      <w:sz w:val="32"/>
      <w:szCs w:val="32"/>
    </w:rPr>
  </w:style>
  <w:style w:type="character" w:customStyle="1" w:styleId="400">
    <w:name w:val="Char Char Char2"/>
    <w:qFormat/>
    <w:uiPriority w:val="0"/>
    <w:rPr>
      <w:rFonts w:ascii="仿宋_GB2312" w:hAnsi="Wingdings" w:eastAsia="仿宋_GB2312"/>
      <w:sz w:val="21"/>
      <w:szCs w:val="21"/>
      <w:lang w:val="en-US" w:eastAsia="zh-CN" w:bidi="ar-SA"/>
    </w:rPr>
  </w:style>
  <w:style w:type="character" w:customStyle="1" w:styleId="401">
    <w:name w:val="PI Char2"/>
    <w:qFormat/>
    <w:uiPriority w:val="0"/>
    <w:rPr>
      <w:kern w:val="2"/>
      <w:sz w:val="24"/>
      <w:szCs w:val="24"/>
    </w:rPr>
  </w:style>
  <w:style w:type="character" w:customStyle="1" w:styleId="402">
    <w:name w:val="小标题 Char Char"/>
    <w:link w:val="403"/>
    <w:qFormat/>
    <w:uiPriority w:val="0"/>
    <w:rPr>
      <w:rFonts w:ascii="黑体" w:hAnsi="黑体" w:eastAsia="黑体"/>
      <w:b/>
      <w:bCs/>
      <w:kern w:val="2"/>
      <w:sz w:val="48"/>
      <w:szCs w:val="48"/>
    </w:rPr>
  </w:style>
  <w:style w:type="paragraph" w:customStyle="1" w:styleId="403">
    <w:name w:val="小标题"/>
    <w:basedOn w:val="1"/>
    <w:link w:val="402"/>
    <w:qFormat/>
    <w:uiPriority w:val="0"/>
    <w:pPr>
      <w:spacing w:line="40" w:lineRule="atLeast"/>
    </w:pPr>
    <w:rPr>
      <w:rFonts w:ascii="黑体" w:hAnsi="黑体" w:eastAsia="黑体"/>
      <w:b/>
      <w:bCs/>
      <w:sz w:val="48"/>
      <w:szCs w:val="48"/>
    </w:rPr>
  </w:style>
  <w:style w:type="paragraph" w:customStyle="1" w:styleId="404">
    <w:name w:val="標題10.3-1"/>
    <w:basedOn w:val="405"/>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5">
    <w:name w:val="標題 (1)"/>
    <w:basedOn w:val="1"/>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6">
    <w:name w:val="日期1"/>
    <w:basedOn w:val="1"/>
    <w:next w:val="1"/>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7">
    <w:name w:val="称呼 字符"/>
    <w:basedOn w:val="65"/>
    <w:link w:val="24"/>
    <w:qFormat/>
    <w:uiPriority w:val="0"/>
    <w:rPr>
      <w:rFonts w:ascii="等线" w:hAnsi="等线" w:eastAsia="等线" w:cs="等线"/>
      <w:sz w:val="24"/>
    </w:rPr>
  </w:style>
  <w:style w:type="paragraph" w:customStyle="1" w:styleId="408">
    <w:name w:val="Char1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09">
    <w:name w:val="kpk:1级"/>
    <w:basedOn w:val="6"/>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0">
    <w:name w:val="前言、引言标题"/>
    <w:next w:val="1"/>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1">
    <w:name w:val="Char Char Char Char Char Char Char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12">
    <w:name w:val="正文文字"/>
    <w:basedOn w:val="1"/>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3">
    <w:name w:val="部分1"/>
    <w:basedOn w:val="1"/>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4">
    <w:name w:val="GP正文(首行缩进)"/>
    <w:basedOn w:val="1"/>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5">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6">
    <w:name w:val="5"/>
    <w:basedOn w:val="1"/>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19">
    <w:name w:val="注释标题 字符"/>
    <w:basedOn w:val="65"/>
    <w:link w:val="16"/>
    <w:qFormat/>
    <w:uiPriority w:val="0"/>
    <w:rPr>
      <w:rFonts w:ascii="DFKai-SB" w:hAnsi="DFKai-SB" w:eastAsia="DFKai-SB" w:cs="等线"/>
      <w:kern w:val="2"/>
      <w:lang w:eastAsia="zh-TW"/>
    </w:rPr>
  </w:style>
  <w:style w:type="paragraph" w:customStyle="1" w:styleId="42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1">
    <w:name w:val="二级标题"/>
    <w:basedOn w:val="7"/>
    <w:qFormat/>
    <w:uiPriority w:val="0"/>
    <w:pPr>
      <w:ind w:left="576" w:hanging="576"/>
    </w:pPr>
    <w:rPr>
      <w:rFonts w:ascii="华文中宋" w:eastAsia="华文中宋"/>
      <w:kern w:val="0"/>
    </w:rPr>
  </w:style>
  <w:style w:type="character" w:customStyle="1" w:styleId="422">
    <w:name w:val="正文文本 3 字符"/>
    <w:basedOn w:val="65"/>
    <w:link w:val="25"/>
    <w:qFormat/>
    <w:uiPriority w:val="0"/>
    <w:rPr>
      <w:rFonts w:ascii="等线" w:hAnsi="等线" w:eastAsia="等线" w:cs="等线"/>
    </w:rPr>
  </w:style>
  <w:style w:type="paragraph" w:customStyle="1" w:styleId="423">
    <w:name w:val="数字级连标题2"/>
    <w:basedOn w:val="7"/>
    <w:next w:val="1"/>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4">
    <w:name w:val="四级条标题"/>
    <w:basedOn w:val="425"/>
    <w:next w:val="1"/>
    <w:qFormat/>
    <w:uiPriority w:val="0"/>
    <w:pPr>
      <w:outlineLvl w:val="5"/>
    </w:pPr>
  </w:style>
  <w:style w:type="paragraph" w:customStyle="1" w:styleId="425">
    <w:name w:val="三级条标题"/>
    <w:basedOn w:val="426"/>
    <w:next w:val="1"/>
    <w:qFormat/>
    <w:uiPriority w:val="0"/>
    <w:pPr>
      <w:outlineLvl w:val="4"/>
    </w:pPr>
  </w:style>
  <w:style w:type="paragraph" w:customStyle="1" w:styleId="426">
    <w:name w:val="二级条标题"/>
    <w:basedOn w:val="427"/>
    <w:next w:val="1"/>
    <w:qFormat/>
    <w:uiPriority w:val="0"/>
    <w:pPr>
      <w:outlineLvl w:val="3"/>
    </w:pPr>
  </w:style>
  <w:style w:type="paragraph" w:customStyle="1" w:styleId="427">
    <w:name w:val="一级条标题"/>
    <w:next w:val="1"/>
    <w:qFormat/>
    <w:uiPriority w:val="0"/>
    <w:pPr>
      <w:outlineLvl w:val="2"/>
    </w:pPr>
    <w:rPr>
      <w:rFonts w:ascii="等线" w:hAnsi="等线" w:eastAsia="Helvetica" w:cs="等线"/>
      <w:sz w:val="21"/>
      <w:lang w:val="en-US" w:eastAsia="zh-CN" w:bidi="ar-SA"/>
    </w:rPr>
  </w:style>
  <w:style w:type="character" w:customStyle="1" w:styleId="428">
    <w:name w:val="宏文本 字符"/>
    <w:basedOn w:val="65"/>
    <w:link w:val="5"/>
    <w:qFormat/>
    <w:uiPriority w:val="0"/>
    <w:rPr>
      <w:rFonts w:ascii="Courier New" w:hAnsi="Courier New" w:cs="Courier New"/>
      <w:kern w:val="2"/>
      <w:sz w:val="24"/>
      <w:szCs w:val="24"/>
    </w:rPr>
  </w:style>
  <w:style w:type="paragraph" w:customStyle="1" w:styleId="429">
    <w:name w:val="样式 标题 3 + 黑色 段前: 5 磅 段后: 5 磅 行距: 1.5 倍行距"/>
    <w:basedOn w:val="1"/>
    <w:qFormat/>
    <w:uiPriority w:val="0"/>
    <w:pPr>
      <w:ind w:left="855" w:hanging="855"/>
    </w:pPr>
    <w:rPr>
      <w:rFonts w:ascii="等线" w:hAnsi="等线" w:eastAsia="等线" w:cs="等线"/>
      <w:sz w:val="24"/>
      <w:szCs w:val="20"/>
    </w:rPr>
  </w:style>
  <w:style w:type="paragraph" w:customStyle="1" w:styleId="430">
    <w:name w:val="正文首行缩进1"/>
    <w:basedOn w:val="2"/>
    <w:qFormat/>
    <w:uiPriority w:val="0"/>
    <w:pPr>
      <w:suppressAutoHyphens/>
      <w:ind w:firstLine="420"/>
      <w:jc w:val="left"/>
    </w:pPr>
    <w:rPr>
      <w:rFonts w:ascii="等线" w:hAnsi="等线" w:cs="等线"/>
      <w:kern w:val="1"/>
      <w:sz w:val="28"/>
      <w:lang w:eastAsia="ar-SA"/>
    </w:rPr>
  </w:style>
  <w:style w:type="paragraph" w:customStyle="1" w:styleId="431">
    <w:name w:val="样式 首行缩进:  1 厘米"/>
    <w:basedOn w:val="1"/>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2">
    <w:name w:val="font0"/>
    <w:basedOn w:val="1"/>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3">
    <w:name w:val="正文文本 2 字符"/>
    <w:basedOn w:val="65"/>
    <w:link w:val="54"/>
    <w:qFormat/>
    <w:uiPriority w:val="0"/>
    <w:rPr>
      <w:kern w:val="2"/>
      <w:sz w:val="21"/>
      <w:szCs w:val="24"/>
    </w:rPr>
  </w:style>
  <w:style w:type="character" w:customStyle="1" w:styleId="434">
    <w:name w:val="脚注文本 字符"/>
    <w:basedOn w:val="65"/>
    <w:link w:val="50"/>
    <w:qFormat/>
    <w:uiPriority w:val="0"/>
    <w:rPr>
      <w:rFonts w:ascii="等线" w:hAnsi="等线" w:eastAsia="等线" w:cs="等线"/>
      <w:kern w:val="2"/>
      <w:sz w:val="18"/>
      <w:szCs w:val="18"/>
    </w:rPr>
  </w:style>
  <w:style w:type="character" w:customStyle="1" w:styleId="435">
    <w:name w:val="副标题 字符"/>
    <w:basedOn w:val="65"/>
    <w:link w:val="48"/>
    <w:qFormat/>
    <w:uiPriority w:val="0"/>
    <w:rPr>
      <w:rFonts w:asciiTheme="majorHAnsi" w:hAnsiTheme="majorHAnsi" w:cstheme="majorBidi"/>
      <w:b/>
      <w:bCs/>
      <w:kern w:val="28"/>
      <w:sz w:val="32"/>
      <w:szCs w:val="32"/>
    </w:rPr>
  </w:style>
  <w:style w:type="character" w:customStyle="1" w:styleId="436">
    <w:name w:val="信息标题 字符"/>
    <w:basedOn w:val="65"/>
    <w:link w:val="55"/>
    <w:qFormat/>
    <w:uiPriority w:val="0"/>
    <w:rPr>
      <w:rFonts w:asciiTheme="majorHAnsi" w:hAnsiTheme="majorHAnsi" w:eastAsiaTheme="majorEastAsia" w:cstheme="majorBidi"/>
      <w:kern w:val="2"/>
      <w:sz w:val="24"/>
      <w:szCs w:val="24"/>
      <w:shd w:val="pct20" w:color="auto" w:fill="auto"/>
    </w:rPr>
  </w:style>
  <w:style w:type="character" w:customStyle="1" w:styleId="437">
    <w:name w:val="正文文本首行缩进 2 字符"/>
    <w:basedOn w:val="89"/>
    <w:link w:val="61"/>
    <w:qFormat/>
    <w:uiPriority w:val="0"/>
    <w:rPr>
      <w:kern w:val="2"/>
      <w:sz w:val="21"/>
      <w:szCs w:val="24"/>
    </w:rPr>
  </w:style>
  <w:style w:type="character" w:customStyle="1" w:styleId="438">
    <w:name w:val="HTML 预设格式 字符"/>
    <w:basedOn w:val="65"/>
    <w:link w:val="56"/>
    <w:qFormat/>
    <w:uiPriority w:val="0"/>
    <w:rPr>
      <w:rFonts w:ascii="Courier New" w:hAnsi="Courier New" w:cs="Courier New"/>
      <w:kern w:val="2"/>
    </w:rPr>
  </w:style>
  <w:style w:type="character" w:customStyle="1" w:styleId="439">
    <w:name w:val="签名 字符"/>
    <w:basedOn w:val="65"/>
    <w:link w:val="45"/>
    <w:qFormat/>
    <w:uiPriority w:val="0"/>
    <w:rPr>
      <w:rFonts w:ascii="等线" w:hAnsi="等线" w:eastAsia="黑体" w:cs="等线"/>
      <w:sz w:val="24"/>
    </w:rPr>
  </w:style>
  <w:style w:type="paragraph" w:customStyle="1" w:styleId="440">
    <w:name w:val="正文文本缩进 21"/>
    <w:basedOn w:val="1"/>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1">
    <w:name w:val="1 Char"/>
    <w:basedOn w:val="18"/>
    <w:qFormat/>
    <w:uiPriority w:val="0"/>
    <w:pPr>
      <w:adjustRightInd/>
      <w:spacing w:line="360" w:lineRule="auto"/>
      <w:ind w:firstLine="200" w:firstLineChars="200"/>
      <w:textAlignment w:val="auto"/>
    </w:pPr>
    <w:rPr>
      <w:rFonts w:eastAsia="仿宋_GB2312"/>
      <w:kern w:val="2"/>
    </w:rPr>
  </w:style>
  <w:style w:type="paragraph" w:customStyle="1" w:styleId="442">
    <w:name w:val="Char1 Char Char Char Char"/>
    <w:basedOn w:val="21"/>
    <w:qFormat/>
    <w:uiPriority w:val="0"/>
    <w:rPr>
      <w:rFonts w:ascii="Tahoma" w:hAnsi="Tahoma" w:eastAsia="等线" w:cs="Tahoma"/>
      <w:kern w:val="0"/>
      <w:sz w:val="18"/>
    </w:rPr>
  </w:style>
  <w:style w:type="paragraph" w:customStyle="1" w:styleId="443">
    <w:name w:val="ÕýÎÄ"/>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5">
    <w:name w:val="Intense Quote1"/>
    <w:basedOn w:val="1"/>
    <w:next w:val="1"/>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6">
    <w:name w:val="样式 正文缩进正文（首行缩进两字）表正文正文非缩进特点段1正文不缩进标题4水上软件ALT+Z四号正文文字3..."/>
    <w:basedOn w:val="18"/>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7">
    <w:name w:val="标书正文格式"/>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8">
    <w:name w:val="技术报告正文"/>
    <w:basedOn w:val="1"/>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49">
    <w:name w:val="无间距1"/>
    <w:basedOn w:val="1"/>
    <w:qFormat/>
    <w:uiPriority w:val="0"/>
    <w:pPr>
      <w:spacing w:line="360" w:lineRule="auto"/>
      <w:ind w:firstLine="200" w:firstLineChars="200"/>
      <w:jc w:val="center"/>
    </w:pPr>
    <w:rPr>
      <w:rFonts w:ascii="等线" w:hAnsi="等线" w:eastAsia="楷体" w:cs="黑体"/>
      <w:sz w:val="24"/>
    </w:rPr>
  </w:style>
  <w:style w:type="paragraph" w:customStyle="1" w:styleId="45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1">
    <w:name w:val="注："/>
    <w:next w:val="452"/>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2">
    <w:name w:val="段"/>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3">
    <w:name w:val="Char Char Char Char11"/>
    <w:basedOn w:val="1"/>
    <w:qFormat/>
    <w:uiPriority w:val="0"/>
    <w:pPr>
      <w:autoSpaceDE w:val="0"/>
      <w:autoSpaceDN w:val="0"/>
      <w:adjustRightInd w:val="0"/>
      <w:jc w:val="left"/>
    </w:pPr>
    <w:rPr>
      <w:rFonts w:ascii="Cambria" w:hAnsi="Cambria" w:eastAsia="等线" w:cs="等线"/>
      <w:kern w:val="0"/>
      <w:sz w:val="24"/>
      <w:szCs w:val="20"/>
    </w:rPr>
  </w:style>
  <w:style w:type="paragraph" w:customStyle="1" w:styleId="454">
    <w:name w:val="样式 标题 2 + 黑体 行距: 1.5 倍行距"/>
    <w:basedOn w:val="1"/>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5">
    <w:name w:val="內文項目之符號"/>
    <w:basedOn w:val="1"/>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6">
    <w:name w:val="Char2"/>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57">
    <w:name w:val="Para"/>
    <w:qFormat/>
    <w:uiPriority w:val="0"/>
    <w:pPr>
      <w:spacing w:before="120"/>
    </w:pPr>
    <w:rPr>
      <w:rFonts w:ascii="等线" w:hAnsi="等线" w:eastAsia="等线" w:cs="等线"/>
      <w:sz w:val="18"/>
      <w:lang w:val="en-US" w:eastAsia="zh-CN" w:bidi="ar-SA"/>
    </w:rPr>
  </w:style>
  <w:style w:type="character" w:customStyle="1" w:styleId="458">
    <w:name w:val="引用 字符"/>
    <w:basedOn w:val="65"/>
    <w:link w:val="257"/>
    <w:semiHidden/>
    <w:qFormat/>
    <w:uiPriority w:val="99"/>
    <w:rPr>
      <w:i/>
      <w:iCs/>
      <w:color w:val="000000" w:themeColor="text1"/>
      <w:kern w:val="2"/>
      <w:sz w:val="21"/>
      <w:szCs w:val="24"/>
      <w14:textFill>
        <w14:solidFill>
          <w14:schemeClr w14:val="tx1"/>
        </w14:solidFill>
      </w14:textFill>
    </w:rPr>
  </w:style>
  <w:style w:type="paragraph" w:customStyle="1" w:styleId="459">
    <w:name w:val="标题五"/>
    <w:basedOn w:val="1"/>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0">
    <w:name w:val="Char Char1"/>
    <w:basedOn w:val="1"/>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1">
    <w:name w:val="rm"/>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2">
    <w:name w:val="技术方案正文样式"/>
    <w:basedOn w:val="1"/>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3">
    <w:name w:val="xl4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5">
    <w:name w:val="NICMAN Body Text"/>
    <w:basedOn w:val="1"/>
    <w:next w:val="2"/>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6">
    <w:name w:val="第一個訊息標題"/>
    <w:basedOn w:val="55"/>
    <w:next w:val="55"/>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7">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468">
    <w:name w:val="font13"/>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469">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0">
    <w:name w:val="font10"/>
    <w:basedOn w:val="1"/>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1">
    <w:name w:val="a5"/>
    <w:basedOn w:val="1"/>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2">
    <w:name w:val="正文3"/>
    <w:qFormat/>
    <w:uiPriority w:val="0"/>
    <w:pPr>
      <w:jc w:val="both"/>
    </w:pPr>
    <w:rPr>
      <w:rFonts w:ascii="等线" w:hAnsi="等线" w:eastAsia="等线" w:cs="等线"/>
      <w:kern w:val="2"/>
      <w:sz w:val="21"/>
      <w:szCs w:val="21"/>
      <w:lang w:val="en-US" w:eastAsia="zh-CN" w:bidi="ar-SA"/>
    </w:rPr>
  </w:style>
  <w:style w:type="paragraph" w:customStyle="1" w:styleId="473">
    <w:name w:val="Char2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5">
    <w:name w:val="af17cgridlangnp1033langf"/>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6">
    <w:name w:val="xl10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7">
    <w:name w:val="xl89"/>
    <w:basedOn w:val="1"/>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8">
    <w:name w:val="Char3 Char Char Char Char Char Char"/>
    <w:basedOn w:val="1"/>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7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0">
    <w:name w:val="德山-正文"/>
    <w:basedOn w:val="1"/>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1">
    <w:name w:val="样式7"/>
    <w:basedOn w:val="9"/>
    <w:qFormat/>
    <w:uiPriority w:val="0"/>
  </w:style>
  <w:style w:type="paragraph" w:customStyle="1" w:styleId="482">
    <w:name w:val="正文缩进3"/>
    <w:basedOn w:val="1"/>
    <w:qFormat/>
    <w:uiPriority w:val="0"/>
    <w:pPr>
      <w:spacing w:line="360" w:lineRule="auto"/>
      <w:ind w:firstLine="420" w:firstLineChars="200"/>
    </w:pPr>
    <w:rPr>
      <w:rFonts w:ascii="等线" w:hAnsi="等线" w:eastAsia="等线" w:cs="等线"/>
      <w:szCs w:val="20"/>
    </w:rPr>
  </w:style>
  <w:style w:type="paragraph" w:customStyle="1" w:styleId="483">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4">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6">
    <w:name w:val="Char1"/>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87">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8">
    <w:name w:val="样式 标题 3 + 黑体 小四 非加粗"/>
    <w:basedOn w:val="8"/>
    <w:qFormat/>
    <w:uiPriority w:val="0"/>
    <w:pPr>
      <w:spacing w:before="0" w:after="0" w:line="415" w:lineRule="auto"/>
    </w:pPr>
    <w:rPr>
      <w:rFonts w:ascii="Helvetica" w:hAnsi="Helvetica" w:eastAsia="Helvetica"/>
      <w:b w:val="0"/>
      <w:bCs w:val="0"/>
      <w:kern w:val="0"/>
      <w:sz w:val="24"/>
    </w:rPr>
  </w:style>
  <w:style w:type="paragraph" w:customStyle="1" w:styleId="489">
    <w:name w:val="工可正文"/>
    <w:basedOn w:val="35"/>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0">
    <w:name w:val="xl57"/>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1">
    <w:name w:val="Table Contents"/>
    <w:basedOn w:val="1"/>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2">
    <w:name w:val="Char3"/>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3">
    <w:name w:val="信息标题2"/>
    <w:basedOn w:val="19"/>
    <w:next w:val="19"/>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4">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6">
    <w:name w:val="样式 标题 1"/>
    <w:basedOn w:val="6"/>
    <w:next w:val="1"/>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7">
    <w:name w:val="样式 四号 首行缩进:  1 厘米"/>
    <w:basedOn w:val="1"/>
    <w:qFormat/>
    <w:uiPriority w:val="0"/>
    <w:pPr>
      <w:spacing w:line="440" w:lineRule="exact"/>
      <w:ind w:firstLine="567"/>
    </w:pPr>
    <w:rPr>
      <w:rFonts w:ascii="等线" w:hAnsi="等线" w:eastAsia="等线" w:cs="宋体"/>
      <w:sz w:val="28"/>
      <w:szCs w:val="20"/>
    </w:rPr>
  </w:style>
  <w:style w:type="paragraph" w:customStyle="1" w:styleId="498">
    <w:name w:val="xl76"/>
    <w:basedOn w:val="1"/>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99">
    <w:name w:val="Item List in Tabl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1">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4">
    <w:name w:val="_Style 113"/>
    <w:basedOn w:val="1"/>
    <w:qFormat/>
    <w:uiPriority w:val="0"/>
    <w:pPr>
      <w:spacing w:line="360" w:lineRule="auto"/>
      <w:ind w:firstLine="420" w:firstLineChars="200"/>
    </w:pPr>
    <w:rPr>
      <w:rFonts w:ascii="等线" w:hAnsi="等线" w:eastAsia="等线" w:cs="等线"/>
      <w:szCs w:val="20"/>
    </w:rPr>
  </w:style>
  <w:style w:type="paragraph" w:customStyle="1" w:styleId="505">
    <w:name w:val="正文段落 Char"/>
    <w:basedOn w:val="1"/>
    <w:qFormat/>
    <w:uiPriority w:val="0"/>
    <w:pPr>
      <w:spacing w:line="360" w:lineRule="auto"/>
      <w:ind w:firstLine="480" w:firstLineChars="200"/>
    </w:pPr>
    <w:rPr>
      <w:rFonts w:ascii="等线" w:hAnsi="等线" w:eastAsia="等线" w:cs="等线"/>
      <w:kern w:val="0"/>
      <w:sz w:val="24"/>
      <w:szCs w:val="20"/>
    </w:rPr>
  </w:style>
  <w:style w:type="paragraph" w:customStyle="1" w:styleId="506">
    <w:name w:val="章标题"/>
    <w:next w:val="1"/>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7">
    <w:name w:val="五级条标题"/>
    <w:basedOn w:val="424"/>
    <w:next w:val="1"/>
    <w:qFormat/>
    <w:uiPriority w:val="0"/>
    <w:pPr>
      <w:outlineLvl w:val="6"/>
    </w:pPr>
  </w:style>
  <w:style w:type="paragraph" w:customStyle="1" w:styleId="508">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09">
    <w:name w:val="数字级连标题1"/>
    <w:basedOn w:val="6"/>
    <w:next w:val="1"/>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0">
    <w:name w:val="款1"/>
    <w:basedOn w:val="508"/>
    <w:qFormat/>
    <w:uiPriority w:val="0"/>
    <w:pPr>
      <w:ind w:left="1146"/>
    </w:pPr>
  </w:style>
  <w:style w:type="paragraph" w:customStyle="1" w:styleId="511">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2">
    <w:name w:val="段落正文"/>
    <w:basedOn w:val="1"/>
    <w:qFormat/>
    <w:uiPriority w:val="0"/>
    <w:pPr>
      <w:spacing w:before="140" w:after="140" w:line="401" w:lineRule="auto"/>
      <w:ind w:firstLine="200" w:firstLineChars="200"/>
    </w:pPr>
    <w:rPr>
      <w:rFonts w:ascii="宋体" w:hAnsi="宋体" w:eastAsia="等线" w:cs="等线"/>
    </w:rPr>
  </w:style>
  <w:style w:type="paragraph" w:customStyle="1" w:styleId="513">
    <w:name w:val="密级编号"/>
    <w:basedOn w:val="1"/>
    <w:qFormat/>
    <w:uiPriority w:val="0"/>
    <w:pPr>
      <w:adjustRightInd w:val="0"/>
      <w:jc w:val="center"/>
      <w:textAlignment w:val="baseline"/>
    </w:pPr>
    <w:rPr>
      <w:rFonts w:ascii="仿宋_GB2312" w:hAnsi="等线" w:eastAsia="仿宋_GB2312" w:cs="等线"/>
      <w:kern w:val="0"/>
      <w:sz w:val="24"/>
      <w:szCs w:val="20"/>
    </w:rPr>
  </w:style>
  <w:style w:type="paragraph" w:customStyle="1" w:styleId="5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6">
    <w:name w:val="標題 (一)"/>
    <w:basedOn w:val="7"/>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7">
    <w:name w:val="List Paragraph11"/>
    <w:basedOn w:val="1"/>
    <w:qFormat/>
    <w:uiPriority w:val="0"/>
    <w:pPr>
      <w:ind w:firstLine="420" w:firstLineChars="200"/>
    </w:pPr>
    <w:rPr>
      <w:rFonts w:ascii="Century Gothic" w:hAnsi="Century Gothic" w:eastAsia="仿宋_GB2312" w:cs="新宋体"/>
      <w:szCs w:val="22"/>
    </w:rPr>
  </w:style>
  <w:style w:type="paragraph" w:customStyle="1" w:styleId="518">
    <w:name w:val="正文文字 5"/>
    <w:basedOn w:val="27"/>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1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1">
    <w:name w:val="xl10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2">
    <w:name w:val="七级标题"/>
    <w:basedOn w:val="12"/>
    <w:qFormat/>
    <w:uiPriority w:val="0"/>
    <w:pPr>
      <w:adjustRightInd/>
      <w:spacing w:line="320" w:lineRule="auto"/>
      <w:ind w:left="1276" w:hanging="1276"/>
      <w:textAlignment w:val="auto"/>
    </w:pPr>
    <w:rPr>
      <w:rFonts w:ascii="黑体" w:hAnsi="黑体" w:eastAsia="黑体"/>
      <w:bCs/>
      <w:kern w:val="0"/>
    </w:rPr>
  </w:style>
  <w:style w:type="paragraph" w:customStyle="1" w:styleId="523">
    <w:name w:val="样式 标题 1Level 1Level 11h1II+IHeading1H1-Heading 1Header 1..."/>
    <w:basedOn w:val="6"/>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4">
    <w:name w:val="button"/>
    <w:basedOn w:val="1"/>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5">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6">
    <w:name w:val="正文样式 首行缩进:  0.74 厘米"/>
    <w:basedOn w:val="1"/>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7">
    <w:name w:val="普通(Web)"/>
    <w:basedOn w:val="1"/>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8">
    <w:name w:val="标题 11"/>
    <w:basedOn w:val="1"/>
    <w:next w:val="1"/>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29">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0">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1">
    <w:name w:val="Char Char Char Char Char Char Char Char Char Char Char Char1 Char"/>
    <w:basedOn w:val="1"/>
    <w:qFormat/>
    <w:uiPriority w:val="0"/>
    <w:pPr>
      <w:snapToGrid w:val="0"/>
      <w:spacing w:line="360" w:lineRule="auto"/>
      <w:ind w:firstLine="200" w:firstLineChars="200"/>
    </w:pPr>
    <w:rPr>
      <w:rFonts w:ascii="等线" w:hAnsi="等线" w:eastAsia="等线" w:cs="等线"/>
      <w:szCs w:val="20"/>
    </w:rPr>
  </w:style>
  <w:style w:type="paragraph" w:customStyle="1" w:styleId="532">
    <w:name w:val="xl43"/>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3">
    <w:name w:val="表格栏头"/>
    <w:basedOn w:val="534"/>
    <w:next w:val="534"/>
    <w:qFormat/>
    <w:uiPriority w:val="0"/>
    <w:rPr>
      <w:b/>
    </w:rPr>
  </w:style>
  <w:style w:type="paragraph" w:customStyle="1" w:styleId="534">
    <w:name w:val="表格正文"/>
    <w:basedOn w:val="1"/>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5">
    <w:name w:val="Char Char Char Char Char Char Char Char Char Char Char Char Char Char Char Char Char Char Char"/>
    <w:basedOn w:val="1"/>
    <w:qFormat/>
    <w:uiPriority w:val="0"/>
    <w:rPr>
      <w:rFonts w:ascii="黑体" w:hAnsi="等线" w:eastAsia="黑体" w:cs="等线"/>
      <w:b/>
      <w:sz w:val="32"/>
      <w:szCs w:val="32"/>
    </w:rPr>
  </w:style>
  <w:style w:type="paragraph" w:customStyle="1" w:styleId="536">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8">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9">
    <w:name w:val="修订2"/>
    <w:qFormat/>
    <w:uiPriority w:val="99"/>
    <w:rPr>
      <w:rFonts w:ascii="等线" w:hAnsi="等线" w:eastAsia="等线" w:cs="等线"/>
      <w:kern w:val="2"/>
      <w:sz w:val="21"/>
      <w:szCs w:val="24"/>
      <w:lang w:val="en-US" w:eastAsia="zh-CN" w:bidi="ar-SA"/>
    </w:rPr>
  </w:style>
  <w:style w:type="paragraph" w:customStyle="1" w:styleId="540">
    <w:name w:val="Item Step in Tabl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1">
    <w:name w:val="样式 左侧:  0.85 厘米 首行缩进:  0.85 厘米"/>
    <w:basedOn w:val="1"/>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2">
    <w:name w:val="Copyright"/>
    <w:basedOn w:val="2"/>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4">
    <w:name w:val="标准段落"/>
    <w:basedOn w:val="1"/>
    <w:qFormat/>
    <w:uiPriority w:val="0"/>
    <w:pPr>
      <w:spacing w:after="120" w:line="360" w:lineRule="auto"/>
      <w:ind w:firstLine="420"/>
    </w:pPr>
    <w:rPr>
      <w:rFonts w:ascii="Helvetica" w:hAnsi="仿宋_GB2312" w:eastAsia="Helvetica" w:cs="等线"/>
      <w:b/>
      <w:spacing w:val="6"/>
      <w:szCs w:val="22"/>
    </w:rPr>
  </w:style>
  <w:style w:type="paragraph" w:customStyle="1" w:styleId="545">
    <w:name w:val="features1"/>
    <w:basedOn w:val="1"/>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6">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7">
    <w:name w:val="kpk:2级"/>
    <w:basedOn w:val="7"/>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8">
    <w:name w:val="Plain Text1"/>
    <w:basedOn w:val="1"/>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4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0">
    <w:name w:val="标题1"/>
    <w:basedOn w:val="59"/>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1">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2">
    <w:name w:val="1."/>
    <w:basedOn w:val="8"/>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3">
    <w:name w:val="文字"/>
    <w:basedOn w:val="1"/>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4">
    <w:name w:val="版权"/>
    <w:basedOn w:val="1"/>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5">
    <w:name w:val="greytypebeni"/>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7">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8">
    <w:name w:val="Paragraf"/>
    <w:basedOn w:val="1"/>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59">
    <w:name w:val="黑列表"/>
    <w:basedOn w:val="1"/>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0">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1">
    <w:name w:val="正文 New New"/>
    <w:qFormat/>
    <w:uiPriority w:val="0"/>
    <w:pPr>
      <w:widowControl w:val="0"/>
      <w:jc w:val="both"/>
    </w:pPr>
    <w:rPr>
      <w:rFonts w:ascii="等线" w:hAnsi="等线" w:eastAsia="等线" w:cs="等线"/>
      <w:kern w:val="2"/>
      <w:sz w:val="21"/>
      <w:szCs w:val="24"/>
      <w:lang w:val="en-US" w:eastAsia="zh-CN" w:bidi="ar-SA"/>
    </w:rPr>
  </w:style>
  <w:style w:type="paragraph" w:customStyle="1" w:styleId="562">
    <w:name w:val="六级标题"/>
    <w:basedOn w:val="11"/>
    <w:qFormat/>
    <w:uiPriority w:val="0"/>
    <w:pPr>
      <w:ind w:left="1134" w:hanging="1134"/>
    </w:pPr>
    <w:rPr>
      <w:rFonts w:ascii="黑体" w:hAnsi="黑体" w:eastAsia="黑体"/>
      <w:kern w:val="0"/>
    </w:rPr>
  </w:style>
  <w:style w:type="paragraph" w:customStyle="1" w:styleId="563">
    <w:name w:val="Normal0"/>
    <w:qFormat/>
    <w:uiPriority w:val="0"/>
    <w:rPr>
      <w:rFonts w:ascii="等线" w:hAnsi="等线" w:eastAsia="等线" w:cs="等线"/>
      <w:lang w:val="en-US" w:eastAsia="en-US" w:bidi="ar-SA"/>
    </w:rPr>
  </w:style>
  <w:style w:type="paragraph" w:customStyle="1" w:styleId="564">
    <w:name w:val="xl22"/>
    <w:basedOn w:val="1"/>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5">
    <w:name w:val="Quote1"/>
    <w:basedOn w:val="1"/>
    <w:next w:val="1"/>
    <w:qFormat/>
    <w:uiPriority w:val="0"/>
    <w:rPr>
      <w:rFonts w:ascii="Century Gothic" w:hAnsi="Century Gothic" w:eastAsia="仿宋_GB2312" w:cs="新宋体"/>
      <w:i/>
      <w:iCs/>
      <w:color w:val="000000"/>
      <w:kern w:val="0"/>
      <w:sz w:val="20"/>
      <w:szCs w:val="20"/>
    </w:rPr>
  </w:style>
  <w:style w:type="paragraph" w:customStyle="1" w:styleId="566">
    <w:name w:val="Char Char Char Char Char Char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7">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8">
    <w:name w:val="正文 New"/>
    <w:qFormat/>
    <w:uiPriority w:val="0"/>
    <w:pPr>
      <w:widowControl w:val="0"/>
      <w:jc w:val="both"/>
    </w:pPr>
    <w:rPr>
      <w:rFonts w:ascii="等线" w:hAnsi="等线" w:eastAsia="等线" w:cs="等线"/>
      <w:kern w:val="2"/>
      <w:sz w:val="21"/>
      <w:szCs w:val="24"/>
      <w:lang w:val="en-US" w:eastAsia="zh-CN" w:bidi="ar-SA"/>
    </w:rPr>
  </w:style>
  <w:style w:type="paragraph" w:customStyle="1" w:styleId="569">
    <w:name w:val="标-1"/>
    <w:basedOn w:val="6"/>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0">
    <w:name w:val="標題 1."/>
    <w:basedOn w:val="8"/>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1">
    <w:name w:val="此正文"/>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2">
    <w:name w:val="Table Heading"/>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3">
    <w:name w:val="Char Char2 字元 字元"/>
    <w:basedOn w:val="1"/>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4">
    <w:name w:val="xl2917089"/>
    <w:basedOn w:val="1"/>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5">
    <w:name w:val="font7"/>
    <w:basedOn w:val="1"/>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6">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8">
    <w:name w:val="封面标准号2"/>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79">
    <w:name w:val="Default Text"/>
    <w:basedOn w:val="1"/>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0">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1">
    <w:name w:val="默认段落字体 Para Char Char Char Char Char Char Char"/>
    <w:basedOn w:val="1"/>
    <w:qFormat/>
    <w:uiPriority w:val="0"/>
    <w:rPr>
      <w:rFonts w:ascii="等线" w:hAnsi="等线" w:eastAsia="黑体" w:cs="等线"/>
      <w:sz w:val="28"/>
    </w:rPr>
  </w:style>
  <w:style w:type="paragraph" w:customStyle="1" w:styleId="58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3">
    <w:name w:val="(1)"/>
    <w:basedOn w:val="1"/>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4">
    <w:name w:val=".."/>
    <w:basedOn w:val="1"/>
    <w:next w:val="1"/>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5">
    <w:name w:val="2"/>
    <w:basedOn w:val="1"/>
    <w:next w:val="27"/>
    <w:qFormat/>
    <w:uiPriority w:val="0"/>
    <w:pPr>
      <w:spacing w:line="440" w:lineRule="exact"/>
      <w:ind w:firstLine="420" w:firstLineChars="200"/>
    </w:pPr>
    <w:rPr>
      <w:rFonts w:ascii="等线" w:hAnsi="等线" w:eastAsia="等线" w:cs="等线"/>
      <w:sz w:val="28"/>
      <w:szCs w:val="20"/>
    </w:rPr>
  </w:style>
  <w:style w:type="paragraph" w:customStyle="1" w:styleId="586">
    <w:name w:val="Char Char Char Char Char Char Char Char Char Char Char Char Char Char Char Char Char Char Char1"/>
    <w:basedOn w:val="1"/>
    <w:qFormat/>
    <w:uiPriority w:val="0"/>
    <w:rPr>
      <w:rFonts w:ascii="黑体" w:hAnsi="等线" w:eastAsia="黑体" w:cs="等线"/>
      <w:b/>
      <w:sz w:val="32"/>
      <w:szCs w:val="32"/>
    </w:rPr>
  </w:style>
  <w:style w:type="paragraph" w:customStyle="1" w:styleId="58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8">
    <w:name w:val="规范正文"/>
    <w:basedOn w:val="1"/>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8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90">
    <w:name w:val="网格表 31"/>
    <w:basedOn w:val="6"/>
    <w:next w:val="1"/>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1">
    <w:name w:val="font8"/>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2">
    <w:name w:val="中等深浅网格 1 - 着色 21"/>
    <w:basedOn w:val="1"/>
    <w:qFormat/>
    <w:uiPriority w:val="0"/>
    <w:pPr>
      <w:spacing w:line="360" w:lineRule="auto"/>
      <w:ind w:firstLine="200" w:firstLineChars="200"/>
    </w:pPr>
    <w:rPr>
      <w:rFonts w:ascii="Verdana" w:hAnsi="Verdana" w:eastAsia="等线" w:cs="等线"/>
      <w:sz w:val="24"/>
      <w:szCs w:val="20"/>
    </w:rPr>
  </w:style>
  <w:style w:type="character" w:customStyle="1" w:styleId="593">
    <w:name w:val="明显引用 字符"/>
    <w:basedOn w:val="65"/>
    <w:link w:val="322"/>
    <w:semiHidden/>
    <w:qFormat/>
    <w:uiPriority w:val="99"/>
    <w:rPr>
      <w:b/>
      <w:bCs/>
      <w:i/>
      <w:iCs/>
      <w:color w:val="4F81BD" w:themeColor="accent1"/>
      <w:kern w:val="2"/>
      <w:sz w:val="21"/>
      <w:szCs w:val="24"/>
      <w14:textFill>
        <w14:solidFill>
          <w14:schemeClr w14:val="accent1"/>
        </w14:solidFill>
      </w14:textFill>
    </w:rPr>
  </w:style>
  <w:style w:type="paragraph" w:customStyle="1" w:styleId="594">
    <w:name w:val="Char Char Char Char Char Char1 Char Char Char Char"/>
    <w:basedOn w:val="21"/>
    <w:qFormat/>
    <w:uiPriority w:val="0"/>
    <w:pPr>
      <w:spacing w:line="360" w:lineRule="auto"/>
      <w:ind w:firstLine="200" w:firstLineChars="200"/>
    </w:pPr>
    <w:rPr>
      <w:rFonts w:ascii="Tahoma" w:hAnsi="Tahoma" w:eastAsia="等线"/>
      <w:sz w:val="24"/>
      <w:szCs w:val="20"/>
    </w:rPr>
  </w:style>
  <w:style w:type="paragraph" w:customStyle="1" w:styleId="59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6">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7">
    <w:name w:val="xl29"/>
    <w:basedOn w:val="1"/>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8">
    <w:name w:val="正文Y"/>
    <w:basedOn w:val="1"/>
    <w:qFormat/>
    <w:uiPriority w:val="0"/>
    <w:pPr>
      <w:spacing w:line="360" w:lineRule="auto"/>
      <w:ind w:firstLine="420" w:firstLineChars="200"/>
    </w:pPr>
    <w:rPr>
      <w:rFonts w:ascii="等线" w:hAnsi="等线" w:eastAsia="等线" w:cs="等线"/>
      <w:sz w:val="24"/>
    </w:rPr>
  </w:style>
  <w:style w:type="paragraph" w:customStyle="1" w:styleId="599">
    <w:name w:val="_Style 54"/>
    <w:basedOn w:val="1"/>
    <w:qFormat/>
    <w:uiPriority w:val="0"/>
    <w:rPr>
      <w:rFonts w:ascii="等线" w:hAnsi="等线" w:eastAsia="等线" w:cs="等线"/>
    </w:rPr>
  </w:style>
  <w:style w:type="paragraph" w:customStyle="1" w:styleId="600">
    <w:name w:val="标3"/>
    <w:basedOn w:val="8"/>
    <w:next w:val="9"/>
    <w:qFormat/>
    <w:uiPriority w:val="0"/>
    <w:pPr>
      <w:spacing w:before="240" w:after="180" w:line="360" w:lineRule="auto"/>
      <w:ind w:firstLine="576" w:firstLineChars="205"/>
    </w:pPr>
    <w:rPr>
      <w:rFonts w:ascii="等线" w:hAnsi="等线" w:eastAsia="等线"/>
      <w:bCs w:val="0"/>
      <w:sz w:val="28"/>
    </w:rPr>
  </w:style>
  <w:style w:type="paragraph" w:customStyle="1" w:styleId="601">
    <w:name w:val="纯文本1"/>
    <w:basedOn w:val="1"/>
    <w:qFormat/>
    <w:uiPriority w:val="0"/>
    <w:pPr>
      <w:adjustRightInd w:val="0"/>
      <w:jc w:val="left"/>
      <w:textAlignment w:val="baseline"/>
    </w:pPr>
    <w:rPr>
      <w:rFonts w:ascii="宋体" w:hAnsi="Courier New" w:eastAsia="等线" w:cs="等线"/>
      <w:szCs w:val="20"/>
    </w:rPr>
  </w:style>
  <w:style w:type="paragraph" w:customStyle="1" w:styleId="602">
    <w:name w:val="Char Char1 Char"/>
    <w:basedOn w:val="1"/>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4">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5">
    <w:name w:val="reader-word-layer"/>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6">
    <w:name w:val="Char Char 字元 字元 字元 Char Char Char Char"/>
    <w:basedOn w:val="1"/>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7">
    <w:name w:val="中等深浅底纹 1 - 着色 11"/>
    <w:qFormat/>
    <w:uiPriority w:val="0"/>
    <w:rPr>
      <w:rFonts w:ascii="等线" w:hAnsi="等线" w:eastAsia="等线" w:cs="等线"/>
      <w:sz w:val="22"/>
      <w:szCs w:val="22"/>
      <w:lang w:val="en-US" w:eastAsia="zh-CN" w:bidi="ar-SA"/>
    </w:rPr>
  </w:style>
  <w:style w:type="paragraph" w:customStyle="1" w:styleId="608">
    <w:name w:val="完成日期"/>
    <w:basedOn w:val="1"/>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0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0">
    <w:name w:val="样式5"/>
    <w:basedOn w:val="18"/>
    <w:qFormat/>
    <w:uiPriority w:val="0"/>
    <w:pPr>
      <w:adjustRightInd/>
      <w:spacing w:line="360" w:lineRule="auto"/>
      <w:ind w:firstLine="200" w:firstLineChars="200"/>
      <w:textAlignment w:val="auto"/>
    </w:pPr>
    <w:rPr>
      <w:rFonts w:eastAsia="仿宋_GB2312"/>
      <w:kern w:val="2"/>
      <w:sz w:val="28"/>
      <w:szCs w:val="21"/>
    </w:rPr>
  </w:style>
  <w:style w:type="paragraph" w:customStyle="1" w:styleId="611">
    <w:name w:val="正文 New New New New"/>
    <w:qFormat/>
    <w:uiPriority w:val="2"/>
    <w:pPr>
      <w:widowControl w:val="0"/>
      <w:jc w:val="both"/>
    </w:pPr>
    <w:rPr>
      <w:rFonts w:ascii="Calibri" w:hAnsi="Calibri" w:eastAsia="等线" w:cs="等线"/>
      <w:color w:val="000000"/>
      <w:szCs w:val="24"/>
      <w:lang w:val="en-US" w:eastAsia="zh-CN" w:bidi="ar-SA"/>
    </w:rPr>
  </w:style>
  <w:style w:type="paragraph" w:customStyle="1" w:styleId="612">
    <w:name w:val="p0"/>
    <w:basedOn w:val="1"/>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3">
    <w:name w:val="正文（首行缩进）"/>
    <w:basedOn w:val="27"/>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4">
    <w:name w:val="Char Char Char Char Char Char Char Char Char1 Char"/>
    <w:basedOn w:val="1"/>
    <w:qFormat/>
    <w:uiPriority w:val="0"/>
    <w:rPr>
      <w:rFonts w:ascii="等线" w:hAnsi="等线" w:eastAsia="等线" w:cs="等线"/>
    </w:rPr>
  </w:style>
  <w:style w:type="paragraph" w:customStyle="1" w:styleId="615">
    <w:name w:val="其他标准标志"/>
    <w:basedOn w:val="495"/>
    <w:qFormat/>
    <w:uiPriority w:val="0"/>
    <w:pPr>
      <w:framePr w:w="6101" w:wrap="around" w:vAnchor="page" w:hAnchor="page" w:x="4673" w:y="942"/>
    </w:pPr>
    <w:rPr>
      <w:w w:val="130"/>
    </w:rPr>
  </w:style>
  <w:style w:type="paragraph" w:customStyle="1" w:styleId="616">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7">
    <w:name w:val="2级"/>
    <w:basedOn w:val="7"/>
    <w:next w:val="61"/>
    <w:qFormat/>
    <w:uiPriority w:val="0"/>
    <w:pPr>
      <w:spacing w:line="415" w:lineRule="auto"/>
      <w:ind w:left="420"/>
    </w:pPr>
    <w:rPr>
      <w:rFonts w:eastAsia="黑体"/>
      <w:kern w:val="0"/>
      <w:sz w:val="30"/>
    </w:rPr>
  </w:style>
  <w:style w:type="paragraph" w:customStyle="1" w:styleId="618">
    <w:name w:val="表格文字（大）"/>
    <w:basedOn w:val="1"/>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19">
    <w:name w:val="xl9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0">
    <w:name w:val="默认段落字体 Para Char Char Char Char"/>
    <w:basedOn w:val="1"/>
    <w:qFormat/>
    <w:uiPriority w:val="0"/>
    <w:rPr>
      <w:rFonts w:ascii="等线" w:hAnsi="等线" w:eastAsia="等线" w:cs="等线"/>
    </w:rPr>
  </w:style>
  <w:style w:type="paragraph" w:customStyle="1" w:styleId="62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2">
    <w:name w:val="A正文"/>
    <w:basedOn w:val="94"/>
    <w:qFormat/>
    <w:uiPriority w:val="0"/>
    <w:pPr>
      <w:jc w:val="left"/>
    </w:pPr>
    <w:rPr>
      <w:rFonts w:ascii="等线" w:hAnsi="等线" w:eastAsia="等线"/>
      <w:shd w:val="clear" w:color="auto" w:fill="auto"/>
    </w:rPr>
  </w:style>
  <w:style w:type="paragraph" w:customStyle="1" w:styleId="62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4">
    <w:name w:val="14"/>
    <w:basedOn w:val="1"/>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5">
    <w:name w:val="xl3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6">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7">
    <w:name w:val="Char Char1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628">
    <w:name w:val="项目2"/>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29">
    <w:name w:val="Char13"/>
    <w:basedOn w:val="1"/>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0">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1">
    <w:name w:val="c"/>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2">
    <w:name w:val="xl83"/>
    <w:basedOn w:val="1"/>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3">
    <w:name w:val="font12"/>
    <w:basedOn w:val="1"/>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4">
    <w:name w:val="数字级连标题3"/>
    <w:basedOn w:val="8"/>
    <w:next w:val="1"/>
    <w:qFormat/>
    <w:uiPriority w:val="0"/>
    <w:pPr>
      <w:suppressAutoHyphens/>
      <w:spacing w:before="0" w:after="0" w:line="360" w:lineRule="auto"/>
    </w:pPr>
    <w:rPr>
      <w:rFonts w:ascii="等线" w:hAnsi="等线" w:eastAsia="等线"/>
      <w:bCs w:val="0"/>
      <w:sz w:val="28"/>
      <w:szCs w:val="20"/>
      <w:lang w:eastAsia="ar-SA"/>
    </w:rPr>
  </w:style>
  <w:style w:type="paragraph" w:customStyle="1" w:styleId="635">
    <w:name w:val="Item List"/>
    <w:qFormat/>
    <w:uiPriority w:val="0"/>
    <w:pPr>
      <w:spacing w:line="300" w:lineRule="auto"/>
      <w:ind w:left="1701"/>
      <w:jc w:val="both"/>
    </w:pPr>
    <w:rPr>
      <w:rFonts w:ascii="Arial" w:hAnsi="Arial" w:eastAsia="等线" w:cs="等线"/>
      <w:sz w:val="21"/>
      <w:lang w:val="en-US" w:eastAsia="zh-CN" w:bidi="ar-SA"/>
    </w:rPr>
  </w:style>
  <w:style w:type="paragraph" w:customStyle="1" w:styleId="636">
    <w:name w:val="font5"/>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7">
    <w:name w:val="样式3"/>
    <w:basedOn w:val="6"/>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39">
    <w:name w:val="Char"/>
    <w:basedOn w:val="1"/>
    <w:qFormat/>
    <w:uiPriority w:val="0"/>
    <w:pPr>
      <w:widowControl/>
      <w:spacing w:line="400" w:lineRule="exact"/>
      <w:jc w:val="center"/>
    </w:pPr>
    <w:rPr>
      <w:rFonts w:ascii="Courier New" w:hAnsi="Courier New" w:eastAsia="等线" w:cs="等线"/>
      <w:kern w:val="0"/>
      <w:szCs w:val="20"/>
      <w:lang w:eastAsia="en-US"/>
    </w:rPr>
  </w:style>
  <w:style w:type="paragraph" w:customStyle="1" w:styleId="640">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1">
    <w:name w:val="默认段落字体 Para Char Char Char Char Char Char Char Char Char Char"/>
    <w:basedOn w:val="1"/>
    <w:qFormat/>
    <w:uiPriority w:val="0"/>
    <w:pPr>
      <w:widowControl/>
      <w:spacing w:after="200"/>
      <w:jc w:val="left"/>
    </w:pPr>
    <w:rPr>
      <w:rFonts w:ascii="Tahoma" w:hAnsi="Tahoma" w:eastAsia="等线" w:cs="等线"/>
      <w:kern w:val="0"/>
      <w:sz w:val="22"/>
      <w:szCs w:val="20"/>
      <w:lang w:eastAsia="en-US" w:bidi="en-US"/>
    </w:rPr>
  </w:style>
  <w:style w:type="paragraph" w:customStyle="1" w:styleId="642">
    <w:name w:val="标书正文带编号"/>
    <w:basedOn w:val="1"/>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3">
    <w:name w:val="样式 首行缩进:  2 字符"/>
    <w:basedOn w:val="1"/>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4">
    <w:name w:val="标题小四"/>
    <w:basedOn w:val="7"/>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5">
    <w:name w:val="彩色底纹 - 强调文字颜色 11"/>
    <w:semiHidden/>
    <w:qFormat/>
    <w:uiPriority w:val="99"/>
    <w:rPr>
      <w:rFonts w:ascii="等线" w:hAnsi="等线" w:eastAsia="等线" w:cs="等线"/>
      <w:kern w:val="2"/>
      <w:sz w:val="21"/>
      <w:szCs w:val="24"/>
      <w:lang w:val="en-US" w:eastAsia="zh-CN" w:bidi="ar-SA"/>
    </w:rPr>
  </w:style>
  <w:style w:type="paragraph" w:customStyle="1" w:styleId="646">
    <w:name w:val="_Style 3"/>
    <w:qFormat/>
    <w:uiPriority w:val="0"/>
    <w:rPr>
      <w:rFonts w:ascii="Calibri" w:hAnsi="Calibri" w:eastAsia="等线" w:cs="等线"/>
      <w:sz w:val="22"/>
      <w:szCs w:val="22"/>
      <w:lang w:val="en-US" w:eastAsia="zh-CN" w:bidi="ar-SA"/>
    </w:rPr>
  </w:style>
  <w:style w:type="paragraph" w:customStyle="1" w:styleId="647">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8">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49">
    <w:name w:val="xl3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2">
    <w:name w:val="font15"/>
    <w:basedOn w:val="1"/>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3">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4">
    <w:name w:val="样式 标题 5 + 段前: 5 磅 段后: 5 磅 行距: 单倍行距"/>
    <w:basedOn w:val="10"/>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5">
    <w:name w:val="列出段落3"/>
    <w:basedOn w:val="1"/>
    <w:qFormat/>
    <w:uiPriority w:val="0"/>
    <w:pPr>
      <w:ind w:firstLine="420" w:firstLineChars="200"/>
    </w:pPr>
    <w:rPr>
      <w:rFonts w:ascii="Calibri" w:hAnsi="Calibri" w:eastAsia="等线" w:cs="等线"/>
      <w:szCs w:val="22"/>
    </w:rPr>
  </w:style>
  <w:style w:type="paragraph" w:customStyle="1" w:styleId="656">
    <w:name w:val="标准小四"/>
    <w:basedOn w:val="1"/>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7">
    <w:name w:val="排列"/>
    <w:basedOn w:val="1"/>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59">
    <w:name w:val="標題 2..."/>
    <w:basedOn w:val="1"/>
    <w:qFormat/>
    <w:uiPriority w:val="0"/>
    <w:pPr>
      <w:spacing w:line="360" w:lineRule="auto"/>
      <w:ind w:left="568" w:firstLine="567" w:firstLineChars="200"/>
    </w:pPr>
    <w:rPr>
      <w:rFonts w:ascii="等线" w:hAnsi="等线" w:eastAsia="PMingLiU" w:cs="等线"/>
      <w:sz w:val="24"/>
      <w:lang w:eastAsia="zh-TW"/>
    </w:rPr>
  </w:style>
  <w:style w:type="paragraph" w:customStyle="1" w:styleId="660">
    <w:name w:val="TOC 标题1"/>
    <w:basedOn w:val="6"/>
    <w:next w:val="1"/>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1">
    <w:name w:val="正文 首行缩进:  2 字符 Char"/>
    <w:basedOn w:val="1"/>
    <w:qFormat/>
    <w:uiPriority w:val="0"/>
    <w:pPr>
      <w:spacing w:line="360" w:lineRule="auto"/>
      <w:ind w:firstLine="480"/>
    </w:pPr>
    <w:rPr>
      <w:rFonts w:ascii="等线" w:hAnsi="等线" w:eastAsia="等线" w:cs="仿宋_GB2312"/>
      <w:sz w:val="24"/>
      <w:szCs w:val="20"/>
    </w:rPr>
  </w:style>
  <w:style w:type="paragraph" w:customStyle="1" w:styleId="662">
    <w:name w:val="font6"/>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3">
    <w:name w:val="列表内容"/>
    <w:basedOn w:val="1"/>
    <w:next w:val="1"/>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4">
    <w:name w:val="附录表标题"/>
    <w:basedOn w:val="1"/>
    <w:next w:val="452"/>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6">
    <w:name w:val="WW-正文文字缩进 2"/>
    <w:basedOn w:val="1"/>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7">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8">
    <w:name w:val="xl10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69">
    <w:name w:val="PP Line"/>
    <w:basedOn w:val="45"/>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0">
    <w:name w:val="正文文本 21"/>
    <w:basedOn w:val="1"/>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1">
    <w:name w:val="样式 普通(网站) + 仿宋_GB2312 段前: 自动 段后: 自动 行距: 1.5 倍行距1"/>
    <w:basedOn w:val="1"/>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2">
    <w:name w:val="_Style 125"/>
    <w:basedOn w:val="1"/>
    <w:qFormat/>
    <w:uiPriority w:val="0"/>
    <w:rPr>
      <w:rFonts w:ascii="等线" w:hAnsi="等线" w:eastAsia="等线" w:cs="等线"/>
    </w:rPr>
  </w:style>
  <w:style w:type="paragraph" w:customStyle="1" w:styleId="673">
    <w:name w:val="封面标准代替信息"/>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4">
    <w:name w:val="彩色列表 - 着色 11"/>
    <w:basedOn w:val="1"/>
    <w:qFormat/>
    <w:uiPriority w:val="0"/>
    <w:pPr>
      <w:spacing w:line="360" w:lineRule="auto"/>
      <w:ind w:firstLine="420" w:firstLineChars="200"/>
    </w:pPr>
    <w:rPr>
      <w:rFonts w:ascii="Calibri" w:hAnsi="Calibri" w:eastAsia="等线" w:cs="等线"/>
      <w:szCs w:val="20"/>
    </w:rPr>
  </w:style>
  <w:style w:type="paragraph" w:customStyle="1" w:styleId="675">
    <w:name w:val="my正文"/>
    <w:basedOn w:val="1"/>
    <w:qFormat/>
    <w:uiPriority w:val="0"/>
    <w:pPr>
      <w:spacing w:line="360" w:lineRule="auto"/>
      <w:ind w:firstLine="480" w:firstLineChars="200"/>
    </w:pPr>
    <w:rPr>
      <w:rFonts w:ascii="Tahoma" w:hAnsi="Tahoma" w:eastAsia="等线" w:cs="等线"/>
      <w:sz w:val="24"/>
    </w:rPr>
  </w:style>
  <w:style w:type="paragraph" w:customStyle="1" w:styleId="676">
    <w:name w:val="寄件者簡短地址"/>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7">
    <w:name w:val="context-item"/>
    <w:basedOn w:val="678"/>
    <w:qFormat/>
    <w:uiPriority w:val="0"/>
    <w:pPr>
      <w:ind w:left="1418" w:hanging="284"/>
    </w:pPr>
  </w:style>
  <w:style w:type="paragraph" w:customStyle="1" w:styleId="678">
    <w:name w:val="context"/>
    <w:basedOn w:val="1"/>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79">
    <w:name w:val="_Style 5"/>
    <w:basedOn w:val="21"/>
    <w:qFormat/>
    <w:uiPriority w:val="0"/>
    <w:rPr>
      <w:rFonts w:eastAsia="等线"/>
    </w:rPr>
  </w:style>
  <w:style w:type="paragraph" w:customStyle="1" w:styleId="680">
    <w:name w:val="xl24"/>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1">
    <w:name w:val="表头"/>
    <w:basedOn w:val="1"/>
    <w:qFormat/>
    <w:uiPriority w:val="0"/>
    <w:pPr>
      <w:spacing w:before="120" w:after="120" w:line="480" w:lineRule="exact"/>
      <w:jc w:val="center"/>
    </w:pPr>
    <w:rPr>
      <w:rFonts w:ascii="黑体" w:hAnsi="等线" w:eastAsia="黑体" w:cs="等线"/>
      <w:sz w:val="24"/>
      <w:szCs w:val="20"/>
    </w:rPr>
  </w:style>
  <w:style w:type="paragraph" w:customStyle="1" w:styleId="682">
    <w:name w:val="正文文本缩进 31"/>
    <w:basedOn w:val="1"/>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3">
    <w:name w:val="List Paragraph1"/>
    <w:basedOn w:val="1"/>
    <w:qFormat/>
    <w:uiPriority w:val="0"/>
    <w:pPr>
      <w:spacing w:line="360" w:lineRule="auto"/>
      <w:ind w:firstLine="420" w:firstLineChars="200"/>
    </w:pPr>
    <w:rPr>
      <w:rFonts w:ascii="等线" w:hAnsi="等线" w:eastAsia="等线" w:cs="等线"/>
      <w:szCs w:val="20"/>
    </w:rPr>
  </w:style>
  <w:style w:type="paragraph" w:customStyle="1" w:styleId="684">
    <w:name w:val="aspnumfaautoadjustrightr"/>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5">
    <w:name w:val="Test2"/>
    <w:basedOn w:val="7"/>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6">
    <w:name w:val="No Spacing1"/>
    <w:qFormat/>
    <w:uiPriority w:val="0"/>
    <w:rPr>
      <w:rFonts w:ascii="Century Gothic" w:hAnsi="Century Gothic" w:eastAsia="仿宋_GB2312" w:cs="新宋体"/>
      <w:sz w:val="22"/>
      <w:szCs w:val="22"/>
      <w:lang w:val="en-US" w:eastAsia="zh-CN" w:bidi="ar-SA"/>
    </w:rPr>
  </w:style>
  <w:style w:type="paragraph" w:customStyle="1" w:styleId="687">
    <w:name w:val="正文字缩2字"/>
    <w:basedOn w:val="1"/>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8">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89">
    <w:name w:val="题目副题"/>
    <w:basedOn w:val="48"/>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0">
    <w:name w:val="xl5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1">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3">
    <w:name w:val="Char Char Char2 Char"/>
    <w:basedOn w:val="1"/>
    <w:qFormat/>
    <w:uiPriority w:val="0"/>
    <w:pPr>
      <w:tabs>
        <w:tab w:val="left" w:pos="360"/>
        <w:tab w:val="left" w:pos="420"/>
      </w:tabs>
      <w:ind w:left="360" w:hanging="360"/>
    </w:pPr>
    <w:rPr>
      <w:rFonts w:ascii="等线" w:hAnsi="等线" w:eastAsia="等线" w:cs="等线"/>
    </w:rPr>
  </w:style>
  <w:style w:type="paragraph" w:customStyle="1" w:styleId="694">
    <w:name w:val="Char2 Char Char"/>
    <w:basedOn w:val="1"/>
    <w:qFormat/>
    <w:uiPriority w:val="0"/>
    <w:pPr>
      <w:spacing w:line="360" w:lineRule="auto"/>
      <w:ind w:firstLine="200" w:firstLineChars="200"/>
    </w:pPr>
    <w:rPr>
      <w:rFonts w:ascii="Tahoma" w:hAnsi="Tahoma" w:eastAsia="等线" w:cs="等线"/>
      <w:sz w:val="24"/>
      <w:szCs w:val="20"/>
    </w:rPr>
  </w:style>
  <w:style w:type="paragraph" w:customStyle="1" w:styleId="695">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7">
    <w:name w:val="font9"/>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8">
    <w:name w:val="Char Char Char Char Char Char"/>
    <w:basedOn w:val="1"/>
    <w:qFormat/>
    <w:uiPriority w:val="0"/>
    <w:rPr>
      <w:rFonts w:ascii="Tahoma" w:hAnsi="Tahoma" w:eastAsia="等线" w:cs="等线"/>
      <w:sz w:val="24"/>
      <w:szCs w:val="20"/>
    </w:rPr>
  </w:style>
  <w:style w:type="paragraph" w:customStyle="1" w:styleId="699">
    <w:name w:val="font1"/>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0">
    <w:name w:val="xl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1">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3">
    <w:name w:val="style1"/>
    <w:basedOn w:val="1"/>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4">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5">
    <w:name w:val="TOC Heading1"/>
    <w:basedOn w:val="6"/>
    <w:next w:val="1"/>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6">
    <w:name w:val="正文文字表格居中"/>
    <w:basedOn w:val="1"/>
    <w:next w:val="54"/>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7">
    <w:name w:val="普通 (Web)"/>
    <w:basedOn w:val="1"/>
    <w:qFormat/>
    <w:uiPriority w:val="0"/>
    <w:pPr>
      <w:widowControl/>
      <w:spacing w:before="100" w:after="100"/>
      <w:jc w:val="left"/>
    </w:pPr>
    <w:rPr>
      <w:rFonts w:ascii="宋体" w:hAnsi="宋体" w:eastAsia="等线" w:cs="等线"/>
      <w:kern w:val="0"/>
      <w:sz w:val="24"/>
      <w:szCs w:val="20"/>
    </w:rPr>
  </w:style>
  <w:style w:type="paragraph" w:customStyle="1" w:styleId="70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09">
    <w:name w:val="列出段落2"/>
    <w:basedOn w:val="1"/>
    <w:qFormat/>
    <w:uiPriority w:val="0"/>
    <w:pPr>
      <w:spacing w:line="360" w:lineRule="auto"/>
      <w:ind w:firstLine="420" w:firstLineChars="200"/>
    </w:pPr>
    <w:rPr>
      <w:rFonts w:ascii="等线" w:hAnsi="等线" w:eastAsia="等线" w:cs="等线"/>
      <w:szCs w:val="20"/>
    </w:rPr>
  </w:style>
  <w:style w:type="paragraph" w:customStyle="1" w:styleId="710">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1">
    <w:name w:val="Char Char1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2">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4">
    <w:name w:val="1、"/>
    <w:basedOn w:val="1"/>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7">
    <w:name w:val="正文缩进HS-正文1"/>
    <w:basedOn w:val="1"/>
    <w:qFormat/>
    <w:uiPriority w:val="0"/>
    <w:pPr>
      <w:jc w:val="center"/>
    </w:pPr>
    <w:rPr>
      <w:rFonts w:ascii="宋体" w:hAnsi="宋体" w:eastAsia="等线" w:cs="等线"/>
      <w:color w:val="000000"/>
      <w:szCs w:val="21"/>
    </w:rPr>
  </w:style>
  <w:style w:type="paragraph" w:customStyle="1" w:styleId="718">
    <w:name w:val="列项——（一级）"/>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19">
    <w:name w:val="缺省文本"/>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1">
    <w:name w:val="6"/>
    <w:basedOn w:val="1"/>
    <w:qFormat/>
    <w:uiPriority w:val="0"/>
    <w:pPr>
      <w:tabs>
        <w:tab w:val="left" w:pos="360"/>
      </w:tabs>
    </w:pPr>
    <w:rPr>
      <w:rFonts w:ascii="等线" w:hAnsi="等线" w:eastAsia="等线" w:cs="等线"/>
      <w:szCs w:val="20"/>
    </w:rPr>
  </w:style>
  <w:style w:type="paragraph" w:customStyle="1" w:styleId="7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3">
    <w:name w:val="Char Char Char Char Char Char Char Char Char"/>
    <w:basedOn w:val="1"/>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4">
    <w:name w:val="xl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5">
    <w:name w:val="Char Char Char Char Char Char Char Char Char Char1"/>
    <w:basedOn w:val="1"/>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7">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8">
    <w:name w:val="font14"/>
    <w:basedOn w:val="1"/>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29">
    <w:name w:val="正文列表"/>
    <w:basedOn w:val="1"/>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0">
    <w:name w:val="普通(网站)1"/>
    <w:basedOn w:val="1"/>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1">
    <w:name w:val="p16"/>
    <w:basedOn w:val="1"/>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2">
    <w:name w:val="Char Char Char1 Char Char Char Char"/>
    <w:basedOn w:val="1"/>
    <w:qFormat/>
    <w:uiPriority w:val="0"/>
    <w:pPr>
      <w:spacing w:line="360" w:lineRule="auto"/>
      <w:ind w:firstLine="200" w:firstLineChars="200"/>
    </w:pPr>
    <w:rPr>
      <w:rFonts w:ascii="Tahoma" w:hAnsi="Tahoma" w:eastAsia="等线" w:cs="等线"/>
      <w:sz w:val="24"/>
      <w:szCs w:val="20"/>
    </w:rPr>
  </w:style>
  <w:style w:type="paragraph" w:customStyle="1" w:styleId="733">
    <w:name w:val="text1"/>
    <w:qFormat/>
    <w:uiPriority w:val="0"/>
    <w:rPr>
      <w:rFonts w:ascii="等线" w:hAnsi="等线" w:eastAsia="DFKai-SB" w:cs="等线"/>
      <w:sz w:val="28"/>
      <w:lang w:val="en-US" w:eastAsia="zh-TW" w:bidi="ar-SA"/>
    </w:rPr>
  </w:style>
  <w:style w:type="table" w:customStyle="1" w:styleId="734">
    <w:name w:val="网格表 1 浅色 - 着色 41"/>
    <w:basedOn w:val="62"/>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5">
    <w:name w:val="网格表 5 深色 - 着色 11"/>
    <w:basedOn w:val="62"/>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6">
    <w:name w:val="网格型浅色1"/>
    <w:basedOn w:val="62"/>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7">
    <w:name w:val="网格表 1 浅色 - 着色 31"/>
    <w:basedOn w:val="62"/>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8">
    <w:name w:val="表格 Char"/>
    <w:qFormat/>
    <w:uiPriority w:val="99"/>
    <w:rPr>
      <w:kern w:val="2"/>
      <w:sz w:val="24"/>
    </w:rPr>
  </w:style>
  <w:style w:type="character" w:customStyle="1" w:styleId="739">
    <w:name w:val="font51"/>
    <w:qFormat/>
    <w:uiPriority w:val="0"/>
    <w:rPr>
      <w:rFonts w:hint="eastAsia" w:ascii="宋体" w:hAnsi="宋体" w:eastAsia="宋体" w:cs="宋体"/>
      <w:color w:val="000000"/>
      <w:sz w:val="24"/>
      <w:szCs w:val="24"/>
      <w:u w:val="none"/>
    </w:rPr>
  </w:style>
  <w:style w:type="character" w:customStyle="1" w:styleId="740">
    <w:name w:val="fontstyle31"/>
    <w:qFormat/>
    <w:uiPriority w:val="0"/>
    <w:rPr>
      <w:rFonts w:ascii="TimesNewRomanPSMT" w:hAnsi="TimesNewRomanPSMT" w:eastAsia="TimesNewRomanPSMT" w:cs="TimesNewRomanPSMT"/>
      <w:color w:val="000000"/>
      <w:sz w:val="22"/>
      <w:szCs w:val="22"/>
    </w:rPr>
  </w:style>
  <w:style w:type="character" w:customStyle="1" w:styleId="741">
    <w:name w:val="尾注文本 Char"/>
    <w:qFormat/>
    <w:uiPriority w:val="1"/>
    <w:rPr>
      <w:kern w:val="2"/>
      <w:sz w:val="28"/>
      <w:szCs w:val="24"/>
    </w:rPr>
  </w:style>
  <w:style w:type="character" w:customStyle="1" w:styleId="742">
    <w:name w:val="font81"/>
    <w:qFormat/>
    <w:uiPriority w:val="0"/>
    <w:rPr>
      <w:rFonts w:hint="eastAsia" w:ascii="宋体" w:hAnsi="宋体" w:eastAsia="宋体" w:cs="宋体"/>
      <w:color w:val="000000"/>
      <w:sz w:val="20"/>
      <w:szCs w:val="20"/>
      <w:u w:val="none"/>
    </w:rPr>
  </w:style>
  <w:style w:type="character" w:customStyle="1" w:styleId="743">
    <w:name w:val="font101"/>
    <w:qFormat/>
    <w:uiPriority w:val="0"/>
    <w:rPr>
      <w:rFonts w:hint="eastAsia" w:ascii="宋体" w:hAnsi="宋体" w:eastAsia="宋体" w:cs="宋体"/>
      <w:b/>
      <w:color w:val="000000"/>
      <w:sz w:val="24"/>
      <w:szCs w:val="24"/>
      <w:u w:val="none"/>
    </w:rPr>
  </w:style>
  <w:style w:type="character" w:customStyle="1" w:styleId="744">
    <w:name w:val="表头编号 Char"/>
    <w:link w:val="745"/>
    <w:qFormat/>
    <w:uiPriority w:val="0"/>
    <w:rPr>
      <w:rFonts w:eastAsia="黑体"/>
      <w:sz w:val="24"/>
      <w:szCs w:val="24"/>
    </w:rPr>
  </w:style>
  <w:style w:type="paragraph" w:customStyle="1" w:styleId="745">
    <w:name w:val="表头编号"/>
    <w:basedOn w:val="1"/>
    <w:next w:val="746"/>
    <w:link w:val="744"/>
    <w:qFormat/>
    <w:uiPriority w:val="0"/>
    <w:pPr>
      <w:adjustRightInd w:val="0"/>
      <w:snapToGrid w:val="0"/>
      <w:spacing w:line="360" w:lineRule="auto"/>
      <w:jc w:val="left"/>
    </w:pPr>
    <w:rPr>
      <w:rFonts w:eastAsia="黑体"/>
      <w:kern w:val="0"/>
      <w:sz w:val="24"/>
    </w:rPr>
  </w:style>
  <w:style w:type="paragraph" w:customStyle="1" w:styleId="746">
    <w:name w:val="表格文本"/>
    <w:basedOn w:val="1"/>
    <w:next w:val="1"/>
    <w:link w:val="808"/>
    <w:qFormat/>
    <w:uiPriority w:val="0"/>
    <w:pPr>
      <w:adjustRightInd w:val="0"/>
      <w:snapToGrid w:val="0"/>
      <w:jc w:val="center"/>
    </w:pPr>
    <w:rPr>
      <w:color w:val="000000"/>
      <w:kern w:val="0"/>
      <w:sz w:val="24"/>
      <w:szCs w:val="21"/>
    </w:rPr>
  </w:style>
  <w:style w:type="character" w:customStyle="1" w:styleId="747">
    <w:name w:val="表格文字 Char"/>
    <w:link w:val="748"/>
    <w:qFormat/>
    <w:uiPriority w:val="0"/>
    <w:rPr>
      <w:kern w:val="2"/>
      <w:sz w:val="21"/>
      <w:szCs w:val="21"/>
    </w:rPr>
  </w:style>
  <w:style w:type="paragraph" w:customStyle="1" w:styleId="748">
    <w:name w:val="表格文字"/>
    <w:basedOn w:val="264"/>
    <w:next w:val="2"/>
    <w:link w:val="747"/>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character" w:customStyle="1" w:styleId="749">
    <w:name w:val="font71"/>
    <w:qFormat/>
    <w:uiPriority w:val="0"/>
    <w:rPr>
      <w:rFonts w:hint="eastAsia" w:ascii="宋体" w:hAnsi="宋体" w:eastAsia="宋体" w:cs="宋体"/>
      <w:color w:val="000000"/>
      <w:sz w:val="24"/>
      <w:szCs w:val="24"/>
      <w:u w:val="none"/>
    </w:rPr>
  </w:style>
  <w:style w:type="character" w:customStyle="1" w:styleId="750">
    <w:name w:val="表格标题/图片标题/日期格式/图片居中 Char"/>
    <w:link w:val="751"/>
    <w:qFormat/>
    <w:uiPriority w:val="0"/>
    <w:rPr>
      <w:b/>
      <w:kern w:val="2"/>
      <w:sz w:val="28"/>
      <w:szCs w:val="24"/>
    </w:rPr>
  </w:style>
  <w:style w:type="paragraph" w:customStyle="1" w:styleId="751">
    <w:name w:val="表格标题/图片标题/日期格式/图片居中"/>
    <w:link w:val="750"/>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2">
    <w:name w:val="font61"/>
    <w:qFormat/>
    <w:uiPriority w:val="0"/>
    <w:rPr>
      <w:rFonts w:hint="eastAsia" w:ascii="宋体" w:hAnsi="宋体" w:eastAsia="宋体" w:cs="宋体"/>
      <w:b/>
      <w:color w:val="000000"/>
      <w:sz w:val="24"/>
      <w:szCs w:val="24"/>
      <w:u w:val="none"/>
    </w:rPr>
  </w:style>
  <w:style w:type="character" w:customStyle="1" w:styleId="753">
    <w:name w:val="font41"/>
    <w:qFormat/>
    <w:uiPriority w:val="0"/>
    <w:rPr>
      <w:rFonts w:hint="default" w:ascii="Times New Roman" w:hAnsi="Times New Roman" w:cs="Times New Roman"/>
      <w:color w:val="000000"/>
      <w:sz w:val="20"/>
      <w:szCs w:val="20"/>
      <w:u w:val="none"/>
    </w:rPr>
  </w:style>
  <w:style w:type="character" w:customStyle="1" w:styleId="754">
    <w:name w:val="fontstyle21"/>
    <w:qFormat/>
    <w:uiPriority w:val="0"/>
    <w:rPr>
      <w:rFonts w:ascii="宋体" w:hAnsi="宋体" w:eastAsia="宋体" w:cs="宋体"/>
      <w:color w:val="000000"/>
      <w:sz w:val="22"/>
      <w:szCs w:val="22"/>
    </w:rPr>
  </w:style>
  <w:style w:type="character" w:customStyle="1" w:styleId="755">
    <w:name w:val="font201"/>
    <w:qFormat/>
    <w:uiPriority w:val="0"/>
    <w:rPr>
      <w:rFonts w:hint="eastAsia" w:ascii="宋体" w:hAnsi="宋体" w:eastAsia="宋体" w:cs="宋体"/>
      <w:b/>
      <w:color w:val="000000"/>
      <w:sz w:val="24"/>
      <w:szCs w:val="24"/>
      <w:u w:val="none"/>
    </w:rPr>
  </w:style>
  <w:style w:type="character" w:customStyle="1" w:styleId="756">
    <w:name w:val="font221"/>
    <w:qFormat/>
    <w:uiPriority w:val="0"/>
    <w:rPr>
      <w:rFonts w:hint="eastAsia" w:ascii="宋体" w:hAnsi="宋体" w:eastAsia="宋体" w:cs="宋体"/>
      <w:color w:val="000000"/>
      <w:sz w:val="24"/>
      <w:szCs w:val="24"/>
      <w:u w:val="none"/>
    </w:rPr>
  </w:style>
  <w:style w:type="character" w:customStyle="1" w:styleId="757">
    <w:name w:val="尾注文本 字符"/>
    <w:basedOn w:val="65"/>
    <w:link w:val="41"/>
    <w:qFormat/>
    <w:uiPriority w:val="99"/>
    <w:rPr>
      <w:kern w:val="2"/>
      <w:sz w:val="21"/>
      <w:szCs w:val="24"/>
    </w:rPr>
  </w:style>
  <w:style w:type="paragraph" w:customStyle="1" w:styleId="758">
    <w:name w:val="[Normal]"/>
    <w:qFormat/>
    <w:uiPriority w:val="0"/>
    <w:rPr>
      <w:rFonts w:ascii="宋体" w:hAnsi="宋体" w:eastAsia="宋体" w:cs="Times New Roman"/>
      <w:sz w:val="24"/>
      <w:szCs w:val="22"/>
      <w:lang w:val="zh-CN" w:eastAsia="zh-CN" w:bidi="ar-SA"/>
    </w:rPr>
  </w:style>
  <w:style w:type="paragraph" w:customStyle="1" w:styleId="759">
    <w:name w:val="表格文字（居中）"/>
    <w:basedOn w:val="1"/>
    <w:qFormat/>
    <w:uiPriority w:val="0"/>
    <w:pPr>
      <w:spacing w:line="360" w:lineRule="auto"/>
      <w:ind w:firstLine="200" w:firstLineChars="200"/>
      <w:jc w:val="center"/>
    </w:pPr>
    <w:rPr>
      <w:sz w:val="28"/>
    </w:rPr>
  </w:style>
  <w:style w:type="paragraph" w:customStyle="1" w:styleId="760">
    <w:name w:val="文章正文"/>
    <w:basedOn w:val="1"/>
    <w:qFormat/>
    <w:uiPriority w:val="0"/>
    <w:pPr>
      <w:spacing w:line="360" w:lineRule="auto"/>
      <w:ind w:firstLine="200" w:firstLineChars="200"/>
    </w:pPr>
    <w:rPr>
      <w:kern w:val="0"/>
      <w:sz w:val="28"/>
      <w:szCs w:val="22"/>
    </w:rPr>
  </w:style>
  <w:style w:type="paragraph" w:customStyle="1" w:styleId="761">
    <w:name w:val="表格内容"/>
    <w:basedOn w:val="1"/>
    <w:qFormat/>
    <w:uiPriority w:val="0"/>
    <w:pPr>
      <w:jc w:val="center"/>
    </w:pPr>
    <w:rPr>
      <w:sz w:val="24"/>
      <w:szCs w:val="21"/>
    </w:rPr>
  </w:style>
  <w:style w:type="paragraph" w:customStyle="1" w:styleId="762">
    <w:name w:val="图名"/>
    <w:basedOn w:val="1"/>
    <w:next w:val="1"/>
    <w:qFormat/>
    <w:uiPriority w:val="1"/>
    <w:pPr>
      <w:spacing w:line="360" w:lineRule="auto"/>
      <w:jc w:val="center"/>
    </w:pPr>
    <w:rPr>
      <w:rFonts w:eastAsia="Times New Roman"/>
      <w:b/>
      <w:color w:val="000000"/>
      <w:sz w:val="28"/>
    </w:rPr>
  </w:style>
  <w:style w:type="paragraph" w:customStyle="1" w:styleId="763">
    <w:name w:val="08-123456789"/>
    <w:basedOn w:val="1"/>
    <w:qFormat/>
    <w:uiPriority w:val="0"/>
    <w:pPr>
      <w:ind w:firstLine="553" w:firstLineChars="200"/>
    </w:pPr>
    <w:rPr>
      <w:rFonts w:cs="宋体"/>
      <w:sz w:val="26"/>
      <w:szCs w:val="26"/>
    </w:rPr>
  </w:style>
  <w:style w:type="paragraph" w:customStyle="1" w:styleId="764">
    <w:name w:val="封面文字"/>
    <w:basedOn w:val="1"/>
    <w:qFormat/>
    <w:uiPriority w:val="0"/>
    <w:pPr>
      <w:spacing w:line="360" w:lineRule="auto"/>
      <w:jc w:val="center"/>
    </w:pPr>
    <w:rPr>
      <w:rFonts w:hAnsi="宋体" w:eastAsia="黑体"/>
      <w:sz w:val="48"/>
    </w:rPr>
  </w:style>
  <w:style w:type="paragraph" w:customStyle="1" w:styleId="765">
    <w:name w:val="表头、图名"/>
    <w:basedOn w:val="1"/>
    <w:link w:val="807"/>
    <w:qFormat/>
    <w:uiPriority w:val="0"/>
    <w:pPr>
      <w:spacing w:line="360" w:lineRule="auto"/>
      <w:ind w:firstLine="200" w:firstLineChars="200"/>
      <w:jc w:val="center"/>
    </w:pPr>
    <w:rPr>
      <w:b/>
      <w:sz w:val="28"/>
      <w:szCs w:val="20"/>
    </w:rPr>
  </w:style>
  <w:style w:type="paragraph" w:customStyle="1" w:styleId="766">
    <w:name w:val="表头2"/>
    <w:basedOn w:val="375"/>
    <w:qFormat/>
    <w:uiPriority w:val="0"/>
    <w:pPr>
      <w:spacing w:line="520" w:lineRule="exact"/>
      <w:jc w:val="left"/>
    </w:pPr>
    <w:rPr>
      <w:rFonts w:ascii="Calibri" w:hAnsi="Calibri" w:eastAsia="宋体"/>
      <w:color w:val="auto"/>
      <w:szCs w:val="28"/>
    </w:rPr>
  </w:style>
  <w:style w:type="paragraph" w:customStyle="1" w:styleId="767">
    <w:name w:val="WPSOffice手动目录 1"/>
    <w:qFormat/>
    <w:uiPriority w:val="0"/>
    <w:rPr>
      <w:rFonts w:ascii="Times New Roman" w:hAnsi="Times New Roman" w:eastAsia="宋体" w:cs="Times New Roman"/>
      <w:lang w:val="en-US" w:eastAsia="zh-CN" w:bidi="ar-SA"/>
    </w:rPr>
  </w:style>
  <w:style w:type="paragraph" w:customStyle="1" w:styleId="768">
    <w:name w:val="表格备注"/>
    <w:basedOn w:val="1"/>
    <w:next w:val="1"/>
    <w:qFormat/>
    <w:uiPriority w:val="2"/>
    <w:pPr>
      <w:spacing w:afterLines="50"/>
    </w:pPr>
  </w:style>
  <w:style w:type="paragraph" w:customStyle="1" w:styleId="769">
    <w:name w:val="目  录"/>
    <w:basedOn w:val="1"/>
    <w:qFormat/>
    <w:uiPriority w:val="0"/>
    <w:pPr>
      <w:spacing w:line="360" w:lineRule="auto"/>
      <w:jc w:val="center"/>
    </w:pPr>
    <w:rPr>
      <w:rFonts w:hAnsi="宋体" w:eastAsia="黑体"/>
      <w:sz w:val="44"/>
    </w:rPr>
  </w:style>
  <w:style w:type="paragraph" w:customStyle="1" w:styleId="770">
    <w:name w:val="表格样式"/>
    <w:basedOn w:val="1"/>
    <w:qFormat/>
    <w:uiPriority w:val="0"/>
    <w:pPr>
      <w:widowControl/>
      <w:jc w:val="center"/>
    </w:pPr>
    <w:rPr>
      <w:bCs/>
      <w:kern w:val="0"/>
      <w:sz w:val="24"/>
    </w:rPr>
  </w:style>
  <w:style w:type="paragraph" w:customStyle="1" w:styleId="771">
    <w:name w:val="正文 1.5 倍行距"/>
    <w:basedOn w:val="1"/>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2">
    <w:name w:val="表图内容"/>
    <w:basedOn w:val="1"/>
    <w:qFormat/>
    <w:uiPriority w:val="0"/>
    <w:pPr>
      <w:spacing w:line="360" w:lineRule="auto"/>
      <w:ind w:firstLine="200" w:firstLineChars="200"/>
      <w:jc w:val="center"/>
    </w:pPr>
    <w:rPr>
      <w:sz w:val="24"/>
      <w:szCs w:val="21"/>
    </w:rPr>
  </w:style>
  <w:style w:type="paragraph" w:customStyle="1" w:styleId="77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5">
    <w:name w:val="图片"/>
    <w:basedOn w:val="1"/>
    <w:qFormat/>
    <w:uiPriority w:val="0"/>
    <w:pPr>
      <w:jc w:val="center"/>
    </w:pPr>
    <w:rPr>
      <w:sz w:val="28"/>
    </w:rPr>
  </w:style>
  <w:style w:type="character" w:customStyle="1" w:styleId="776">
    <w:name w:val="招标正文 字符"/>
    <w:link w:val="777"/>
    <w:qFormat/>
    <w:uiPriority w:val="0"/>
    <w:rPr>
      <w:rFonts w:ascii="宋体" w:hAnsi="宋体"/>
      <w:color w:val="000000"/>
      <w:sz w:val="24"/>
      <w:szCs w:val="21"/>
    </w:rPr>
  </w:style>
  <w:style w:type="paragraph" w:customStyle="1" w:styleId="777">
    <w:name w:val="招标正文"/>
    <w:basedOn w:val="1"/>
    <w:link w:val="776"/>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8">
    <w:name w:val="招标-标题1 字符"/>
    <w:link w:val="779"/>
    <w:qFormat/>
    <w:uiPriority w:val="0"/>
    <w:rPr>
      <w:rFonts w:ascii="宋体" w:hAnsi="宋体"/>
      <w:b/>
      <w:bCs/>
      <w:sz w:val="28"/>
      <w:szCs w:val="21"/>
    </w:rPr>
  </w:style>
  <w:style w:type="paragraph" w:customStyle="1" w:styleId="779">
    <w:name w:val="招标-标题1"/>
    <w:basedOn w:val="1"/>
    <w:link w:val="778"/>
    <w:qFormat/>
    <w:uiPriority w:val="0"/>
    <w:pPr>
      <w:spacing w:line="300" w:lineRule="auto"/>
      <w:ind w:left="560" w:firstLine="200" w:firstLineChars="200"/>
    </w:pPr>
    <w:rPr>
      <w:rFonts w:ascii="宋体" w:hAnsi="宋体"/>
      <w:b/>
      <w:bCs/>
      <w:kern w:val="0"/>
      <w:sz w:val="28"/>
      <w:szCs w:val="21"/>
    </w:rPr>
  </w:style>
  <w:style w:type="character" w:customStyle="1" w:styleId="780">
    <w:name w:val="招标-主标题 字符"/>
    <w:link w:val="781"/>
    <w:qFormat/>
    <w:uiPriority w:val="0"/>
    <w:rPr>
      <w:rFonts w:ascii="宋体" w:hAnsi="宋体"/>
      <w:b/>
      <w:sz w:val="32"/>
    </w:rPr>
  </w:style>
  <w:style w:type="paragraph" w:customStyle="1" w:styleId="781">
    <w:name w:val="招标-主标题"/>
    <w:basedOn w:val="1"/>
    <w:link w:val="780"/>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2">
    <w:name w:val="标题 Char1"/>
    <w:basedOn w:val="65"/>
    <w:qFormat/>
    <w:uiPriority w:val="10"/>
    <w:rPr>
      <w:rFonts w:eastAsia="宋体" w:asciiTheme="majorHAnsi" w:hAnsiTheme="majorHAnsi" w:cstheme="majorBidi"/>
      <w:b/>
      <w:bCs/>
      <w:sz w:val="32"/>
      <w:szCs w:val="32"/>
    </w:rPr>
  </w:style>
  <w:style w:type="paragraph" w:customStyle="1" w:styleId="783">
    <w:name w:val="Char Char Char Char Char Char1"/>
    <w:basedOn w:val="1"/>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4">
    <w:name w:val="表名"/>
    <w:basedOn w:val="1"/>
    <w:qFormat/>
    <w:uiPriority w:val="0"/>
    <w:pPr>
      <w:spacing w:after="60" w:line="560" w:lineRule="exact"/>
      <w:ind w:firstLine="100" w:firstLineChars="100"/>
    </w:pPr>
    <w:rPr>
      <w:rFonts w:ascii="黑体" w:eastAsia="黑体"/>
      <w:sz w:val="24"/>
    </w:rPr>
  </w:style>
  <w:style w:type="paragraph" w:customStyle="1" w:styleId="785">
    <w:name w:val="标1 Char Char Char Char Char Char Char"/>
    <w:basedOn w:val="1"/>
    <w:semiHidden/>
    <w:qFormat/>
    <w:uiPriority w:val="0"/>
    <w:pPr>
      <w:adjustRightInd w:val="0"/>
      <w:spacing w:line="360" w:lineRule="atLeast"/>
      <w:ind w:firstLine="200" w:firstLineChars="200"/>
    </w:pPr>
    <w:rPr>
      <w:szCs w:val="28"/>
    </w:rPr>
  </w:style>
  <w:style w:type="paragraph" w:customStyle="1" w:styleId="786">
    <w:name w:val="样式 仿宋_GB2312 小三 黑色"/>
    <w:basedOn w:val="1"/>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7">
    <w:name w:val="样式 仿宋_GB2312 小三 黑色 Char"/>
    <w:qFormat/>
    <w:uiPriority w:val="0"/>
    <w:rPr>
      <w:rFonts w:ascii="仿宋_GB2312" w:eastAsia="仿宋_GB2312" w:cs="仿宋_GB2312"/>
      <w:kern w:val="2"/>
      <w:sz w:val="30"/>
      <w:szCs w:val="30"/>
      <w:lang w:val="zh-CN" w:eastAsia="zh-CN" w:bidi="ar-SA"/>
    </w:rPr>
  </w:style>
  <w:style w:type="paragraph" w:customStyle="1" w:styleId="788">
    <w:name w:val="样式 仿宋_GB2312 小三"/>
    <w:basedOn w:val="1"/>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89">
    <w:name w:val="样式 仿宋_GB2312 小三 Char"/>
    <w:qFormat/>
    <w:uiPriority w:val="0"/>
    <w:rPr>
      <w:rFonts w:ascii="仿宋_GB2312" w:eastAsia="仿宋_GB2312" w:cs="仿宋_GB2312"/>
      <w:kern w:val="2"/>
      <w:sz w:val="30"/>
      <w:szCs w:val="30"/>
      <w:lang w:val="zh-CN" w:eastAsia="zh-CN" w:bidi="ar-SA"/>
    </w:rPr>
  </w:style>
  <w:style w:type="paragraph" w:customStyle="1" w:styleId="790">
    <w:name w:val="样式4"/>
    <w:basedOn w:val="1"/>
    <w:qFormat/>
    <w:uiPriority w:val="0"/>
    <w:pPr>
      <w:spacing w:line="360" w:lineRule="auto"/>
      <w:ind w:firstLine="200" w:firstLineChars="200"/>
    </w:pPr>
    <w:rPr>
      <w:sz w:val="28"/>
      <w:szCs w:val="21"/>
    </w:rPr>
  </w:style>
  <w:style w:type="paragraph" w:customStyle="1" w:styleId="791">
    <w:name w:val="图中文字"/>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2">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3">
    <w:name w:val="瑞安正文"/>
    <w:basedOn w:val="1"/>
    <w:qFormat/>
    <w:uiPriority w:val="0"/>
    <w:pPr>
      <w:adjustRightInd w:val="0"/>
      <w:snapToGrid w:val="0"/>
      <w:spacing w:afterLines="50" w:line="300" w:lineRule="auto"/>
      <w:ind w:firstLine="200" w:firstLineChars="200"/>
    </w:pPr>
    <w:rPr>
      <w:sz w:val="24"/>
    </w:rPr>
  </w:style>
  <w:style w:type="paragraph" w:customStyle="1" w:styleId="794">
    <w:name w:val="样式 图文仿宋四号 + (西文) 宋体 (中文) 宋体"/>
    <w:basedOn w:val="1"/>
    <w:link w:val="795"/>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5">
    <w:name w:val="样式 图文仿宋四号 + (西文) 宋体 (中文) 宋体 Char"/>
    <w:link w:val="794"/>
    <w:qFormat/>
    <w:uiPriority w:val="0"/>
    <w:rPr>
      <w:rFonts w:ascii="仿宋_GB2312" w:eastAsia="仿宋_GB2312"/>
      <w:kern w:val="2"/>
      <w:sz w:val="32"/>
      <w:szCs w:val="32"/>
      <w:lang w:val="zh-CN"/>
    </w:rPr>
  </w:style>
  <w:style w:type="paragraph" w:customStyle="1" w:styleId="796">
    <w:name w:val="para_small"/>
    <w:basedOn w:val="1"/>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7">
    <w:name w:val="temp标题1"/>
    <w:basedOn w:val="6"/>
    <w:next w:val="6"/>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8">
    <w:name w:val="temp标题2"/>
    <w:basedOn w:val="7"/>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799">
    <w:name w:val="temp标题3"/>
    <w:basedOn w:val="8"/>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0">
    <w:name w:val="样式 temp标题1 + 段前: 0.5 行"/>
    <w:basedOn w:val="797"/>
    <w:qFormat/>
    <w:uiPriority w:val="0"/>
    <w:pPr>
      <w:spacing w:beforeLines="100"/>
    </w:pPr>
    <w:rPr>
      <w:rFonts w:cs="宋体"/>
      <w:bCs w:val="0"/>
      <w:szCs w:val="20"/>
    </w:rPr>
  </w:style>
  <w:style w:type="paragraph" w:customStyle="1" w:styleId="801">
    <w:name w:val="样式 Times New Roman 加粗 首行缩进:  2 字符 行距: 1.5 倍行距"/>
    <w:basedOn w:val="1"/>
    <w:qFormat/>
    <w:uiPriority w:val="0"/>
    <w:pPr>
      <w:spacing w:line="360" w:lineRule="auto"/>
      <w:ind w:firstLine="562" w:firstLineChars="200"/>
    </w:pPr>
    <w:rPr>
      <w:rFonts w:eastAsia="楷体_GB2312" w:cs="宋体"/>
      <w:bCs/>
      <w:sz w:val="28"/>
      <w:szCs w:val="20"/>
    </w:rPr>
  </w:style>
  <w:style w:type="paragraph" w:customStyle="1" w:styleId="802">
    <w:name w:val="页码1"/>
    <w:basedOn w:val="1"/>
    <w:next w:val="1"/>
    <w:qFormat/>
    <w:uiPriority w:val="0"/>
    <w:pPr>
      <w:widowControl/>
      <w:spacing w:line="360" w:lineRule="auto"/>
      <w:ind w:firstLine="200" w:firstLineChars="200"/>
    </w:pPr>
    <w:rPr>
      <w:color w:val="000000"/>
      <w:sz w:val="28"/>
      <w:szCs w:val="28"/>
    </w:rPr>
  </w:style>
  <w:style w:type="paragraph" w:customStyle="1" w:styleId="803">
    <w:name w:val="附图表"/>
    <w:basedOn w:val="1"/>
    <w:link w:val="804"/>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4">
    <w:name w:val="附图表 Char"/>
    <w:link w:val="803"/>
    <w:qFormat/>
    <w:uiPriority w:val="0"/>
    <w:rPr>
      <w:rFonts w:ascii="黑体" w:hAnsi="黑体" w:eastAsia="黑体"/>
      <w:color w:val="000000"/>
      <w:sz w:val="28"/>
      <w:szCs w:val="30"/>
      <w:lang w:val="zh-CN"/>
    </w:rPr>
  </w:style>
  <w:style w:type="character" w:customStyle="1" w:styleId="805">
    <w:name w:val="Char Char7"/>
    <w:qFormat/>
    <w:uiPriority w:val="0"/>
    <w:rPr>
      <w:rFonts w:hAnsi="宋体" w:eastAsia="宋体"/>
      <w:kern w:val="2"/>
      <w:sz w:val="18"/>
      <w:szCs w:val="18"/>
      <w:lang w:val="zh-CN" w:eastAsia="zh-CN" w:bidi="ar-SA"/>
    </w:rPr>
  </w:style>
  <w:style w:type="character" w:customStyle="1" w:styleId="806">
    <w:name w:val="content1"/>
    <w:qFormat/>
    <w:uiPriority w:val="0"/>
    <w:rPr>
      <w:sz w:val="22"/>
      <w:szCs w:val="22"/>
    </w:rPr>
  </w:style>
  <w:style w:type="character" w:customStyle="1" w:styleId="807">
    <w:name w:val="表头 Char"/>
    <w:link w:val="765"/>
    <w:qFormat/>
    <w:uiPriority w:val="0"/>
    <w:rPr>
      <w:b/>
      <w:kern w:val="2"/>
      <w:sz w:val="28"/>
    </w:rPr>
  </w:style>
  <w:style w:type="character" w:customStyle="1" w:styleId="808">
    <w:name w:val="表格文本 Char"/>
    <w:link w:val="746"/>
    <w:qFormat/>
    <w:uiPriority w:val="0"/>
    <w:rPr>
      <w:color w:val="000000"/>
      <w:sz w:val="24"/>
      <w:szCs w:val="21"/>
    </w:rPr>
  </w:style>
  <w:style w:type="character" w:customStyle="1" w:styleId="809">
    <w:name w:val="批注主题 Char1"/>
    <w:basedOn w:val="112"/>
    <w:semiHidden/>
    <w:qFormat/>
    <w:uiPriority w:val="99"/>
    <w:rPr>
      <w:rFonts w:ascii="Calibri" w:hAnsi="Calibri" w:eastAsia="仿宋" w:cs="Times New Roman"/>
      <w:b/>
      <w:bCs/>
      <w:kern w:val="2"/>
      <w:sz w:val="28"/>
      <w:szCs w:val="22"/>
    </w:rPr>
  </w:style>
  <w:style w:type="paragraph" w:customStyle="1" w:styleId="810">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1">
    <w:name w:val="纯文本2"/>
    <w:basedOn w:val="810"/>
    <w:qFormat/>
    <w:uiPriority w:val="0"/>
    <w:pPr>
      <w:widowControl/>
      <w:jc w:val="left"/>
    </w:pPr>
    <w:rPr>
      <w:rFonts w:ascii="宋体" w:hAnsi="Courier New"/>
    </w:rPr>
  </w:style>
  <w:style w:type="paragraph" w:customStyle="1" w:styleId="812">
    <w:name w:val="二级无"/>
    <w:basedOn w:val="426"/>
    <w:qFormat/>
    <w:uiPriority w:val="0"/>
    <w:pPr>
      <w:ind w:left="735"/>
    </w:pPr>
    <w:rPr>
      <w:rFonts w:ascii="宋体" w:hAnsi="Calibri" w:eastAsia="宋体" w:cs="Times New Roman"/>
      <w:szCs w:val="21"/>
    </w:rPr>
  </w:style>
  <w:style w:type="paragraph" w:customStyle="1" w:styleId="81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814">
    <w:name w:val="area_1"/>
    <w:qFormat/>
    <w:uiPriority w:val="0"/>
    <w:rPr>
      <w:rFonts w:ascii="宋体" w:hAnsi="宋体"/>
      <w:sz w:val="24"/>
    </w:rPr>
  </w:style>
  <w:style w:type="table" w:customStyle="1" w:styleId="815">
    <w:name w:val="Table Normal"/>
    <w:semiHidden/>
    <w:unhideWhenUsed/>
    <w:qFormat/>
    <w:uiPriority w:val="0"/>
    <w:tblPr>
      <w:tblCellMar>
        <w:top w:w="0" w:type="dxa"/>
        <w:left w:w="0" w:type="dxa"/>
        <w:bottom w:w="0" w:type="dxa"/>
        <w:right w:w="0" w:type="dxa"/>
      </w:tblCellMar>
    </w:tblPr>
  </w:style>
  <w:style w:type="paragraph" w:customStyle="1" w:styleId="816">
    <w:name w:val="列表段落1"/>
    <w:basedOn w:val="1"/>
    <w:qFormat/>
    <w:uiPriority w:val="0"/>
    <w:pPr>
      <w:ind w:firstLine="420" w:firstLineChars="200"/>
    </w:pPr>
    <w:rPr>
      <w:szCs w:val="21"/>
    </w:rPr>
  </w:style>
  <w:style w:type="paragraph" w:customStyle="1" w:styleId="817">
    <w:name w:val="列表段落2"/>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5" Type="http://schemas.openxmlformats.org/officeDocument/2006/relationships/fontTable" Target="fontTable.xml"/><Relationship Id="rId44" Type="http://schemas.openxmlformats.org/officeDocument/2006/relationships/customXml" Target="../customXml/item2.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31.png"/><Relationship Id="rId40" Type="http://schemas.openxmlformats.org/officeDocument/2006/relationships/image" Target="media/image30.png"/><Relationship Id="rId4" Type="http://schemas.openxmlformats.org/officeDocument/2006/relationships/footer" Target="footer1.xml"/><Relationship Id="rId39" Type="http://schemas.openxmlformats.org/officeDocument/2006/relationships/image" Target="media/image29.png"/><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header" Target="header1.xml"/><Relationship Id="rId29" Type="http://schemas.openxmlformats.org/officeDocument/2006/relationships/image" Target="media/image19.jpe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F77225-142F-46AC-A367-C77C4358C1A0}">
  <ds:schemaRefs/>
</ds:datastoreItem>
</file>

<file path=docProps/app.xml><?xml version="1.0" encoding="utf-8"?>
<Properties xmlns="http://schemas.openxmlformats.org/officeDocument/2006/extended-properties" xmlns:vt="http://schemas.openxmlformats.org/officeDocument/2006/docPropsVTypes">
  <Template>Normal</Template>
  <Pages>59</Pages>
  <Words>44071</Words>
  <Characters>48420</Characters>
  <Lines>408</Lines>
  <Paragraphs>115</Paragraphs>
  <TotalTime>24</TotalTime>
  <ScaleCrop>false</ScaleCrop>
  <LinksUpToDate>false</LinksUpToDate>
  <CharactersWithSpaces>50252</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2022-01-04T07:18:00Z</dcterms:created>
  <dc:creator>LCMZX</dc:creator>
  <cp:lastModifiedBy>吴秉泽</cp:lastModifiedBy>
  <cp:lastPrinted>2023-03-17T00:49:00Z</cp:lastPrinted>
  <dcterms:modified xsi:type="dcterms:W3CDTF">2023-03-17T05:31:39Z</dcterms:modified>
  <dc:title>温州市政府采购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56280B35D229484F9D1968CE2A56DA23</vt:lpwstr>
  </property>
  <property fmtid="{D5CDD505-2E9C-101B-9397-08002B2CF9AE}" pid="4" name="commondata">
    <vt:lpwstr>eyJoZGlkIjoiZDRhNzcwYWMxNDc0YjRjN2UxZDk1NTg4ZWEwNTIzZDUifQ==</vt:lpwstr>
  </property>
</Properties>
</file>