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00" w:lineRule="atLeast"/>
        <w:jc w:val="distribute"/>
        <w:textAlignment w:val="bottom"/>
        <w:rPr>
          <w:rFonts w:ascii="宋体" w:hAnsi="宋体"/>
          <w:b/>
          <w:bCs/>
          <w:color w:val="auto"/>
          <w:sz w:val="72"/>
          <w:szCs w:val="72"/>
          <w:highlight w:val="none"/>
        </w:rPr>
      </w:pPr>
    </w:p>
    <w:p>
      <w:pPr>
        <w:autoSpaceDE w:val="0"/>
        <w:autoSpaceDN w:val="0"/>
        <w:spacing w:line="500" w:lineRule="atLeast"/>
        <w:jc w:val="distribute"/>
        <w:textAlignment w:val="bottom"/>
        <w:rPr>
          <w:rFonts w:ascii="宋体" w:hAnsi="宋体"/>
          <w:bCs/>
          <w:color w:val="auto"/>
          <w:sz w:val="72"/>
          <w:szCs w:val="72"/>
          <w:highlight w:val="none"/>
        </w:rPr>
      </w:pPr>
      <w:r>
        <w:rPr>
          <w:rFonts w:hint="eastAsia" w:ascii="宋体" w:hAnsi="宋体"/>
          <w:b/>
          <w:bCs/>
          <w:color w:val="auto"/>
          <w:sz w:val="72"/>
          <w:szCs w:val="72"/>
          <w:highlight w:val="none"/>
        </w:rPr>
        <w:t>温州市政府采购</w:t>
      </w:r>
    </w:p>
    <w:p>
      <w:pPr>
        <w:spacing w:line="400" w:lineRule="atLeast"/>
        <w:jc w:val="center"/>
        <w:rPr>
          <w:rFonts w:ascii="宋体" w:hAnsi="宋体"/>
          <w:b/>
          <w:color w:val="auto"/>
          <w:sz w:val="52"/>
          <w:highlight w:val="none"/>
        </w:rPr>
      </w:pPr>
    </w:p>
    <w:p>
      <w:pPr>
        <w:spacing w:line="400" w:lineRule="atLeast"/>
        <w:jc w:val="center"/>
        <w:rPr>
          <w:rFonts w:ascii="宋体" w:hAnsi="宋体"/>
          <w:b/>
          <w:color w:val="auto"/>
          <w:sz w:val="52"/>
          <w:highlight w:val="none"/>
        </w:rPr>
      </w:pPr>
    </w:p>
    <w:p>
      <w:pPr>
        <w:spacing w:line="400" w:lineRule="atLeast"/>
        <w:jc w:val="center"/>
        <w:rPr>
          <w:rFonts w:ascii="宋体" w:hAnsi="宋体"/>
          <w:b/>
          <w:color w:val="auto"/>
          <w:sz w:val="52"/>
          <w:highlight w:val="none"/>
        </w:rPr>
      </w:pPr>
    </w:p>
    <w:p>
      <w:pPr>
        <w:autoSpaceDE w:val="0"/>
        <w:autoSpaceDN w:val="0"/>
        <w:spacing w:line="500" w:lineRule="atLeast"/>
        <w:jc w:val="center"/>
        <w:textAlignment w:val="bottom"/>
        <w:rPr>
          <w:rFonts w:ascii="宋体" w:hAnsi="宋体"/>
          <w:b/>
          <w:color w:val="auto"/>
          <w:sz w:val="72"/>
          <w:szCs w:val="72"/>
          <w:highlight w:val="none"/>
        </w:rPr>
      </w:pPr>
      <w:r>
        <w:rPr>
          <w:rFonts w:hint="eastAsia" w:ascii="宋体" w:hAnsi="宋体"/>
          <w:b/>
          <w:bCs/>
          <w:color w:val="auto"/>
          <w:sz w:val="72"/>
          <w:szCs w:val="72"/>
          <w:highlight w:val="none"/>
        </w:rPr>
        <w:t>招 标 文 件</w:t>
      </w:r>
    </w:p>
    <w:p>
      <w:pPr>
        <w:spacing w:line="400" w:lineRule="atLeast"/>
        <w:jc w:val="center"/>
        <w:rPr>
          <w:rFonts w:ascii="宋体" w:hAnsi="宋体"/>
          <w:b/>
          <w:color w:val="auto"/>
          <w:sz w:val="32"/>
          <w:highlight w:val="none"/>
        </w:rPr>
      </w:pPr>
    </w:p>
    <w:p>
      <w:pPr>
        <w:jc w:val="center"/>
        <w:rPr>
          <w:rFonts w:ascii="宋体" w:hAnsi="宋体"/>
          <w:b/>
          <w:bCs/>
          <w:color w:val="auto"/>
          <w:sz w:val="24"/>
          <w:highlight w:val="none"/>
        </w:rPr>
      </w:pPr>
    </w:p>
    <w:p>
      <w:pPr>
        <w:jc w:val="center"/>
        <w:rPr>
          <w:rFonts w:ascii="宋体" w:hAnsi="宋体"/>
          <w:b/>
          <w:bCs/>
          <w:color w:val="auto"/>
          <w:sz w:val="24"/>
          <w:highlight w:val="none"/>
        </w:rPr>
      </w:pPr>
    </w:p>
    <w:p>
      <w:pPr>
        <w:tabs>
          <w:tab w:val="left" w:pos="4860"/>
        </w:tabs>
        <w:spacing w:line="600" w:lineRule="exact"/>
        <w:ind w:right="1143" w:firstLine="1483" w:firstLineChars="389"/>
        <w:jc w:val="left"/>
        <w:rPr>
          <w:rFonts w:ascii="宋体" w:hAnsi="宋体"/>
          <w:b/>
          <w:color w:val="auto"/>
          <w:sz w:val="30"/>
          <w:szCs w:val="30"/>
          <w:highlight w:val="none"/>
        </w:rPr>
      </w:pPr>
      <w:r>
        <w:rPr>
          <w:rFonts w:hint="eastAsia" w:ascii="宋体" w:hAnsi="宋体"/>
          <w:b/>
          <w:color w:val="auto"/>
          <w:spacing w:val="40"/>
          <w:sz w:val="30"/>
          <w:szCs w:val="30"/>
          <w:highlight w:val="none"/>
        </w:rPr>
        <w:t xml:space="preserve">招 标 编 </w:t>
      </w:r>
      <w:r>
        <w:rPr>
          <w:rFonts w:hint="eastAsia" w:ascii="宋体" w:hAnsi="宋体" w:cs="Arial"/>
          <w:b/>
          <w:color w:val="auto"/>
          <w:spacing w:val="40"/>
          <w:sz w:val="30"/>
          <w:szCs w:val="30"/>
          <w:highlight w:val="none"/>
        </w:rPr>
        <w:t>号</w:t>
      </w:r>
      <w:r>
        <w:rPr>
          <w:rFonts w:hint="eastAsia" w:ascii="宋体" w:hAnsi="宋体"/>
          <w:b/>
          <w:color w:val="auto"/>
          <w:sz w:val="30"/>
          <w:szCs w:val="30"/>
          <w:highlight w:val="none"/>
        </w:rPr>
        <w:t>：</w:t>
      </w:r>
      <w:r>
        <w:rPr>
          <w:rFonts w:hint="eastAsia" w:ascii="宋体" w:hAnsi="宋体"/>
          <w:b/>
          <w:color w:val="auto"/>
          <w:sz w:val="30"/>
          <w:szCs w:val="30"/>
          <w:highlight w:val="none"/>
        </w:rPr>
        <w:t>WZYX-H2022052001</w:t>
      </w:r>
    </w:p>
    <w:p>
      <w:pPr>
        <w:tabs>
          <w:tab w:val="left" w:pos="5245"/>
          <w:tab w:val="left" w:pos="9660"/>
        </w:tabs>
        <w:spacing w:line="600" w:lineRule="exact"/>
        <w:ind w:right="-22" w:firstLine="1483" w:firstLineChars="389"/>
        <w:jc w:val="left"/>
        <w:rPr>
          <w:rFonts w:hint="eastAsia" w:ascii="宋体" w:hAnsi="宋体" w:eastAsia="宋体"/>
          <w:b/>
          <w:color w:val="auto"/>
          <w:sz w:val="30"/>
          <w:szCs w:val="30"/>
          <w:highlight w:val="none"/>
          <w:lang w:eastAsia="zh-CN"/>
        </w:rPr>
      </w:pPr>
      <w:r>
        <w:rPr>
          <w:rFonts w:hint="eastAsia" w:ascii="宋体" w:hAnsi="宋体"/>
          <w:b/>
          <w:color w:val="auto"/>
          <w:spacing w:val="40"/>
          <w:sz w:val="30"/>
          <w:szCs w:val="30"/>
          <w:highlight w:val="none"/>
        </w:rPr>
        <w:t>招 标 项 目</w:t>
      </w:r>
      <w:r>
        <w:rPr>
          <w:rFonts w:hint="eastAsia" w:ascii="宋体" w:hAnsi="宋体"/>
          <w:b/>
          <w:color w:val="auto"/>
          <w:sz w:val="30"/>
          <w:szCs w:val="30"/>
          <w:highlight w:val="none"/>
        </w:rPr>
        <w:t>：</w:t>
      </w:r>
      <w:r>
        <w:rPr>
          <w:rFonts w:hint="eastAsia" w:ascii="宋体" w:hAnsi="宋体"/>
          <w:b/>
          <w:color w:val="auto"/>
          <w:sz w:val="30"/>
          <w:szCs w:val="30"/>
          <w:highlight w:val="none"/>
          <w:lang w:eastAsia="zh-CN"/>
        </w:rPr>
        <w:t>数字交通综合执法与服务应用项目</w:t>
      </w:r>
    </w:p>
    <w:p>
      <w:pPr>
        <w:tabs>
          <w:tab w:val="left" w:pos="4860"/>
        </w:tabs>
        <w:spacing w:line="600" w:lineRule="exact"/>
        <w:ind w:right="1143" w:firstLine="1483" w:firstLineChars="389"/>
        <w:jc w:val="left"/>
        <w:rPr>
          <w:rFonts w:ascii="宋体" w:hAnsi="宋体"/>
          <w:b/>
          <w:color w:val="auto"/>
          <w:spacing w:val="40"/>
          <w:sz w:val="30"/>
          <w:szCs w:val="30"/>
          <w:highlight w:val="none"/>
        </w:rPr>
      </w:pPr>
      <w:r>
        <w:rPr>
          <w:rFonts w:hint="eastAsia" w:ascii="宋体" w:hAnsi="宋体"/>
          <w:b/>
          <w:color w:val="auto"/>
          <w:spacing w:val="40"/>
          <w:sz w:val="30"/>
          <w:szCs w:val="30"/>
          <w:highlight w:val="none"/>
        </w:rPr>
        <w:t>招 标 方 式</w:t>
      </w:r>
      <w:r>
        <w:rPr>
          <w:rFonts w:hint="eastAsia" w:ascii="宋体" w:hAnsi="宋体"/>
          <w:b/>
          <w:color w:val="auto"/>
          <w:sz w:val="30"/>
          <w:szCs w:val="30"/>
          <w:highlight w:val="none"/>
        </w:rPr>
        <w:t>：公 开 招 标</w:t>
      </w:r>
    </w:p>
    <w:p>
      <w:pPr>
        <w:jc w:val="center"/>
        <w:rPr>
          <w:rFonts w:ascii="宋体" w:hAnsi="宋体"/>
          <w:b/>
          <w:bCs/>
          <w:color w:val="auto"/>
          <w:sz w:val="24"/>
          <w:highlight w:val="none"/>
        </w:rPr>
      </w:pPr>
    </w:p>
    <w:p>
      <w:pPr>
        <w:jc w:val="center"/>
        <w:rPr>
          <w:rFonts w:ascii="宋体" w:hAnsi="宋体"/>
          <w:b/>
          <w:bCs/>
          <w:color w:val="auto"/>
          <w:sz w:val="24"/>
          <w:highlight w:val="none"/>
        </w:rPr>
      </w:pPr>
    </w:p>
    <w:p>
      <w:pPr>
        <w:jc w:val="center"/>
        <w:rPr>
          <w:rFonts w:ascii="宋体" w:hAnsi="宋体"/>
          <w:b/>
          <w:bCs/>
          <w:color w:val="auto"/>
          <w:sz w:val="24"/>
          <w:highlight w:val="none"/>
        </w:rPr>
      </w:pPr>
    </w:p>
    <w:p>
      <w:pPr>
        <w:jc w:val="center"/>
        <w:rPr>
          <w:rFonts w:ascii="宋体" w:hAnsi="宋体"/>
          <w:b/>
          <w:bCs/>
          <w:color w:val="auto"/>
          <w:sz w:val="24"/>
          <w:highlight w:val="none"/>
        </w:rPr>
      </w:pPr>
    </w:p>
    <w:p>
      <w:pPr>
        <w:jc w:val="center"/>
        <w:rPr>
          <w:rFonts w:ascii="宋体" w:hAnsi="宋体"/>
          <w:b/>
          <w:bCs/>
          <w:color w:val="auto"/>
          <w:sz w:val="24"/>
          <w:highlight w:val="none"/>
        </w:rPr>
      </w:pPr>
    </w:p>
    <w:p>
      <w:pPr>
        <w:jc w:val="center"/>
        <w:rPr>
          <w:rFonts w:ascii="宋体" w:hAnsi="宋体"/>
          <w:b/>
          <w:bCs/>
          <w:color w:val="auto"/>
          <w:sz w:val="24"/>
          <w:highlight w:val="none"/>
        </w:rPr>
      </w:pPr>
    </w:p>
    <w:p>
      <w:pPr>
        <w:jc w:val="center"/>
        <w:rPr>
          <w:rFonts w:ascii="宋体" w:hAnsi="宋体"/>
          <w:b/>
          <w:bCs/>
          <w:color w:val="auto"/>
          <w:sz w:val="24"/>
          <w:highlight w:val="none"/>
        </w:rPr>
      </w:pPr>
    </w:p>
    <w:p>
      <w:pPr>
        <w:jc w:val="center"/>
        <w:rPr>
          <w:rFonts w:ascii="宋体" w:hAnsi="宋体"/>
          <w:b/>
          <w:bCs/>
          <w:color w:val="auto"/>
          <w:sz w:val="24"/>
          <w:highlight w:val="none"/>
        </w:rPr>
      </w:pPr>
    </w:p>
    <w:p>
      <w:pPr>
        <w:jc w:val="center"/>
        <w:rPr>
          <w:rFonts w:ascii="宋体" w:hAnsi="宋体"/>
          <w:b/>
          <w:bCs/>
          <w:color w:val="auto"/>
          <w:sz w:val="24"/>
          <w:highlight w:val="none"/>
        </w:rPr>
      </w:pPr>
    </w:p>
    <w:p>
      <w:pPr>
        <w:jc w:val="center"/>
        <w:rPr>
          <w:rFonts w:ascii="宋体" w:hAnsi="宋体"/>
          <w:b/>
          <w:bCs/>
          <w:color w:val="auto"/>
          <w:sz w:val="24"/>
          <w:highlight w:val="none"/>
        </w:rPr>
      </w:pPr>
    </w:p>
    <w:p>
      <w:pPr>
        <w:jc w:val="center"/>
        <w:rPr>
          <w:rFonts w:ascii="宋体" w:hAnsi="宋体"/>
          <w:b/>
          <w:bCs/>
          <w:color w:val="auto"/>
          <w:sz w:val="24"/>
          <w:highlight w:val="none"/>
        </w:rPr>
      </w:pPr>
    </w:p>
    <w:p>
      <w:pPr>
        <w:spacing w:line="600" w:lineRule="exact"/>
        <w:ind w:left="1476" w:leftChars="693" w:hanging="21" w:hangingChars="7"/>
        <w:rPr>
          <w:rFonts w:ascii="宋体" w:hAnsi="宋体"/>
          <w:b/>
          <w:color w:val="auto"/>
          <w:sz w:val="30"/>
          <w:szCs w:val="30"/>
          <w:highlight w:val="none"/>
        </w:rPr>
      </w:pPr>
      <w:r>
        <w:rPr>
          <w:rFonts w:hint="eastAsia" w:ascii="宋体" w:hAnsi="宋体"/>
          <w:b/>
          <w:color w:val="auto"/>
          <w:sz w:val="30"/>
          <w:szCs w:val="30"/>
          <w:highlight w:val="none"/>
        </w:rPr>
        <w:t>招  标  人：</w:t>
      </w:r>
      <w:r>
        <w:rPr>
          <w:rFonts w:hint="eastAsia" w:ascii="宋体" w:hAnsi="宋体"/>
          <w:b/>
          <w:bCs/>
          <w:color w:val="auto"/>
          <w:sz w:val="30"/>
          <w:szCs w:val="30"/>
          <w:highlight w:val="none"/>
        </w:rPr>
        <w:t>温州市交通运输局</w:t>
      </w:r>
    </w:p>
    <w:p>
      <w:pPr>
        <w:spacing w:line="600" w:lineRule="exact"/>
        <w:ind w:left="1482" w:leftChars="693" w:hanging="27" w:hangingChars="7"/>
        <w:rPr>
          <w:rFonts w:ascii="宋体" w:hAnsi="宋体"/>
          <w:b/>
          <w:color w:val="auto"/>
          <w:spacing w:val="12"/>
          <w:sz w:val="30"/>
          <w:szCs w:val="30"/>
          <w:highlight w:val="none"/>
        </w:rPr>
      </w:pPr>
      <w:r>
        <w:rPr>
          <w:rFonts w:hint="eastAsia" w:ascii="宋体" w:hAnsi="宋体"/>
          <w:b/>
          <w:color w:val="auto"/>
          <w:spacing w:val="40"/>
          <w:sz w:val="30"/>
          <w:szCs w:val="30"/>
          <w:highlight w:val="none"/>
        </w:rPr>
        <w:t>招标代理</w:t>
      </w:r>
      <w:r>
        <w:rPr>
          <w:rFonts w:hint="eastAsia" w:ascii="宋体" w:hAnsi="宋体"/>
          <w:b/>
          <w:color w:val="auto"/>
          <w:sz w:val="30"/>
          <w:szCs w:val="30"/>
          <w:highlight w:val="none"/>
        </w:rPr>
        <w:t>：</w:t>
      </w:r>
      <w:r>
        <w:rPr>
          <w:rFonts w:hint="eastAsia" w:ascii="宋体" w:hAnsi="宋体"/>
          <w:b/>
          <w:color w:val="auto"/>
          <w:spacing w:val="12"/>
          <w:sz w:val="30"/>
          <w:szCs w:val="30"/>
          <w:highlight w:val="none"/>
        </w:rPr>
        <w:t>温州元信工程项目管理有限公司</w:t>
      </w:r>
    </w:p>
    <w:p>
      <w:pPr>
        <w:spacing w:line="600" w:lineRule="exact"/>
        <w:ind w:left="2130" w:leftChars="1000" w:hanging="30" w:hangingChars="8"/>
        <w:rPr>
          <w:rFonts w:ascii="宋体" w:hAnsi="宋体"/>
          <w:b/>
          <w:color w:val="auto"/>
          <w:spacing w:val="40"/>
          <w:sz w:val="30"/>
          <w:szCs w:val="30"/>
          <w:highlight w:val="none"/>
        </w:rPr>
      </w:pPr>
    </w:p>
    <w:p>
      <w:pPr>
        <w:spacing w:line="600" w:lineRule="exact"/>
        <w:jc w:val="center"/>
        <w:rPr>
          <w:rFonts w:ascii="宋体" w:hAnsi="宋体"/>
          <w:b/>
          <w:color w:val="auto"/>
          <w:spacing w:val="40"/>
          <w:sz w:val="30"/>
          <w:szCs w:val="30"/>
          <w:highlight w:val="none"/>
        </w:rPr>
      </w:pPr>
      <w:r>
        <w:rPr>
          <w:rFonts w:hint="eastAsia" w:ascii="宋体" w:hAnsi="宋体"/>
          <w:b/>
          <w:color w:val="auto"/>
          <w:spacing w:val="40"/>
          <w:sz w:val="30"/>
          <w:szCs w:val="30"/>
          <w:highlight w:val="none"/>
        </w:rPr>
        <w:t>二</w:t>
      </w:r>
      <w:r>
        <w:rPr>
          <w:rFonts w:hint="eastAsia" w:ascii="宋体" w:hAnsi="宋体" w:cs="宋体"/>
          <w:b/>
          <w:color w:val="auto"/>
          <w:spacing w:val="40"/>
          <w:sz w:val="30"/>
          <w:szCs w:val="30"/>
          <w:highlight w:val="none"/>
        </w:rPr>
        <w:t>〇</w:t>
      </w:r>
      <w:r>
        <w:rPr>
          <w:rFonts w:hint="eastAsia" w:ascii="宋体" w:hAnsi="宋体"/>
          <w:b/>
          <w:color w:val="auto"/>
          <w:spacing w:val="40"/>
          <w:sz w:val="30"/>
          <w:szCs w:val="30"/>
          <w:highlight w:val="none"/>
        </w:rPr>
        <w:t>二</w:t>
      </w:r>
      <w:r>
        <w:rPr>
          <w:rFonts w:hint="eastAsia" w:ascii="宋体" w:hAnsi="宋体" w:cs="宋体"/>
          <w:b/>
          <w:color w:val="auto"/>
          <w:spacing w:val="40"/>
          <w:sz w:val="30"/>
          <w:szCs w:val="30"/>
          <w:highlight w:val="none"/>
        </w:rPr>
        <w:t>二</w:t>
      </w:r>
      <w:r>
        <w:rPr>
          <w:rFonts w:hint="eastAsia" w:ascii="宋体" w:hAnsi="宋体" w:cs="仿宋_GB2312"/>
          <w:b/>
          <w:color w:val="auto"/>
          <w:spacing w:val="40"/>
          <w:sz w:val="30"/>
          <w:szCs w:val="30"/>
          <w:highlight w:val="none"/>
        </w:rPr>
        <w:t>年九月</w:t>
      </w:r>
    </w:p>
    <w:p>
      <w:pPr>
        <w:spacing w:line="600" w:lineRule="exact"/>
        <w:jc w:val="center"/>
        <w:rPr>
          <w:rFonts w:ascii="宋体" w:hAnsi="宋体"/>
          <w:b/>
          <w:bCs/>
          <w:color w:val="auto"/>
          <w:sz w:val="32"/>
          <w:szCs w:val="32"/>
          <w:highlight w:val="none"/>
        </w:rPr>
      </w:pPr>
      <w:r>
        <w:rPr>
          <w:rFonts w:hint="eastAsia" w:ascii="宋体" w:hAnsi="宋体"/>
          <w:color w:val="auto"/>
          <w:spacing w:val="40"/>
          <w:sz w:val="30"/>
          <w:szCs w:val="30"/>
          <w:highlight w:val="none"/>
        </w:rPr>
        <w:br w:type="page"/>
      </w:r>
      <w:r>
        <w:rPr>
          <w:rFonts w:hint="eastAsia" w:ascii="宋体" w:hAnsi="宋体"/>
          <w:b/>
          <w:bCs/>
          <w:color w:val="auto"/>
          <w:sz w:val="32"/>
          <w:szCs w:val="32"/>
          <w:highlight w:val="none"/>
        </w:rPr>
        <w:t>目    录</w:t>
      </w:r>
    </w:p>
    <w:p>
      <w:pPr>
        <w:spacing w:line="600" w:lineRule="exact"/>
        <w:jc w:val="center"/>
        <w:rPr>
          <w:rFonts w:ascii="宋体" w:hAnsi="宋体"/>
          <w:b/>
          <w:bCs/>
          <w:color w:val="auto"/>
          <w:sz w:val="24"/>
          <w:highlight w:val="none"/>
        </w:rPr>
      </w:pPr>
    </w:p>
    <w:p>
      <w:pPr>
        <w:pStyle w:val="46"/>
        <w:tabs>
          <w:tab w:val="right" w:leader="dot" w:pos="9638"/>
          <w:tab w:val="clear" w:pos="9628"/>
        </w:tabs>
        <w:rPr>
          <w:color w:val="auto"/>
          <w:highlight w:val="none"/>
        </w:rPr>
      </w:pPr>
      <w:r>
        <w:rPr>
          <w:rFonts w:hint="eastAsia" w:ascii="宋体" w:hAnsi="宋体" w:eastAsia="宋体"/>
          <w:b/>
          <w:bCs w:val="0"/>
          <w:color w:val="auto"/>
          <w:highlight w:val="none"/>
        </w:rPr>
        <w:fldChar w:fldCharType="begin"/>
      </w:r>
      <w:r>
        <w:rPr>
          <w:rFonts w:hint="eastAsia" w:ascii="宋体" w:hAnsi="宋体" w:eastAsia="宋体"/>
          <w:b/>
          <w:bCs w:val="0"/>
          <w:color w:val="auto"/>
          <w:highlight w:val="none"/>
        </w:rPr>
        <w:instrText xml:space="preserve"> TOC \o "1-3" \h \z \u </w:instrText>
      </w:r>
      <w:r>
        <w:rPr>
          <w:rFonts w:hint="eastAsia" w:ascii="宋体" w:hAnsi="宋体" w:eastAsia="宋体"/>
          <w:b/>
          <w:bCs w:val="0"/>
          <w:color w:val="auto"/>
          <w:highlight w:val="none"/>
        </w:rPr>
        <w:fldChar w:fldCharType="separate"/>
      </w:r>
      <w:r>
        <w:rPr>
          <w:color w:val="auto"/>
          <w:highlight w:val="none"/>
        </w:rPr>
        <w:fldChar w:fldCharType="begin"/>
      </w:r>
      <w:r>
        <w:rPr>
          <w:color w:val="auto"/>
          <w:highlight w:val="none"/>
        </w:rPr>
        <w:instrText xml:space="preserve"> HYPERLINK \l "_Toc29581" </w:instrText>
      </w:r>
      <w:r>
        <w:rPr>
          <w:color w:val="auto"/>
          <w:highlight w:val="none"/>
        </w:rPr>
        <w:fldChar w:fldCharType="separate"/>
      </w:r>
      <w:r>
        <w:rPr>
          <w:rFonts w:hint="eastAsia" w:ascii="宋体" w:hAnsi="宋体" w:eastAsia="宋体"/>
          <w:color w:val="auto"/>
          <w:szCs w:val="30"/>
          <w:highlight w:val="none"/>
        </w:rPr>
        <w:t>温州元信工程项目管理有限公司关于数字交通综合执法与服务应用项目的公开招标公告</w:t>
      </w:r>
      <w:r>
        <w:rPr>
          <w:color w:val="auto"/>
          <w:highlight w:val="none"/>
        </w:rPr>
        <w:tab/>
      </w:r>
      <w:r>
        <w:rPr>
          <w:color w:val="auto"/>
          <w:highlight w:val="none"/>
        </w:rPr>
        <w:fldChar w:fldCharType="begin"/>
      </w:r>
      <w:r>
        <w:rPr>
          <w:color w:val="auto"/>
          <w:highlight w:val="none"/>
        </w:rPr>
        <w:instrText xml:space="preserve"> PAGEREF _Toc29581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46"/>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"_Toc27560" </w:instrText>
      </w:r>
      <w:r>
        <w:rPr>
          <w:color w:val="auto"/>
          <w:highlight w:val="none"/>
        </w:rPr>
        <w:fldChar w:fldCharType="separate"/>
      </w:r>
      <w:r>
        <w:rPr>
          <w:rFonts w:hint="eastAsia" w:ascii="宋体" w:hAnsi="宋体" w:eastAsia="宋体"/>
          <w:color w:val="auto"/>
          <w:szCs w:val="36"/>
          <w:highlight w:val="none"/>
        </w:rPr>
        <w:t>第一部分    投标人须知</w:t>
      </w:r>
      <w:r>
        <w:rPr>
          <w:color w:val="auto"/>
          <w:highlight w:val="none"/>
        </w:rPr>
        <w:tab/>
      </w:r>
      <w:r>
        <w:rPr>
          <w:color w:val="auto"/>
          <w:highlight w:val="none"/>
        </w:rPr>
        <w:fldChar w:fldCharType="begin"/>
      </w:r>
      <w:r>
        <w:rPr>
          <w:color w:val="auto"/>
          <w:highlight w:val="none"/>
        </w:rPr>
        <w:instrText xml:space="preserve"> PAGEREF _Toc27560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46"/>
        <w:tabs>
          <w:tab w:val="right" w:leader="dot" w:pos="9638"/>
          <w:tab w:val="clear" w:pos="9628"/>
        </w:tabs>
        <w:ind w:left="218" w:leftChars="104"/>
        <w:rPr>
          <w:color w:val="auto"/>
          <w:highlight w:val="none"/>
        </w:rPr>
      </w:pPr>
      <w:r>
        <w:rPr>
          <w:color w:val="auto"/>
          <w:highlight w:val="none"/>
        </w:rPr>
        <w:fldChar w:fldCharType="begin"/>
      </w:r>
      <w:r>
        <w:rPr>
          <w:color w:val="auto"/>
          <w:highlight w:val="none"/>
        </w:rPr>
        <w:instrText xml:space="preserve"> HYPERLINK \l "_Toc29983" </w:instrText>
      </w:r>
      <w:r>
        <w:rPr>
          <w:color w:val="auto"/>
          <w:highlight w:val="none"/>
        </w:rPr>
        <w:fldChar w:fldCharType="separate"/>
      </w:r>
      <w:r>
        <w:rPr>
          <w:rFonts w:hint="eastAsia" w:ascii="宋体" w:hAnsi="宋体" w:eastAsia="宋体" w:cs="Times New Roman"/>
          <w:color w:val="auto"/>
          <w:szCs w:val="26"/>
          <w:highlight w:val="none"/>
        </w:rPr>
        <w:t>一、须知前附表</w:t>
      </w:r>
      <w:r>
        <w:rPr>
          <w:color w:val="auto"/>
          <w:highlight w:val="none"/>
        </w:rPr>
        <w:tab/>
      </w:r>
      <w:r>
        <w:rPr>
          <w:color w:val="auto"/>
          <w:highlight w:val="none"/>
        </w:rPr>
        <w:fldChar w:fldCharType="begin"/>
      </w:r>
      <w:r>
        <w:rPr>
          <w:color w:val="auto"/>
          <w:highlight w:val="none"/>
        </w:rPr>
        <w:instrText xml:space="preserve"> PAGEREF _Toc29983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46"/>
        <w:tabs>
          <w:tab w:val="right" w:leader="dot" w:pos="9638"/>
          <w:tab w:val="clear" w:pos="9628"/>
        </w:tabs>
        <w:ind w:left="218" w:leftChars="104"/>
        <w:rPr>
          <w:color w:val="auto"/>
          <w:highlight w:val="none"/>
        </w:rPr>
      </w:pPr>
      <w:r>
        <w:rPr>
          <w:color w:val="auto"/>
          <w:highlight w:val="none"/>
        </w:rPr>
        <w:fldChar w:fldCharType="begin"/>
      </w:r>
      <w:r>
        <w:rPr>
          <w:color w:val="auto"/>
          <w:highlight w:val="none"/>
        </w:rPr>
        <w:instrText xml:space="preserve"> HYPERLINK \l "_Toc15761" </w:instrText>
      </w:r>
      <w:r>
        <w:rPr>
          <w:color w:val="auto"/>
          <w:highlight w:val="none"/>
        </w:rPr>
        <w:fldChar w:fldCharType="separate"/>
      </w:r>
      <w:r>
        <w:rPr>
          <w:rFonts w:hint="eastAsia" w:ascii="宋体" w:hAnsi="宋体"/>
          <w:color w:val="auto"/>
          <w:szCs w:val="26"/>
          <w:highlight w:val="none"/>
        </w:rPr>
        <w:t>二、说明</w:t>
      </w:r>
      <w:r>
        <w:rPr>
          <w:color w:val="auto"/>
          <w:highlight w:val="none"/>
        </w:rPr>
        <w:tab/>
      </w:r>
      <w:r>
        <w:rPr>
          <w:color w:val="auto"/>
          <w:highlight w:val="none"/>
        </w:rPr>
        <w:fldChar w:fldCharType="begin"/>
      </w:r>
      <w:r>
        <w:rPr>
          <w:color w:val="auto"/>
          <w:highlight w:val="none"/>
        </w:rPr>
        <w:instrText xml:space="preserve"> PAGEREF _Toc15761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46"/>
        <w:tabs>
          <w:tab w:val="right" w:leader="dot" w:pos="9638"/>
          <w:tab w:val="clear" w:pos="9628"/>
        </w:tabs>
        <w:ind w:left="218" w:leftChars="104"/>
        <w:rPr>
          <w:color w:val="auto"/>
          <w:highlight w:val="none"/>
        </w:rPr>
      </w:pPr>
      <w:r>
        <w:rPr>
          <w:color w:val="auto"/>
          <w:highlight w:val="none"/>
        </w:rPr>
        <w:fldChar w:fldCharType="begin"/>
      </w:r>
      <w:r>
        <w:rPr>
          <w:color w:val="auto"/>
          <w:highlight w:val="none"/>
        </w:rPr>
        <w:instrText xml:space="preserve"> HYPERLINK \l "_Toc18219" </w:instrText>
      </w:r>
      <w:r>
        <w:rPr>
          <w:color w:val="auto"/>
          <w:highlight w:val="none"/>
        </w:rPr>
        <w:fldChar w:fldCharType="separate"/>
      </w:r>
      <w:r>
        <w:rPr>
          <w:rFonts w:hint="eastAsia" w:ascii="宋体" w:hAnsi="宋体"/>
          <w:color w:val="auto"/>
          <w:szCs w:val="26"/>
          <w:highlight w:val="none"/>
        </w:rPr>
        <w:t>三、 招标文件</w:t>
      </w:r>
      <w:r>
        <w:rPr>
          <w:color w:val="auto"/>
          <w:highlight w:val="none"/>
        </w:rPr>
        <w:tab/>
      </w:r>
      <w:r>
        <w:rPr>
          <w:color w:val="auto"/>
          <w:highlight w:val="none"/>
        </w:rPr>
        <w:fldChar w:fldCharType="begin"/>
      </w:r>
      <w:r>
        <w:rPr>
          <w:color w:val="auto"/>
          <w:highlight w:val="none"/>
        </w:rPr>
        <w:instrText xml:space="preserve"> PAGEREF _Toc18219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46"/>
        <w:tabs>
          <w:tab w:val="right" w:leader="dot" w:pos="9638"/>
          <w:tab w:val="clear" w:pos="9628"/>
        </w:tabs>
        <w:ind w:left="218" w:leftChars="104"/>
        <w:rPr>
          <w:color w:val="auto"/>
          <w:highlight w:val="none"/>
        </w:rPr>
      </w:pPr>
      <w:r>
        <w:rPr>
          <w:color w:val="auto"/>
          <w:highlight w:val="none"/>
        </w:rPr>
        <w:fldChar w:fldCharType="begin"/>
      </w:r>
      <w:r>
        <w:rPr>
          <w:color w:val="auto"/>
          <w:highlight w:val="none"/>
        </w:rPr>
        <w:instrText xml:space="preserve"> HYPERLINK \l "_Toc3391" </w:instrText>
      </w:r>
      <w:r>
        <w:rPr>
          <w:color w:val="auto"/>
          <w:highlight w:val="none"/>
        </w:rPr>
        <w:fldChar w:fldCharType="separate"/>
      </w:r>
      <w:r>
        <w:rPr>
          <w:rFonts w:hint="eastAsia" w:ascii="宋体" w:hAnsi="宋体"/>
          <w:color w:val="auto"/>
          <w:szCs w:val="26"/>
          <w:highlight w:val="none"/>
        </w:rPr>
        <w:t>四、 投标文件的编制</w:t>
      </w:r>
      <w:r>
        <w:rPr>
          <w:color w:val="auto"/>
          <w:highlight w:val="none"/>
        </w:rPr>
        <w:tab/>
      </w:r>
      <w:r>
        <w:rPr>
          <w:color w:val="auto"/>
          <w:highlight w:val="none"/>
        </w:rPr>
        <w:fldChar w:fldCharType="begin"/>
      </w:r>
      <w:r>
        <w:rPr>
          <w:color w:val="auto"/>
          <w:highlight w:val="none"/>
        </w:rPr>
        <w:instrText xml:space="preserve"> PAGEREF _Toc3391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r>
        <w:rPr>
          <w:rFonts w:hint="eastAsia" w:ascii="宋体" w:hAnsi="宋体"/>
          <w:color w:val="auto"/>
          <w:highlight w:val="none"/>
        </w:rPr>
        <w:t>1</w:t>
      </w:r>
    </w:p>
    <w:p>
      <w:pPr>
        <w:pStyle w:val="46"/>
        <w:tabs>
          <w:tab w:val="right" w:leader="dot" w:pos="9638"/>
          <w:tab w:val="clear" w:pos="9628"/>
        </w:tabs>
        <w:ind w:left="218" w:leftChars="104"/>
        <w:rPr>
          <w:color w:val="auto"/>
          <w:highlight w:val="none"/>
        </w:rPr>
      </w:pPr>
      <w:r>
        <w:rPr>
          <w:color w:val="auto"/>
          <w:highlight w:val="none"/>
        </w:rPr>
        <w:fldChar w:fldCharType="begin"/>
      </w:r>
      <w:r>
        <w:rPr>
          <w:color w:val="auto"/>
          <w:highlight w:val="none"/>
        </w:rPr>
        <w:instrText xml:space="preserve"> HYPERLINK \l "_Toc12106" </w:instrText>
      </w:r>
      <w:r>
        <w:rPr>
          <w:color w:val="auto"/>
          <w:highlight w:val="none"/>
        </w:rPr>
        <w:fldChar w:fldCharType="separate"/>
      </w:r>
      <w:r>
        <w:rPr>
          <w:rFonts w:hint="eastAsia" w:ascii="宋体" w:hAnsi="宋体"/>
          <w:color w:val="auto"/>
          <w:szCs w:val="26"/>
          <w:highlight w:val="none"/>
        </w:rPr>
        <w:t>五、 投标文件的递交</w:t>
      </w:r>
      <w:r>
        <w:rPr>
          <w:color w:val="auto"/>
          <w:highlight w:val="none"/>
        </w:rPr>
        <w:tab/>
      </w:r>
      <w:r>
        <w:rPr>
          <w:color w:val="auto"/>
          <w:highlight w:val="none"/>
        </w:rPr>
        <w:fldChar w:fldCharType="begin"/>
      </w:r>
      <w:r>
        <w:rPr>
          <w:color w:val="auto"/>
          <w:highlight w:val="none"/>
        </w:rPr>
        <w:instrText xml:space="preserve"> PAGEREF _Toc12106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46"/>
        <w:tabs>
          <w:tab w:val="right" w:leader="dot" w:pos="9638"/>
          <w:tab w:val="clear" w:pos="9628"/>
        </w:tabs>
        <w:ind w:left="218" w:leftChars="104"/>
        <w:rPr>
          <w:color w:val="auto"/>
          <w:highlight w:val="none"/>
        </w:rPr>
      </w:pPr>
      <w:r>
        <w:rPr>
          <w:color w:val="auto"/>
          <w:highlight w:val="none"/>
        </w:rPr>
        <w:fldChar w:fldCharType="begin"/>
      </w:r>
      <w:r>
        <w:rPr>
          <w:color w:val="auto"/>
          <w:highlight w:val="none"/>
        </w:rPr>
        <w:instrText xml:space="preserve"> HYPERLINK \l "_Toc21888" </w:instrText>
      </w:r>
      <w:r>
        <w:rPr>
          <w:color w:val="auto"/>
          <w:highlight w:val="none"/>
        </w:rPr>
        <w:fldChar w:fldCharType="separate"/>
      </w:r>
      <w:r>
        <w:rPr>
          <w:rFonts w:hint="eastAsia" w:ascii="宋体" w:hAnsi="宋体"/>
          <w:color w:val="auto"/>
          <w:szCs w:val="26"/>
          <w:highlight w:val="none"/>
        </w:rPr>
        <w:t>六、 开标</w:t>
      </w:r>
      <w:r>
        <w:rPr>
          <w:color w:val="auto"/>
          <w:highlight w:val="none"/>
        </w:rPr>
        <w:tab/>
      </w:r>
      <w:r>
        <w:rPr>
          <w:color w:val="auto"/>
          <w:highlight w:val="none"/>
        </w:rPr>
        <w:fldChar w:fldCharType="begin"/>
      </w:r>
      <w:r>
        <w:rPr>
          <w:color w:val="auto"/>
          <w:highlight w:val="none"/>
        </w:rPr>
        <w:instrText xml:space="preserve"> PAGEREF _Toc21888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46"/>
        <w:tabs>
          <w:tab w:val="right" w:leader="dot" w:pos="9638"/>
          <w:tab w:val="clear" w:pos="9628"/>
        </w:tabs>
        <w:ind w:left="218" w:leftChars="104"/>
        <w:rPr>
          <w:color w:val="auto"/>
          <w:highlight w:val="none"/>
        </w:rPr>
      </w:pPr>
      <w:r>
        <w:rPr>
          <w:color w:val="auto"/>
          <w:highlight w:val="none"/>
        </w:rPr>
        <w:fldChar w:fldCharType="begin"/>
      </w:r>
      <w:r>
        <w:rPr>
          <w:color w:val="auto"/>
          <w:highlight w:val="none"/>
        </w:rPr>
        <w:instrText xml:space="preserve"> HYPERLINK \l "_Toc16973" </w:instrText>
      </w:r>
      <w:r>
        <w:rPr>
          <w:color w:val="auto"/>
          <w:highlight w:val="none"/>
        </w:rPr>
        <w:fldChar w:fldCharType="separate"/>
      </w:r>
      <w:r>
        <w:rPr>
          <w:rFonts w:hint="eastAsia" w:ascii="宋体" w:hAnsi="宋体"/>
          <w:color w:val="auto"/>
          <w:szCs w:val="26"/>
          <w:highlight w:val="none"/>
        </w:rPr>
        <w:t>七、 评标</w:t>
      </w:r>
      <w:r>
        <w:rPr>
          <w:color w:val="auto"/>
          <w:highlight w:val="none"/>
        </w:rPr>
        <w:tab/>
      </w:r>
      <w:r>
        <w:rPr>
          <w:color w:val="auto"/>
          <w:highlight w:val="none"/>
        </w:rPr>
        <w:fldChar w:fldCharType="begin"/>
      </w:r>
      <w:r>
        <w:rPr>
          <w:color w:val="auto"/>
          <w:highlight w:val="none"/>
        </w:rPr>
        <w:instrText xml:space="preserve"> PAGEREF _Toc16973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46"/>
        <w:tabs>
          <w:tab w:val="right" w:leader="dot" w:pos="9638"/>
          <w:tab w:val="clear" w:pos="9628"/>
        </w:tabs>
        <w:ind w:left="218" w:leftChars="104"/>
        <w:rPr>
          <w:rFonts w:ascii="宋体" w:hAnsi="宋体"/>
          <w:color w:val="auto"/>
          <w:szCs w:val="26"/>
          <w:highlight w:val="none"/>
        </w:rPr>
      </w:pPr>
      <w:r>
        <w:rPr>
          <w:color w:val="auto"/>
          <w:highlight w:val="none"/>
        </w:rPr>
        <w:fldChar w:fldCharType="begin"/>
      </w:r>
      <w:r>
        <w:rPr>
          <w:color w:val="auto"/>
          <w:highlight w:val="none"/>
        </w:rPr>
        <w:instrText xml:space="preserve"> HYPERLINK \l "_Toc4174" </w:instrText>
      </w:r>
      <w:r>
        <w:rPr>
          <w:color w:val="auto"/>
          <w:highlight w:val="none"/>
        </w:rPr>
        <w:fldChar w:fldCharType="separate"/>
      </w:r>
      <w:r>
        <w:rPr>
          <w:rFonts w:hint="eastAsia" w:ascii="宋体" w:hAnsi="宋体"/>
          <w:color w:val="auto"/>
          <w:szCs w:val="26"/>
          <w:highlight w:val="none"/>
        </w:rPr>
        <w:t>八、 授予合同</w:t>
      </w:r>
      <w:r>
        <w:rPr>
          <w:rFonts w:hint="eastAsia" w:ascii="宋体" w:hAnsi="宋体"/>
          <w:color w:val="auto"/>
          <w:szCs w:val="26"/>
          <w:highlight w:val="none"/>
        </w:rPr>
        <w:tab/>
      </w:r>
      <w:r>
        <w:rPr>
          <w:rFonts w:hint="eastAsia" w:ascii="宋体" w:hAnsi="宋体"/>
          <w:b/>
          <w:bCs w:val="0"/>
          <w:color w:val="auto"/>
          <w:szCs w:val="26"/>
          <w:highlight w:val="none"/>
        </w:rPr>
        <w:fldChar w:fldCharType="begin"/>
      </w:r>
      <w:r>
        <w:rPr>
          <w:rFonts w:hint="eastAsia" w:ascii="宋体" w:hAnsi="宋体"/>
          <w:b/>
          <w:bCs w:val="0"/>
          <w:color w:val="auto"/>
          <w:szCs w:val="26"/>
          <w:highlight w:val="none"/>
        </w:rPr>
        <w:instrText xml:space="preserve"> PAGEREF _Toc4174 \h </w:instrText>
      </w:r>
      <w:r>
        <w:rPr>
          <w:rFonts w:hint="eastAsia" w:ascii="宋体" w:hAnsi="宋体"/>
          <w:b/>
          <w:bCs w:val="0"/>
          <w:color w:val="auto"/>
          <w:szCs w:val="26"/>
          <w:highlight w:val="none"/>
        </w:rPr>
        <w:fldChar w:fldCharType="separate"/>
      </w:r>
      <w:r>
        <w:rPr>
          <w:rFonts w:hint="eastAsia" w:ascii="宋体" w:hAnsi="宋体"/>
          <w:b/>
          <w:bCs w:val="0"/>
          <w:color w:val="auto"/>
          <w:szCs w:val="26"/>
          <w:highlight w:val="none"/>
        </w:rPr>
        <w:t>22</w:t>
      </w:r>
      <w:r>
        <w:rPr>
          <w:rFonts w:hint="eastAsia" w:ascii="宋体" w:hAnsi="宋体"/>
          <w:b/>
          <w:bCs w:val="0"/>
          <w:color w:val="auto"/>
          <w:szCs w:val="26"/>
          <w:highlight w:val="none"/>
        </w:rPr>
        <w:fldChar w:fldCharType="end"/>
      </w:r>
      <w:r>
        <w:rPr>
          <w:rFonts w:hint="eastAsia" w:ascii="宋体" w:hAnsi="宋体"/>
          <w:b/>
          <w:bCs w:val="0"/>
          <w:color w:val="auto"/>
          <w:szCs w:val="26"/>
          <w:highlight w:val="none"/>
        </w:rPr>
        <w:fldChar w:fldCharType="end"/>
      </w:r>
    </w:p>
    <w:p>
      <w:pPr>
        <w:pStyle w:val="46"/>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"_Toc4350" </w:instrText>
      </w:r>
      <w:r>
        <w:rPr>
          <w:color w:val="auto"/>
          <w:highlight w:val="none"/>
        </w:rPr>
        <w:fldChar w:fldCharType="separate"/>
      </w:r>
      <w:r>
        <w:rPr>
          <w:rFonts w:hint="eastAsia" w:ascii="宋体" w:hAnsi="宋体" w:eastAsia="宋体" w:cs="宋体"/>
          <w:color w:val="auto"/>
          <w:szCs w:val="36"/>
          <w:highlight w:val="none"/>
        </w:rPr>
        <w:t>第二部分   招标内容及要求</w:t>
      </w:r>
      <w:r>
        <w:rPr>
          <w:color w:val="auto"/>
          <w:highlight w:val="none"/>
        </w:rPr>
        <w:tab/>
      </w:r>
      <w:r>
        <w:rPr>
          <w:color w:val="auto"/>
          <w:highlight w:val="none"/>
        </w:rPr>
        <w:fldChar w:fldCharType="begin"/>
      </w:r>
      <w:r>
        <w:rPr>
          <w:color w:val="auto"/>
          <w:highlight w:val="none"/>
        </w:rPr>
        <w:instrText xml:space="preserve"> PAGEREF _Toc4350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46"/>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"_Toc5891" </w:instrText>
      </w:r>
      <w:r>
        <w:rPr>
          <w:color w:val="auto"/>
          <w:highlight w:val="none"/>
        </w:rPr>
        <w:fldChar w:fldCharType="separate"/>
      </w:r>
      <w:r>
        <w:rPr>
          <w:rFonts w:hint="eastAsia" w:ascii="宋体" w:hAnsi="宋体" w:eastAsia="宋体"/>
          <w:color w:val="auto"/>
          <w:szCs w:val="36"/>
          <w:highlight w:val="none"/>
        </w:rPr>
        <w:t>第三部分   评标原则及方法</w:t>
      </w:r>
      <w:r>
        <w:rPr>
          <w:color w:val="auto"/>
          <w:highlight w:val="none"/>
        </w:rPr>
        <w:tab/>
      </w:r>
      <w:r>
        <w:rPr>
          <w:color w:val="auto"/>
          <w:highlight w:val="none"/>
        </w:rPr>
        <w:fldChar w:fldCharType="begin"/>
      </w:r>
      <w:r>
        <w:rPr>
          <w:color w:val="auto"/>
          <w:highlight w:val="none"/>
        </w:rPr>
        <w:instrText xml:space="preserve"> PAGEREF _Toc5891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46"/>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"_Toc21546" </w:instrText>
      </w:r>
      <w:r>
        <w:rPr>
          <w:color w:val="auto"/>
          <w:highlight w:val="none"/>
        </w:rPr>
        <w:fldChar w:fldCharType="separate"/>
      </w:r>
      <w:r>
        <w:rPr>
          <w:rFonts w:hint="eastAsia" w:ascii="宋体" w:hAnsi="宋体" w:eastAsia="宋体"/>
          <w:color w:val="auto"/>
          <w:szCs w:val="36"/>
          <w:highlight w:val="none"/>
        </w:rPr>
        <w:t>第四部分   合同主要条款</w:t>
      </w:r>
      <w:r>
        <w:rPr>
          <w:color w:val="auto"/>
          <w:highlight w:val="none"/>
        </w:rPr>
        <w:tab/>
      </w:r>
      <w:r>
        <w:rPr>
          <w:color w:val="auto"/>
          <w:highlight w:val="none"/>
        </w:rPr>
        <w:fldChar w:fldCharType="begin"/>
      </w:r>
      <w:r>
        <w:rPr>
          <w:color w:val="auto"/>
          <w:highlight w:val="none"/>
        </w:rPr>
        <w:instrText xml:space="preserve"> PAGEREF _Toc21546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46"/>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"_Toc14528" </w:instrText>
      </w:r>
      <w:r>
        <w:rPr>
          <w:color w:val="auto"/>
          <w:highlight w:val="none"/>
        </w:rPr>
        <w:fldChar w:fldCharType="separate"/>
      </w:r>
      <w:r>
        <w:rPr>
          <w:rFonts w:hint="eastAsia" w:ascii="宋体" w:hAnsi="宋体" w:eastAsia="宋体"/>
          <w:color w:val="auto"/>
          <w:szCs w:val="36"/>
          <w:highlight w:val="none"/>
        </w:rPr>
        <w:t>第五部分   附件</w:t>
      </w:r>
      <w:r>
        <w:rPr>
          <w:color w:val="auto"/>
          <w:highlight w:val="none"/>
        </w:rPr>
        <w:tab/>
      </w:r>
      <w:r>
        <w:rPr>
          <w:color w:val="auto"/>
          <w:highlight w:val="none"/>
        </w:rPr>
        <w:fldChar w:fldCharType="begin"/>
      </w:r>
      <w:r>
        <w:rPr>
          <w:color w:val="auto"/>
          <w:highlight w:val="none"/>
        </w:rPr>
        <w:instrText xml:space="preserve"> PAGEREF _Toc14528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spacing w:line="480" w:lineRule="auto"/>
        <w:rPr>
          <w:rFonts w:ascii="宋体" w:hAnsi="宋体"/>
          <w:b/>
          <w:bCs/>
          <w:color w:val="auto"/>
          <w:sz w:val="22"/>
          <w:szCs w:val="22"/>
          <w:highlight w:val="none"/>
        </w:rPr>
      </w:pPr>
      <w:r>
        <w:rPr>
          <w:rFonts w:hint="eastAsia" w:ascii="宋体" w:hAnsi="宋体"/>
          <w:bCs/>
          <w:color w:val="auto"/>
          <w:highlight w:val="none"/>
        </w:rPr>
        <w:fldChar w:fldCharType="end"/>
      </w:r>
    </w:p>
    <w:p>
      <w:pPr>
        <w:spacing w:line="560" w:lineRule="exact"/>
        <w:rPr>
          <w:rFonts w:ascii="宋体" w:hAnsi="宋体"/>
          <w:b/>
          <w:bCs/>
          <w:color w:val="auto"/>
          <w:sz w:val="22"/>
          <w:szCs w:val="22"/>
          <w:highlight w:val="none"/>
        </w:rPr>
      </w:pPr>
      <w:r>
        <w:rPr>
          <w:rFonts w:hint="eastAsia" w:ascii="宋体" w:hAnsi="宋体"/>
          <w:b/>
          <w:bCs/>
          <w:color w:val="auto"/>
          <w:sz w:val="22"/>
          <w:szCs w:val="22"/>
          <w:highlight w:val="none"/>
        </w:rPr>
        <w:t>注：</w:t>
      </w:r>
      <w:r>
        <w:rPr>
          <w:rFonts w:hint="eastAsia" w:ascii="宋体" w:hAnsi="宋体"/>
          <w:b/>
          <w:bCs/>
          <w:color w:val="auto"/>
          <w:sz w:val="24"/>
          <w:highlight w:val="none"/>
          <w:u w:val="single"/>
        </w:rPr>
        <w:t>招标文件中部分加“▲”且加下划线的条款，为招标的实质性要求和条件，着重提醒各投标人注意，并认真查看招标文件中的每一个条款及要求，因误读招标文件而造成的后果，招标人概不负责。</w:t>
      </w:r>
    </w:p>
    <w:p>
      <w:pPr>
        <w:widowControl/>
        <w:jc w:val="left"/>
        <w:rPr>
          <w:rFonts w:ascii="宋体" w:hAnsi="宋体"/>
          <w:b/>
          <w:bCs/>
          <w:color w:val="auto"/>
          <w:highlight w:val="none"/>
        </w:rPr>
      </w:pPr>
      <w:r>
        <w:rPr>
          <w:rFonts w:ascii="宋体" w:hAnsi="宋体"/>
          <w:color w:val="auto"/>
          <w:highlight w:val="none"/>
        </w:rPr>
        <w:br w:type="page"/>
      </w:r>
    </w:p>
    <w:p>
      <w:pPr>
        <w:pStyle w:val="5"/>
        <w:rPr>
          <w:rFonts w:ascii="宋体" w:hAnsi="宋体" w:eastAsia="宋体" w:cs="Arial"/>
          <w:b w:val="0"/>
          <w:bCs w:val="0"/>
          <w:color w:val="auto"/>
          <w:kern w:val="0"/>
          <w:sz w:val="30"/>
          <w:szCs w:val="30"/>
          <w:highlight w:val="none"/>
        </w:rPr>
      </w:pPr>
      <w:bookmarkStart w:id="0" w:name="_Toc398293639"/>
      <w:bookmarkStart w:id="1" w:name="_Toc29581"/>
      <w:bookmarkStart w:id="2" w:name="_Toc492496682"/>
      <w:bookmarkStart w:id="3" w:name="_Toc221423613"/>
      <w:bookmarkStart w:id="4" w:name="_Toc222114874"/>
      <w:bookmarkStart w:id="5" w:name="_Toc221356946"/>
      <w:bookmarkStart w:id="6" w:name="_Toc221374620"/>
      <w:bookmarkStart w:id="7" w:name="_Toc245722276"/>
      <w:bookmarkStart w:id="8" w:name="_Toc221423614"/>
      <w:bookmarkStart w:id="9" w:name="_Toc241404197"/>
      <w:bookmarkStart w:id="10" w:name="_Toc223715992"/>
      <w:bookmarkStart w:id="11" w:name="_Toc221356945"/>
      <w:bookmarkStart w:id="12" w:name="_Toc222114873"/>
      <w:bookmarkStart w:id="13" w:name="_Toc221356881"/>
      <w:bookmarkStart w:id="14" w:name="_Toc337660883"/>
      <w:bookmarkStart w:id="15" w:name="_Toc245191309"/>
      <w:bookmarkStart w:id="16" w:name="_Toc262105498"/>
      <w:bookmarkStart w:id="17" w:name="_Toc348800908"/>
      <w:bookmarkStart w:id="18" w:name="_Toc223715993"/>
      <w:bookmarkStart w:id="19" w:name="_Toc249758707"/>
      <w:bookmarkStart w:id="20" w:name="_Toc221374621"/>
      <w:bookmarkStart w:id="21" w:name="_Toc262049413"/>
      <w:bookmarkStart w:id="22" w:name="_Toc249758859"/>
      <w:bookmarkStart w:id="23" w:name="_Toc239145349"/>
      <w:bookmarkStart w:id="24" w:name="_Toc246261260"/>
      <w:bookmarkStart w:id="25" w:name="_Toc221356880"/>
      <w:r>
        <w:rPr>
          <w:rFonts w:hint="eastAsia" w:ascii="宋体" w:hAnsi="宋体" w:eastAsia="宋体" w:cs="Arial"/>
          <w:color w:val="auto"/>
          <w:sz w:val="30"/>
          <w:szCs w:val="30"/>
          <w:highlight w:val="none"/>
        </w:rPr>
        <w:t>温州元信工程项目管理有限公司关于数字交通综合执法与服务应用项目的公开招标公告</w:t>
      </w:r>
      <w:bookmarkEnd w:id="0"/>
      <w:bookmarkEnd w:id="1"/>
      <w:bookmarkEnd w:id="2"/>
    </w:p>
    <w:p>
      <w:pPr>
        <w:pBdr>
          <w:top w:val="single" w:color="auto" w:sz="4" w:space="1"/>
          <w:left w:val="single" w:color="auto" w:sz="4" w:space="4"/>
          <w:bottom w:val="single" w:color="auto" w:sz="4" w:space="1"/>
          <w:right w:val="single" w:color="auto" w:sz="4" w:space="4"/>
        </w:pBdr>
        <w:ind w:firstLine="440" w:firstLineChars="200"/>
        <w:rPr>
          <w:rFonts w:ascii="宋体"/>
          <w:color w:val="auto"/>
          <w:sz w:val="22"/>
          <w:szCs w:val="22"/>
          <w:highlight w:val="none"/>
        </w:rPr>
      </w:pPr>
      <w:r>
        <w:rPr>
          <w:rFonts w:hint="eastAsia" w:ascii="宋体" w:hAnsi="宋体"/>
          <w:color w:val="auto"/>
          <w:sz w:val="22"/>
          <w:szCs w:val="22"/>
          <w:highlight w:val="none"/>
        </w:rPr>
        <w:t>项目概况</w:t>
      </w:r>
    </w:p>
    <w:p>
      <w:pPr>
        <w:pBdr>
          <w:top w:val="single" w:color="auto" w:sz="4" w:space="1"/>
          <w:left w:val="single" w:color="auto" w:sz="4" w:space="4"/>
          <w:bottom w:val="single" w:color="auto" w:sz="4" w:space="1"/>
          <w:right w:val="single" w:color="auto" w:sz="4" w:space="4"/>
        </w:pBdr>
        <w:ind w:firstLine="440" w:firstLineChars="200"/>
        <w:rPr>
          <w:rFonts w:ascii="宋体" w:hAnsi="宋体"/>
          <w:color w:val="auto"/>
          <w:sz w:val="22"/>
          <w:szCs w:val="22"/>
          <w:highlight w:val="none"/>
        </w:rPr>
      </w:pP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数字交通综合执法与服务应用项目的潜在投标人应在政采云平台（www.zcygov.cn）获取（下载）采购文件，并于</w:t>
      </w:r>
      <w:r>
        <w:rPr>
          <w:rFonts w:hint="eastAsia" w:ascii="宋体" w:hAnsi="宋体"/>
          <w:color w:val="auto"/>
          <w:sz w:val="22"/>
          <w:szCs w:val="22"/>
          <w:highlight w:val="none"/>
          <w:u w:val="single"/>
        </w:rPr>
        <w:t>2022年</w:t>
      </w:r>
      <w:r>
        <w:rPr>
          <w:rFonts w:hint="eastAsia" w:ascii="宋体" w:hAnsi="宋体"/>
          <w:color w:val="auto"/>
          <w:sz w:val="22"/>
          <w:szCs w:val="22"/>
          <w:highlight w:val="none"/>
          <w:u w:val="single"/>
          <w:lang w:val="en-US" w:eastAsia="zh-CN"/>
        </w:rPr>
        <w:t>9</w:t>
      </w:r>
      <w:r>
        <w:rPr>
          <w:rFonts w:hint="eastAsia" w:ascii="宋体" w:hAnsi="宋体"/>
          <w:color w:val="auto"/>
          <w:sz w:val="22"/>
          <w:szCs w:val="22"/>
          <w:highlight w:val="none"/>
          <w:u w:val="single"/>
        </w:rPr>
        <w:t>月</w:t>
      </w:r>
      <w:r>
        <w:rPr>
          <w:rFonts w:hint="eastAsia" w:ascii="宋体" w:hAnsi="宋体"/>
          <w:color w:val="auto"/>
          <w:sz w:val="22"/>
          <w:szCs w:val="22"/>
          <w:highlight w:val="none"/>
          <w:u w:val="single"/>
          <w:lang w:val="en-US" w:eastAsia="zh-CN"/>
        </w:rPr>
        <w:t>30</w:t>
      </w:r>
      <w:r>
        <w:rPr>
          <w:rFonts w:hint="eastAsia" w:ascii="宋体" w:hAnsi="宋体"/>
          <w:color w:val="auto"/>
          <w:sz w:val="22"/>
          <w:szCs w:val="22"/>
          <w:highlight w:val="none"/>
          <w:u w:val="single"/>
        </w:rPr>
        <w:t>日</w:t>
      </w:r>
      <w:r>
        <w:rPr>
          <w:rFonts w:hint="eastAsia" w:ascii="宋体" w:hAnsi="宋体"/>
          <w:color w:val="auto"/>
          <w:sz w:val="22"/>
          <w:szCs w:val="22"/>
          <w:highlight w:val="none"/>
          <w:u w:val="single"/>
          <w:lang w:val="en-US" w:eastAsia="zh-CN"/>
        </w:rPr>
        <w:t>9</w:t>
      </w:r>
      <w:r>
        <w:rPr>
          <w:rFonts w:hint="eastAsia" w:ascii="宋体" w:hAnsi="宋体"/>
          <w:color w:val="auto"/>
          <w:sz w:val="22"/>
          <w:szCs w:val="22"/>
          <w:highlight w:val="none"/>
          <w:u w:val="single"/>
        </w:rPr>
        <w:t>:30</w:t>
      </w:r>
      <w:r>
        <w:rPr>
          <w:rFonts w:hint="eastAsia" w:ascii="宋体" w:hAnsi="宋体"/>
          <w:color w:val="auto"/>
          <w:sz w:val="22"/>
          <w:szCs w:val="22"/>
          <w:highlight w:val="none"/>
          <w:u w:val="single"/>
        </w:rPr>
        <w:t>（北京时间）前提交（上传）响应文件。</w:t>
      </w:r>
    </w:p>
    <w:p>
      <w:pPr>
        <w:widowControl/>
        <w:spacing w:before="60" w:after="60" w:line="360" w:lineRule="exact"/>
        <w:ind w:left="60" w:right="60"/>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一、项目基本情况</w:t>
      </w:r>
    </w:p>
    <w:p>
      <w:pPr>
        <w:widowControl/>
        <w:spacing w:before="60" w:after="60" w:line="360" w:lineRule="exact"/>
        <w:ind w:right="60" w:firstLine="418" w:firstLineChars="19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项目编号：</w:t>
      </w:r>
      <w:r>
        <w:rPr>
          <w:rFonts w:hint="eastAsia" w:ascii="宋体" w:hAnsi="宋体" w:cs="宋体"/>
          <w:bCs/>
          <w:color w:val="auto"/>
          <w:kern w:val="0"/>
          <w:sz w:val="22"/>
          <w:szCs w:val="22"/>
          <w:highlight w:val="none"/>
        </w:rPr>
        <w:t xml:space="preserve">WZYX-H2022052001 </w:t>
      </w:r>
    </w:p>
    <w:p>
      <w:pPr>
        <w:widowControl/>
        <w:spacing w:before="60" w:after="60" w:line="360" w:lineRule="exact"/>
        <w:ind w:right="60" w:firstLine="418" w:firstLineChars="19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项目名称：</w:t>
      </w:r>
      <w:r>
        <w:rPr>
          <w:rFonts w:hint="eastAsia" w:ascii="宋体" w:hAnsi="宋体" w:cs="宋体"/>
          <w:bCs/>
          <w:color w:val="auto"/>
          <w:kern w:val="0"/>
          <w:sz w:val="22"/>
          <w:szCs w:val="22"/>
          <w:highlight w:val="none"/>
          <w:lang w:eastAsia="zh-CN"/>
        </w:rPr>
        <w:t>数字交通综合执法与服务应用项目</w:t>
      </w:r>
      <w:r>
        <w:rPr>
          <w:rFonts w:hint="eastAsia" w:ascii="宋体" w:hAnsi="宋体" w:cs="宋体"/>
          <w:bCs/>
          <w:color w:val="auto"/>
          <w:kern w:val="0"/>
          <w:sz w:val="22"/>
          <w:szCs w:val="22"/>
          <w:highlight w:val="none"/>
        </w:rPr>
        <w:t xml:space="preserve"> </w:t>
      </w:r>
    </w:p>
    <w:p>
      <w:pPr>
        <w:widowControl/>
        <w:spacing w:before="60" w:after="60" w:line="360" w:lineRule="exact"/>
        <w:ind w:right="60" w:firstLine="418" w:firstLineChars="19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 xml:space="preserve">采购方式：公开招标 </w:t>
      </w:r>
    </w:p>
    <w:p>
      <w:pPr>
        <w:widowControl/>
        <w:spacing w:before="60" w:after="60" w:line="360" w:lineRule="exact"/>
        <w:ind w:right="60" w:firstLine="418" w:firstLineChars="19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预算金额（元）：</w:t>
      </w:r>
      <w:r>
        <w:rPr>
          <w:rFonts w:hint="eastAsia" w:ascii="宋体" w:hAnsi="宋体" w:cs="宋体"/>
          <w:bCs/>
          <w:color w:val="auto"/>
          <w:kern w:val="0"/>
          <w:sz w:val="22"/>
          <w:szCs w:val="22"/>
          <w:highlight w:val="none"/>
        </w:rPr>
        <w:t>8235000</w:t>
      </w:r>
    </w:p>
    <w:p>
      <w:pPr>
        <w:pStyle w:val="2"/>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最高限价（元）：无,无</w:t>
      </w:r>
    </w:p>
    <w:p>
      <w:pPr>
        <w:widowControl/>
        <w:spacing w:before="75" w:after="75" w:line="360" w:lineRule="atLeast"/>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标项一:</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标项名称:</w:t>
      </w:r>
      <w:r>
        <w:rPr>
          <w:rFonts w:hint="eastAsia" w:ascii="宋体" w:hAnsi="宋体" w:cs="宋体"/>
          <w:color w:val="auto"/>
          <w:sz w:val="22"/>
          <w:szCs w:val="22"/>
          <w:highlight w:val="none"/>
        </w:rPr>
        <w:t>数字交通综合执法与服务应用项目</w:t>
      </w:r>
      <w:r>
        <w:rPr>
          <w:rFonts w:hint="eastAsia" w:ascii="宋体" w:hAnsi="宋体" w:cs="宋体"/>
          <w:color w:val="auto"/>
          <w:sz w:val="22"/>
          <w:szCs w:val="22"/>
          <w:highlight w:val="none"/>
          <w:lang w:eastAsia="zh-CN"/>
        </w:rPr>
        <w:t>标项</w:t>
      </w:r>
      <w:r>
        <w:rPr>
          <w:rFonts w:hint="eastAsia" w:ascii="宋体" w:hAnsi="宋体" w:cs="宋体"/>
          <w:color w:val="auto"/>
          <w:sz w:val="22"/>
          <w:szCs w:val="22"/>
          <w:highlight w:val="none"/>
        </w:rPr>
        <w:t>一</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数量:1</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预算金额（元）:</w:t>
      </w:r>
      <w:r>
        <w:rPr>
          <w:rFonts w:hint="eastAsia" w:ascii="宋体" w:hAnsi="宋体" w:cs="宋体"/>
          <w:color w:val="auto"/>
          <w:kern w:val="0"/>
          <w:sz w:val="22"/>
          <w:szCs w:val="22"/>
          <w:highlight w:val="none"/>
        </w:rPr>
        <w:t>3115000</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简要规格描述或项目基本概况介绍、用途：</w:t>
      </w:r>
      <w:r>
        <w:rPr>
          <w:rFonts w:hint="eastAsia" w:ascii="宋体" w:hAnsi="宋体" w:cs="宋体"/>
          <w:color w:val="auto"/>
          <w:sz w:val="22"/>
          <w:szCs w:val="22"/>
          <w:highlight w:val="none"/>
        </w:rPr>
        <w:t>智慧交通综合执法分平台、交通执法数字化监管、瓯江航道数字化管理系统开发</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备注：</w:t>
      </w:r>
      <w:r>
        <w:rPr>
          <w:rFonts w:hint="default" w:ascii="宋体" w:hAnsi="宋体" w:cs="宋体"/>
          <w:color w:val="auto"/>
          <w:kern w:val="0"/>
          <w:sz w:val="22"/>
          <w:szCs w:val="22"/>
          <w:highlight w:val="none"/>
        </w:rPr>
        <w:t>附件项目建设方案中涉及到的硬件设备不在此次招标范围内</w:t>
      </w:r>
    </w:p>
    <w:p>
      <w:pPr>
        <w:widowControl/>
        <w:spacing w:before="75" w:after="75" w:line="36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标项二:</w:t>
      </w:r>
      <w:bookmarkStart w:id="228" w:name="_GoBack"/>
      <w:bookmarkEnd w:id="228"/>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标项名称:</w:t>
      </w:r>
      <w:r>
        <w:rPr>
          <w:rFonts w:hint="eastAsia" w:ascii="宋体" w:hAnsi="宋体" w:cs="宋体"/>
          <w:color w:val="auto"/>
          <w:sz w:val="22"/>
          <w:szCs w:val="22"/>
          <w:highlight w:val="none"/>
        </w:rPr>
        <w:t>数字交通综合执法与服务应用项目</w:t>
      </w:r>
      <w:r>
        <w:rPr>
          <w:rFonts w:hint="eastAsia" w:ascii="宋体" w:hAnsi="宋体" w:cs="宋体"/>
          <w:color w:val="auto"/>
          <w:sz w:val="22"/>
          <w:szCs w:val="22"/>
          <w:highlight w:val="none"/>
          <w:lang w:eastAsia="zh-CN"/>
        </w:rPr>
        <w:t>标项</w:t>
      </w:r>
      <w:r>
        <w:rPr>
          <w:rFonts w:hint="eastAsia" w:ascii="宋体" w:hAnsi="宋体" w:cs="宋体"/>
          <w:color w:val="auto"/>
          <w:sz w:val="22"/>
          <w:szCs w:val="22"/>
          <w:highlight w:val="none"/>
        </w:rPr>
        <w:t>二</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数量:1</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预算金额（元）:</w:t>
      </w:r>
      <w:r>
        <w:rPr>
          <w:rFonts w:hint="eastAsia" w:ascii="宋体" w:hAnsi="宋体" w:cs="宋体"/>
          <w:color w:val="auto"/>
          <w:kern w:val="0"/>
          <w:sz w:val="22"/>
          <w:szCs w:val="22"/>
          <w:highlight w:val="none"/>
        </w:rPr>
        <w:t>5120000</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简要规格描述或项目基本概况介绍、用途：</w:t>
      </w:r>
      <w:r>
        <w:rPr>
          <w:rFonts w:hint="eastAsia" w:ascii="宋体" w:hAnsi="宋体" w:cs="宋体"/>
          <w:color w:val="auto"/>
          <w:kern w:val="0"/>
          <w:sz w:val="22"/>
          <w:szCs w:val="22"/>
          <w:highlight w:val="none"/>
        </w:rPr>
        <w:t>温州巡游车移动端应用、金温铁路海铁多式联运“一单制”、交通政务信息“一窗通达”、便行温州数字服务平台系统开发</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备注：</w:t>
      </w:r>
    </w:p>
    <w:p>
      <w:pPr>
        <w:widowControl/>
        <w:spacing w:before="60" w:after="60" w:line="360" w:lineRule="exact"/>
        <w:ind w:right="60" w:firstLine="418" w:firstLineChars="190"/>
        <w:jc w:val="left"/>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合同履约期限：</w:t>
      </w:r>
      <w:r>
        <w:rPr>
          <w:rFonts w:hint="eastAsia" w:ascii="宋体" w:hAnsi="宋体" w:cs="宋体"/>
          <w:color w:val="auto"/>
          <w:kern w:val="0"/>
          <w:sz w:val="22"/>
          <w:szCs w:val="22"/>
          <w:highlight w:val="none"/>
        </w:rPr>
        <w:t>标项 1、2，</w:t>
      </w:r>
      <w:r>
        <w:rPr>
          <w:rFonts w:hint="eastAsia" w:ascii="宋体" w:hAnsi="宋体" w:cs="宋体"/>
          <w:bCs/>
          <w:color w:val="auto"/>
          <w:sz w:val="22"/>
          <w:szCs w:val="22"/>
          <w:highlight w:val="none"/>
        </w:rPr>
        <w:t>合同签定后10个月内完成系统开发并上线试运行，试运行3个月内完成最终验收。</w:t>
      </w:r>
      <w:r>
        <w:rPr>
          <w:rFonts w:hint="eastAsia" w:ascii="宋体" w:hAnsi="宋体" w:cs="宋体"/>
          <w:color w:val="auto"/>
          <w:kern w:val="0"/>
          <w:sz w:val="22"/>
          <w:szCs w:val="22"/>
          <w:highlight w:val="none"/>
        </w:rPr>
        <w:t xml:space="preserve"> </w:t>
      </w:r>
    </w:p>
    <w:p>
      <w:pPr>
        <w:widowControl/>
        <w:spacing w:before="60" w:after="60" w:line="360" w:lineRule="exact"/>
        <w:ind w:right="60" w:firstLine="418" w:firstLineChars="190"/>
        <w:jc w:val="left"/>
        <w:rPr>
          <w:rFonts w:ascii="宋体" w:hAnsi="宋体" w:cs="宋体"/>
          <w:bCs/>
          <w:color w:val="auto"/>
          <w:kern w:val="0"/>
          <w:sz w:val="22"/>
          <w:szCs w:val="22"/>
          <w:highlight w:val="none"/>
        </w:rPr>
      </w:pPr>
      <w:r>
        <w:rPr>
          <w:rFonts w:hint="eastAsia" w:ascii="宋体" w:hAnsi="宋体" w:cs="宋体"/>
          <w:color w:val="auto"/>
          <w:kern w:val="0"/>
          <w:sz w:val="22"/>
          <w:szCs w:val="22"/>
          <w:highlight w:val="none"/>
        </w:rPr>
        <w:t>本项目（是）接受联合体投标。</w:t>
      </w:r>
    </w:p>
    <w:p>
      <w:pPr>
        <w:widowControl/>
        <w:spacing w:before="60" w:after="60" w:line="360" w:lineRule="exact"/>
        <w:ind w:left="60" w:right="60"/>
        <w:jc w:val="left"/>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二、申请人的资格要求</w:t>
      </w:r>
    </w:p>
    <w:p>
      <w:pPr>
        <w:widowControl/>
        <w:spacing w:before="60" w:after="60" w:line="360" w:lineRule="exact"/>
        <w:ind w:left="708" w:leftChars="285" w:right="60" w:hanging="110" w:hangingChars="5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1.满足《中华人民共和国政府采购法》第二十二条的规定；未被“信用中国”（www.creditchina.gov.cn)、中国政府采购网（www.ccgp.gov.cn）列入失信被执行人、重大税收违法案件当事人名单、政府采购严重违法失信行为记录名单。</w:t>
      </w:r>
    </w:p>
    <w:p>
      <w:pPr>
        <w:widowControl/>
        <w:spacing w:before="60" w:after="60" w:line="360" w:lineRule="exact"/>
        <w:ind w:left="708" w:leftChars="285" w:right="60" w:hanging="110" w:hangingChars="50"/>
        <w:jc w:val="left"/>
        <w:rPr>
          <w:rFonts w:ascii="宋体" w:hAnsi="宋体" w:cs="新宋体"/>
          <w:bCs/>
          <w:color w:val="auto"/>
          <w:sz w:val="22"/>
          <w:highlight w:val="none"/>
        </w:rPr>
      </w:pPr>
      <w:r>
        <w:rPr>
          <w:rFonts w:hint="eastAsia" w:ascii="宋体" w:hAnsi="宋体" w:cs="hakuyoxingshu7000"/>
          <w:bCs/>
          <w:color w:val="auto"/>
          <w:kern w:val="0"/>
          <w:sz w:val="22"/>
          <w:szCs w:val="22"/>
          <w:highlight w:val="none"/>
        </w:rPr>
        <w:t>2.落实政府采购政策需满足的资格要求：对所有企业开放；</w:t>
      </w:r>
    </w:p>
    <w:p>
      <w:pPr>
        <w:widowControl/>
        <w:spacing w:before="60" w:after="60" w:line="360" w:lineRule="exact"/>
        <w:ind w:left="708" w:leftChars="285" w:right="60" w:hanging="110" w:hangingChars="5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3.本项目的特定资格要求：</w:t>
      </w:r>
      <w:r>
        <w:rPr>
          <w:rFonts w:hint="eastAsia" w:ascii="宋体" w:hAnsi="宋体" w:cs="宋体"/>
          <w:bCs/>
          <w:color w:val="auto"/>
          <w:kern w:val="0"/>
          <w:sz w:val="22"/>
          <w:szCs w:val="22"/>
          <w:highlight w:val="none"/>
        </w:rPr>
        <w:t>无</w:t>
      </w:r>
      <w:r>
        <w:rPr>
          <w:rFonts w:hint="eastAsia" w:ascii="宋体" w:hAnsi="宋体" w:cs="hakuyoxingshu7000"/>
          <w:bCs/>
          <w:color w:val="auto"/>
          <w:kern w:val="0"/>
          <w:sz w:val="22"/>
          <w:szCs w:val="22"/>
          <w:highlight w:val="none"/>
        </w:rPr>
        <w:t>。</w:t>
      </w:r>
    </w:p>
    <w:p>
      <w:pPr>
        <w:widowControl/>
        <w:spacing w:before="60" w:after="60" w:line="360" w:lineRule="exact"/>
        <w:ind w:left="60" w:right="60"/>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三、获取招标文件</w:t>
      </w:r>
    </w:p>
    <w:p>
      <w:pPr>
        <w:widowControl/>
        <w:spacing w:before="60" w:after="60" w:line="360" w:lineRule="exact"/>
        <w:ind w:right="60" w:firstLine="44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1.时间：公告发布之日起至投标截止时间前，每天上午08:30-11:30，下午14:30-17:30（节假日除外）。</w:t>
      </w:r>
    </w:p>
    <w:p>
      <w:pPr>
        <w:widowControl/>
        <w:spacing w:before="60" w:after="60" w:line="360" w:lineRule="exact"/>
        <w:ind w:right="60" w:firstLine="440"/>
        <w:jc w:val="left"/>
        <w:rPr>
          <w:rFonts w:hint="eastAsia" w:ascii="宋体" w:hAnsi="宋体" w:cs="hakuyoxingshu7000"/>
          <w:color w:val="auto"/>
          <w:kern w:val="0"/>
          <w:sz w:val="22"/>
          <w:szCs w:val="22"/>
          <w:highlight w:val="none"/>
        </w:rPr>
      </w:pPr>
      <w:r>
        <w:rPr>
          <w:rFonts w:hint="eastAsia" w:ascii="宋体" w:hAnsi="宋体" w:cs="宋体"/>
          <w:color w:val="auto"/>
          <w:kern w:val="0"/>
          <w:sz w:val="22"/>
          <w:szCs w:val="22"/>
          <w:highlight w:val="none"/>
        </w:rPr>
        <w:t>2.地点：</w:t>
      </w:r>
      <w:r>
        <w:rPr>
          <w:rFonts w:hint="eastAsia" w:ascii="宋体" w:hAnsi="宋体" w:cs="hakuyoxingshu7000"/>
          <w:color w:val="auto"/>
          <w:kern w:val="0"/>
          <w:sz w:val="22"/>
          <w:szCs w:val="22"/>
          <w:highlight w:val="none"/>
        </w:rPr>
        <w:t>在政采云平台（www.zcygov.cn）</w:t>
      </w:r>
    </w:p>
    <w:p>
      <w:pPr>
        <w:widowControl/>
        <w:spacing w:before="60" w:after="60" w:line="360" w:lineRule="exact"/>
        <w:ind w:right="60" w:firstLine="440"/>
        <w:jc w:val="left"/>
        <w:rPr>
          <w:rFonts w:ascii="宋体" w:hAnsi="宋体"/>
          <w:color w:val="auto"/>
          <w:sz w:val="22"/>
          <w:szCs w:val="22"/>
          <w:highlight w:val="none"/>
        </w:rPr>
      </w:pPr>
      <w:r>
        <w:rPr>
          <w:rFonts w:hint="eastAsia" w:ascii="宋体" w:hAnsi="宋体" w:cs="宋体"/>
          <w:color w:val="auto"/>
          <w:kern w:val="0"/>
          <w:sz w:val="22"/>
          <w:szCs w:val="22"/>
          <w:highlight w:val="none"/>
        </w:rPr>
        <w:t>3.方式：</w:t>
      </w:r>
      <w:r>
        <w:rPr>
          <w:rFonts w:ascii="宋体" w:hAnsi="宋体"/>
          <w:color w:val="auto"/>
          <w:sz w:val="22"/>
          <w:szCs w:val="22"/>
          <w:highlight w:val="none"/>
        </w:rPr>
        <w:t>潜在投标人登陆政采云平台</w:t>
      </w:r>
      <w:r>
        <w:rPr>
          <w:rFonts w:hint="eastAsia" w:ascii="宋体" w:hAnsi="宋体" w:cs="hakuyoxingshu7000"/>
          <w:color w:val="auto"/>
          <w:kern w:val="0"/>
          <w:sz w:val="22"/>
          <w:szCs w:val="22"/>
          <w:highlight w:val="none"/>
        </w:rPr>
        <w:t>（www.zcygov.cn）</w:t>
      </w:r>
      <w:r>
        <w:rPr>
          <w:rFonts w:ascii="宋体" w:hAnsi="宋体"/>
          <w:color w:val="auto"/>
          <w:sz w:val="22"/>
          <w:szCs w:val="22"/>
          <w:highlight w:val="none"/>
        </w:rPr>
        <w:t>，在线申请获取</w:t>
      </w:r>
      <w:r>
        <w:rPr>
          <w:rFonts w:hint="eastAsia" w:ascii="宋体" w:hAnsi="宋体"/>
          <w:color w:val="auto"/>
          <w:sz w:val="22"/>
          <w:szCs w:val="22"/>
          <w:highlight w:val="none"/>
        </w:rPr>
        <w:t>采购文件</w:t>
      </w:r>
      <w:r>
        <w:rPr>
          <w:rFonts w:ascii="宋体" w:hAnsi="宋体"/>
          <w:color w:val="auto"/>
          <w:sz w:val="22"/>
          <w:szCs w:val="22"/>
          <w:highlight w:val="none"/>
        </w:rPr>
        <w:t>（</w:t>
      </w:r>
      <w:r>
        <w:rPr>
          <w:rFonts w:hint="eastAsia" w:ascii="宋体" w:hAnsi="宋体"/>
          <w:color w:val="auto"/>
          <w:sz w:val="22"/>
          <w:szCs w:val="22"/>
          <w:highlight w:val="none"/>
        </w:rPr>
        <w:t>进入</w:t>
      </w:r>
      <w:r>
        <w:rPr>
          <w:rFonts w:hint="eastAsia" w:ascii="宋体"/>
          <w:color w:val="auto"/>
          <w:sz w:val="22"/>
          <w:szCs w:val="22"/>
          <w:highlight w:val="none"/>
        </w:rPr>
        <w:t>“</w:t>
      </w:r>
      <w:r>
        <w:rPr>
          <w:rFonts w:hint="eastAsia" w:ascii="宋体" w:hAnsi="宋体"/>
          <w:color w:val="auto"/>
          <w:sz w:val="22"/>
          <w:szCs w:val="22"/>
          <w:highlight w:val="none"/>
        </w:rPr>
        <w:t>项目采购</w:t>
      </w:r>
      <w:r>
        <w:rPr>
          <w:rFonts w:hint="eastAsia" w:ascii="宋体"/>
          <w:color w:val="auto"/>
          <w:sz w:val="22"/>
          <w:szCs w:val="22"/>
          <w:highlight w:val="none"/>
        </w:rPr>
        <w:t>”</w:t>
      </w:r>
      <w:r>
        <w:rPr>
          <w:rFonts w:hint="eastAsia" w:ascii="宋体" w:hAnsi="宋体"/>
          <w:color w:val="auto"/>
          <w:sz w:val="22"/>
          <w:szCs w:val="22"/>
          <w:highlight w:val="none"/>
        </w:rPr>
        <w:t>应用，在获取采购文件菜单中选择项目，申请获取采购文件；仅需浏览采购文件的</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可点击</w:t>
      </w:r>
      <w:r>
        <w:rPr>
          <w:rFonts w:hint="eastAsia" w:ascii="宋体"/>
          <w:color w:val="auto"/>
          <w:sz w:val="22"/>
          <w:szCs w:val="22"/>
          <w:highlight w:val="none"/>
        </w:rPr>
        <w:t>“</w:t>
      </w:r>
      <w:r>
        <w:rPr>
          <w:rFonts w:hint="eastAsia" w:ascii="宋体" w:hAnsi="宋体"/>
          <w:color w:val="auto"/>
          <w:sz w:val="22"/>
          <w:szCs w:val="22"/>
          <w:highlight w:val="none"/>
        </w:rPr>
        <w:t>游客，浏览采购文件</w:t>
      </w:r>
      <w:r>
        <w:rPr>
          <w:rFonts w:hint="eastAsia" w:ascii="宋体"/>
          <w:color w:val="auto"/>
          <w:sz w:val="22"/>
          <w:szCs w:val="22"/>
          <w:highlight w:val="none"/>
        </w:rPr>
        <w:t>”</w:t>
      </w:r>
      <w:r>
        <w:rPr>
          <w:rFonts w:hint="eastAsia" w:ascii="宋体" w:hAnsi="宋体"/>
          <w:color w:val="auto"/>
          <w:sz w:val="22"/>
          <w:szCs w:val="22"/>
          <w:highlight w:val="none"/>
        </w:rPr>
        <w:t>直接下载采购文件浏览</w:t>
      </w:r>
      <w:r>
        <w:rPr>
          <w:rFonts w:ascii="宋体" w:hAnsi="宋体"/>
          <w:color w:val="auto"/>
          <w:sz w:val="22"/>
          <w:szCs w:val="22"/>
          <w:highlight w:val="none"/>
        </w:rPr>
        <w:t>）。</w:t>
      </w:r>
    </w:p>
    <w:p>
      <w:pPr>
        <w:widowControl/>
        <w:spacing w:before="60" w:after="60" w:line="360" w:lineRule="exact"/>
        <w:ind w:right="60" w:firstLine="440"/>
        <w:jc w:val="left"/>
        <w:rPr>
          <w:rFonts w:ascii="宋体"/>
          <w:color w:val="auto"/>
          <w:sz w:val="22"/>
          <w:szCs w:val="22"/>
          <w:highlight w:val="none"/>
        </w:rPr>
      </w:pPr>
      <w:r>
        <w:rPr>
          <w:rFonts w:hint="eastAsia" w:ascii="宋体" w:hAnsi="宋体" w:cs="宋体"/>
          <w:b/>
          <w:color w:val="auto"/>
          <w:kern w:val="0"/>
          <w:sz w:val="22"/>
          <w:szCs w:val="22"/>
          <w:highlight w:val="none"/>
          <w:lang w:eastAsia="zh-CN"/>
        </w:rPr>
        <w:t>投标人</w:t>
      </w:r>
      <w:r>
        <w:rPr>
          <w:rFonts w:hint="eastAsia" w:ascii="宋体" w:hAnsi="宋体" w:cs="宋体"/>
          <w:b/>
          <w:color w:val="auto"/>
          <w:kern w:val="0"/>
          <w:sz w:val="22"/>
          <w:szCs w:val="22"/>
          <w:highlight w:val="none"/>
        </w:rPr>
        <w:t>只有在“政采云平台”完成获取采购文件申请并下载了采购文件后才视作依法获取采购文件（法律法规所指的</w:t>
      </w:r>
      <w:r>
        <w:rPr>
          <w:rFonts w:hint="eastAsia" w:ascii="宋体" w:hAnsi="宋体" w:cs="宋体"/>
          <w:b/>
          <w:color w:val="auto"/>
          <w:kern w:val="0"/>
          <w:sz w:val="22"/>
          <w:szCs w:val="22"/>
          <w:highlight w:val="none"/>
          <w:lang w:eastAsia="zh-CN"/>
        </w:rPr>
        <w:t>投标人</w:t>
      </w:r>
      <w:r>
        <w:rPr>
          <w:rFonts w:hint="eastAsia" w:ascii="宋体" w:hAnsi="宋体" w:cs="宋体"/>
          <w:b/>
          <w:color w:val="auto"/>
          <w:kern w:val="0"/>
          <w:sz w:val="22"/>
          <w:szCs w:val="22"/>
          <w:highlight w:val="none"/>
        </w:rPr>
        <w:t>获取采购文件时间以</w:t>
      </w:r>
      <w:r>
        <w:rPr>
          <w:rFonts w:hint="eastAsia" w:ascii="宋体" w:hAnsi="宋体" w:cs="宋体"/>
          <w:b/>
          <w:color w:val="auto"/>
          <w:kern w:val="0"/>
          <w:sz w:val="22"/>
          <w:szCs w:val="22"/>
          <w:highlight w:val="none"/>
          <w:lang w:eastAsia="zh-CN"/>
        </w:rPr>
        <w:t>投标人</w:t>
      </w:r>
      <w:r>
        <w:rPr>
          <w:rFonts w:hint="eastAsia" w:ascii="宋体" w:hAnsi="宋体" w:cs="宋体"/>
          <w:b/>
          <w:color w:val="auto"/>
          <w:kern w:val="0"/>
          <w:sz w:val="22"/>
          <w:szCs w:val="22"/>
          <w:highlight w:val="none"/>
        </w:rPr>
        <w:t>完成获取采购文件申请后下载采购文件的时间为准）。未依法获取采购文件的潜在</w:t>
      </w:r>
      <w:r>
        <w:rPr>
          <w:rFonts w:hint="eastAsia" w:ascii="宋体" w:hAnsi="宋体" w:cs="宋体"/>
          <w:b/>
          <w:color w:val="auto"/>
          <w:kern w:val="0"/>
          <w:sz w:val="22"/>
          <w:szCs w:val="22"/>
          <w:highlight w:val="none"/>
          <w:lang w:eastAsia="zh-CN"/>
        </w:rPr>
        <w:t>投标人</w:t>
      </w:r>
      <w:r>
        <w:rPr>
          <w:rFonts w:hint="eastAsia" w:ascii="宋体" w:hAnsi="宋体" w:cs="宋体"/>
          <w:b/>
          <w:color w:val="auto"/>
          <w:kern w:val="0"/>
          <w:sz w:val="22"/>
          <w:szCs w:val="22"/>
          <w:highlight w:val="none"/>
        </w:rPr>
        <w:t>对采购文件提起质疑投诉，不予受理。</w:t>
      </w:r>
    </w:p>
    <w:p>
      <w:pPr>
        <w:widowControl/>
        <w:spacing w:before="60" w:after="60" w:line="360" w:lineRule="exact"/>
        <w:ind w:right="60" w:firstLine="440"/>
        <w:jc w:val="left"/>
        <w:rPr>
          <w:rFonts w:ascii="宋体" w:cs="宋体"/>
          <w:b/>
          <w:color w:val="auto"/>
          <w:kern w:val="0"/>
          <w:sz w:val="22"/>
          <w:szCs w:val="22"/>
          <w:highlight w:val="none"/>
        </w:rPr>
      </w:pPr>
      <w:r>
        <w:rPr>
          <w:rFonts w:ascii="宋体" w:hAnsi="宋体" w:cs="宋体"/>
          <w:color w:val="auto"/>
          <w:kern w:val="0"/>
          <w:sz w:val="22"/>
          <w:szCs w:val="22"/>
          <w:highlight w:val="none"/>
        </w:rPr>
        <w:t>4</w:t>
      </w:r>
      <w:r>
        <w:rPr>
          <w:rFonts w:hint="eastAsia" w:ascii="宋体" w:hAnsi="宋体" w:cs="宋体"/>
          <w:color w:val="auto"/>
          <w:kern w:val="0"/>
          <w:sz w:val="22"/>
          <w:szCs w:val="22"/>
          <w:highlight w:val="none"/>
        </w:rPr>
        <w:t>．售价（元）：0</w:t>
      </w:r>
    </w:p>
    <w:p>
      <w:pPr>
        <w:widowControl/>
        <w:spacing w:before="60" w:after="60" w:line="360" w:lineRule="exact"/>
        <w:ind w:left="60" w:right="60"/>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四、提交投标文件截止时间、开标时间和地点</w:t>
      </w:r>
    </w:p>
    <w:p>
      <w:pPr>
        <w:widowControl/>
        <w:spacing w:before="60" w:after="60" w:line="360" w:lineRule="exact"/>
        <w:ind w:left="61" w:leftChars="29" w:right="60" w:firstLine="433" w:firstLineChars="196"/>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投标文件提交截止时间：</w:t>
      </w:r>
      <w:r>
        <w:rPr>
          <w:rFonts w:hint="eastAsia" w:ascii="宋体" w:hAnsi="宋体" w:cs="宋体"/>
          <w:b/>
          <w:bCs/>
          <w:color w:val="auto"/>
          <w:kern w:val="0"/>
          <w:sz w:val="22"/>
          <w:szCs w:val="22"/>
          <w:highlight w:val="none"/>
        </w:rPr>
        <w:t>2022年</w:t>
      </w:r>
      <w:r>
        <w:rPr>
          <w:rFonts w:hint="eastAsia" w:ascii="宋体" w:hAnsi="宋体" w:cs="宋体"/>
          <w:b/>
          <w:bCs/>
          <w:color w:val="auto"/>
          <w:kern w:val="0"/>
          <w:sz w:val="22"/>
          <w:szCs w:val="22"/>
          <w:highlight w:val="none"/>
          <w:lang w:val="en-US" w:eastAsia="zh-CN"/>
        </w:rPr>
        <w:t>9</w:t>
      </w:r>
      <w:r>
        <w:rPr>
          <w:rFonts w:hint="eastAsia" w:ascii="宋体" w:hAnsi="宋体" w:cs="宋体"/>
          <w:b/>
          <w:bCs/>
          <w:color w:val="auto"/>
          <w:kern w:val="0"/>
          <w:sz w:val="22"/>
          <w:szCs w:val="22"/>
          <w:highlight w:val="none"/>
        </w:rPr>
        <w:t>月</w:t>
      </w:r>
      <w:r>
        <w:rPr>
          <w:rFonts w:hint="eastAsia" w:ascii="宋体" w:hAnsi="宋体" w:cs="宋体"/>
          <w:b/>
          <w:bCs/>
          <w:color w:val="auto"/>
          <w:kern w:val="0"/>
          <w:sz w:val="22"/>
          <w:szCs w:val="22"/>
          <w:highlight w:val="none"/>
          <w:lang w:val="en-US" w:eastAsia="zh-CN"/>
        </w:rPr>
        <w:t>30</w:t>
      </w:r>
      <w:r>
        <w:rPr>
          <w:rFonts w:hint="eastAsia" w:ascii="宋体" w:hAnsi="宋体" w:cs="宋体"/>
          <w:b/>
          <w:bCs/>
          <w:color w:val="auto"/>
          <w:kern w:val="0"/>
          <w:sz w:val="22"/>
          <w:szCs w:val="22"/>
          <w:highlight w:val="none"/>
        </w:rPr>
        <w:t>日</w:t>
      </w:r>
      <w:r>
        <w:rPr>
          <w:rFonts w:hint="eastAsia" w:ascii="宋体" w:hAnsi="宋体" w:cs="宋体"/>
          <w:b/>
          <w:bCs/>
          <w:color w:val="auto"/>
          <w:kern w:val="0"/>
          <w:sz w:val="22"/>
          <w:szCs w:val="22"/>
          <w:highlight w:val="none"/>
          <w:lang w:val="en-US" w:eastAsia="zh-CN"/>
        </w:rPr>
        <w:t>9</w:t>
      </w:r>
      <w:r>
        <w:rPr>
          <w:rFonts w:hint="eastAsia" w:ascii="宋体" w:hAnsi="宋体" w:cs="宋体"/>
          <w:b/>
          <w:bCs/>
          <w:color w:val="auto"/>
          <w:kern w:val="0"/>
          <w:sz w:val="22"/>
          <w:szCs w:val="22"/>
          <w:highlight w:val="none"/>
        </w:rPr>
        <w:t>:30（北京时间）</w:t>
      </w:r>
    </w:p>
    <w:p>
      <w:pPr>
        <w:widowControl/>
        <w:spacing w:before="60" w:after="60" w:line="360" w:lineRule="exact"/>
        <w:ind w:left="61" w:leftChars="29" w:right="60" w:firstLine="433" w:firstLineChars="196"/>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xml:space="preserve">投标地点（网址）：政府采购云平台（www.zcygov.cn） </w:t>
      </w:r>
    </w:p>
    <w:p>
      <w:pPr>
        <w:widowControl/>
        <w:spacing w:before="60" w:after="60" w:line="360" w:lineRule="exact"/>
        <w:ind w:left="61" w:leftChars="29" w:right="60" w:firstLine="433" w:firstLineChars="196"/>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开标时间：</w:t>
      </w:r>
      <w:r>
        <w:rPr>
          <w:rFonts w:hint="eastAsia" w:ascii="宋体" w:hAnsi="宋体" w:cs="宋体"/>
          <w:b/>
          <w:bCs/>
          <w:color w:val="auto"/>
          <w:kern w:val="0"/>
          <w:sz w:val="22"/>
          <w:szCs w:val="22"/>
          <w:highlight w:val="none"/>
        </w:rPr>
        <w:t>2022年</w:t>
      </w:r>
      <w:r>
        <w:rPr>
          <w:rFonts w:hint="eastAsia" w:ascii="宋体" w:hAnsi="宋体" w:cs="宋体"/>
          <w:b/>
          <w:bCs/>
          <w:color w:val="auto"/>
          <w:kern w:val="0"/>
          <w:sz w:val="22"/>
          <w:szCs w:val="22"/>
          <w:highlight w:val="none"/>
          <w:lang w:val="en-US" w:eastAsia="zh-CN"/>
        </w:rPr>
        <w:t>9</w:t>
      </w:r>
      <w:r>
        <w:rPr>
          <w:rFonts w:hint="eastAsia" w:ascii="宋体" w:hAnsi="宋体" w:cs="宋体"/>
          <w:b/>
          <w:bCs/>
          <w:color w:val="auto"/>
          <w:kern w:val="0"/>
          <w:sz w:val="22"/>
          <w:szCs w:val="22"/>
          <w:highlight w:val="none"/>
        </w:rPr>
        <w:t>月</w:t>
      </w:r>
      <w:r>
        <w:rPr>
          <w:rFonts w:hint="eastAsia" w:ascii="宋体" w:hAnsi="宋体" w:cs="宋体"/>
          <w:b/>
          <w:bCs/>
          <w:color w:val="auto"/>
          <w:kern w:val="0"/>
          <w:sz w:val="22"/>
          <w:szCs w:val="22"/>
          <w:highlight w:val="none"/>
          <w:lang w:val="en-US" w:eastAsia="zh-CN"/>
        </w:rPr>
        <w:t>30</w:t>
      </w:r>
      <w:r>
        <w:rPr>
          <w:rFonts w:hint="eastAsia" w:ascii="宋体" w:hAnsi="宋体" w:cs="宋体"/>
          <w:b/>
          <w:bCs/>
          <w:color w:val="auto"/>
          <w:kern w:val="0"/>
          <w:sz w:val="22"/>
          <w:szCs w:val="22"/>
          <w:highlight w:val="none"/>
        </w:rPr>
        <w:t>日</w:t>
      </w:r>
      <w:r>
        <w:rPr>
          <w:rFonts w:hint="eastAsia" w:ascii="宋体" w:hAnsi="宋体" w:cs="宋体"/>
          <w:b/>
          <w:bCs/>
          <w:color w:val="auto"/>
          <w:kern w:val="0"/>
          <w:sz w:val="22"/>
          <w:szCs w:val="22"/>
          <w:highlight w:val="none"/>
          <w:lang w:val="en-US" w:eastAsia="zh-CN"/>
        </w:rPr>
        <w:t>9</w:t>
      </w:r>
      <w:r>
        <w:rPr>
          <w:rFonts w:hint="eastAsia" w:ascii="宋体" w:hAnsi="宋体" w:cs="宋体"/>
          <w:b/>
          <w:bCs/>
          <w:color w:val="auto"/>
          <w:kern w:val="0"/>
          <w:sz w:val="22"/>
          <w:szCs w:val="22"/>
          <w:highlight w:val="none"/>
        </w:rPr>
        <w:t>:30</w:t>
      </w:r>
    </w:p>
    <w:p>
      <w:pPr>
        <w:widowControl/>
        <w:spacing w:before="60" w:after="60" w:line="360" w:lineRule="exact"/>
        <w:ind w:left="61" w:leftChars="29" w:right="60" w:firstLine="433" w:firstLineChars="196"/>
        <w:jc w:val="left"/>
        <w:rPr>
          <w:rFonts w:ascii="宋体" w:hAnsi="宋体" w:cs="宋体"/>
          <w:bCs/>
          <w:color w:val="auto"/>
          <w:kern w:val="0"/>
          <w:sz w:val="22"/>
          <w:szCs w:val="22"/>
          <w:highlight w:val="none"/>
        </w:rPr>
      </w:pPr>
      <w:r>
        <w:rPr>
          <w:rFonts w:hint="eastAsia" w:ascii="宋体" w:hAnsi="宋体" w:cs="宋体"/>
          <w:b/>
          <w:bCs/>
          <w:color w:val="auto"/>
          <w:kern w:val="0"/>
          <w:sz w:val="22"/>
          <w:szCs w:val="22"/>
          <w:highlight w:val="none"/>
        </w:rPr>
        <w:t>开标地点（网址）：政府采购云平台（</w:t>
      </w:r>
      <w:r>
        <w:rPr>
          <w:rFonts w:ascii="宋体" w:hAnsi="宋体" w:cs="宋体"/>
          <w:b/>
          <w:bCs/>
          <w:color w:val="auto"/>
          <w:kern w:val="0"/>
          <w:sz w:val="22"/>
          <w:szCs w:val="22"/>
          <w:highlight w:val="none"/>
        </w:rPr>
        <w:t>www.zcygov.cn</w:t>
      </w:r>
      <w:r>
        <w:rPr>
          <w:rFonts w:hint="eastAsia" w:ascii="宋体" w:hAnsi="宋体" w:cs="宋体"/>
          <w:b/>
          <w:bCs/>
          <w:color w:val="auto"/>
          <w:kern w:val="0"/>
          <w:sz w:val="22"/>
          <w:szCs w:val="22"/>
          <w:highlight w:val="none"/>
        </w:rPr>
        <w:t>）</w:t>
      </w:r>
    </w:p>
    <w:p>
      <w:pPr>
        <w:widowControl/>
        <w:spacing w:before="60" w:after="60" w:line="360" w:lineRule="exact"/>
        <w:ind w:left="60" w:right="60"/>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五、公告期限</w:t>
      </w:r>
    </w:p>
    <w:p>
      <w:pPr>
        <w:widowControl/>
        <w:spacing w:before="60" w:after="60" w:line="360" w:lineRule="exact"/>
        <w:ind w:left="61" w:leftChars="29" w:right="60" w:firstLine="323" w:firstLineChars="147"/>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自本公告发布之日起5个工作日。</w:t>
      </w:r>
    </w:p>
    <w:p>
      <w:pPr>
        <w:widowControl/>
        <w:spacing w:before="60" w:after="60" w:line="360" w:lineRule="exact"/>
        <w:ind w:left="60" w:right="60"/>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六、其他补充事宜</w:t>
      </w:r>
    </w:p>
    <w:p>
      <w:pPr>
        <w:widowControl/>
        <w:spacing w:before="60" w:after="60" w:line="360" w:lineRule="exact"/>
        <w:ind w:left="61" w:leftChars="29" w:right="60" w:firstLine="323" w:firstLineChars="147"/>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before="60" w:after="60" w:line="360" w:lineRule="exact"/>
        <w:ind w:left="61" w:leftChars="29" w:right="60" w:firstLine="323" w:firstLineChars="147"/>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2.根据《浙江省财政厅关于进一步促进政府采购公平竞争打造最优营商环境的通知》（浙财采监（2021）22号）文件关于“健全行政裁决机制”要求，鼓励</w:t>
      </w:r>
      <w:r>
        <w:rPr>
          <w:rFonts w:hint="eastAsia" w:ascii="宋体" w:hAnsi="宋体" w:cs="Arial"/>
          <w:color w:val="auto"/>
          <w:kern w:val="0"/>
          <w:sz w:val="22"/>
          <w:szCs w:val="22"/>
          <w:highlight w:val="none"/>
          <w:lang w:eastAsia="zh-CN"/>
        </w:rPr>
        <w:t>投标人</w:t>
      </w:r>
      <w:r>
        <w:rPr>
          <w:rFonts w:hint="eastAsia" w:ascii="宋体" w:hAnsi="宋体" w:cs="Arial"/>
          <w:color w:val="auto"/>
          <w:kern w:val="0"/>
          <w:sz w:val="22"/>
          <w:szCs w:val="22"/>
          <w:highlight w:val="none"/>
        </w:rPr>
        <w:t>在线提起询问，路径为：政采云-项目采购-询问质疑投诉-询问列表:鼓励</w:t>
      </w:r>
      <w:r>
        <w:rPr>
          <w:rFonts w:hint="eastAsia" w:ascii="宋体" w:hAnsi="宋体" w:cs="Arial"/>
          <w:color w:val="auto"/>
          <w:kern w:val="0"/>
          <w:sz w:val="22"/>
          <w:szCs w:val="22"/>
          <w:highlight w:val="none"/>
          <w:lang w:eastAsia="zh-CN"/>
        </w:rPr>
        <w:t>投标人</w:t>
      </w:r>
      <w:r>
        <w:rPr>
          <w:rFonts w:hint="eastAsia" w:ascii="宋体" w:hAnsi="宋体" w:cs="Arial"/>
          <w:color w:val="auto"/>
          <w:kern w:val="0"/>
          <w:sz w:val="22"/>
          <w:szCs w:val="22"/>
          <w:highlight w:val="none"/>
        </w:rPr>
        <w:t>在线提起质疑，路径为：政采云-项目采购-询问质疑投诉-质疑列表。质疑</w:t>
      </w:r>
      <w:r>
        <w:rPr>
          <w:rFonts w:hint="eastAsia" w:ascii="宋体" w:hAnsi="宋体" w:cs="Arial"/>
          <w:color w:val="auto"/>
          <w:kern w:val="0"/>
          <w:sz w:val="22"/>
          <w:szCs w:val="22"/>
          <w:highlight w:val="none"/>
          <w:lang w:eastAsia="zh-CN"/>
        </w:rPr>
        <w:t>投标人</w:t>
      </w:r>
      <w:r>
        <w:rPr>
          <w:rFonts w:hint="eastAsia" w:ascii="宋体" w:hAnsi="宋体" w:cs="Arial"/>
          <w:color w:val="auto"/>
          <w:kern w:val="0"/>
          <w:sz w:val="22"/>
          <w:szCs w:val="22"/>
          <w:highlight w:val="none"/>
        </w:rPr>
        <w:t>对在线质疑答复不满意的，可在线提起投诉，路径为：浙江政府服务网-政府采购投诉处理-在线办理。注意：需在线质疑后才可在线投诉，并电话告知相关采购人、代理机构、财政部门。</w:t>
      </w:r>
    </w:p>
    <w:p>
      <w:pPr>
        <w:widowControl/>
        <w:spacing w:before="60" w:after="60" w:line="360" w:lineRule="exact"/>
        <w:ind w:left="61" w:leftChars="29" w:right="60" w:firstLine="323" w:firstLineChars="147"/>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3.其他事项：</w:t>
      </w:r>
    </w:p>
    <w:p>
      <w:pPr>
        <w:widowControl/>
        <w:numPr>
          <w:ilvl w:val="0"/>
          <w:numId w:val="2"/>
        </w:numPr>
        <w:spacing w:before="60" w:after="60" w:line="360" w:lineRule="exact"/>
        <w:ind w:right="60"/>
        <w:jc w:val="left"/>
        <w:rPr>
          <w:rFonts w:ascii="宋体" w:cs="宋体"/>
          <w:bCs/>
          <w:color w:val="auto"/>
          <w:kern w:val="0"/>
          <w:sz w:val="22"/>
          <w:szCs w:val="22"/>
          <w:highlight w:val="none"/>
        </w:rPr>
      </w:pPr>
      <w:r>
        <w:rPr>
          <w:rFonts w:hint="eastAsia" w:ascii="宋体" w:hAnsi="宋体" w:cs="宋体"/>
          <w:bCs/>
          <w:color w:val="auto"/>
          <w:kern w:val="0"/>
          <w:sz w:val="22"/>
          <w:szCs w:val="22"/>
          <w:highlight w:val="none"/>
        </w:rPr>
        <w:t>电子投标说明</w:t>
      </w:r>
    </w:p>
    <w:p>
      <w:pPr>
        <w:widowControl/>
        <w:numPr>
          <w:ilvl w:val="0"/>
          <w:numId w:val="3"/>
        </w:numPr>
        <w:spacing w:before="60" w:after="60" w:line="360" w:lineRule="exact"/>
        <w:ind w:right="6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本项目通过“政采云平台（www.zcygov.cn）”实行在线投标响应（电子投标），</w:t>
      </w:r>
      <w:r>
        <w:rPr>
          <w:rFonts w:hint="eastAsia" w:ascii="宋体" w:hAnsi="宋体" w:cs="Arial"/>
          <w:color w:val="auto"/>
          <w:kern w:val="0"/>
          <w:sz w:val="22"/>
          <w:szCs w:val="22"/>
          <w:highlight w:val="none"/>
          <w:lang w:eastAsia="zh-CN"/>
        </w:rPr>
        <w:t>投标人</w:t>
      </w:r>
      <w:r>
        <w:rPr>
          <w:rFonts w:hint="eastAsia" w:ascii="宋体" w:hAnsi="宋体" w:cs="Arial"/>
          <w:color w:val="auto"/>
          <w:kern w:val="0"/>
          <w:sz w:val="22"/>
          <w:szCs w:val="22"/>
          <w:highlight w:val="none"/>
        </w:rPr>
        <w:t>应先安装“政采云电子交易客户端”，并按照本采购文件和“政采云平台”的要求，通过“政采云电子交易客户端”编制并加密投标文件。</w:t>
      </w:r>
      <w:r>
        <w:rPr>
          <w:rFonts w:hint="eastAsia" w:ascii="宋体" w:hAnsi="宋体" w:cs="Arial"/>
          <w:color w:val="auto"/>
          <w:kern w:val="0"/>
          <w:sz w:val="22"/>
          <w:szCs w:val="22"/>
          <w:highlight w:val="none"/>
          <w:lang w:eastAsia="zh-CN"/>
        </w:rPr>
        <w:t>投标人</w:t>
      </w:r>
      <w:r>
        <w:rPr>
          <w:rFonts w:hint="eastAsia" w:ascii="宋体" w:hAnsi="宋体" w:cs="Arial"/>
          <w:color w:val="auto"/>
          <w:kern w:val="0"/>
          <w:sz w:val="22"/>
          <w:szCs w:val="22"/>
          <w:highlight w:val="none"/>
        </w:rPr>
        <w:t>未按规定加密的投标文件，“政采云平台”将予以拒收。</w:t>
      </w:r>
    </w:p>
    <w:p>
      <w:pPr>
        <w:widowControl/>
        <w:numPr>
          <w:ilvl w:val="0"/>
          <w:numId w:val="3"/>
        </w:numPr>
        <w:spacing w:before="60" w:after="60" w:line="360" w:lineRule="exact"/>
        <w:ind w:right="6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“政采云电子交易客户端”请自行前往“浙江政府采购网-下载专区-电子交易客户端”进行下载；电子投标具体操作流程详见本公告附件《</w:t>
      </w:r>
      <w:r>
        <w:rPr>
          <w:rFonts w:hint="eastAsia" w:ascii="宋体" w:hAnsi="宋体" w:cs="Arial"/>
          <w:color w:val="auto"/>
          <w:kern w:val="0"/>
          <w:sz w:val="22"/>
          <w:szCs w:val="22"/>
          <w:highlight w:val="none"/>
          <w:lang w:eastAsia="zh-CN"/>
        </w:rPr>
        <w:t>投标人</w:t>
      </w:r>
      <w:r>
        <w:rPr>
          <w:rFonts w:hint="eastAsia" w:ascii="宋体" w:hAnsi="宋体" w:cs="Arial"/>
          <w:color w:val="auto"/>
          <w:kern w:val="0"/>
          <w:sz w:val="22"/>
          <w:szCs w:val="22"/>
          <w:highlight w:val="none"/>
        </w:rPr>
        <w:t>项目采购-电子招投标操作指南》；通过“政采云平台”参与在线投标时如遇平台技术问题详询400-881-7190。</w:t>
      </w:r>
    </w:p>
    <w:p>
      <w:pPr>
        <w:widowControl/>
        <w:numPr>
          <w:ilvl w:val="0"/>
          <w:numId w:val="2"/>
        </w:numPr>
        <w:spacing w:before="60" w:after="60" w:line="360" w:lineRule="exact"/>
        <w:ind w:left="5" w:right="60" w:hanging="5"/>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本项目执行《浙江省财政厅关于坚决打赢疫情防控阻击战进一步做好政府采购资金支持企业发展工作的通知》（浙财采监[2021]3号）优化政府采购金融服务（政采贷、履约保函等政府采购金融服务）。</w:t>
      </w:r>
    </w:p>
    <w:p>
      <w:pPr>
        <w:widowControl/>
        <w:numPr>
          <w:ilvl w:val="0"/>
          <w:numId w:val="2"/>
        </w:numPr>
        <w:spacing w:before="60" w:after="60" w:line="360" w:lineRule="exact"/>
        <w:ind w:left="5" w:right="60" w:hanging="5"/>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《关于温州市政府采购支持中小企业信用融资的通知》各位</w:t>
      </w:r>
      <w:r>
        <w:rPr>
          <w:rFonts w:hint="eastAsia" w:ascii="宋体" w:hAnsi="宋体" w:cs="宋体"/>
          <w:bCs/>
          <w:color w:val="auto"/>
          <w:kern w:val="0"/>
          <w:sz w:val="22"/>
          <w:szCs w:val="22"/>
          <w:highlight w:val="none"/>
          <w:lang w:eastAsia="zh-CN"/>
        </w:rPr>
        <w:t>投标人</w:t>
      </w:r>
      <w:r>
        <w:rPr>
          <w:rFonts w:hint="eastAsia" w:ascii="宋体" w:hAnsi="宋体" w:cs="宋体"/>
          <w:bCs/>
          <w:color w:val="auto"/>
          <w:kern w:val="0"/>
          <w:sz w:val="22"/>
          <w:szCs w:val="22"/>
          <w:highlight w:val="none"/>
        </w:rPr>
        <w:t>：为了进一步扶持中小企业优化温州营商环境，根据《温州市财政局关于温州市政府采购支持中小企业信用融资的通知》要求，温州政府采购项目现已开通支持中小企业信用融资合作银行活动，有意向</w:t>
      </w:r>
      <w:r>
        <w:rPr>
          <w:rFonts w:hint="eastAsia" w:ascii="宋体" w:hAnsi="宋体" w:cs="宋体"/>
          <w:bCs/>
          <w:color w:val="auto"/>
          <w:kern w:val="0"/>
          <w:sz w:val="22"/>
          <w:szCs w:val="22"/>
          <w:highlight w:val="none"/>
          <w:lang w:eastAsia="zh-CN"/>
        </w:rPr>
        <w:t>投标人</w:t>
      </w:r>
      <w:r>
        <w:rPr>
          <w:rFonts w:hint="eastAsia" w:ascii="宋体" w:hAnsi="宋体" w:cs="宋体"/>
          <w:bCs/>
          <w:color w:val="auto"/>
          <w:kern w:val="0"/>
          <w:sz w:val="22"/>
          <w:szCs w:val="22"/>
          <w:highlight w:val="none"/>
        </w:rPr>
        <w:t>根据文件要求提交《温州市政府采购信用融资意向银行选择表》。详细操作及流程请点击：https://ggzy.wzzbtb.com/wzcms/ggtz/50415.htm。</w:t>
      </w:r>
    </w:p>
    <w:p>
      <w:pPr>
        <w:widowControl/>
        <w:spacing w:before="60" w:after="60" w:line="360" w:lineRule="exact"/>
        <w:ind w:left="60" w:right="60"/>
        <w:jc w:val="left"/>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七、</w:t>
      </w:r>
      <w:r>
        <w:rPr>
          <w:rFonts w:ascii="宋体" w:hAnsi="宋体" w:cs="宋体"/>
          <w:b/>
          <w:bCs/>
          <w:color w:val="auto"/>
          <w:kern w:val="0"/>
          <w:sz w:val="22"/>
          <w:szCs w:val="22"/>
          <w:highlight w:val="none"/>
        </w:rPr>
        <w:t>对本次招标提出询问、质疑、投诉，请按以下方式联系</w:t>
      </w:r>
    </w:p>
    <w:p>
      <w:pPr>
        <w:widowControl/>
        <w:spacing w:before="60" w:after="60" w:line="360" w:lineRule="exact"/>
        <w:ind w:right="60"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采购人：温州市交通运输局</w:t>
      </w:r>
    </w:p>
    <w:p>
      <w:pPr>
        <w:pStyle w:val="58"/>
        <w:spacing w:before="75" w:beforeAutospacing="0" w:after="75" w:afterAutospacing="0" w:line="300" w:lineRule="atLeast"/>
        <w:ind w:firstLine="440" w:firstLineChars="200"/>
        <w:rPr>
          <w:rFonts w:cs="宋体"/>
          <w:color w:val="auto"/>
          <w:sz w:val="22"/>
          <w:szCs w:val="22"/>
          <w:highlight w:val="none"/>
        </w:rPr>
      </w:pPr>
      <w:r>
        <w:rPr>
          <w:rFonts w:hint="eastAsia" w:cs="宋体"/>
          <w:color w:val="auto"/>
          <w:sz w:val="22"/>
          <w:szCs w:val="22"/>
          <w:highlight w:val="none"/>
        </w:rPr>
        <w:t>地    址：浙江省温州市瓯江路1155号 </w:t>
      </w:r>
    </w:p>
    <w:p>
      <w:pPr>
        <w:pStyle w:val="58"/>
        <w:spacing w:before="75" w:beforeAutospacing="0" w:after="75" w:afterAutospacing="0" w:line="300" w:lineRule="atLeast"/>
        <w:rPr>
          <w:rFonts w:cs="宋体"/>
          <w:color w:val="auto"/>
          <w:sz w:val="22"/>
          <w:szCs w:val="22"/>
          <w:highlight w:val="none"/>
        </w:rPr>
      </w:pPr>
      <w:r>
        <w:rPr>
          <w:rFonts w:hint="eastAsia" w:cs="宋体"/>
          <w:color w:val="auto"/>
          <w:sz w:val="22"/>
          <w:szCs w:val="22"/>
          <w:highlight w:val="none"/>
        </w:rPr>
        <w:t>   传    真：  </w:t>
      </w:r>
    </w:p>
    <w:p>
      <w:pPr>
        <w:pStyle w:val="58"/>
        <w:spacing w:before="75" w:beforeAutospacing="0" w:after="75" w:afterAutospacing="0" w:line="300" w:lineRule="atLeast"/>
        <w:rPr>
          <w:rFonts w:cs="宋体"/>
          <w:color w:val="auto"/>
          <w:sz w:val="22"/>
          <w:szCs w:val="22"/>
          <w:highlight w:val="none"/>
        </w:rPr>
      </w:pPr>
      <w:r>
        <w:rPr>
          <w:rFonts w:hint="eastAsia" w:cs="宋体"/>
          <w:color w:val="auto"/>
          <w:sz w:val="22"/>
          <w:szCs w:val="22"/>
          <w:highlight w:val="none"/>
        </w:rPr>
        <w:t>   项目联系人（询问）：</w:t>
      </w:r>
      <w:r>
        <w:rPr>
          <w:rFonts w:hint="eastAsia" w:cs="宋体"/>
          <w:color w:val="auto"/>
          <w:sz w:val="22"/>
          <w:szCs w:val="22"/>
          <w:highlight w:val="none"/>
        </w:rPr>
        <w:t>程先生 </w:t>
      </w:r>
      <w:r>
        <w:rPr>
          <w:rFonts w:hint="eastAsia" w:cs="宋体"/>
          <w:color w:val="auto"/>
          <w:sz w:val="22"/>
          <w:szCs w:val="22"/>
          <w:highlight w:val="none"/>
        </w:rPr>
        <w:t> </w:t>
      </w:r>
    </w:p>
    <w:p>
      <w:pPr>
        <w:pStyle w:val="58"/>
        <w:spacing w:before="75" w:beforeAutospacing="0" w:after="75" w:afterAutospacing="0" w:line="300" w:lineRule="atLeast"/>
        <w:rPr>
          <w:rFonts w:cs="宋体"/>
          <w:color w:val="auto"/>
          <w:sz w:val="22"/>
          <w:szCs w:val="22"/>
          <w:highlight w:val="none"/>
        </w:rPr>
      </w:pPr>
      <w:r>
        <w:rPr>
          <w:rFonts w:hint="eastAsia" w:cs="宋体"/>
          <w:color w:val="auto"/>
          <w:sz w:val="22"/>
          <w:szCs w:val="22"/>
          <w:highlight w:val="none"/>
        </w:rPr>
        <w:t>   项目联系方式（询问）：</w:t>
      </w:r>
      <w:r>
        <w:rPr>
          <w:rFonts w:hint="eastAsia" w:cs="宋体"/>
          <w:color w:val="auto"/>
          <w:sz w:val="22"/>
          <w:szCs w:val="22"/>
          <w:highlight w:val="none"/>
        </w:rPr>
        <w:t>0577-8886</w:t>
      </w:r>
      <w:r>
        <w:rPr>
          <w:rFonts w:hint="default" w:cs="宋体"/>
          <w:color w:val="auto"/>
          <w:sz w:val="22"/>
          <w:szCs w:val="22"/>
          <w:highlight w:val="none"/>
        </w:rPr>
        <w:t>9963</w:t>
      </w:r>
      <w:r>
        <w:rPr>
          <w:rFonts w:hint="eastAsia" w:cs="宋体"/>
          <w:color w:val="auto"/>
          <w:sz w:val="22"/>
          <w:szCs w:val="22"/>
          <w:highlight w:val="none"/>
        </w:rPr>
        <w:t> </w:t>
      </w:r>
    </w:p>
    <w:p>
      <w:pPr>
        <w:pStyle w:val="58"/>
        <w:spacing w:before="75" w:beforeAutospacing="0" w:after="75" w:afterAutospacing="0" w:line="300" w:lineRule="atLeast"/>
        <w:rPr>
          <w:rFonts w:cs="宋体"/>
          <w:color w:val="auto"/>
          <w:sz w:val="22"/>
          <w:szCs w:val="22"/>
          <w:highlight w:val="none"/>
        </w:rPr>
      </w:pPr>
      <w:r>
        <w:rPr>
          <w:rFonts w:hint="eastAsia" w:cs="宋体"/>
          <w:color w:val="auto"/>
          <w:sz w:val="22"/>
          <w:szCs w:val="22"/>
          <w:highlight w:val="none"/>
        </w:rPr>
        <w:t>   质疑联系人：</w:t>
      </w:r>
      <w:r>
        <w:rPr>
          <w:rFonts w:hint="eastAsia" w:cs="宋体"/>
          <w:color w:val="auto"/>
          <w:sz w:val="22"/>
          <w:szCs w:val="22"/>
          <w:highlight w:val="none"/>
        </w:rPr>
        <w:t>王先生</w:t>
      </w:r>
      <w:r>
        <w:rPr>
          <w:rFonts w:hint="eastAsia" w:cs="宋体"/>
          <w:color w:val="auto"/>
          <w:sz w:val="22"/>
          <w:szCs w:val="22"/>
          <w:highlight w:val="none"/>
        </w:rPr>
        <w:t>    </w:t>
      </w:r>
    </w:p>
    <w:p>
      <w:pPr>
        <w:pStyle w:val="58"/>
        <w:spacing w:before="75" w:beforeAutospacing="0" w:after="75" w:afterAutospacing="0" w:line="300" w:lineRule="atLeast"/>
        <w:rPr>
          <w:rFonts w:cs="宋体"/>
          <w:color w:val="auto"/>
          <w:sz w:val="22"/>
          <w:szCs w:val="22"/>
          <w:highlight w:val="none"/>
        </w:rPr>
      </w:pPr>
      <w:r>
        <w:rPr>
          <w:rFonts w:hint="eastAsia" w:cs="宋体"/>
          <w:color w:val="auto"/>
          <w:sz w:val="22"/>
          <w:szCs w:val="22"/>
          <w:highlight w:val="none"/>
        </w:rPr>
        <w:t>   质疑联系方式：</w:t>
      </w:r>
      <w:r>
        <w:rPr>
          <w:rFonts w:hint="eastAsia" w:cs="宋体"/>
          <w:color w:val="auto"/>
          <w:sz w:val="22"/>
          <w:szCs w:val="22"/>
          <w:highlight w:val="none"/>
        </w:rPr>
        <w:t>0577-8</w:t>
      </w:r>
      <w:r>
        <w:rPr>
          <w:rFonts w:hint="default" w:cs="宋体"/>
          <w:color w:val="auto"/>
          <w:sz w:val="22"/>
          <w:szCs w:val="22"/>
          <w:highlight w:val="none"/>
        </w:rPr>
        <w:t>8609753</w:t>
      </w:r>
      <w:r>
        <w:rPr>
          <w:rFonts w:hint="eastAsia" w:cs="宋体"/>
          <w:color w:val="auto"/>
          <w:sz w:val="22"/>
          <w:szCs w:val="22"/>
          <w:highlight w:val="none"/>
        </w:rPr>
        <w:t> </w:t>
      </w:r>
    </w:p>
    <w:p>
      <w:pPr>
        <w:widowControl/>
        <w:spacing w:before="60" w:after="60" w:line="360" w:lineRule="exact"/>
        <w:ind w:right="60" w:firstLine="44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招标代理机构：温州元信工程项目管理有限公司</w:t>
      </w:r>
    </w:p>
    <w:p>
      <w:pPr>
        <w:widowControl/>
        <w:spacing w:before="60" w:after="60" w:line="360" w:lineRule="exact"/>
        <w:ind w:right="60" w:firstLine="44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地址：温州市瓯海区新桥街道牛山广场3号楼1905室</w:t>
      </w:r>
    </w:p>
    <w:p>
      <w:pPr>
        <w:widowControl/>
        <w:spacing w:before="60" w:after="60" w:line="360" w:lineRule="exact"/>
        <w:ind w:right="60" w:firstLine="44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联系人：吴先生</w:t>
      </w:r>
    </w:p>
    <w:p>
      <w:pPr>
        <w:widowControl/>
        <w:spacing w:before="60" w:after="60" w:line="360" w:lineRule="exact"/>
        <w:ind w:right="60" w:firstLine="44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联系电话：0577-88557963、15158572233</w:t>
      </w:r>
    </w:p>
    <w:p>
      <w:pPr>
        <w:widowControl/>
        <w:spacing w:before="60" w:after="60" w:line="360" w:lineRule="exact"/>
        <w:ind w:right="60" w:firstLine="44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传真：0577-88557963</w:t>
      </w:r>
    </w:p>
    <w:p>
      <w:pPr>
        <w:widowControl/>
        <w:spacing w:before="60" w:after="60" w:line="360" w:lineRule="exact"/>
        <w:ind w:right="60" w:firstLine="44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质疑联系人：胡先生 </w:t>
      </w:r>
    </w:p>
    <w:p>
      <w:pPr>
        <w:widowControl/>
        <w:spacing w:before="60" w:after="60" w:line="360" w:lineRule="exact"/>
        <w:ind w:right="60" w:firstLine="44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同级政府采购监管部门：</w:t>
      </w:r>
      <w:r>
        <w:rPr>
          <w:rFonts w:hint="eastAsia" w:cs="宋体"/>
          <w:color w:val="auto"/>
          <w:sz w:val="22"/>
          <w:szCs w:val="22"/>
          <w:highlight w:val="none"/>
        </w:rPr>
        <w:t>温州市财政局政府采购监管处</w:t>
      </w:r>
    </w:p>
    <w:p>
      <w:pPr>
        <w:widowControl/>
        <w:spacing w:before="60" w:after="60" w:line="360" w:lineRule="exact"/>
        <w:ind w:right="60" w:firstLine="44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地址：</w:t>
      </w:r>
      <w:r>
        <w:rPr>
          <w:rFonts w:hint="eastAsia" w:cs="宋体"/>
          <w:color w:val="auto"/>
          <w:sz w:val="22"/>
          <w:szCs w:val="22"/>
          <w:highlight w:val="none"/>
        </w:rPr>
        <w:t>温州市鹿城区绣山路299号</w:t>
      </w:r>
    </w:p>
    <w:p>
      <w:pPr>
        <w:widowControl/>
        <w:spacing w:before="60" w:after="60" w:line="360" w:lineRule="exact"/>
        <w:ind w:right="60" w:firstLine="44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联系人：</w:t>
      </w:r>
      <w:r>
        <w:rPr>
          <w:rFonts w:hint="eastAsia" w:cs="宋体"/>
          <w:color w:val="auto"/>
          <w:sz w:val="22"/>
          <w:szCs w:val="22"/>
          <w:highlight w:val="none"/>
        </w:rPr>
        <w:t>项先生、蔡女士</w:t>
      </w:r>
    </w:p>
    <w:p>
      <w:pPr>
        <w:widowControl/>
        <w:spacing w:before="60" w:after="60" w:line="360" w:lineRule="exact"/>
        <w:ind w:right="60" w:firstLine="440"/>
        <w:jc w:val="left"/>
        <w:rPr>
          <w:rFonts w:ascii="宋体" w:hAnsi="宋体" w:cs="Arial"/>
          <w:b/>
          <w:bCs/>
          <w:color w:val="auto"/>
          <w:sz w:val="36"/>
          <w:szCs w:val="36"/>
          <w:highlight w:val="none"/>
        </w:rPr>
      </w:pPr>
      <w:r>
        <w:rPr>
          <w:rFonts w:hint="eastAsia" w:ascii="宋体" w:hAnsi="宋体" w:cs="宋体"/>
          <w:color w:val="auto"/>
          <w:kern w:val="0"/>
          <w:sz w:val="22"/>
          <w:szCs w:val="22"/>
          <w:highlight w:val="none"/>
        </w:rPr>
        <w:t>联系电话：</w:t>
      </w:r>
      <w:r>
        <w:rPr>
          <w:rFonts w:hint="eastAsia" w:cs="宋体"/>
          <w:color w:val="auto"/>
          <w:sz w:val="22"/>
          <w:szCs w:val="22"/>
          <w:highlight w:val="none"/>
        </w:rPr>
        <w:t>0577-88532725、88521948</w:t>
      </w:r>
      <w:r>
        <w:rPr>
          <w:rFonts w:hint="eastAsia" w:ascii="宋体" w:hAnsi="宋体" w:cs="Arial"/>
          <w:b/>
          <w:bCs/>
          <w:color w:val="auto"/>
          <w:sz w:val="36"/>
          <w:szCs w:val="36"/>
          <w:highlight w:val="none"/>
        </w:rPr>
        <w:t xml:space="preserve">  </w:t>
      </w:r>
    </w:p>
    <w:p>
      <w:pPr>
        <w:pStyle w:val="76"/>
        <w:rPr>
          <w:rFonts w:ascii="宋体" w:hAnsi="宋体" w:cs="Arial"/>
          <w:b/>
          <w:bCs/>
          <w:color w:val="auto"/>
          <w:sz w:val="36"/>
          <w:szCs w:val="36"/>
          <w:highlight w:val="none"/>
        </w:rPr>
      </w:pPr>
    </w:p>
    <w:p>
      <w:pPr>
        <w:pStyle w:val="76"/>
        <w:rPr>
          <w:rFonts w:ascii="宋体" w:hAnsi="宋体" w:cs="Arial"/>
          <w:b/>
          <w:bCs/>
          <w:color w:val="auto"/>
          <w:sz w:val="36"/>
          <w:szCs w:val="36"/>
          <w:highlight w:val="none"/>
        </w:rPr>
      </w:pPr>
    </w:p>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若对项目采购电子交易系统操作有疑问，可登录政采云（https://www.zcygov.cn/），点击右侧咨询小采，获取采小蜜智能服务管家帮助，或拨打政采云服务热线400-881-7190获取热线服务帮助。</w:t>
      </w:r>
      <w:r>
        <w:rPr>
          <w:rFonts w:ascii="宋体" w:hAnsi="宋体" w:cs="Calibri"/>
          <w:color w:val="auto"/>
          <w:kern w:val="0"/>
          <w:sz w:val="22"/>
          <w:szCs w:val="22"/>
          <w:highlight w:val="none"/>
        </w:rPr>
        <w:t> </w:t>
      </w:r>
      <w:r>
        <w:rPr>
          <w:rFonts w:hint="eastAsia" w:ascii="宋体" w:hAnsi="宋体" w:cs="Arial"/>
          <w:color w:val="auto"/>
          <w:kern w:val="0"/>
          <w:sz w:val="22"/>
          <w:szCs w:val="22"/>
          <w:highlight w:val="none"/>
        </w:rPr>
        <w:t xml:space="preserve"> </w:t>
      </w:r>
      <w:r>
        <w:rPr>
          <w:rFonts w:ascii="宋体" w:hAnsi="宋体" w:cs="Calibri"/>
          <w:color w:val="auto"/>
          <w:kern w:val="0"/>
          <w:sz w:val="22"/>
          <w:szCs w:val="22"/>
          <w:highlight w:val="none"/>
        </w:rPr>
        <w:t> </w:t>
      </w:r>
      <w:r>
        <w:rPr>
          <w:rFonts w:hint="eastAsia" w:ascii="宋体" w:hAnsi="宋体" w:cs="Arial"/>
          <w:color w:val="auto"/>
          <w:kern w:val="0"/>
          <w:sz w:val="22"/>
          <w:szCs w:val="22"/>
          <w:highlight w:val="none"/>
        </w:rPr>
        <w:t xml:space="preserve"> </w:t>
      </w:r>
      <w:r>
        <w:rPr>
          <w:rFonts w:ascii="宋体" w:hAnsi="宋体" w:cs="Calibri"/>
          <w:color w:val="auto"/>
          <w:kern w:val="0"/>
          <w:sz w:val="22"/>
          <w:szCs w:val="22"/>
          <w:highlight w:val="none"/>
        </w:rPr>
        <w:t> </w:t>
      </w:r>
      <w:r>
        <w:rPr>
          <w:rFonts w:hint="eastAsia" w:ascii="宋体" w:hAnsi="宋体" w:cs="Arial"/>
          <w:color w:val="auto"/>
          <w:kern w:val="0"/>
          <w:sz w:val="22"/>
          <w:szCs w:val="22"/>
          <w:highlight w:val="none"/>
        </w:rPr>
        <w:t xml:space="preserve"> </w:t>
      </w:r>
      <w:r>
        <w:rPr>
          <w:rFonts w:ascii="宋体" w:hAnsi="宋体" w:cs="Calibri"/>
          <w:color w:val="auto"/>
          <w:kern w:val="0"/>
          <w:sz w:val="22"/>
          <w:szCs w:val="22"/>
          <w:highlight w:val="none"/>
        </w:rPr>
        <w:t> </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CA问题联系电话（人工）：汇信CA 400-888-4636；天谷CA 400-087-8198。</w:t>
      </w:r>
    </w:p>
    <w:p>
      <w:pPr>
        <w:pStyle w:val="5"/>
        <w:rPr>
          <w:rFonts w:ascii="宋体" w:hAnsi="宋体" w:eastAsia="宋体" w:cs="Arial"/>
          <w:color w:val="auto"/>
          <w:sz w:val="36"/>
          <w:szCs w:val="36"/>
          <w:highlight w:val="none"/>
        </w:rPr>
      </w:pPr>
      <w:r>
        <w:rPr>
          <w:rFonts w:ascii="宋体" w:hAnsi="宋体" w:eastAsia="宋体" w:cs="Arial"/>
          <w:b w:val="0"/>
          <w:bCs w:val="0"/>
          <w:color w:val="auto"/>
          <w:sz w:val="36"/>
          <w:szCs w:val="36"/>
          <w:highlight w:val="none"/>
        </w:rPr>
        <w:br w:type="page"/>
      </w:r>
      <w:bookmarkStart w:id="26" w:name="_Toc241404198"/>
      <w:bookmarkStart w:id="27" w:name="_Toc239145350"/>
      <w:bookmarkStart w:id="28" w:name="_Toc245722277"/>
      <w:bookmarkStart w:id="29" w:name="_Toc27560"/>
      <w:bookmarkStart w:id="30" w:name="_Toc245191310"/>
      <w:bookmarkStart w:id="31" w:name="_Toc222114875"/>
      <w:bookmarkStart w:id="32" w:name="_Toc221423615"/>
      <w:bookmarkStart w:id="33" w:name="_Toc221356882"/>
      <w:bookmarkStart w:id="34" w:name="_Toc262049414"/>
      <w:bookmarkStart w:id="35" w:name="_Toc221356947"/>
      <w:bookmarkStart w:id="36" w:name="_Toc246261261"/>
      <w:bookmarkStart w:id="37" w:name="_Toc249758860"/>
      <w:bookmarkStart w:id="38" w:name="_Toc223715994"/>
      <w:bookmarkStart w:id="39" w:name="_Toc249758708"/>
      <w:bookmarkStart w:id="40" w:name="_Toc262105499"/>
      <w:bookmarkStart w:id="41" w:name="_Toc221374622"/>
      <w:bookmarkStart w:id="42" w:name="_Toc27051"/>
      <w:bookmarkStart w:id="43" w:name="_Toc22767"/>
      <w:r>
        <w:rPr>
          <w:rFonts w:hint="eastAsia" w:ascii="宋体" w:hAnsi="宋体" w:eastAsia="宋体" w:cs="Arial"/>
          <w:color w:val="auto"/>
          <w:sz w:val="36"/>
          <w:szCs w:val="36"/>
          <w:highlight w:val="none"/>
        </w:rPr>
        <w:t>第一部分    投标人须知</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5"/>
        <w:spacing w:before="120" w:after="120"/>
        <w:rPr>
          <w:rFonts w:ascii="宋体" w:hAnsi="宋体" w:eastAsia="宋体"/>
          <w:color w:val="auto"/>
          <w:sz w:val="26"/>
          <w:szCs w:val="26"/>
          <w:highlight w:val="none"/>
        </w:rPr>
      </w:pPr>
    </w:p>
    <w:p>
      <w:pPr>
        <w:pStyle w:val="5"/>
        <w:spacing w:before="120" w:after="120"/>
        <w:rPr>
          <w:rFonts w:ascii="宋体" w:hAnsi="宋体" w:eastAsia="宋体"/>
          <w:color w:val="auto"/>
          <w:sz w:val="26"/>
          <w:szCs w:val="26"/>
          <w:highlight w:val="none"/>
        </w:rPr>
      </w:pPr>
      <w:bookmarkStart w:id="44" w:name="_Toc29983"/>
      <w:r>
        <w:rPr>
          <w:rFonts w:hint="eastAsia" w:ascii="宋体" w:hAnsi="宋体" w:eastAsia="宋体"/>
          <w:color w:val="auto"/>
          <w:sz w:val="26"/>
          <w:szCs w:val="26"/>
          <w:highlight w:val="none"/>
        </w:rPr>
        <w:t>一、须知前附表</w:t>
      </w:r>
      <w:bookmarkEnd w:id="42"/>
      <w:bookmarkEnd w:id="43"/>
      <w:bookmarkEnd w:id="44"/>
    </w:p>
    <w:tbl>
      <w:tblPr>
        <w:tblStyle w:val="63"/>
        <w:tblW w:w="9842" w:type="dxa"/>
        <w:tblInd w:w="0" w:type="dxa"/>
        <w:tblLayout w:type="fixed"/>
        <w:tblCellMar>
          <w:top w:w="0" w:type="dxa"/>
          <w:left w:w="108" w:type="dxa"/>
          <w:bottom w:w="0" w:type="dxa"/>
          <w:right w:w="108" w:type="dxa"/>
        </w:tblCellMar>
      </w:tblPr>
      <w:tblGrid>
        <w:gridCol w:w="1041"/>
        <w:gridCol w:w="1467"/>
        <w:gridCol w:w="7334"/>
      </w:tblGrid>
      <w:tr>
        <w:tblPrEx>
          <w:tblCellMar>
            <w:top w:w="0" w:type="dxa"/>
            <w:left w:w="108" w:type="dxa"/>
            <w:bottom w:w="0" w:type="dxa"/>
            <w:right w:w="108" w:type="dxa"/>
          </w:tblCellMar>
        </w:tblPrEx>
        <w:trPr>
          <w:trHeight w:val="567"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序号</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条款名称</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编列内容</w:t>
            </w:r>
          </w:p>
        </w:tc>
      </w:tr>
      <w:tr>
        <w:tblPrEx>
          <w:tblCellMar>
            <w:top w:w="0" w:type="dxa"/>
            <w:left w:w="108" w:type="dxa"/>
            <w:bottom w:w="0" w:type="dxa"/>
            <w:right w:w="108" w:type="dxa"/>
          </w:tblCellMar>
        </w:tblPrEx>
        <w:trPr>
          <w:trHeight w:val="967"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采购人</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00" w:lineRule="exact"/>
              <w:rPr>
                <w:rFonts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采购人名称：温州市交通运输局</w:t>
            </w:r>
          </w:p>
          <w:p>
            <w:pPr>
              <w:spacing w:line="300" w:lineRule="exact"/>
              <w:rPr>
                <w:rFonts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联系地址：浙江省温州市瓯江路1155号</w:t>
            </w:r>
          </w:p>
          <w:p>
            <w:pPr>
              <w:spacing w:line="300" w:lineRule="exact"/>
              <w:rPr>
                <w:rFonts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 xml:space="preserve">联系人：程先生      </w:t>
            </w:r>
          </w:p>
          <w:p>
            <w:pPr>
              <w:widowControl/>
              <w:spacing w:before="60" w:after="60" w:line="360" w:lineRule="exact"/>
              <w:ind w:right="60"/>
              <w:jc w:val="left"/>
              <w:rPr>
                <w:rFonts w:ascii="宋体" w:hAnsi="宋体" w:cs="宋体"/>
                <w:color w:val="auto"/>
                <w:kern w:val="0"/>
                <w:sz w:val="22"/>
                <w:szCs w:val="22"/>
                <w:highlight w:val="none"/>
              </w:rPr>
            </w:pPr>
            <w:r>
              <w:rPr>
                <w:rFonts w:hint="eastAsia" w:ascii="宋体" w:hAnsi="宋体" w:cs="新宋体"/>
                <w:bCs/>
                <w:color w:val="auto"/>
                <w:kern w:val="0"/>
                <w:sz w:val="22"/>
                <w:szCs w:val="22"/>
                <w:highlight w:val="none"/>
              </w:rPr>
              <w:t>联系电话：0577-</w:t>
            </w:r>
            <w:r>
              <w:rPr>
                <w:rFonts w:hint="eastAsia" w:cs="宋体"/>
                <w:color w:val="auto"/>
                <w:sz w:val="22"/>
                <w:szCs w:val="22"/>
                <w:highlight w:val="none"/>
              </w:rPr>
              <w:t>8886</w:t>
            </w:r>
            <w:r>
              <w:rPr>
                <w:rFonts w:hint="default" w:cs="宋体"/>
                <w:color w:val="auto"/>
                <w:sz w:val="22"/>
                <w:szCs w:val="22"/>
                <w:highlight w:val="none"/>
              </w:rPr>
              <w:t>9963</w:t>
            </w:r>
          </w:p>
        </w:tc>
      </w:tr>
      <w:tr>
        <w:trPr>
          <w:trHeight w:val="980"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采购代理机构</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采购代理机构名称：温州元信工程项目管理有限公司</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地 址：温州市瓯海区新桥街道牛山广场3号楼1905室。</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联系人：吴先生  </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联系电话：0577-88557963、15158572233</w:t>
            </w:r>
          </w:p>
        </w:tc>
      </w:tr>
      <w:tr>
        <w:tblPrEx>
          <w:tblCellMar>
            <w:top w:w="0" w:type="dxa"/>
            <w:left w:w="108" w:type="dxa"/>
            <w:bottom w:w="0" w:type="dxa"/>
            <w:right w:w="108" w:type="dxa"/>
          </w:tblCellMar>
        </w:tblPrEx>
        <w:trPr>
          <w:trHeight w:val="750"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3</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采购名称</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bCs/>
                <w:color w:val="auto"/>
                <w:kern w:val="0"/>
                <w:sz w:val="22"/>
                <w:szCs w:val="22"/>
                <w:highlight w:val="none"/>
                <w:lang w:eastAsia="zh-CN"/>
              </w:rPr>
              <w:t>数字交通综合执法与服务应用项目</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项目编号：</w:t>
            </w:r>
            <w:r>
              <w:rPr>
                <w:rFonts w:hint="eastAsia" w:ascii="宋体" w:hAnsi="宋体" w:cs="宋体"/>
                <w:bCs/>
                <w:color w:val="auto"/>
                <w:kern w:val="0"/>
                <w:sz w:val="22"/>
                <w:szCs w:val="22"/>
                <w:highlight w:val="none"/>
              </w:rPr>
              <w:t>WZYX-H2022052001</w:t>
            </w:r>
          </w:p>
        </w:tc>
      </w:tr>
      <w:tr>
        <w:tblPrEx>
          <w:tblCellMar>
            <w:top w:w="0" w:type="dxa"/>
            <w:left w:w="108" w:type="dxa"/>
            <w:bottom w:w="0" w:type="dxa"/>
            <w:right w:w="108" w:type="dxa"/>
          </w:tblCellMar>
        </w:tblPrEx>
        <w:trPr>
          <w:trHeight w:val="750"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采购内容</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ind w:right="-34"/>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具体内容及要求见</w:t>
            </w:r>
            <w:r>
              <w:rPr>
                <w:rFonts w:hint="eastAsia" w:ascii="宋体" w:hAnsi="宋体" w:cs="宋体"/>
                <w:color w:val="auto"/>
                <w:kern w:val="0"/>
                <w:sz w:val="22"/>
                <w:szCs w:val="22"/>
                <w:highlight w:val="none"/>
              </w:rPr>
              <w:t>招标</w:t>
            </w:r>
            <w:r>
              <w:rPr>
                <w:rFonts w:hint="eastAsia" w:ascii="宋体" w:hAnsi="宋体" w:cs="宋体"/>
                <w:color w:val="auto"/>
                <w:kern w:val="0"/>
                <w:sz w:val="22"/>
                <w:szCs w:val="22"/>
                <w:highlight w:val="none"/>
                <w:lang w:val="zh-CN"/>
              </w:rPr>
              <w:t>文件。</w:t>
            </w:r>
          </w:p>
        </w:tc>
      </w:tr>
      <w:tr>
        <w:tblPrEx>
          <w:tblCellMar>
            <w:top w:w="0" w:type="dxa"/>
            <w:left w:w="108" w:type="dxa"/>
            <w:bottom w:w="0" w:type="dxa"/>
            <w:right w:w="108" w:type="dxa"/>
          </w:tblCellMar>
        </w:tblPrEx>
        <w:trPr>
          <w:trHeight w:val="750"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5</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60" w:lineRule="exact"/>
              <w:rPr>
                <w:rFonts w:ascii="宋体" w:hAnsi="宋体" w:cs="宋体"/>
                <w:color w:val="auto"/>
                <w:kern w:val="0"/>
                <w:sz w:val="22"/>
                <w:szCs w:val="22"/>
                <w:highlight w:val="none"/>
                <w:lang w:val="zh-CN"/>
              </w:rPr>
            </w:pPr>
            <w:r>
              <w:rPr>
                <w:rFonts w:hint="eastAsia" w:ascii="宋体" w:hAnsi="宋体" w:cs="宋体"/>
                <w:b/>
                <w:color w:val="auto"/>
                <w:kern w:val="0"/>
                <w:sz w:val="22"/>
                <w:szCs w:val="22"/>
                <w:highlight w:val="none"/>
              </w:rPr>
              <w:t>核心产品</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w:t>
            </w:r>
          </w:p>
        </w:tc>
      </w:tr>
      <w:tr>
        <w:tblPrEx>
          <w:tblCellMar>
            <w:top w:w="0" w:type="dxa"/>
            <w:left w:w="108" w:type="dxa"/>
            <w:bottom w:w="0" w:type="dxa"/>
            <w:right w:w="108" w:type="dxa"/>
          </w:tblCellMar>
        </w:tblPrEx>
        <w:trPr>
          <w:trHeight w:val="1160"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6</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u w:val="single"/>
                <w:lang w:val="zh-CN"/>
              </w:rPr>
              <w:t>▲</w:t>
            </w:r>
            <w:r>
              <w:rPr>
                <w:rFonts w:hint="eastAsia" w:ascii="宋体" w:hAnsi="宋体" w:cs="宋体"/>
                <w:b/>
                <w:bCs/>
                <w:color w:val="auto"/>
                <w:kern w:val="0"/>
                <w:sz w:val="22"/>
                <w:szCs w:val="22"/>
                <w:highlight w:val="none"/>
                <w:u w:val="single"/>
              </w:rPr>
              <w:t>投标人</w:t>
            </w:r>
            <w:r>
              <w:rPr>
                <w:rFonts w:hint="eastAsia" w:ascii="宋体" w:hAnsi="宋体" w:cs="宋体"/>
                <w:b/>
                <w:bCs/>
                <w:color w:val="auto"/>
                <w:kern w:val="0"/>
                <w:sz w:val="22"/>
                <w:szCs w:val="22"/>
                <w:highlight w:val="none"/>
                <w:u w:val="single"/>
                <w:lang w:val="zh-CN"/>
              </w:rPr>
              <w:t>资质格要求</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before="60" w:after="60" w:line="360" w:lineRule="exact"/>
              <w:ind w:right="6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详见招标公告。</w:t>
            </w:r>
          </w:p>
        </w:tc>
      </w:tr>
      <w:tr>
        <w:tblPrEx>
          <w:tblCellMar>
            <w:top w:w="0" w:type="dxa"/>
            <w:left w:w="108" w:type="dxa"/>
            <w:bottom w:w="0" w:type="dxa"/>
            <w:right w:w="108" w:type="dxa"/>
          </w:tblCellMar>
        </w:tblPrEx>
        <w:trPr>
          <w:trHeight w:val="735"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7</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是否接受联合体投标</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color w:val="auto"/>
                <w:highlight w:val="none"/>
                <w:lang w:val="zh-CN"/>
              </w:rPr>
            </w:pPr>
            <w:r>
              <w:rPr>
                <w:rFonts w:hint="eastAsia"/>
                <w:color w:val="auto"/>
                <w:highlight w:val="none"/>
              </w:rPr>
              <w:sym w:font="Wingdings" w:char="00A8"/>
            </w:r>
            <w:r>
              <w:rPr>
                <w:rFonts w:hint="eastAsia"/>
                <w:color w:val="auto"/>
                <w:highlight w:val="none"/>
                <w:lang w:val="zh-CN"/>
              </w:rPr>
              <w:t>不接受</w:t>
            </w:r>
          </w:p>
          <w:p>
            <w:pPr>
              <w:autoSpaceDE w:val="0"/>
              <w:autoSpaceDN w:val="0"/>
              <w:adjustRightInd w:val="0"/>
              <w:spacing w:line="400" w:lineRule="exact"/>
              <w:rPr>
                <w:rFonts w:ascii="宋体" w:hAnsi="宋体" w:cs="宋体"/>
                <w:color w:val="auto"/>
                <w:kern w:val="0"/>
                <w:sz w:val="22"/>
                <w:szCs w:val="22"/>
                <w:highlight w:val="none"/>
              </w:rPr>
            </w:pPr>
            <w:r>
              <w:rPr>
                <w:rFonts w:hint="eastAsia"/>
                <w:color w:val="auto"/>
                <w:highlight w:val="none"/>
                <w:lang w:val="zh-CN"/>
              </w:rPr>
              <w:sym w:font="Wingdings 2" w:char="0052"/>
            </w:r>
            <w:r>
              <w:rPr>
                <w:rFonts w:hint="eastAsia"/>
                <w:color w:val="auto"/>
                <w:highlight w:val="none"/>
                <w:lang w:val="zh-CN"/>
              </w:rPr>
              <w:t>接受</w:t>
            </w:r>
            <w:r>
              <w:rPr>
                <w:rFonts w:hint="eastAsia" w:ascii="宋体" w:hAnsi="宋体" w:cs="宋体"/>
                <w:color w:val="auto"/>
                <w:kern w:val="0"/>
                <w:sz w:val="22"/>
                <w:szCs w:val="22"/>
                <w:highlight w:val="none"/>
              </w:rPr>
              <w:t>，应满足下列要求：</w:t>
            </w:r>
          </w:p>
          <w:p>
            <w:pPr>
              <w:spacing w:line="3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（1）允许大中型企业与小微企业组成联合体参与投标；</w:t>
            </w:r>
          </w:p>
          <w:p>
            <w:pPr>
              <w:spacing w:line="3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（2）需提供联合体协议书，明确双方各自责任与义务；</w:t>
            </w:r>
          </w:p>
          <w:p>
            <w:pPr>
              <w:pStyle w:val="34"/>
              <w:rPr>
                <w:color w:val="auto"/>
                <w:highlight w:val="none"/>
                <w:lang w:val="zh-CN"/>
              </w:rPr>
            </w:pPr>
            <w:r>
              <w:rPr>
                <w:rFonts w:hint="eastAsia" w:hAnsi="宋体" w:cs="宋体"/>
                <w:color w:val="auto"/>
                <w:sz w:val="22"/>
                <w:szCs w:val="22"/>
                <w:highlight w:val="none"/>
              </w:rPr>
              <w:t>（3）联合体成员不超过两家。</w:t>
            </w:r>
          </w:p>
        </w:tc>
      </w:tr>
      <w:tr>
        <w:tblPrEx>
          <w:tblCellMar>
            <w:top w:w="0" w:type="dxa"/>
            <w:left w:w="108" w:type="dxa"/>
            <w:bottom w:w="0" w:type="dxa"/>
            <w:right w:w="108" w:type="dxa"/>
          </w:tblCellMar>
        </w:tblPrEx>
        <w:trPr>
          <w:trHeight w:val="735"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8</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踏勘现场</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□组织</w:t>
            </w:r>
          </w:p>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lang w:val="zh-CN"/>
              </w:rPr>
              <w:t>不组织</w:t>
            </w:r>
          </w:p>
        </w:tc>
      </w:tr>
      <w:tr>
        <w:trPr>
          <w:trHeight w:val="735"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9</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投标预备会</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□召开</w:t>
            </w:r>
          </w:p>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lang w:val="zh-CN"/>
              </w:rPr>
              <w:t>不召开</w:t>
            </w:r>
          </w:p>
        </w:tc>
      </w:tr>
      <w:tr>
        <w:tblPrEx>
          <w:tblCellMar>
            <w:top w:w="0" w:type="dxa"/>
            <w:left w:w="108" w:type="dxa"/>
            <w:bottom w:w="0" w:type="dxa"/>
            <w:right w:w="108" w:type="dxa"/>
          </w:tblCellMar>
        </w:tblPrEx>
        <w:trPr>
          <w:trHeight w:val="735"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10</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截止时间</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见招标公告</w:t>
            </w:r>
          </w:p>
        </w:tc>
      </w:tr>
      <w:tr>
        <w:tblPrEx>
          <w:tblCellMar>
            <w:top w:w="0" w:type="dxa"/>
            <w:left w:w="108" w:type="dxa"/>
            <w:bottom w:w="0" w:type="dxa"/>
            <w:right w:w="108" w:type="dxa"/>
          </w:tblCellMar>
        </w:tblPrEx>
        <w:trPr>
          <w:trHeight w:val="735"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11</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分包</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color w:val="auto"/>
                <w:highlight w:val="none"/>
                <w:lang w:val="zh-CN"/>
              </w:rPr>
            </w:pPr>
            <w:r>
              <w:rPr>
                <w:rFonts w:hint="eastAsia"/>
                <w:color w:val="auto"/>
                <w:highlight w:val="none"/>
              </w:rPr>
              <w:sym w:font="Wingdings" w:char="00A8"/>
            </w:r>
            <w:r>
              <w:rPr>
                <w:rFonts w:hint="eastAsia"/>
                <w:color w:val="auto"/>
                <w:highlight w:val="none"/>
                <w:lang w:val="zh-CN"/>
              </w:rPr>
              <w:t>不允许</w:t>
            </w:r>
          </w:p>
          <w:p>
            <w:pPr>
              <w:autoSpaceDE w:val="0"/>
              <w:autoSpaceDN w:val="0"/>
              <w:adjustRightInd w:val="0"/>
              <w:spacing w:line="400" w:lineRule="exact"/>
              <w:rPr>
                <w:color w:val="auto"/>
                <w:highlight w:val="none"/>
                <w:lang w:val="zh-CN"/>
              </w:rPr>
            </w:pPr>
            <w:r>
              <w:rPr>
                <w:rFonts w:hint="eastAsia"/>
                <w:color w:val="auto"/>
                <w:highlight w:val="none"/>
                <w:lang w:val="zh-CN"/>
              </w:rPr>
              <w:sym w:font="Wingdings 2" w:char="0052"/>
            </w:r>
            <w:r>
              <w:rPr>
                <w:rFonts w:hint="eastAsia"/>
                <w:color w:val="auto"/>
                <w:highlight w:val="none"/>
                <w:lang w:val="zh-CN"/>
              </w:rPr>
              <w:t>允许</w:t>
            </w:r>
            <w:r>
              <w:rPr>
                <w:rFonts w:hint="eastAsia"/>
                <w:color w:val="auto"/>
                <w:highlight w:val="none"/>
              </w:rPr>
              <w:t xml:space="preserve">  </w:t>
            </w:r>
            <w:r>
              <w:rPr>
                <w:rFonts w:hint="eastAsia" w:ascii="宋体" w:hAnsi="宋体" w:cs="宋体"/>
                <w:color w:val="auto"/>
                <w:kern w:val="0"/>
                <w:sz w:val="22"/>
                <w:szCs w:val="22"/>
                <w:highlight w:val="none"/>
              </w:rPr>
              <w:t>允许大中型企业向小微企业合理分包，若分包需在投标文件内提供分包意向书，明确分包内容及金额比例。</w:t>
            </w:r>
          </w:p>
        </w:tc>
      </w:tr>
      <w:tr>
        <w:tblPrEx>
          <w:tblCellMar>
            <w:top w:w="0" w:type="dxa"/>
            <w:left w:w="108" w:type="dxa"/>
            <w:bottom w:w="0" w:type="dxa"/>
            <w:right w:w="108" w:type="dxa"/>
          </w:tblCellMar>
        </w:tblPrEx>
        <w:trPr>
          <w:trHeight w:val="1080"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12</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偏离</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strike/>
                <w:color w:val="auto"/>
                <w:kern w:val="0"/>
                <w:sz w:val="22"/>
                <w:szCs w:val="22"/>
                <w:highlight w:val="none"/>
                <w:lang w:val="zh-CN"/>
              </w:rPr>
            </w:pPr>
            <w:r>
              <w:rPr>
                <w:rFonts w:hint="eastAsia" w:ascii="宋体" w:hAnsi="宋体" w:cs="宋体"/>
                <w:color w:val="auto"/>
                <w:kern w:val="0"/>
                <w:sz w:val="22"/>
                <w:szCs w:val="22"/>
                <w:highlight w:val="none"/>
                <w:lang w:val="zh-CN"/>
              </w:rPr>
              <w:t>偏差允许幅度及其处理方法：允许细微偏差，不允许重大偏差。由评标委员会判断，细微偏差要求投标人在评标结束前予以澄清、说明或补正，不接受要求进行的，</w:t>
            </w:r>
            <w:r>
              <w:rPr>
                <w:rFonts w:hint="eastAsia" w:ascii="宋体" w:hAnsi="宋体" w:cs="宋体"/>
                <w:color w:val="auto"/>
                <w:kern w:val="0"/>
                <w:sz w:val="22"/>
                <w:szCs w:val="22"/>
                <w:highlight w:val="none"/>
              </w:rPr>
              <w:t>评标委员会</w:t>
            </w:r>
            <w:r>
              <w:rPr>
                <w:rFonts w:hint="eastAsia" w:ascii="宋体" w:hAnsi="宋体" w:cs="宋体"/>
                <w:color w:val="auto"/>
                <w:kern w:val="0"/>
                <w:sz w:val="22"/>
                <w:szCs w:val="22"/>
                <w:highlight w:val="none"/>
                <w:lang w:val="zh-CN"/>
              </w:rPr>
              <w:t>有权做无效标处理，详见评标办法。</w:t>
            </w:r>
          </w:p>
        </w:tc>
      </w:tr>
      <w:tr>
        <w:tblPrEx>
          <w:tblCellMar>
            <w:top w:w="0" w:type="dxa"/>
            <w:left w:w="108" w:type="dxa"/>
            <w:bottom w:w="0" w:type="dxa"/>
            <w:right w:w="108" w:type="dxa"/>
          </w:tblCellMar>
        </w:tblPrEx>
        <w:trPr>
          <w:trHeight w:val="685"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13</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投标有效期</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自投标</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截止时间起生效，有效期90天。</w:t>
            </w:r>
          </w:p>
        </w:tc>
      </w:tr>
      <w:tr>
        <w:tblPrEx>
          <w:tblCellMar>
            <w:top w:w="0" w:type="dxa"/>
            <w:left w:w="108" w:type="dxa"/>
            <w:bottom w:w="0" w:type="dxa"/>
            <w:right w:w="108" w:type="dxa"/>
          </w:tblCellMar>
        </w:tblPrEx>
        <w:trPr>
          <w:trHeight w:val="846"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14</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投标保证金</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b/>
                <w:bCs/>
                <w:color w:val="auto"/>
                <w:sz w:val="22"/>
                <w:szCs w:val="22"/>
                <w:highlight w:val="none"/>
              </w:rPr>
            </w:pPr>
            <w:r>
              <w:rPr>
                <w:rFonts w:hint="eastAsia" w:ascii="宋体" w:hAnsi="宋体" w:cs="宋体"/>
                <w:color w:val="auto"/>
                <w:sz w:val="22"/>
                <w:szCs w:val="22"/>
                <w:highlight w:val="none"/>
              </w:rPr>
              <w:t>无需提交</w:t>
            </w:r>
          </w:p>
        </w:tc>
      </w:tr>
      <w:tr>
        <w:trPr>
          <w:trHeight w:val="795"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15</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响应文件</w:t>
            </w:r>
            <w:r>
              <w:rPr>
                <w:rFonts w:hint="eastAsia" w:ascii="宋体" w:hAnsi="宋体" w:cs="宋体"/>
                <w:color w:val="auto"/>
                <w:kern w:val="0"/>
                <w:sz w:val="22"/>
                <w:szCs w:val="22"/>
                <w:highlight w:val="none"/>
                <w:lang w:val="zh-CN"/>
              </w:rPr>
              <w:t>的组成</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由“资格响应文件”、“</w:t>
            </w:r>
            <w:r>
              <w:rPr>
                <w:rFonts w:hint="eastAsia" w:ascii="宋体" w:hAnsi="宋体" w:cs="宋体"/>
                <w:color w:val="auto"/>
                <w:kern w:val="0"/>
                <w:sz w:val="22"/>
                <w:szCs w:val="22"/>
                <w:highlight w:val="none"/>
              </w:rPr>
              <w:t>商务技术响应文件</w:t>
            </w:r>
            <w:r>
              <w:rPr>
                <w:rFonts w:hint="eastAsia" w:ascii="宋体" w:hAnsi="宋体" w:cs="宋体"/>
                <w:color w:val="auto"/>
                <w:kern w:val="0"/>
                <w:sz w:val="22"/>
                <w:szCs w:val="22"/>
                <w:highlight w:val="none"/>
                <w:lang w:val="zh-CN"/>
              </w:rPr>
              <w:t>”和“报价响应文件”三个部分组成。</w:t>
            </w:r>
          </w:p>
        </w:tc>
      </w:tr>
      <w:tr>
        <w:tblPrEx>
          <w:tblCellMar>
            <w:top w:w="0" w:type="dxa"/>
            <w:left w:w="108" w:type="dxa"/>
            <w:bottom w:w="0" w:type="dxa"/>
            <w:right w:w="108" w:type="dxa"/>
          </w:tblCellMar>
        </w:tblPrEx>
        <w:trPr>
          <w:trHeight w:val="795"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16</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响应文件</w:t>
            </w:r>
            <w:r>
              <w:rPr>
                <w:rFonts w:hint="eastAsia" w:ascii="宋体" w:hAnsi="宋体" w:cs="宋体"/>
                <w:color w:val="auto"/>
                <w:kern w:val="0"/>
                <w:sz w:val="22"/>
                <w:szCs w:val="22"/>
                <w:highlight w:val="none"/>
                <w:lang w:val="zh-CN"/>
              </w:rPr>
              <w:t>的编制</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投标人应先安装“政采云</w:t>
            </w:r>
            <w:r>
              <w:rPr>
                <w:rFonts w:hint="eastAsia" w:ascii="宋体" w:hAnsi="宋体" w:cs="宋体"/>
                <w:color w:val="auto"/>
                <w:kern w:val="0"/>
                <w:sz w:val="22"/>
                <w:szCs w:val="22"/>
                <w:highlight w:val="none"/>
              </w:rPr>
              <w:t>投标</w:t>
            </w:r>
            <w:r>
              <w:rPr>
                <w:rFonts w:hint="eastAsia" w:ascii="宋体" w:hAnsi="宋体" w:cs="宋体"/>
                <w:color w:val="auto"/>
                <w:kern w:val="0"/>
                <w:sz w:val="22"/>
                <w:szCs w:val="22"/>
                <w:highlight w:val="none"/>
                <w:lang w:val="zh-CN"/>
              </w:rPr>
              <w:t>客户端”，并按照本</w:t>
            </w:r>
            <w:r>
              <w:rPr>
                <w:rFonts w:hint="eastAsia" w:ascii="宋体" w:hAnsi="宋体" w:cs="宋体"/>
                <w:color w:val="auto"/>
                <w:kern w:val="0"/>
                <w:sz w:val="22"/>
                <w:szCs w:val="22"/>
                <w:highlight w:val="none"/>
              </w:rPr>
              <w:t>招标文件</w:t>
            </w:r>
            <w:r>
              <w:rPr>
                <w:rFonts w:hint="eastAsia" w:ascii="宋体" w:hAnsi="宋体" w:cs="宋体"/>
                <w:color w:val="auto"/>
                <w:kern w:val="0"/>
                <w:sz w:val="22"/>
                <w:szCs w:val="22"/>
                <w:highlight w:val="none"/>
                <w:lang w:val="zh-CN"/>
              </w:rPr>
              <w:t>和“《政府采购项目电子交易管理操作指南-投标人》”的要求，编制并加密</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文件。</w:t>
            </w:r>
          </w:p>
        </w:tc>
      </w:tr>
      <w:tr>
        <w:tblPrEx>
          <w:tblCellMar>
            <w:top w:w="0" w:type="dxa"/>
            <w:left w:w="108" w:type="dxa"/>
            <w:bottom w:w="0" w:type="dxa"/>
            <w:right w:w="108" w:type="dxa"/>
          </w:tblCellMar>
        </w:tblPrEx>
        <w:trPr>
          <w:trHeight w:val="795"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17</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签字或盖章要求</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1.</w:t>
            </w:r>
            <w:r>
              <w:rPr>
                <w:rFonts w:hint="eastAsia" w:ascii="宋体" w:hAnsi="宋体" w:cs="宋体"/>
                <w:color w:val="auto"/>
                <w:kern w:val="0"/>
                <w:sz w:val="22"/>
                <w:szCs w:val="22"/>
                <w:highlight w:val="none"/>
                <w:lang w:val="zh-CN"/>
              </w:rPr>
              <w:t>单位公章：电子投标响应文件中所须加盖公章部分均采用CA电子签章，</w:t>
            </w:r>
            <w:r>
              <w:rPr>
                <w:rFonts w:hint="eastAsia" w:ascii="宋体" w:hAnsi="宋体" w:cs="宋体"/>
                <w:color w:val="auto"/>
                <w:kern w:val="0"/>
                <w:sz w:val="22"/>
                <w:szCs w:val="22"/>
                <w:highlight w:val="none"/>
              </w:rPr>
              <w:t>如</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以联合体形式参与投标的，由联合体牵头人进行</w:t>
            </w:r>
            <w:r>
              <w:rPr>
                <w:rFonts w:hint="eastAsia" w:ascii="宋体" w:hAnsi="宋体" w:cs="宋体"/>
                <w:color w:val="auto"/>
                <w:kern w:val="0"/>
                <w:sz w:val="22"/>
                <w:szCs w:val="22"/>
                <w:highlight w:val="none"/>
                <w:lang w:val="zh-CN"/>
              </w:rPr>
              <w:t>CA</w:t>
            </w:r>
            <w:r>
              <w:rPr>
                <w:rFonts w:hint="eastAsia" w:ascii="宋体" w:hAnsi="宋体" w:cs="宋体"/>
                <w:color w:val="auto"/>
                <w:kern w:val="0"/>
                <w:sz w:val="22"/>
                <w:szCs w:val="22"/>
                <w:highlight w:val="none"/>
              </w:rPr>
              <w:t>电子签章</w:t>
            </w:r>
            <w:r>
              <w:rPr>
                <w:rFonts w:hint="eastAsia" w:ascii="宋体" w:hAnsi="宋体" w:cs="宋体"/>
                <w:color w:val="auto"/>
                <w:kern w:val="0"/>
                <w:sz w:val="22"/>
                <w:szCs w:val="22"/>
                <w:highlight w:val="none"/>
                <w:lang w:val="zh-CN"/>
              </w:rPr>
              <w:t>；</w:t>
            </w:r>
          </w:p>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w:t>
            </w:r>
            <w:r>
              <w:rPr>
                <w:rFonts w:hint="eastAsia" w:ascii="宋体" w:hAnsi="宋体" w:cs="宋体"/>
                <w:color w:val="auto"/>
                <w:kern w:val="0"/>
                <w:sz w:val="22"/>
                <w:szCs w:val="22"/>
                <w:highlight w:val="none"/>
                <w:lang w:val="zh-CN"/>
              </w:rPr>
              <w:t>法定代表人</w:t>
            </w:r>
            <w:r>
              <w:rPr>
                <w:rFonts w:hint="eastAsia" w:ascii="宋体" w:hAnsi="宋体" w:cs="宋体"/>
                <w:color w:val="auto"/>
                <w:kern w:val="0"/>
                <w:sz w:val="22"/>
                <w:szCs w:val="22"/>
                <w:highlight w:val="none"/>
              </w:rPr>
              <w:t>签署的规定：</w:t>
            </w:r>
          </w:p>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如</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已办理法人CA电子签章的，则法定代表人签署的地方可用CA电子签章进行签署；</w:t>
            </w:r>
          </w:p>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如</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未办理法人CA电子签章的</w:t>
            </w:r>
            <w:r>
              <w:rPr>
                <w:rFonts w:hint="eastAsia" w:ascii="宋体" w:hAnsi="宋体" w:cs="宋体"/>
                <w:color w:val="auto"/>
                <w:kern w:val="0"/>
                <w:sz w:val="22"/>
                <w:szCs w:val="22"/>
                <w:highlight w:val="none"/>
                <w:lang w:val="zh-CN"/>
              </w:rPr>
              <w:t>，</w:t>
            </w:r>
            <w:r>
              <w:rPr>
                <w:rFonts w:hint="eastAsia" w:ascii="宋体" w:hAnsi="宋体" w:cs="宋体"/>
                <w:color w:val="auto"/>
                <w:kern w:val="0"/>
                <w:sz w:val="22"/>
                <w:szCs w:val="22"/>
                <w:highlight w:val="none"/>
              </w:rPr>
              <w:t>投标响应文件</w:t>
            </w:r>
            <w:r>
              <w:rPr>
                <w:rFonts w:hint="eastAsia" w:ascii="宋体" w:hAnsi="宋体" w:cs="宋体"/>
                <w:color w:val="auto"/>
                <w:kern w:val="0"/>
                <w:sz w:val="22"/>
                <w:szCs w:val="22"/>
                <w:highlight w:val="none"/>
                <w:lang w:val="zh-CN"/>
              </w:rPr>
              <w:t>中要求投标人法定代表人</w:t>
            </w:r>
            <w:r>
              <w:rPr>
                <w:rFonts w:hint="eastAsia" w:ascii="宋体" w:hAnsi="宋体" w:cs="宋体"/>
                <w:color w:val="auto"/>
                <w:kern w:val="0"/>
                <w:sz w:val="22"/>
                <w:szCs w:val="22"/>
                <w:highlight w:val="none"/>
              </w:rPr>
              <w:t>签署</w:t>
            </w:r>
            <w:r>
              <w:rPr>
                <w:rFonts w:hint="eastAsia" w:ascii="宋体" w:hAnsi="宋体" w:cs="宋体"/>
                <w:color w:val="auto"/>
                <w:kern w:val="0"/>
                <w:sz w:val="22"/>
                <w:szCs w:val="22"/>
                <w:highlight w:val="none"/>
                <w:lang w:val="zh-CN"/>
              </w:rPr>
              <w:t>的地方，须投标人制作成word版本先打印出来，由法定代表人</w:t>
            </w:r>
            <w:r>
              <w:rPr>
                <w:rFonts w:hint="eastAsia" w:ascii="宋体" w:hAnsi="宋体" w:cs="宋体"/>
                <w:color w:val="auto"/>
                <w:kern w:val="0"/>
                <w:sz w:val="22"/>
                <w:szCs w:val="22"/>
                <w:highlight w:val="none"/>
              </w:rPr>
              <w:t>签署</w:t>
            </w:r>
            <w:r>
              <w:rPr>
                <w:rFonts w:hint="eastAsia" w:ascii="宋体" w:hAnsi="宋体" w:cs="宋体"/>
                <w:color w:val="auto"/>
                <w:kern w:val="0"/>
                <w:sz w:val="22"/>
                <w:szCs w:val="22"/>
                <w:highlight w:val="none"/>
                <w:lang w:val="zh-CN"/>
              </w:rPr>
              <w:t>后再上传PDF.</w:t>
            </w:r>
          </w:p>
          <w:p>
            <w:pPr>
              <w:autoSpaceDE w:val="0"/>
              <w:autoSpaceDN w:val="0"/>
              <w:adjustRightInd w:val="0"/>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r>
              <w:rPr>
                <w:rFonts w:hint="eastAsia" w:ascii="宋体" w:hAnsi="宋体" w:cs="宋体"/>
                <w:color w:val="auto"/>
                <w:kern w:val="0"/>
                <w:sz w:val="22"/>
                <w:szCs w:val="22"/>
                <w:highlight w:val="none"/>
                <w:lang w:val="zh-CN"/>
              </w:rPr>
              <w:t>授权代表</w:t>
            </w:r>
            <w:r>
              <w:rPr>
                <w:rFonts w:hint="eastAsia" w:ascii="宋体" w:hAnsi="宋体" w:cs="宋体"/>
                <w:color w:val="auto"/>
                <w:kern w:val="0"/>
                <w:sz w:val="22"/>
                <w:szCs w:val="22"/>
                <w:highlight w:val="none"/>
              </w:rPr>
              <w:t>签署的规定：投标响应文件</w:t>
            </w:r>
            <w:r>
              <w:rPr>
                <w:rFonts w:hint="eastAsia" w:ascii="宋体" w:hAnsi="宋体" w:cs="宋体"/>
                <w:color w:val="auto"/>
                <w:kern w:val="0"/>
                <w:sz w:val="22"/>
                <w:szCs w:val="22"/>
                <w:highlight w:val="none"/>
                <w:lang w:val="zh-CN"/>
              </w:rPr>
              <w:t>中要求投标人授权代表</w:t>
            </w:r>
            <w:r>
              <w:rPr>
                <w:rFonts w:hint="eastAsia" w:ascii="宋体" w:hAnsi="宋体" w:cs="宋体"/>
                <w:color w:val="auto"/>
                <w:kern w:val="0"/>
                <w:sz w:val="22"/>
                <w:szCs w:val="22"/>
                <w:highlight w:val="none"/>
              </w:rPr>
              <w:t>签署</w:t>
            </w:r>
            <w:r>
              <w:rPr>
                <w:rFonts w:hint="eastAsia" w:ascii="宋体" w:hAnsi="宋体" w:cs="宋体"/>
                <w:color w:val="auto"/>
                <w:kern w:val="0"/>
                <w:sz w:val="22"/>
                <w:szCs w:val="22"/>
                <w:highlight w:val="none"/>
                <w:lang w:val="zh-CN"/>
              </w:rPr>
              <w:t>的地方，须投标人制作成word版本先打印出来，由授权代表</w:t>
            </w:r>
            <w:r>
              <w:rPr>
                <w:rFonts w:hint="eastAsia" w:ascii="宋体" w:hAnsi="宋体" w:cs="宋体"/>
                <w:color w:val="auto"/>
                <w:kern w:val="0"/>
                <w:sz w:val="22"/>
                <w:szCs w:val="22"/>
                <w:highlight w:val="none"/>
              </w:rPr>
              <w:t>签署</w:t>
            </w:r>
            <w:r>
              <w:rPr>
                <w:rFonts w:hint="eastAsia" w:ascii="宋体" w:hAnsi="宋体" w:cs="宋体"/>
                <w:color w:val="auto"/>
                <w:kern w:val="0"/>
                <w:sz w:val="22"/>
                <w:szCs w:val="22"/>
                <w:highlight w:val="none"/>
                <w:lang w:val="zh-CN"/>
              </w:rPr>
              <w:t>后再上传PDF</w:t>
            </w:r>
            <w:r>
              <w:rPr>
                <w:rFonts w:hint="eastAsia" w:ascii="宋体" w:hAnsi="宋体" w:cs="宋体"/>
                <w:color w:val="auto"/>
                <w:kern w:val="0"/>
                <w:sz w:val="22"/>
                <w:szCs w:val="22"/>
                <w:highlight w:val="none"/>
              </w:rPr>
              <w:t>.</w:t>
            </w:r>
          </w:p>
          <w:p>
            <w:pPr>
              <w:autoSpaceDE w:val="0"/>
              <w:autoSpaceDN w:val="0"/>
              <w:adjustRightInd w:val="0"/>
              <w:spacing w:line="400" w:lineRule="exact"/>
              <w:rPr>
                <w:rFonts w:ascii="宋体" w:hAnsi="宋体" w:cs="宋体"/>
                <w:color w:val="auto"/>
                <w:sz w:val="22"/>
                <w:szCs w:val="22"/>
                <w:highlight w:val="none"/>
              </w:rPr>
            </w:pPr>
            <w:r>
              <w:rPr>
                <w:rFonts w:hint="eastAsia" w:ascii="宋体" w:hAnsi="宋体" w:cs="宋体"/>
                <w:color w:val="auto"/>
                <w:kern w:val="0"/>
                <w:sz w:val="22"/>
                <w:szCs w:val="22"/>
                <w:highlight w:val="none"/>
              </w:rPr>
              <w:t>4.</w:t>
            </w:r>
            <w:r>
              <w:rPr>
                <w:rFonts w:hint="eastAsia" w:ascii="宋体" w:hAnsi="宋体" w:cs="宋体"/>
                <w:color w:val="auto"/>
                <w:kern w:val="0"/>
                <w:sz w:val="22"/>
                <w:szCs w:val="22"/>
                <w:highlight w:val="none"/>
                <w:lang w:val="zh-CN"/>
              </w:rPr>
              <w:t>政采云系统平台有新的操作流程的，按其规定。</w:t>
            </w:r>
          </w:p>
        </w:tc>
      </w:tr>
      <w:tr>
        <w:tblPrEx>
          <w:tblCellMar>
            <w:top w:w="0" w:type="dxa"/>
            <w:left w:w="108" w:type="dxa"/>
            <w:bottom w:w="0" w:type="dxa"/>
            <w:right w:w="108" w:type="dxa"/>
          </w:tblCellMar>
        </w:tblPrEx>
        <w:trPr>
          <w:trHeight w:val="795"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18</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文件的形式（各标</w:t>
            </w:r>
            <w:r>
              <w:rPr>
                <w:rFonts w:hint="eastAsia" w:ascii="宋体" w:hAnsi="宋体" w:cs="宋体"/>
                <w:color w:val="auto"/>
                <w:kern w:val="0"/>
                <w:sz w:val="22"/>
                <w:szCs w:val="22"/>
                <w:highlight w:val="none"/>
              </w:rPr>
              <w:t>项</w:t>
            </w:r>
            <w:r>
              <w:rPr>
                <w:rFonts w:hint="eastAsia" w:ascii="宋体" w:hAnsi="宋体" w:cs="宋体"/>
                <w:color w:val="auto"/>
                <w:kern w:val="0"/>
                <w:sz w:val="22"/>
                <w:szCs w:val="22"/>
                <w:highlight w:val="none"/>
                <w:lang w:val="zh-CN"/>
              </w:rPr>
              <w:t>单独提供</w:t>
            </w:r>
            <w:r>
              <w:rPr>
                <w:rFonts w:hint="eastAsia" w:ascii="宋体" w:hAnsi="宋体" w:cs="新宋体"/>
                <w:color w:val="auto"/>
                <w:kern w:val="0"/>
                <w:sz w:val="22"/>
                <w:szCs w:val="22"/>
                <w:highlight w:val="none"/>
                <w:lang w:val="zh-CN"/>
              </w:rPr>
              <w:t>）</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☑电子响应文件：</w:t>
            </w:r>
          </w:p>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（1）“电子响应文件”是指通过“政采云电子交易客户端”完成投标响应文件编制后生成并加密的数据电文形式的</w:t>
            </w:r>
            <w:r>
              <w:rPr>
                <w:rFonts w:hint="eastAsia" w:ascii="宋体" w:hAnsi="宋体" w:cs="宋体"/>
                <w:color w:val="auto"/>
                <w:kern w:val="0"/>
                <w:sz w:val="22"/>
                <w:szCs w:val="22"/>
                <w:highlight w:val="none"/>
              </w:rPr>
              <w:t>加密标书,加密标书文件后缀格式为.jmbs</w:t>
            </w:r>
            <w:r>
              <w:rPr>
                <w:rFonts w:hint="eastAsia" w:ascii="宋体" w:hAnsi="宋体" w:cs="宋体"/>
                <w:color w:val="auto"/>
                <w:kern w:val="0"/>
                <w:sz w:val="22"/>
                <w:szCs w:val="22"/>
                <w:highlight w:val="none"/>
                <w:lang w:val="zh-CN"/>
              </w:rPr>
              <w:t>。</w:t>
            </w:r>
          </w:p>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（2）“备份响应文件”是指与“</w:t>
            </w:r>
            <w:r>
              <w:rPr>
                <w:rFonts w:hint="eastAsia" w:ascii="宋体" w:hAnsi="宋体" w:cs="宋体"/>
                <w:color w:val="auto"/>
                <w:kern w:val="0"/>
                <w:sz w:val="22"/>
                <w:szCs w:val="22"/>
                <w:highlight w:val="none"/>
              </w:rPr>
              <w:t>加密标书</w:t>
            </w:r>
            <w:r>
              <w:rPr>
                <w:rFonts w:hint="eastAsia" w:ascii="宋体" w:hAnsi="宋体" w:cs="宋体"/>
                <w:color w:val="auto"/>
                <w:kern w:val="0"/>
                <w:sz w:val="22"/>
                <w:szCs w:val="22"/>
                <w:highlight w:val="none"/>
                <w:lang w:val="zh-CN"/>
              </w:rPr>
              <w:t>”同时生成的数据电文形式的电子文件（备份标书），备份标书文件后缀格式为.bfbs</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zh-CN"/>
              </w:rPr>
              <w:t>其他方式编制的备份响应文件视为无效备份响应文件。</w:t>
            </w:r>
          </w:p>
        </w:tc>
      </w:tr>
      <w:tr>
        <w:tblPrEx>
          <w:tblCellMar>
            <w:top w:w="0" w:type="dxa"/>
            <w:left w:w="108" w:type="dxa"/>
            <w:bottom w:w="0" w:type="dxa"/>
            <w:right w:w="108" w:type="dxa"/>
          </w:tblCellMar>
        </w:tblPrEx>
        <w:trPr>
          <w:trHeight w:val="795"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19</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文件份数（各标</w:t>
            </w:r>
            <w:r>
              <w:rPr>
                <w:rFonts w:hint="eastAsia" w:ascii="宋体" w:hAnsi="宋体" w:cs="宋体"/>
                <w:color w:val="auto"/>
                <w:kern w:val="0"/>
                <w:sz w:val="22"/>
                <w:szCs w:val="22"/>
                <w:highlight w:val="none"/>
              </w:rPr>
              <w:t>项</w:t>
            </w:r>
            <w:r>
              <w:rPr>
                <w:rFonts w:hint="eastAsia" w:ascii="宋体" w:hAnsi="宋体" w:cs="宋体"/>
                <w:color w:val="auto"/>
                <w:kern w:val="0"/>
                <w:sz w:val="22"/>
                <w:szCs w:val="22"/>
                <w:highlight w:val="none"/>
                <w:lang w:val="zh-CN"/>
              </w:rPr>
              <w:t>单独提供</w:t>
            </w:r>
            <w:r>
              <w:rPr>
                <w:rFonts w:hint="eastAsia" w:ascii="宋体" w:hAnsi="宋体" w:cs="新宋体"/>
                <w:color w:val="auto"/>
                <w:kern w:val="0"/>
                <w:sz w:val="22"/>
                <w:szCs w:val="22"/>
                <w:highlight w:val="none"/>
                <w:lang w:val="zh-CN"/>
              </w:rPr>
              <w:t>）</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numPr>
                <w:ilvl w:val="0"/>
                <w:numId w:val="4"/>
              </w:num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“电子响应文件”：电子加密标书（后缀格式为.jmbs）；</w:t>
            </w:r>
          </w:p>
          <w:p>
            <w:pPr>
              <w:numPr>
                <w:ilvl w:val="0"/>
                <w:numId w:val="4"/>
              </w:num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“备份响应文件”：备份标书文件（后缀格式为.bfbs）；</w:t>
            </w:r>
          </w:p>
          <w:p>
            <w:pPr>
              <w:numPr>
                <w:ilvl w:val="0"/>
                <w:numId w:val="4"/>
              </w:numPr>
              <w:autoSpaceDE w:val="0"/>
              <w:autoSpaceDN w:val="0"/>
              <w:adjustRightInd w:val="0"/>
              <w:spacing w:line="400" w:lineRule="exact"/>
              <w:rPr>
                <w:rFonts w:ascii="宋体" w:hAnsi="宋体" w:cs="宋体"/>
                <w:color w:val="auto"/>
                <w:sz w:val="22"/>
                <w:szCs w:val="22"/>
                <w:highlight w:val="none"/>
                <w:lang w:val="zh-CN"/>
              </w:rPr>
            </w:pPr>
            <w:r>
              <w:rPr>
                <w:rFonts w:hint="eastAsia" w:ascii="宋体" w:hAnsi="宋体" w:cs="宋体"/>
                <w:color w:val="auto"/>
                <w:kern w:val="0"/>
                <w:sz w:val="22"/>
                <w:szCs w:val="22"/>
                <w:highlight w:val="none"/>
              </w:rPr>
              <w:t>每份电响应文件应包括资格响应文件、商务技术响应文件、报价响应文件三部分内容</w:t>
            </w:r>
          </w:p>
        </w:tc>
      </w:tr>
      <w:tr>
        <w:tblPrEx>
          <w:tblCellMar>
            <w:top w:w="0" w:type="dxa"/>
            <w:left w:w="108" w:type="dxa"/>
            <w:bottom w:w="0" w:type="dxa"/>
            <w:right w:w="108" w:type="dxa"/>
          </w:tblCellMar>
        </w:tblPrEx>
        <w:trPr>
          <w:trHeight w:val="795"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20</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文件的上传和递交（各标</w:t>
            </w:r>
            <w:r>
              <w:rPr>
                <w:rFonts w:hint="eastAsia" w:ascii="宋体" w:hAnsi="宋体" w:cs="宋体"/>
                <w:color w:val="auto"/>
                <w:kern w:val="0"/>
                <w:sz w:val="22"/>
                <w:szCs w:val="22"/>
                <w:highlight w:val="none"/>
              </w:rPr>
              <w:t>项</w:t>
            </w:r>
            <w:r>
              <w:rPr>
                <w:rFonts w:hint="eastAsia" w:ascii="宋体" w:hAnsi="宋体" w:cs="宋体"/>
                <w:color w:val="auto"/>
                <w:kern w:val="0"/>
                <w:sz w:val="22"/>
                <w:szCs w:val="22"/>
                <w:highlight w:val="none"/>
                <w:lang w:val="zh-CN"/>
              </w:rPr>
              <w:t>单独提供</w:t>
            </w:r>
            <w:r>
              <w:rPr>
                <w:rFonts w:hint="eastAsia" w:ascii="宋体" w:hAnsi="宋体" w:cs="新宋体"/>
                <w:color w:val="auto"/>
                <w:kern w:val="0"/>
                <w:sz w:val="22"/>
                <w:szCs w:val="22"/>
                <w:highlight w:val="none"/>
                <w:lang w:val="zh-CN"/>
              </w:rPr>
              <w:t>）</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pStyle w:val="758"/>
              <w:autoSpaceDE w:val="0"/>
              <w:autoSpaceDN w:val="0"/>
              <w:adjustRightInd w:val="0"/>
              <w:spacing w:line="400" w:lineRule="exact"/>
              <w:jc w:val="both"/>
              <w:rPr>
                <w:rFonts w:cs="宋体"/>
                <w:color w:val="auto"/>
                <w:sz w:val="22"/>
                <w:highlight w:val="none"/>
              </w:rPr>
            </w:pPr>
            <w:r>
              <w:rPr>
                <w:rFonts w:hint="eastAsia" w:cs="宋体"/>
                <w:color w:val="auto"/>
                <w:sz w:val="22"/>
                <w:highlight w:val="none"/>
                <w:lang w:val="en-US"/>
              </w:rPr>
              <w:t>1、</w:t>
            </w:r>
            <w:r>
              <w:rPr>
                <w:rFonts w:hint="eastAsia" w:cs="宋体"/>
                <w:color w:val="auto"/>
                <w:sz w:val="22"/>
                <w:highlight w:val="none"/>
              </w:rPr>
              <w:t>“电子响应文件”的上传、递交，</w:t>
            </w:r>
            <w:r>
              <w:rPr>
                <w:rFonts w:hint="eastAsia" w:cs="宋体"/>
                <w:color w:val="auto"/>
                <w:sz w:val="22"/>
                <w:highlight w:val="none"/>
                <w:lang w:val="en-US"/>
              </w:rPr>
              <w:t>具体详见《政府采购项目电子交易管理操作指南-</w:t>
            </w:r>
            <w:r>
              <w:rPr>
                <w:rFonts w:hint="eastAsia" w:cs="宋体"/>
                <w:color w:val="auto"/>
                <w:sz w:val="22"/>
                <w:highlight w:val="none"/>
                <w:lang w:val="en-US" w:eastAsia="zh-CN"/>
              </w:rPr>
              <w:t>投标人</w:t>
            </w:r>
            <w:r>
              <w:rPr>
                <w:rFonts w:hint="eastAsia" w:cs="宋体"/>
                <w:color w:val="auto"/>
                <w:sz w:val="22"/>
                <w:highlight w:val="none"/>
                <w:lang w:val="en-US"/>
              </w:rPr>
              <w:t>》（</w:t>
            </w:r>
            <w:r>
              <w:rPr>
                <w:rFonts w:hint="eastAsia" w:cs="宋体"/>
                <w:color w:val="auto"/>
                <w:sz w:val="22"/>
                <w:highlight w:val="none"/>
                <w:lang w:val="en-US" w:eastAsia="zh-CN"/>
              </w:rPr>
              <w:t>投标人</w:t>
            </w:r>
            <w:r>
              <w:rPr>
                <w:rFonts w:hint="eastAsia" w:cs="宋体"/>
                <w:color w:val="auto"/>
                <w:sz w:val="22"/>
                <w:highlight w:val="none"/>
                <w:lang w:val="en-US"/>
              </w:rPr>
              <w:t>自行去政采云系统上进行下载）</w:t>
            </w:r>
            <w:r>
              <w:rPr>
                <w:rFonts w:hint="eastAsia" w:cs="宋体"/>
                <w:color w:val="auto"/>
                <w:sz w:val="22"/>
                <w:highlight w:val="none"/>
              </w:rPr>
              <w:t>：</w:t>
            </w:r>
          </w:p>
          <w:p>
            <w:pPr>
              <w:pStyle w:val="758"/>
              <w:autoSpaceDE w:val="0"/>
              <w:autoSpaceDN w:val="0"/>
              <w:adjustRightInd w:val="0"/>
              <w:spacing w:line="400" w:lineRule="exact"/>
              <w:jc w:val="both"/>
              <w:rPr>
                <w:rFonts w:cs="宋体"/>
                <w:color w:val="auto"/>
                <w:sz w:val="22"/>
                <w:highlight w:val="none"/>
              </w:rPr>
            </w:pPr>
            <w:r>
              <w:rPr>
                <w:rFonts w:hint="eastAsia" w:cs="宋体"/>
                <w:color w:val="auto"/>
                <w:sz w:val="22"/>
                <w:highlight w:val="none"/>
              </w:rPr>
              <w:t>（</w:t>
            </w:r>
            <w:r>
              <w:rPr>
                <w:rFonts w:hint="eastAsia" w:cs="宋体"/>
                <w:color w:val="auto"/>
                <w:sz w:val="22"/>
                <w:highlight w:val="none"/>
                <w:lang w:val="en-US"/>
              </w:rPr>
              <w:t>1）电子响应</w:t>
            </w:r>
            <w:r>
              <w:rPr>
                <w:rFonts w:hint="eastAsia" w:cs="宋体"/>
                <w:color w:val="auto"/>
                <w:sz w:val="22"/>
                <w:highlight w:val="none"/>
              </w:rPr>
              <w:t>文件制作完成并生成加密标书，在</w:t>
            </w:r>
            <w:r>
              <w:rPr>
                <w:rFonts w:hint="eastAsia" w:cs="宋体"/>
                <w:color w:val="auto"/>
                <w:sz w:val="22"/>
                <w:highlight w:val="none"/>
                <w:lang w:val="en-US"/>
              </w:rPr>
              <w:t>投标响应截止时间</w:t>
            </w:r>
            <w:r>
              <w:rPr>
                <w:rFonts w:hint="eastAsia" w:cs="宋体"/>
                <w:color w:val="auto"/>
                <w:sz w:val="22"/>
                <w:highlight w:val="none"/>
              </w:rPr>
              <w:t>前，</w:t>
            </w:r>
            <w:r>
              <w:rPr>
                <w:rFonts w:hint="eastAsia" w:cs="宋体"/>
                <w:color w:val="auto"/>
                <w:sz w:val="22"/>
                <w:highlight w:val="none"/>
                <w:lang w:eastAsia="zh-CN"/>
              </w:rPr>
              <w:t>投标人</w:t>
            </w:r>
            <w:r>
              <w:rPr>
                <w:rFonts w:hint="eastAsia" w:cs="宋体"/>
                <w:color w:val="auto"/>
                <w:sz w:val="22"/>
                <w:highlight w:val="none"/>
              </w:rPr>
              <w:t>需将加密的</w:t>
            </w:r>
            <w:r>
              <w:rPr>
                <w:rFonts w:hint="eastAsia" w:cs="宋体"/>
                <w:color w:val="auto"/>
                <w:sz w:val="22"/>
                <w:highlight w:val="none"/>
                <w:lang w:val="en-US"/>
              </w:rPr>
              <w:t>响应</w:t>
            </w:r>
            <w:r>
              <w:rPr>
                <w:rFonts w:hint="eastAsia" w:cs="宋体"/>
                <w:color w:val="auto"/>
                <w:sz w:val="22"/>
                <w:highlight w:val="none"/>
              </w:rPr>
              <w:t>文件上传至政采云平台，</w:t>
            </w:r>
            <w:r>
              <w:rPr>
                <w:rFonts w:hint="eastAsia" w:cs="宋体"/>
                <w:color w:val="auto"/>
                <w:sz w:val="22"/>
                <w:highlight w:val="none"/>
                <w:lang w:val="en-US"/>
              </w:rPr>
              <w:t>接到解密通知</w:t>
            </w:r>
            <w:r>
              <w:rPr>
                <w:rFonts w:hint="eastAsia" w:cs="宋体"/>
                <w:color w:val="auto"/>
                <w:sz w:val="22"/>
                <w:highlight w:val="none"/>
              </w:rPr>
              <w:t>后，解密投标响应文件。</w:t>
            </w:r>
          </w:p>
          <w:p>
            <w:pPr>
              <w:pStyle w:val="758"/>
              <w:autoSpaceDE w:val="0"/>
              <w:autoSpaceDN w:val="0"/>
              <w:adjustRightInd w:val="0"/>
              <w:spacing w:line="400" w:lineRule="exact"/>
              <w:jc w:val="both"/>
              <w:rPr>
                <w:rFonts w:cs="宋体"/>
                <w:color w:val="auto"/>
                <w:sz w:val="22"/>
                <w:highlight w:val="none"/>
              </w:rPr>
            </w:pPr>
            <w:r>
              <w:rPr>
                <w:rFonts w:hint="eastAsia" w:cs="宋体"/>
                <w:color w:val="auto"/>
                <w:sz w:val="22"/>
                <w:highlight w:val="none"/>
                <w:lang w:val="en-US"/>
              </w:rPr>
              <w:t>（2</w:t>
            </w:r>
            <w:r>
              <w:rPr>
                <w:rFonts w:hint="eastAsia" w:cs="宋体"/>
                <w:color w:val="auto"/>
                <w:sz w:val="22"/>
                <w:highlight w:val="none"/>
              </w:rPr>
              <w:t>）</w:t>
            </w:r>
            <w:r>
              <w:rPr>
                <w:rFonts w:hint="eastAsia" w:cs="宋体"/>
                <w:color w:val="auto"/>
                <w:sz w:val="22"/>
                <w:highlight w:val="none"/>
                <w:lang w:val="en-US"/>
              </w:rPr>
              <w:t>电子响应</w:t>
            </w:r>
            <w:r>
              <w:rPr>
                <w:rFonts w:hint="eastAsia" w:cs="宋体"/>
                <w:color w:val="auto"/>
                <w:sz w:val="22"/>
                <w:highlight w:val="none"/>
              </w:rPr>
              <w:t>文件上传成功后，在“投标响应文件上传-进行中”标签页下，显示状态为“已上传”。可在此处下载打印投标回执；在投标</w:t>
            </w:r>
            <w:r>
              <w:rPr>
                <w:rFonts w:hint="eastAsia" w:cs="宋体"/>
                <w:color w:val="auto"/>
                <w:sz w:val="22"/>
                <w:highlight w:val="none"/>
                <w:lang w:val="en-US"/>
              </w:rPr>
              <w:t>响应</w:t>
            </w:r>
            <w:r>
              <w:rPr>
                <w:rFonts w:hint="eastAsia" w:cs="宋体"/>
                <w:color w:val="auto"/>
                <w:sz w:val="22"/>
                <w:highlight w:val="none"/>
              </w:rPr>
              <w:t>截止时间前，</w:t>
            </w:r>
            <w:r>
              <w:rPr>
                <w:rFonts w:hint="eastAsia" w:cs="宋体"/>
                <w:color w:val="auto"/>
                <w:sz w:val="22"/>
                <w:highlight w:val="none"/>
                <w:lang w:eastAsia="zh-CN"/>
              </w:rPr>
              <w:t>投标人</w:t>
            </w:r>
            <w:r>
              <w:rPr>
                <w:rFonts w:hint="eastAsia" w:cs="宋体"/>
                <w:color w:val="auto"/>
                <w:sz w:val="22"/>
                <w:highlight w:val="none"/>
              </w:rPr>
              <w:t>可撤回投标响应文件，修改内容。</w:t>
            </w:r>
          </w:p>
          <w:p>
            <w:pPr>
              <w:pStyle w:val="758"/>
              <w:autoSpaceDE w:val="0"/>
              <w:autoSpaceDN w:val="0"/>
              <w:adjustRightInd w:val="0"/>
              <w:spacing w:line="400" w:lineRule="exact"/>
              <w:jc w:val="both"/>
              <w:rPr>
                <w:rFonts w:cs="宋体"/>
                <w:color w:val="auto"/>
                <w:sz w:val="22"/>
                <w:highlight w:val="none"/>
              </w:rPr>
            </w:pPr>
            <w:r>
              <w:rPr>
                <w:rFonts w:hint="eastAsia" w:cs="宋体"/>
                <w:color w:val="auto"/>
                <w:sz w:val="22"/>
                <w:highlight w:val="none"/>
                <w:lang w:val="en-US"/>
              </w:rPr>
              <w:t>2、</w:t>
            </w:r>
            <w:r>
              <w:rPr>
                <w:rFonts w:hint="eastAsia" w:cs="宋体"/>
                <w:color w:val="auto"/>
                <w:sz w:val="22"/>
                <w:highlight w:val="none"/>
              </w:rPr>
              <w:t>“备份响应文件”的递交：</w:t>
            </w:r>
          </w:p>
          <w:p>
            <w:pPr>
              <w:pStyle w:val="3"/>
              <w:numPr>
                <w:ilvl w:val="0"/>
                <w:numId w:val="5"/>
              </w:numPr>
              <w:autoSpaceDE w:val="0"/>
              <w:autoSpaceDN w:val="0"/>
              <w:adjustRightInd w:val="0"/>
              <w:spacing w:after="0" w:line="400" w:lineRule="exact"/>
              <w:ind w:firstLine="0" w:firstLineChars="0"/>
              <w:jc w:val="left"/>
              <w:rPr>
                <w:rFonts w:ascii="宋体" w:hAnsi="宋体" w:cs="宋体"/>
                <w:color w:val="auto"/>
                <w:sz w:val="22"/>
                <w:szCs w:val="22"/>
                <w:highlight w:val="none"/>
              </w:rPr>
            </w:pPr>
            <w:r>
              <w:rPr>
                <w:rFonts w:hint="eastAsia" w:ascii="宋体" w:hAnsi="宋体" w:cs="宋体"/>
                <w:color w:val="auto"/>
                <w:sz w:val="22"/>
                <w:szCs w:val="22"/>
                <w:highlight w:val="none"/>
              </w:rPr>
              <w:t>备份响应文件的递交：</w:t>
            </w:r>
            <w:r>
              <w:rPr>
                <w:color w:val="auto"/>
                <w:highlight w:val="none"/>
              </w:rPr>
              <w:fldChar w:fldCharType="begin"/>
            </w:r>
            <w:r>
              <w:rPr>
                <w:color w:val="auto"/>
                <w:highlight w:val="none"/>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color w:val="auto"/>
                <w:highlight w:val="none"/>
              </w:rPr>
              <w:fldChar w:fldCharType="separate"/>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在系统里上传好加密标书后，可以（建议）在投标响应截止时间前将系统生成的备份标书（后缀格式为.bfbs）以电子邮件形式传送至采购代理机构邮箱Yxgc666@126.com，</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传送的备份标书需打包压缩并加密，加密密码由</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自行保管。</w:t>
            </w:r>
          </w:p>
          <w:p>
            <w:pPr>
              <w:pStyle w:val="3"/>
              <w:numPr>
                <w:ilvl w:val="0"/>
                <w:numId w:val="5"/>
              </w:numPr>
              <w:autoSpaceDE w:val="0"/>
              <w:autoSpaceDN w:val="0"/>
              <w:adjustRightInd w:val="0"/>
              <w:spacing w:after="0" w:line="400" w:lineRule="exact"/>
              <w:ind w:firstLine="0" w:firstLineChars="0"/>
              <w:jc w:val="left"/>
              <w:rPr>
                <w:rFonts w:ascii="宋体" w:hAnsi="宋体" w:cs="宋体"/>
                <w:color w:val="auto"/>
                <w:sz w:val="22"/>
                <w:szCs w:val="22"/>
                <w:highlight w:val="none"/>
              </w:rPr>
            </w:pPr>
            <w:r>
              <w:rPr>
                <w:rFonts w:hint="eastAsia" w:ascii="宋体" w:hAnsi="宋体" w:cs="宋体"/>
                <w:color w:val="auto"/>
                <w:sz w:val="22"/>
                <w:szCs w:val="22"/>
                <w:highlight w:val="none"/>
              </w:rPr>
              <w:t>通过“政府采购云平台”上传递交的“电子响应文件”无法按时解密，</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递交了备份响应文件的，以备份响应文件为依据，否则视为响应文件撤回。 通过“政府采购云平台”上传递交的“电子响应文件”已按时解密的，“备份响应文件”自动失效。</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仅递交备份响应文件的，投标无效；</w:t>
            </w:r>
          </w:p>
          <w:p>
            <w:pPr>
              <w:pStyle w:val="3"/>
              <w:numPr>
                <w:ilvl w:val="0"/>
                <w:numId w:val="5"/>
              </w:numPr>
              <w:autoSpaceDE w:val="0"/>
              <w:autoSpaceDN w:val="0"/>
              <w:adjustRightInd w:val="0"/>
              <w:spacing w:after="0" w:line="400" w:lineRule="exact"/>
              <w:ind w:firstLine="0" w:firstLineChars="0"/>
              <w:jc w:val="left"/>
              <w:rPr>
                <w:rFonts w:ascii="宋体" w:hAnsi="宋体" w:cs="宋体"/>
                <w:color w:val="auto"/>
                <w:sz w:val="22"/>
                <w:szCs w:val="22"/>
                <w:highlight w:val="none"/>
                <w:lang w:val="zh-CN"/>
              </w:rPr>
            </w:pP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需保证上传的电子响应文件与提交的备份响应文件必须同时生成且内容完全一致；</w:t>
            </w:r>
          </w:p>
        </w:tc>
      </w:tr>
      <w:tr>
        <w:tblPrEx>
          <w:tblCellMar>
            <w:top w:w="0" w:type="dxa"/>
            <w:left w:w="108" w:type="dxa"/>
            <w:bottom w:w="0" w:type="dxa"/>
            <w:right w:w="108" w:type="dxa"/>
          </w:tblCellMar>
        </w:tblPrEx>
        <w:trPr>
          <w:trHeight w:val="795"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21</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电子响应文件的解密和异常情况处理</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（1）投标</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截止时间后，采购组织机构将向各投标人发出解密通知，各投标人代表应当在接到解密通知后登录政采云平台，对电子响应文件进行在线解密（解密</w:t>
            </w:r>
            <w:r>
              <w:rPr>
                <w:rFonts w:hint="eastAsia" w:ascii="宋体" w:hAnsi="宋体" w:cs="宋体"/>
                <w:color w:val="auto"/>
                <w:kern w:val="0"/>
                <w:sz w:val="22"/>
                <w:szCs w:val="22"/>
                <w:highlight w:val="none"/>
              </w:rPr>
              <w:t>电子响应</w:t>
            </w:r>
            <w:r>
              <w:rPr>
                <w:rFonts w:hint="eastAsia" w:ascii="宋体" w:hAnsi="宋体" w:cs="宋体"/>
                <w:color w:val="auto"/>
                <w:kern w:val="0"/>
                <w:sz w:val="22"/>
                <w:szCs w:val="22"/>
                <w:highlight w:val="none"/>
                <w:lang w:val="zh-CN"/>
              </w:rPr>
              <w:t>文件必须插入CA），在线解密电子响应文件时间为接到解密通知后</w:t>
            </w:r>
            <w:r>
              <w:rPr>
                <w:rFonts w:hint="eastAsia" w:ascii="宋体" w:hAnsi="宋体" w:cs="宋体"/>
                <w:color w:val="auto"/>
                <w:kern w:val="0"/>
                <w:sz w:val="22"/>
                <w:szCs w:val="22"/>
                <w:highlight w:val="none"/>
              </w:rPr>
              <w:t>3</w:t>
            </w:r>
            <w:r>
              <w:rPr>
                <w:rFonts w:hint="eastAsia" w:ascii="宋体" w:hAnsi="宋体" w:cs="宋体"/>
                <w:color w:val="auto"/>
                <w:kern w:val="0"/>
                <w:sz w:val="22"/>
                <w:szCs w:val="22"/>
                <w:highlight w:val="none"/>
                <w:lang w:val="zh-CN"/>
              </w:rPr>
              <w:t>0分钟内。</w:t>
            </w:r>
          </w:p>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异常处理：如政采云上电子响应文件出现解密失败情况，投标人可根据自身意愿确认是否将备份标书压缩包的解密密码传送至采购代理机构邮箱Yxgc666@126.com,采购代理机构收到解密密码后通过【异常处理】的端口对投标人的备份响应文件进行上传（上传成功后，“电子</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文件”自动失效），不能成功上传的视为</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文件撤回）。</w:t>
            </w:r>
          </w:p>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w:t>
            </w:r>
            <w:r>
              <w:rPr>
                <w:rFonts w:hint="eastAsia" w:ascii="宋体" w:hAnsi="宋体" w:cs="宋体"/>
                <w:color w:val="auto"/>
                <w:kern w:val="0"/>
                <w:sz w:val="22"/>
                <w:szCs w:val="22"/>
                <w:highlight w:val="none"/>
              </w:rPr>
              <w:t>3）响应</w:t>
            </w:r>
            <w:r>
              <w:rPr>
                <w:rFonts w:hint="eastAsia" w:ascii="宋体" w:hAnsi="宋体" w:cs="宋体"/>
                <w:color w:val="auto"/>
                <w:kern w:val="0"/>
                <w:sz w:val="22"/>
                <w:szCs w:val="22"/>
                <w:highlight w:val="none"/>
                <w:lang w:val="zh-CN"/>
              </w:rPr>
              <w:t>文件的启用，按先后顺序分别为电子响应文件、以电子邮件形式的备份响应文件，在下一顺位的</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文件启用之后，前一顺位的</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文件自动失效。</w:t>
            </w:r>
          </w:p>
        </w:tc>
      </w:tr>
      <w:tr>
        <w:tblPrEx>
          <w:tblCellMar>
            <w:top w:w="0" w:type="dxa"/>
            <w:left w:w="108" w:type="dxa"/>
            <w:bottom w:w="0" w:type="dxa"/>
            <w:right w:w="108" w:type="dxa"/>
          </w:tblCellMar>
        </w:tblPrEx>
        <w:trPr>
          <w:trHeight w:val="795"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22</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政采云系统默认</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自动放弃的情形</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numPr>
                <w:ilvl w:val="0"/>
                <w:numId w:val="6"/>
              </w:numPr>
              <w:autoSpaceDE w:val="0"/>
              <w:autoSpaceDN w:val="0"/>
              <w:adjustRightInd w:val="0"/>
              <w:spacing w:line="400" w:lineRule="exact"/>
              <w:ind w:firstLine="0"/>
              <w:rPr>
                <w:rFonts w:ascii="宋体" w:hAnsi="宋体" w:cs="宋体"/>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未按规定上传电子响应文件的；</w:t>
            </w:r>
          </w:p>
          <w:p>
            <w:pPr>
              <w:numPr>
                <w:ilvl w:val="0"/>
                <w:numId w:val="6"/>
              </w:numPr>
              <w:autoSpaceDE w:val="0"/>
              <w:autoSpaceDN w:val="0"/>
              <w:adjustRightInd w:val="0"/>
              <w:spacing w:line="400" w:lineRule="exact"/>
              <w:ind w:firstLine="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在解密期限内投标人电子响应文件解密失败，且经异常处理后政采云电子交易系统仍未能解决的。</w:t>
            </w:r>
          </w:p>
        </w:tc>
      </w:tr>
      <w:tr>
        <w:tblPrEx>
          <w:tblCellMar>
            <w:top w:w="0" w:type="dxa"/>
            <w:left w:w="108" w:type="dxa"/>
            <w:bottom w:w="0" w:type="dxa"/>
            <w:right w:w="108" w:type="dxa"/>
          </w:tblCellMar>
        </w:tblPrEx>
        <w:trPr>
          <w:trHeight w:val="795"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开标时间</w:t>
            </w:r>
          </w:p>
          <w:p>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和地点</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详见招标公告</w:t>
            </w:r>
          </w:p>
          <w:p>
            <w:pPr>
              <w:pStyle w:val="2"/>
              <w:spacing w:line="400" w:lineRule="exact"/>
              <w:ind w:firstLine="42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注：本项目为电子招投标，相关的招投标流程（</w:t>
            </w:r>
            <w:r>
              <w:rPr>
                <w:rFonts w:hint="eastAsia" w:ascii="宋体" w:hAnsi="宋体" w:cs="宋体"/>
                <w:color w:val="auto"/>
                <w:sz w:val="22"/>
                <w:szCs w:val="22"/>
                <w:highlight w:val="none"/>
              </w:rPr>
              <w:t>招标</w:t>
            </w:r>
            <w:r>
              <w:rPr>
                <w:rFonts w:hint="eastAsia" w:ascii="宋体" w:hAnsi="宋体" w:cs="宋体"/>
                <w:color w:val="auto"/>
                <w:sz w:val="22"/>
                <w:szCs w:val="22"/>
                <w:highlight w:val="none"/>
                <w:lang w:val="zh-CN"/>
              </w:rPr>
              <w:t>文件下载、电子</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文件上传、</w:t>
            </w:r>
            <w:r>
              <w:rPr>
                <w:rFonts w:hint="eastAsia" w:ascii="宋体" w:hAnsi="宋体" w:cs="宋体"/>
                <w:color w:val="auto"/>
                <w:sz w:val="22"/>
                <w:szCs w:val="22"/>
                <w:highlight w:val="none"/>
              </w:rPr>
              <w:t>评标</w:t>
            </w:r>
            <w:r>
              <w:rPr>
                <w:rFonts w:hint="eastAsia" w:ascii="宋体" w:hAnsi="宋体" w:cs="宋体"/>
                <w:color w:val="auto"/>
                <w:sz w:val="22"/>
                <w:szCs w:val="22"/>
                <w:highlight w:val="none"/>
                <w:lang w:val="zh-CN"/>
              </w:rPr>
              <w:t>等程序）均在浙江政府采购网“政府采购云平台”进行，</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lang w:val="zh-CN"/>
              </w:rPr>
              <w:t>不必前往现场进行</w:t>
            </w:r>
            <w:r>
              <w:rPr>
                <w:rFonts w:hint="eastAsia" w:ascii="宋体" w:hAnsi="宋体" w:cs="宋体"/>
                <w:color w:val="auto"/>
                <w:sz w:val="22"/>
                <w:szCs w:val="22"/>
                <w:highlight w:val="none"/>
              </w:rPr>
              <w:t>投标</w:t>
            </w:r>
            <w:r>
              <w:rPr>
                <w:rFonts w:hint="eastAsia" w:ascii="宋体" w:hAnsi="宋体" w:cs="宋体"/>
                <w:color w:val="auto"/>
                <w:sz w:val="22"/>
                <w:szCs w:val="22"/>
                <w:highlight w:val="none"/>
                <w:lang w:val="zh-CN"/>
              </w:rPr>
              <w:t>活动等事宜</w:t>
            </w:r>
          </w:p>
        </w:tc>
      </w:tr>
      <w:tr>
        <w:tblPrEx>
          <w:tblCellMar>
            <w:top w:w="0" w:type="dxa"/>
            <w:left w:w="108" w:type="dxa"/>
            <w:bottom w:w="0" w:type="dxa"/>
            <w:right w:w="108" w:type="dxa"/>
          </w:tblCellMar>
        </w:tblPrEx>
        <w:trPr>
          <w:trHeight w:val="795"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24</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询标澄清</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pStyle w:val="2"/>
              <w:numPr>
                <w:ilvl w:val="0"/>
                <w:numId w:val="7"/>
              </w:numPr>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在评标过程中，如评审小组对投标人递交的电子响应文件存有疑问要求投标人进行澄清或根据评审需求需要与投标人进行评审的，将采用在政采云系统上向投标人发起询标函的方式进行。投标人须在“规定时间”内登录政采云系统根据标项回复询标函，具体操作流程详见《政府采购项目电子交易管理操作指南-投标人》（投标人自行去政采云系统上进行下载）.</w:t>
            </w:r>
          </w:p>
          <w:p>
            <w:pPr>
              <w:pStyle w:val="2"/>
              <w:numPr>
                <w:ilvl w:val="0"/>
                <w:numId w:val="7"/>
              </w:numPr>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本项目采购过程中，涉及的投标人联系方式（如手机号码、</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文件中预留的邮箱、投标人地址），均以投标人递交的电子</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文件中《法定代表人资格声明书》或《法定代表人授权委托书》上注明的联系方式为准。</w:t>
            </w:r>
          </w:p>
        </w:tc>
      </w:tr>
      <w:tr>
        <w:tblPrEx>
          <w:tblCellMar>
            <w:top w:w="0" w:type="dxa"/>
            <w:left w:w="108" w:type="dxa"/>
            <w:bottom w:w="0" w:type="dxa"/>
            <w:right w:w="108" w:type="dxa"/>
          </w:tblCellMar>
        </w:tblPrEx>
        <w:trPr>
          <w:trHeight w:val="90"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25</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评标委员会</w:t>
            </w:r>
          </w:p>
          <w:p>
            <w:pPr>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的组建</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采购人按照《中华人民共和国政府采购法》等有关法律、法规的规定组建评标委员会，评标委员会由采购人代表和有关技术、经济等方面的专家组成，成员人数为5人（含）以上单数，除采购人代表外的专家将在评标专家库中随机抽取产生。</w:t>
            </w:r>
          </w:p>
        </w:tc>
      </w:tr>
      <w:tr>
        <w:tblPrEx>
          <w:tblCellMar>
            <w:top w:w="0" w:type="dxa"/>
            <w:left w:w="108" w:type="dxa"/>
            <w:bottom w:w="0" w:type="dxa"/>
            <w:right w:w="108" w:type="dxa"/>
          </w:tblCellMar>
        </w:tblPrEx>
        <w:trPr>
          <w:trHeight w:val="1063"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26</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履约担保</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eq \o\ac(</w:instrText>
            </w:r>
            <w:r>
              <w:rPr>
                <w:rFonts w:hint="eastAsia" w:ascii="宋体" w:hAnsi="宋体" w:cs="宋体"/>
                <w:color w:val="auto"/>
                <w:kern w:val="0"/>
                <w:position w:val="-4"/>
                <w:sz w:val="22"/>
                <w:szCs w:val="22"/>
                <w:highlight w:val="none"/>
              </w:rPr>
              <w:instrText xml:space="preserve">□</w:instrText>
            </w:r>
            <w:r>
              <w:rPr>
                <w:rFonts w:hint="eastAsia" w:ascii="宋体" w:hAnsi="宋体" w:cs="宋体"/>
                <w:color w:val="auto"/>
                <w:kern w:val="0"/>
                <w:sz w:val="22"/>
                <w:szCs w:val="22"/>
                <w:highlight w:val="none"/>
              </w:rPr>
              <w:instrText xml:space="preserve">,√)</w:instrText>
            </w:r>
            <w:r>
              <w:rPr>
                <w:rFonts w:hint="eastAsia" w:ascii="宋体" w:hAnsi="宋体" w:cs="宋体"/>
                <w:color w:val="auto"/>
                <w:kern w:val="0"/>
                <w:sz w:val="22"/>
                <w:szCs w:val="22"/>
                <w:highlight w:val="none"/>
              </w:rPr>
              <w:fldChar w:fldCharType="end"/>
            </w:r>
            <w:r>
              <w:rPr>
                <w:rFonts w:hint="default" w:ascii="宋体" w:hAnsi="宋体" w:cs="宋体"/>
                <w:color w:val="auto"/>
                <w:kern w:val="0"/>
                <w:sz w:val="22"/>
                <w:szCs w:val="22"/>
                <w:highlight w:val="none"/>
              </w:rPr>
              <w:t>不需要</w:t>
            </w:r>
          </w:p>
        </w:tc>
      </w:tr>
      <w:tr>
        <w:tblPrEx>
          <w:tblCellMar>
            <w:top w:w="0" w:type="dxa"/>
            <w:left w:w="108" w:type="dxa"/>
            <w:bottom w:w="0" w:type="dxa"/>
            <w:right w:w="108" w:type="dxa"/>
          </w:tblCellMar>
        </w:tblPrEx>
        <w:trPr>
          <w:trHeight w:val="988"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27</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政府采购</w:t>
            </w:r>
          </w:p>
          <w:p>
            <w:pPr>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扶持政策</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numPr>
                <w:ilvl w:val="0"/>
                <w:numId w:val="8"/>
              </w:numPr>
              <w:autoSpaceDE w:val="0"/>
              <w:autoSpaceDN w:val="0"/>
              <w:adjustRightInd w:val="0"/>
              <w:spacing w:line="400" w:lineRule="exact"/>
              <w:rPr>
                <w:color w:val="auto"/>
                <w:sz w:val="22"/>
                <w:szCs w:val="22"/>
                <w:highlight w:val="none"/>
              </w:rPr>
            </w:pPr>
            <w:r>
              <w:rPr>
                <w:rFonts w:hint="eastAsia"/>
                <w:color w:val="auto"/>
                <w:sz w:val="22"/>
                <w:szCs w:val="22"/>
                <w:highlight w:val="none"/>
              </w:rPr>
              <w:t>中小微企业扶持政策</w:t>
            </w:r>
          </w:p>
          <w:p>
            <w:pPr>
              <w:numPr>
                <w:ilvl w:val="0"/>
                <w:numId w:val="9"/>
              </w:numPr>
              <w:autoSpaceDE w:val="0"/>
              <w:autoSpaceDN w:val="0"/>
              <w:adjustRightInd w:val="0"/>
              <w:spacing w:line="400" w:lineRule="exact"/>
              <w:rPr>
                <w:b/>
                <w:bCs/>
                <w:color w:val="auto"/>
                <w:sz w:val="22"/>
                <w:szCs w:val="22"/>
                <w:highlight w:val="none"/>
                <w:lang w:val="zh-CN"/>
              </w:rPr>
            </w:pPr>
            <w:r>
              <w:rPr>
                <w:rFonts w:hint="eastAsia"/>
                <w:color w:val="auto"/>
                <w:sz w:val="22"/>
                <w:szCs w:val="22"/>
                <w:highlight w:val="none"/>
                <w:lang w:val="zh-CN"/>
              </w:rPr>
              <w:t>本次采购为</w:t>
            </w:r>
            <w:r>
              <w:rPr>
                <w:rFonts w:hint="eastAsia"/>
                <w:b/>
                <w:bCs/>
                <w:color w:val="auto"/>
                <w:sz w:val="22"/>
                <w:szCs w:val="22"/>
                <w:highlight w:val="none"/>
                <w:u w:val="single"/>
                <w:lang w:val="zh-CN"/>
              </w:rPr>
              <w:t xml:space="preserve"> 否 </w:t>
            </w:r>
            <w:r>
              <w:rPr>
                <w:rFonts w:hint="eastAsia"/>
                <w:color w:val="auto"/>
                <w:sz w:val="22"/>
                <w:szCs w:val="22"/>
                <w:highlight w:val="none"/>
                <w:lang w:val="zh-CN"/>
              </w:rPr>
              <w:t>专门面向中小企业预留采购份额的采购项目。</w:t>
            </w:r>
            <w:r>
              <w:rPr>
                <w:rFonts w:ascii="宋体" w:hAnsi="宋体" w:cs="新宋体"/>
                <w:color w:val="auto"/>
                <w:kern w:val="0"/>
                <w:sz w:val="22"/>
                <w:szCs w:val="22"/>
                <w:highlight w:val="none"/>
                <w:lang w:val="zh-CN"/>
              </w:rPr>
              <w:t>参加本次采购活动的</w:t>
            </w:r>
            <w:r>
              <w:rPr>
                <w:rFonts w:hint="eastAsia" w:ascii="宋体" w:hAnsi="宋体" w:cs="新宋体"/>
                <w:color w:val="auto"/>
                <w:kern w:val="0"/>
                <w:sz w:val="22"/>
                <w:szCs w:val="22"/>
                <w:highlight w:val="none"/>
                <w:lang w:val="zh-CN"/>
              </w:rPr>
              <w:t>投标人为</w:t>
            </w:r>
            <w:r>
              <w:rPr>
                <w:rFonts w:ascii="宋体" w:hAnsi="宋体" w:cs="新宋体"/>
                <w:color w:val="auto"/>
                <w:kern w:val="0"/>
                <w:sz w:val="22"/>
                <w:szCs w:val="22"/>
                <w:highlight w:val="none"/>
                <w:lang w:val="zh-CN"/>
              </w:rPr>
              <w:t>小微企业</w:t>
            </w:r>
            <w:r>
              <w:rPr>
                <w:rFonts w:hint="eastAsia" w:ascii="宋体" w:hAnsi="宋体" w:cs="新宋体"/>
                <w:color w:val="auto"/>
                <w:kern w:val="0"/>
                <w:sz w:val="22"/>
                <w:szCs w:val="22"/>
                <w:highlight w:val="none"/>
                <w:lang w:val="zh-CN"/>
              </w:rPr>
              <w:t>（即提供服务的人员为</w:t>
            </w:r>
            <w:r>
              <w:rPr>
                <w:rFonts w:ascii="宋体" w:hAnsi="宋体" w:cs="新宋体"/>
                <w:color w:val="auto"/>
                <w:kern w:val="0"/>
                <w:sz w:val="22"/>
                <w:szCs w:val="22"/>
                <w:highlight w:val="none"/>
                <w:lang w:val="zh-CN"/>
              </w:rPr>
              <w:t>小微企业</w:t>
            </w:r>
            <w:r>
              <w:rPr>
                <w:rFonts w:hint="eastAsia" w:ascii="宋体" w:hAnsi="宋体" w:cs="新宋体"/>
                <w:color w:val="auto"/>
                <w:kern w:val="0"/>
                <w:sz w:val="22"/>
                <w:szCs w:val="22"/>
                <w:highlight w:val="none"/>
                <w:lang w:val="zh-CN"/>
              </w:rPr>
              <w:t>依照《中华人民共和国劳动合同法》订立劳动合同的从业人员。）</w:t>
            </w:r>
            <w:r>
              <w:rPr>
                <w:rFonts w:ascii="宋体" w:hAnsi="宋体" w:cs="新宋体"/>
                <w:color w:val="auto"/>
                <w:kern w:val="0"/>
                <w:sz w:val="22"/>
                <w:szCs w:val="22"/>
                <w:highlight w:val="none"/>
                <w:lang w:val="zh-CN"/>
              </w:rPr>
              <w:t>，其报价给予</w:t>
            </w:r>
            <w:r>
              <w:rPr>
                <w:rFonts w:hint="eastAsia" w:ascii="宋体" w:hAnsi="宋体" w:cs="新宋体"/>
                <w:color w:val="auto"/>
                <w:kern w:val="0"/>
                <w:sz w:val="22"/>
                <w:szCs w:val="22"/>
                <w:highlight w:val="none"/>
              </w:rPr>
              <w:t>20</w:t>
            </w:r>
            <w:r>
              <w:rPr>
                <w:rFonts w:hint="eastAsia" w:ascii="宋体" w:hAnsi="宋体" w:cs="新宋体"/>
                <w:color w:val="auto"/>
                <w:kern w:val="0"/>
                <w:sz w:val="22"/>
                <w:szCs w:val="22"/>
                <w:highlight w:val="none"/>
                <w:lang w:val="zh-CN"/>
              </w:rPr>
              <w:t>%</w:t>
            </w:r>
            <w:r>
              <w:rPr>
                <w:rFonts w:ascii="宋体" w:hAnsi="宋体" w:cs="新宋体"/>
                <w:color w:val="auto"/>
                <w:kern w:val="0"/>
                <w:sz w:val="22"/>
                <w:szCs w:val="22"/>
                <w:highlight w:val="none"/>
                <w:lang w:val="zh-CN"/>
              </w:rPr>
              <w:t>的扣除</w:t>
            </w:r>
            <w:r>
              <w:rPr>
                <w:rFonts w:ascii="宋体" w:hAnsi="宋体" w:cs="新宋体"/>
                <w:color w:val="auto"/>
                <w:kern w:val="0"/>
                <w:sz w:val="22"/>
                <w:szCs w:val="22"/>
                <w:highlight w:val="none"/>
                <w:lang w:val="zh-CN"/>
              </w:rPr>
              <w:t>，用扣除后的价格参加评审</w:t>
            </w:r>
            <w:r>
              <w:rPr>
                <w:rFonts w:hint="eastAsia" w:ascii="宋体" w:hAnsi="宋体" w:cs="新宋体"/>
                <w:color w:val="auto"/>
                <w:kern w:val="0"/>
                <w:sz w:val="22"/>
                <w:szCs w:val="22"/>
                <w:highlight w:val="none"/>
                <w:lang w:val="zh-CN"/>
              </w:rPr>
              <w:t>。</w:t>
            </w:r>
          </w:p>
          <w:p>
            <w:pPr>
              <w:numPr>
                <w:ilvl w:val="0"/>
                <w:numId w:val="9"/>
              </w:numPr>
              <w:autoSpaceDE w:val="0"/>
              <w:autoSpaceDN w:val="0"/>
              <w:adjustRightInd w:val="0"/>
              <w:spacing w:line="400" w:lineRule="exact"/>
              <w:rPr>
                <w:b/>
                <w:bCs/>
                <w:color w:val="auto"/>
                <w:sz w:val="22"/>
                <w:szCs w:val="22"/>
                <w:highlight w:val="none"/>
                <w:lang w:val="zh-CN"/>
              </w:rPr>
            </w:pPr>
            <w:r>
              <w:rPr>
                <w:rFonts w:hint="eastAsia"/>
                <w:b/>
                <w:bCs/>
                <w:color w:val="auto"/>
                <w:sz w:val="22"/>
                <w:szCs w:val="22"/>
                <w:highlight w:val="none"/>
                <w:lang w:val="zh-CN"/>
              </w:rPr>
              <w:t>对于联合体协议或者分包意向协议约定小微企业合同份额占到合同总金额30%以上的，对其投标报价</w:t>
            </w:r>
            <w:r>
              <w:rPr>
                <w:rFonts w:hint="eastAsia"/>
                <w:b/>
                <w:bCs/>
                <w:color w:val="auto"/>
                <w:sz w:val="22"/>
                <w:szCs w:val="22"/>
                <w:highlight w:val="none"/>
                <w:lang w:val="zh-CN"/>
              </w:rPr>
              <w:t>给予</w:t>
            </w:r>
            <w:r>
              <w:rPr>
                <w:rFonts w:hint="eastAsia"/>
                <w:b/>
                <w:bCs/>
                <w:color w:val="auto"/>
                <w:sz w:val="22"/>
                <w:szCs w:val="22"/>
                <w:highlight w:val="none"/>
              </w:rPr>
              <w:t>6</w:t>
            </w:r>
            <w:r>
              <w:rPr>
                <w:rFonts w:hint="eastAsia"/>
                <w:b/>
                <w:bCs/>
                <w:color w:val="auto"/>
                <w:sz w:val="22"/>
                <w:szCs w:val="22"/>
                <w:highlight w:val="none"/>
                <w:lang w:val="zh-CN"/>
              </w:rPr>
              <w:t>%的扣除</w:t>
            </w:r>
            <w:r>
              <w:rPr>
                <w:rFonts w:hint="eastAsia"/>
                <w:b/>
                <w:bCs/>
                <w:color w:val="auto"/>
                <w:sz w:val="22"/>
                <w:szCs w:val="22"/>
                <w:highlight w:val="none"/>
                <w:lang w:val="zh-CN"/>
              </w:rPr>
              <w:t>，用扣除后的价格参与评审。</w:t>
            </w:r>
          </w:p>
          <w:p>
            <w:pPr>
              <w:numPr>
                <w:ilvl w:val="0"/>
                <w:numId w:val="9"/>
              </w:numPr>
              <w:autoSpaceDE w:val="0"/>
              <w:autoSpaceDN w:val="0"/>
              <w:adjustRightInd w:val="0"/>
              <w:spacing w:line="400" w:lineRule="exact"/>
              <w:rPr>
                <w:color w:val="auto"/>
                <w:sz w:val="22"/>
                <w:szCs w:val="22"/>
                <w:highlight w:val="none"/>
                <w:lang w:val="zh-CN"/>
              </w:rPr>
            </w:pPr>
            <w:r>
              <w:rPr>
                <w:rFonts w:hint="eastAsia"/>
                <w:color w:val="auto"/>
                <w:sz w:val="22"/>
                <w:szCs w:val="22"/>
                <w:highlight w:val="none"/>
                <w:lang w:val="zh-CN"/>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numPr>
                <w:ilvl w:val="0"/>
                <w:numId w:val="9"/>
              </w:numPr>
              <w:autoSpaceDE w:val="0"/>
              <w:autoSpaceDN w:val="0"/>
              <w:adjustRightInd w:val="0"/>
              <w:spacing w:line="400" w:lineRule="exact"/>
              <w:rPr>
                <w:color w:val="auto"/>
                <w:sz w:val="22"/>
                <w:szCs w:val="22"/>
                <w:highlight w:val="none"/>
                <w:lang w:val="zh-CN"/>
              </w:rPr>
            </w:pPr>
            <w:r>
              <w:rPr>
                <w:rFonts w:ascii="宋体" w:hAnsi="宋体" w:cs="新宋体"/>
                <w:color w:val="auto"/>
                <w:kern w:val="0"/>
                <w:sz w:val="22"/>
                <w:highlight w:val="none"/>
                <w:lang w:val="zh-CN"/>
              </w:rPr>
              <w:t>本次采购标的为</w:t>
            </w:r>
            <w:r>
              <w:rPr>
                <w:rFonts w:hint="eastAsia" w:ascii="宋体" w:hAnsi="宋体" w:cs="新宋体"/>
                <w:b/>
                <w:bCs/>
                <w:color w:val="auto"/>
                <w:kern w:val="0"/>
                <w:sz w:val="22"/>
                <w:highlight w:val="none"/>
                <w:u w:val="single"/>
                <w:lang w:val="zh-CN"/>
              </w:rPr>
              <w:t>服务</w:t>
            </w:r>
            <w:r>
              <w:rPr>
                <w:rFonts w:ascii="宋体" w:hAnsi="宋体" w:cs="新宋体"/>
                <w:color w:val="auto"/>
                <w:kern w:val="0"/>
                <w:sz w:val="22"/>
                <w:highlight w:val="none"/>
                <w:lang w:val="zh-CN"/>
              </w:rPr>
              <w:t>，对应的中小企业划分标准所属行业是：</w:t>
            </w:r>
            <w:r>
              <w:rPr>
                <w:rFonts w:hint="eastAsia" w:ascii="宋体" w:hAnsi="宋体" w:cs="新宋体"/>
                <w:b/>
                <w:bCs/>
                <w:color w:val="auto"/>
                <w:kern w:val="0"/>
                <w:sz w:val="22"/>
                <w:highlight w:val="none"/>
                <w:u w:val="single"/>
                <w:lang w:val="zh-CN"/>
              </w:rPr>
              <w:t>软件和信息技术服务业</w:t>
            </w:r>
            <w:r>
              <w:rPr>
                <w:rFonts w:ascii="宋体" w:hAnsi="宋体" w:cs="新宋体"/>
                <w:color w:val="auto"/>
                <w:kern w:val="0"/>
                <w:sz w:val="22"/>
                <w:highlight w:val="none"/>
                <w:lang w:val="zh-CN"/>
              </w:rPr>
              <w:t>（</w:t>
            </w:r>
            <w:r>
              <w:rPr>
                <w:rFonts w:hint="eastAsia" w:ascii="宋体" w:hAnsi="宋体" w:cs="新宋体"/>
                <w:color w:val="auto"/>
                <w:kern w:val="0"/>
                <w:sz w:val="22"/>
                <w:highlight w:val="none"/>
                <w:lang w:val="zh-CN"/>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宋体" w:hAnsi="宋体" w:cs="新宋体"/>
                <w:color w:val="auto"/>
                <w:kern w:val="0"/>
                <w:sz w:val="22"/>
                <w:highlight w:val="none"/>
                <w:lang w:val="zh-CN"/>
              </w:rPr>
              <w:t>）</w:t>
            </w:r>
          </w:p>
          <w:p>
            <w:pPr>
              <w:numPr>
                <w:ilvl w:val="0"/>
                <w:numId w:val="9"/>
              </w:numPr>
              <w:autoSpaceDE w:val="0"/>
              <w:autoSpaceDN w:val="0"/>
              <w:adjustRightInd w:val="0"/>
              <w:spacing w:line="400" w:lineRule="exact"/>
              <w:rPr>
                <w:color w:val="auto"/>
                <w:sz w:val="22"/>
                <w:szCs w:val="22"/>
                <w:highlight w:val="none"/>
                <w:lang w:val="zh-CN"/>
              </w:rPr>
            </w:pPr>
            <w:r>
              <w:rPr>
                <w:rFonts w:hint="eastAsia"/>
                <w:color w:val="auto"/>
                <w:sz w:val="22"/>
                <w:szCs w:val="22"/>
                <w:highlight w:val="none"/>
                <w:lang w:val="zh-CN"/>
              </w:rPr>
              <w:t>以联合体形式参加政府采购活动，联合体各方均为中小企业的，联合体视同中小企业。其中，联合体各方均为小微企业的，联合体视同小微企业。</w:t>
            </w:r>
          </w:p>
          <w:p>
            <w:pPr>
              <w:numPr>
                <w:ilvl w:val="0"/>
                <w:numId w:val="9"/>
              </w:numPr>
              <w:autoSpaceDE w:val="0"/>
              <w:autoSpaceDN w:val="0"/>
              <w:adjustRightInd w:val="0"/>
              <w:spacing w:line="400" w:lineRule="exact"/>
              <w:rPr>
                <w:color w:val="auto"/>
                <w:sz w:val="22"/>
                <w:szCs w:val="22"/>
                <w:highlight w:val="none"/>
                <w:lang w:val="zh-CN"/>
              </w:rPr>
            </w:pPr>
            <w:r>
              <w:rPr>
                <w:rFonts w:hint="eastAsia"/>
                <w:color w:val="auto"/>
                <w:sz w:val="22"/>
                <w:szCs w:val="22"/>
                <w:highlight w:val="none"/>
                <w:lang w:val="zh-CN"/>
              </w:rPr>
              <w:t>投标人应当出具《中小企业声明函》，否则其报价不予扣除。</w:t>
            </w:r>
          </w:p>
          <w:p>
            <w:pPr>
              <w:numPr>
                <w:ilvl w:val="0"/>
                <w:numId w:val="9"/>
              </w:numPr>
              <w:autoSpaceDE w:val="0"/>
              <w:autoSpaceDN w:val="0"/>
              <w:adjustRightInd w:val="0"/>
              <w:spacing w:line="400" w:lineRule="exact"/>
              <w:rPr>
                <w:color w:val="auto"/>
                <w:sz w:val="22"/>
                <w:szCs w:val="22"/>
                <w:highlight w:val="none"/>
                <w:lang w:val="zh-CN"/>
              </w:rPr>
            </w:pPr>
            <w:r>
              <w:rPr>
                <w:rFonts w:hint="eastAsia"/>
                <w:color w:val="auto"/>
                <w:sz w:val="22"/>
                <w:szCs w:val="22"/>
                <w:highlight w:val="none"/>
                <w:lang w:val="zh-CN"/>
              </w:rPr>
              <w:t>残疾人福利性单位视同小微企业，享受小微企业同等的价格扣除。残疾人福利性单位参加政府采购活动时，应当提供《残疾人福利性单位声明函》。</w:t>
            </w:r>
          </w:p>
          <w:p>
            <w:pPr>
              <w:numPr>
                <w:ilvl w:val="0"/>
                <w:numId w:val="9"/>
              </w:numPr>
              <w:autoSpaceDE w:val="0"/>
              <w:autoSpaceDN w:val="0"/>
              <w:adjustRightInd w:val="0"/>
              <w:spacing w:line="400" w:lineRule="exact"/>
              <w:rPr>
                <w:color w:val="auto"/>
                <w:sz w:val="22"/>
                <w:szCs w:val="22"/>
                <w:highlight w:val="none"/>
                <w:lang w:val="zh-CN"/>
              </w:rPr>
            </w:pPr>
            <w:r>
              <w:rPr>
                <w:rFonts w:hint="eastAsia"/>
                <w:color w:val="auto"/>
                <w:sz w:val="22"/>
                <w:szCs w:val="22"/>
                <w:highlight w:val="none"/>
                <w:lang w:val="zh-CN"/>
              </w:rPr>
              <w:t>监狱企业视同小微企业，享受小微企业同等的价格扣除。监狱企业参加政府采购活动时，应当提供监狱企业声明函。</w:t>
            </w:r>
          </w:p>
          <w:p>
            <w:pPr>
              <w:numPr>
                <w:ilvl w:val="0"/>
                <w:numId w:val="9"/>
              </w:numPr>
              <w:autoSpaceDE w:val="0"/>
              <w:autoSpaceDN w:val="0"/>
              <w:adjustRightInd w:val="0"/>
              <w:spacing w:line="400" w:lineRule="exact"/>
              <w:rPr>
                <w:color w:val="auto"/>
                <w:highlight w:val="none"/>
                <w:lang w:val="zh-CN"/>
              </w:rPr>
            </w:pPr>
            <w:r>
              <w:rPr>
                <w:rFonts w:ascii="宋体" w:hAnsi="宋体" w:cs="新宋体"/>
                <w:color w:val="auto"/>
                <w:kern w:val="0"/>
                <w:sz w:val="22"/>
                <w:szCs w:val="22"/>
                <w:highlight w:val="none"/>
                <w:lang w:val="zh-CN"/>
              </w:rPr>
              <w:t>符合小微企业划分标准的个体工商户，视同小微企业。</w:t>
            </w:r>
          </w:p>
          <w:p>
            <w:pPr>
              <w:numPr>
                <w:ilvl w:val="0"/>
                <w:numId w:val="8"/>
              </w:numPr>
              <w:autoSpaceDE w:val="0"/>
              <w:autoSpaceDN w:val="0"/>
              <w:adjustRightInd w:val="0"/>
              <w:spacing w:line="400" w:lineRule="exact"/>
              <w:rPr>
                <w:color w:val="auto"/>
                <w:sz w:val="22"/>
                <w:szCs w:val="22"/>
                <w:highlight w:val="none"/>
                <w:lang w:val="zh-CN"/>
              </w:rPr>
            </w:pPr>
            <w:r>
              <w:rPr>
                <w:rFonts w:hint="eastAsia"/>
                <w:color w:val="auto"/>
                <w:sz w:val="22"/>
                <w:szCs w:val="22"/>
                <w:highlight w:val="none"/>
                <w:lang w:val="zh-CN"/>
              </w:rPr>
              <w:t>政府采购金融服务相关信息告知函</w:t>
            </w:r>
          </w:p>
          <w:p>
            <w:pPr>
              <w:autoSpaceDE w:val="0"/>
              <w:autoSpaceDN w:val="0"/>
              <w:adjustRightInd w:val="0"/>
              <w:spacing w:line="400" w:lineRule="exact"/>
              <w:ind w:firstLine="440" w:firstLineChars="200"/>
              <w:rPr>
                <w:color w:val="auto"/>
                <w:sz w:val="22"/>
                <w:szCs w:val="22"/>
                <w:highlight w:val="none"/>
                <w:lang w:val="zh-CN"/>
              </w:rPr>
            </w:pPr>
            <w:r>
              <w:rPr>
                <w:rFonts w:hint="eastAsia"/>
                <w:color w:val="auto"/>
                <w:sz w:val="22"/>
                <w:szCs w:val="22"/>
                <w:highlight w:val="none"/>
                <w:lang w:val="zh-CN"/>
              </w:rPr>
              <w:t>为优化政府采购营商环境，缓解投标人资金难题，助力打赢疫情防控阻击战，根据浙江省财政厅印发《关于坚决打赢疫情防控阻击战进一步做好政府采购资金支持企业发展工作的通知（浙财采监【2020】3号）》文件的精神，现将政府采购金融服务相关信息予以告知。</w:t>
            </w:r>
          </w:p>
          <w:p>
            <w:pPr>
              <w:autoSpaceDE w:val="0"/>
              <w:autoSpaceDN w:val="0"/>
              <w:adjustRightInd w:val="0"/>
              <w:spacing w:line="400" w:lineRule="exact"/>
              <w:ind w:firstLine="440" w:firstLineChars="200"/>
              <w:rPr>
                <w:color w:val="auto"/>
                <w:highlight w:val="none"/>
                <w:lang w:val="zh-CN"/>
              </w:rPr>
            </w:pPr>
            <w:r>
              <w:rPr>
                <w:rFonts w:hint="eastAsia"/>
                <w:color w:val="auto"/>
                <w:sz w:val="22"/>
                <w:szCs w:val="22"/>
                <w:highlight w:val="none"/>
                <w:lang w:val="zh-CN"/>
              </w:rPr>
              <w:t>为支持和促进中小企业发展，进一步发挥政府采购政策功能，温州市财政局出台了《温州市财政局关于温州市政府采购支持中小企业信用融资的通知》（温财采〔2020〕3号），投标人若有融资意向，可直接登录http://jinrong.zcygov.cn，查看信用融资政策文件及各相关银行服务方案，也可直接向各银行咨询相关业务。</w:t>
            </w:r>
          </w:p>
        </w:tc>
      </w:tr>
      <w:tr>
        <w:tblPrEx>
          <w:tblCellMar>
            <w:top w:w="0" w:type="dxa"/>
            <w:left w:w="108" w:type="dxa"/>
            <w:bottom w:w="0" w:type="dxa"/>
            <w:right w:w="108" w:type="dxa"/>
          </w:tblCellMar>
        </w:tblPrEx>
        <w:trPr>
          <w:trHeight w:val="423"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28</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信用查询</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)；“中国政府采购网”（http://www.ccgp.gov.cn/）；</w:t>
            </w:r>
          </w:p>
          <w:p>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信用信息查询记录和证据留存的具体方式：网页截图打印；</w:t>
            </w:r>
          </w:p>
          <w:p>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（3）信用信息的使用规则：</w:t>
            </w:r>
          </w:p>
          <w:p>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①在“信用中国”具有负面记录：列入失信被执行人、重大税收违法案件当事人名单、政府采购严重违法失信行为名单；</w:t>
            </w:r>
          </w:p>
          <w:p>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②被“中国政府采购网”(www.ccgp.gov.cn)列入政府采购严重违法失信行为记录名单。</w:t>
            </w:r>
          </w:p>
          <w:p>
            <w:pPr>
              <w:spacing w:line="400" w:lineRule="exact"/>
              <w:jc w:val="left"/>
              <w:rPr>
                <w:rFonts w:ascii="宋体" w:hAnsi="宋体" w:cs="宋体"/>
                <w:color w:val="auto"/>
                <w:kern w:val="0"/>
                <w:sz w:val="22"/>
                <w:szCs w:val="22"/>
                <w:highlight w:val="none"/>
              </w:rPr>
            </w:pPr>
            <w:r>
              <w:rPr>
                <w:rFonts w:hint="eastAsia" w:ascii="宋体" w:hAnsi="宋体" w:cs="宋体"/>
                <w:color w:val="auto"/>
                <w:sz w:val="22"/>
                <w:szCs w:val="22"/>
                <w:highlight w:val="none"/>
              </w:rPr>
              <w:t>（4）具有以上（3）所述信息记录的</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，其投标做无效投标处理。</w:t>
            </w:r>
          </w:p>
        </w:tc>
      </w:tr>
      <w:tr>
        <w:tblPrEx>
          <w:tblCellMar>
            <w:top w:w="0" w:type="dxa"/>
            <w:left w:w="108" w:type="dxa"/>
            <w:bottom w:w="0" w:type="dxa"/>
            <w:right w:w="108" w:type="dxa"/>
          </w:tblCellMar>
        </w:tblPrEx>
        <w:trPr>
          <w:trHeight w:val="423"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29</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合同备案</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（1）中标</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在中标通知书发出之日起30日历天内与采购人签订合同。</w:t>
            </w:r>
          </w:p>
          <w:p>
            <w:pPr>
              <w:spacing w:line="400" w:lineRule="exact"/>
              <w:jc w:val="left"/>
              <w:rPr>
                <w:rFonts w:ascii="宋体" w:hAnsi="宋体" w:cs="宋体"/>
                <w:color w:val="auto"/>
                <w:kern w:val="0"/>
                <w:sz w:val="22"/>
                <w:szCs w:val="22"/>
                <w:highlight w:val="none"/>
              </w:rPr>
            </w:pPr>
            <w:r>
              <w:rPr>
                <w:rFonts w:hint="eastAsia" w:ascii="宋体" w:hAnsi="宋体" w:cs="宋体"/>
                <w:color w:val="auto"/>
                <w:sz w:val="22"/>
                <w:szCs w:val="22"/>
                <w:highlight w:val="none"/>
              </w:rPr>
              <w:t>（2）中标</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与采购人签订合同后，2日历天内将合同扫描件电子版发给采购代理机构：邮箱：</w:t>
            </w:r>
            <w:r>
              <w:rPr>
                <w:rFonts w:hint="eastAsia" w:ascii="宋体" w:hAnsi="宋体" w:cs="宋体"/>
                <w:b/>
                <w:color w:val="auto"/>
                <w:sz w:val="22"/>
                <w:szCs w:val="22"/>
                <w:highlight w:val="none"/>
                <w:u w:val="single"/>
              </w:rPr>
              <w:t>Yxgc666@126.com</w:t>
            </w:r>
            <w:r>
              <w:rPr>
                <w:rFonts w:hint="eastAsia" w:ascii="宋体" w:hAnsi="宋体" w:cs="宋体"/>
                <w:color w:val="auto"/>
                <w:sz w:val="22"/>
                <w:szCs w:val="22"/>
                <w:highlight w:val="none"/>
              </w:rPr>
              <w:t>。</w:t>
            </w:r>
          </w:p>
        </w:tc>
      </w:tr>
      <w:tr>
        <w:tblPrEx>
          <w:tblCellMar>
            <w:top w:w="0" w:type="dxa"/>
            <w:left w:w="108" w:type="dxa"/>
            <w:bottom w:w="0" w:type="dxa"/>
            <w:right w:w="108" w:type="dxa"/>
          </w:tblCellMar>
        </w:tblPrEx>
        <w:trPr>
          <w:trHeight w:val="423"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30</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合同履约管理</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lef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tblPrEx>
          <w:tblCellMar>
            <w:top w:w="0" w:type="dxa"/>
            <w:left w:w="108" w:type="dxa"/>
            <w:bottom w:w="0" w:type="dxa"/>
            <w:right w:w="108" w:type="dxa"/>
          </w:tblCellMar>
        </w:tblPrEx>
        <w:trPr>
          <w:trHeight w:val="423"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31</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解释权</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采购投标阶段的约定，按招标公告、</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CellMar>
            <w:top w:w="0" w:type="dxa"/>
            <w:left w:w="108" w:type="dxa"/>
            <w:bottom w:w="0" w:type="dxa"/>
            <w:right w:w="108" w:type="dxa"/>
          </w:tblCellMar>
        </w:tblPrEx>
        <w:trPr>
          <w:trHeight w:val="423"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32</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联合体投标相关说明</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如为联合体，必须提供双方签章的联合体协议书，明确联合体牵头人和各方权利义务，并承诺就成交项目向采购人承担连带责任。</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如为联合体，联合体成员各方资格审查资料、企业证书、人员证书、业绩证明材料等复印件应由联合体成员各自盖章。</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（3）由同一专业的单位组成的联合体，按照资质等级较低的单位确定资质等级。</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（4）其他文件可由联合体牵头方盖章。</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若为联合体，电子投标工作由联合体牵头方的账号制作电子磋商响应文件并提交。</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（6）联合体各方不得再以自己名义单独或参加其他联合体在本项目中投标，否则各相关投标均无效。</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（7）中标后，联合体各方根据联合体协议约定承担的项目采购内容与项目采购人签订政府采购合同。</w:t>
            </w:r>
          </w:p>
        </w:tc>
      </w:tr>
      <w:tr>
        <w:tblPrEx>
          <w:tblCellMar>
            <w:top w:w="0" w:type="dxa"/>
            <w:left w:w="108" w:type="dxa"/>
            <w:bottom w:w="0" w:type="dxa"/>
            <w:right w:w="108" w:type="dxa"/>
          </w:tblCellMar>
        </w:tblPrEx>
        <w:trPr>
          <w:trHeight w:val="1792"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33</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采购代理服务费</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rPr>
                <w:rFonts w:ascii="宋体" w:hAnsi="宋体" w:cs="新宋体"/>
                <w:color w:val="auto"/>
                <w:sz w:val="22"/>
                <w:szCs w:val="22"/>
                <w:highlight w:val="none"/>
              </w:rPr>
            </w:pPr>
            <w:r>
              <w:rPr>
                <w:rFonts w:hint="eastAsia" w:ascii="宋体" w:hAnsi="宋体" w:cs="新宋体"/>
                <w:color w:val="auto"/>
                <w:sz w:val="22"/>
                <w:szCs w:val="22"/>
                <w:highlight w:val="none"/>
              </w:rPr>
              <w:t>（1）</w:t>
            </w:r>
            <w:r>
              <w:rPr>
                <w:rFonts w:hint="eastAsia" w:ascii="宋体" w:hAnsi="宋体" w:cs="宋体"/>
                <w:color w:val="auto"/>
                <w:sz w:val="22"/>
                <w:szCs w:val="22"/>
                <w:highlight w:val="none"/>
              </w:rPr>
              <w:t>本次采购代理服务费按《招标代理服务收费管理暂行办法》（计价格【2002】1980号）标准80%计取（采购代理服务费不足捌仟按捌仟元收取），由中标（成交）单位一次性支付给采购代理机构，</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在报价时应充分考虑该部分费用；</w:t>
            </w:r>
          </w:p>
          <w:p>
            <w:pPr>
              <w:spacing w:line="400" w:lineRule="exact"/>
              <w:rPr>
                <w:color w:val="auto"/>
                <w:highlight w:val="none"/>
              </w:rPr>
            </w:pPr>
            <w:r>
              <w:rPr>
                <w:rFonts w:hint="eastAsia" w:ascii="宋体" w:hAnsi="宋体" w:cs="新宋体"/>
                <w:color w:val="auto"/>
                <w:sz w:val="22"/>
                <w:szCs w:val="22"/>
                <w:highlight w:val="none"/>
              </w:rPr>
              <w:t>（2）采购代理服务费可以是现金、支票或汇票。</w:t>
            </w:r>
          </w:p>
        </w:tc>
      </w:tr>
    </w:tbl>
    <w:p>
      <w:pPr>
        <w:spacing w:line="440" w:lineRule="exact"/>
        <w:ind w:firstLine="440" w:firstLineChars="200"/>
        <w:jc w:val="left"/>
        <w:rPr>
          <w:rFonts w:ascii="宋体" w:hAnsi="宋体" w:cs="Arial"/>
          <w:color w:val="auto"/>
          <w:sz w:val="22"/>
          <w:szCs w:val="22"/>
          <w:highlight w:val="none"/>
        </w:rPr>
      </w:pPr>
    </w:p>
    <w:p>
      <w:pPr>
        <w:widowControl/>
        <w:jc w:val="left"/>
        <w:rPr>
          <w:rFonts w:ascii="宋体" w:hAnsi="宋体" w:cs="Arial"/>
          <w:b/>
          <w:bCs/>
          <w:color w:val="auto"/>
          <w:sz w:val="36"/>
          <w:szCs w:val="36"/>
          <w:highlight w:val="none"/>
        </w:rPr>
      </w:pPr>
      <w:r>
        <w:rPr>
          <w:rFonts w:ascii="宋体" w:hAnsi="宋体" w:cs="Arial"/>
          <w:b/>
          <w:bCs/>
          <w:color w:val="auto"/>
          <w:sz w:val="36"/>
          <w:szCs w:val="36"/>
          <w:highlight w:val="none"/>
        </w:rPr>
        <w:br w:type="page"/>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Pr>
        <w:spacing w:before="100" w:beforeAutospacing="1" w:after="100" w:afterAutospacing="1" w:line="440" w:lineRule="exact"/>
        <w:jc w:val="center"/>
        <w:outlineLvl w:val="0"/>
        <w:rPr>
          <w:rFonts w:ascii="宋体" w:hAnsi="宋体"/>
          <w:b/>
          <w:bCs/>
          <w:color w:val="auto"/>
          <w:sz w:val="26"/>
          <w:szCs w:val="26"/>
          <w:highlight w:val="none"/>
        </w:rPr>
      </w:pPr>
      <w:bookmarkStart w:id="45" w:name="_Toc241404199"/>
      <w:bookmarkStart w:id="46" w:name="_Toc249758709"/>
      <w:bookmarkStart w:id="47" w:name="_Toc221356948"/>
      <w:bookmarkStart w:id="48" w:name="_Toc15761"/>
      <w:bookmarkStart w:id="49" w:name="_Toc249758861"/>
      <w:bookmarkStart w:id="50" w:name="_Toc221356883"/>
      <w:bookmarkStart w:id="51" w:name="_Toc246261262"/>
      <w:bookmarkStart w:id="52" w:name="_Toc239145351"/>
      <w:bookmarkStart w:id="53" w:name="_Toc221423616"/>
      <w:bookmarkStart w:id="54" w:name="_Toc222114876"/>
      <w:bookmarkStart w:id="55" w:name="_Toc262105500"/>
      <w:bookmarkStart w:id="56" w:name="_Toc262049415"/>
      <w:bookmarkStart w:id="57" w:name="_Toc223715995"/>
      <w:bookmarkStart w:id="58" w:name="_Toc245191311"/>
      <w:bookmarkStart w:id="59" w:name="_Toc245722278"/>
      <w:bookmarkStart w:id="60" w:name="_Toc221374623"/>
      <w:r>
        <w:rPr>
          <w:rFonts w:hint="eastAsia" w:ascii="宋体" w:hAnsi="宋体"/>
          <w:b/>
          <w:bCs/>
          <w:color w:val="auto"/>
          <w:sz w:val="26"/>
          <w:szCs w:val="26"/>
          <w:highlight w:val="none"/>
        </w:rPr>
        <w:t>二、  说明</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numPr>
          <w:ilvl w:val="0"/>
          <w:numId w:val="10"/>
        </w:numPr>
        <w:tabs>
          <w:tab w:val="left" w:pos="540"/>
          <w:tab w:val="left" w:pos="900"/>
          <w:tab w:val="clear" w:pos="420"/>
        </w:tabs>
        <w:spacing w:line="460" w:lineRule="exact"/>
        <w:ind w:left="540" w:hanging="540"/>
        <w:rPr>
          <w:rFonts w:ascii="宋体" w:hAnsi="宋体" w:cs="Arial"/>
          <w:color w:val="auto"/>
          <w:sz w:val="22"/>
          <w:szCs w:val="22"/>
          <w:highlight w:val="none"/>
        </w:rPr>
      </w:pPr>
      <w:bookmarkStart w:id="61" w:name="_Toc241404200"/>
      <w:bookmarkStart w:id="62" w:name="_Toc249758710"/>
      <w:bookmarkStart w:id="63" w:name="_Toc249758862"/>
      <w:bookmarkStart w:id="64" w:name="_Toc262105501"/>
      <w:bookmarkStart w:id="65" w:name="_Toc245722279"/>
      <w:bookmarkStart w:id="66" w:name="_Toc262049416"/>
      <w:bookmarkStart w:id="67" w:name="_Toc222114877"/>
      <w:bookmarkStart w:id="68" w:name="_Toc245191312"/>
      <w:bookmarkStart w:id="69" w:name="_Toc221356949"/>
      <w:bookmarkStart w:id="70" w:name="_Toc246261263"/>
      <w:bookmarkStart w:id="71" w:name="_Toc221374624"/>
      <w:bookmarkStart w:id="72" w:name="_Toc221356884"/>
      <w:bookmarkStart w:id="73" w:name="_Toc239145352"/>
      <w:bookmarkStart w:id="74" w:name="_Toc223715996"/>
      <w:bookmarkStart w:id="75" w:name="_Toc221423617"/>
      <w:r>
        <w:rPr>
          <w:rFonts w:hint="eastAsia" w:ascii="宋体" w:hAnsi="宋体" w:cs="Arial"/>
          <w:color w:val="auto"/>
          <w:sz w:val="22"/>
          <w:szCs w:val="22"/>
          <w:highlight w:val="none"/>
        </w:rPr>
        <w:t>本次招标是按照《中华人民共和国政府采购法》、《中华人民共和国政府采购法实施条例》、《政府采购货物和服务招标投标管理办法》和《关于进一步规范政府采购活动的若干意见》等法律及有关法规组织和实施的。</w:t>
      </w:r>
    </w:p>
    <w:p>
      <w:pPr>
        <w:numPr>
          <w:ilvl w:val="0"/>
          <w:numId w:val="10"/>
        </w:numPr>
        <w:tabs>
          <w:tab w:val="left" w:pos="540"/>
          <w:tab w:val="left" w:pos="900"/>
          <w:tab w:val="clear" w:pos="42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合格投标人要求以招标公告对投标人资格条件要求的表述为准。</w:t>
      </w:r>
    </w:p>
    <w:p>
      <w:pPr>
        <w:numPr>
          <w:ilvl w:val="0"/>
          <w:numId w:val="10"/>
        </w:numPr>
        <w:tabs>
          <w:tab w:val="left" w:pos="540"/>
          <w:tab w:val="left" w:pos="900"/>
          <w:tab w:val="clear" w:pos="42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投标人代表</w:t>
      </w: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指全权代表投标人参加投标活动并签署投标文件的人。如果投标人代表不是法定代表人，须持有《法定代表人授权书》。</w:t>
      </w:r>
    </w:p>
    <w:p>
      <w:pPr>
        <w:numPr>
          <w:ilvl w:val="0"/>
          <w:numId w:val="10"/>
        </w:numPr>
        <w:tabs>
          <w:tab w:val="left" w:pos="540"/>
          <w:tab w:val="left" w:pos="900"/>
          <w:tab w:val="clear" w:pos="42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投标费用</w:t>
      </w: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投标人应承担所有与准备和参加投标有关费用，不论投标的结果如何，采购人和招标代理机构均无义务和责任承担这些费用。</w:t>
      </w:r>
    </w:p>
    <w:p>
      <w:pPr>
        <w:numPr>
          <w:ilvl w:val="0"/>
          <w:numId w:val="10"/>
        </w:numPr>
        <w:tabs>
          <w:tab w:val="left" w:pos="540"/>
          <w:tab w:val="left" w:pos="900"/>
          <w:tab w:val="clear" w:pos="42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优化政府采购金融服务</w:t>
      </w:r>
    </w:p>
    <w:p>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 xml:space="preserve">  为支持和促进中小企业发展，进一步发挥政府采购政策功能，温州市财政局出台了《温州市财政局关于温州市政府采购支持中小企业信用融资的通知》（温财采〔2020〕3号），投标人若有融资意向，可直接登录http://jinrong.zcygov.cn，查看信用融资政策文件及各相关银行服务方案，也可直接向各银行咨询相关业务。</w:t>
      </w:r>
    </w:p>
    <w:p>
      <w:pPr>
        <w:numPr>
          <w:ilvl w:val="0"/>
          <w:numId w:val="10"/>
        </w:numPr>
        <w:tabs>
          <w:tab w:val="left" w:pos="540"/>
          <w:tab w:val="left" w:pos="900"/>
          <w:tab w:val="clear" w:pos="42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特别说明：</w:t>
      </w:r>
    </w:p>
    <w:p>
      <w:pPr>
        <w:numPr>
          <w:ilvl w:val="1"/>
          <w:numId w:val="11"/>
        </w:numPr>
        <w:tabs>
          <w:tab w:val="left" w:pos="360"/>
          <w:tab w:val="clear" w:pos="992"/>
        </w:tabs>
        <w:spacing w:line="460" w:lineRule="exact"/>
        <w:ind w:left="418" w:leftChars="-68" w:hanging="561" w:hangingChars="255"/>
        <w:rPr>
          <w:rFonts w:ascii="宋体" w:hAnsi="宋体" w:cs="Arial"/>
          <w:color w:val="auto"/>
          <w:sz w:val="22"/>
          <w:szCs w:val="22"/>
          <w:highlight w:val="none"/>
        </w:rPr>
      </w:pPr>
      <w:r>
        <w:rPr>
          <w:rFonts w:hint="eastAsia" w:ascii="宋体" w:hAnsi="宋体" w:cs="Arial"/>
          <w:color w:val="auto"/>
          <w:sz w:val="22"/>
          <w:szCs w:val="22"/>
          <w:highlight w:val="none"/>
        </w:rPr>
        <w:t>投标人应仔细阅读招标文件的所有内容，按照招标文件的要求提交投标文件，并对所提供的全部资料的真实性承担法律责任。</w:t>
      </w:r>
    </w:p>
    <w:p>
      <w:pPr>
        <w:numPr>
          <w:ilvl w:val="1"/>
          <w:numId w:val="11"/>
        </w:numPr>
        <w:tabs>
          <w:tab w:val="left" w:pos="360"/>
          <w:tab w:val="clear" w:pos="992"/>
        </w:tabs>
        <w:spacing w:line="460" w:lineRule="exact"/>
        <w:ind w:left="418" w:leftChars="-68" w:hanging="561" w:hangingChars="255"/>
        <w:rPr>
          <w:rFonts w:ascii="宋体" w:hAnsi="宋体" w:cs="Arial"/>
          <w:color w:val="auto"/>
          <w:sz w:val="22"/>
          <w:szCs w:val="22"/>
          <w:highlight w:val="none"/>
        </w:rPr>
      </w:pPr>
      <w:bookmarkStart w:id="76" w:name="_Hlk37697637"/>
      <w:r>
        <w:rPr>
          <w:rFonts w:hint="eastAsia" w:ascii="宋体" w:hAnsi="宋体" w:cs="Arial"/>
          <w:color w:val="auto"/>
          <w:sz w:val="22"/>
          <w:szCs w:val="22"/>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00" w:lineRule="exact"/>
        <w:ind w:left="448" w:leftChars="-68" w:hanging="591" w:hangingChars="255"/>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非单一产品采购项目，采购人应当根据采购项目技术构成、产品价格比重等合理确定核心产品，并在招标文件中载明。多家投标人提供的核心产品品牌相同的，按前两款规定处理。</w:t>
      </w:r>
      <w:bookmarkEnd w:id="76"/>
    </w:p>
    <w:p>
      <w:pPr>
        <w:numPr>
          <w:ilvl w:val="1"/>
          <w:numId w:val="11"/>
        </w:numPr>
        <w:tabs>
          <w:tab w:val="left" w:pos="360"/>
          <w:tab w:val="clear" w:pos="992"/>
        </w:tabs>
        <w:spacing w:line="460" w:lineRule="exact"/>
        <w:ind w:left="418" w:leftChars="-68" w:hanging="561" w:hangingChars="255"/>
        <w:rPr>
          <w:rFonts w:ascii="宋体" w:hAnsi="宋体" w:cs="Arial"/>
          <w:color w:val="auto"/>
          <w:sz w:val="22"/>
          <w:szCs w:val="22"/>
          <w:highlight w:val="none"/>
        </w:rPr>
      </w:pPr>
      <w:r>
        <w:rPr>
          <w:rFonts w:hint="eastAsia" w:ascii="宋体" w:hAnsi="宋体" w:cs="Arial"/>
          <w:color w:val="auto"/>
          <w:sz w:val="22"/>
          <w:szCs w:val="22"/>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numPr>
          <w:ilvl w:val="1"/>
          <w:numId w:val="11"/>
        </w:numPr>
        <w:tabs>
          <w:tab w:val="left" w:pos="360"/>
          <w:tab w:val="clear" w:pos="992"/>
        </w:tabs>
        <w:spacing w:line="460" w:lineRule="exact"/>
        <w:ind w:left="418" w:leftChars="-68" w:hanging="561" w:hangingChars="255"/>
        <w:rPr>
          <w:rFonts w:ascii="宋体" w:hAnsi="宋体" w:cs="Arial"/>
          <w:color w:val="auto"/>
          <w:sz w:val="22"/>
          <w:szCs w:val="22"/>
          <w:highlight w:val="none"/>
        </w:rPr>
      </w:pPr>
      <w:r>
        <w:rPr>
          <w:rFonts w:hint="eastAsia" w:ascii="宋体" w:hAnsi="宋体" w:cs="Arial"/>
          <w:color w:val="auto"/>
          <w:sz w:val="22"/>
          <w:szCs w:val="22"/>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numPr>
          <w:ilvl w:val="1"/>
          <w:numId w:val="11"/>
        </w:numPr>
        <w:tabs>
          <w:tab w:val="left" w:pos="360"/>
          <w:tab w:val="clear" w:pos="992"/>
        </w:tabs>
        <w:spacing w:line="460" w:lineRule="exact"/>
        <w:ind w:left="418" w:leftChars="-68" w:hanging="561" w:hangingChars="255"/>
        <w:rPr>
          <w:rFonts w:ascii="宋体" w:hAnsi="宋体" w:cs="Arial"/>
          <w:color w:val="auto"/>
          <w:sz w:val="22"/>
          <w:szCs w:val="22"/>
          <w:highlight w:val="none"/>
        </w:rPr>
      </w:pPr>
      <w:r>
        <w:rPr>
          <w:rFonts w:hint="eastAsia" w:ascii="宋体" w:hAnsi="宋体" w:cs="Arial"/>
          <w:color w:val="auto"/>
          <w:sz w:val="22"/>
          <w:szCs w:val="22"/>
          <w:highlight w:val="none"/>
          <w:lang w:val="zh-CN"/>
        </w:rPr>
        <w:t>非浙江政府采购网注册的投标人或发生变更且未及时更新的投标人，应当在规定时间内按照《浙江省政府采购投标人注册及诚信管理暂行办法》（浙财采监字［2009］28号）的相关规定及时办理更新或投标人注册事项。一旦被确定为中标人的，在合同签订前按本办法的规定完成注册并成为正式注册投标人。</w:t>
      </w:r>
    </w:p>
    <w:p>
      <w:pPr>
        <w:spacing w:before="100" w:beforeAutospacing="1" w:after="100" w:afterAutospacing="1" w:line="440" w:lineRule="exact"/>
        <w:jc w:val="center"/>
        <w:outlineLvl w:val="0"/>
        <w:rPr>
          <w:rFonts w:ascii="宋体" w:hAnsi="宋体"/>
          <w:b/>
          <w:bCs/>
          <w:color w:val="auto"/>
          <w:sz w:val="26"/>
          <w:szCs w:val="26"/>
          <w:highlight w:val="none"/>
        </w:rPr>
      </w:pPr>
      <w:bookmarkStart w:id="77" w:name="_Toc18219"/>
      <w:r>
        <w:rPr>
          <w:rFonts w:hint="eastAsia" w:ascii="宋体" w:hAnsi="宋体"/>
          <w:b/>
          <w:bCs/>
          <w:color w:val="auto"/>
          <w:sz w:val="26"/>
          <w:szCs w:val="26"/>
          <w:highlight w:val="none"/>
        </w:rPr>
        <w:t>三、 招标文件</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7"/>
    </w:p>
    <w:p>
      <w:pPr>
        <w:numPr>
          <w:ilvl w:val="0"/>
          <w:numId w:val="12"/>
        </w:numPr>
        <w:tabs>
          <w:tab w:val="left" w:pos="540"/>
          <w:tab w:val="clear" w:pos="42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招标文件由招标文件目录所列内容及相关资料组成。</w:t>
      </w:r>
    </w:p>
    <w:p>
      <w:pPr>
        <w:numPr>
          <w:ilvl w:val="0"/>
          <w:numId w:val="12"/>
        </w:numPr>
        <w:tabs>
          <w:tab w:val="left" w:pos="540"/>
          <w:tab w:val="clear" w:pos="42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质疑</w:t>
      </w:r>
    </w:p>
    <w:p>
      <w:pPr>
        <w:numPr>
          <w:ilvl w:val="1"/>
          <w:numId w:val="13"/>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pPr>
        <w:numPr>
          <w:ilvl w:val="1"/>
          <w:numId w:val="13"/>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投标人提出质疑应当提交质疑函和必要的证明材料，质疑函范本请到“浙江政府采购网下载专区”下载，质疑函内容及签署等相关要求请参看《政府采购质疑和投诉办法》相关规定。</w:t>
      </w:r>
    </w:p>
    <w:p>
      <w:pPr>
        <w:numPr>
          <w:ilvl w:val="1"/>
          <w:numId w:val="13"/>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提出质疑的投标人应当是参与本项目招标活动的投标人。投标人在法定质疑期内一次性提出针对同一采购程序环节的质疑。</w:t>
      </w:r>
    </w:p>
    <w:p>
      <w:pPr>
        <w:numPr>
          <w:ilvl w:val="1"/>
          <w:numId w:val="13"/>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根据《政府采购质疑和投诉办法》第三十七条的规定，投诉人在全国范围12个月内三次以上投诉查无实据的，由财政部门列入不良行为记录名单。</w:t>
      </w:r>
    </w:p>
    <w:p>
      <w:pPr>
        <w:numPr>
          <w:ilvl w:val="0"/>
          <w:numId w:val="12"/>
        </w:numPr>
        <w:tabs>
          <w:tab w:val="left" w:pos="540"/>
          <w:tab w:val="clear" w:pos="42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投诉</w:t>
      </w:r>
    </w:p>
    <w:p>
      <w:pPr>
        <w:tabs>
          <w:tab w:val="left" w:pos="540"/>
        </w:tabs>
        <w:spacing w:line="400" w:lineRule="exact"/>
        <w:ind w:firstLine="464" w:firstLineChars="200"/>
        <w:rPr>
          <w:rFonts w:ascii="宋体" w:hAnsi="宋体" w:cs="宋体"/>
          <w:color w:val="auto"/>
          <w:sz w:val="22"/>
          <w:szCs w:val="22"/>
          <w:highlight w:val="none"/>
        </w:rPr>
      </w:pPr>
      <w:r>
        <w:rPr>
          <w:rFonts w:hint="eastAsia" w:ascii="宋体" w:hAnsi="宋体" w:cs="宋体"/>
          <w:color w:val="auto"/>
          <w:spacing w:val="6"/>
          <w:sz w:val="22"/>
          <w:highlight w:val="none"/>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numPr>
          <w:ilvl w:val="0"/>
          <w:numId w:val="12"/>
        </w:numPr>
        <w:tabs>
          <w:tab w:val="left" w:pos="540"/>
          <w:tab w:val="clear" w:pos="42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招标文件的澄清或修改</w:t>
      </w:r>
    </w:p>
    <w:p>
      <w:pPr>
        <w:numPr>
          <w:ilvl w:val="1"/>
          <w:numId w:val="14"/>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采购人或者采购代理机构可以对已发出的招标文件进行必要的澄清或者修改。澄清或者修改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招标文件的组成部分。</w:t>
      </w:r>
    </w:p>
    <w:p>
      <w:pPr>
        <w:numPr>
          <w:ilvl w:val="1"/>
          <w:numId w:val="14"/>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澄清或者修改的内容可能影响投标文件编制的，采购人或者采购代理机构应当在投标截止时间至少15日前，以书面形式（在浙江政府采购网上发布公告）通知所有获取招标文件的潜在投标人；不足15日的，采购人或者采购代理机构应当顺延提交投标文件的截止时间。</w:t>
      </w:r>
    </w:p>
    <w:p>
      <w:pPr>
        <w:numPr>
          <w:ilvl w:val="1"/>
          <w:numId w:val="14"/>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Arial"/>
          <w:color w:val="auto"/>
          <w:sz w:val="22"/>
          <w:szCs w:val="22"/>
          <w:highlight w:val="none"/>
        </w:rPr>
        <w:t>招标文件如有补充更正均见“浙江政府采购”（https://zfcg.czt.zj.gov.cn/）。投标人须在开标</w:t>
      </w:r>
      <w:r>
        <w:rPr>
          <w:rFonts w:hint="eastAsia" w:ascii="宋体" w:hAnsi="宋体" w:cs="宋体"/>
          <w:color w:val="auto"/>
          <w:spacing w:val="6"/>
          <w:sz w:val="22"/>
          <w:highlight w:val="none"/>
        </w:rPr>
        <w:t>前一日自行查看是否有补充更正文件，并按补充更正文件要求投标，否则责任自负。</w:t>
      </w:r>
    </w:p>
    <w:p>
      <w:pPr>
        <w:spacing w:before="100" w:beforeAutospacing="1" w:after="100" w:afterAutospacing="1" w:line="440" w:lineRule="exact"/>
        <w:jc w:val="center"/>
        <w:outlineLvl w:val="0"/>
        <w:rPr>
          <w:rFonts w:ascii="宋体" w:hAnsi="宋体"/>
          <w:b/>
          <w:bCs/>
          <w:color w:val="auto"/>
          <w:sz w:val="26"/>
          <w:szCs w:val="26"/>
          <w:highlight w:val="none"/>
        </w:rPr>
      </w:pPr>
      <w:bookmarkStart w:id="78" w:name="_Toc221356950"/>
      <w:bookmarkStart w:id="79" w:name="_Toc249758711"/>
      <w:bookmarkStart w:id="80" w:name="_Toc246261264"/>
      <w:bookmarkStart w:id="81" w:name="_Toc245191313"/>
      <w:bookmarkStart w:id="82" w:name="_Toc241404201"/>
      <w:bookmarkStart w:id="83" w:name="_Toc221356885"/>
      <w:bookmarkStart w:id="84" w:name="_Toc221423618"/>
      <w:bookmarkStart w:id="85" w:name="_Toc262105502"/>
      <w:bookmarkStart w:id="86" w:name="_Toc222114878"/>
      <w:bookmarkStart w:id="87" w:name="_Toc223715997"/>
      <w:bookmarkStart w:id="88" w:name="_Toc245722280"/>
      <w:bookmarkStart w:id="89" w:name="_Toc262049417"/>
      <w:bookmarkStart w:id="90" w:name="_Toc239145353"/>
      <w:bookmarkStart w:id="91" w:name="_Toc221374625"/>
      <w:bookmarkStart w:id="92" w:name="_Toc249758863"/>
      <w:bookmarkStart w:id="93" w:name="_Toc3391"/>
      <w:r>
        <w:rPr>
          <w:rFonts w:hint="eastAsia" w:ascii="宋体" w:hAnsi="宋体"/>
          <w:b/>
          <w:bCs/>
          <w:color w:val="auto"/>
          <w:sz w:val="26"/>
          <w:szCs w:val="26"/>
          <w:highlight w:val="none"/>
        </w:rPr>
        <w:t>四、 投标文件的编制</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pPr>
        <w:numPr>
          <w:ilvl w:val="0"/>
          <w:numId w:val="15"/>
        </w:numPr>
        <w:tabs>
          <w:tab w:val="left" w:pos="540"/>
          <w:tab w:val="clear" w:pos="420"/>
        </w:tabs>
        <w:spacing w:line="460" w:lineRule="exact"/>
        <w:ind w:left="540" w:hanging="540"/>
        <w:rPr>
          <w:rFonts w:ascii="宋体" w:hAnsi="宋体"/>
          <w:color w:val="auto"/>
          <w:sz w:val="22"/>
          <w:szCs w:val="22"/>
          <w:highlight w:val="none"/>
        </w:rPr>
      </w:pPr>
      <w:r>
        <w:rPr>
          <w:rFonts w:hint="eastAsia" w:ascii="宋体" w:hAnsi="宋体" w:cs="Arial"/>
          <w:color w:val="auto"/>
          <w:sz w:val="22"/>
          <w:szCs w:val="22"/>
          <w:highlight w:val="none"/>
        </w:rPr>
        <w:t>投标人应认真阅读招标文件中所有事项格式、条款和技术规范等。</w:t>
      </w:r>
      <w:r>
        <w:rPr>
          <w:rFonts w:hint="eastAsia" w:ascii="宋体" w:hAnsi="宋体" w:cs="Arial"/>
          <w:b/>
          <w:color w:val="auto"/>
          <w:sz w:val="22"/>
          <w:szCs w:val="22"/>
          <w:highlight w:val="none"/>
        </w:rPr>
        <w:t>投标人没有按照招标文件要求提交全部资料，或者没有对招标文件各个方面做出实质性响应，导致投标被拒绝的风险由投标人自行承担。</w:t>
      </w:r>
    </w:p>
    <w:p>
      <w:pPr>
        <w:numPr>
          <w:ilvl w:val="0"/>
          <w:numId w:val="15"/>
        </w:numPr>
        <w:tabs>
          <w:tab w:val="left" w:pos="540"/>
          <w:tab w:val="clear" w:pos="420"/>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投标文件的构成</w:t>
      </w:r>
    </w:p>
    <w:p>
      <w:pPr>
        <w:tabs>
          <w:tab w:val="left" w:pos="540"/>
        </w:tabs>
        <w:spacing w:line="460" w:lineRule="exact"/>
        <w:ind w:firstLine="442" w:firstLineChars="200"/>
        <w:rPr>
          <w:rFonts w:ascii="宋体" w:hAnsi="宋体" w:cs="Arial"/>
          <w:b/>
          <w:color w:val="auto"/>
          <w:sz w:val="22"/>
          <w:szCs w:val="22"/>
          <w:highlight w:val="none"/>
          <w:u w:val="single"/>
        </w:rPr>
      </w:pPr>
      <w:r>
        <w:rPr>
          <w:rFonts w:hint="eastAsia" w:ascii="宋体" w:hAnsi="宋体" w:cs="Arial"/>
          <w:b/>
          <w:color w:val="auto"/>
          <w:sz w:val="22"/>
          <w:szCs w:val="22"/>
          <w:highlight w:val="none"/>
          <w:u w:val="single"/>
        </w:rPr>
        <w:t>投标文件由资格文件、商务技术文件、报价文件三部分构成：</w:t>
      </w:r>
    </w:p>
    <w:p>
      <w:pPr>
        <w:spacing w:line="430" w:lineRule="exact"/>
        <w:ind w:left="187" w:leftChars="85" w:hanging="9" w:hangingChars="4"/>
        <w:rPr>
          <w:rFonts w:ascii="宋体" w:cs="hakuyoxingshu7000"/>
          <w:b/>
          <w:color w:val="auto"/>
          <w:sz w:val="22"/>
          <w:szCs w:val="22"/>
          <w:highlight w:val="none"/>
        </w:rPr>
      </w:pPr>
      <w:r>
        <w:rPr>
          <w:rFonts w:hint="eastAsia" w:ascii="宋体" w:hAnsi="宋体" w:cs="hakuyoxingshu7000"/>
          <w:b/>
          <w:color w:val="auto"/>
          <w:sz w:val="22"/>
          <w:szCs w:val="22"/>
          <w:highlight w:val="none"/>
        </w:rPr>
        <w:t>（</w:t>
      </w:r>
      <w:r>
        <w:rPr>
          <w:rFonts w:ascii="宋体" w:hAnsi="宋体" w:cs="hakuyoxingshu7000"/>
          <w:b/>
          <w:color w:val="auto"/>
          <w:sz w:val="22"/>
          <w:szCs w:val="22"/>
          <w:highlight w:val="none"/>
        </w:rPr>
        <w:t>1</w:t>
      </w:r>
      <w:r>
        <w:rPr>
          <w:rFonts w:hint="eastAsia" w:ascii="宋体" w:hAnsi="宋体" w:cs="hakuyoxingshu7000"/>
          <w:b/>
          <w:color w:val="auto"/>
          <w:sz w:val="22"/>
          <w:szCs w:val="22"/>
          <w:highlight w:val="none"/>
        </w:rPr>
        <w:t>）资格文件</w:t>
      </w:r>
    </w:p>
    <w:tbl>
      <w:tblPr>
        <w:tblStyle w:val="6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4"/>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overflowPunct w:val="0"/>
              <w:spacing w:line="430" w:lineRule="exact"/>
              <w:jc w:val="center"/>
              <w:rPr>
                <w:rFonts w:ascii="宋体" w:cs="新宋体"/>
                <w:b/>
                <w:color w:val="auto"/>
                <w:sz w:val="22"/>
                <w:szCs w:val="22"/>
                <w:highlight w:val="none"/>
              </w:rPr>
            </w:pPr>
            <w:r>
              <w:rPr>
                <w:rFonts w:hint="eastAsia" w:ascii="宋体" w:hAnsi="宋体" w:cs="新宋体"/>
                <w:b/>
                <w:color w:val="auto"/>
                <w:sz w:val="22"/>
                <w:szCs w:val="22"/>
                <w:highlight w:val="none"/>
              </w:rPr>
              <w:t>序号</w:t>
            </w:r>
          </w:p>
        </w:tc>
        <w:tc>
          <w:tcPr>
            <w:tcW w:w="7514" w:type="dxa"/>
            <w:vAlign w:val="center"/>
          </w:tcPr>
          <w:p>
            <w:pPr>
              <w:overflowPunct w:val="0"/>
              <w:spacing w:line="430" w:lineRule="exact"/>
              <w:jc w:val="center"/>
              <w:rPr>
                <w:rFonts w:ascii="宋体" w:cs="新宋体"/>
                <w:b/>
                <w:color w:val="auto"/>
                <w:sz w:val="22"/>
                <w:szCs w:val="22"/>
                <w:highlight w:val="none"/>
              </w:rPr>
            </w:pPr>
            <w:r>
              <w:rPr>
                <w:rFonts w:hint="eastAsia" w:ascii="宋体" w:hAnsi="宋体" w:cs="新宋体"/>
                <w:b/>
                <w:color w:val="auto"/>
                <w:sz w:val="22"/>
                <w:szCs w:val="22"/>
                <w:highlight w:val="none"/>
              </w:rPr>
              <w:t>内容</w:t>
            </w:r>
          </w:p>
        </w:tc>
        <w:tc>
          <w:tcPr>
            <w:tcW w:w="1523" w:type="dxa"/>
            <w:vAlign w:val="center"/>
          </w:tcPr>
          <w:p>
            <w:pPr>
              <w:overflowPunct w:val="0"/>
              <w:spacing w:line="430" w:lineRule="exact"/>
              <w:jc w:val="center"/>
              <w:rPr>
                <w:rFonts w:ascii="宋体" w:cs="新宋体"/>
                <w:b/>
                <w:color w:val="auto"/>
                <w:sz w:val="22"/>
                <w:szCs w:val="22"/>
                <w:highlight w:val="none"/>
              </w:rPr>
            </w:pPr>
            <w:r>
              <w:rPr>
                <w:rFonts w:hint="eastAsia" w:ascii="宋体" w:hAnsi="宋体" w:cs="新宋体"/>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overflowPunct w:val="0"/>
              <w:spacing w:line="430" w:lineRule="exact"/>
              <w:jc w:val="center"/>
              <w:rPr>
                <w:rFonts w:ascii="宋体" w:cs="新宋体"/>
                <w:bCs/>
                <w:color w:val="auto"/>
                <w:sz w:val="22"/>
                <w:szCs w:val="22"/>
                <w:highlight w:val="none"/>
              </w:rPr>
            </w:pPr>
            <w:r>
              <w:rPr>
                <w:rFonts w:ascii="宋体" w:hAnsi="宋体" w:cs="新宋体"/>
                <w:bCs/>
                <w:color w:val="auto"/>
                <w:sz w:val="22"/>
                <w:szCs w:val="22"/>
                <w:highlight w:val="none"/>
              </w:rPr>
              <w:t>1</w:t>
            </w:r>
          </w:p>
        </w:tc>
        <w:tc>
          <w:tcPr>
            <w:tcW w:w="7514" w:type="dxa"/>
            <w:vAlign w:val="center"/>
          </w:tcPr>
          <w:p>
            <w:pPr>
              <w:rPr>
                <w:rFonts w:ascii="宋体" w:cs="新宋体"/>
                <w:bCs/>
                <w:color w:val="auto"/>
                <w:sz w:val="22"/>
                <w:szCs w:val="22"/>
                <w:highlight w:val="none"/>
              </w:rPr>
            </w:pPr>
            <w:r>
              <w:rPr>
                <w:rFonts w:hint="eastAsia" w:ascii="宋体" w:hAnsi="宋体"/>
                <w:color w:val="auto"/>
                <w:sz w:val="22"/>
                <w:szCs w:val="22"/>
                <w:highlight w:val="none"/>
              </w:rPr>
              <w:t>营业执照</w:t>
            </w:r>
            <w:r>
              <w:rPr>
                <w:rFonts w:ascii="宋体" w:hAnsi="宋体"/>
                <w:color w:val="auto"/>
                <w:sz w:val="22"/>
                <w:szCs w:val="22"/>
                <w:highlight w:val="none"/>
              </w:rPr>
              <w:t>(</w:t>
            </w:r>
            <w:r>
              <w:rPr>
                <w:rFonts w:hint="eastAsia" w:ascii="宋体" w:hAnsi="宋体"/>
                <w:color w:val="auto"/>
                <w:sz w:val="22"/>
                <w:szCs w:val="22"/>
                <w:highlight w:val="none"/>
              </w:rPr>
              <w:t>或事业法人登记证书或其它工商等登记证明材料；自然人参与政府采购，提供身份证</w:t>
            </w:r>
            <w:r>
              <w:rPr>
                <w:rFonts w:ascii="宋体" w:hAnsi="宋体"/>
                <w:color w:val="auto"/>
                <w:sz w:val="22"/>
                <w:szCs w:val="22"/>
                <w:highlight w:val="none"/>
              </w:rPr>
              <w:t>)</w:t>
            </w:r>
            <w:r>
              <w:rPr>
                <w:rFonts w:hint="eastAsia" w:ascii="宋体" w:hAnsi="宋体"/>
                <w:color w:val="auto"/>
                <w:sz w:val="22"/>
                <w:szCs w:val="22"/>
                <w:highlight w:val="none"/>
              </w:rPr>
              <w:t>复印件、税务登记证</w:t>
            </w:r>
            <w:r>
              <w:rPr>
                <w:rFonts w:ascii="宋体" w:hAnsi="宋体"/>
                <w:color w:val="auto"/>
                <w:sz w:val="22"/>
                <w:szCs w:val="22"/>
                <w:highlight w:val="none"/>
              </w:rPr>
              <w:t>(</w:t>
            </w:r>
            <w:r>
              <w:rPr>
                <w:rFonts w:hint="eastAsia" w:ascii="宋体" w:hAnsi="宋体"/>
                <w:color w:val="auto"/>
                <w:sz w:val="22"/>
                <w:szCs w:val="22"/>
                <w:highlight w:val="none"/>
              </w:rPr>
              <w:t>或其它缴纳证明材料</w:t>
            </w:r>
            <w:r>
              <w:rPr>
                <w:rFonts w:ascii="宋体" w:hAnsi="宋体"/>
                <w:color w:val="auto"/>
                <w:sz w:val="22"/>
                <w:szCs w:val="22"/>
                <w:highlight w:val="none"/>
              </w:rPr>
              <w:t>)</w:t>
            </w:r>
            <w:r>
              <w:rPr>
                <w:rFonts w:hint="eastAsia" w:ascii="宋体" w:hAnsi="宋体"/>
                <w:color w:val="auto"/>
                <w:sz w:val="22"/>
                <w:szCs w:val="22"/>
                <w:highlight w:val="none"/>
              </w:rPr>
              <w:t>复印件、社保登记证（或其它缴纳证明材料）复印件；实施“五证合一、一照一码”登记制度改革的，只需提供改革后取得的营业执照复印件；</w:t>
            </w:r>
          </w:p>
        </w:tc>
        <w:tc>
          <w:tcPr>
            <w:tcW w:w="1523" w:type="dxa"/>
            <w:vAlign w:val="center"/>
          </w:tcPr>
          <w:p>
            <w:pPr>
              <w:overflowPunct w:val="0"/>
              <w:spacing w:line="430" w:lineRule="exact"/>
              <w:jc w:val="center"/>
              <w:rPr>
                <w:rFonts w:ascii="宋体" w:cs="新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overflowPunct w:val="0"/>
              <w:spacing w:line="430" w:lineRule="exact"/>
              <w:jc w:val="center"/>
              <w:rPr>
                <w:rFonts w:ascii="宋体" w:cs="新宋体"/>
                <w:bCs/>
                <w:color w:val="auto"/>
                <w:sz w:val="22"/>
                <w:szCs w:val="22"/>
                <w:highlight w:val="none"/>
              </w:rPr>
            </w:pPr>
            <w:r>
              <w:rPr>
                <w:rFonts w:ascii="宋体" w:hAnsi="宋体" w:cs="新宋体"/>
                <w:bCs/>
                <w:color w:val="auto"/>
                <w:sz w:val="22"/>
                <w:szCs w:val="22"/>
                <w:highlight w:val="none"/>
              </w:rPr>
              <w:t>2</w:t>
            </w:r>
          </w:p>
        </w:tc>
        <w:tc>
          <w:tcPr>
            <w:tcW w:w="7514" w:type="dxa"/>
            <w:vAlign w:val="center"/>
          </w:tcPr>
          <w:p>
            <w:pP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联合体协议书（如有，非联合体无需提供）</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分包意向协议</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如有</w:t>
            </w:r>
            <w:r>
              <w:rPr>
                <w:rFonts w:hint="eastAsia" w:ascii="宋体" w:hAnsi="宋体" w:cs="宋体"/>
                <w:color w:val="auto"/>
                <w:kern w:val="0"/>
                <w:sz w:val="22"/>
                <w:szCs w:val="22"/>
                <w:highlight w:val="none"/>
                <w:lang w:eastAsia="zh-CN"/>
              </w:rPr>
              <w:t>）</w:t>
            </w:r>
          </w:p>
        </w:tc>
        <w:tc>
          <w:tcPr>
            <w:tcW w:w="1523" w:type="dxa"/>
            <w:vMerge w:val="restart"/>
            <w:vAlign w:val="center"/>
          </w:tcPr>
          <w:p>
            <w:pPr>
              <w:jc w:val="center"/>
              <w:rPr>
                <w:rFonts w:ascii="宋体" w:cs="新宋体"/>
                <w:bCs/>
                <w:color w:val="auto"/>
                <w:sz w:val="22"/>
                <w:szCs w:val="22"/>
                <w:highlight w:val="none"/>
              </w:rPr>
            </w:pPr>
            <w:r>
              <w:rPr>
                <w:rFonts w:hint="eastAsia" w:ascii="宋体" w:hAnsi="宋体" w:cs="新宋体"/>
                <w:bCs/>
                <w:color w:val="auto"/>
                <w:sz w:val="22"/>
                <w:szCs w:val="22"/>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overflowPunct w:val="0"/>
              <w:spacing w:line="430" w:lineRule="exact"/>
              <w:jc w:val="center"/>
              <w:rPr>
                <w:rFonts w:ascii="宋体" w:cs="新宋体"/>
                <w:bCs/>
                <w:color w:val="auto"/>
                <w:sz w:val="22"/>
                <w:szCs w:val="22"/>
                <w:highlight w:val="none"/>
              </w:rPr>
            </w:pPr>
            <w:r>
              <w:rPr>
                <w:rFonts w:ascii="宋体" w:hAnsi="宋体" w:cs="新宋体"/>
                <w:bCs/>
                <w:color w:val="auto"/>
                <w:sz w:val="22"/>
                <w:szCs w:val="22"/>
                <w:highlight w:val="none"/>
              </w:rPr>
              <w:t>3</w:t>
            </w:r>
          </w:p>
        </w:tc>
        <w:tc>
          <w:tcPr>
            <w:tcW w:w="7514" w:type="dxa"/>
            <w:vAlign w:val="center"/>
          </w:tcPr>
          <w:p>
            <w:pPr>
              <w:rPr>
                <w:rFonts w:ascii="宋体" w:cs="新宋体"/>
                <w:bCs/>
                <w:color w:val="auto"/>
                <w:sz w:val="22"/>
                <w:szCs w:val="22"/>
                <w:highlight w:val="none"/>
              </w:rPr>
            </w:pPr>
            <w:r>
              <w:rPr>
                <w:rFonts w:hint="eastAsia" w:ascii="宋体" w:cs="新宋体"/>
                <w:bCs/>
                <w:color w:val="auto"/>
                <w:sz w:val="22"/>
                <w:szCs w:val="22"/>
                <w:highlight w:val="none"/>
              </w:rPr>
              <w:t>法定代表人声明书或法定代表人授权书</w:t>
            </w:r>
          </w:p>
        </w:tc>
        <w:tc>
          <w:tcPr>
            <w:tcW w:w="1523" w:type="dxa"/>
            <w:vMerge w:val="continue"/>
            <w:vAlign w:val="center"/>
          </w:tcPr>
          <w:p>
            <w:pPr>
              <w:jc w:val="center"/>
              <w:rPr>
                <w:rFonts w:ascii="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overflowPunct w:val="0"/>
              <w:spacing w:line="430" w:lineRule="exact"/>
              <w:jc w:val="center"/>
              <w:rPr>
                <w:rFonts w:ascii="宋体" w:cs="新宋体"/>
                <w:bCs/>
                <w:color w:val="auto"/>
                <w:sz w:val="22"/>
                <w:szCs w:val="22"/>
                <w:highlight w:val="none"/>
              </w:rPr>
            </w:pPr>
            <w:r>
              <w:rPr>
                <w:rFonts w:ascii="宋体" w:hAnsi="宋体" w:cs="新宋体"/>
                <w:bCs/>
                <w:color w:val="auto"/>
                <w:sz w:val="22"/>
                <w:szCs w:val="22"/>
                <w:highlight w:val="none"/>
              </w:rPr>
              <w:t>4</w:t>
            </w:r>
          </w:p>
        </w:tc>
        <w:tc>
          <w:tcPr>
            <w:tcW w:w="7514" w:type="dxa"/>
            <w:vAlign w:val="center"/>
          </w:tcPr>
          <w:p>
            <w:pPr>
              <w:rPr>
                <w:rFonts w:ascii="宋体" w:cs="新宋体"/>
                <w:bCs/>
                <w:color w:val="auto"/>
                <w:sz w:val="22"/>
                <w:szCs w:val="22"/>
                <w:highlight w:val="none"/>
              </w:rPr>
            </w:pPr>
            <w:r>
              <w:rPr>
                <w:rFonts w:hint="eastAsia" w:ascii="宋体" w:cs="新宋体"/>
                <w:bCs/>
                <w:color w:val="auto"/>
                <w:sz w:val="22"/>
                <w:szCs w:val="22"/>
                <w:highlight w:val="none"/>
                <w:lang w:eastAsia="zh-CN"/>
              </w:rPr>
              <w:t>投标人</w:t>
            </w:r>
            <w:r>
              <w:rPr>
                <w:rFonts w:hint="eastAsia" w:ascii="宋体" w:cs="新宋体"/>
                <w:bCs/>
                <w:color w:val="auto"/>
                <w:sz w:val="22"/>
                <w:szCs w:val="22"/>
                <w:highlight w:val="none"/>
              </w:rPr>
              <w:t>参与政府采购活动投标资格声明函</w:t>
            </w:r>
          </w:p>
        </w:tc>
        <w:tc>
          <w:tcPr>
            <w:tcW w:w="1523" w:type="dxa"/>
            <w:vMerge w:val="continue"/>
            <w:vAlign w:val="center"/>
          </w:tcPr>
          <w:p>
            <w:pPr>
              <w:spacing w:line="400" w:lineRule="exact"/>
              <w:jc w:val="center"/>
              <w:rPr>
                <w:rFonts w:asci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overflowPunct w:val="0"/>
              <w:spacing w:line="430" w:lineRule="exact"/>
              <w:jc w:val="center"/>
              <w:rPr>
                <w:rFonts w:ascii="宋体" w:cs="新宋体"/>
                <w:bCs/>
                <w:color w:val="auto"/>
                <w:sz w:val="22"/>
                <w:szCs w:val="22"/>
                <w:highlight w:val="none"/>
              </w:rPr>
            </w:pPr>
            <w:r>
              <w:rPr>
                <w:rFonts w:hint="eastAsia" w:ascii="宋体" w:cs="新宋体"/>
                <w:bCs/>
                <w:color w:val="auto"/>
                <w:sz w:val="22"/>
                <w:szCs w:val="22"/>
                <w:highlight w:val="none"/>
              </w:rPr>
              <w:t>5</w:t>
            </w:r>
          </w:p>
        </w:tc>
        <w:tc>
          <w:tcPr>
            <w:tcW w:w="7514" w:type="dxa"/>
            <w:vAlign w:val="center"/>
          </w:tcPr>
          <w:p>
            <w:pPr>
              <w:rPr>
                <w:rFonts w:ascii="宋体" w:cs="新宋体"/>
                <w:bCs/>
                <w:color w:val="auto"/>
                <w:sz w:val="22"/>
                <w:szCs w:val="22"/>
                <w:highlight w:val="none"/>
              </w:rPr>
            </w:pPr>
            <w:r>
              <w:rPr>
                <w:rFonts w:hint="eastAsia" w:ascii="宋体" w:cs="新宋体"/>
                <w:bCs/>
                <w:color w:val="auto"/>
                <w:sz w:val="22"/>
                <w:szCs w:val="22"/>
                <w:highlight w:val="none"/>
              </w:rPr>
              <w:t>诚信投标承诺书</w:t>
            </w:r>
          </w:p>
        </w:tc>
        <w:tc>
          <w:tcPr>
            <w:tcW w:w="1523" w:type="dxa"/>
            <w:vMerge w:val="continue"/>
            <w:vAlign w:val="center"/>
          </w:tcPr>
          <w:p>
            <w:pPr>
              <w:spacing w:line="400" w:lineRule="exact"/>
              <w:jc w:val="center"/>
              <w:rPr>
                <w:rFonts w:asci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overflowPunct w:val="0"/>
              <w:spacing w:line="430" w:lineRule="exact"/>
              <w:jc w:val="center"/>
              <w:rPr>
                <w:rFonts w:ascii="宋体" w:cs="新宋体"/>
                <w:bCs/>
                <w:color w:val="auto"/>
                <w:sz w:val="22"/>
                <w:szCs w:val="22"/>
                <w:highlight w:val="none"/>
              </w:rPr>
            </w:pPr>
            <w:r>
              <w:rPr>
                <w:rFonts w:hint="eastAsia" w:ascii="宋体" w:cs="新宋体"/>
                <w:bCs/>
                <w:color w:val="auto"/>
                <w:sz w:val="22"/>
                <w:szCs w:val="22"/>
                <w:highlight w:val="none"/>
              </w:rPr>
              <w:t>6</w:t>
            </w:r>
          </w:p>
        </w:tc>
        <w:tc>
          <w:tcPr>
            <w:tcW w:w="7514" w:type="dxa"/>
            <w:vAlign w:val="center"/>
          </w:tcPr>
          <w:p>
            <w:pPr>
              <w:rPr>
                <w:rFonts w:ascii="宋体" w:cs="新宋体"/>
                <w:bCs/>
                <w:color w:val="auto"/>
                <w:sz w:val="22"/>
                <w:szCs w:val="22"/>
                <w:highlight w:val="none"/>
              </w:rPr>
            </w:pPr>
            <w:r>
              <w:rPr>
                <w:rFonts w:hint="eastAsia" w:ascii="宋体" w:hAnsi="宋体" w:cs="新宋体"/>
                <w:bCs/>
                <w:color w:val="auto"/>
                <w:sz w:val="22"/>
                <w:szCs w:val="22"/>
                <w:highlight w:val="none"/>
                <w:lang w:eastAsia="zh-CN"/>
              </w:rPr>
              <w:t>投标人</w:t>
            </w:r>
            <w:r>
              <w:rPr>
                <w:rFonts w:hint="eastAsia" w:ascii="宋体" w:hAnsi="宋体" w:cs="新宋体"/>
                <w:bCs/>
                <w:color w:val="auto"/>
                <w:sz w:val="22"/>
                <w:szCs w:val="22"/>
                <w:highlight w:val="none"/>
              </w:rPr>
              <w:t>“信用中国”</w:t>
            </w:r>
            <w:r>
              <w:rPr>
                <w:rFonts w:ascii="宋体" w:hAnsi="宋体" w:cs="新宋体"/>
                <w:bCs/>
                <w:color w:val="auto"/>
                <w:sz w:val="22"/>
                <w:szCs w:val="22"/>
                <w:highlight w:val="none"/>
              </w:rPr>
              <w:t>(www.creditchina.gov.cn)</w:t>
            </w:r>
            <w:r>
              <w:rPr>
                <w:rFonts w:hint="eastAsia" w:ascii="宋体" w:hAnsi="宋体" w:cs="新宋体"/>
                <w:bCs/>
                <w:color w:val="auto"/>
                <w:sz w:val="22"/>
                <w:szCs w:val="22"/>
                <w:highlight w:val="none"/>
              </w:rPr>
              <w:t>；“中国政府采购网”（</w:t>
            </w:r>
            <w:r>
              <w:rPr>
                <w:rFonts w:ascii="宋体" w:hAnsi="宋体" w:cs="新宋体"/>
                <w:bCs/>
                <w:color w:val="auto"/>
                <w:sz w:val="22"/>
                <w:szCs w:val="22"/>
                <w:highlight w:val="none"/>
              </w:rPr>
              <w:t>http://www.ccgp.gov.cn/</w:t>
            </w:r>
            <w:r>
              <w:rPr>
                <w:rFonts w:hint="eastAsia" w:ascii="宋体" w:hAnsi="宋体" w:cs="新宋体"/>
                <w:bCs/>
                <w:color w:val="auto"/>
                <w:sz w:val="22"/>
                <w:szCs w:val="22"/>
                <w:highlight w:val="none"/>
              </w:rPr>
              <w:t>）信用记录网页截图（采购公告发布之日至投标截止时间前）；</w:t>
            </w:r>
          </w:p>
        </w:tc>
        <w:tc>
          <w:tcPr>
            <w:tcW w:w="1523" w:type="dxa"/>
            <w:vAlign w:val="center"/>
          </w:tcPr>
          <w:p>
            <w:pPr>
              <w:jc w:val="center"/>
              <w:rPr>
                <w:rFonts w:ascii="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overflowPunct w:val="0"/>
              <w:spacing w:line="430" w:lineRule="exact"/>
              <w:jc w:val="center"/>
              <w:rPr>
                <w:rFonts w:hint="eastAsia" w:ascii="宋体" w:eastAsia="宋体" w:cs="新宋体"/>
                <w:bCs/>
                <w:color w:val="auto"/>
                <w:sz w:val="22"/>
                <w:szCs w:val="22"/>
                <w:highlight w:val="none"/>
                <w:lang w:val="en-US" w:eastAsia="zh-CN"/>
              </w:rPr>
            </w:pPr>
            <w:r>
              <w:rPr>
                <w:rFonts w:hint="eastAsia" w:ascii="宋体" w:cs="新宋体"/>
                <w:bCs/>
                <w:color w:val="auto"/>
                <w:sz w:val="22"/>
                <w:szCs w:val="22"/>
                <w:highlight w:val="none"/>
                <w:lang w:val="en-US" w:eastAsia="zh-CN"/>
              </w:rPr>
              <w:t>7</w:t>
            </w:r>
          </w:p>
        </w:tc>
        <w:tc>
          <w:tcPr>
            <w:tcW w:w="7514" w:type="dxa"/>
            <w:vAlign w:val="center"/>
          </w:tcPr>
          <w:p>
            <w:pPr>
              <w:rPr>
                <w:rFonts w:hint="default" w:ascii="宋体" w:hAnsi="宋体" w:eastAsia="宋体" w:cs="新宋体"/>
                <w:bCs/>
                <w:color w:val="auto"/>
                <w:sz w:val="22"/>
                <w:szCs w:val="22"/>
                <w:highlight w:val="none"/>
                <w:lang w:val="en-US" w:eastAsia="zh-CN"/>
              </w:rPr>
            </w:pPr>
            <w:r>
              <w:rPr>
                <w:rFonts w:hint="eastAsia" w:ascii="宋体" w:hAnsi="宋体" w:cs="新宋体"/>
                <w:bCs/>
                <w:color w:val="auto"/>
                <w:sz w:val="22"/>
                <w:szCs w:val="22"/>
                <w:highlight w:val="none"/>
                <w:lang w:val="en-US" w:eastAsia="zh-CN"/>
              </w:rPr>
              <w:t>投标人认为其他需要提交的资料</w:t>
            </w:r>
          </w:p>
        </w:tc>
        <w:tc>
          <w:tcPr>
            <w:tcW w:w="1523" w:type="dxa"/>
            <w:vAlign w:val="center"/>
          </w:tcPr>
          <w:p>
            <w:pPr>
              <w:jc w:val="center"/>
              <w:rPr>
                <w:rFonts w:ascii="宋体" w:cs="新宋体"/>
                <w:bCs/>
                <w:color w:val="auto"/>
                <w:sz w:val="22"/>
                <w:szCs w:val="22"/>
                <w:highlight w:val="none"/>
              </w:rPr>
            </w:pPr>
          </w:p>
        </w:tc>
      </w:tr>
    </w:tbl>
    <w:p>
      <w:pPr>
        <w:spacing w:line="430" w:lineRule="exact"/>
        <w:ind w:left="187" w:leftChars="85" w:hanging="9" w:hangingChars="4"/>
        <w:rPr>
          <w:rFonts w:ascii="宋体" w:cs="楷体"/>
          <w:b/>
          <w:color w:val="auto"/>
          <w:sz w:val="22"/>
          <w:szCs w:val="22"/>
          <w:highlight w:val="none"/>
        </w:rPr>
      </w:pPr>
      <w:r>
        <w:rPr>
          <w:rFonts w:hint="eastAsia" w:ascii="宋体" w:hAnsi="宋体" w:cs="楷体"/>
          <w:b/>
          <w:color w:val="auto"/>
          <w:sz w:val="22"/>
          <w:szCs w:val="22"/>
          <w:highlight w:val="none"/>
        </w:rPr>
        <w:t>备注：</w:t>
      </w:r>
    </w:p>
    <w:p>
      <w:pPr>
        <w:numPr>
          <w:ilvl w:val="0"/>
          <w:numId w:val="16"/>
        </w:numPr>
        <w:spacing w:line="430" w:lineRule="exact"/>
        <w:rPr>
          <w:rFonts w:ascii="宋体" w:cs="楷体"/>
          <w:b/>
          <w:color w:val="auto"/>
          <w:sz w:val="22"/>
          <w:szCs w:val="22"/>
          <w:highlight w:val="none"/>
        </w:rPr>
      </w:pPr>
      <w:r>
        <w:rPr>
          <w:rFonts w:hint="eastAsia" w:ascii="宋体" w:hAnsi="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w:t>
      </w:r>
      <w:r>
        <w:rPr>
          <w:rFonts w:hint="eastAsia" w:ascii="宋体" w:hAnsi="宋体" w:cs="新宋体"/>
          <w:b/>
          <w:bCs/>
          <w:color w:val="auto"/>
          <w:sz w:val="22"/>
          <w:szCs w:val="22"/>
          <w:highlight w:val="none"/>
        </w:rPr>
        <w:t>总公司（总机构）授权或能够提供房产权证或其他有效财产证明材料（在投标文件中提供相关材料）</w:t>
      </w:r>
      <w:r>
        <w:rPr>
          <w:rFonts w:hint="eastAsia" w:ascii="宋体" w:hAnsi="宋体" w:cs="新宋体"/>
          <w:color w:val="auto"/>
          <w:sz w:val="22"/>
          <w:szCs w:val="22"/>
          <w:highlight w:val="none"/>
        </w:rPr>
        <w:t>，证明其具备实际承担责任的能力和法定的缔结合同能力，可以独立参加政府采购活动，由单位负责人签署相关文件材料；</w:t>
      </w:r>
    </w:p>
    <w:p>
      <w:pPr>
        <w:numPr>
          <w:ilvl w:val="0"/>
          <w:numId w:val="16"/>
        </w:numPr>
        <w:spacing w:line="430" w:lineRule="exact"/>
        <w:rPr>
          <w:rFonts w:ascii="宋体" w:hAnsi="宋体" w:cs="宋体"/>
          <w:color w:val="auto"/>
          <w:highlight w:val="none"/>
        </w:rPr>
      </w:pPr>
      <w:r>
        <w:rPr>
          <w:rFonts w:hint="eastAsia" w:ascii="宋体" w:hAnsi="宋体" w:cs="宋体"/>
          <w:b/>
          <w:bCs/>
          <w:color w:val="auto"/>
          <w:sz w:val="22"/>
          <w:szCs w:val="22"/>
          <w:highlight w:val="none"/>
        </w:rPr>
        <w:t>如为联合体，3至6项材料联合体双方均需提供。</w:t>
      </w:r>
    </w:p>
    <w:p>
      <w:pPr>
        <w:spacing w:line="430" w:lineRule="exact"/>
        <w:rPr>
          <w:rFonts w:ascii="宋体" w:cs="hakuyoxingshu7000"/>
          <w:b/>
          <w:color w:val="auto"/>
          <w:kern w:val="0"/>
          <w:sz w:val="22"/>
          <w:szCs w:val="22"/>
          <w:highlight w:val="none"/>
        </w:rPr>
      </w:pPr>
      <w:r>
        <w:rPr>
          <w:rFonts w:hint="eastAsia" w:ascii="宋体" w:hAnsi="宋体" w:cs="hakuyoxingshu7000"/>
          <w:b/>
          <w:color w:val="auto"/>
          <w:sz w:val="22"/>
          <w:szCs w:val="22"/>
          <w:highlight w:val="none"/>
        </w:rPr>
        <w:t>（</w:t>
      </w:r>
      <w:r>
        <w:rPr>
          <w:rFonts w:ascii="宋体" w:hAnsi="宋体" w:cs="hakuyoxingshu7000"/>
          <w:b/>
          <w:color w:val="auto"/>
          <w:sz w:val="22"/>
          <w:szCs w:val="22"/>
          <w:highlight w:val="none"/>
        </w:rPr>
        <w:t>2</w:t>
      </w:r>
      <w:r>
        <w:rPr>
          <w:rFonts w:hint="eastAsia" w:ascii="宋体" w:hAnsi="宋体" w:cs="hakuyoxingshu7000"/>
          <w:b/>
          <w:color w:val="auto"/>
          <w:sz w:val="22"/>
          <w:szCs w:val="22"/>
          <w:highlight w:val="none"/>
        </w:rPr>
        <w:t>）</w:t>
      </w:r>
      <w:r>
        <w:rPr>
          <w:rFonts w:hint="eastAsia" w:ascii="宋体" w:hAnsi="宋体" w:cs="hakuyoxingshu7000"/>
          <w:b/>
          <w:color w:val="auto"/>
          <w:kern w:val="0"/>
          <w:sz w:val="22"/>
          <w:szCs w:val="22"/>
          <w:highlight w:val="none"/>
        </w:rPr>
        <w:t>报价文件</w:t>
      </w:r>
    </w:p>
    <w:tbl>
      <w:tblPr>
        <w:tblStyle w:val="6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30" w:lineRule="exact"/>
              <w:jc w:val="center"/>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序号</w:t>
            </w:r>
          </w:p>
        </w:tc>
        <w:tc>
          <w:tcPr>
            <w:tcW w:w="7513" w:type="dxa"/>
            <w:vAlign w:val="center"/>
          </w:tcPr>
          <w:p>
            <w:pPr>
              <w:spacing w:line="430" w:lineRule="exact"/>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内容</w:t>
            </w:r>
          </w:p>
        </w:tc>
        <w:tc>
          <w:tcPr>
            <w:tcW w:w="1524" w:type="dxa"/>
            <w:vAlign w:val="center"/>
          </w:tcPr>
          <w:p>
            <w:pPr>
              <w:spacing w:line="430" w:lineRule="exact"/>
              <w:jc w:val="center"/>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30" w:lineRule="exact"/>
              <w:jc w:val="center"/>
              <w:rPr>
                <w:rFonts w:ascii="宋体" w:cs="hakuyoxingshu7000"/>
                <w:color w:val="auto"/>
                <w:kern w:val="0"/>
                <w:sz w:val="22"/>
                <w:szCs w:val="22"/>
                <w:highlight w:val="none"/>
              </w:rPr>
            </w:pPr>
            <w:r>
              <w:rPr>
                <w:rFonts w:ascii="宋体" w:hAnsi="宋体" w:cs="hakuyoxingshu7000"/>
                <w:color w:val="auto"/>
                <w:kern w:val="0"/>
                <w:sz w:val="22"/>
                <w:szCs w:val="22"/>
                <w:highlight w:val="none"/>
              </w:rPr>
              <w:t>1)</w:t>
            </w:r>
          </w:p>
        </w:tc>
        <w:tc>
          <w:tcPr>
            <w:tcW w:w="7513" w:type="dxa"/>
            <w:vAlign w:val="center"/>
          </w:tcPr>
          <w:p>
            <w:pPr>
              <w:spacing w:line="430" w:lineRule="exact"/>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开标一览表</w:t>
            </w:r>
          </w:p>
        </w:tc>
        <w:tc>
          <w:tcPr>
            <w:tcW w:w="1524" w:type="dxa"/>
            <w:vMerge w:val="restart"/>
            <w:vAlign w:val="center"/>
          </w:tcPr>
          <w:p>
            <w:pPr>
              <w:spacing w:line="430" w:lineRule="exact"/>
              <w:jc w:val="center"/>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30" w:lineRule="exact"/>
              <w:jc w:val="center"/>
              <w:rPr>
                <w:rFonts w:ascii="宋体" w:cs="hakuyoxingshu7000"/>
                <w:color w:val="auto"/>
                <w:kern w:val="0"/>
                <w:sz w:val="22"/>
                <w:szCs w:val="22"/>
                <w:highlight w:val="none"/>
              </w:rPr>
            </w:pPr>
            <w:r>
              <w:rPr>
                <w:rFonts w:ascii="宋体" w:hAnsi="宋体" w:cs="hakuyoxingshu7000"/>
                <w:color w:val="auto"/>
                <w:kern w:val="0"/>
                <w:sz w:val="22"/>
                <w:szCs w:val="22"/>
                <w:highlight w:val="none"/>
              </w:rPr>
              <w:t>2</w:t>
            </w:r>
            <w:r>
              <w:rPr>
                <w:rFonts w:hint="eastAsia" w:ascii="宋体" w:hAnsi="宋体" w:cs="hakuyoxingshu7000"/>
                <w:color w:val="auto"/>
                <w:kern w:val="0"/>
                <w:sz w:val="22"/>
                <w:szCs w:val="22"/>
                <w:highlight w:val="none"/>
              </w:rPr>
              <w:t>）</w:t>
            </w:r>
          </w:p>
        </w:tc>
        <w:tc>
          <w:tcPr>
            <w:tcW w:w="7513" w:type="dxa"/>
            <w:vAlign w:val="center"/>
          </w:tcPr>
          <w:p>
            <w:pPr>
              <w:spacing w:line="430" w:lineRule="exact"/>
              <w:jc w:val="left"/>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分项报价表</w:t>
            </w:r>
          </w:p>
        </w:tc>
        <w:tc>
          <w:tcPr>
            <w:tcW w:w="1524" w:type="dxa"/>
            <w:vMerge w:val="continue"/>
            <w:vAlign w:val="center"/>
          </w:tcPr>
          <w:p>
            <w:pPr>
              <w:spacing w:line="430" w:lineRule="exact"/>
              <w:jc w:val="center"/>
              <w:rPr>
                <w:rFonts w:ascii="宋体" w:cs="hakuyoxingshu7000"/>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30" w:lineRule="exact"/>
              <w:jc w:val="center"/>
              <w:rPr>
                <w:rFonts w:ascii="宋体" w:hAnsi="宋体" w:cs="hakuyoxingshu7000"/>
                <w:color w:val="auto"/>
                <w:kern w:val="0"/>
                <w:sz w:val="22"/>
                <w:szCs w:val="22"/>
                <w:highlight w:val="none"/>
              </w:rPr>
            </w:pPr>
            <w:r>
              <w:rPr>
                <w:rFonts w:hint="eastAsia" w:ascii="宋体" w:hAnsi="宋体" w:cs="仿宋"/>
                <w:color w:val="auto"/>
                <w:sz w:val="22"/>
                <w:szCs w:val="22"/>
                <w:highlight w:val="none"/>
              </w:rPr>
              <w:t>3）</w:t>
            </w:r>
          </w:p>
        </w:tc>
        <w:tc>
          <w:tcPr>
            <w:tcW w:w="7513" w:type="dxa"/>
            <w:vAlign w:val="center"/>
          </w:tcPr>
          <w:p>
            <w:pPr>
              <w:rPr>
                <w:rFonts w:ascii="宋体" w:hAnsi="宋体" w:cs="新宋体"/>
                <w:bCs/>
                <w:color w:val="auto"/>
                <w:sz w:val="22"/>
                <w:szCs w:val="22"/>
                <w:highlight w:val="none"/>
              </w:rPr>
            </w:pPr>
            <w:r>
              <w:rPr>
                <w:rFonts w:hint="eastAsia" w:ascii="宋体" w:cs="新宋体"/>
                <w:bCs/>
                <w:color w:val="auto"/>
                <w:sz w:val="22"/>
                <w:szCs w:val="22"/>
                <w:highlight w:val="none"/>
              </w:rPr>
              <w:t>小微企业（或监狱企业、残疾人福利单位）声明函</w:t>
            </w:r>
          </w:p>
        </w:tc>
        <w:tc>
          <w:tcPr>
            <w:tcW w:w="1524" w:type="dxa"/>
            <w:vAlign w:val="center"/>
          </w:tcPr>
          <w:p>
            <w:pPr>
              <w:spacing w:line="430" w:lineRule="exact"/>
              <w:jc w:val="center"/>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附件六</w:t>
            </w:r>
          </w:p>
        </w:tc>
      </w:tr>
    </w:tbl>
    <w:p>
      <w:pPr>
        <w:spacing w:line="430" w:lineRule="exact"/>
        <w:ind w:left="187" w:leftChars="85" w:hanging="9" w:hangingChars="4"/>
        <w:rPr>
          <w:rFonts w:ascii="宋体" w:cs="hakuyoxingshu7000"/>
          <w:b/>
          <w:color w:val="auto"/>
          <w:sz w:val="22"/>
          <w:szCs w:val="22"/>
          <w:highlight w:val="none"/>
        </w:rPr>
      </w:pPr>
      <w:r>
        <w:rPr>
          <w:rFonts w:hint="eastAsia" w:ascii="宋体" w:hAnsi="宋体" w:cs="hakuyoxingshu7000"/>
          <w:b/>
          <w:color w:val="auto"/>
          <w:kern w:val="0"/>
          <w:sz w:val="22"/>
          <w:szCs w:val="22"/>
          <w:highlight w:val="none"/>
        </w:rPr>
        <w:t>（</w:t>
      </w:r>
      <w:r>
        <w:rPr>
          <w:rFonts w:ascii="宋体" w:hAnsi="宋体" w:cs="hakuyoxingshu7000"/>
          <w:b/>
          <w:color w:val="auto"/>
          <w:kern w:val="0"/>
          <w:sz w:val="22"/>
          <w:szCs w:val="22"/>
          <w:highlight w:val="none"/>
        </w:rPr>
        <w:t>3</w:t>
      </w:r>
      <w:r>
        <w:rPr>
          <w:rFonts w:hint="eastAsia" w:ascii="宋体" w:hAnsi="宋体" w:cs="hakuyoxingshu7000"/>
          <w:b/>
          <w:color w:val="auto"/>
          <w:kern w:val="0"/>
          <w:sz w:val="22"/>
          <w:szCs w:val="22"/>
          <w:highlight w:val="none"/>
        </w:rPr>
        <w:t>）</w:t>
      </w:r>
      <w:r>
        <w:rPr>
          <w:rFonts w:hint="eastAsia" w:ascii="宋体" w:hAnsi="宋体" w:cs="hakuyoxingshu7000"/>
          <w:b/>
          <w:color w:val="auto"/>
          <w:sz w:val="22"/>
          <w:szCs w:val="22"/>
          <w:highlight w:val="none"/>
        </w:rPr>
        <w:t>商务技术文件</w:t>
      </w:r>
    </w:p>
    <w:tbl>
      <w:tblPr>
        <w:tblStyle w:val="6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430" w:lineRule="exact"/>
              <w:jc w:val="center"/>
              <w:rPr>
                <w:rFonts w:ascii="宋体" w:cs="仿宋"/>
                <w:b/>
                <w:color w:val="auto"/>
                <w:sz w:val="22"/>
                <w:szCs w:val="22"/>
                <w:highlight w:val="none"/>
              </w:rPr>
            </w:pPr>
            <w:r>
              <w:rPr>
                <w:rFonts w:hint="eastAsia" w:ascii="宋体" w:hAnsi="宋体" w:cs="仿宋"/>
                <w:b/>
                <w:color w:val="auto"/>
                <w:sz w:val="22"/>
                <w:szCs w:val="22"/>
                <w:highlight w:val="none"/>
              </w:rPr>
              <w:t>序号</w:t>
            </w:r>
          </w:p>
        </w:tc>
        <w:tc>
          <w:tcPr>
            <w:tcW w:w="7513" w:type="dxa"/>
            <w:vAlign w:val="center"/>
          </w:tcPr>
          <w:p>
            <w:pPr>
              <w:spacing w:line="430" w:lineRule="exact"/>
              <w:rPr>
                <w:rFonts w:ascii="宋体" w:cs="仿宋"/>
                <w:b/>
                <w:color w:val="auto"/>
                <w:sz w:val="22"/>
                <w:szCs w:val="22"/>
                <w:highlight w:val="none"/>
              </w:rPr>
            </w:pPr>
            <w:r>
              <w:rPr>
                <w:rFonts w:hint="eastAsia" w:ascii="宋体" w:hAnsi="宋体" w:cs="仿宋"/>
                <w:b/>
                <w:color w:val="auto"/>
                <w:sz w:val="22"/>
                <w:szCs w:val="22"/>
                <w:highlight w:val="none"/>
              </w:rPr>
              <w:t>内容</w:t>
            </w:r>
          </w:p>
        </w:tc>
        <w:tc>
          <w:tcPr>
            <w:tcW w:w="1524" w:type="dxa"/>
            <w:vAlign w:val="center"/>
          </w:tcPr>
          <w:p>
            <w:pPr>
              <w:spacing w:line="430" w:lineRule="exact"/>
              <w:jc w:val="center"/>
              <w:rPr>
                <w:rFonts w:ascii="宋体" w:cs="仿宋"/>
                <w:b/>
                <w:color w:val="auto"/>
                <w:sz w:val="22"/>
                <w:szCs w:val="22"/>
                <w:highlight w:val="none"/>
              </w:rPr>
            </w:pPr>
            <w:r>
              <w:rPr>
                <w:rFonts w:hint="eastAsia" w:ascii="宋体" w:hAnsi="宋体" w:cs="仿宋"/>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430" w:lineRule="exact"/>
              <w:jc w:val="center"/>
              <w:rPr>
                <w:rFonts w:ascii="宋体" w:cs="仿宋"/>
                <w:color w:val="auto"/>
                <w:sz w:val="22"/>
                <w:szCs w:val="22"/>
                <w:highlight w:val="none"/>
              </w:rPr>
            </w:pPr>
            <w:r>
              <w:rPr>
                <w:rFonts w:ascii="宋体" w:hAnsi="宋体" w:cs="仿宋"/>
                <w:color w:val="auto"/>
                <w:sz w:val="22"/>
                <w:szCs w:val="22"/>
                <w:highlight w:val="none"/>
              </w:rPr>
              <w:t>1</w:t>
            </w:r>
            <w:r>
              <w:rPr>
                <w:rFonts w:hint="eastAsia" w:ascii="宋体" w:hAnsi="宋体" w:cs="仿宋"/>
                <w:color w:val="auto"/>
                <w:sz w:val="22"/>
                <w:szCs w:val="22"/>
                <w:highlight w:val="none"/>
              </w:rPr>
              <w:t>）</w:t>
            </w:r>
          </w:p>
        </w:tc>
        <w:tc>
          <w:tcPr>
            <w:tcW w:w="7513" w:type="dxa"/>
            <w:vAlign w:val="center"/>
          </w:tcPr>
          <w:p>
            <w:pPr>
              <w:spacing w:line="430" w:lineRule="exact"/>
              <w:rPr>
                <w:rFonts w:ascii="宋体" w:cs="仿宋"/>
                <w:color w:val="auto"/>
                <w:sz w:val="22"/>
                <w:szCs w:val="22"/>
                <w:highlight w:val="none"/>
              </w:rPr>
            </w:pPr>
            <w:r>
              <w:rPr>
                <w:rFonts w:hint="eastAsia" w:ascii="宋体" w:hAnsi="宋体" w:cs="仿宋"/>
                <w:color w:val="auto"/>
                <w:sz w:val="22"/>
                <w:szCs w:val="22"/>
                <w:highlight w:val="none"/>
              </w:rPr>
              <w:t>投标函</w:t>
            </w:r>
          </w:p>
        </w:tc>
        <w:tc>
          <w:tcPr>
            <w:tcW w:w="1524" w:type="dxa"/>
            <w:vAlign w:val="center"/>
          </w:tcPr>
          <w:p>
            <w:pPr>
              <w:spacing w:line="430" w:lineRule="exact"/>
              <w:jc w:val="center"/>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430" w:lineRule="exact"/>
              <w:jc w:val="center"/>
              <w:rPr>
                <w:rFonts w:ascii="宋体" w:cs="仿宋"/>
                <w:color w:val="auto"/>
                <w:sz w:val="22"/>
                <w:szCs w:val="22"/>
                <w:highlight w:val="none"/>
              </w:rPr>
            </w:pPr>
            <w:r>
              <w:rPr>
                <w:rFonts w:ascii="宋体" w:hAnsi="宋体" w:cs="仿宋"/>
                <w:color w:val="auto"/>
                <w:sz w:val="22"/>
                <w:szCs w:val="22"/>
                <w:highlight w:val="none"/>
              </w:rPr>
              <w:t>2</w:t>
            </w:r>
            <w:r>
              <w:rPr>
                <w:rFonts w:hint="eastAsia" w:ascii="宋体" w:hAnsi="宋体" w:cs="仿宋"/>
                <w:color w:val="auto"/>
                <w:sz w:val="22"/>
                <w:szCs w:val="22"/>
                <w:highlight w:val="none"/>
              </w:rPr>
              <w:t>）</w:t>
            </w:r>
          </w:p>
        </w:tc>
        <w:tc>
          <w:tcPr>
            <w:tcW w:w="7513" w:type="dxa"/>
            <w:vAlign w:val="center"/>
          </w:tcPr>
          <w:p>
            <w:pPr>
              <w:spacing w:line="430" w:lineRule="exact"/>
              <w:rPr>
                <w:rFonts w:ascii="宋体" w:cs="仿宋"/>
                <w:color w:val="auto"/>
                <w:sz w:val="22"/>
                <w:szCs w:val="22"/>
                <w:highlight w:val="none"/>
              </w:rPr>
            </w:pPr>
            <w:r>
              <w:rPr>
                <w:rFonts w:hint="eastAsia" w:ascii="宋体" w:hAnsi="宋体" w:cs="仿宋"/>
                <w:color w:val="auto"/>
                <w:sz w:val="22"/>
                <w:szCs w:val="22"/>
                <w:highlight w:val="none"/>
              </w:rPr>
              <w:t>技术规格、商务条款偏离表</w:t>
            </w:r>
          </w:p>
        </w:tc>
        <w:tc>
          <w:tcPr>
            <w:tcW w:w="1524" w:type="dxa"/>
            <w:vAlign w:val="center"/>
          </w:tcPr>
          <w:p>
            <w:pPr>
              <w:spacing w:line="430" w:lineRule="exact"/>
              <w:jc w:val="center"/>
              <w:rPr>
                <w:rFonts w:ascii="宋体" w:cs="仿宋"/>
                <w:color w:val="auto"/>
                <w:sz w:val="22"/>
                <w:szCs w:val="22"/>
                <w:highlight w:val="none"/>
              </w:rPr>
            </w:pPr>
            <w:r>
              <w:rPr>
                <w:rFonts w:hint="eastAsia" w:ascii="宋体" w:hAnsi="宋体" w:cs="仿宋"/>
                <w:color w:val="auto"/>
                <w:sz w:val="22"/>
                <w:szCs w:val="22"/>
                <w:highlight w:val="none"/>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430" w:lineRule="exact"/>
              <w:jc w:val="center"/>
              <w:rPr>
                <w:rFonts w:ascii="宋体" w:cs="仿宋"/>
                <w:color w:val="auto"/>
                <w:sz w:val="22"/>
                <w:szCs w:val="22"/>
                <w:highlight w:val="none"/>
              </w:rPr>
            </w:pPr>
            <w:r>
              <w:rPr>
                <w:rFonts w:ascii="宋体" w:hAnsi="宋体" w:cs="仿宋"/>
                <w:color w:val="auto"/>
                <w:sz w:val="22"/>
                <w:szCs w:val="22"/>
                <w:highlight w:val="none"/>
              </w:rPr>
              <w:t>3</w:t>
            </w:r>
            <w:r>
              <w:rPr>
                <w:rFonts w:hint="eastAsia" w:ascii="宋体" w:hAnsi="宋体" w:cs="仿宋"/>
                <w:color w:val="auto"/>
                <w:sz w:val="22"/>
                <w:szCs w:val="22"/>
                <w:highlight w:val="none"/>
              </w:rPr>
              <w:t>）</w:t>
            </w:r>
          </w:p>
        </w:tc>
        <w:tc>
          <w:tcPr>
            <w:tcW w:w="7513" w:type="dxa"/>
            <w:vAlign w:val="center"/>
          </w:tcPr>
          <w:p>
            <w:pPr>
              <w:spacing w:line="430" w:lineRule="exact"/>
              <w:rPr>
                <w:rFonts w:ascii="宋体" w:hAnsi="宋体" w:cs="仿宋"/>
                <w:color w:val="auto"/>
                <w:sz w:val="22"/>
                <w:szCs w:val="22"/>
                <w:highlight w:val="none"/>
              </w:rPr>
            </w:pPr>
            <w:r>
              <w:rPr>
                <w:rFonts w:hint="eastAsia" w:ascii="宋体" w:hAnsi="宋体" w:cs="新宋体"/>
                <w:b/>
                <w:bCs/>
                <w:color w:val="auto"/>
                <w:sz w:val="22"/>
                <w:szCs w:val="22"/>
                <w:highlight w:val="none"/>
              </w:rPr>
              <w:t>投标技术方案（按“评标细则”相关评分内容逐项编制，格式自拟）</w:t>
            </w:r>
          </w:p>
        </w:tc>
        <w:tc>
          <w:tcPr>
            <w:tcW w:w="1524" w:type="dxa"/>
            <w:vAlign w:val="center"/>
          </w:tcPr>
          <w:p>
            <w:pPr>
              <w:spacing w:line="430" w:lineRule="exact"/>
              <w:jc w:val="center"/>
              <w:rPr>
                <w:rFonts w:ascii="宋体" w:cs="仿宋"/>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430" w:lineRule="exact"/>
              <w:jc w:val="center"/>
              <w:rPr>
                <w:rFonts w:ascii="宋体" w:cs="宋体"/>
                <w:color w:val="auto"/>
                <w:sz w:val="22"/>
                <w:szCs w:val="22"/>
                <w:highlight w:val="none"/>
              </w:rPr>
            </w:pPr>
            <w:r>
              <w:rPr>
                <w:rFonts w:ascii="宋体" w:hAnsi="宋体" w:cs="宋体"/>
                <w:color w:val="auto"/>
                <w:sz w:val="22"/>
                <w:szCs w:val="22"/>
                <w:highlight w:val="none"/>
              </w:rPr>
              <w:t>4</w:t>
            </w:r>
            <w:r>
              <w:rPr>
                <w:rFonts w:hint="eastAsia" w:ascii="宋体" w:hAnsi="宋体" w:cs="宋体"/>
                <w:color w:val="auto"/>
                <w:sz w:val="22"/>
                <w:szCs w:val="22"/>
                <w:highlight w:val="none"/>
              </w:rPr>
              <w:t>）</w:t>
            </w:r>
          </w:p>
        </w:tc>
        <w:tc>
          <w:tcPr>
            <w:tcW w:w="7513" w:type="dxa"/>
            <w:vAlign w:val="center"/>
          </w:tcPr>
          <w:p>
            <w:pPr>
              <w:spacing w:line="430" w:lineRule="exact"/>
              <w:rPr>
                <w:rFonts w:ascii="宋体" w:hAnsi="宋体" w:cs="仿宋"/>
                <w:color w:val="auto"/>
                <w:sz w:val="22"/>
                <w:szCs w:val="22"/>
                <w:highlight w:val="none"/>
              </w:rPr>
            </w:pPr>
            <w:r>
              <w:rPr>
                <w:rFonts w:hint="eastAsia" w:ascii="宋体" w:hAnsi="宋体" w:cs="新宋体"/>
                <w:b/>
                <w:color w:val="auto"/>
                <w:sz w:val="22"/>
                <w:szCs w:val="22"/>
                <w:highlight w:val="none"/>
              </w:rPr>
              <w:t>资信证明文件（本部分为</w:t>
            </w:r>
            <w:r>
              <w:rPr>
                <w:rFonts w:hint="eastAsia" w:ascii="宋体" w:hAnsi="宋体" w:cs="新宋体"/>
                <w:b/>
                <w:bCs/>
                <w:color w:val="auto"/>
                <w:sz w:val="22"/>
                <w:szCs w:val="22"/>
                <w:highlight w:val="none"/>
              </w:rPr>
              <w:t>商务技术文件</w:t>
            </w:r>
            <w:r>
              <w:rPr>
                <w:rFonts w:hint="eastAsia" w:ascii="宋体" w:hAnsi="宋体" w:cs="新宋体"/>
                <w:b/>
                <w:color w:val="auto"/>
                <w:sz w:val="22"/>
                <w:szCs w:val="22"/>
                <w:highlight w:val="none"/>
              </w:rPr>
              <w:t>评分内容，各</w:t>
            </w:r>
            <w:r>
              <w:rPr>
                <w:rFonts w:hint="eastAsia" w:ascii="宋体" w:hAnsi="宋体" w:cs="新宋体"/>
                <w:b/>
                <w:color w:val="auto"/>
                <w:sz w:val="22"/>
                <w:szCs w:val="22"/>
                <w:highlight w:val="none"/>
                <w:lang w:eastAsia="zh-CN"/>
              </w:rPr>
              <w:t>投标人</w:t>
            </w:r>
            <w:r>
              <w:rPr>
                <w:rFonts w:hint="eastAsia" w:ascii="宋体" w:hAnsi="宋体" w:cs="新宋体"/>
                <w:b/>
                <w:color w:val="auto"/>
                <w:sz w:val="22"/>
                <w:szCs w:val="22"/>
                <w:highlight w:val="none"/>
              </w:rPr>
              <w:t>参照评分标准根据自身情况提供）</w:t>
            </w:r>
          </w:p>
        </w:tc>
        <w:tc>
          <w:tcPr>
            <w:tcW w:w="1524" w:type="dxa"/>
            <w:vAlign w:val="center"/>
          </w:tcPr>
          <w:p>
            <w:pPr>
              <w:spacing w:line="430" w:lineRule="exact"/>
              <w:jc w:val="center"/>
              <w:rPr>
                <w:rFonts w:asci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430" w:lineRule="exact"/>
              <w:jc w:val="center"/>
              <w:rPr>
                <w:rFonts w:ascii="宋体" w:cs="仿宋"/>
                <w:color w:val="auto"/>
                <w:sz w:val="22"/>
                <w:szCs w:val="22"/>
                <w:highlight w:val="none"/>
              </w:rPr>
            </w:pPr>
            <w:r>
              <w:rPr>
                <w:rFonts w:ascii="宋体" w:hAnsi="宋体" w:cs="仿宋"/>
                <w:color w:val="auto"/>
                <w:sz w:val="22"/>
                <w:szCs w:val="22"/>
                <w:highlight w:val="none"/>
              </w:rPr>
              <w:t>5)</w:t>
            </w:r>
          </w:p>
        </w:tc>
        <w:tc>
          <w:tcPr>
            <w:tcW w:w="7513" w:type="dxa"/>
            <w:vAlign w:val="center"/>
          </w:tcPr>
          <w:p>
            <w:pPr>
              <w:spacing w:line="430" w:lineRule="exact"/>
              <w:rPr>
                <w:rFonts w:ascii="宋体" w:hAnsi="宋体" w:cs="仿宋"/>
                <w:color w:val="auto"/>
                <w:sz w:val="22"/>
                <w:szCs w:val="22"/>
                <w:highlight w:val="none"/>
              </w:rPr>
            </w:pPr>
            <w:r>
              <w:rPr>
                <w:rFonts w:hint="eastAsia" w:ascii="宋体" w:hAnsi="宋体" w:cs="仿宋"/>
                <w:color w:val="auto"/>
                <w:sz w:val="22"/>
                <w:szCs w:val="22"/>
                <w:highlight w:val="none"/>
              </w:rPr>
              <w:t>结合招标文件评分细则</w:t>
            </w:r>
            <w:r>
              <w:rPr>
                <w:rFonts w:hint="eastAsia" w:ascii="宋体" w:hAnsi="宋体" w:cs="仿宋"/>
                <w:color w:val="auto"/>
                <w:sz w:val="22"/>
                <w:szCs w:val="22"/>
                <w:highlight w:val="none"/>
                <w:lang w:eastAsia="zh-CN"/>
              </w:rPr>
              <w:t>投标人</w:t>
            </w:r>
            <w:r>
              <w:rPr>
                <w:rFonts w:hint="eastAsia" w:ascii="宋体" w:hAnsi="宋体" w:cs="仿宋"/>
                <w:color w:val="auto"/>
                <w:sz w:val="22"/>
                <w:szCs w:val="22"/>
                <w:highlight w:val="none"/>
              </w:rPr>
              <w:t>认为需要提供的其他技术资料</w:t>
            </w:r>
          </w:p>
        </w:tc>
        <w:tc>
          <w:tcPr>
            <w:tcW w:w="1524" w:type="dxa"/>
            <w:vAlign w:val="center"/>
          </w:tcPr>
          <w:p>
            <w:pPr>
              <w:spacing w:line="430" w:lineRule="exact"/>
              <w:jc w:val="center"/>
              <w:rPr>
                <w:rFonts w:ascii="宋体" w:cs="仿宋"/>
                <w:color w:val="auto"/>
                <w:sz w:val="22"/>
                <w:szCs w:val="22"/>
                <w:highlight w:val="none"/>
              </w:rPr>
            </w:pPr>
          </w:p>
        </w:tc>
      </w:tr>
    </w:tbl>
    <w:p>
      <w:pPr>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备注：</w:t>
      </w:r>
    </w:p>
    <w:p>
      <w:pPr>
        <w:numPr>
          <w:ilvl w:val="0"/>
          <w:numId w:val="17"/>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投标人可根据招标文件中的采购内容及需求和商务技术文件评分细则，提供投标人认为需要提供的文件和资料。</w:t>
      </w:r>
    </w:p>
    <w:p>
      <w:pPr>
        <w:numPr>
          <w:ilvl w:val="0"/>
          <w:numId w:val="17"/>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pPr>
        <w:numPr>
          <w:ilvl w:val="0"/>
          <w:numId w:val="17"/>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以上所需的各种证书、证件、证明等若系复印件、扫描件，须加盖投标人有效的公章。</w:t>
      </w:r>
    </w:p>
    <w:p>
      <w:pPr>
        <w:numPr>
          <w:ilvl w:val="0"/>
          <w:numId w:val="17"/>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相关证书、报告等如遇年检或换证等特殊情况须按要求提供相应的证明材料。</w:t>
      </w:r>
    </w:p>
    <w:p>
      <w:pPr>
        <w:numPr>
          <w:ilvl w:val="0"/>
          <w:numId w:val="15"/>
        </w:numPr>
        <w:tabs>
          <w:tab w:val="left" w:pos="540"/>
          <w:tab w:val="clear" w:pos="420"/>
        </w:tabs>
        <w:spacing w:line="460" w:lineRule="exact"/>
        <w:ind w:left="540" w:hanging="540"/>
        <w:rPr>
          <w:rFonts w:ascii="宋体" w:hAnsi="宋体"/>
          <w:bCs/>
          <w:color w:val="auto"/>
          <w:sz w:val="22"/>
          <w:szCs w:val="22"/>
          <w:highlight w:val="none"/>
        </w:rPr>
      </w:pPr>
      <w:bookmarkStart w:id="94" w:name="_Toc262105503"/>
      <w:bookmarkStart w:id="95" w:name="_Toc221423619"/>
      <w:bookmarkStart w:id="96" w:name="_Toc246261265"/>
      <w:bookmarkStart w:id="97" w:name="_Toc222114879"/>
      <w:bookmarkStart w:id="98" w:name="_Toc245722281"/>
      <w:bookmarkStart w:id="99" w:name="_Toc223715998"/>
      <w:bookmarkStart w:id="100" w:name="_Toc221374626"/>
      <w:bookmarkStart w:id="101" w:name="_Toc262049418"/>
      <w:bookmarkStart w:id="102" w:name="_Toc249758864"/>
      <w:bookmarkStart w:id="103" w:name="_Toc239145354"/>
      <w:bookmarkStart w:id="104" w:name="_Toc241404202"/>
      <w:bookmarkStart w:id="105" w:name="_Toc249758712"/>
      <w:bookmarkStart w:id="106" w:name="_Toc245191314"/>
      <w:bookmarkStart w:id="107" w:name="_Toc221356887"/>
      <w:bookmarkStart w:id="108" w:name="_Toc221356951"/>
      <w:r>
        <w:rPr>
          <w:rFonts w:hint="eastAsia" w:ascii="宋体" w:hAnsi="宋体"/>
          <w:bCs/>
          <w:color w:val="auto"/>
          <w:sz w:val="22"/>
          <w:szCs w:val="22"/>
          <w:highlight w:val="none"/>
        </w:rPr>
        <w:t>投标文件编制</w:t>
      </w:r>
    </w:p>
    <w:p>
      <w:pPr>
        <w:numPr>
          <w:ilvl w:val="1"/>
          <w:numId w:val="18"/>
        </w:numPr>
        <w:tabs>
          <w:tab w:val="left" w:pos="540"/>
          <w:tab w:val="clear" w:pos="992"/>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本项目通过“政采云平台（www.zcygov.cn）”实行在线投标响应（电子投标）。投标人应通过“政采云电子交易客户端”，并按照本招标文件和“政采云平台”的要求编制并加密投标文件。</w:t>
      </w:r>
    </w:p>
    <w:p>
      <w:pPr>
        <w:numPr>
          <w:ilvl w:val="1"/>
          <w:numId w:val="18"/>
        </w:numPr>
        <w:tabs>
          <w:tab w:val="left" w:pos="540"/>
          <w:tab w:val="clear" w:pos="992"/>
        </w:tabs>
        <w:spacing w:line="460" w:lineRule="exact"/>
        <w:ind w:left="540" w:hanging="540"/>
        <w:rPr>
          <w:rFonts w:ascii="宋体" w:hAnsi="宋体"/>
          <w:bCs/>
          <w:color w:val="auto"/>
          <w:sz w:val="22"/>
          <w:szCs w:val="22"/>
          <w:highlight w:val="none"/>
        </w:rPr>
      </w:pPr>
      <w:r>
        <w:rPr>
          <w:rFonts w:hint="eastAsia" w:ascii="宋体" w:hAnsi="宋体"/>
          <w:b/>
          <w:color w:val="auto"/>
          <w:sz w:val="22"/>
          <w:szCs w:val="22"/>
          <w:highlight w:val="none"/>
          <w:u w:val="single"/>
        </w:rPr>
        <w:t>▲投标人提供的联系方式（手机号码、联系邮箱、联系地址），均以法定代表人声明书或法定代表人授权委托书上注明的联系方式为准，投标人必须保障其联系方式保持畅通。否则由此造成的后果均有投标人自行承担。</w:t>
      </w:r>
    </w:p>
    <w:p>
      <w:pPr>
        <w:numPr>
          <w:ilvl w:val="1"/>
          <w:numId w:val="18"/>
        </w:numPr>
        <w:tabs>
          <w:tab w:val="left" w:pos="540"/>
          <w:tab w:val="clear" w:pos="992"/>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本招标文件“第五部分 ”中有提供格式的，投标人须参照格式进行编制（格式中要求提供相关证明材料的还需后附相关证明材料），并按格式要求在指定位置根据要求进行签章，否则视为未提供；本文件“第四部分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pPr>
        <w:numPr>
          <w:ilvl w:val="1"/>
          <w:numId w:val="18"/>
        </w:numPr>
        <w:tabs>
          <w:tab w:val="left" w:pos="540"/>
          <w:tab w:val="clear" w:pos="992"/>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投标文件内容不完整、编排混乱导致投标文件被误读、漏读或者查找不到相关内容的，是投标人的责任。</w:t>
      </w:r>
    </w:p>
    <w:p>
      <w:pPr>
        <w:numPr>
          <w:ilvl w:val="1"/>
          <w:numId w:val="18"/>
        </w:numPr>
        <w:tabs>
          <w:tab w:val="left" w:pos="540"/>
          <w:tab w:val="clear" w:pos="992"/>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投标文件因字迹潦草或表达不清所引起的后果由投标人负责。</w:t>
      </w:r>
    </w:p>
    <w:p>
      <w:pPr>
        <w:numPr>
          <w:ilvl w:val="1"/>
          <w:numId w:val="18"/>
        </w:numPr>
        <w:tabs>
          <w:tab w:val="left" w:pos="540"/>
          <w:tab w:val="clear" w:pos="992"/>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投标人没有按照本章节 “投标文件组成”要求提供全部资料，或者没有仔细阅读招标文件，或者没有对招标文件在各方面的要求作出实质性响应是投标人的风险，由此造成的一切后果由投标人自行承担。</w:t>
      </w:r>
    </w:p>
    <w:p>
      <w:pPr>
        <w:numPr>
          <w:ilvl w:val="0"/>
          <w:numId w:val="15"/>
        </w:numPr>
        <w:tabs>
          <w:tab w:val="left" w:pos="540"/>
          <w:tab w:val="clear" w:pos="420"/>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投标文件的签章</w:t>
      </w:r>
    </w:p>
    <w:p>
      <w:pPr>
        <w:numPr>
          <w:ilvl w:val="1"/>
          <w:numId w:val="19"/>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投标文件的签章要求：投标人须知前附表第16款；</w:t>
      </w:r>
    </w:p>
    <w:p>
      <w:pPr>
        <w:numPr>
          <w:ilvl w:val="1"/>
          <w:numId w:val="19"/>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Arial"/>
          <w:color w:val="auto"/>
          <w:sz w:val="22"/>
          <w:szCs w:val="22"/>
          <w:highlight w:val="none"/>
        </w:rPr>
        <w:t>投标文件应由投标人法定代表人或其授权代表签章（电子签章），并同时加盖投标人公章（电子</w:t>
      </w:r>
      <w:r>
        <w:rPr>
          <w:rFonts w:hint="eastAsia" w:ascii="宋体" w:hAnsi="宋体" w:cs="宋体"/>
          <w:color w:val="auto"/>
          <w:sz w:val="22"/>
          <w:szCs w:val="22"/>
          <w:highlight w:val="none"/>
        </w:rPr>
        <w:t>签章）。</w:t>
      </w:r>
      <w:r>
        <w:rPr>
          <w:rFonts w:hint="eastAsia" w:ascii="宋体" w:hAnsi="宋体" w:cs="宋体"/>
          <w:color w:val="auto"/>
          <w:kern w:val="0"/>
          <w:sz w:val="22"/>
          <w:szCs w:val="22"/>
          <w:highlight w:val="none"/>
          <w:lang w:val="zh-CN"/>
        </w:rPr>
        <w:t>（或先制作word版打印，相应位置签字或盖章后再扫描上传）</w:t>
      </w:r>
    </w:p>
    <w:p>
      <w:pPr>
        <w:numPr>
          <w:ilvl w:val="0"/>
          <w:numId w:val="15"/>
        </w:numPr>
        <w:tabs>
          <w:tab w:val="left" w:pos="540"/>
          <w:tab w:val="clear" w:pos="420"/>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投标文件的形式</w:t>
      </w:r>
    </w:p>
    <w:p>
      <w:pPr>
        <w:tabs>
          <w:tab w:val="left" w:pos="36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投标文件的形式：见投标人须知前附表第17款；</w:t>
      </w:r>
    </w:p>
    <w:p>
      <w:pPr>
        <w:numPr>
          <w:ilvl w:val="0"/>
          <w:numId w:val="15"/>
        </w:numPr>
        <w:tabs>
          <w:tab w:val="left" w:pos="540"/>
          <w:tab w:val="clear" w:pos="420"/>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政采云系统默认投标人自动放弃的情形</w:t>
      </w:r>
    </w:p>
    <w:p>
      <w:pPr>
        <w:tabs>
          <w:tab w:val="left" w:pos="5355"/>
        </w:tabs>
        <w:spacing w:line="430" w:lineRule="exact"/>
        <w:ind w:firstLine="440" w:firstLineChars="200"/>
        <w:rPr>
          <w:rFonts w:ascii="宋体" w:hAnsi="宋体" w:cs="宋体"/>
          <w:color w:val="auto"/>
          <w:sz w:val="22"/>
          <w:szCs w:val="22"/>
          <w:highlight w:val="none"/>
        </w:rPr>
      </w:pPr>
      <w:r>
        <w:rPr>
          <w:rFonts w:hint="eastAsia" w:ascii="宋体" w:hAnsi="宋体" w:cs="宋体"/>
          <w:color w:val="auto"/>
          <w:kern w:val="0"/>
          <w:sz w:val="22"/>
          <w:szCs w:val="22"/>
          <w:highlight w:val="none"/>
        </w:rPr>
        <w:t>政采云系统默认投标人自动放弃的情形</w:t>
      </w:r>
      <w:r>
        <w:rPr>
          <w:rFonts w:hint="eastAsia" w:ascii="宋体" w:hAnsi="宋体" w:cs="宋体"/>
          <w:color w:val="auto"/>
          <w:sz w:val="22"/>
          <w:szCs w:val="22"/>
          <w:highlight w:val="none"/>
        </w:rPr>
        <w:t>：见投标人须知前附表第20款。</w:t>
      </w:r>
    </w:p>
    <w:p>
      <w:pPr>
        <w:numPr>
          <w:ilvl w:val="0"/>
          <w:numId w:val="15"/>
        </w:numPr>
        <w:tabs>
          <w:tab w:val="left" w:pos="540"/>
          <w:tab w:val="clear" w:pos="420"/>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投标报价</w:t>
      </w:r>
    </w:p>
    <w:p>
      <w:pPr>
        <w:numPr>
          <w:ilvl w:val="1"/>
          <w:numId w:val="20"/>
        </w:numPr>
        <w:tabs>
          <w:tab w:val="left" w:pos="360"/>
          <w:tab w:val="clear" w:pos="992"/>
        </w:tabs>
        <w:spacing w:line="460" w:lineRule="exact"/>
        <w:ind w:left="640"/>
        <w:rPr>
          <w:rFonts w:ascii="宋体" w:hAnsi="宋体" w:cs="Arial"/>
          <w:b/>
          <w:bCs/>
          <w:color w:val="auto"/>
          <w:sz w:val="22"/>
          <w:szCs w:val="22"/>
          <w:highlight w:val="none"/>
          <w:u w:val="single"/>
        </w:rPr>
      </w:pPr>
      <w:r>
        <w:rPr>
          <w:rFonts w:hint="eastAsia" w:ascii="宋体" w:hAnsi="宋体"/>
          <w:color w:val="auto"/>
          <w:sz w:val="22"/>
          <w:szCs w:val="22"/>
          <w:highlight w:val="none"/>
        </w:rPr>
        <w:t>投标报价是指中标</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在正确地完全履行合同义务后甲方应支付给乙方的价款。即系统软件平台的设计、开发、调试、运行、维护/升级费用、税金、完成本项目所需的人工费以及招标代理服务费等全部费用，实行固定费用总包干，投标人应根据上述因素自行考虑含入投标总价。</w:t>
      </w:r>
    </w:p>
    <w:p>
      <w:pPr>
        <w:numPr>
          <w:ilvl w:val="1"/>
          <w:numId w:val="20"/>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投标人须认真阅读、充分理解招标文件，如有疑问可在询疑截止时间前送达（或传真）招标代理机构，招标代理机构将会统一解答。任何因对本项目招标文件理解不清、产生歧义等由此产生的费用，视作以含在投标总价中。</w:t>
      </w:r>
    </w:p>
    <w:p>
      <w:pPr>
        <w:numPr>
          <w:ilvl w:val="1"/>
          <w:numId w:val="20"/>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投标人必须按招标文件规定的开标一览表（统一格式）、投标分项报价表（统一格式）的内容填写单价、合价及其他事项，并由法定代表人或授权代表签署。</w:t>
      </w:r>
    </w:p>
    <w:p>
      <w:pPr>
        <w:numPr>
          <w:ilvl w:val="1"/>
          <w:numId w:val="20"/>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所有投标报价均以人民币报价。</w:t>
      </w:r>
    </w:p>
    <w:p>
      <w:pPr>
        <w:numPr>
          <w:ilvl w:val="1"/>
          <w:numId w:val="20"/>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采购人不接受任何选择报价，对每一项货物/服务只允许一个报价。</w:t>
      </w:r>
    </w:p>
    <w:p>
      <w:pPr>
        <w:numPr>
          <w:ilvl w:val="1"/>
          <w:numId w:val="20"/>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采购人要求分类报价是为了方便评标，但在任何情况下不限制采购人以其认为最合适的条款、条件签订合同的权利。</w:t>
      </w:r>
    </w:p>
    <w:p>
      <w:pPr>
        <w:numPr>
          <w:ilvl w:val="1"/>
          <w:numId w:val="20"/>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报价是成交的一个重要因素，但最低报价不是成交的唯一依据。</w:t>
      </w:r>
    </w:p>
    <w:p>
      <w:pPr>
        <w:numPr>
          <w:ilvl w:val="0"/>
          <w:numId w:val="15"/>
        </w:numPr>
        <w:tabs>
          <w:tab w:val="left" w:pos="540"/>
          <w:tab w:val="clear" w:pos="420"/>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投标人如发生下列情况之一，将上报同级政府采购监督管理部门，追究其责任：</w:t>
      </w:r>
    </w:p>
    <w:p>
      <w:pPr>
        <w:numPr>
          <w:ilvl w:val="0"/>
          <w:numId w:val="21"/>
        </w:numPr>
        <w:tabs>
          <w:tab w:val="left" w:pos="360"/>
          <w:tab w:val="clear" w:pos="420"/>
        </w:tabs>
        <w:spacing w:line="44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投标人在招标文件规定的投标有效期内撤回投标；</w:t>
      </w:r>
    </w:p>
    <w:p>
      <w:pPr>
        <w:numPr>
          <w:ilvl w:val="0"/>
          <w:numId w:val="21"/>
        </w:numPr>
        <w:tabs>
          <w:tab w:val="left" w:pos="360"/>
          <w:tab w:val="clear" w:pos="420"/>
        </w:tabs>
        <w:spacing w:line="44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中标人未按中标通知书中规定的时间与采购人签订合同；</w:t>
      </w:r>
    </w:p>
    <w:p>
      <w:pPr>
        <w:numPr>
          <w:ilvl w:val="0"/>
          <w:numId w:val="21"/>
        </w:numPr>
        <w:tabs>
          <w:tab w:val="left" w:pos="360"/>
          <w:tab w:val="clear" w:pos="420"/>
        </w:tabs>
        <w:spacing w:line="44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投标人在招标文件中提供虚假技术指标及参数，经评标委员会确认属实的。</w:t>
      </w:r>
    </w:p>
    <w:p>
      <w:pPr>
        <w:numPr>
          <w:ilvl w:val="0"/>
          <w:numId w:val="21"/>
        </w:numPr>
        <w:tabs>
          <w:tab w:val="left" w:pos="360"/>
          <w:tab w:val="clear" w:pos="420"/>
        </w:tabs>
        <w:spacing w:line="44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经同级政府采购监督管理部门审查认定投标人有违反《中华人民共和国政府采购法》等有关法律法规的行为。</w:t>
      </w:r>
    </w:p>
    <w:p>
      <w:pPr>
        <w:numPr>
          <w:ilvl w:val="0"/>
          <w:numId w:val="15"/>
        </w:numPr>
        <w:tabs>
          <w:tab w:val="left" w:pos="540"/>
          <w:tab w:val="clear" w:pos="420"/>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投标有效期</w:t>
      </w:r>
    </w:p>
    <w:p>
      <w:pPr>
        <w:numPr>
          <w:ilvl w:val="1"/>
          <w:numId w:val="22"/>
        </w:numPr>
        <w:tabs>
          <w:tab w:val="left" w:pos="360"/>
          <w:tab w:val="clear" w:pos="992"/>
        </w:tabs>
        <w:spacing w:line="460" w:lineRule="exact"/>
        <w:ind w:left="420"/>
        <w:rPr>
          <w:rFonts w:ascii="宋体" w:hAnsi="宋体" w:cs="Arial"/>
          <w:color w:val="auto"/>
          <w:sz w:val="22"/>
          <w:szCs w:val="22"/>
          <w:highlight w:val="none"/>
        </w:rPr>
      </w:pPr>
      <w:r>
        <w:rPr>
          <w:rFonts w:hint="eastAsia" w:ascii="宋体" w:hAnsi="宋体" w:cs="Arial"/>
          <w:color w:val="auto"/>
          <w:sz w:val="22"/>
          <w:szCs w:val="22"/>
          <w:highlight w:val="none"/>
        </w:rPr>
        <w:t>自开标之日起 90天内投标应保持有效。投标有效期短于这个规定期限的投标将视为非响应性投标而予以拒绝。</w:t>
      </w:r>
    </w:p>
    <w:p>
      <w:pPr>
        <w:numPr>
          <w:ilvl w:val="1"/>
          <w:numId w:val="22"/>
        </w:numPr>
        <w:tabs>
          <w:tab w:val="left" w:pos="360"/>
          <w:tab w:val="clear" w:pos="992"/>
        </w:tabs>
        <w:spacing w:line="460" w:lineRule="exact"/>
        <w:ind w:left="420"/>
        <w:rPr>
          <w:rFonts w:ascii="宋体" w:hAnsi="宋体" w:cs="Arial"/>
          <w:color w:val="auto"/>
          <w:sz w:val="22"/>
          <w:szCs w:val="22"/>
          <w:highlight w:val="none"/>
        </w:rPr>
      </w:pPr>
      <w:r>
        <w:rPr>
          <w:rFonts w:hint="eastAsia" w:ascii="宋体" w:hAnsi="宋体" w:cs="Arial"/>
          <w:color w:val="auto"/>
          <w:sz w:val="22"/>
          <w:szCs w:val="22"/>
          <w:highlight w:val="none"/>
        </w:rPr>
        <w:t>特殊情况下，在原投标有效期截止前，采购人可与投标人协商延长投标有效期，这种要求和答复均以书面形式进行。投标人可拒绝接受延期要求。同意延长投标有效期的投标人不得修改投标文件。</w:t>
      </w:r>
    </w:p>
    <w:p>
      <w:pPr>
        <w:spacing w:before="100" w:beforeAutospacing="1" w:after="100" w:afterAutospacing="1" w:line="440" w:lineRule="exact"/>
        <w:ind w:left="783" w:hanging="783" w:hangingChars="300"/>
        <w:jc w:val="center"/>
        <w:outlineLvl w:val="0"/>
        <w:rPr>
          <w:rFonts w:ascii="宋体" w:hAnsi="宋体"/>
          <w:color w:val="auto"/>
          <w:sz w:val="22"/>
          <w:szCs w:val="22"/>
          <w:highlight w:val="none"/>
        </w:rPr>
      </w:pPr>
      <w:bookmarkStart w:id="109" w:name="_Toc12106"/>
      <w:r>
        <w:rPr>
          <w:rFonts w:hint="eastAsia" w:ascii="宋体" w:hAnsi="宋体"/>
          <w:b/>
          <w:bCs/>
          <w:color w:val="auto"/>
          <w:sz w:val="26"/>
          <w:szCs w:val="26"/>
          <w:highlight w:val="none"/>
        </w:rPr>
        <w:t>五、 投标文件的递交</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numPr>
          <w:ilvl w:val="0"/>
          <w:numId w:val="23"/>
        </w:numPr>
        <w:tabs>
          <w:tab w:val="left" w:pos="540"/>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投标文件的递交</w:t>
      </w:r>
    </w:p>
    <w:p>
      <w:pPr>
        <w:tabs>
          <w:tab w:val="left" w:pos="540"/>
        </w:tabs>
        <w:spacing w:line="4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投标文件的上传、递交：见投标人须知前附表第18款。</w:t>
      </w:r>
    </w:p>
    <w:p>
      <w:pPr>
        <w:numPr>
          <w:ilvl w:val="0"/>
          <w:numId w:val="23"/>
        </w:numPr>
        <w:tabs>
          <w:tab w:val="left" w:pos="540"/>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“电子加密投标文件”解密和异常情况处理。</w:t>
      </w:r>
    </w:p>
    <w:p>
      <w:pPr>
        <w:tabs>
          <w:tab w:val="left" w:pos="540"/>
        </w:tabs>
        <w:spacing w:line="460" w:lineRule="exac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 xml:space="preserve">    “电子加密投标文件”解密：见投标人须知前附表第19款。</w:t>
      </w:r>
    </w:p>
    <w:p>
      <w:pPr>
        <w:numPr>
          <w:ilvl w:val="0"/>
          <w:numId w:val="23"/>
        </w:numPr>
        <w:tabs>
          <w:tab w:val="left" w:pos="540"/>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投标文件的补充、修改或撤回</w:t>
      </w:r>
    </w:p>
    <w:p>
      <w:pPr>
        <w:numPr>
          <w:ilvl w:val="1"/>
          <w:numId w:val="24"/>
        </w:numPr>
        <w:tabs>
          <w:tab w:val="left" w:pos="540"/>
          <w:tab w:val="clear" w:pos="992"/>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人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pPr>
        <w:numPr>
          <w:ilvl w:val="1"/>
          <w:numId w:val="24"/>
        </w:numPr>
        <w:tabs>
          <w:tab w:val="left" w:pos="540"/>
          <w:tab w:val="clear" w:pos="992"/>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投标文件递交截止时间后，投标人不得撤回、修改投标文件。</w:t>
      </w:r>
    </w:p>
    <w:p>
      <w:pPr>
        <w:numPr>
          <w:ilvl w:val="0"/>
          <w:numId w:val="23"/>
        </w:numPr>
        <w:tabs>
          <w:tab w:val="left" w:pos="540"/>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 xml:space="preserve"> </w:t>
      </w:r>
      <w:r>
        <w:rPr>
          <w:rFonts w:hint="eastAsia" w:ascii="宋体" w:hAnsi="宋体" w:cs="Arial"/>
          <w:b/>
          <w:color w:val="auto"/>
          <w:sz w:val="22"/>
          <w:szCs w:val="22"/>
          <w:highlight w:val="none"/>
          <w:u w:val="single"/>
        </w:rPr>
        <w:t>▲发生下列情况之一的投标文件将不予受理：</w:t>
      </w:r>
    </w:p>
    <w:p>
      <w:pPr>
        <w:numPr>
          <w:ilvl w:val="1"/>
          <w:numId w:val="25"/>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在投标截止时间以后上传的投标文件；</w:t>
      </w:r>
    </w:p>
    <w:p>
      <w:pPr>
        <w:numPr>
          <w:ilvl w:val="1"/>
          <w:numId w:val="25"/>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仅递交了“备份投标文件”而未将电子加密投标文件上传至“政府采购云平台”的；</w:t>
      </w:r>
    </w:p>
    <w:p>
      <w:pPr>
        <w:numPr>
          <w:ilvl w:val="1"/>
          <w:numId w:val="25"/>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未在规定时间解密，或者，解密失败且经异常处理政采云系统仍未能识别的；</w:t>
      </w:r>
    </w:p>
    <w:p>
      <w:pPr>
        <w:numPr>
          <w:ilvl w:val="1"/>
          <w:numId w:val="25"/>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以纸质形式提交的；</w:t>
      </w:r>
    </w:p>
    <w:p>
      <w:pPr>
        <w:tabs>
          <w:tab w:val="left" w:pos="360"/>
          <w:tab w:val="left" w:pos="540"/>
          <w:tab w:val="left" w:pos="1260"/>
        </w:tabs>
        <w:spacing w:before="100" w:beforeAutospacing="1" w:after="100" w:afterAutospacing="1" w:line="440" w:lineRule="exact"/>
        <w:ind w:left="919" w:hanging="919" w:hangingChars="352"/>
        <w:jc w:val="center"/>
        <w:outlineLvl w:val="0"/>
        <w:rPr>
          <w:rFonts w:ascii="宋体" w:hAnsi="宋体"/>
          <w:color w:val="auto"/>
          <w:sz w:val="22"/>
          <w:szCs w:val="22"/>
          <w:highlight w:val="none"/>
        </w:rPr>
      </w:pPr>
      <w:bookmarkStart w:id="110" w:name="_Toc223715999"/>
      <w:bookmarkStart w:id="111" w:name="_Toc262049419"/>
      <w:bookmarkStart w:id="112" w:name="_Toc249758865"/>
      <w:bookmarkStart w:id="113" w:name="_Toc249758713"/>
      <w:bookmarkStart w:id="114" w:name="_Toc241404203"/>
      <w:bookmarkStart w:id="115" w:name="_Toc245722282"/>
      <w:bookmarkStart w:id="116" w:name="_Toc246261266"/>
      <w:bookmarkStart w:id="117" w:name="_Toc21888"/>
      <w:bookmarkStart w:id="118" w:name="_Toc221356952"/>
      <w:bookmarkStart w:id="119" w:name="_Toc221374627"/>
      <w:bookmarkStart w:id="120" w:name="_Toc221423620"/>
      <w:bookmarkStart w:id="121" w:name="_Toc221356888"/>
      <w:bookmarkStart w:id="122" w:name="_Toc245191315"/>
      <w:bookmarkStart w:id="123" w:name="_Toc239145355"/>
      <w:bookmarkStart w:id="124" w:name="_Toc222114880"/>
      <w:bookmarkStart w:id="125" w:name="_Toc262105504"/>
      <w:r>
        <w:rPr>
          <w:rFonts w:hint="eastAsia" w:ascii="宋体" w:hAnsi="宋体"/>
          <w:b/>
          <w:bCs/>
          <w:color w:val="auto"/>
          <w:sz w:val="26"/>
          <w:szCs w:val="26"/>
          <w:highlight w:val="none"/>
        </w:rPr>
        <w:t>六、 开标</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numPr>
          <w:ilvl w:val="0"/>
          <w:numId w:val="26"/>
        </w:numPr>
        <w:tabs>
          <w:tab w:val="left" w:pos="540"/>
          <w:tab w:val="clear" w:pos="420"/>
        </w:tabs>
        <w:spacing w:line="460" w:lineRule="exact"/>
        <w:rPr>
          <w:rFonts w:ascii="宋体" w:hAnsi="宋体" w:cs="Arial"/>
          <w:bCs/>
          <w:color w:val="auto"/>
          <w:sz w:val="22"/>
          <w:szCs w:val="22"/>
          <w:highlight w:val="none"/>
        </w:rPr>
      </w:pPr>
      <w:bookmarkStart w:id="126" w:name="_Toc223716000"/>
      <w:bookmarkStart w:id="127" w:name="_Toc222114881"/>
      <w:bookmarkStart w:id="128" w:name="_Toc249758866"/>
      <w:bookmarkStart w:id="129" w:name="_Toc245191316"/>
      <w:bookmarkStart w:id="130" w:name="_Toc221374628"/>
      <w:bookmarkStart w:id="131" w:name="_Toc245722283"/>
      <w:bookmarkStart w:id="132" w:name="_Toc241404204"/>
      <w:bookmarkStart w:id="133" w:name="_Toc246261267"/>
      <w:bookmarkStart w:id="134" w:name="_Toc262049420"/>
      <w:bookmarkStart w:id="135" w:name="_Toc221356953"/>
      <w:bookmarkStart w:id="136" w:name="_Toc221356889"/>
      <w:bookmarkStart w:id="137" w:name="_Toc262105505"/>
      <w:bookmarkStart w:id="138" w:name="_Toc239145356"/>
      <w:bookmarkStart w:id="139" w:name="_Toc221423621"/>
      <w:bookmarkStart w:id="140" w:name="_Toc249758714"/>
      <w:r>
        <w:rPr>
          <w:rFonts w:hint="eastAsia" w:ascii="宋体" w:hAnsi="宋体" w:cs="Arial"/>
          <w:bCs/>
          <w:color w:val="auto"/>
          <w:sz w:val="22"/>
          <w:szCs w:val="22"/>
          <w:highlight w:val="none"/>
        </w:rPr>
        <w:t>开标形式</w:t>
      </w:r>
    </w:p>
    <w:p>
      <w:pPr>
        <w:tabs>
          <w:tab w:val="left" w:pos="540"/>
        </w:tabs>
        <w:spacing w:line="4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采购组织机构将按照招标文件规定的时间通过“政采云平台”组织开标、开启投标文件，所有投标人均应当准时在线参加。</w:t>
      </w:r>
    </w:p>
    <w:p>
      <w:pPr>
        <w:numPr>
          <w:ilvl w:val="0"/>
          <w:numId w:val="26"/>
        </w:numPr>
        <w:tabs>
          <w:tab w:val="left" w:pos="540"/>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开标准备</w:t>
      </w:r>
    </w:p>
    <w:p>
      <w:pPr>
        <w:numPr>
          <w:ilvl w:val="1"/>
          <w:numId w:val="27"/>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开标的准备工作由采购组织机构负责落实。</w:t>
      </w:r>
    </w:p>
    <w:p>
      <w:pPr>
        <w:numPr>
          <w:ilvl w:val="1"/>
          <w:numId w:val="27"/>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采购组织机构将按照招标文件规定的时间通过“政采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numPr>
          <w:ilvl w:val="0"/>
          <w:numId w:val="26"/>
        </w:numPr>
        <w:tabs>
          <w:tab w:val="left" w:pos="540"/>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开标流程</w:t>
      </w:r>
    </w:p>
    <w:p>
      <w:pPr>
        <w:numPr>
          <w:ilvl w:val="1"/>
          <w:numId w:val="28"/>
        </w:numPr>
        <w:tabs>
          <w:tab w:val="left" w:pos="540"/>
          <w:tab w:val="clear" w:pos="992"/>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按采购文件规定的时间、地点开启各投标人的投标文件。开标前，首先检查投标文件的密封情况，确认无误后开启投标文件（资格文件、商务技术文件、报价文件）</w:t>
      </w:r>
    </w:p>
    <w:p>
      <w:pPr>
        <w:numPr>
          <w:ilvl w:val="1"/>
          <w:numId w:val="28"/>
        </w:numPr>
        <w:tabs>
          <w:tab w:val="left" w:pos="540"/>
          <w:tab w:val="clear" w:pos="992"/>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电子招投标开标及评审程序</w:t>
      </w:r>
    </w:p>
    <w:p>
      <w:pPr>
        <w:numPr>
          <w:ilvl w:val="0"/>
          <w:numId w:val="29"/>
        </w:numPr>
        <w:overflowPunct w:val="0"/>
        <w:spacing w:line="440" w:lineRule="exact"/>
        <w:rPr>
          <w:rFonts w:ascii="宋体" w:hAnsi="宋体" w:cs="宋体"/>
          <w:bCs/>
          <w:color w:val="auto"/>
          <w:sz w:val="22"/>
          <w:szCs w:val="22"/>
          <w:highlight w:val="none"/>
        </w:rPr>
      </w:pPr>
      <w:r>
        <w:rPr>
          <w:rFonts w:hint="eastAsia" w:ascii="宋体" w:hAnsi="宋体" w:cs="宋体"/>
          <w:bCs/>
          <w:color w:val="auto"/>
          <w:sz w:val="22"/>
          <w:szCs w:val="22"/>
          <w:highlight w:val="none"/>
        </w:rPr>
        <w:t>投标截止时间后，投标人登录政采云平台，用“项目采购-开标评标”功能对电子投标文件进行在线解密。在线解密电子投标文件时间为开标时间起30分钟内。</w:t>
      </w:r>
    </w:p>
    <w:p>
      <w:pPr>
        <w:numPr>
          <w:ilvl w:val="0"/>
          <w:numId w:val="29"/>
        </w:numPr>
        <w:overflowPunct w:val="0"/>
        <w:spacing w:line="440" w:lineRule="exact"/>
        <w:rPr>
          <w:rFonts w:ascii="宋体" w:hAnsi="宋体" w:cs="宋体"/>
          <w:bCs/>
          <w:color w:val="auto"/>
          <w:sz w:val="22"/>
          <w:szCs w:val="22"/>
          <w:highlight w:val="none"/>
        </w:rPr>
      </w:pPr>
      <w:r>
        <w:rPr>
          <w:rFonts w:hint="eastAsia" w:ascii="宋体" w:hAnsi="宋体" w:cs="宋体"/>
          <w:bCs/>
          <w:color w:val="auto"/>
          <w:sz w:val="22"/>
          <w:szCs w:val="22"/>
          <w:highlight w:val="none"/>
        </w:rPr>
        <w:t>在系统上公布各投标人名称、投标报价及招标文件规定的需要宣布的其他内容。</w:t>
      </w:r>
    </w:p>
    <w:p>
      <w:pPr>
        <w:numPr>
          <w:ilvl w:val="0"/>
          <w:numId w:val="29"/>
        </w:numPr>
        <w:overflowPunct w:val="0"/>
        <w:spacing w:line="440" w:lineRule="exact"/>
        <w:rPr>
          <w:rFonts w:ascii="宋体" w:hAnsi="宋体" w:cs="宋体"/>
          <w:bCs/>
          <w:color w:val="auto"/>
          <w:sz w:val="22"/>
          <w:szCs w:val="22"/>
          <w:highlight w:val="none"/>
        </w:rPr>
      </w:pPr>
      <w:r>
        <w:rPr>
          <w:rFonts w:hint="eastAsia" w:ascii="宋体" w:hAnsi="宋体" w:cs="宋体"/>
          <w:bCs/>
          <w:color w:val="auto"/>
          <w:sz w:val="22"/>
          <w:szCs w:val="22"/>
          <w:highlight w:val="none"/>
        </w:rPr>
        <w:t>评标委员会对资格文件和商务技术文件进行评审。</w:t>
      </w:r>
    </w:p>
    <w:p>
      <w:pPr>
        <w:numPr>
          <w:ilvl w:val="0"/>
          <w:numId w:val="29"/>
        </w:numPr>
        <w:overflowPunct w:val="0"/>
        <w:spacing w:line="440" w:lineRule="exact"/>
        <w:rPr>
          <w:rFonts w:ascii="宋体" w:hAnsi="宋体" w:cs="宋体"/>
          <w:bCs/>
          <w:color w:val="auto"/>
          <w:sz w:val="22"/>
          <w:szCs w:val="22"/>
          <w:highlight w:val="none"/>
        </w:rPr>
      </w:pPr>
      <w:r>
        <w:rPr>
          <w:rFonts w:hint="eastAsia" w:ascii="宋体" w:hAnsi="宋体" w:cs="宋体"/>
          <w:bCs/>
          <w:color w:val="auto"/>
          <w:sz w:val="22"/>
          <w:szCs w:val="22"/>
          <w:highlight w:val="none"/>
        </w:rPr>
        <w:t>在系统上公开资格和商务技术评审结果。</w:t>
      </w:r>
    </w:p>
    <w:p>
      <w:pPr>
        <w:numPr>
          <w:ilvl w:val="0"/>
          <w:numId w:val="29"/>
        </w:numPr>
        <w:overflowPunct w:val="0"/>
        <w:spacing w:line="440" w:lineRule="exact"/>
        <w:rPr>
          <w:rFonts w:ascii="宋体" w:hAnsi="宋体" w:cs="宋体"/>
          <w:bCs/>
          <w:color w:val="auto"/>
          <w:sz w:val="22"/>
          <w:szCs w:val="22"/>
          <w:highlight w:val="none"/>
        </w:rPr>
      </w:pPr>
      <w:r>
        <w:rPr>
          <w:rFonts w:hint="eastAsia" w:ascii="宋体" w:hAnsi="宋体" w:cs="宋体"/>
          <w:bCs/>
          <w:color w:val="auto"/>
          <w:sz w:val="22"/>
          <w:szCs w:val="22"/>
          <w:highlight w:val="none"/>
        </w:rPr>
        <w:t>评标委员会对报价文件进行评审。</w:t>
      </w:r>
    </w:p>
    <w:p>
      <w:pPr>
        <w:numPr>
          <w:ilvl w:val="0"/>
          <w:numId w:val="29"/>
        </w:numPr>
        <w:overflowPunct w:val="0"/>
        <w:spacing w:line="440" w:lineRule="exact"/>
        <w:rPr>
          <w:rFonts w:ascii="宋体" w:hAnsi="宋体" w:cs="宋体"/>
          <w:bCs/>
          <w:color w:val="auto"/>
          <w:sz w:val="22"/>
          <w:szCs w:val="22"/>
          <w:highlight w:val="none"/>
        </w:rPr>
      </w:pPr>
      <w:r>
        <w:rPr>
          <w:rFonts w:hint="eastAsia" w:ascii="宋体" w:hAnsi="宋体" w:cs="宋体"/>
          <w:bCs/>
          <w:color w:val="auto"/>
          <w:sz w:val="22"/>
          <w:szCs w:val="22"/>
          <w:highlight w:val="none"/>
        </w:rPr>
        <w:t>在系统上公布评审结果。</w:t>
      </w:r>
    </w:p>
    <w:p>
      <w:pPr>
        <w:overflowPunct w:val="0"/>
        <w:spacing w:line="440" w:lineRule="exact"/>
        <w:ind w:left="110"/>
        <w:rPr>
          <w:rFonts w:ascii="宋体" w:hAnsi="宋体" w:cs="宋体"/>
          <w:b/>
          <w:bCs/>
          <w:color w:val="auto"/>
          <w:sz w:val="22"/>
          <w:szCs w:val="22"/>
          <w:highlight w:val="none"/>
        </w:rPr>
      </w:pPr>
      <w:r>
        <w:rPr>
          <w:rFonts w:hint="eastAsia" w:ascii="宋体" w:hAnsi="宋体" w:cs="宋体"/>
          <w:b/>
          <w:bCs/>
          <w:color w:val="auto"/>
          <w:sz w:val="22"/>
          <w:szCs w:val="22"/>
          <w:highlight w:val="none"/>
        </w:rPr>
        <w:t>特别说明：1、政采云公司如对电子化开标及评审程序有调整的，按调整后的程序操作。</w:t>
      </w:r>
    </w:p>
    <w:p>
      <w:pPr>
        <w:overflowPunct w:val="0"/>
        <w:spacing w:line="440" w:lineRule="exact"/>
        <w:ind w:firstLine="1281" w:firstLineChars="580"/>
        <w:rPr>
          <w:rFonts w:ascii="宋体" w:hAnsi="宋体" w:cs="宋体"/>
          <w:b/>
          <w:bCs/>
          <w:color w:val="auto"/>
          <w:sz w:val="22"/>
          <w:szCs w:val="22"/>
          <w:highlight w:val="none"/>
        </w:rPr>
      </w:pPr>
      <w:r>
        <w:rPr>
          <w:rFonts w:hint="eastAsia" w:ascii="宋体" w:hAnsi="宋体" w:cs="宋体"/>
          <w:b/>
          <w:bCs/>
          <w:color w:val="auto"/>
          <w:sz w:val="22"/>
          <w:szCs w:val="22"/>
          <w:highlight w:val="none"/>
        </w:rPr>
        <w:t>2、目前政府采购全流程电子化交易，投标人须在规定时间内自行解密。</w:t>
      </w:r>
    </w:p>
    <w:p>
      <w:pPr>
        <w:numPr>
          <w:ilvl w:val="1"/>
          <w:numId w:val="28"/>
        </w:numPr>
        <w:tabs>
          <w:tab w:val="left" w:pos="540"/>
          <w:tab w:val="clear" w:pos="992"/>
        </w:tabs>
        <w:spacing w:line="460" w:lineRule="exact"/>
        <w:ind w:left="540" w:hanging="540"/>
        <w:rPr>
          <w:rFonts w:ascii="宋体" w:hAnsi="宋体"/>
          <w:b/>
          <w:color w:val="auto"/>
          <w:sz w:val="22"/>
          <w:szCs w:val="22"/>
          <w:highlight w:val="none"/>
          <w:u w:val="single"/>
        </w:rPr>
      </w:pPr>
      <w:r>
        <w:rPr>
          <w:rFonts w:hint="eastAsia" w:ascii="宋体" w:hAnsi="宋体"/>
          <w:b/>
          <w:color w:val="auto"/>
          <w:sz w:val="22"/>
          <w:szCs w:val="22"/>
          <w:highlight w:val="none"/>
          <w:u w:val="single"/>
        </w:rPr>
        <w:t>电子响应文件解密结束后，各投标人签署《政府采购活动现场确认声明书》（见附件）后将扫描件发送至采购代理机构邮箱Yxgc666@126.com。</w:t>
      </w:r>
    </w:p>
    <w:p>
      <w:pPr>
        <w:numPr>
          <w:ilvl w:val="1"/>
          <w:numId w:val="28"/>
        </w:numPr>
        <w:tabs>
          <w:tab w:val="left" w:pos="540"/>
          <w:tab w:val="clear" w:pos="992"/>
        </w:tabs>
        <w:spacing w:line="460" w:lineRule="exact"/>
        <w:ind w:left="540" w:hanging="540"/>
        <w:rPr>
          <w:rFonts w:ascii="宋体" w:hAnsi="宋体"/>
          <w:b/>
          <w:color w:val="auto"/>
          <w:sz w:val="22"/>
          <w:szCs w:val="22"/>
          <w:highlight w:val="none"/>
        </w:rPr>
      </w:pPr>
      <w:r>
        <w:rPr>
          <w:rFonts w:hint="eastAsia" w:ascii="宋体" w:hAnsi="宋体"/>
          <w:b/>
          <w:color w:val="auto"/>
          <w:sz w:val="22"/>
          <w:szCs w:val="22"/>
          <w:highlight w:val="none"/>
        </w:rPr>
        <w:t>评审结束后，在“政采云平台”系统平台上公布个采购人的详细情况及中标（成交）候选投标人名单的公告等。</w:t>
      </w:r>
    </w:p>
    <w:p>
      <w:pPr>
        <w:tabs>
          <w:tab w:val="left" w:pos="540"/>
        </w:tabs>
        <w:spacing w:line="46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特别说明：如遇“政采云平台”电子化开标或评审程序调整的，按调整后程序执行。</w:t>
      </w:r>
    </w:p>
    <w:p>
      <w:pPr>
        <w:spacing w:before="100" w:beforeAutospacing="1" w:after="100" w:afterAutospacing="1" w:line="440" w:lineRule="exact"/>
        <w:ind w:left="-6"/>
        <w:jc w:val="center"/>
        <w:outlineLvl w:val="0"/>
        <w:rPr>
          <w:rFonts w:ascii="宋体" w:hAnsi="宋体"/>
          <w:b/>
          <w:bCs/>
          <w:color w:val="auto"/>
          <w:sz w:val="26"/>
          <w:szCs w:val="26"/>
          <w:highlight w:val="none"/>
        </w:rPr>
      </w:pPr>
      <w:bookmarkStart w:id="141" w:name="_Toc16973"/>
      <w:r>
        <w:rPr>
          <w:rFonts w:hint="eastAsia" w:ascii="宋体" w:hAnsi="宋体"/>
          <w:b/>
          <w:bCs/>
          <w:color w:val="auto"/>
          <w:sz w:val="26"/>
          <w:szCs w:val="26"/>
          <w:highlight w:val="none"/>
        </w:rPr>
        <w:t>七、 评标</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numPr>
          <w:ilvl w:val="0"/>
          <w:numId w:val="30"/>
        </w:numPr>
        <w:tabs>
          <w:tab w:val="left" w:pos="540"/>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评标委员会</w:t>
      </w:r>
    </w:p>
    <w:p>
      <w:pPr>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pPr>
        <w:numPr>
          <w:ilvl w:val="0"/>
          <w:numId w:val="30"/>
        </w:numPr>
        <w:tabs>
          <w:tab w:val="left" w:pos="540"/>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评标过程的保密性</w:t>
      </w:r>
    </w:p>
    <w:p>
      <w:pPr>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开标后直至向中标人授予合同时止，凡与评审有关的资料均不得向投标人及与评标无关人员透露。如果投标人在评标过程中试图向采购人和招标代理机构施加影响，其投标将被拒绝。</w:t>
      </w:r>
    </w:p>
    <w:p>
      <w:pPr>
        <w:numPr>
          <w:ilvl w:val="0"/>
          <w:numId w:val="30"/>
        </w:numPr>
        <w:tabs>
          <w:tab w:val="left" w:pos="540"/>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投标文件的初审。初审分为资格性审查和符合性检查。</w:t>
      </w:r>
    </w:p>
    <w:p>
      <w:pPr>
        <w:numPr>
          <w:ilvl w:val="1"/>
          <w:numId w:val="31"/>
        </w:numPr>
        <w:tabs>
          <w:tab w:val="left" w:pos="540"/>
          <w:tab w:val="clear" w:pos="992"/>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资格性审查。</w:t>
      </w:r>
    </w:p>
    <w:p>
      <w:pPr>
        <w:pStyle w:val="122"/>
        <w:numPr>
          <w:ilvl w:val="0"/>
          <w:numId w:val="32"/>
        </w:numPr>
        <w:tabs>
          <w:tab w:val="left" w:pos="425"/>
        </w:tabs>
        <w:overflowPunct w:val="0"/>
        <w:spacing w:line="440" w:lineRule="exact"/>
        <w:ind w:hanging="136" w:firstLineChars="0"/>
        <w:rPr>
          <w:rFonts w:ascii="宋体" w:hAnsi="宋体" w:cs="宋体"/>
          <w:bCs/>
          <w:color w:val="auto"/>
          <w:sz w:val="22"/>
          <w:szCs w:val="22"/>
          <w:highlight w:val="none"/>
        </w:rPr>
      </w:pPr>
      <w:r>
        <w:rPr>
          <w:rFonts w:hint="eastAsia" w:ascii="宋体" w:hAnsi="宋体" w:cs="宋体"/>
          <w:bCs/>
          <w:color w:val="auto"/>
          <w:sz w:val="22"/>
          <w:szCs w:val="22"/>
          <w:highlight w:val="none"/>
        </w:rPr>
        <w:t>依据法律、法规和采购文件的规定，采购人或采购代理机构在开启各投标人资格证明文件后，对各投标人进行投标资格审查，审查内容包括但不仅限于投标文件所提交证明材料是否能证明符合本项目对合格投标人的实质性要求。采购人或采购代理机构对投标人所提供的资格证明材料仅负审核的责任。如发现投标人所提供的资格证明材料不合法或不真实，采购人可取消其中标资格并追究法律责任。通过资格审查视作具备投标资格，审查不合格的投标文件将不进入后续详细评审。</w:t>
      </w:r>
    </w:p>
    <w:p>
      <w:pPr>
        <w:pStyle w:val="122"/>
        <w:numPr>
          <w:ilvl w:val="0"/>
          <w:numId w:val="32"/>
        </w:numPr>
        <w:tabs>
          <w:tab w:val="left" w:pos="425"/>
        </w:tabs>
        <w:overflowPunct w:val="0"/>
        <w:spacing w:line="440" w:lineRule="exact"/>
        <w:ind w:hanging="136" w:firstLineChars="0"/>
        <w:rPr>
          <w:rFonts w:ascii="宋体" w:hAnsi="宋体" w:cs="宋体"/>
          <w:b/>
          <w:bCs/>
          <w:color w:val="auto"/>
          <w:sz w:val="22"/>
          <w:szCs w:val="22"/>
          <w:highlight w:val="none"/>
        </w:rPr>
      </w:pPr>
      <w:r>
        <w:rPr>
          <w:rFonts w:hint="eastAsia" w:ascii="宋体" w:hAnsi="宋体" w:cs="宋体"/>
          <w:b/>
          <w:bCs/>
          <w:color w:val="auto"/>
          <w:sz w:val="22"/>
          <w:szCs w:val="22"/>
          <w:highlight w:val="none"/>
        </w:rPr>
        <w:t>在资格审查过程中，若对投标人的资格审查文件有疑问，采购组织机构将在系统上向投标人发起询标函</w:t>
      </w:r>
    </w:p>
    <w:p>
      <w:pPr>
        <w:numPr>
          <w:ilvl w:val="1"/>
          <w:numId w:val="31"/>
        </w:numPr>
        <w:tabs>
          <w:tab w:val="left" w:pos="540"/>
          <w:tab w:val="clear" w:pos="992"/>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符合性检查。依据招标文件的规定，从投标文件中的有效性、完整性和对招标文件的响应程度进行审查，并在“政采云系统-符合性评审”中录入投标人的符合性审查情况。</w:t>
      </w:r>
    </w:p>
    <w:p>
      <w:pPr>
        <w:numPr>
          <w:ilvl w:val="1"/>
          <w:numId w:val="31"/>
        </w:numPr>
        <w:tabs>
          <w:tab w:val="left" w:pos="540"/>
          <w:tab w:val="clear" w:pos="992"/>
        </w:tabs>
        <w:spacing w:line="460" w:lineRule="exact"/>
        <w:ind w:left="540" w:hanging="540"/>
        <w:rPr>
          <w:rFonts w:ascii="宋体" w:hAnsi="宋体"/>
          <w:b/>
          <w:color w:val="auto"/>
          <w:sz w:val="22"/>
          <w:szCs w:val="22"/>
          <w:highlight w:val="none"/>
          <w:u w:val="single"/>
        </w:rPr>
      </w:pPr>
      <w:r>
        <w:rPr>
          <w:rFonts w:hint="eastAsia" w:ascii="宋体" w:hAnsi="宋体"/>
          <w:b/>
          <w:color w:val="auto"/>
          <w:sz w:val="22"/>
          <w:szCs w:val="22"/>
          <w:highlight w:val="none"/>
          <w:u w:val="single"/>
        </w:rPr>
        <w:t>▲通过资格性审查与符合性审查的商务技术文件由评委进行综合评审，审查确认未通过的商务技术文件不予评审。</w:t>
      </w:r>
    </w:p>
    <w:p>
      <w:pPr>
        <w:numPr>
          <w:ilvl w:val="0"/>
          <w:numId w:val="30"/>
        </w:numPr>
        <w:tabs>
          <w:tab w:val="left" w:pos="540"/>
          <w:tab w:val="clear" w:pos="420"/>
        </w:tabs>
        <w:spacing w:line="460" w:lineRule="exact"/>
        <w:rPr>
          <w:rFonts w:ascii="宋体" w:hAnsi="宋体" w:cs="Arial"/>
          <w:b/>
          <w:color w:val="auto"/>
          <w:sz w:val="22"/>
          <w:szCs w:val="22"/>
          <w:highlight w:val="none"/>
        </w:rPr>
      </w:pPr>
      <w:r>
        <w:rPr>
          <w:rFonts w:hint="eastAsia" w:ascii="宋体" w:hAnsi="宋体" w:cs="Arial"/>
          <w:b/>
          <w:color w:val="auto"/>
          <w:sz w:val="22"/>
          <w:szCs w:val="22"/>
          <w:highlight w:val="none"/>
        </w:rPr>
        <w:t>无效标认定</w:t>
      </w:r>
    </w:p>
    <w:p>
      <w:pPr>
        <w:numPr>
          <w:ilvl w:val="1"/>
          <w:numId w:val="33"/>
        </w:numPr>
        <w:tabs>
          <w:tab w:val="left" w:pos="360"/>
          <w:tab w:val="clear" w:pos="992"/>
        </w:tabs>
        <w:spacing w:line="460" w:lineRule="exact"/>
        <w:ind w:left="640"/>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▲在对各投标人的投标文件进行综合评审时，投标文件有下列情况之一的，经评标委员会认定后按无效标处理：</w:t>
      </w:r>
    </w:p>
    <w:p>
      <w:pPr>
        <w:numPr>
          <w:ilvl w:val="0"/>
          <w:numId w:val="34"/>
        </w:numPr>
        <w:spacing w:line="44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电子投标文件未按规定进行CA签章；</w:t>
      </w:r>
    </w:p>
    <w:p>
      <w:pPr>
        <w:numPr>
          <w:ilvl w:val="0"/>
          <w:numId w:val="34"/>
        </w:numPr>
        <w:spacing w:line="44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投标文件中要求投标人法定代表人或授权代表签字的地方无法定代表人签字或其授权代表签字的；</w:t>
      </w:r>
    </w:p>
    <w:p>
      <w:pPr>
        <w:numPr>
          <w:ilvl w:val="0"/>
          <w:numId w:val="34"/>
        </w:numPr>
        <w:spacing w:line="44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不具备招标文件中规定的资格要求的；</w:t>
      </w:r>
    </w:p>
    <w:p>
      <w:pPr>
        <w:numPr>
          <w:ilvl w:val="0"/>
          <w:numId w:val="34"/>
        </w:numPr>
        <w:spacing w:line="44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报价超过招标文件中规定的预算金额或者最高限价的；</w:t>
      </w:r>
    </w:p>
    <w:p>
      <w:pPr>
        <w:numPr>
          <w:ilvl w:val="0"/>
          <w:numId w:val="34"/>
        </w:numPr>
        <w:spacing w:line="44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投标文件含有采购人不能接受的附加条件的；</w:t>
      </w:r>
    </w:p>
    <w:p>
      <w:pPr>
        <w:numPr>
          <w:ilvl w:val="0"/>
          <w:numId w:val="34"/>
        </w:numPr>
        <w:spacing w:line="44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经评标委员会认定投标人串通投标的；</w:t>
      </w:r>
    </w:p>
    <w:p>
      <w:pPr>
        <w:numPr>
          <w:ilvl w:val="0"/>
          <w:numId w:val="34"/>
        </w:numPr>
        <w:spacing w:line="44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同时出现两种及以上不一致价格且修正后投标人不确认报价的；</w:t>
      </w:r>
    </w:p>
    <w:p>
      <w:pPr>
        <w:numPr>
          <w:ilvl w:val="0"/>
          <w:numId w:val="34"/>
        </w:numPr>
        <w:spacing w:line="44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报价明显低于其他通过符合性审查投标人的报价，且在评标现场合理的时间内不能证明其报价合理性的；</w:t>
      </w:r>
    </w:p>
    <w:p>
      <w:pPr>
        <w:numPr>
          <w:ilvl w:val="0"/>
          <w:numId w:val="34"/>
        </w:numPr>
        <w:spacing w:line="44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授权代表无法定代表人合法、有效委托的；</w:t>
      </w:r>
    </w:p>
    <w:p>
      <w:pPr>
        <w:numPr>
          <w:ilvl w:val="0"/>
          <w:numId w:val="34"/>
        </w:numPr>
        <w:spacing w:line="440" w:lineRule="exact"/>
        <w:rPr>
          <w:rFonts w:ascii="宋体" w:hAnsi="宋体" w:cs="宋体"/>
          <w:bCs/>
          <w:color w:val="auto"/>
          <w:kern w:val="0"/>
          <w:sz w:val="22"/>
          <w:szCs w:val="22"/>
          <w:highlight w:val="none"/>
          <w:u w:val="single"/>
        </w:rPr>
      </w:pPr>
      <w:r>
        <w:rPr>
          <w:rFonts w:hint="eastAsia" w:ascii="宋体" w:hAnsi="宋体" w:cs="宋体"/>
          <w:bCs/>
          <w:color w:val="auto"/>
          <w:sz w:val="22"/>
          <w:szCs w:val="22"/>
          <w:highlight w:val="none"/>
          <w:u w:val="single"/>
        </w:rPr>
        <w:t>规定时间内解密失败且经异常处理但政采云电子交易系统仍未能识别备份投标文件的；</w:t>
      </w:r>
    </w:p>
    <w:p>
      <w:pPr>
        <w:numPr>
          <w:ilvl w:val="0"/>
          <w:numId w:val="34"/>
        </w:numPr>
        <w:spacing w:line="44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评标委员会认定不符合法律、法规和招标文件中规定的其他实质性要求的。</w:t>
      </w:r>
    </w:p>
    <w:p>
      <w:pPr>
        <w:numPr>
          <w:ilvl w:val="1"/>
          <w:numId w:val="33"/>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b/>
          <w:bCs/>
          <w:color w:val="auto"/>
          <w:sz w:val="22"/>
          <w:szCs w:val="22"/>
          <w:highlight w:val="none"/>
          <w:u w:val="single"/>
        </w:rPr>
        <w:t>▲评标委员会发现投标文件有下列情形之一的属于重大偏差(评标委员会按少数服从多数原则认定),按照无效投标处理：</w:t>
      </w:r>
    </w:p>
    <w:p>
      <w:pPr>
        <w:spacing w:line="46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1）未按招标文件要求编制或字迹模糊、辨认不清的投标文件；</w:t>
      </w:r>
    </w:p>
    <w:p>
      <w:pPr>
        <w:spacing w:line="46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2）出现明显不符合技术规格、技术标准的要求或不满足招标文件技术规格书中的主要参数的投标文件；</w:t>
      </w:r>
    </w:p>
    <w:p>
      <w:pPr>
        <w:spacing w:line="46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3）出现投标项目数量与招标文件对比出现较大偏差；商务报价明细表计算错误，出现较大差错；</w:t>
      </w:r>
    </w:p>
    <w:p>
      <w:pPr>
        <w:spacing w:line="46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4）出现其它不符合招标文件中规定的实质性要求的投标文件，是否为偏离实质性要求由评标委员会认定。</w:t>
      </w:r>
    </w:p>
    <w:p>
      <w:pPr>
        <w:numPr>
          <w:ilvl w:val="1"/>
          <w:numId w:val="33"/>
        </w:numPr>
        <w:tabs>
          <w:tab w:val="left" w:pos="360"/>
          <w:tab w:val="clear" w:pos="992"/>
        </w:tabs>
        <w:spacing w:line="460" w:lineRule="exact"/>
        <w:ind w:left="640"/>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▲有下列情形之一的，视为投标人串通投标，其投标无效：</w:t>
      </w:r>
    </w:p>
    <w:p>
      <w:pPr>
        <w:spacing w:line="46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1)不同投标人的投标文件由同一单位或者个人编制；</w:t>
      </w:r>
    </w:p>
    <w:p>
      <w:pPr>
        <w:spacing w:line="46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2)不同投标人委托同一单位或者个人办理投标事宜；</w:t>
      </w:r>
    </w:p>
    <w:p>
      <w:pPr>
        <w:spacing w:line="46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3)不同投标人的投标文件载明的项目管理成员或者联系人员为同一人；</w:t>
      </w:r>
    </w:p>
    <w:p>
      <w:pPr>
        <w:spacing w:line="46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4）不同投标人的投标文件异常一致或者投标报价呈规律性差异；</w:t>
      </w:r>
    </w:p>
    <w:p>
      <w:pPr>
        <w:spacing w:line="46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5）不同投标人的投标文件相互混装；</w:t>
      </w:r>
    </w:p>
    <w:p>
      <w:pPr>
        <w:numPr>
          <w:ilvl w:val="1"/>
          <w:numId w:val="33"/>
        </w:numPr>
        <w:tabs>
          <w:tab w:val="left" w:pos="360"/>
          <w:tab w:val="clear" w:pos="992"/>
        </w:tabs>
        <w:spacing w:line="460" w:lineRule="exact"/>
        <w:ind w:left="640"/>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▲本项目采用政采云电子招投标开标及评审程序，如有以下情形之一的，按以下情况处理：</w:t>
      </w:r>
    </w:p>
    <w:p>
      <w:pPr>
        <w:numPr>
          <w:ilvl w:val="0"/>
          <w:numId w:val="35"/>
        </w:numPr>
        <w:spacing w:line="360" w:lineRule="auto"/>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投标人在规定时间内无法解密或解密失败的作无效投标处理。解密成功的投标人不足三家的，本项目流标重新组织采购活动。</w:t>
      </w:r>
    </w:p>
    <w:p>
      <w:pPr>
        <w:numPr>
          <w:ilvl w:val="0"/>
          <w:numId w:val="35"/>
        </w:numPr>
        <w:spacing w:line="360" w:lineRule="auto"/>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因政采云平台原因无法读取或电子开评标无法正常进行，采购机构将情况上报行业监管部门同意后，重新组织采购活动。</w:t>
      </w:r>
    </w:p>
    <w:p>
      <w:pPr>
        <w:numPr>
          <w:ilvl w:val="0"/>
          <w:numId w:val="35"/>
        </w:numPr>
        <w:spacing w:line="360" w:lineRule="auto"/>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符合专业条件的投标人或者对招标文件作实质响应的投标人不足3家的，本次招标按废标处理，重新组织招标。</w:t>
      </w:r>
    </w:p>
    <w:p>
      <w:pPr>
        <w:numPr>
          <w:ilvl w:val="1"/>
          <w:numId w:val="33"/>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在详细评标之前，评标委员会要审查每份投标文件是否实质上响应了招标文件的要求。实质上响应的投标应该是与招标文件要求的全部条款、条件和规格基本相符。没有重大偏离。</w:t>
      </w:r>
    </w:p>
    <w:p>
      <w:pPr>
        <w:numPr>
          <w:ilvl w:val="1"/>
          <w:numId w:val="33"/>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实质上没有响应招标文件要求的投标将被否决，投标人不得通过修正或撤消不合要求的偏离或保留从而使其投标成为实质上响应的投标。</w:t>
      </w:r>
    </w:p>
    <w:p>
      <w:pPr>
        <w:numPr>
          <w:ilvl w:val="0"/>
          <w:numId w:val="30"/>
        </w:numPr>
        <w:tabs>
          <w:tab w:val="left" w:pos="540"/>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投标文件的澄清</w:t>
      </w:r>
    </w:p>
    <w:p>
      <w:pPr>
        <w:numPr>
          <w:ilvl w:val="1"/>
          <w:numId w:val="36"/>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pPr>
        <w:numPr>
          <w:ilvl w:val="1"/>
          <w:numId w:val="36"/>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pPr>
        <w:numPr>
          <w:ilvl w:val="1"/>
          <w:numId w:val="36"/>
        </w:numPr>
        <w:tabs>
          <w:tab w:val="left" w:pos="360"/>
          <w:tab w:val="clear" w:pos="992"/>
        </w:tabs>
        <w:spacing w:line="460" w:lineRule="exact"/>
        <w:ind w:left="640"/>
        <w:rPr>
          <w:rFonts w:ascii="宋体" w:hAnsi="宋体" w:cs="Arial"/>
          <w:b/>
          <w:bCs/>
          <w:color w:val="auto"/>
          <w:sz w:val="22"/>
          <w:szCs w:val="22"/>
          <w:highlight w:val="none"/>
        </w:rPr>
      </w:pPr>
      <w:r>
        <w:rPr>
          <w:rFonts w:hint="eastAsia" w:ascii="宋体" w:hAnsi="宋体" w:cs="Arial"/>
          <w:b/>
          <w:bCs/>
          <w:color w:val="auto"/>
          <w:sz w:val="22"/>
          <w:szCs w:val="22"/>
          <w:highlight w:val="none"/>
        </w:rPr>
        <w:t>投标文件报价出现前后不一致的，除招标文件另有规定外，按照下列规定修正：</w:t>
      </w:r>
    </w:p>
    <w:p>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r>
        <w:rPr>
          <w:rFonts w:hint="eastAsia" w:ascii="宋体" w:hAnsi="宋体" w:cs="宋体"/>
          <w:color w:val="auto"/>
          <w:sz w:val="22"/>
          <w:highlight w:val="none"/>
        </w:rPr>
        <w:t>投标文件中开标一览表（报价表）内容与投标文件中相应内容不一致的，以开标一览表（报价表）为准</w:t>
      </w:r>
      <w:r>
        <w:rPr>
          <w:rFonts w:hint="eastAsia" w:ascii="宋体" w:hAnsi="宋体" w:cs="宋体"/>
          <w:color w:val="auto"/>
          <w:kern w:val="0"/>
          <w:sz w:val="22"/>
          <w:szCs w:val="22"/>
          <w:highlight w:val="none"/>
        </w:rPr>
        <w:t>。</w:t>
      </w:r>
    </w:p>
    <w:p>
      <w:pPr>
        <w:spacing w:line="460" w:lineRule="exact"/>
        <w:ind w:firstLine="418" w:firstLineChars="190"/>
        <w:rPr>
          <w:rFonts w:ascii="宋体" w:hAnsi="宋体" w:cs="宋体"/>
          <w:color w:val="auto"/>
          <w:sz w:val="22"/>
          <w:highlight w:val="none"/>
        </w:rPr>
      </w:pPr>
      <w:r>
        <w:rPr>
          <w:rFonts w:hint="eastAsia" w:ascii="宋体" w:hAnsi="宋体" w:cs="宋体"/>
          <w:color w:val="auto"/>
          <w:kern w:val="0"/>
          <w:sz w:val="22"/>
          <w:szCs w:val="22"/>
          <w:highlight w:val="none"/>
        </w:rPr>
        <w:t>2）</w:t>
      </w:r>
      <w:r>
        <w:rPr>
          <w:rFonts w:hint="eastAsia" w:ascii="宋体" w:hAnsi="宋体" w:cs="宋体"/>
          <w:color w:val="auto"/>
          <w:sz w:val="22"/>
          <w:highlight w:val="none"/>
        </w:rPr>
        <w:t>大写金额和小写金额不一致的，以大写金额为准。</w:t>
      </w:r>
    </w:p>
    <w:p>
      <w:pPr>
        <w:spacing w:line="460" w:lineRule="exact"/>
        <w:ind w:firstLine="418" w:firstLineChars="190"/>
        <w:rPr>
          <w:rFonts w:ascii="宋体" w:hAnsi="宋体" w:cs="宋体"/>
          <w:color w:val="auto"/>
          <w:sz w:val="22"/>
          <w:highlight w:val="none"/>
        </w:rPr>
      </w:pPr>
      <w:r>
        <w:rPr>
          <w:rFonts w:hint="eastAsia" w:ascii="宋体" w:hAnsi="宋体" w:cs="宋体"/>
          <w:color w:val="auto"/>
          <w:sz w:val="22"/>
          <w:highlight w:val="none"/>
        </w:rPr>
        <w:t>3）单价金额小数点或者百分比有明显错位的，以开标一览表的总价为准，并修改单价。</w:t>
      </w:r>
    </w:p>
    <w:p>
      <w:pPr>
        <w:spacing w:line="460" w:lineRule="exact"/>
        <w:ind w:firstLine="418" w:firstLineChars="190"/>
        <w:rPr>
          <w:rFonts w:ascii="宋体" w:hAnsi="宋体" w:cs="宋体"/>
          <w:color w:val="auto"/>
          <w:sz w:val="22"/>
          <w:highlight w:val="none"/>
        </w:rPr>
      </w:pPr>
      <w:r>
        <w:rPr>
          <w:rFonts w:hint="eastAsia" w:ascii="宋体" w:hAnsi="宋体" w:cs="宋体"/>
          <w:color w:val="auto"/>
          <w:sz w:val="22"/>
          <w:highlight w:val="none"/>
        </w:rPr>
        <w:t>4）总价金额与按单价汇总金额不一致的，以单价金额计算结果为准。</w:t>
      </w:r>
    </w:p>
    <w:p>
      <w:pPr>
        <w:spacing w:line="460" w:lineRule="exact"/>
        <w:ind w:firstLine="418" w:firstLineChars="190"/>
        <w:rPr>
          <w:rFonts w:ascii="宋体" w:hAnsi="宋体" w:cs="宋体"/>
          <w:b/>
          <w:bCs/>
          <w:color w:val="auto"/>
          <w:sz w:val="22"/>
          <w:highlight w:val="none"/>
        </w:rPr>
      </w:pPr>
      <w:r>
        <w:rPr>
          <w:rFonts w:hint="eastAsia" w:ascii="宋体" w:hAnsi="宋体" w:cs="宋体"/>
          <w:color w:val="auto"/>
          <w:sz w:val="22"/>
          <w:highlight w:val="none"/>
        </w:rPr>
        <w:t>5）</w:t>
      </w:r>
      <w:r>
        <w:rPr>
          <w:rFonts w:hint="eastAsia" w:ascii="宋体" w:hAnsi="宋体" w:cs="宋体"/>
          <w:b/>
          <w:bCs/>
          <w:color w:val="auto"/>
          <w:sz w:val="22"/>
          <w:highlight w:val="none"/>
        </w:rPr>
        <w:t>同时出现两种以上不一致的，按照前款规定的顺序修正。修正后的报价按照本招标文件规定经投标人确认后产生约束力，投标人不确认的，其投标无效。</w:t>
      </w:r>
    </w:p>
    <w:p>
      <w:pPr>
        <w:numPr>
          <w:ilvl w:val="1"/>
          <w:numId w:val="36"/>
        </w:numPr>
        <w:tabs>
          <w:tab w:val="left" w:pos="360"/>
          <w:tab w:val="clear" w:pos="992"/>
        </w:tabs>
        <w:spacing w:line="460" w:lineRule="exact"/>
        <w:ind w:left="640"/>
        <w:rPr>
          <w:rFonts w:ascii="宋体" w:hAnsi="宋体" w:cs="Arial"/>
          <w:b/>
          <w:bCs/>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b/>
          <w:bCs/>
          <w:color w:val="auto"/>
          <w:kern w:val="0"/>
          <w:sz w:val="22"/>
          <w:szCs w:val="22"/>
          <w:highlight w:val="none"/>
        </w:rPr>
        <w:t>评标委员会认为投标人的报价明显低于其他通过符合性审查投标人的报价，有可能影响产品质</w:t>
      </w:r>
      <w:r>
        <w:rPr>
          <w:rFonts w:hint="eastAsia" w:ascii="宋体" w:hAnsi="宋体" w:cs="Arial"/>
          <w:b/>
          <w:bCs/>
          <w:color w:val="auto"/>
          <w:sz w:val="22"/>
          <w:szCs w:val="22"/>
          <w:highlight w:val="none"/>
        </w:rPr>
        <w:t>量或者不能诚信履约的，将要求其在合理时间内在“政采云平台”上作出在线澄清并提供书面说明，必要时提交相关证明材料；投标人不能证明其报价合理性的，评标委员会应当将其作为无效投标处理。</w:t>
      </w:r>
    </w:p>
    <w:p>
      <w:pPr>
        <w:numPr>
          <w:ilvl w:val="1"/>
          <w:numId w:val="36"/>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如果投标人代表拒绝按评标委员会要求在“政采云平台”作出在线回复且无其他有效回复方式的，评标委员会可以对其作出否决投标处理。</w:t>
      </w:r>
    </w:p>
    <w:p>
      <w:pPr>
        <w:numPr>
          <w:ilvl w:val="1"/>
          <w:numId w:val="36"/>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经澄清后，若偏差仍存在，且不可接受，则投标文件将被认定为“没有实质性响应招标文件要求”，按无效投标处理，不再进入下一步评审。</w:t>
      </w:r>
    </w:p>
    <w:p>
      <w:pPr>
        <w:numPr>
          <w:ilvl w:val="0"/>
          <w:numId w:val="30"/>
        </w:numPr>
        <w:tabs>
          <w:tab w:val="left" w:pos="540"/>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评标原则和评标办法</w:t>
      </w:r>
    </w:p>
    <w:p>
      <w:pPr>
        <w:numPr>
          <w:ilvl w:val="1"/>
          <w:numId w:val="37"/>
        </w:numPr>
        <w:tabs>
          <w:tab w:val="left" w:pos="360"/>
          <w:tab w:val="clear" w:pos="992"/>
        </w:tabs>
        <w:spacing w:line="460" w:lineRule="exact"/>
        <w:ind w:left="418" w:leftChars="-68" w:hanging="561" w:hangingChars="255"/>
        <w:rPr>
          <w:rFonts w:ascii="宋体" w:hAnsi="宋体" w:cs="Arial"/>
          <w:color w:val="auto"/>
          <w:sz w:val="22"/>
          <w:szCs w:val="22"/>
          <w:highlight w:val="none"/>
        </w:rPr>
      </w:pPr>
      <w:r>
        <w:rPr>
          <w:rFonts w:hint="eastAsia" w:ascii="宋体" w:hAnsi="宋体" w:cs="Arial"/>
          <w:color w:val="auto"/>
          <w:sz w:val="22"/>
          <w:szCs w:val="22"/>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numPr>
          <w:ilvl w:val="1"/>
          <w:numId w:val="37"/>
        </w:numPr>
        <w:tabs>
          <w:tab w:val="left" w:pos="360"/>
          <w:tab w:val="clear" w:pos="992"/>
        </w:tabs>
        <w:spacing w:line="460" w:lineRule="exact"/>
        <w:ind w:left="418" w:leftChars="-68" w:hanging="561" w:hangingChars="255"/>
        <w:rPr>
          <w:rFonts w:ascii="宋体" w:hAnsi="宋体" w:cs="Arial"/>
          <w:color w:val="auto"/>
          <w:sz w:val="22"/>
          <w:szCs w:val="22"/>
          <w:highlight w:val="none"/>
        </w:rPr>
      </w:pPr>
      <w:r>
        <w:rPr>
          <w:rFonts w:hint="eastAsia" w:ascii="宋体" w:hAnsi="宋体" w:cs="Arial"/>
          <w:color w:val="auto"/>
          <w:sz w:val="22"/>
          <w:szCs w:val="22"/>
          <w:highlight w:val="none"/>
        </w:rPr>
        <w:t>评标中因评标委员会成员缺席、回避或者健康等特殊原因导致评标委员会组成不符合规定的，依法补足后继续评标。被更换的评标委员会成员所作出的评标意见无效。</w:t>
      </w:r>
    </w:p>
    <w:p>
      <w:pPr>
        <w:numPr>
          <w:ilvl w:val="1"/>
          <w:numId w:val="37"/>
        </w:numPr>
        <w:tabs>
          <w:tab w:val="left" w:pos="360"/>
          <w:tab w:val="clear" w:pos="992"/>
        </w:tabs>
        <w:spacing w:line="460" w:lineRule="exact"/>
        <w:ind w:left="418" w:leftChars="-68" w:hanging="561" w:hangingChars="255"/>
        <w:rPr>
          <w:rFonts w:ascii="宋体" w:hAnsi="宋体" w:cs="Arial"/>
          <w:color w:val="auto"/>
          <w:sz w:val="22"/>
          <w:szCs w:val="22"/>
          <w:highlight w:val="none"/>
        </w:rPr>
      </w:pPr>
      <w:r>
        <w:rPr>
          <w:rFonts w:hint="eastAsia" w:ascii="宋体" w:hAnsi="宋体" w:cs="Arial"/>
          <w:color w:val="auto"/>
          <w:sz w:val="22"/>
          <w:szCs w:val="22"/>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numPr>
          <w:ilvl w:val="1"/>
          <w:numId w:val="37"/>
        </w:numPr>
        <w:tabs>
          <w:tab w:val="left" w:pos="360"/>
          <w:tab w:val="clear" w:pos="992"/>
        </w:tabs>
        <w:spacing w:line="460" w:lineRule="exact"/>
        <w:ind w:left="418" w:leftChars="-68" w:hanging="561" w:hangingChars="255"/>
        <w:rPr>
          <w:rFonts w:ascii="宋体" w:hAnsi="宋体" w:cs="Arial"/>
          <w:color w:val="auto"/>
          <w:sz w:val="22"/>
          <w:szCs w:val="22"/>
          <w:highlight w:val="none"/>
        </w:rPr>
      </w:pPr>
      <w:r>
        <w:rPr>
          <w:rFonts w:hint="eastAsia" w:ascii="宋体" w:hAnsi="宋体" w:cs="Arial"/>
          <w:color w:val="auto"/>
          <w:sz w:val="22"/>
          <w:szCs w:val="22"/>
          <w:highlight w:val="none"/>
        </w:rPr>
        <w:t>本项目评标办法是综合评分法，具体评标内容及评分标准等详见第三部分“评标原则及方法”。</w:t>
      </w:r>
    </w:p>
    <w:p>
      <w:pPr>
        <w:numPr>
          <w:ilvl w:val="1"/>
          <w:numId w:val="37"/>
        </w:numPr>
        <w:tabs>
          <w:tab w:val="left" w:pos="360"/>
          <w:tab w:val="clear" w:pos="992"/>
        </w:tabs>
        <w:spacing w:line="460" w:lineRule="exact"/>
        <w:ind w:left="418" w:leftChars="-68" w:hanging="561" w:hangingChars="255"/>
        <w:rPr>
          <w:rFonts w:ascii="宋体" w:hAnsi="宋体" w:cs="Arial"/>
          <w:color w:val="auto"/>
          <w:sz w:val="22"/>
          <w:szCs w:val="22"/>
          <w:highlight w:val="none"/>
        </w:rPr>
      </w:pPr>
      <w:r>
        <w:rPr>
          <w:rFonts w:hint="eastAsia" w:ascii="宋体" w:hAnsi="宋体" w:cs="Arial"/>
          <w:color w:val="auto"/>
          <w:sz w:val="22"/>
          <w:szCs w:val="22"/>
          <w:highlight w:val="none"/>
        </w:rPr>
        <w:t>评标过程中遇到特殊情况，由评标委员会遵循公开、公正原则，采取投票方式按照少数服从多数原则决定。</w:t>
      </w:r>
    </w:p>
    <w:p>
      <w:pPr>
        <w:numPr>
          <w:ilvl w:val="0"/>
          <w:numId w:val="30"/>
        </w:numPr>
        <w:tabs>
          <w:tab w:val="left" w:pos="540"/>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确定中标候选人</w:t>
      </w:r>
    </w:p>
    <w:p>
      <w:pPr>
        <w:numPr>
          <w:ilvl w:val="1"/>
          <w:numId w:val="38"/>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本次招标由评标委员会推荐中标候选人，采购人根据评标委员会的推荐结果进行最终确认。</w:t>
      </w:r>
    </w:p>
    <w:p>
      <w:pPr>
        <w:numPr>
          <w:ilvl w:val="1"/>
          <w:numId w:val="38"/>
        </w:numPr>
        <w:tabs>
          <w:tab w:val="left" w:pos="360"/>
          <w:tab w:val="clear" w:pos="992"/>
        </w:tabs>
        <w:spacing w:line="460" w:lineRule="exact"/>
        <w:ind w:left="640"/>
        <w:rPr>
          <w:rFonts w:ascii="宋体" w:hAnsi="宋体" w:cs="宋体"/>
          <w:color w:val="auto"/>
          <w:kern w:val="0"/>
          <w:sz w:val="22"/>
          <w:szCs w:val="22"/>
          <w:highlight w:val="none"/>
        </w:rPr>
      </w:pPr>
      <w:r>
        <w:rPr>
          <w:rFonts w:hint="eastAsia" w:ascii="宋体" w:hAnsi="宋体" w:cs="Arial"/>
          <w:color w:val="auto"/>
          <w:sz w:val="22"/>
          <w:szCs w:val="22"/>
          <w:highlight w:val="none"/>
        </w:rPr>
        <w:t>评标委员会依据法律、法规及采购文件有关规定在有效标中按投标人的综合得分（商务技术分</w:t>
      </w:r>
      <w:r>
        <w:rPr>
          <w:rFonts w:hint="eastAsia" w:ascii="宋体" w:hAnsi="宋体" w:cs="宋体"/>
          <w:b/>
          <w:bCs/>
          <w:color w:val="auto"/>
          <w:kern w:val="0"/>
          <w:sz w:val="22"/>
          <w:szCs w:val="22"/>
          <w:highlight w:val="none"/>
        </w:rPr>
        <w:t>及报价分之各）高低进行排序，综合得分前二名投标人依次作为第一中标候选人和第二中标候选人向采购人推荐，并提交评标报告。综合得分相同的以报价分得分高的优先；综合得分相同且报价分得分相同的，由评标委员会随机抽签决定排序。</w:t>
      </w:r>
    </w:p>
    <w:p>
      <w:pPr>
        <w:numPr>
          <w:ilvl w:val="1"/>
          <w:numId w:val="38"/>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b/>
          <w:bCs/>
          <w:color w:val="auto"/>
          <w:sz w:val="22"/>
          <w:szCs w:val="22"/>
          <w:highlight w:val="none"/>
          <w:u w:val="single"/>
        </w:rPr>
        <w:t>若出现以下情形之一，采购人可视具体情况确定是否由备选中标人为中标人或重新组织招标：</w:t>
      </w:r>
    </w:p>
    <w:p>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1）中标候选人放弃中标资格；</w:t>
      </w:r>
    </w:p>
    <w:p>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2）中标候选人因不可抗力提出不能履行合同；</w:t>
      </w:r>
    </w:p>
    <w:p>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3）中标候选人未能在规定时间内与采购单位签订合同；</w:t>
      </w:r>
    </w:p>
    <w:p>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4）经质疑，采购人审查后，中标候选人确实在本次采购活动中存在违法违规行为或其他原因使质疑成立的。</w:t>
      </w:r>
    </w:p>
    <w:p>
      <w:pPr>
        <w:numPr>
          <w:ilvl w:val="1"/>
          <w:numId w:val="38"/>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采购人、采购代理机构及评标委员会对未中标的投标人不作解释。</w:t>
      </w:r>
    </w:p>
    <w:p>
      <w:pPr>
        <w:numPr>
          <w:ilvl w:val="0"/>
          <w:numId w:val="30"/>
        </w:numPr>
        <w:tabs>
          <w:tab w:val="left" w:pos="540"/>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 xml:space="preserve"> 评标细则详见“评标原则及方法”。</w:t>
      </w:r>
    </w:p>
    <w:p>
      <w:pPr>
        <w:numPr>
          <w:ilvl w:val="0"/>
          <w:numId w:val="30"/>
        </w:numPr>
        <w:tabs>
          <w:tab w:val="left" w:pos="540"/>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 xml:space="preserve"> 可中止电子交易活动的情形</w:t>
      </w:r>
    </w:p>
    <w:p>
      <w:pPr>
        <w:numPr>
          <w:ilvl w:val="1"/>
          <w:numId w:val="39"/>
        </w:numPr>
        <w:tabs>
          <w:tab w:val="left" w:pos="360"/>
          <w:tab w:val="clear" w:pos="992"/>
        </w:tabs>
        <w:spacing w:line="460" w:lineRule="exact"/>
        <w:ind w:left="420"/>
        <w:rPr>
          <w:rFonts w:ascii="宋体" w:hAnsi="宋体" w:cs="Arial"/>
          <w:color w:val="auto"/>
          <w:sz w:val="22"/>
          <w:szCs w:val="22"/>
          <w:highlight w:val="none"/>
        </w:rPr>
      </w:pPr>
      <w:r>
        <w:rPr>
          <w:rFonts w:hint="eastAsia" w:ascii="宋体" w:hAnsi="宋体" w:cs="Arial"/>
          <w:color w:val="auto"/>
          <w:sz w:val="22"/>
          <w:szCs w:val="22"/>
          <w:highlight w:val="none"/>
        </w:rPr>
        <w:t>采购过程中出现以下情形，导致电子交易平台无法正常运行，或者无法保证电子交易的公平、公正和安全时，采购组织机构可中止电子交易活动：</w:t>
      </w:r>
    </w:p>
    <w:p>
      <w:pPr>
        <w:numPr>
          <w:ilvl w:val="2"/>
          <w:numId w:val="40"/>
        </w:numPr>
        <w:tabs>
          <w:tab w:val="left" w:pos="993"/>
        </w:tabs>
        <w:spacing w:line="46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电子交易平台发生故障而无法登录访问的；</w:t>
      </w:r>
    </w:p>
    <w:p>
      <w:pPr>
        <w:numPr>
          <w:ilvl w:val="2"/>
          <w:numId w:val="40"/>
        </w:numPr>
        <w:tabs>
          <w:tab w:val="left" w:pos="993"/>
        </w:tabs>
        <w:spacing w:line="46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电子交易平台应用或数据库出现错误，不能进行正常操作的；</w:t>
      </w:r>
    </w:p>
    <w:p>
      <w:pPr>
        <w:numPr>
          <w:ilvl w:val="2"/>
          <w:numId w:val="40"/>
        </w:numPr>
        <w:tabs>
          <w:tab w:val="left" w:pos="993"/>
        </w:tabs>
        <w:spacing w:line="46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电子交易平台发现严重安全漏洞，有潜在泄密危险的；</w:t>
      </w:r>
    </w:p>
    <w:p>
      <w:pPr>
        <w:numPr>
          <w:ilvl w:val="2"/>
          <w:numId w:val="40"/>
        </w:numPr>
        <w:tabs>
          <w:tab w:val="left" w:pos="993"/>
        </w:tabs>
        <w:spacing w:line="46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病毒发作导致不能进行正常操作的；</w:t>
      </w:r>
    </w:p>
    <w:p>
      <w:pPr>
        <w:numPr>
          <w:ilvl w:val="2"/>
          <w:numId w:val="40"/>
        </w:numPr>
        <w:tabs>
          <w:tab w:val="left" w:pos="993"/>
        </w:tabs>
        <w:spacing w:line="46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其他无法保证电子交易的公平、公正和安全的情况。</w:t>
      </w:r>
    </w:p>
    <w:p>
      <w:pPr>
        <w:numPr>
          <w:ilvl w:val="1"/>
          <w:numId w:val="39"/>
        </w:numPr>
        <w:tabs>
          <w:tab w:val="left" w:pos="360"/>
          <w:tab w:val="clear" w:pos="992"/>
        </w:tabs>
        <w:spacing w:line="460" w:lineRule="exact"/>
        <w:ind w:left="420"/>
        <w:rPr>
          <w:rFonts w:ascii="宋体" w:hAnsi="宋体" w:cs="Arial"/>
          <w:color w:val="auto"/>
          <w:sz w:val="22"/>
          <w:szCs w:val="22"/>
          <w:highlight w:val="none"/>
        </w:rPr>
      </w:pPr>
      <w:r>
        <w:rPr>
          <w:rFonts w:hint="eastAsia" w:ascii="宋体" w:hAnsi="宋体" w:cs="Arial"/>
          <w:color w:val="auto"/>
          <w:sz w:val="22"/>
          <w:szCs w:val="22"/>
          <w:highlight w:val="none"/>
        </w:rPr>
        <w:t>出现前款规定情形，不影响采购公平、公正性的，采购组织机构可以待上述情形消除后继续组织电子交易活动；影响或可能影响采购公平、公正性的，应当重新采购。</w:t>
      </w:r>
    </w:p>
    <w:p>
      <w:pPr>
        <w:pStyle w:val="6"/>
        <w:ind w:left="420"/>
        <w:jc w:val="center"/>
        <w:rPr>
          <w:rFonts w:ascii="宋体" w:hAnsi="宋体"/>
          <w:color w:val="auto"/>
          <w:sz w:val="26"/>
          <w:szCs w:val="26"/>
          <w:highlight w:val="none"/>
        </w:rPr>
      </w:pPr>
      <w:bookmarkStart w:id="142" w:name="_Toc34508136"/>
      <w:bookmarkStart w:id="143" w:name="_Toc306613654"/>
      <w:bookmarkStart w:id="144" w:name="_Toc34221901"/>
      <w:bookmarkStart w:id="145" w:name="_Toc4174"/>
      <w:r>
        <w:rPr>
          <w:rFonts w:hint="eastAsia" w:ascii="宋体" w:hAnsi="宋体"/>
          <w:color w:val="auto"/>
          <w:sz w:val="26"/>
          <w:szCs w:val="26"/>
          <w:highlight w:val="none"/>
        </w:rPr>
        <w:t xml:space="preserve">八、 </w:t>
      </w:r>
      <w:bookmarkStart w:id="146" w:name="_Toc32607"/>
      <w:r>
        <w:rPr>
          <w:rFonts w:hint="eastAsia" w:ascii="宋体" w:hAnsi="宋体"/>
          <w:color w:val="auto"/>
          <w:sz w:val="26"/>
          <w:szCs w:val="26"/>
          <w:highlight w:val="none"/>
        </w:rPr>
        <w:t>授予合同</w:t>
      </w:r>
      <w:bookmarkEnd w:id="142"/>
      <w:bookmarkEnd w:id="143"/>
      <w:bookmarkEnd w:id="144"/>
      <w:bookmarkEnd w:id="145"/>
      <w:bookmarkEnd w:id="146"/>
    </w:p>
    <w:p>
      <w:pPr>
        <w:numPr>
          <w:ilvl w:val="0"/>
          <w:numId w:val="41"/>
        </w:numPr>
        <w:tabs>
          <w:tab w:val="left" w:pos="540"/>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确定中标人</w:t>
      </w:r>
    </w:p>
    <w:p>
      <w:pPr>
        <w:numPr>
          <w:ilvl w:val="1"/>
          <w:numId w:val="42"/>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采购人自收到评标报告之日起5个工作日内，在评标报告确定的中标候选人名单中按顺序确定中标人。</w:t>
      </w:r>
    </w:p>
    <w:p>
      <w:pPr>
        <w:numPr>
          <w:ilvl w:val="1"/>
          <w:numId w:val="42"/>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中标人确定之日起2个工作日内，在“政采云”平台上公示中标结果，中标公告期限为1个工作日；</w:t>
      </w:r>
    </w:p>
    <w:p>
      <w:pPr>
        <w:numPr>
          <w:ilvl w:val="1"/>
          <w:numId w:val="42"/>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在公告中标结果的同时，采购人向中标人发出中标通知书。</w:t>
      </w:r>
    </w:p>
    <w:p>
      <w:pPr>
        <w:numPr>
          <w:ilvl w:val="1"/>
          <w:numId w:val="42"/>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各投标人对评标结果如有异议，可在中标结果公示之日起7个工作日内以书面形式向采购人进行署名投诉或提出质疑，但需对投诉或质疑内容的真实性承担法律责任。</w:t>
      </w:r>
    </w:p>
    <w:p>
      <w:pPr>
        <w:numPr>
          <w:ilvl w:val="0"/>
          <w:numId w:val="41"/>
        </w:numPr>
        <w:tabs>
          <w:tab w:val="left" w:pos="540"/>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签订合同</w:t>
      </w:r>
    </w:p>
    <w:p>
      <w:pPr>
        <w:numPr>
          <w:ilvl w:val="1"/>
          <w:numId w:val="43"/>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公示期结束后，中标人须在5个工作日内主动联系采购人或采购机构领取中标通知书。中标人应当在中标通知书发出之日起30日内与采购人签订合同。中标人未经采购人许可，在规定时间内未到采购人处与采购人签订合同，则视为拒签合同。</w:t>
      </w:r>
    </w:p>
    <w:p>
      <w:pPr>
        <w:numPr>
          <w:ilvl w:val="1"/>
          <w:numId w:val="43"/>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招标文件、中标人的投标文件及投标修改文件、评标过程中有关澄清文件及经双方签字的询标纪要（承诺）和中标通知书均作为合同附件。</w:t>
      </w:r>
    </w:p>
    <w:p>
      <w:pPr>
        <w:numPr>
          <w:ilvl w:val="1"/>
          <w:numId w:val="43"/>
        </w:numPr>
        <w:tabs>
          <w:tab w:val="left" w:pos="360"/>
          <w:tab w:val="clear" w:pos="992"/>
        </w:tabs>
        <w:spacing w:line="460" w:lineRule="exact"/>
        <w:ind w:left="640"/>
        <w:rPr>
          <w:rFonts w:ascii="宋体" w:hAnsi="宋体" w:cs="Arial"/>
          <w:b/>
          <w:bCs/>
          <w:color w:val="auto"/>
          <w:sz w:val="22"/>
          <w:szCs w:val="22"/>
          <w:highlight w:val="none"/>
        </w:rPr>
      </w:pPr>
      <w:r>
        <w:rPr>
          <w:rFonts w:hint="eastAsia" w:ascii="宋体" w:hAnsi="宋体" w:cs="Arial"/>
          <w:b/>
          <w:bCs/>
          <w:color w:val="auto"/>
          <w:sz w:val="22"/>
          <w:szCs w:val="22"/>
          <w:highlight w:val="none"/>
        </w:rPr>
        <w:t>中标投标人应在合同签订后五个工作日内提交一份合同文本扫描件报招标代理机构备案。</w:t>
      </w:r>
    </w:p>
    <w:p>
      <w:pPr>
        <w:numPr>
          <w:ilvl w:val="1"/>
          <w:numId w:val="43"/>
        </w:numPr>
        <w:tabs>
          <w:tab w:val="left" w:pos="360"/>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中标人在规定时间内（30日历天）借故否认已经承诺的条件、拒签合同，以投标违约处理，并赔偿采购人由此造成的直接经济损失；采购人重新组织招标的，所需费用由原中标人承担。</w:t>
      </w:r>
    </w:p>
    <w:p>
      <w:pPr>
        <w:pStyle w:val="2"/>
        <w:rPr>
          <w:color w:val="auto"/>
          <w:highlight w:val="none"/>
        </w:rPr>
      </w:pPr>
    </w:p>
    <w:p>
      <w:pPr>
        <w:pStyle w:val="76"/>
        <w:rPr>
          <w:rFonts w:ascii="宋体" w:hAnsi="宋体"/>
          <w:color w:val="auto"/>
          <w:sz w:val="22"/>
          <w:szCs w:val="22"/>
          <w:highlight w:val="none"/>
        </w:rPr>
      </w:pPr>
    </w:p>
    <w:p>
      <w:pPr>
        <w:widowControl/>
        <w:spacing w:before="60" w:after="60" w:line="400" w:lineRule="exact"/>
        <w:ind w:left="424" w:leftChars="202" w:right="60" w:firstLine="440" w:firstLineChars="200"/>
        <w:jc w:val="center"/>
        <w:rPr>
          <w:rFonts w:ascii="宋体" w:hAnsi="宋体"/>
          <w:color w:val="auto"/>
          <w:sz w:val="22"/>
          <w:szCs w:val="22"/>
          <w:highlight w:val="none"/>
        </w:rPr>
      </w:pPr>
    </w:p>
    <w:p>
      <w:pPr>
        <w:widowControl/>
        <w:spacing w:before="60" w:after="60" w:line="400" w:lineRule="exact"/>
        <w:ind w:left="424" w:leftChars="202" w:right="60" w:firstLine="440" w:firstLineChars="200"/>
        <w:jc w:val="center"/>
        <w:rPr>
          <w:rStyle w:val="77"/>
          <w:rFonts w:ascii="宋体" w:hAnsi="宋体" w:eastAsia="宋体" w:cs="宋体"/>
          <w:color w:val="auto"/>
          <w:sz w:val="36"/>
          <w:szCs w:val="36"/>
          <w:highlight w:val="none"/>
        </w:rPr>
      </w:pPr>
      <w:r>
        <w:rPr>
          <w:rFonts w:hint="eastAsia" w:ascii="宋体" w:hAnsi="宋体"/>
          <w:color w:val="auto"/>
          <w:sz w:val="22"/>
          <w:szCs w:val="22"/>
          <w:highlight w:val="none"/>
        </w:rPr>
        <w:br w:type="page"/>
      </w:r>
      <w:bookmarkStart w:id="147" w:name="_Toc4350"/>
      <w:bookmarkStart w:id="148" w:name="_Toc245191317"/>
      <w:bookmarkStart w:id="149" w:name="_Toc221356954"/>
      <w:bookmarkStart w:id="150" w:name="_Toc223716001"/>
      <w:bookmarkStart w:id="151" w:name="_Toc249758715"/>
      <w:bookmarkStart w:id="152" w:name="_Toc246261268"/>
      <w:bookmarkStart w:id="153" w:name="_Toc221374629"/>
      <w:bookmarkStart w:id="154" w:name="_Toc245722284"/>
      <w:bookmarkStart w:id="155" w:name="_Toc221423622"/>
      <w:bookmarkStart w:id="156" w:name="_Toc221356890"/>
      <w:bookmarkStart w:id="157" w:name="_Toc262049421"/>
      <w:bookmarkStart w:id="158" w:name="_Toc241404205"/>
      <w:bookmarkStart w:id="159" w:name="_Toc222114882"/>
      <w:bookmarkStart w:id="160" w:name="_Toc239145357"/>
      <w:bookmarkStart w:id="161" w:name="_Toc262105506"/>
      <w:bookmarkStart w:id="162" w:name="_Toc249758867"/>
      <w:r>
        <w:rPr>
          <w:rStyle w:val="77"/>
          <w:rFonts w:hint="eastAsia" w:ascii="宋体" w:hAnsi="宋体" w:eastAsia="宋体" w:cs="宋体"/>
          <w:color w:val="auto"/>
          <w:sz w:val="36"/>
          <w:szCs w:val="36"/>
          <w:highlight w:val="none"/>
        </w:rPr>
        <w:t>第二部分   招标内容及要求</w:t>
      </w:r>
    </w:p>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Pr>
        <w:spacing w:after="120" w:line="360" w:lineRule="auto"/>
        <w:rPr>
          <w:rFonts w:hint="eastAsia" w:ascii="宋体" w:hAnsi="宋体" w:cs="宋体"/>
          <w:b/>
          <w:bCs/>
          <w:color w:val="auto"/>
          <w:kern w:val="0"/>
          <w:sz w:val="22"/>
          <w:szCs w:val="22"/>
          <w:highlight w:val="none"/>
        </w:rPr>
      </w:pPr>
      <w:bookmarkStart w:id="163" w:name="_Toc58438895"/>
      <w:bookmarkStart w:id="164" w:name="_Toc222114884"/>
      <w:bookmarkStart w:id="165" w:name="_Toc223716003"/>
      <w:bookmarkStart w:id="166" w:name="_Toc221356892"/>
      <w:bookmarkStart w:id="167" w:name="_Toc246261270"/>
      <w:bookmarkStart w:id="168" w:name="_Toc249758718"/>
      <w:bookmarkStart w:id="169" w:name="_Toc262105509"/>
      <w:bookmarkStart w:id="170" w:name="_Toc245191319"/>
      <w:bookmarkStart w:id="171" w:name="_Toc221356956"/>
      <w:bookmarkStart w:id="172" w:name="_Toc241404207"/>
      <w:bookmarkStart w:id="173" w:name="_Toc249758870"/>
      <w:bookmarkStart w:id="174" w:name="_Toc249758719"/>
      <w:bookmarkStart w:id="175" w:name="_Toc245722286"/>
      <w:bookmarkStart w:id="176" w:name="_Toc221374631"/>
      <w:bookmarkStart w:id="177" w:name="_Toc239145359"/>
      <w:bookmarkStart w:id="178" w:name="_Toc262049424"/>
      <w:bookmarkStart w:id="179" w:name="_Toc221423624"/>
    </w:p>
    <w:p>
      <w:pPr>
        <w:keepNext w:val="0"/>
        <w:keepLines w:val="0"/>
        <w:pageBreakBefore w:val="0"/>
        <w:widowControl w:val="0"/>
        <w:kinsoku/>
        <w:wordWrap/>
        <w:overflowPunct/>
        <w:topLinePunct w:val="0"/>
        <w:autoSpaceDE/>
        <w:autoSpaceDN/>
        <w:bidi w:val="0"/>
        <w:adjustRightInd/>
        <w:snapToGrid/>
        <w:spacing w:after="120" w:line="400" w:lineRule="exact"/>
        <w:textAlignment w:val="auto"/>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一、项目</w:t>
      </w:r>
      <w:bookmarkEnd w:id="163"/>
      <w:r>
        <w:rPr>
          <w:rFonts w:hint="eastAsia" w:ascii="宋体" w:hAnsi="宋体" w:cs="宋体"/>
          <w:b/>
          <w:bCs/>
          <w:color w:val="auto"/>
          <w:kern w:val="0"/>
          <w:sz w:val="22"/>
          <w:szCs w:val="22"/>
          <w:highlight w:val="none"/>
        </w:rPr>
        <w:t>概况</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1、建设目标</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宋体" w:hAnsi="宋体" w:cs="宋体"/>
          <w:color w:val="auto"/>
          <w:sz w:val="22"/>
          <w:szCs w:val="22"/>
          <w:highlight w:val="none"/>
        </w:rPr>
      </w:pPr>
      <w:r>
        <w:rPr>
          <w:rFonts w:hint="eastAsia" w:ascii="宋体" w:hAnsi="宋体" w:cs="宋体"/>
          <w:color w:val="auto"/>
          <w:sz w:val="22"/>
          <w:szCs w:val="22"/>
          <w:highlight w:val="none"/>
        </w:rPr>
        <w:t>围绕“交通强国”等重大国家战略部署以及省委、省政府关于加快交通强省建设的要求，按照省市数字化改革要求，强化“整体智治”理念，运用云计算、大数据、物联网、人工智能、5G等新技术，通过加强交通基础平台，夯实应用、网络安全支撑基础，打造巡游车移动端办事、交通政务服务信息“一窗通达”、金温铁路海铁多式联运“一单制”、便行温州移动出行等重点多跨场景应用，推进交通管理服务信息纵向贯通、横向集成、互联互通，深化出行服务、移动办事、政务服务等领域的大数据运用，丰富行业服务和管理手段，实现精确分析、精准管控、精细管理，提高交通治理和服务能力，打造形成交通领域数字化改革标志性成果，形成以便民惠企出行为特征、以智慧“指尖出行”为特色的全省数字交通运输服务的金名片。</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宋体" w:hAnsi="宋体" w:cs="宋体"/>
          <w:color w:val="auto"/>
          <w:sz w:val="22"/>
          <w:szCs w:val="22"/>
          <w:highlight w:val="none"/>
        </w:rPr>
      </w:pPr>
      <w:r>
        <w:rPr>
          <w:rFonts w:hint="eastAsia" w:ascii="宋体" w:hAnsi="宋体" w:cs="宋体"/>
          <w:color w:val="auto"/>
          <w:sz w:val="22"/>
          <w:szCs w:val="22"/>
          <w:highlight w:val="none"/>
        </w:rPr>
        <w:t>在温州市交通运输局数据中心基础上，完善数据标准规范，补充县市区和外部业务数据，构建区县数据驾驶舱，提高数据共享、业务应用和辅助决策水平。加强大数据和人工智能技术在监管和执法领域应用，编织全市交通数字监管和联动执法一张网。</w:t>
      </w:r>
      <w:r>
        <w:rPr>
          <w:rFonts w:hint="eastAsia" w:ascii="宋体" w:hAnsi="宋体" w:cs="宋体"/>
          <w:color w:val="auto"/>
          <w:kern w:val="0"/>
          <w:sz w:val="22"/>
          <w:szCs w:val="22"/>
          <w:highlight w:val="none"/>
        </w:rPr>
        <w:t>“水-船-岸”动态感知多源融合协同管理，以及智能、安全等领域管理决策的多需求应用服务，</w:t>
      </w:r>
      <w:r>
        <w:rPr>
          <w:rFonts w:hint="eastAsia" w:ascii="宋体" w:hAnsi="宋体" w:cs="宋体"/>
          <w:color w:val="auto"/>
          <w:sz w:val="22"/>
          <w:szCs w:val="22"/>
          <w:highlight w:val="none"/>
        </w:rPr>
        <w:t>加强瓯江</w:t>
      </w:r>
      <w:r>
        <w:rPr>
          <w:rFonts w:hint="eastAsia" w:ascii="宋体" w:hAnsi="宋体" w:cs="宋体"/>
          <w:color w:val="auto"/>
          <w:kern w:val="0"/>
          <w:sz w:val="22"/>
          <w:szCs w:val="22"/>
          <w:highlight w:val="none"/>
        </w:rPr>
        <w:t>航道及其它水运基础设施的数字化管理。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2、主要建设内容为：</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宋体" w:hAnsi="宋体" w:cs="宋体"/>
          <w:color w:val="auto"/>
          <w:sz w:val="22"/>
          <w:szCs w:val="22"/>
          <w:highlight w:val="none"/>
        </w:rPr>
      </w:pPr>
      <w:r>
        <w:rPr>
          <w:rFonts w:hint="eastAsia" w:ascii="宋体" w:hAnsi="宋体" w:cs="宋体"/>
          <w:color w:val="auto"/>
          <w:sz w:val="22"/>
          <w:szCs w:val="22"/>
          <w:highlight w:val="none"/>
        </w:rPr>
        <w:t>1. 智慧交通综合执法分平台</w:t>
      </w:r>
      <w:r>
        <w:rPr>
          <w:rFonts w:hint="eastAsia" w:ascii="宋体" w:hAnsi="宋体" w:cs="宋体"/>
          <w:color w:val="auto"/>
          <w:sz w:val="22"/>
          <w:szCs w:val="22"/>
          <w:highlight w:val="none"/>
        </w:rPr>
        <w:t>。进行数据融合处理，建立执法特征分析预警、投诉线索分析预警、行业分析预警，将各类执法系统接入执法监控中心，对接入预警信息进行执法综合预警处置。基于GIS地图引擎，管理数字执法室、执法人员、执法车辆的活动，可以通过市本级执法调度中心进行调动，实现市、县执法的联动和协同。</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宋体" w:hAnsi="宋体" w:cs="宋体"/>
          <w:color w:val="auto"/>
          <w:sz w:val="22"/>
          <w:szCs w:val="22"/>
          <w:highlight w:val="none"/>
        </w:rPr>
      </w:pPr>
      <w:r>
        <w:rPr>
          <w:rFonts w:hint="eastAsia" w:ascii="宋体" w:hAnsi="宋体" w:cs="宋体"/>
          <w:color w:val="auto"/>
          <w:sz w:val="22"/>
          <w:szCs w:val="22"/>
          <w:highlight w:val="none"/>
        </w:rPr>
        <w:t>2.交通执法数字化监管</w:t>
      </w:r>
      <w:r>
        <w:rPr>
          <w:rFonts w:hint="eastAsia" w:ascii="宋体" w:hAnsi="宋体" w:cs="宋体"/>
          <w:color w:val="auto"/>
          <w:sz w:val="22"/>
          <w:szCs w:val="22"/>
          <w:highlight w:val="none"/>
        </w:rPr>
        <w:t>。数字打非延伸拓展、站外组客治理、危货市场监管、桥下空间监管。</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宋体" w:hAnsi="宋体" w:cs="宋体"/>
          <w:color w:val="auto"/>
          <w:sz w:val="22"/>
          <w:szCs w:val="22"/>
          <w:highlight w:val="none"/>
        </w:rPr>
      </w:pPr>
      <w:r>
        <w:rPr>
          <w:rFonts w:hint="eastAsia" w:ascii="宋体" w:hAnsi="宋体" w:cs="宋体"/>
          <w:color w:val="auto"/>
          <w:sz w:val="22"/>
          <w:szCs w:val="22"/>
          <w:highlight w:val="none"/>
        </w:rPr>
        <w:t>3.瓯江航道数字化管理。</w:t>
      </w:r>
      <w:r>
        <w:rPr>
          <w:rFonts w:hint="eastAsia" w:ascii="宋体" w:hAnsi="宋体" w:cs="宋体"/>
          <w:color w:val="auto"/>
          <w:sz w:val="22"/>
          <w:szCs w:val="22"/>
          <w:highlight w:val="none"/>
        </w:rPr>
        <w:t>实现“1+2+7”的应用监管模式。即一个瓯江数字航道数据中心与一张图可视化，面向航道综合管理、社会公共服务两类业务，航标监管、船舶流量监控、预报预警系统、水文气象监测、AIS船舶监控、电子航道图和航道数据管理七大具体应用场景。</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宋体" w:hAnsi="宋体" w:cs="宋体"/>
          <w:color w:val="auto"/>
          <w:sz w:val="22"/>
          <w:szCs w:val="22"/>
          <w:highlight w:val="none"/>
        </w:rPr>
      </w:pPr>
      <w:r>
        <w:rPr>
          <w:rFonts w:hint="eastAsia" w:ascii="宋体" w:hAnsi="宋体" w:cs="宋体"/>
          <w:color w:val="auto"/>
          <w:sz w:val="22"/>
          <w:szCs w:val="22"/>
          <w:highlight w:val="none"/>
        </w:rPr>
        <w:t>4. 巡游车移动端应用平台</w:t>
      </w:r>
      <w:r>
        <w:rPr>
          <w:rFonts w:hint="eastAsia" w:ascii="宋体" w:hAnsi="宋体" w:cs="宋体"/>
          <w:color w:val="auto"/>
          <w:sz w:val="22"/>
          <w:szCs w:val="22"/>
          <w:highlight w:val="none"/>
        </w:rPr>
        <w:t>。在移动端建设巡游车应用，温州巡游车移动端应用项目是适应社会发展信息化、数字化的需要。提升交通服务能力，满足日益增长的业务需求，不断提高温州交通利民惠民的服务能力。</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kern w:val="0"/>
          <w:sz w:val="22"/>
          <w:szCs w:val="22"/>
          <w:highlight w:val="none"/>
        </w:rPr>
        <w:t xml:space="preserve"> </w:t>
      </w:r>
      <w:r>
        <w:rPr>
          <w:rFonts w:hint="eastAsia" w:ascii="宋体" w:hAnsi="宋体" w:cs="宋体"/>
          <w:color w:val="auto"/>
          <w:sz w:val="22"/>
          <w:szCs w:val="22"/>
          <w:highlight w:val="none"/>
        </w:rPr>
        <w:t>金温铁路海铁多式联运“一单制”</w:t>
      </w:r>
      <w:r>
        <w:rPr>
          <w:rFonts w:hint="eastAsia" w:ascii="宋体" w:hAnsi="宋体" w:cs="宋体"/>
          <w:color w:val="auto"/>
          <w:sz w:val="22"/>
          <w:szCs w:val="22"/>
          <w:highlight w:val="none"/>
        </w:rPr>
        <w:t>，该项目作为我市“四港”联动工作的纽带，对“四港”联动、交通物流行业和外向型经济发展都具有十分重要的意义和作用。</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宋体" w:hAnsi="宋体" w:cs="宋体"/>
          <w:color w:val="auto"/>
          <w:sz w:val="22"/>
          <w:szCs w:val="22"/>
          <w:highlight w:val="none"/>
        </w:rPr>
      </w:pPr>
      <w:r>
        <w:rPr>
          <w:rFonts w:hint="eastAsia" w:ascii="宋体" w:hAnsi="宋体" w:cs="宋体"/>
          <w:color w:val="auto"/>
          <w:sz w:val="22"/>
          <w:szCs w:val="22"/>
          <w:highlight w:val="none"/>
        </w:rPr>
        <w:t>6. 交通政务信息“一窗通达”</w:t>
      </w:r>
      <w:r>
        <w:rPr>
          <w:rFonts w:hint="eastAsia" w:ascii="宋体" w:hAnsi="宋体" w:cs="宋体"/>
          <w:color w:val="auto"/>
          <w:sz w:val="22"/>
          <w:szCs w:val="22"/>
          <w:highlight w:val="none"/>
        </w:rPr>
        <w:t>，提供企业和个人非办事管理，以及部门、企业和个人的互动交流等一站式服务，整合操作平台将所有事项，实现“一窗接入、多窗办理”；实现行业管理部门、交通运输企业和从业人员监管、经营和就业需求；实现交通行业协同管理、整体智治需要。解决交通运输从业人员和企业缺乏经营全生命周期行业指导、从业人员和企业与交通运输管理部门无法实时信息交互等问题。统一服务门户解决从业资格证信息变更频繁而需不停更换证照的问题，减少群众和审批窗口工作负担。解决交通企业、人员无法通过在线查询相关行政处罚信息、在线缴纳罚款的难题，解决交通管理部门无法在线传送行政执法信息的难题。</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宋体" w:hAnsi="宋体" w:cs="宋体"/>
          <w:color w:val="auto"/>
          <w:sz w:val="22"/>
          <w:szCs w:val="22"/>
          <w:highlight w:val="none"/>
        </w:rPr>
      </w:pPr>
      <w:r>
        <w:rPr>
          <w:rFonts w:hint="eastAsia" w:ascii="宋体" w:hAnsi="宋体" w:cs="宋体"/>
          <w:color w:val="auto"/>
          <w:sz w:val="22"/>
          <w:szCs w:val="22"/>
          <w:highlight w:val="none"/>
        </w:rPr>
        <w:t>7. 便行温州数字服务，</w:t>
      </w:r>
      <w:r>
        <w:rPr>
          <w:rFonts w:hint="eastAsia" w:ascii="宋体" w:hAnsi="宋体" w:cs="宋体"/>
          <w:color w:val="auto"/>
          <w:sz w:val="22"/>
          <w:szCs w:val="22"/>
          <w:highlight w:val="none"/>
        </w:rPr>
        <w:t>建设一套一体化出行业务底座、一个治理端、一个移动服务端及N个跨部门应用场景。构建交通运输服务数字化改革新基建，推进一站式出行体系建设及绿色畅行治理，探索政企联合机制，实现实时、全景、全链交通出行信息服务共享互通，基于互联网基准数据精密整治交通出行，融合地图服务、公交到站、智慧停车、共享单车、巡游网约出租车统一预约服务平台，实现出行服务民生应用平台的融合创新。</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_GB2312"/>
          <w:color w:val="auto"/>
          <w:highlight w:val="none"/>
        </w:rPr>
      </w:pPr>
      <w:r>
        <w:rPr>
          <w:rFonts w:hint="eastAsia" w:ascii="宋体" w:hAnsi="宋体" w:cs="宋体"/>
          <w:b/>
          <w:color w:val="auto"/>
          <w:kern w:val="0"/>
          <w:sz w:val="22"/>
          <w:szCs w:val="22"/>
          <w:highlight w:val="none"/>
        </w:rPr>
        <w:t>二、采购内容</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1、数字交通综合执法与服务应用项目标项一（智慧交通综合执法分平台、交通执法数字化监管、瓯江航道数字化管理）（采购预算金额：</w:t>
      </w:r>
      <w:r>
        <w:rPr>
          <w:rFonts w:hint="eastAsia" w:ascii="宋体" w:hAnsi="宋体" w:cs="宋体"/>
          <w:b/>
          <w:color w:val="auto"/>
          <w:kern w:val="0"/>
          <w:sz w:val="22"/>
          <w:szCs w:val="22"/>
          <w:highlight w:val="none"/>
        </w:rPr>
        <w:t>311.5万元</w:t>
      </w:r>
      <w:r>
        <w:rPr>
          <w:rFonts w:hint="eastAsia" w:ascii="宋体" w:hAnsi="宋体" w:cs="宋体"/>
          <w:color w:val="auto"/>
          <w:sz w:val="22"/>
          <w:szCs w:val="22"/>
          <w:highlight w:val="none"/>
        </w:rPr>
        <w:t>）</w:t>
      </w:r>
    </w:p>
    <w:p>
      <w:pPr>
        <w:pStyle w:val="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宋体" w:hAnsi="宋体" w:cs="宋体"/>
          <w:b/>
          <w:bCs/>
          <w:color w:val="auto"/>
          <w:sz w:val="22"/>
          <w:szCs w:val="22"/>
          <w:highlight w:val="none"/>
        </w:rPr>
      </w:pPr>
      <w:r>
        <w:rPr>
          <w:rFonts w:hint="eastAsia" w:ascii="宋体" w:hAnsi="宋体" w:cs="宋体"/>
          <w:b/>
          <w:bCs/>
          <w:color w:val="auto"/>
          <w:sz w:val="22"/>
          <w:szCs w:val="22"/>
          <w:highlight w:val="none"/>
        </w:rPr>
        <w:t>1.软件清单：</w:t>
      </w:r>
    </w:p>
    <w:tbl>
      <w:tblPr>
        <w:tblStyle w:val="63"/>
        <w:tblW w:w="5002" w:type="pct"/>
        <w:jc w:val="center"/>
        <w:tblLayout w:type="autofit"/>
        <w:tblCellMar>
          <w:top w:w="0" w:type="dxa"/>
          <w:left w:w="108" w:type="dxa"/>
          <w:bottom w:w="0" w:type="dxa"/>
          <w:right w:w="108" w:type="dxa"/>
        </w:tblCellMar>
      </w:tblPr>
      <w:tblGrid>
        <w:gridCol w:w="795"/>
        <w:gridCol w:w="4264"/>
        <w:gridCol w:w="4799"/>
      </w:tblGrid>
      <w:tr>
        <w:tblPrEx>
          <w:tblCellMar>
            <w:top w:w="0" w:type="dxa"/>
            <w:left w:w="108" w:type="dxa"/>
            <w:bottom w:w="0" w:type="dxa"/>
            <w:right w:w="108" w:type="dxa"/>
          </w:tblCellMar>
        </w:tblPrEx>
        <w:trPr>
          <w:trHeight w:val="0" w:hRule="atLeast"/>
          <w:jc w:val="center"/>
        </w:trPr>
        <w:tc>
          <w:tcPr>
            <w:tcW w:w="40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b/>
                <w:color w:val="auto"/>
                <w:kern w:val="0"/>
                <w:sz w:val="22"/>
                <w:szCs w:val="22"/>
                <w:highlight w:val="none"/>
              </w:rPr>
            </w:pPr>
            <w:bookmarkStart w:id="180" w:name="_Hlk113377049"/>
            <w:r>
              <w:rPr>
                <w:rFonts w:hint="eastAsia" w:ascii="宋体" w:hAnsi="宋体" w:cs="宋体"/>
                <w:b/>
                <w:color w:val="auto"/>
                <w:kern w:val="0"/>
                <w:sz w:val="22"/>
                <w:szCs w:val="22"/>
                <w:highlight w:val="none"/>
              </w:rPr>
              <w:t>序号</w:t>
            </w:r>
          </w:p>
        </w:tc>
        <w:tc>
          <w:tcPr>
            <w:tcW w:w="2162"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软件名称</w:t>
            </w:r>
          </w:p>
        </w:tc>
        <w:tc>
          <w:tcPr>
            <w:tcW w:w="2433"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子系统</w:t>
            </w:r>
          </w:p>
        </w:tc>
      </w:tr>
      <w:tr>
        <w:tblPrEx>
          <w:tblCellMar>
            <w:top w:w="0" w:type="dxa"/>
            <w:left w:w="108" w:type="dxa"/>
            <w:bottom w:w="0" w:type="dxa"/>
            <w:right w:w="108" w:type="dxa"/>
          </w:tblCellMar>
        </w:tblPrEx>
        <w:trPr>
          <w:trHeight w:val="0" w:hRule="atLeast"/>
          <w:jc w:val="center"/>
        </w:trPr>
        <w:tc>
          <w:tcPr>
            <w:tcW w:w="40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162"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智慧交通综合执法分平台</w:t>
            </w:r>
          </w:p>
        </w:tc>
        <w:tc>
          <w:tcPr>
            <w:tcW w:w="243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数据融合处理</w:t>
            </w:r>
          </w:p>
        </w:tc>
      </w:tr>
      <w:tr>
        <w:tblPrEx>
          <w:tblCellMar>
            <w:top w:w="0" w:type="dxa"/>
            <w:left w:w="108" w:type="dxa"/>
            <w:bottom w:w="0" w:type="dxa"/>
            <w:right w:w="108" w:type="dxa"/>
          </w:tblCellMar>
        </w:tblPrEx>
        <w:trPr>
          <w:trHeight w:val="0" w:hRule="atLeast"/>
          <w:jc w:val="center"/>
        </w:trPr>
        <w:tc>
          <w:tcPr>
            <w:tcW w:w="403"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后台管理</w:t>
            </w:r>
          </w:p>
        </w:tc>
      </w:tr>
      <w:tr>
        <w:tblPrEx>
          <w:tblCellMar>
            <w:top w:w="0" w:type="dxa"/>
            <w:left w:w="108" w:type="dxa"/>
            <w:bottom w:w="0" w:type="dxa"/>
            <w:right w:w="108" w:type="dxa"/>
          </w:tblCellMar>
        </w:tblPrEx>
        <w:trPr>
          <w:trHeight w:val="0" w:hRule="atLeast"/>
          <w:jc w:val="center"/>
        </w:trPr>
        <w:tc>
          <w:tcPr>
            <w:tcW w:w="403"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交通执法总览</w:t>
            </w:r>
          </w:p>
        </w:tc>
      </w:tr>
      <w:tr>
        <w:tblPrEx>
          <w:tblCellMar>
            <w:top w:w="0" w:type="dxa"/>
            <w:left w:w="108" w:type="dxa"/>
            <w:bottom w:w="0" w:type="dxa"/>
            <w:right w:w="108" w:type="dxa"/>
          </w:tblCellMar>
        </w:tblPrEx>
        <w:trPr>
          <w:trHeight w:val="0" w:hRule="atLeast"/>
          <w:jc w:val="center"/>
        </w:trPr>
        <w:tc>
          <w:tcPr>
            <w:tcW w:w="403"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执法特征和线索分析预警</w:t>
            </w:r>
          </w:p>
        </w:tc>
      </w:tr>
      <w:tr>
        <w:tblPrEx>
          <w:tblCellMar>
            <w:top w:w="0" w:type="dxa"/>
            <w:left w:w="108" w:type="dxa"/>
            <w:bottom w:w="0" w:type="dxa"/>
            <w:right w:w="108" w:type="dxa"/>
          </w:tblCellMar>
        </w:tblPrEx>
        <w:trPr>
          <w:trHeight w:val="0" w:hRule="atLeast"/>
          <w:jc w:val="center"/>
        </w:trPr>
        <w:tc>
          <w:tcPr>
            <w:tcW w:w="403"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投诉线索分析预警</w:t>
            </w:r>
          </w:p>
        </w:tc>
      </w:tr>
      <w:tr>
        <w:tblPrEx>
          <w:tblCellMar>
            <w:top w:w="0" w:type="dxa"/>
            <w:left w:w="108" w:type="dxa"/>
            <w:bottom w:w="0" w:type="dxa"/>
            <w:right w:w="108" w:type="dxa"/>
          </w:tblCellMar>
        </w:tblPrEx>
        <w:trPr>
          <w:trHeight w:val="0" w:hRule="atLeast"/>
          <w:jc w:val="center"/>
        </w:trPr>
        <w:tc>
          <w:tcPr>
            <w:tcW w:w="403"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行业分析预警</w:t>
            </w:r>
          </w:p>
        </w:tc>
      </w:tr>
      <w:tr>
        <w:tblPrEx>
          <w:tblCellMar>
            <w:top w:w="0" w:type="dxa"/>
            <w:left w:w="108" w:type="dxa"/>
            <w:bottom w:w="0" w:type="dxa"/>
            <w:right w:w="108" w:type="dxa"/>
          </w:tblCellMar>
        </w:tblPrEx>
        <w:trPr>
          <w:trHeight w:val="0" w:hRule="atLeast"/>
          <w:jc w:val="center"/>
        </w:trPr>
        <w:tc>
          <w:tcPr>
            <w:tcW w:w="403"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执法调度中心</w:t>
            </w:r>
          </w:p>
        </w:tc>
      </w:tr>
      <w:tr>
        <w:trPr>
          <w:trHeight w:val="0" w:hRule="atLeast"/>
          <w:jc w:val="center"/>
        </w:trPr>
        <w:tc>
          <w:tcPr>
            <w:tcW w:w="403"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执法监控中心</w:t>
            </w:r>
          </w:p>
        </w:tc>
      </w:tr>
      <w:tr>
        <w:tblPrEx>
          <w:tblCellMar>
            <w:top w:w="0" w:type="dxa"/>
            <w:left w:w="108" w:type="dxa"/>
            <w:bottom w:w="0" w:type="dxa"/>
            <w:right w:w="108" w:type="dxa"/>
          </w:tblCellMar>
        </w:tblPrEx>
        <w:trPr>
          <w:trHeight w:val="0" w:hRule="atLeast"/>
          <w:jc w:val="center"/>
        </w:trPr>
        <w:tc>
          <w:tcPr>
            <w:tcW w:w="403"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执法综合预警处置</w:t>
            </w:r>
          </w:p>
        </w:tc>
      </w:tr>
      <w:tr>
        <w:tblPrEx>
          <w:tblCellMar>
            <w:top w:w="0" w:type="dxa"/>
            <w:left w:w="108" w:type="dxa"/>
            <w:bottom w:w="0" w:type="dxa"/>
            <w:right w:w="108" w:type="dxa"/>
          </w:tblCellMar>
        </w:tblPrEx>
        <w:trPr>
          <w:trHeight w:val="0" w:hRule="atLeast"/>
          <w:jc w:val="center"/>
        </w:trPr>
        <w:tc>
          <w:tcPr>
            <w:tcW w:w="403"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综合执法移动应用</w:t>
            </w:r>
          </w:p>
        </w:tc>
      </w:tr>
      <w:tr>
        <w:trPr>
          <w:trHeight w:val="0" w:hRule="atLeast"/>
          <w:jc w:val="center"/>
        </w:trPr>
        <w:tc>
          <w:tcPr>
            <w:tcW w:w="40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162"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交通执法数字化监管</w:t>
            </w:r>
          </w:p>
        </w:tc>
        <w:tc>
          <w:tcPr>
            <w:tcW w:w="2433"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客运非法营运治理</w:t>
            </w:r>
          </w:p>
        </w:tc>
      </w:tr>
      <w:tr>
        <w:tblPrEx>
          <w:tblCellMar>
            <w:top w:w="0" w:type="dxa"/>
            <w:left w:w="108" w:type="dxa"/>
            <w:bottom w:w="0" w:type="dxa"/>
            <w:right w:w="108" w:type="dxa"/>
          </w:tblCellMar>
        </w:tblPrEx>
        <w:trPr>
          <w:trHeight w:val="0" w:hRule="atLeast"/>
          <w:jc w:val="center"/>
        </w:trPr>
        <w:tc>
          <w:tcPr>
            <w:tcW w:w="403"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危货市场监管</w:t>
            </w:r>
          </w:p>
        </w:tc>
      </w:tr>
      <w:tr>
        <w:tblPrEx>
          <w:tblCellMar>
            <w:top w:w="0" w:type="dxa"/>
            <w:left w:w="108" w:type="dxa"/>
            <w:bottom w:w="0" w:type="dxa"/>
            <w:right w:w="108" w:type="dxa"/>
          </w:tblCellMar>
        </w:tblPrEx>
        <w:trPr>
          <w:trHeight w:val="0" w:hRule="atLeast"/>
          <w:jc w:val="center"/>
        </w:trPr>
        <w:tc>
          <w:tcPr>
            <w:tcW w:w="403"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站外组客治理</w:t>
            </w:r>
          </w:p>
        </w:tc>
      </w:tr>
      <w:tr>
        <w:tblPrEx>
          <w:tblCellMar>
            <w:top w:w="0" w:type="dxa"/>
            <w:left w:w="108" w:type="dxa"/>
            <w:bottom w:w="0" w:type="dxa"/>
            <w:right w:w="108" w:type="dxa"/>
          </w:tblCellMar>
        </w:tblPrEx>
        <w:trPr>
          <w:trHeight w:val="0" w:hRule="atLeast"/>
          <w:jc w:val="center"/>
        </w:trPr>
        <w:tc>
          <w:tcPr>
            <w:tcW w:w="403"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桥下空间监管</w:t>
            </w:r>
          </w:p>
        </w:tc>
      </w:tr>
      <w:tr>
        <w:tblPrEx>
          <w:tblCellMar>
            <w:top w:w="0" w:type="dxa"/>
            <w:left w:w="108" w:type="dxa"/>
            <w:bottom w:w="0" w:type="dxa"/>
            <w:right w:w="108" w:type="dxa"/>
          </w:tblCellMar>
        </w:tblPrEx>
        <w:trPr>
          <w:trHeight w:val="0" w:hRule="atLeast"/>
          <w:jc w:val="center"/>
        </w:trPr>
        <w:tc>
          <w:tcPr>
            <w:tcW w:w="403"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与智慧交通平台综合</w:t>
            </w:r>
            <w:r>
              <w:rPr>
                <w:rFonts w:hint="eastAsia" w:ascii="宋体" w:hAnsi="宋体" w:cs="宋体"/>
                <w:color w:val="auto"/>
                <w:kern w:val="0"/>
                <w:sz w:val="22"/>
                <w:szCs w:val="22"/>
                <w:highlight w:val="none"/>
              </w:rPr>
              <w:t>执法模块对接</w:t>
            </w:r>
          </w:p>
        </w:tc>
      </w:tr>
      <w:tr>
        <w:tblPrEx>
          <w:tblCellMar>
            <w:top w:w="0" w:type="dxa"/>
            <w:left w:w="108" w:type="dxa"/>
            <w:bottom w:w="0" w:type="dxa"/>
            <w:right w:w="108" w:type="dxa"/>
          </w:tblCellMar>
        </w:tblPrEx>
        <w:trPr>
          <w:trHeight w:val="0" w:hRule="atLeast"/>
          <w:jc w:val="center"/>
        </w:trPr>
        <w:tc>
          <w:tcPr>
            <w:tcW w:w="40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162"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瓯江数字航道服务与管理平台</w:t>
            </w:r>
          </w:p>
        </w:tc>
        <w:tc>
          <w:tcPr>
            <w:tcW w:w="243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二维航道图显示</w:t>
            </w:r>
          </w:p>
        </w:tc>
      </w:tr>
      <w:tr>
        <w:tblPrEx>
          <w:tblCellMar>
            <w:top w:w="0" w:type="dxa"/>
            <w:left w:w="108" w:type="dxa"/>
            <w:bottom w:w="0" w:type="dxa"/>
            <w:right w:w="108" w:type="dxa"/>
          </w:tblCellMar>
        </w:tblPrEx>
        <w:trPr>
          <w:trHeight w:val="0" w:hRule="atLeast"/>
          <w:jc w:val="center"/>
        </w:trPr>
        <w:tc>
          <w:tcPr>
            <w:tcW w:w="403"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AIS船舶监控</w:t>
            </w:r>
          </w:p>
        </w:tc>
      </w:tr>
      <w:tr>
        <w:tblPrEx>
          <w:tblCellMar>
            <w:top w:w="0" w:type="dxa"/>
            <w:left w:w="108" w:type="dxa"/>
            <w:bottom w:w="0" w:type="dxa"/>
            <w:right w:w="108" w:type="dxa"/>
          </w:tblCellMar>
        </w:tblPrEx>
        <w:trPr>
          <w:trHeight w:val="0" w:hRule="atLeast"/>
          <w:jc w:val="center"/>
        </w:trPr>
        <w:tc>
          <w:tcPr>
            <w:tcW w:w="403"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水文气象</w:t>
            </w:r>
          </w:p>
        </w:tc>
      </w:tr>
      <w:tr>
        <w:tblPrEx>
          <w:tblCellMar>
            <w:top w:w="0" w:type="dxa"/>
            <w:left w:w="108" w:type="dxa"/>
            <w:bottom w:w="0" w:type="dxa"/>
            <w:right w:w="108" w:type="dxa"/>
          </w:tblCellMar>
        </w:tblPrEx>
        <w:trPr>
          <w:trHeight w:val="0" w:hRule="atLeast"/>
          <w:jc w:val="center"/>
        </w:trPr>
        <w:tc>
          <w:tcPr>
            <w:tcW w:w="403"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内河航标监管</w:t>
            </w:r>
          </w:p>
        </w:tc>
      </w:tr>
      <w:tr>
        <w:tblPrEx>
          <w:tblCellMar>
            <w:top w:w="0" w:type="dxa"/>
            <w:left w:w="108" w:type="dxa"/>
            <w:bottom w:w="0" w:type="dxa"/>
            <w:right w:w="108" w:type="dxa"/>
          </w:tblCellMar>
        </w:tblPrEx>
        <w:trPr>
          <w:trHeight w:val="0" w:hRule="atLeast"/>
          <w:jc w:val="center"/>
        </w:trPr>
        <w:tc>
          <w:tcPr>
            <w:tcW w:w="403"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桥梁防碰撞监管</w:t>
            </w:r>
          </w:p>
        </w:tc>
      </w:tr>
      <w:tr>
        <w:tblPrEx>
          <w:tblCellMar>
            <w:top w:w="0" w:type="dxa"/>
            <w:left w:w="108" w:type="dxa"/>
            <w:bottom w:w="0" w:type="dxa"/>
            <w:right w:w="108" w:type="dxa"/>
          </w:tblCellMar>
        </w:tblPrEx>
        <w:trPr>
          <w:trHeight w:val="0" w:hRule="atLeast"/>
          <w:jc w:val="center"/>
        </w:trPr>
        <w:tc>
          <w:tcPr>
            <w:tcW w:w="403"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船舶流量监控</w:t>
            </w:r>
          </w:p>
        </w:tc>
      </w:tr>
      <w:tr>
        <w:tblPrEx>
          <w:tblCellMar>
            <w:top w:w="0" w:type="dxa"/>
            <w:left w:w="108" w:type="dxa"/>
            <w:bottom w:w="0" w:type="dxa"/>
            <w:right w:w="108" w:type="dxa"/>
          </w:tblCellMar>
        </w:tblPrEx>
        <w:trPr>
          <w:trHeight w:val="0" w:hRule="atLeast"/>
          <w:jc w:val="center"/>
        </w:trPr>
        <w:tc>
          <w:tcPr>
            <w:tcW w:w="403"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航道信息管理</w:t>
            </w:r>
          </w:p>
        </w:tc>
      </w:tr>
      <w:tr>
        <w:tblPrEx>
          <w:tblCellMar>
            <w:top w:w="0" w:type="dxa"/>
            <w:left w:w="108" w:type="dxa"/>
            <w:bottom w:w="0" w:type="dxa"/>
            <w:right w:w="108" w:type="dxa"/>
          </w:tblCellMar>
        </w:tblPrEx>
        <w:trPr>
          <w:trHeight w:val="0" w:hRule="atLeast"/>
          <w:jc w:val="center"/>
        </w:trPr>
        <w:tc>
          <w:tcPr>
            <w:tcW w:w="403"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乘潮导航</w:t>
            </w:r>
          </w:p>
        </w:tc>
      </w:tr>
      <w:tr>
        <w:tblPrEx>
          <w:tblCellMar>
            <w:top w:w="0" w:type="dxa"/>
            <w:left w:w="108" w:type="dxa"/>
            <w:bottom w:w="0" w:type="dxa"/>
            <w:right w:w="108" w:type="dxa"/>
          </w:tblCellMar>
        </w:tblPrEx>
        <w:trPr>
          <w:trHeight w:val="0" w:hRule="atLeast"/>
          <w:jc w:val="center"/>
        </w:trPr>
        <w:tc>
          <w:tcPr>
            <w:tcW w:w="403"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航行向导</w:t>
            </w:r>
          </w:p>
        </w:tc>
      </w:tr>
      <w:tr>
        <w:tblPrEx>
          <w:tblCellMar>
            <w:top w:w="0" w:type="dxa"/>
            <w:left w:w="108" w:type="dxa"/>
            <w:bottom w:w="0" w:type="dxa"/>
            <w:right w:w="108" w:type="dxa"/>
          </w:tblCellMar>
        </w:tblPrEx>
        <w:trPr>
          <w:trHeight w:val="0" w:hRule="atLeast"/>
          <w:jc w:val="center"/>
        </w:trPr>
        <w:tc>
          <w:tcPr>
            <w:tcW w:w="403"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系统设置</w:t>
            </w:r>
          </w:p>
        </w:tc>
      </w:tr>
      <w:bookmarkEnd w:id="180"/>
    </w:tbl>
    <w:p>
      <w:pPr>
        <w:rPr>
          <w:color w:val="auto"/>
          <w:highlight w:val="none"/>
        </w:rPr>
      </w:pPr>
    </w:p>
    <w:p>
      <w:pPr>
        <w:numPr>
          <w:ilvl w:val="0"/>
          <w:numId w:val="44"/>
        </w:num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数字交通综合执法与服务应用项目标项二（</w:t>
      </w:r>
      <w:r>
        <w:rPr>
          <w:rFonts w:hint="eastAsia" w:ascii="宋体" w:hAnsi="宋体" w:cs="宋体"/>
          <w:color w:val="auto"/>
          <w:kern w:val="0"/>
          <w:sz w:val="22"/>
          <w:szCs w:val="22"/>
          <w:highlight w:val="none"/>
        </w:rPr>
        <w:t>温州巡游车移动端应用、金温铁路海铁多式联运“一单制”、交通政务信息“一窗通达”、便行温州数字服务平台</w:t>
      </w:r>
      <w:r>
        <w:rPr>
          <w:rFonts w:hint="eastAsia" w:ascii="宋体" w:hAnsi="宋体" w:cs="宋体"/>
          <w:color w:val="auto"/>
          <w:sz w:val="22"/>
          <w:szCs w:val="22"/>
          <w:highlight w:val="none"/>
        </w:rPr>
        <w:t>）（采购预算金额：</w:t>
      </w:r>
      <w:r>
        <w:rPr>
          <w:rFonts w:hint="eastAsia" w:ascii="宋体" w:hAnsi="宋体" w:cs="宋体"/>
          <w:b/>
          <w:color w:val="auto"/>
          <w:kern w:val="0"/>
          <w:sz w:val="22"/>
          <w:szCs w:val="22"/>
          <w:highlight w:val="none"/>
        </w:rPr>
        <w:t>512万元</w:t>
      </w:r>
      <w:r>
        <w:rPr>
          <w:rFonts w:hint="eastAsia" w:ascii="宋体" w:hAnsi="宋体" w:cs="宋体"/>
          <w:color w:val="auto"/>
          <w:sz w:val="22"/>
          <w:szCs w:val="22"/>
          <w:highlight w:val="none"/>
        </w:rPr>
        <w:t>）</w:t>
      </w:r>
    </w:p>
    <w:p>
      <w:pPr>
        <w:pStyle w:val="3"/>
        <w:ind w:firstLine="0" w:firstLineChars="0"/>
        <w:rPr>
          <w:rFonts w:ascii="宋体" w:hAnsi="宋体" w:cs="宋体"/>
          <w:b/>
          <w:bCs/>
          <w:color w:val="auto"/>
          <w:sz w:val="22"/>
          <w:szCs w:val="22"/>
          <w:highlight w:val="none"/>
        </w:rPr>
      </w:pPr>
      <w:r>
        <w:rPr>
          <w:rFonts w:hint="eastAsia" w:ascii="宋体" w:hAnsi="宋体" w:cs="宋体"/>
          <w:b/>
          <w:bCs/>
          <w:color w:val="auto"/>
          <w:sz w:val="22"/>
          <w:szCs w:val="22"/>
          <w:highlight w:val="none"/>
        </w:rPr>
        <w:t>1.软件清单：</w:t>
      </w:r>
    </w:p>
    <w:tbl>
      <w:tblPr>
        <w:tblStyle w:val="63"/>
        <w:tblW w:w="4998" w:type="pct"/>
        <w:jc w:val="center"/>
        <w:tblLayout w:type="autofit"/>
        <w:tblCellMar>
          <w:top w:w="0" w:type="dxa"/>
          <w:left w:w="108" w:type="dxa"/>
          <w:bottom w:w="0" w:type="dxa"/>
          <w:right w:w="108" w:type="dxa"/>
        </w:tblCellMar>
      </w:tblPr>
      <w:tblGrid>
        <w:gridCol w:w="796"/>
        <w:gridCol w:w="4260"/>
        <w:gridCol w:w="4794"/>
      </w:tblGrid>
      <w:tr>
        <w:tblPrEx>
          <w:tblCellMar>
            <w:top w:w="0" w:type="dxa"/>
            <w:left w:w="108" w:type="dxa"/>
            <w:bottom w:w="0" w:type="dxa"/>
            <w:right w:w="108" w:type="dxa"/>
          </w:tblCellMar>
        </w:tblPrEx>
        <w:trPr>
          <w:trHeight w:val="427" w:hRule="atLeast"/>
          <w:jc w:val="center"/>
        </w:trPr>
        <w:tc>
          <w:tcPr>
            <w:tcW w:w="40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2162"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软件名称</w:t>
            </w:r>
          </w:p>
        </w:tc>
        <w:tc>
          <w:tcPr>
            <w:tcW w:w="2433" w:type="pct"/>
            <w:tcBorders>
              <w:top w:val="single" w:color="auto" w:sz="4" w:space="0"/>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子系统</w:t>
            </w:r>
          </w:p>
        </w:tc>
      </w:tr>
      <w:tr>
        <w:trPr>
          <w:trHeight w:val="427" w:hRule="atLeast"/>
          <w:jc w:val="center"/>
        </w:trPr>
        <w:tc>
          <w:tcPr>
            <w:tcW w:w="404"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bookmarkStart w:id="181" w:name="_Hlk113377109"/>
            <w:r>
              <w:rPr>
                <w:rFonts w:hint="eastAsia" w:ascii="宋体" w:hAnsi="宋体" w:cs="宋体"/>
                <w:color w:val="auto"/>
                <w:kern w:val="0"/>
                <w:sz w:val="22"/>
                <w:szCs w:val="22"/>
                <w:highlight w:val="none"/>
              </w:rPr>
              <w:t>1</w:t>
            </w:r>
          </w:p>
        </w:tc>
        <w:tc>
          <w:tcPr>
            <w:tcW w:w="2162"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温州巡游车移动端应用</w:t>
            </w:r>
          </w:p>
        </w:tc>
        <w:tc>
          <w:tcPr>
            <w:tcW w:w="243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温州出租车移动端应用</w:t>
            </w:r>
          </w:p>
        </w:tc>
      </w:tr>
      <w:tr>
        <w:tblPrEx>
          <w:tblCellMar>
            <w:top w:w="0" w:type="dxa"/>
            <w:left w:w="108" w:type="dxa"/>
            <w:bottom w:w="0" w:type="dxa"/>
            <w:right w:w="108" w:type="dxa"/>
          </w:tblCellMar>
        </w:tblPrEx>
        <w:trPr>
          <w:trHeight w:val="427" w:hRule="atLeast"/>
          <w:jc w:val="center"/>
        </w:trPr>
        <w:tc>
          <w:tcPr>
            <w:tcW w:w="404"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后台管理端</w:t>
            </w:r>
          </w:p>
        </w:tc>
      </w:tr>
      <w:tr>
        <w:tblPrEx>
          <w:tblCellMar>
            <w:top w:w="0" w:type="dxa"/>
            <w:left w:w="108" w:type="dxa"/>
            <w:bottom w:w="0" w:type="dxa"/>
            <w:right w:w="108" w:type="dxa"/>
          </w:tblCellMar>
        </w:tblPrEx>
        <w:trPr>
          <w:trHeight w:val="427" w:hRule="atLeast"/>
          <w:jc w:val="center"/>
        </w:trPr>
        <w:tc>
          <w:tcPr>
            <w:tcW w:w="404"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历史数据迁移</w:t>
            </w:r>
          </w:p>
        </w:tc>
      </w:tr>
      <w:tr>
        <w:trPr>
          <w:trHeight w:val="427" w:hRule="atLeast"/>
          <w:jc w:val="center"/>
        </w:trPr>
        <w:tc>
          <w:tcPr>
            <w:tcW w:w="404"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162"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金温铁路海铁多式联运“一单制”</w:t>
            </w:r>
          </w:p>
        </w:tc>
        <w:tc>
          <w:tcPr>
            <w:tcW w:w="243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物流数据处理</w:t>
            </w:r>
          </w:p>
        </w:tc>
      </w:tr>
      <w:tr>
        <w:tblPrEx>
          <w:tblCellMar>
            <w:top w:w="0" w:type="dxa"/>
            <w:left w:w="108" w:type="dxa"/>
            <w:bottom w:w="0" w:type="dxa"/>
            <w:right w:w="108" w:type="dxa"/>
          </w:tblCellMar>
        </w:tblPrEx>
        <w:trPr>
          <w:trHeight w:val="427" w:hRule="atLeast"/>
          <w:jc w:val="center"/>
        </w:trPr>
        <w:tc>
          <w:tcPr>
            <w:tcW w:w="404"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平台管理系统</w:t>
            </w:r>
          </w:p>
        </w:tc>
      </w:tr>
      <w:tr>
        <w:tblPrEx>
          <w:tblCellMar>
            <w:top w:w="0" w:type="dxa"/>
            <w:left w:w="108" w:type="dxa"/>
            <w:bottom w:w="0" w:type="dxa"/>
            <w:right w:w="108" w:type="dxa"/>
          </w:tblCellMar>
        </w:tblPrEx>
        <w:trPr>
          <w:trHeight w:val="427" w:hRule="atLeast"/>
          <w:jc w:val="center"/>
        </w:trPr>
        <w:tc>
          <w:tcPr>
            <w:tcW w:w="404"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船公司管理</w:t>
            </w:r>
          </w:p>
        </w:tc>
      </w:tr>
      <w:tr>
        <w:tblPrEx>
          <w:tblCellMar>
            <w:top w:w="0" w:type="dxa"/>
            <w:left w:w="108" w:type="dxa"/>
            <w:bottom w:w="0" w:type="dxa"/>
            <w:right w:w="108" w:type="dxa"/>
          </w:tblCellMar>
        </w:tblPrEx>
        <w:trPr>
          <w:trHeight w:val="427" w:hRule="atLeast"/>
          <w:jc w:val="center"/>
        </w:trPr>
        <w:tc>
          <w:tcPr>
            <w:tcW w:w="404"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港口管理</w:t>
            </w:r>
          </w:p>
        </w:tc>
      </w:tr>
      <w:tr>
        <w:tblPrEx>
          <w:tblCellMar>
            <w:top w:w="0" w:type="dxa"/>
            <w:left w:w="108" w:type="dxa"/>
            <w:bottom w:w="0" w:type="dxa"/>
            <w:right w:w="108" w:type="dxa"/>
          </w:tblCellMar>
        </w:tblPrEx>
        <w:trPr>
          <w:trHeight w:val="427" w:hRule="atLeast"/>
          <w:jc w:val="center"/>
        </w:trPr>
        <w:tc>
          <w:tcPr>
            <w:tcW w:w="404"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附加费管理</w:t>
            </w:r>
          </w:p>
        </w:tc>
      </w:tr>
      <w:tr>
        <w:tblPrEx>
          <w:tblCellMar>
            <w:top w:w="0" w:type="dxa"/>
            <w:left w:w="108" w:type="dxa"/>
            <w:bottom w:w="0" w:type="dxa"/>
            <w:right w:w="108" w:type="dxa"/>
          </w:tblCellMar>
        </w:tblPrEx>
        <w:trPr>
          <w:trHeight w:val="427" w:hRule="atLeast"/>
          <w:jc w:val="center"/>
        </w:trPr>
        <w:tc>
          <w:tcPr>
            <w:tcW w:w="404"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服务商系统</w:t>
            </w:r>
          </w:p>
        </w:tc>
      </w:tr>
      <w:tr>
        <w:tblPrEx>
          <w:tblCellMar>
            <w:top w:w="0" w:type="dxa"/>
            <w:left w:w="108" w:type="dxa"/>
            <w:bottom w:w="0" w:type="dxa"/>
            <w:right w:w="108" w:type="dxa"/>
          </w:tblCellMar>
        </w:tblPrEx>
        <w:trPr>
          <w:trHeight w:val="427" w:hRule="atLeast"/>
          <w:jc w:val="center"/>
        </w:trPr>
        <w:tc>
          <w:tcPr>
            <w:tcW w:w="404"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货主系统（pc端）</w:t>
            </w:r>
          </w:p>
        </w:tc>
      </w:tr>
      <w:tr>
        <w:tblPrEx>
          <w:tblCellMar>
            <w:top w:w="0" w:type="dxa"/>
            <w:left w:w="108" w:type="dxa"/>
            <w:bottom w:w="0" w:type="dxa"/>
            <w:right w:w="108" w:type="dxa"/>
          </w:tblCellMar>
        </w:tblPrEx>
        <w:trPr>
          <w:trHeight w:val="427" w:hRule="atLeast"/>
          <w:jc w:val="center"/>
        </w:trPr>
        <w:tc>
          <w:tcPr>
            <w:tcW w:w="404"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货主系统（浙里办端）</w:t>
            </w:r>
          </w:p>
        </w:tc>
      </w:tr>
      <w:tr>
        <w:trPr>
          <w:trHeight w:val="427" w:hRule="atLeast"/>
          <w:jc w:val="center"/>
        </w:trPr>
        <w:tc>
          <w:tcPr>
            <w:tcW w:w="404"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金温铁路海铁多式联运“一单制”决策驾驶舱</w:t>
            </w:r>
          </w:p>
        </w:tc>
      </w:tr>
      <w:tr>
        <w:trPr>
          <w:trHeight w:val="427" w:hRule="atLeast"/>
          <w:jc w:val="center"/>
        </w:trPr>
        <w:tc>
          <w:tcPr>
            <w:tcW w:w="404"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43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系统对接</w:t>
            </w:r>
          </w:p>
        </w:tc>
      </w:tr>
      <w:tr>
        <w:trPr>
          <w:trHeight w:val="427" w:hRule="atLeast"/>
          <w:jc w:val="center"/>
        </w:trPr>
        <w:tc>
          <w:tcPr>
            <w:tcW w:w="404"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162"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交通政务信息“一窗通达”</w:t>
            </w:r>
          </w:p>
        </w:tc>
        <w:tc>
          <w:tcPr>
            <w:tcW w:w="2433" w:type="pct"/>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首页</w:t>
            </w:r>
          </w:p>
        </w:tc>
      </w:tr>
      <w:tr>
        <w:tblPrEx>
          <w:tblCellMar>
            <w:top w:w="0" w:type="dxa"/>
            <w:left w:w="108" w:type="dxa"/>
            <w:bottom w:w="0" w:type="dxa"/>
            <w:right w:w="108" w:type="dxa"/>
          </w:tblCellMar>
        </w:tblPrEx>
        <w:trPr>
          <w:trHeight w:val="427" w:hRule="atLeast"/>
          <w:jc w:val="center"/>
        </w:trPr>
        <w:tc>
          <w:tcPr>
            <w:tcW w:w="404"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433" w:type="pct"/>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行业服务-企业基本信息管理</w:t>
            </w:r>
          </w:p>
        </w:tc>
      </w:tr>
      <w:tr>
        <w:tblPrEx>
          <w:tblCellMar>
            <w:top w:w="0" w:type="dxa"/>
            <w:left w:w="108" w:type="dxa"/>
            <w:bottom w:w="0" w:type="dxa"/>
            <w:right w:w="108" w:type="dxa"/>
          </w:tblCellMar>
        </w:tblPrEx>
        <w:trPr>
          <w:trHeight w:val="427" w:hRule="atLeast"/>
          <w:jc w:val="center"/>
        </w:trPr>
        <w:tc>
          <w:tcPr>
            <w:tcW w:w="404"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433" w:type="pct"/>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行业服务-出租管理</w:t>
            </w:r>
          </w:p>
        </w:tc>
      </w:tr>
      <w:tr>
        <w:tblPrEx>
          <w:tblCellMar>
            <w:top w:w="0" w:type="dxa"/>
            <w:left w:w="108" w:type="dxa"/>
            <w:bottom w:w="0" w:type="dxa"/>
            <w:right w:w="108" w:type="dxa"/>
          </w:tblCellMar>
        </w:tblPrEx>
        <w:trPr>
          <w:trHeight w:val="427" w:hRule="atLeast"/>
          <w:jc w:val="center"/>
        </w:trPr>
        <w:tc>
          <w:tcPr>
            <w:tcW w:w="404"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433" w:type="pct"/>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行业服务-电子证照服务</w:t>
            </w:r>
          </w:p>
        </w:tc>
      </w:tr>
      <w:tr>
        <w:tblPrEx>
          <w:tblCellMar>
            <w:top w:w="0" w:type="dxa"/>
            <w:left w:w="108" w:type="dxa"/>
            <w:bottom w:w="0" w:type="dxa"/>
            <w:right w:w="108" w:type="dxa"/>
          </w:tblCellMar>
        </w:tblPrEx>
        <w:trPr>
          <w:trHeight w:val="427" w:hRule="atLeast"/>
          <w:jc w:val="center"/>
        </w:trPr>
        <w:tc>
          <w:tcPr>
            <w:tcW w:w="404"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433" w:type="pct"/>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行业服务-监管信息处置</w:t>
            </w:r>
          </w:p>
        </w:tc>
      </w:tr>
      <w:tr>
        <w:trPr>
          <w:trHeight w:val="427" w:hRule="atLeast"/>
          <w:jc w:val="center"/>
        </w:trPr>
        <w:tc>
          <w:tcPr>
            <w:tcW w:w="404"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433" w:type="pct"/>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生命周期电子档案</w:t>
            </w:r>
          </w:p>
        </w:tc>
      </w:tr>
      <w:tr>
        <w:tblPrEx>
          <w:tblCellMar>
            <w:top w:w="0" w:type="dxa"/>
            <w:left w:w="108" w:type="dxa"/>
            <w:bottom w:w="0" w:type="dxa"/>
            <w:right w:w="108" w:type="dxa"/>
          </w:tblCellMar>
        </w:tblPrEx>
        <w:trPr>
          <w:trHeight w:val="427" w:hRule="atLeast"/>
          <w:jc w:val="center"/>
        </w:trPr>
        <w:tc>
          <w:tcPr>
            <w:tcW w:w="404"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433" w:type="pct"/>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通知服务</w:t>
            </w:r>
          </w:p>
        </w:tc>
      </w:tr>
      <w:tr>
        <w:tblPrEx>
          <w:tblCellMar>
            <w:top w:w="0" w:type="dxa"/>
            <w:left w:w="108" w:type="dxa"/>
            <w:bottom w:w="0" w:type="dxa"/>
            <w:right w:w="108" w:type="dxa"/>
          </w:tblCellMar>
        </w:tblPrEx>
        <w:trPr>
          <w:trHeight w:val="427" w:hRule="atLeast"/>
          <w:jc w:val="center"/>
        </w:trPr>
        <w:tc>
          <w:tcPr>
            <w:tcW w:w="404"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433" w:type="pct"/>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浙里办“一窗通达”</w:t>
            </w:r>
          </w:p>
        </w:tc>
      </w:tr>
      <w:tr>
        <w:tblPrEx>
          <w:tblCellMar>
            <w:top w:w="0" w:type="dxa"/>
            <w:left w:w="108" w:type="dxa"/>
            <w:bottom w:w="0" w:type="dxa"/>
            <w:right w:w="108" w:type="dxa"/>
          </w:tblCellMar>
        </w:tblPrEx>
        <w:trPr>
          <w:trHeight w:val="427" w:hRule="atLeast"/>
          <w:jc w:val="center"/>
        </w:trPr>
        <w:tc>
          <w:tcPr>
            <w:tcW w:w="404"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2162"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便行温州数字服务平台</w:t>
            </w:r>
          </w:p>
        </w:tc>
        <w:tc>
          <w:tcPr>
            <w:tcW w:w="2433" w:type="pct"/>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一体化出行业务底座</w:t>
            </w:r>
          </w:p>
        </w:tc>
      </w:tr>
      <w:tr>
        <w:tblPrEx>
          <w:tblCellMar>
            <w:top w:w="0" w:type="dxa"/>
            <w:left w:w="108" w:type="dxa"/>
            <w:bottom w:w="0" w:type="dxa"/>
            <w:right w:w="108" w:type="dxa"/>
          </w:tblCellMar>
        </w:tblPrEx>
        <w:trPr>
          <w:trHeight w:val="427" w:hRule="atLeast"/>
          <w:jc w:val="center"/>
        </w:trPr>
        <w:tc>
          <w:tcPr>
            <w:tcW w:w="404"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433" w:type="pct"/>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治理端平台</w:t>
            </w:r>
          </w:p>
        </w:tc>
      </w:tr>
      <w:tr>
        <w:trPr>
          <w:trHeight w:val="427" w:hRule="atLeast"/>
          <w:jc w:val="center"/>
        </w:trPr>
        <w:tc>
          <w:tcPr>
            <w:tcW w:w="404"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162" w:type="pct"/>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p>
        </w:tc>
        <w:tc>
          <w:tcPr>
            <w:tcW w:w="2433" w:type="pct"/>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移动出行服务应用</w:t>
            </w:r>
          </w:p>
        </w:tc>
      </w:tr>
      <w:bookmarkEnd w:id="181"/>
    </w:tbl>
    <w:p>
      <w:pPr>
        <w:keepNext w:val="0"/>
        <w:keepLines w:val="0"/>
        <w:pageBreakBefore w:val="0"/>
        <w:widowControl w:val="0"/>
        <w:kinsoku/>
        <w:wordWrap/>
        <w:overflowPunct/>
        <w:topLinePunct w:val="0"/>
        <w:autoSpaceDE/>
        <w:autoSpaceDN/>
        <w:bidi w:val="0"/>
        <w:adjustRightInd w:val="0"/>
        <w:snapToGrid/>
        <w:spacing w:after="120" w:line="400" w:lineRule="exact"/>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三、项目建设方案</w:t>
      </w:r>
    </w:p>
    <w:p>
      <w:pPr>
        <w:pStyle w:val="2"/>
        <w:keepNext w:val="0"/>
        <w:keepLines w:val="0"/>
        <w:pageBreakBefore w:val="0"/>
        <w:widowControl w:val="0"/>
        <w:kinsoku/>
        <w:wordWrap/>
        <w:overflowPunct/>
        <w:topLinePunct w:val="0"/>
        <w:autoSpaceDE/>
        <w:autoSpaceDN/>
        <w:bidi w:val="0"/>
        <w:snapToGrid/>
        <w:spacing w:line="400" w:lineRule="exact"/>
        <w:textAlignment w:val="auto"/>
        <w:rPr>
          <w:rFonts w:ascii="宋体" w:hAnsi="宋体" w:cs="宋体"/>
          <w:b/>
          <w:bCs/>
          <w:color w:val="auto"/>
          <w:sz w:val="22"/>
          <w:szCs w:val="22"/>
          <w:highlight w:val="none"/>
        </w:rPr>
      </w:pPr>
      <w:r>
        <w:rPr>
          <w:rFonts w:hint="eastAsia" w:ascii="宋体" w:hAnsi="宋体" w:cs="宋体"/>
          <w:b/>
          <w:bCs/>
          <w:color w:val="auto"/>
          <w:sz w:val="22"/>
          <w:szCs w:val="22"/>
          <w:highlight w:val="none"/>
        </w:rPr>
        <w:t>详见附件1</w:t>
      </w:r>
    </w:p>
    <w:p>
      <w:pPr>
        <w:keepNext w:val="0"/>
        <w:keepLines w:val="0"/>
        <w:pageBreakBefore w:val="0"/>
        <w:widowControl w:val="0"/>
        <w:kinsoku/>
        <w:wordWrap/>
        <w:overflowPunct/>
        <w:topLinePunct w:val="0"/>
        <w:autoSpaceDE/>
        <w:autoSpaceDN/>
        <w:bidi w:val="0"/>
        <w:adjustRightInd w:val="0"/>
        <w:snapToGrid/>
        <w:spacing w:after="120" w:line="400" w:lineRule="exact"/>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四、其他相关要求</w:t>
      </w:r>
    </w:p>
    <w:p>
      <w:pPr>
        <w:keepNext w:val="0"/>
        <w:keepLines w:val="0"/>
        <w:pageBreakBefore w:val="0"/>
        <w:widowControl w:val="0"/>
        <w:kinsoku/>
        <w:wordWrap/>
        <w:overflowPunct/>
        <w:topLinePunct w:val="0"/>
        <w:autoSpaceDE/>
        <w:autoSpaceDN/>
        <w:bidi w:val="0"/>
        <w:adjustRightInd w:val="0"/>
        <w:snapToGrid/>
        <w:spacing w:after="120" w:line="400" w:lineRule="exact"/>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1、项目建设周期:</w:t>
      </w:r>
      <w:r>
        <w:rPr>
          <w:rFonts w:hint="eastAsia" w:ascii="宋体" w:hAnsi="宋体" w:cs="宋体"/>
          <w:bCs/>
          <w:color w:val="auto"/>
          <w:kern w:val="0"/>
          <w:sz w:val="22"/>
          <w:szCs w:val="22"/>
          <w:highlight w:val="none"/>
        </w:rPr>
        <w:t>合同签定后10个月内完成系统开发并上线试运行，试运行3个月内完成最终验收。</w:t>
      </w:r>
    </w:p>
    <w:p>
      <w:pPr>
        <w:keepNext w:val="0"/>
        <w:keepLines w:val="0"/>
        <w:pageBreakBefore w:val="0"/>
        <w:widowControl w:val="0"/>
        <w:kinsoku/>
        <w:wordWrap/>
        <w:overflowPunct/>
        <w:topLinePunct w:val="0"/>
        <w:autoSpaceDE/>
        <w:autoSpaceDN/>
        <w:bidi w:val="0"/>
        <w:adjustRightInd w:val="0"/>
        <w:snapToGrid/>
        <w:spacing w:after="120" w:line="400" w:lineRule="exact"/>
        <w:textAlignment w:val="auto"/>
        <w:rPr>
          <w:rFonts w:ascii="宋体" w:hAnsi="宋体" w:cs="宋体"/>
          <w:bCs/>
          <w:color w:val="auto"/>
          <w:kern w:val="0"/>
          <w:sz w:val="22"/>
          <w:szCs w:val="22"/>
          <w:highlight w:val="none"/>
        </w:rPr>
      </w:pPr>
      <w:r>
        <w:rPr>
          <w:rFonts w:hint="eastAsia" w:ascii="宋体" w:hAnsi="宋体" w:cs="宋体"/>
          <w:b/>
          <w:color w:val="auto"/>
          <w:kern w:val="0"/>
          <w:sz w:val="22"/>
          <w:szCs w:val="22"/>
          <w:highlight w:val="none"/>
        </w:rPr>
        <w:t>2、</w:t>
      </w:r>
      <w:r>
        <w:rPr>
          <w:rFonts w:hint="eastAsia" w:ascii="宋体" w:hAnsi="宋体" w:cs="宋体"/>
          <w:b/>
          <w:color w:val="auto"/>
          <w:kern w:val="0"/>
          <w:sz w:val="22"/>
          <w:szCs w:val="22"/>
          <w:highlight w:val="none"/>
        </w:rPr>
        <w:t>免费维护期：</w:t>
      </w:r>
      <w:r>
        <w:rPr>
          <w:rFonts w:hint="eastAsia" w:ascii="宋体" w:hAnsi="宋体" w:cs="宋体"/>
          <w:bCs/>
          <w:color w:val="auto"/>
          <w:kern w:val="0"/>
          <w:sz w:val="22"/>
          <w:szCs w:val="22"/>
          <w:highlight w:val="none"/>
        </w:rPr>
        <w:t>三年。</w:t>
      </w:r>
    </w:p>
    <w:p>
      <w:pPr>
        <w:keepNext w:val="0"/>
        <w:keepLines w:val="0"/>
        <w:pageBreakBefore w:val="0"/>
        <w:widowControl w:val="0"/>
        <w:kinsoku/>
        <w:wordWrap/>
        <w:overflowPunct/>
        <w:topLinePunct w:val="0"/>
        <w:autoSpaceDE/>
        <w:autoSpaceDN/>
        <w:bidi w:val="0"/>
        <w:adjustRightInd w:val="0"/>
        <w:snapToGrid/>
        <w:spacing w:after="120" w:line="400" w:lineRule="exact"/>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五、培训要求</w:t>
      </w:r>
    </w:p>
    <w:p>
      <w:pPr>
        <w:keepNext w:val="0"/>
        <w:keepLines w:val="0"/>
        <w:pageBreakBefore w:val="0"/>
        <w:widowControl w:val="0"/>
        <w:kinsoku/>
        <w:wordWrap/>
        <w:overflowPunct/>
        <w:topLinePunct w:val="0"/>
        <w:autoSpaceDE/>
        <w:autoSpaceDN/>
        <w:bidi w:val="0"/>
        <w:snapToGrid/>
        <w:spacing w:line="400" w:lineRule="exact"/>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根据不同的培训内容，培训对象分为管理人员和操作使用人员。针对管理人员提供设备操作培训，通过培训，使受训的技术人员能够了解和熟悉整个设备的功能，掌握产品安装、使用、配置、维护该项目应用到的设备知识。针对操作使用人员进行操作培训，配以实际操作的指导，并提供全部详细的培训资料，保证工作人员可以迅速并正确掌握设备的使用。</w:t>
      </w:r>
    </w:p>
    <w:p>
      <w:pPr>
        <w:keepNext w:val="0"/>
        <w:keepLines w:val="0"/>
        <w:pageBreakBefore w:val="0"/>
        <w:widowControl w:val="0"/>
        <w:kinsoku/>
        <w:wordWrap/>
        <w:overflowPunct/>
        <w:topLinePunct w:val="0"/>
        <w:autoSpaceDE/>
        <w:autoSpaceDN/>
        <w:bidi w:val="0"/>
        <w:snapToGrid/>
        <w:spacing w:line="400" w:lineRule="exact"/>
        <w:ind w:firstLine="440" w:firstLineChars="200"/>
        <w:textAlignment w:val="auto"/>
        <w:rPr>
          <w:rFonts w:ascii="宋体" w:hAnsi="宋体" w:cs="宋体"/>
          <w:color w:val="auto"/>
          <w:sz w:val="22"/>
          <w:szCs w:val="22"/>
          <w:highlight w:val="none"/>
        </w:rPr>
      </w:pPr>
      <w:bookmarkStart w:id="182" w:name="_Toc100848731"/>
      <w:r>
        <w:rPr>
          <w:rFonts w:hint="eastAsia" w:ascii="宋体" w:hAnsi="宋体" w:cs="宋体"/>
          <w:color w:val="auto"/>
          <w:sz w:val="22"/>
          <w:szCs w:val="22"/>
          <w:highlight w:val="none"/>
        </w:rPr>
        <w:t>1、管理人员培训</w:t>
      </w:r>
      <w:bookmarkEnd w:id="182"/>
    </w:p>
    <w:p>
      <w:pPr>
        <w:keepNext w:val="0"/>
        <w:keepLines w:val="0"/>
        <w:pageBreakBefore w:val="0"/>
        <w:widowControl w:val="0"/>
        <w:kinsoku/>
        <w:wordWrap/>
        <w:overflowPunct/>
        <w:topLinePunct w:val="0"/>
        <w:autoSpaceDE/>
        <w:autoSpaceDN/>
        <w:bidi w:val="0"/>
        <w:snapToGrid/>
        <w:spacing w:line="400" w:lineRule="exact"/>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面向管理人员，主要培训以下内容：</w:t>
      </w:r>
    </w:p>
    <w:p>
      <w:pPr>
        <w:keepNext w:val="0"/>
        <w:keepLines w:val="0"/>
        <w:pageBreakBefore w:val="0"/>
        <w:widowControl w:val="0"/>
        <w:kinsoku/>
        <w:wordWrap/>
        <w:overflowPunct/>
        <w:topLinePunct w:val="0"/>
        <w:autoSpaceDE/>
        <w:autoSpaceDN/>
        <w:bidi w:val="0"/>
        <w:snapToGrid/>
        <w:spacing w:line="400" w:lineRule="exact"/>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系统日常维护培训。对管理人员进行系统的日常维护培训，包括对故障的排除等，保证系统运行的可靠性及持续性。在系统扩展时，也提供对管理人员的后续培训。</w:t>
      </w:r>
    </w:p>
    <w:p>
      <w:pPr>
        <w:keepNext w:val="0"/>
        <w:keepLines w:val="0"/>
        <w:pageBreakBefore w:val="0"/>
        <w:widowControl w:val="0"/>
        <w:kinsoku/>
        <w:wordWrap/>
        <w:overflowPunct/>
        <w:topLinePunct w:val="0"/>
        <w:autoSpaceDE/>
        <w:autoSpaceDN/>
        <w:bidi w:val="0"/>
        <w:snapToGrid/>
        <w:spacing w:line="400" w:lineRule="exact"/>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相关技术培训。对管理人员进行系统相关技术的培训，有利于管理人员对产品的日常维护。避免管理操作不当引起的系统故障。</w:t>
      </w:r>
    </w:p>
    <w:p>
      <w:pPr>
        <w:keepNext w:val="0"/>
        <w:keepLines w:val="0"/>
        <w:pageBreakBefore w:val="0"/>
        <w:widowControl w:val="0"/>
        <w:kinsoku/>
        <w:wordWrap/>
        <w:overflowPunct/>
        <w:topLinePunct w:val="0"/>
        <w:autoSpaceDE/>
        <w:autoSpaceDN/>
        <w:bidi w:val="0"/>
        <w:snapToGrid/>
        <w:spacing w:line="400" w:lineRule="exact"/>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架构培训。除了进行普通操作培训以外，还进一步向管理人员介绍产品的性能等内容，使管理人员全面地了解整个产品，以便为其他操作使用人员提供技术支持。</w:t>
      </w:r>
    </w:p>
    <w:p>
      <w:pPr>
        <w:keepNext w:val="0"/>
        <w:keepLines w:val="0"/>
        <w:pageBreakBefore w:val="0"/>
        <w:widowControl w:val="0"/>
        <w:kinsoku/>
        <w:wordWrap/>
        <w:overflowPunct/>
        <w:topLinePunct w:val="0"/>
        <w:autoSpaceDE/>
        <w:autoSpaceDN/>
        <w:bidi w:val="0"/>
        <w:snapToGrid/>
        <w:spacing w:line="400" w:lineRule="exact"/>
        <w:ind w:firstLine="440" w:firstLineChars="200"/>
        <w:textAlignment w:val="auto"/>
        <w:rPr>
          <w:rFonts w:ascii="宋体" w:hAnsi="宋体" w:cs="宋体"/>
          <w:color w:val="auto"/>
          <w:sz w:val="22"/>
          <w:szCs w:val="22"/>
          <w:highlight w:val="none"/>
        </w:rPr>
      </w:pPr>
      <w:bookmarkStart w:id="183" w:name="_Toc100848732"/>
      <w:r>
        <w:rPr>
          <w:rFonts w:hint="eastAsia" w:ascii="宋体" w:hAnsi="宋体" w:cs="宋体"/>
          <w:color w:val="auto"/>
          <w:sz w:val="22"/>
          <w:szCs w:val="22"/>
          <w:highlight w:val="none"/>
        </w:rPr>
        <w:t>2、操作使用人员培训</w:t>
      </w:r>
      <w:bookmarkEnd w:id="183"/>
    </w:p>
    <w:p>
      <w:pPr>
        <w:keepNext w:val="0"/>
        <w:keepLines w:val="0"/>
        <w:pageBreakBefore w:val="0"/>
        <w:widowControl w:val="0"/>
        <w:kinsoku/>
        <w:wordWrap/>
        <w:overflowPunct/>
        <w:topLinePunct w:val="0"/>
        <w:autoSpaceDE/>
        <w:autoSpaceDN/>
        <w:bidi w:val="0"/>
        <w:snapToGrid/>
        <w:spacing w:line="400" w:lineRule="exact"/>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通过集中培训、现场演示、操作辅导答疑等方式，使操作使用人员在轻松的氛围中学习，在实际动手操作的过程中提高系统的应用能力和计算机应用水平。</w:t>
      </w:r>
    </w:p>
    <w:p>
      <w:pPr>
        <w:keepNext w:val="0"/>
        <w:keepLines w:val="0"/>
        <w:pageBreakBefore w:val="0"/>
        <w:widowControl w:val="0"/>
        <w:kinsoku/>
        <w:wordWrap/>
        <w:overflowPunct/>
        <w:topLinePunct w:val="0"/>
        <w:autoSpaceDE/>
        <w:autoSpaceDN/>
        <w:bidi w:val="0"/>
        <w:snapToGrid/>
        <w:spacing w:line="400" w:lineRule="exact"/>
        <w:ind w:firstLine="440" w:firstLineChars="200"/>
        <w:textAlignment w:val="auto"/>
        <w:rPr>
          <w:rFonts w:ascii="宋体" w:hAnsi="宋体" w:cs="宋体"/>
          <w:color w:val="auto"/>
          <w:sz w:val="22"/>
          <w:szCs w:val="22"/>
          <w:highlight w:val="none"/>
        </w:rPr>
      </w:pPr>
      <w:bookmarkStart w:id="184" w:name="_Toc100848733"/>
      <w:r>
        <w:rPr>
          <w:rFonts w:hint="eastAsia" w:ascii="宋体" w:hAnsi="宋体" w:cs="宋体"/>
          <w:color w:val="auto"/>
          <w:sz w:val="22"/>
          <w:szCs w:val="22"/>
          <w:highlight w:val="none"/>
        </w:rPr>
        <w:t>3、集中培训</w:t>
      </w:r>
      <w:bookmarkEnd w:id="184"/>
    </w:p>
    <w:p>
      <w:pPr>
        <w:keepNext w:val="0"/>
        <w:keepLines w:val="0"/>
        <w:pageBreakBefore w:val="0"/>
        <w:widowControl w:val="0"/>
        <w:kinsoku/>
        <w:wordWrap/>
        <w:overflowPunct/>
        <w:topLinePunct w:val="0"/>
        <w:autoSpaceDE/>
        <w:autoSpaceDN/>
        <w:bidi w:val="0"/>
        <w:snapToGrid/>
        <w:spacing w:line="400" w:lineRule="exact"/>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集中培训是以培训班形式开展的一种培训方式，参加培训的系统操作使用人员将会接受相关内容的正规培训，并会参与交互式的、有系统的、循序渐进的学习，最终提高自身的技术水平。</w:t>
      </w:r>
    </w:p>
    <w:p>
      <w:pPr>
        <w:keepNext w:val="0"/>
        <w:keepLines w:val="0"/>
        <w:pageBreakBefore w:val="0"/>
        <w:widowControl w:val="0"/>
        <w:kinsoku/>
        <w:wordWrap/>
        <w:overflowPunct/>
        <w:topLinePunct w:val="0"/>
        <w:autoSpaceDE/>
        <w:autoSpaceDN/>
        <w:bidi w:val="0"/>
        <w:snapToGrid/>
        <w:spacing w:line="400" w:lineRule="exact"/>
        <w:ind w:firstLine="440" w:firstLineChars="200"/>
        <w:textAlignment w:val="auto"/>
        <w:rPr>
          <w:rFonts w:ascii="宋体" w:hAnsi="宋体" w:cs="宋体"/>
          <w:color w:val="auto"/>
          <w:sz w:val="22"/>
          <w:szCs w:val="22"/>
          <w:highlight w:val="none"/>
        </w:rPr>
      </w:pPr>
      <w:bookmarkStart w:id="185" w:name="_Toc100848734"/>
      <w:r>
        <w:rPr>
          <w:rFonts w:hint="eastAsia" w:ascii="宋体" w:hAnsi="宋体" w:cs="宋体"/>
          <w:color w:val="auto"/>
          <w:sz w:val="22"/>
          <w:szCs w:val="22"/>
          <w:highlight w:val="none"/>
        </w:rPr>
        <w:t>4、现场演示</w:t>
      </w:r>
      <w:bookmarkEnd w:id="185"/>
    </w:p>
    <w:p>
      <w:pPr>
        <w:keepNext w:val="0"/>
        <w:keepLines w:val="0"/>
        <w:pageBreakBefore w:val="0"/>
        <w:widowControl w:val="0"/>
        <w:kinsoku/>
        <w:wordWrap/>
        <w:overflowPunct/>
        <w:topLinePunct w:val="0"/>
        <w:autoSpaceDE/>
        <w:autoSpaceDN/>
        <w:bidi w:val="0"/>
        <w:snapToGrid/>
        <w:spacing w:line="400" w:lineRule="exact"/>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安排实际操作演示，增加操作使用人员的感性认识，提高培训质量。</w:t>
      </w:r>
    </w:p>
    <w:p>
      <w:pPr>
        <w:keepNext w:val="0"/>
        <w:keepLines w:val="0"/>
        <w:pageBreakBefore w:val="0"/>
        <w:widowControl w:val="0"/>
        <w:kinsoku/>
        <w:wordWrap/>
        <w:overflowPunct/>
        <w:topLinePunct w:val="0"/>
        <w:autoSpaceDE/>
        <w:autoSpaceDN/>
        <w:bidi w:val="0"/>
        <w:snapToGrid/>
        <w:spacing w:line="400" w:lineRule="exact"/>
        <w:ind w:firstLine="440" w:firstLineChars="200"/>
        <w:textAlignment w:val="auto"/>
        <w:rPr>
          <w:rFonts w:ascii="宋体" w:hAnsi="宋体" w:cs="宋体"/>
          <w:color w:val="auto"/>
          <w:sz w:val="22"/>
          <w:szCs w:val="22"/>
          <w:highlight w:val="none"/>
        </w:rPr>
      </w:pPr>
      <w:bookmarkStart w:id="186" w:name="_Toc100848735"/>
      <w:r>
        <w:rPr>
          <w:rFonts w:hint="eastAsia" w:ascii="宋体" w:hAnsi="宋体" w:cs="宋体"/>
          <w:color w:val="auto"/>
          <w:sz w:val="22"/>
          <w:szCs w:val="22"/>
          <w:highlight w:val="none"/>
        </w:rPr>
        <w:t>5、操作辅导与答疑</w:t>
      </w:r>
      <w:bookmarkEnd w:id="186"/>
    </w:p>
    <w:p>
      <w:pPr>
        <w:keepNext w:val="0"/>
        <w:keepLines w:val="0"/>
        <w:pageBreakBefore w:val="0"/>
        <w:widowControl w:val="0"/>
        <w:kinsoku/>
        <w:wordWrap/>
        <w:overflowPunct/>
        <w:topLinePunct w:val="0"/>
        <w:autoSpaceDE/>
        <w:autoSpaceDN/>
        <w:bidi w:val="0"/>
        <w:snapToGrid/>
        <w:spacing w:line="400" w:lineRule="exact"/>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系统集中培训答疑。这部分的答疑主要是在集中培训的过程中进行，可以在课后，可以在操作现场。</w:t>
      </w:r>
    </w:p>
    <w:p>
      <w:pPr>
        <w:keepNext w:val="0"/>
        <w:keepLines w:val="0"/>
        <w:pageBreakBefore w:val="0"/>
        <w:widowControl w:val="0"/>
        <w:kinsoku/>
        <w:wordWrap/>
        <w:overflowPunct/>
        <w:topLinePunct w:val="0"/>
        <w:autoSpaceDE/>
        <w:autoSpaceDN/>
        <w:bidi w:val="0"/>
        <w:snapToGrid/>
        <w:spacing w:line="400" w:lineRule="exact"/>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使用过程中答疑。集中培训之后，在使用过程中可能还有疑问，因此可以提供远程答疑。操作使用人员和讲师可以通过通讯工具交流问题。</w:t>
      </w:r>
    </w:p>
    <w:p>
      <w:pPr>
        <w:spacing w:line="360" w:lineRule="auto"/>
        <w:ind w:firstLine="440" w:firstLineChars="200"/>
        <w:rPr>
          <w:rFonts w:ascii="宋体" w:hAnsi="宋体" w:cs="宋体"/>
          <w:color w:val="auto"/>
          <w:sz w:val="22"/>
          <w:szCs w:val="22"/>
          <w:highlight w:val="none"/>
        </w:rPr>
      </w:pPr>
    </w:p>
    <w:p>
      <w:pPr>
        <w:rPr>
          <w:color w:val="auto"/>
          <w:highlight w:val="none"/>
        </w:rPr>
      </w:pPr>
      <w:r>
        <w:rPr>
          <w:color w:val="auto"/>
          <w:highlight w:val="none"/>
        </w:rPr>
        <w:br w:type="page"/>
      </w:r>
    </w:p>
    <w:p>
      <w:pPr>
        <w:rPr>
          <w:color w:val="auto"/>
          <w:highlight w:val="none"/>
        </w:rPr>
      </w:pPr>
    </w:p>
    <w:p>
      <w:pPr>
        <w:pStyle w:val="5"/>
        <w:rPr>
          <w:rFonts w:ascii="宋体" w:hAnsi="宋体" w:eastAsia="宋体" w:cs="Arial"/>
          <w:color w:val="auto"/>
          <w:sz w:val="36"/>
          <w:szCs w:val="36"/>
          <w:highlight w:val="none"/>
        </w:rPr>
      </w:pPr>
      <w:bookmarkStart w:id="187" w:name="_Toc5891"/>
      <w:r>
        <w:rPr>
          <w:rFonts w:hint="eastAsia" w:ascii="宋体" w:hAnsi="宋体" w:eastAsia="宋体" w:cs="Arial"/>
          <w:color w:val="auto"/>
          <w:sz w:val="36"/>
          <w:szCs w:val="36"/>
          <w:highlight w:val="none"/>
        </w:rPr>
        <w:t xml:space="preserve">第三部分   </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eastAsia" w:ascii="宋体" w:hAnsi="宋体" w:eastAsia="宋体" w:cs="Arial"/>
          <w:color w:val="auto"/>
          <w:sz w:val="36"/>
          <w:szCs w:val="36"/>
          <w:highlight w:val="none"/>
        </w:rPr>
        <w:t>评标原则及方法</w:t>
      </w:r>
      <w:bookmarkEnd w:id="187"/>
    </w:p>
    <w:p>
      <w:pPr>
        <w:spacing w:line="420" w:lineRule="exact"/>
        <w:ind w:left="439" w:leftChars="209"/>
        <w:rPr>
          <w:rFonts w:ascii="宋体" w:hAnsi="宋体"/>
          <w:b/>
          <w:color w:val="auto"/>
          <w:sz w:val="22"/>
          <w:szCs w:val="22"/>
          <w:highlight w:val="none"/>
        </w:rPr>
      </w:pPr>
      <w:r>
        <w:rPr>
          <w:rFonts w:hint="eastAsia" w:ascii="宋体" w:hAnsi="宋体"/>
          <w:b/>
          <w:color w:val="auto"/>
          <w:sz w:val="22"/>
          <w:szCs w:val="22"/>
          <w:highlight w:val="none"/>
        </w:rPr>
        <w:t>据《中华人民共和国政府采购法》等相关法规特制定以下评标办法。</w:t>
      </w:r>
    </w:p>
    <w:p>
      <w:pPr>
        <w:pStyle w:val="2"/>
        <w:spacing w:before="120" w:beforeLines="50" w:afterLines="50"/>
        <w:rPr>
          <w:rFonts w:ascii="宋体" w:hAnsi="宋体" w:cs="Arial"/>
          <w:b/>
          <w:color w:val="auto"/>
          <w:highlight w:val="none"/>
        </w:rPr>
      </w:pPr>
      <w:bookmarkStart w:id="188" w:name="_Toc221356898"/>
      <w:bookmarkStart w:id="189" w:name="_Toc221356961"/>
      <w:r>
        <w:rPr>
          <w:rFonts w:hint="eastAsia" w:ascii="宋体" w:hAnsi="宋体" w:cs="Arial"/>
          <w:b/>
          <w:color w:val="auto"/>
          <w:highlight w:val="none"/>
        </w:rPr>
        <w:t>一. 总  则</w:t>
      </w:r>
      <w:bookmarkEnd w:id="188"/>
      <w:bookmarkEnd w:id="189"/>
    </w:p>
    <w:p>
      <w:pPr>
        <w:spacing w:line="420" w:lineRule="exact"/>
        <w:ind w:left="439" w:leftChars="209"/>
        <w:rPr>
          <w:rFonts w:ascii="宋体" w:hAnsi="宋体" w:cs="Arial"/>
          <w:color w:val="auto"/>
          <w:sz w:val="22"/>
          <w:szCs w:val="22"/>
          <w:highlight w:val="none"/>
        </w:rPr>
      </w:pPr>
      <w:r>
        <w:rPr>
          <w:rFonts w:hint="eastAsia" w:ascii="宋体" w:hAnsi="宋体" w:cs="Arial"/>
          <w:color w:val="auto"/>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spacing w:line="420" w:lineRule="exact"/>
        <w:rPr>
          <w:rFonts w:ascii="宋体" w:hAnsi="宋体" w:cs="Arial"/>
          <w:b/>
          <w:color w:val="auto"/>
          <w:sz w:val="22"/>
          <w:highlight w:val="none"/>
        </w:rPr>
      </w:pPr>
      <w:r>
        <w:rPr>
          <w:rFonts w:hint="eastAsia" w:ascii="宋体" w:hAnsi="宋体" w:cs="Arial"/>
          <w:b/>
          <w:color w:val="auto"/>
          <w:sz w:val="22"/>
          <w:highlight w:val="none"/>
        </w:rPr>
        <w:t>二、评标组织</w:t>
      </w:r>
    </w:p>
    <w:p>
      <w:pPr>
        <w:spacing w:line="420" w:lineRule="exact"/>
        <w:ind w:left="439" w:leftChars="209"/>
        <w:rPr>
          <w:rFonts w:ascii="宋体" w:hAnsi="宋体" w:cs="Arial"/>
          <w:color w:val="auto"/>
          <w:sz w:val="22"/>
          <w:szCs w:val="22"/>
          <w:highlight w:val="none"/>
        </w:rPr>
      </w:pPr>
      <w:r>
        <w:rPr>
          <w:rFonts w:hint="eastAsia" w:ascii="宋体" w:hAnsi="宋体"/>
          <w:color w:val="auto"/>
          <w:sz w:val="22"/>
          <w:szCs w:val="22"/>
          <w:highlight w:val="none"/>
        </w:rPr>
        <w:t>评标工作由招标人依法组建的评标委员会负责，评标全过程由有关部门指导监督。</w:t>
      </w:r>
    </w:p>
    <w:p>
      <w:pPr>
        <w:spacing w:line="420" w:lineRule="exact"/>
        <w:rPr>
          <w:rFonts w:ascii="宋体" w:hAnsi="宋体" w:cs="Arial"/>
          <w:b/>
          <w:color w:val="auto"/>
          <w:sz w:val="22"/>
          <w:highlight w:val="none"/>
        </w:rPr>
      </w:pPr>
      <w:r>
        <w:rPr>
          <w:rFonts w:hint="eastAsia" w:ascii="宋体" w:hAnsi="宋体" w:cs="Arial"/>
          <w:b/>
          <w:color w:val="auto"/>
          <w:sz w:val="22"/>
          <w:highlight w:val="none"/>
        </w:rPr>
        <w:t>三、评标办法</w:t>
      </w:r>
    </w:p>
    <w:p>
      <w:pPr>
        <w:spacing w:line="400" w:lineRule="exact"/>
        <w:ind w:left="439" w:leftChars="209"/>
        <w:rPr>
          <w:rFonts w:ascii="宋体" w:hAnsi="宋体" w:cs="Arial"/>
          <w:b/>
          <w:color w:val="auto"/>
          <w:sz w:val="22"/>
          <w:highlight w:val="none"/>
        </w:rPr>
      </w:pPr>
      <w:r>
        <w:rPr>
          <w:rFonts w:hint="eastAsia" w:ascii="宋体" w:hAnsi="宋体" w:cs="Arial"/>
          <w:color w:val="auto"/>
          <w:sz w:val="22"/>
          <w:highlight w:val="none"/>
        </w:rPr>
        <w:t>本次采购采用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cs="Arial"/>
          <w:b/>
          <w:color w:val="auto"/>
          <w:sz w:val="22"/>
          <w:highlight w:val="none"/>
        </w:rPr>
        <w:t>总分设定为100分；其中商务技术文件80分，报价文件（报价）20分。</w:t>
      </w:r>
    </w:p>
    <w:p>
      <w:pPr>
        <w:spacing w:line="420" w:lineRule="exact"/>
        <w:rPr>
          <w:rFonts w:ascii="宋体" w:hAnsi="宋体" w:cs="Arial"/>
          <w:b/>
          <w:color w:val="auto"/>
          <w:sz w:val="22"/>
          <w:highlight w:val="none"/>
        </w:rPr>
      </w:pPr>
      <w:bookmarkStart w:id="190" w:name="_Toc221356965"/>
      <w:bookmarkStart w:id="191" w:name="_Toc221356902"/>
      <w:r>
        <w:rPr>
          <w:rFonts w:hint="eastAsia" w:ascii="宋体" w:hAnsi="宋体" w:cs="Arial"/>
          <w:b/>
          <w:color w:val="auto"/>
          <w:sz w:val="22"/>
          <w:highlight w:val="none"/>
        </w:rPr>
        <w:t>四、评分细则</w:t>
      </w:r>
      <w:bookmarkEnd w:id="190"/>
      <w:bookmarkEnd w:id="191"/>
    </w:p>
    <w:p>
      <w:pPr>
        <w:spacing w:line="400" w:lineRule="exact"/>
        <w:rPr>
          <w:rFonts w:ascii="宋体" w:hAnsi="宋体" w:cs="Arial"/>
          <w:b/>
          <w:bCs/>
          <w:color w:val="auto"/>
          <w:sz w:val="22"/>
          <w:highlight w:val="none"/>
        </w:rPr>
      </w:pPr>
      <w:bookmarkStart w:id="192" w:name="_Toc221356966"/>
      <w:bookmarkStart w:id="193" w:name="_Toc221356903"/>
      <w:r>
        <w:rPr>
          <w:rFonts w:hint="eastAsia" w:ascii="宋体" w:hAnsi="宋体" w:cs="Arial"/>
          <w:b/>
          <w:bCs/>
          <w:color w:val="auto"/>
          <w:sz w:val="22"/>
          <w:highlight w:val="none"/>
        </w:rPr>
        <w:t>标项一：</w:t>
      </w:r>
    </w:p>
    <w:p>
      <w:pPr>
        <w:spacing w:line="400" w:lineRule="exact"/>
        <w:rPr>
          <w:rFonts w:ascii="宋体" w:hAnsi="宋体" w:cs="Arial"/>
          <w:color w:val="auto"/>
          <w:sz w:val="22"/>
          <w:highlight w:val="none"/>
        </w:rPr>
      </w:pPr>
      <w:r>
        <w:rPr>
          <w:rFonts w:hint="eastAsia" w:ascii="宋体" w:hAnsi="宋体" w:cs="Arial"/>
          <w:color w:val="auto"/>
          <w:sz w:val="22"/>
          <w:highlight w:val="none"/>
        </w:rPr>
        <w:t>1、商务技术分的评定（80分）</w:t>
      </w:r>
    </w:p>
    <w:p>
      <w:pPr>
        <w:spacing w:line="400" w:lineRule="exact"/>
        <w:ind w:left="439" w:leftChars="209"/>
        <w:rPr>
          <w:rFonts w:ascii="宋体" w:hAnsi="宋体" w:cs="Arial"/>
          <w:color w:val="auto"/>
          <w:sz w:val="22"/>
          <w:highlight w:val="none"/>
        </w:rPr>
      </w:pPr>
      <w:r>
        <w:rPr>
          <w:rFonts w:hint="eastAsia" w:ascii="宋体" w:hAnsi="宋体" w:cs="Arial"/>
          <w:color w:val="auto"/>
          <w:sz w:val="22"/>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分的最终得分（四舍五入，保留小数点后二位）。</w:t>
      </w:r>
    </w:p>
    <w:tbl>
      <w:tblPr>
        <w:tblStyle w:val="63"/>
        <w:tblW w:w="9618" w:type="dxa"/>
        <w:tblInd w:w="0" w:type="dxa"/>
        <w:tblLayout w:type="fixed"/>
        <w:tblCellMar>
          <w:top w:w="0" w:type="dxa"/>
          <w:left w:w="108" w:type="dxa"/>
          <w:bottom w:w="0" w:type="dxa"/>
          <w:right w:w="108" w:type="dxa"/>
        </w:tblCellMar>
      </w:tblPr>
      <w:tblGrid>
        <w:gridCol w:w="815"/>
        <w:gridCol w:w="816"/>
        <w:gridCol w:w="816"/>
        <w:gridCol w:w="7171"/>
      </w:tblGrid>
      <w:tr>
        <w:tblPrEx>
          <w:tblCellMar>
            <w:top w:w="0" w:type="dxa"/>
            <w:left w:w="108" w:type="dxa"/>
            <w:bottom w:w="0" w:type="dxa"/>
            <w:right w:w="108" w:type="dxa"/>
          </w:tblCellMar>
        </w:tblPrEx>
        <w:trPr>
          <w:trHeight w:val="297" w:hRule="atLeast"/>
        </w:trPr>
        <w:tc>
          <w:tcPr>
            <w:tcW w:w="8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816"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评分内容</w:t>
            </w:r>
          </w:p>
        </w:tc>
        <w:tc>
          <w:tcPr>
            <w:tcW w:w="816"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分值</w:t>
            </w:r>
          </w:p>
        </w:tc>
        <w:tc>
          <w:tcPr>
            <w:tcW w:w="7171"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评分标准说明</w:t>
            </w:r>
          </w:p>
        </w:tc>
      </w:tr>
      <w:tr>
        <w:tblPrEx>
          <w:tblCellMar>
            <w:top w:w="0" w:type="dxa"/>
            <w:left w:w="108" w:type="dxa"/>
            <w:bottom w:w="0" w:type="dxa"/>
            <w:right w:w="108" w:type="dxa"/>
          </w:tblCellMar>
        </w:tblPrEx>
        <w:trPr>
          <w:trHeight w:val="559" w:hRule="atLeast"/>
        </w:trPr>
        <w:tc>
          <w:tcPr>
            <w:tcW w:w="81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81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投标人实力</w:t>
            </w:r>
          </w:p>
        </w:tc>
        <w:tc>
          <w:tcPr>
            <w:tcW w:w="81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7171" w:type="dxa"/>
            <w:tcBorders>
              <w:top w:val="nil"/>
              <w:left w:val="nil"/>
              <w:bottom w:val="nil"/>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根据投标人在行业中的综合实力（含市场知名度、商业信誉、履约能力、获得荣誉等）情况，综合评分：</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一档（5-4.1分）：市场知名度高、商业信誉良好、履约能力强、荣誉多；</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二档（4-2.1分）：市场知名度较高、商业信誉良好、履约能力较强、荣誉较多；</w:t>
            </w:r>
          </w:p>
        </w:tc>
      </w:tr>
      <w:tr>
        <w:tblPrEx>
          <w:tblCellMar>
            <w:top w:w="0" w:type="dxa"/>
            <w:left w:w="108" w:type="dxa"/>
            <w:bottom w:w="0" w:type="dxa"/>
            <w:right w:w="108" w:type="dxa"/>
          </w:tblCellMar>
        </w:tblPrEx>
        <w:trPr>
          <w:trHeight w:val="297"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三档（2-0分）：市场知名度一般、履约能力一般、荣誉少。</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7171" w:type="dxa"/>
            <w:tcBorders>
              <w:top w:val="nil"/>
              <w:left w:val="nil"/>
              <w:bottom w:val="nil"/>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sz w:val="22"/>
                <w:szCs w:val="22"/>
                <w:highlight w:val="none"/>
              </w:rPr>
              <w:t>1.投标人具有在有效期内的质量管理体系认证证书得2分；</w:t>
            </w:r>
          </w:p>
        </w:tc>
      </w:tr>
      <w:tr>
        <w:tblPrEx>
          <w:tblCellMar>
            <w:top w:w="0" w:type="dxa"/>
            <w:left w:w="108" w:type="dxa"/>
            <w:bottom w:w="0" w:type="dxa"/>
            <w:right w:w="108" w:type="dxa"/>
          </w:tblCellMar>
        </w:tblPrEx>
        <w:trPr>
          <w:trHeight w:val="26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sz w:val="22"/>
                <w:szCs w:val="22"/>
                <w:highlight w:val="none"/>
              </w:rPr>
              <w:t>2.投标人具有在有效期内的环境管理体系认证证书得2分；</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sz w:val="22"/>
                <w:szCs w:val="22"/>
                <w:highlight w:val="none"/>
              </w:rPr>
              <w:t>3.投标人具有在有效期内的职业健康管理体系认证证书得2分；</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sz w:val="22"/>
                <w:szCs w:val="22"/>
                <w:highlight w:val="none"/>
              </w:rPr>
              <w:t>4.投标人具有在有效期内的信息安全管理体系认证证书得2分；</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pStyle w:val="3"/>
              <w:ind w:firstLine="0" w:firstLineChars="0"/>
              <w:rPr>
                <w:rFonts w:ascii="宋体" w:hAnsi="宋体" w:cs="宋体"/>
                <w:color w:val="auto"/>
                <w:kern w:val="0"/>
                <w:sz w:val="22"/>
                <w:szCs w:val="22"/>
                <w:highlight w:val="none"/>
              </w:rPr>
            </w:pPr>
            <w:r>
              <w:rPr>
                <w:rFonts w:hint="eastAsia" w:ascii="宋体" w:hAnsi="宋体" w:cs="宋体"/>
                <w:color w:val="auto"/>
                <w:sz w:val="22"/>
                <w:szCs w:val="22"/>
                <w:highlight w:val="none"/>
              </w:rPr>
              <w:t>5.投标人具有在有效期内的信息技术服务管理体系认证证书得2分；</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rPr>
                <w:rFonts w:ascii="宋体" w:hAnsi="宋体" w:cs="宋体"/>
                <w:color w:val="auto"/>
                <w:kern w:val="0"/>
                <w:sz w:val="22"/>
                <w:szCs w:val="22"/>
                <w:highlight w:val="none"/>
              </w:rPr>
            </w:pPr>
            <w:r>
              <w:rPr>
                <w:rFonts w:hint="eastAsia" w:ascii="宋体" w:hAnsi="宋体" w:cs="宋体"/>
                <w:color w:val="auto"/>
                <w:sz w:val="22"/>
                <w:szCs w:val="22"/>
                <w:highlight w:val="none"/>
              </w:rPr>
              <w:t>6.</w:t>
            </w:r>
            <w:r>
              <w:rPr>
                <w:rFonts w:hint="eastAsia" w:ascii="宋体" w:hAnsi="宋体" w:cs="宋体"/>
                <w:color w:val="auto"/>
                <w:kern w:val="0"/>
                <w:sz w:val="22"/>
                <w:szCs w:val="22"/>
                <w:highlight w:val="none"/>
              </w:rPr>
              <w:t>投标人具备CMMI3及以上证书的得2分;</w:t>
            </w:r>
          </w:p>
        </w:tc>
      </w:tr>
      <w:tr>
        <w:tblPrEx>
          <w:tblCellMar>
            <w:top w:w="0" w:type="dxa"/>
            <w:left w:w="108" w:type="dxa"/>
            <w:bottom w:w="0" w:type="dxa"/>
            <w:right w:w="108" w:type="dxa"/>
          </w:tblCellMar>
        </w:tblPrEx>
        <w:trPr>
          <w:trHeight w:val="297"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注:以上证书提供证书扫描件加盖公章，不提供不得分。</w:t>
            </w:r>
          </w:p>
        </w:tc>
      </w:tr>
      <w:tr>
        <w:tblPrEx>
          <w:tblCellMar>
            <w:top w:w="0" w:type="dxa"/>
            <w:left w:w="108" w:type="dxa"/>
            <w:bottom w:w="0" w:type="dxa"/>
            <w:right w:w="108" w:type="dxa"/>
          </w:tblCellMar>
        </w:tblPrEx>
        <w:trPr>
          <w:trHeight w:val="540" w:hRule="atLeast"/>
        </w:trPr>
        <w:tc>
          <w:tcPr>
            <w:tcW w:w="81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81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针对本项目的方案</w:t>
            </w:r>
          </w:p>
        </w:tc>
        <w:tc>
          <w:tcPr>
            <w:tcW w:w="81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7171" w:type="dxa"/>
            <w:tcBorders>
              <w:top w:val="single" w:color="000000" w:sz="8" w:space="0"/>
              <w:left w:val="nil"/>
              <w:bottom w:val="nil"/>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根据投标人对</w:t>
            </w:r>
            <w:r>
              <w:rPr>
                <w:rFonts w:hint="eastAsia" w:ascii="宋体" w:hAnsi="宋体" w:cs="宋体"/>
                <w:color w:val="auto"/>
                <w:kern w:val="0"/>
                <w:sz w:val="22"/>
                <w:szCs w:val="22"/>
                <w:highlight w:val="none"/>
              </w:rPr>
              <w:t>智慧交通综合执法分平台</w:t>
            </w:r>
            <w:r>
              <w:rPr>
                <w:rFonts w:hint="eastAsia" w:ascii="宋体" w:hAnsi="宋体" w:cs="宋体"/>
                <w:color w:val="auto"/>
                <w:kern w:val="0"/>
                <w:sz w:val="22"/>
                <w:szCs w:val="22"/>
                <w:highlight w:val="none"/>
              </w:rPr>
              <w:t>项目的理解（含背景、现状、存在问题等）情况，综合比较打分：</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一档（4-3.1分）：理解全面、准确；</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二档（3-2.1分）：理解较为全面；</w:t>
            </w:r>
          </w:p>
        </w:tc>
      </w:tr>
      <w:tr>
        <w:tblPrEx>
          <w:tblCellMar>
            <w:top w:w="0" w:type="dxa"/>
            <w:left w:w="108" w:type="dxa"/>
            <w:bottom w:w="0" w:type="dxa"/>
            <w:right w:w="108" w:type="dxa"/>
          </w:tblCellMar>
        </w:tblPrEx>
        <w:trPr>
          <w:trHeight w:val="297"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三档（2-0分）：理解不全面。</w:t>
            </w:r>
          </w:p>
        </w:tc>
      </w:tr>
      <w:tr>
        <w:tblPrEx>
          <w:tblCellMar>
            <w:top w:w="0" w:type="dxa"/>
            <w:left w:w="108" w:type="dxa"/>
            <w:bottom w:w="0" w:type="dxa"/>
            <w:right w:w="108" w:type="dxa"/>
          </w:tblCellMar>
        </w:tblPrEx>
        <w:trPr>
          <w:trHeight w:val="559"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根据投标人对</w:t>
            </w:r>
            <w:r>
              <w:rPr>
                <w:rFonts w:hint="eastAsia" w:ascii="宋体" w:hAnsi="宋体" w:cs="宋体"/>
                <w:color w:val="auto"/>
                <w:kern w:val="0"/>
                <w:sz w:val="22"/>
                <w:szCs w:val="22"/>
                <w:highlight w:val="none"/>
              </w:rPr>
              <w:t>智慧交通综合执法分平台</w:t>
            </w:r>
            <w:r>
              <w:rPr>
                <w:rFonts w:hint="eastAsia" w:ascii="宋体" w:hAnsi="宋体" w:cs="宋体"/>
                <w:color w:val="auto"/>
                <w:kern w:val="0"/>
                <w:sz w:val="22"/>
                <w:szCs w:val="22"/>
                <w:highlight w:val="none"/>
              </w:rPr>
              <w:t>项目设计方案（项目整体设计方案、技术架构、技术路线等），综合比较打分：</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一档（4-3.1分）：设计方案先进、合理、技术可靠；</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二档（3-2.1分）：设计方案基本合理、技术可靠；</w:t>
            </w:r>
          </w:p>
        </w:tc>
      </w:tr>
      <w:tr>
        <w:tblPrEx>
          <w:tblCellMar>
            <w:top w:w="0" w:type="dxa"/>
            <w:left w:w="108" w:type="dxa"/>
            <w:bottom w:w="0" w:type="dxa"/>
            <w:right w:w="108" w:type="dxa"/>
          </w:tblCellMar>
        </w:tblPrEx>
        <w:trPr>
          <w:trHeight w:val="297"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三档（2-0分）：设计方案不合理。</w:t>
            </w:r>
          </w:p>
        </w:tc>
      </w:tr>
      <w:tr>
        <w:tblPrEx>
          <w:tblCellMar>
            <w:top w:w="0" w:type="dxa"/>
            <w:left w:w="108" w:type="dxa"/>
            <w:bottom w:w="0" w:type="dxa"/>
            <w:right w:w="108" w:type="dxa"/>
          </w:tblCellMar>
        </w:tblPrEx>
        <w:trPr>
          <w:trHeight w:val="559"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根据投标人提供的</w:t>
            </w:r>
            <w:r>
              <w:rPr>
                <w:rFonts w:hint="eastAsia" w:ascii="宋体" w:hAnsi="宋体" w:cs="宋体"/>
                <w:color w:val="auto"/>
                <w:kern w:val="0"/>
                <w:sz w:val="22"/>
                <w:szCs w:val="22"/>
                <w:highlight w:val="none"/>
              </w:rPr>
              <w:t>智慧交通综合执法分平台</w:t>
            </w:r>
            <w:r>
              <w:rPr>
                <w:rFonts w:hint="eastAsia" w:ascii="宋体" w:hAnsi="宋体" w:cs="宋体"/>
                <w:color w:val="auto"/>
                <w:kern w:val="0"/>
                <w:sz w:val="22"/>
                <w:szCs w:val="22"/>
                <w:highlight w:val="none"/>
              </w:rPr>
              <w:t>项目具体实施方案（含质量、服务及承诺等）情况，综合比较打分：</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一档（4-3.1分分）：具体实施方案科学、合理、可行；</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二档（3-2.1分）：具体实施方案基本合理、可行；</w:t>
            </w:r>
          </w:p>
        </w:tc>
      </w:tr>
      <w:tr>
        <w:tblPrEx>
          <w:tblCellMar>
            <w:top w:w="0" w:type="dxa"/>
            <w:left w:w="108" w:type="dxa"/>
            <w:bottom w:w="0" w:type="dxa"/>
            <w:right w:w="108" w:type="dxa"/>
          </w:tblCellMar>
        </w:tblPrEx>
        <w:trPr>
          <w:trHeight w:val="297"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三档（2-0分）：具体实施方案不合理。</w:t>
            </w:r>
          </w:p>
        </w:tc>
      </w:tr>
      <w:tr>
        <w:tblPrEx>
          <w:tblCellMar>
            <w:top w:w="0" w:type="dxa"/>
            <w:left w:w="108" w:type="dxa"/>
            <w:bottom w:w="0" w:type="dxa"/>
            <w:right w:w="108" w:type="dxa"/>
          </w:tblCellMar>
        </w:tblPrEx>
        <w:trPr>
          <w:trHeight w:val="559"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7171" w:type="dxa"/>
            <w:tcBorders>
              <w:top w:val="nil"/>
              <w:left w:val="nil"/>
              <w:bottom w:val="nil"/>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根据投标人对</w:t>
            </w:r>
            <w:r>
              <w:rPr>
                <w:rFonts w:hint="eastAsia" w:ascii="宋体" w:hAnsi="宋体" w:cs="宋体"/>
                <w:color w:val="auto"/>
                <w:kern w:val="0"/>
                <w:sz w:val="22"/>
                <w:szCs w:val="22"/>
                <w:highlight w:val="none"/>
              </w:rPr>
              <w:t>交通执法数字化监管</w:t>
            </w:r>
            <w:r>
              <w:rPr>
                <w:rFonts w:hint="eastAsia" w:ascii="宋体" w:hAnsi="宋体" w:cs="宋体"/>
                <w:color w:val="auto"/>
                <w:kern w:val="0"/>
                <w:sz w:val="22"/>
                <w:szCs w:val="22"/>
                <w:highlight w:val="none"/>
              </w:rPr>
              <w:t>项目的理解（含背景、现状、存在问题等）情况，综合比较打分：</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一档（4-3.1分）：理解全面、准确；</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二档（3-2.1分）：理解较为全面；</w:t>
            </w:r>
          </w:p>
        </w:tc>
      </w:tr>
      <w:tr>
        <w:tblPrEx>
          <w:tblCellMar>
            <w:top w:w="0" w:type="dxa"/>
            <w:left w:w="108" w:type="dxa"/>
            <w:bottom w:w="0" w:type="dxa"/>
            <w:right w:w="108" w:type="dxa"/>
          </w:tblCellMar>
        </w:tblPrEx>
        <w:trPr>
          <w:trHeight w:val="297"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三档（4-0分）：理解不全面。</w:t>
            </w:r>
          </w:p>
        </w:tc>
      </w:tr>
      <w:tr>
        <w:tblPrEx>
          <w:tblCellMar>
            <w:top w:w="0" w:type="dxa"/>
            <w:left w:w="108" w:type="dxa"/>
            <w:bottom w:w="0" w:type="dxa"/>
            <w:right w:w="108" w:type="dxa"/>
          </w:tblCellMar>
        </w:tblPrEx>
        <w:trPr>
          <w:trHeight w:val="559"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根据投标人对</w:t>
            </w:r>
            <w:r>
              <w:rPr>
                <w:rFonts w:hint="eastAsia" w:ascii="宋体" w:hAnsi="宋体" w:cs="宋体"/>
                <w:color w:val="auto"/>
                <w:kern w:val="0"/>
                <w:sz w:val="22"/>
                <w:szCs w:val="22"/>
                <w:highlight w:val="none"/>
              </w:rPr>
              <w:t>交通执法数字化监管</w:t>
            </w:r>
            <w:r>
              <w:rPr>
                <w:rFonts w:hint="eastAsia" w:ascii="宋体" w:hAnsi="宋体" w:cs="宋体"/>
                <w:color w:val="auto"/>
                <w:kern w:val="0"/>
                <w:sz w:val="22"/>
                <w:szCs w:val="22"/>
                <w:highlight w:val="none"/>
              </w:rPr>
              <w:t>项目设计方案（项目整体设计方案、技术架构、技术路线等），综合比较打分：</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一档（4-3.1分）：设计方案先进、合理、技术可靠；</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二档（3-2.1分）：设计方案基本合理、技术可靠；</w:t>
            </w:r>
          </w:p>
        </w:tc>
      </w:tr>
      <w:tr>
        <w:tblPrEx>
          <w:tblCellMar>
            <w:top w:w="0" w:type="dxa"/>
            <w:left w:w="108" w:type="dxa"/>
            <w:bottom w:w="0" w:type="dxa"/>
            <w:right w:w="108" w:type="dxa"/>
          </w:tblCellMar>
        </w:tblPrEx>
        <w:trPr>
          <w:trHeight w:val="297"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三档（2-0分）：设计方案不合理。</w:t>
            </w:r>
          </w:p>
        </w:tc>
      </w:tr>
      <w:tr>
        <w:tblPrEx>
          <w:tblCellMar>
            <w:top w:w="0" w:type="dxa"/>
            <w:left w:w="108" w:type="dxa"/>
            <w:bottom w:w="0" w:type="dxa"/>
            <w:right w:w="108" w:type="dxa"/>
          </w:tblCellMar>
        </w:tblPrEx>
        <w:trPr>
          <w:trHeight w:val="559"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根据投标人提供的</w:t>
            </w:r>
            <w:r>
              <w:rPr>
                <w:rFonts w:hint="eastAsia" w:ascii="宋体" w:hAnsi="宋体" w:cs="宋体"/>
                <w:color w:val="auto"/>
                <w:kern w:val="0"/>
                <w:sz w:val="22"/>
                <w:szCs w:val="22"/>
                <w:highlight w:val="none"/>
              </w:rPr>
              <w:t>交通执法数字化监管</w:t>
            </w:r>
            <w:r>
              <w:rPr>
                <w:rFonts w:hint="eastAsia" w:ascii="宋体" w:hAnsi="宋体" w:cs="宋体"/>
                <w:color w:val="auto"/>
                <w:kern w:val="0"/>
                <w:sz w:val="22"/>
                <w:szCs w:val="22"/>
                <w:highlight w:val="none"/>
              </w:rPr>
              <w:t>项目具体实施方案（含质量、服务及承诺等）情况，综合比较打分：</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一档（4-3.1分）：具体实施方案科学、合理、可行；</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二档（3-2.1分）：具体实施方案基本合理、可行；</w:t>
            </w:r>
          </w:p>
        </w:tc>
      </w:tr>
      <w:tr>
        <w:tblPrEx>
          <w:tblCellMar>
            <w:top w:w="0" w:type="dxa"/>
            <w:left w:w="108" w:type="dxa"/>
            <w:bottom w:w="0" w:type="dxa"/>
            <w:right w:w="108" w:type="dxa"/>
          </w:tblCellMar>
        </w:tblPrEx>
        <w:trPr>
          <w:trHeight w:val="297"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三档（2-0分）：具体实施方案不合理。</w:t>
            </w:r>
          </w:p>
        </w:tc>
      </w:tr>
      <w:tr>
        <w:tblPrEx>
          <w:tblCellMar>
            <w:top w:w="0" w:type="dxa"/>
            <w:left w:w="108" w:type="dxa"/>
            <w:bottom w:w="0" w:type="dxa"/>
            <w:right w:w="108" w:type="dxa"/>
          </w:tblCellMar>
        </w:tblPrEx>
        <w:trPr>
          <w:trHeight w:val="559"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7171" w:type="dxa"/>
            <w:tcBorders>
              <w:top w:val="nil"/>
              <w:left w:val="nil"/>
              <w:bottom w:val="nil"/>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根据投标人对</w:t>
            </w:r>
            <w:r>
              <w:rPr>
                <w:rFonts w:hint="eastAsia" w:ascii="宋体" w:hAnsi="宋体" w:cs="宋体"/>
                <w:color w:val="auto"/>
                <w:kern w:val="0"/>
                <w:sz w:val="22"/>
                <w:szCs w:val="22"/>
                <w:highlight w:val="none"/>
              </w:rPr>
              <w:t>瓯江数字航道服务与管理平台</w:t>
            </w:r>
            <w:r>
              <w:rPr>
                <w:rFonts w:hint="eastAsia" w:ascii="宋体" w:hAnsi="宋体" w:cs="宋体"/>
                <w:color w:val="auto"/>
                <w:kern w:val="0"/>
                <w:sz w:val="22"/>
                <w:szCs w:val="22"/>
                <w:highlight w:val="none"/>
              </w:rPr>
              <w:t>项目的理解（含背景、现状、存在问题等）情况，综合比较打分：</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一档（4-3.1分）：理解全面、准确；</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二档（3-2.1分）：理解较为全面；</w:t>
            </w:r>
          </w:p>
        </w:tc>
      </w:tr>
      <w:tr>
        <w:tblPrEx>
          <w:tblCellMar>
            <w:top w:w="0" w:type="dxa"/>
            <w:left w:w="108" w:type="dxa"/>
            <w:bottom w:w="0" w:type="dxa"/>
            <w:right w:w="108" w:type="dxa"/>
          </w:tblCellMar>
        </w:tblPrEx>
        <w:trPr>
          <w:trHeight w:val="297"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三档（2-0分）：理解不全面。</w:t>
            </w:r>
          </w:p>
        </w:tc>
      </w:tr>
      <w:tr>
        <w:tblPrEx>
          <w:tblCellMar>
            <w:top w:w="0" w:type="dxa"/>
            <w:left w:w="108" w:type="dxa"/>
            <w:bottom w:w="0" w:type="dxa"/>
            <w:right w:w="108" w:type="dxa"/>
          </w:tblCellMar>
        </w:tblPrEx>
        <w:trPr>
          <w:trHeight w:val="559"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根据投标人对</w:t>
            </w:r>
            <w:r>
              <w:rPr>
                <w:rFonts w:hint="eastAsia" w:ascii="宋体" w:hAnsi="宋体" w:cs="宋体"/>
                <w:color w:val="auto"/>
                <w:kern w:val="0"/>
                <w:sz w:val="22"/>
                <w:szCs w:val="22"/>
                <w:highlight w:val="none"/>
              </w:rPr>
              <w:t>瓯江数字航道服务与管理平台</w:t>
            </w:r>
            <w:r>
              <w:rPr>
                <w:rFonts w:hint="eastAsia" w:ascii="宋体" w:hAnsi="宋体" w:cs="宋体"/>
                <w:color w:val="auto"/>
                <w:kern w:val="0"/>
                <w:sz w:val="22"/>
                <w:szCs w:val="22"/>
                <w:highlight w:val="none"/>
              </w:rPr>
              <w:t>项目设计方案（项目整体设计方案、技术架构、技术路线等），综合比较打分：</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一档（4-3.1分）：设计方案先进、合理、技术可靠；</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二档（3-2.1分）：设计方案基本合理、技术可靠；</w:t>
            </w:r>
          </w:p>
        </w:tc>
      </w:tr>
      <w:tr>
        <w:tblPrEx>
          <w:tblCellMar>
            <w:top w:w="0" w:type="dxa"/>
            <w:left w:w="108" w:type="dxa"/>
            <w:bottom w:w="0" w:type="dxa"/>
            <w:right w:w="108" w:type="dxa"/>
          </w:tblCellMar>
        </w:tblPrEx>
        <w:trPr>
          <w:trHeight w:val="297"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三档（2-0分）：设计方案不合理。</w:t>
            </w:r>
          </w:p>
        </w:tc>
      </w:tr>
      <w:tr>
        <w:tblPrEx>
          <w:tblCellMar>
            <w:top w:w="0" w:type="dxa"/>
            <w:left w:w="108" w:type="dxa"/>
            <w:bottom w:w="0" w:type="dxa"/>
            <w:right w:w="108" w:type="dxa"/>
          </w:tblCellMar>
        </w:tblPrEx>
        <w:trPr>
          <w:trHeight w:val="559"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根据投标人提供的</w:t>
            </w:r>
            <w:r>
              <w:rPr>
                <w:rFonts w:hint="eastAsia" w:ascii="宋体" w:hAnsi="宋体" w:cs="宋体"/>
                <w:color w:val="auto"/>
                <w:kern w:val="0"/>
                <w:sz w:val="22"/>
                <w:szCs w:val="22"/>
                <w:highlight w:val="none"/>
              </w:rPr>
              <w:t>瓯江数字航道服务与管理平台</w:t>
            </w:r>
            <w:r>
              <w:rPr>
                <w:rFonts w:hint="eastAsia" w:ascii="宋体" w:hAnsi="宋体" w:cs="宋体"/>
                <w:color w:val="auto"/>
                <w:kern w:val="0"/>
                <w:sz w:val="22"/>
                <w:szCs w:val="22"/>
                <w:highlight w:val="none"/>
              </w:rPr>
              <w:t>项目具体实施方案（含质量、服务及承诺等）情况，综合比较打分：</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一档（4-3.1分分）：具体实施方案科学、合理、可行；</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二档（3-2.1分）：具体实施方案基本合理、可行；</w:t>
            </w:r>
          </w:p>
        </w:tc>
      </w:tr>
      <w:tr>
        <w:tblPrEx>
          <w:tblCellMar>
            <w:top w:w="0" w:type="dxa"/>
            <w:left w:w="108" w:type="dxa"/>
            <w:bottom w:w="0" w:type="dxa"/>
            <w:right w:w="108" w:type="dxa"/>
          </w:tblCellMar>
        </w:tblPrEx>
        <w:trPr>
          <w:trHeight w:val="297"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三档（2-0分）：具体实施方案不合理。</w:t>
            </w:r>
          </w:p>
        </w:tc>
      </w:tr>
      <w:tr>
        <w:tblPrEx>
          <w:tblCellMar>
            <w:top w:w="0" w:type="dxa"/>
            <w:left w:w="108" w:type="dxa"/>
            <w:bottom w:w="0" w:type="dxa"/>
            <w:right w:w="108" w:type="dxa"/>
          </w:tblCellMar>
        </w:tblPrEx>
        <w:trPr>
          <w:trHeight w:val="855" w:hRule="atLeast"/>
        </w:trPr>
        <w:tc>
          <w:tcPr>
            <w:tcW w:w="815"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8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项目管理实施方案</w:t>
            </w:r>
          </w:p>
        </w:tc>
        <w:tc>
          <w:tcPr>
            <w:tcW w:w="816"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7171"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提供的项目管理实施方案中关于项目组织的运作方式、项目管理目标、项目实施的组织结构、项目的管理措施、协调方法、实施流程、实施进度详细的描述，进行综合打分（0-3分）。</w:t>
            </w:r>
          </w:p>
        </w:tc>
      </w:tr>
      <w:tr>
        <w:tblPrEx>
          <w:tblCellMar>
            <w:top w:w="0" w:type="dxa"/>
            <w:left w:w="108" w:type="dxa"/>
            <w:bottom w:w="0" w:type="dxa"/>
            <w:right w:w="108" w:type="dxa"/>
          </w:tblCellMar>
        </w:tblPrEx>
        <w:trPr>
          <w:trHeight w:val="574" w:hRule="atLeast"/>
        </w:trPr>
        <w:tc>
          <w:tcPr>
            <w:tcW w:w="815"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816"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同类项目业绩</w:t>
            </w:r>
          </w:p>
        </w:tc>
        <w:tc>
          <w:tcPr>
            <w:tcW w:w="816"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717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投标人2019年1月以来有同类项目业绩的，每个得1分，最多得2分。</w:t>
            </w:r>
          </w:p>
        </w:tc>
      </w:tr>
      <w:tr>
        <w:tblPrEx>
          <w:tblCellMar>
            <w:top w:w="0" w:type="dxa"/>
            <w:left w:w="108" w:type="dxa"/>
            <w:bottom w:w="0" w:type="dxa"/>
            <w:right w:w="108" w:type="dxa"/>
          </w:tblCellMar>
        </w:tblPrEx>
        <w:trPr>
          <w:trHeight w:val="559" w:hRule="atLeast"/>
        </w:trPr>
        <w:tc>
          <w:tcPr>
            <w:tcW w:w="81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81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技术服务及力量保障</w:t>
            </w:r>
          </w:p>
        </w:tc>
        <w:tc>
          <w:tcPr>
            <w:tcW w:w="81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7171" w:type="dxa"/>
            <w:tcBorders>
              <w:top w:val="nil"/>
              <w:left w:val="nil"/>
              <w:bottom w:val="nil"/>
              <w:right w:val="single" w:color="000000" w:sz="8" w:space="0"/>
            </w:tcBorders>
            <w:shd w:val="clear" w:color="000000" w:fill="FFFFFF"/>
            <w:vAlign w:val="center"/>
          </w:tcPr>
          <w:p>
            <w:pPr>
              <w:widowControl/>
              <w:numPr>
                <w:ilvl w:val="0"/>
                <w:numId w:val="45"/>
              </w:numPr>
              <w:jc w:val="left"/>
              <w:rPr>
                <w:rFonts w:ascii="宋体" w:hAnsi="宋体" w:cs="宋体"/>
                <w:color w:val="auto"/>
                <w:kern w:val="0"/>
                <w:sz w:val="22"/>
                <w:szCs w:val="22"/>
                <w:highlight w:val="none"/>
              </w:rPr>
            </w:pPr>
            <w:r>
              <w:rPr>
                <w:rFonts w:hint="eastAsia" w:ascii="宋体" w:hAnsi="宋体" w:cs="宋体"/>
                <w:color w:val="auto"/>
                <w:sz w:val="22"/>
                <w:szCs w:val="22"/>
                <w:highlight w:val="none"/>
              </w:rPr>
              <w:t>投标人拟派本项目的项目负责人（一名）具有一级建造师（机电工程）</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信息系统项目管理师证书</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HCIE或CCIE或H3CIE证书、RHCA证书</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每具备一种证书得1分，本项最高得4分；</w:t>
            </w:r>
          </w:p>
        </w:tc>
      </w:tr>
      <w:tr>
        <w:tblPrEx>
          <w:tblCellMar>
            <w:top w:w="0" w:type="dxa"/>
            <w:left w:w="108" w:type="dxa"/>
            <w:bottom w:w="0" w:type="dxa"/>
            <w:right w:w="108" w:type="dxa"/>
          </w:tblCellMar>
        </w:tblPrEx>
        <w:trPr>
          <w:trHeight w:val="840"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numPr>
                <w:ilvl w:val="0"/>
                <w:numId w:val="45"/>
              </w:numPr>
              <w:jc w:val="left"/>
              <w:rPr>
                <w:rFonts w:ascii="宋体" w:hAnsi="宋体" w:cs="宋体"/>
                <w:color w:val="auto"/>
                <w:kern w:val="0"/>
                <w:sz w:val="22"/>
                <w:szCs w:val="22"/>
                <w:highlight w:val="none"/>
              </w:rPr>
            </w:pPr>
            <w:r>
              <w:rPr>
                <w:rFonts w:hint="eastAsia" w:ascii="宋体" w:hAnsi="宋体" w:cs="宋体"/>
                <w:color w:val="auto"/>
                <w:sz w:val="22"/>
                <w:szCs w:val="22"/>
                <w:highlight w:val="none"/>
              </w:rPr>
              <w:t>投标人拟派本项目的项目技术负责人（一名）具有Oracle OCP证书、中级软件设计师、PMP证书，每具备一种证书得1分，本项最高得3分。</w:t>
            </w:r>
          </w:p>
        </w:tc>
      </w:tr>
      <w:tr>
        <w:tblPrEx>
          <w:tblCellMar>
            <w:top w:w="0" w:type="dxa"/>
            <w:left w:w="108" w:type="dxa"/>
            <w:bottom w:w="0" w:type="dxa"/>
            <w:right w:w="108" w:type="dxa"/>
          </w:tblCellMar>
        </w:tblPrEx>
        <w:trPr>
          <w:trHeight w:val="90"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pStyle w:val="2"/>
              <w:numPr>
                <w:ilvl w:val="0"/>
                <w:numId w:val="45"/>
              </w:numPr>
              <w:rPr>
                <w:rFonts w:ascii="宋体" w:hAnsi="宋体" w:cs="宋体"/>
                <w:color w:val="auto"/>
                <w:kern w:val="0"/>
                <w:sz w:val="22"/>
                <w:szCs w:val="22"/>
                <w:highlight w:val="none"/>
              </w:rPr>
            </w:pPr>
            <w:r>
              <w:rPr>
                <w:rFonts w:hint="eastAsia" w:ascii="宋体" w:hAnsi="宋体" w:cs="宋体"/>
                <w:color w:val="auto"/>
                <w:sz w:val="22"/>
                <w:szCs w:val="22"/>
                <w:highlight w:val="none"/>
              </w:rPr>
              <w:t>投标人拟派本项目的项目安全负责人（一名）具有人力资源和社会保障部颁发的信息安全中级及以上证书、CISSP (ISC)²证书（注册信息系统安全专家证书）、CDPSE证书（数据隐私解决方案工程师证书），每具备一种证书得1分，本项最高得3分。</w:t>
            </w:r>
          </w:p>
        </w:tc>
      </w:tr>
      <w:tr>
        <w:tblPrEx>
          <w:tblCellMar>
            <w:top w:w="0" w:type="dxa"/>
            <w:left w:w="108" w:type="dxa"/>
            <w:bottom w:w="0" w:type="dxa"/>
            <w:right w:w="108" w:type="dxa"/>
          </w:tblCellMar>
        </w:tblPrEx>
        <w:trPr>
          <w:trHeight w:val="784"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sz w:val="22"/>
                <w:szCs w:val="22"/>
                <w:highlight w:val="none"/>
              </w:rPr>
              <w:t>4.项目组成员（除项目负责人、技术负责人、安全负责人外）具备项目管理认证或网络工程师认证证书每个得1分，最多4分，证书可累计得分。</w:t>
            </w:r>
          </w:p>
        </w:tc>
      </w:tr>
      <w:tr>
        <w:tblPrEx>
          <w:tblCellMar>
            <w:top w:w="0" w:type="dxa"/>
            <w:left w:w="108" w:type="dxa"/>
            <w:bottom w:w="0" w:type="dxa"/>
            <w:right w:w="108" w:type="dxa"/>
          </w:tblCellMar>
        </w:tblPrEx>
        <w:trPr>
          <w:trHeight w:val="855"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注：所有持证人员须提供相关证书和社保证明，复印件并加盖公章，未提供上述资料的不得分。（服务人员社保证明以社保部门出具的近6个月在投标单位的参保证明为准，社保缴纳单位应与</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名称一致，否则不得分）</w:t>
            </w:r>
          </w:p>
        </w:tc>
      </w:tr>
      <w:tr>
        <w:tblPrEx>
          <w:tblCellMar>
            <w:top w:w="0" w:type="dxa"/>
            <w:left w:w="108" w:type="dxa"/>
            <w:bottom w:w="0" w:type="dxa"/>
            <w:right w:w="108" w:type="dxa"/>
          </w:tblCellMar>
        </w:tblPrEx>
        <w:trPr>
          <w:trHeight w:val="855" w:hRule="atLeast"/>
        </w:trPr>
        <w:tc>
          <w:tcPr>
            <w:tcW w:w="815"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8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培训方案</w:t>
            </w:r>
          </w:p>
        </w:tc>
        <w:tc>
          <w:tcPr>
            <w:tcW w:w="816"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717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对培训计划（包括培训内容、时间、地点、人次；系统培训，重点培训为维护、调试、配置及使用技能；业务人员培训，重点对相应应用的操作、使用）的详细程度、合理性和可行性，综合评价（0-3分）。</w:t>
            </w:r>
          </w:p>
        </w:tc>
      </w:tr>
      <w:tr>
        <w:tblPrEx>
          <w:tblCellMar>
            <w:top w:w="0" w:type="dxa"/>
            <w:left w:w="108" w:type="dxa"/>
            <w:bottom w:w="0" w:type="dxa"/>
            <w:right w:w="108" w:type="dxa"/>
          </w:tblCellMar>
        </w:tblPrEx>
        <w:trPr>
          <w:trHeight w:val="574" w:hRule="atLeast"/>
        </w:trPr>
        <w:tc>
          <w:tcPr>
            <w:tcW w:w="815"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7</w:t>
            </w:r>
          </w:p>
        </w:tc>
        <w:tc>
          <w:tcPr>
            <w:tcW w:w="8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本地化服务</w:t>
            </w:r>
          </w:p>
        </w:tc>
        <w:tc>
          <w:tcPr>
            <w:tcW w:w="816"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7171"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根据本地化服务机构情况及本地化服务人员情况，综合评价（0-2分）。</w:t>
            </w:r>
          </w:p>
        </w:tc>
      </w:tr>
      <w:tr>
        <w:tblPrEx>
          <w:tblCellMar>
            <w:top w:w="0" w:type="dxa"/>
            <w:left w:w="108" w:type="dxa"/>
            <w:bottom w:w="0" w:type="dxa"/>
            <w:right w:w="108" w:type="dxa"/>
          </w:tblCellMar>
        </w:tblPrEx>
        <w:trPr>
          <w:trHeight w:val="574" w:hRule="atLeast"/>
        </w:trPr>
        <w:tc>
          <w:tcPr>
            <w:tcW w:w="815"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8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售后服务方案</w:t>
            </w:r>
          </w:p>
        </w:tc>
        <w:tc>
          <w:tcPr>
            <w:tcW w:w="8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7171"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根据售后服务承诺的范围和完善程度，包括售后服务标准、售后运营团队配比、服务支撑及应急方案等进行综合打分（0-3分）。</w:t>
            </w:r>
          </w:p>
        </w:tc>
      </w:tr>
    </w:tbl>
    <w:p>
      <w:pPr>
        <w:pStyle w:val="2"/>
        <w:rPr>
          <w:color w:val="auto"/>
          <w:highlight w:val="none"/>
        </w:rPr>
      </w:pPr>
    </w:p>
    <w:p>
      <w:pPr>
        <w:spacing w:line="400" w:lineRule="exact"/>
        <w:rPr>
          <w:rFonts w:ascii="宋体" w:hAnsi="宋体" w:cs="Arial"/>
          <w:color w:val="auto"/>
          <w:sz w:val="22"/>
          <w:highlight w:val="none"/>
        </w:rPr>
      </w:pPr>
      <w:r>
        <w:rPr>
          <w:rFonts w:hint="eastAsia" w:ascii="宋体" w:hAnsi="宋体" w:cs="Arial"/>
          <w:color w:val="auto"/>
          <w:sz w:val="22"/>
          <w:highlight w:val="none"/>
        </w:rPr>
        <w:t>2、</w:t>
      </w:r>
      <w:r>
        <w:rPr>
          <w:rFonts w:hint="eastAsia" w:ascii="宋体" w:hAnsi="宋体" w:cs="Arial"/>
          <w:b/>
          <w:color w:val="auto"/>
          <w:sz w:val="22"/>
          <w:highlight w:val="none"/>
        </w:rPr>
        <w:t>商务评分（20分）</w:t>
      </w:r>
      <w:r>
        <w:rPr>
          <w:rFonts w:hint="eastAsia" w:ascii="宋体" w:hAnsi="宋体" w:cs="Arial"/>
          <w:color w:val="auto"/>
          <w:sz w:val="22"/>
          <w:highlight w:val="none"/>
        </w:rPr>
        <w:t>：</w:t>
      </w:r>
    </w:p>
    <w:p>
      <w:pPr>
        <w:spacing w:line="400" w:lineRule="exact"/>
        <w:ind w:left="328" w:leftChars="156"/>
        <w:rPr>
          <w:rFonts w:ascii="宋体" w:hAnsi="宋体" w:cs="Arial"/>
          <w:color w:val="auto"/>
          <w:sz w:val="22"/>
          <w:highlight w:val="none"/>
        </w:rPr>
      </w:pPr>
      <w:r>
        <w:rPr>
          <w:rFonts w:hint="eastAsia" w:ascii="宋体" w:hAnsi="宋体" w:cs="Arial"/>
          <w:color w:val="auto"/>
          <w:sz w:val="22"/>
          <w:highlight w:val="none"/>
        </w:rPr>
        <w:t>满足招标文件要求且报价最低的投标报价为评标基准价。</w:t>
      </w:r>
    </w:p>
    <w:p>
      <w:pPr>
        <w:spacing w:line="400" w:lineRule="exact"/>
        <w:ind w:firstLine="330" w:firstLineChars="150"/>
        <w:rPr>
          <w:rFonts w:ascii="宋体" w:hAnsi="宋体" w:cs="Arial"/>
          <w:color w:val="auto"/>
          <w:sz w:val="22"/>
          <w:highlight w:val="none"/>
        </w:rPr>
      </w:pPr>
      <w:r>
        <w:rPr>
          <w:rFonts w:hint="eastAsia" w:ascii="宋体" w:hAnsi="宋体" w:cs="Arial"/>
          <w:color w:val="auto"/>
          <w:sz w:val="22"/>
          <w:highlight w:val="none"/>
        </w:rPr>
        <w:t>1）有效投标人的投标报价等于评标基准价时其商务分为满分20分；</w:t>
      </w:r>
    </w:p>
    <w:p>
      <w:pPr>
        <w:spacing w:line="400" w:lineRule="exact"/>
        <w:ind w:firstLine="330" w:firstLineChars="150"/>
        <w:rPr>
          <w:rFonts w:ascii="宋体" w:hAnsi="宋体" w:cs="Arial"/>
          <w:color w:val="auto"/>
          <w:sz w:val="22"/>
          <w:highlight w:val="none"/>
        </w:rPr>
      </w:pPr>
      <w:r>
        <w:rPr>
          <w:rFonts w:hint="eastAsia" w:ascii="宋体" w:hAnsi="宋体" w:cs="Arial"/>
          <w:color w:val="auto"/>
          <w:sz w:val="22"/>
          <w:highlight w:val="none"/>
        </w:rPr>
        <w:t>2）其他投标人的价格分按以下公式计算：</w:t>
      </w:r>
    </w:p>
    <w:p>
      <w:pPr>
        <w:spacing w:line="400" w:lineRule="exact"/>
        <w:ind w:left="657" w:leftChars="313"/>
        <w:rPr>
          <w:rFonts w:ascii="宋体" w:hAnsi="宋体" w:cs="Arial"/>
          <w:color w:val="auto"/>
          <w:sz w:val="22"/>
          <w:highlight w:val="none"/>
        </w:rPr>
      </w:pPr>
      <w:r>
        <w:rPr>
          <w:rFonts w:hint="eastAsia" w:ascii="宋体" w:hAnsi="宋体" w:cs="Arial"/>
          <w:color w:val="auto"/>
          <w:sz w:val="22"/>
          <w:highlight w:val="none"/>
        </w:rPr>
        <w:t>商务分得分=（评标基准价/投标人投标总价）×20% ×100（四舍五入后保留小数2位）</w:t>
      </w:r>
    </w:p>
    <w:p>
      <w:pPr>
        <w:spacing w:line="400" w:lineRule="exact"/>
        <w:ind w:firstLine="221" w:firstLineChars="100"/>
        <w:rPr>
          <w:rFonts w:ascii="宋体" w:hAnsi="宋体" w:cs="宋体"/>
          <w:b/>
          <w:color w:val="auto"/>
          <w:sz w:val="22"/>
          <w:szCs w:val="22"/>
          <w:highlight w:val="none"/>
        </w:rPr>
      </w:pPr>
      <w:r>
        <w:rPr>
          <w:rFonts w:hint="eastAsia" w:ascii="宋体" w:hAnsi="宋体" w:cs="宋体"/>
          <w:b/>
          <w:color w:val="auto"/>
          <w:sz w:val="22"/>
          <w:szCs w:val="22"/>
          <w:highlight w:val="none"/>
        </w:rPr>
        <w:t>3）本项目为对应的中小企业划分标准所属行业：</w:t>
      </w:r>
      <w:r>
        <w:rPr>
          <w:rFonts w:hint="eastAsia" w:ascii="宋体" w:hAnsi="宋体" w:cs="新宋体"/>
          <w:b/>
          <w:bCs/>
          <w:color w:val="auto"/>
          <w:kern w:val="0"/>
          <w:sz w:val="22"/>
          <w:highlight w:val="none"/>
          <w:u w:val="single"/>
          <w:lang w:val="zh-CN"/>
        </w:rPr>
        <w:t>软件和信息技术服务业</w:t>
      </w:r>
      <w:r>
        <w:rPr>
          <w:rFonts w:hint="eastAsia" w:ascii="宋体" w:hAnsi="宋体" w:cs="宋体"/>
          <w:b/>
          <w:color w:val="auto"/>
          <w:sz w:val="22"/>
          <w:szCs w:val="22"/>
          <w:highlight w:val="none"/>
        </w:rPr>
        <w:t>。对于符合招标文件规定的小、微企业（或监狱企业、残疾人福利单位），</w:t>
      </w:r>
      <w:r>
        <w:rPr>
          <w:rFonts w:hint="eastAsia" w:ascii="宋体" w:hAnsi="宋体" w:cs="宋体"/>
          <w:b/>
          <w:color w:val="auto"/>
          <w:sz w:val="22"/>
          <w:szCs w:val="22"/>
          <w:highlight w:val="none"/>
        </w:rPr>
        <w:t>对其投标报价给予20%的扣除，用扣除后的价格（即价格的 80% ）参与评审。</w:t>
      </w:r>
    </w:p>
    <w:p>
      <w:pPr>
        <w:spacing w:line="400" w:lineRule="exact"/>
        <w:ind w:firstLine="221" w:firstLineChars="100"/>
        <w:rPr>
          <w:rFonts w:ascii="宋体" w:hAnsi="宋体" w:cs="Arial"/>
          <w:color w:val="auto"/>
          <w:sz w:val="22"/>
          <w:highlight w:val="none"/>
        </w:rPr>
      </w:pPr>
      <w:r>
        <w:rPr>
          <w:rFonts w:hint="eastAsia" w:ascii="宋体" w:hAnsi="宋体" w:cs="宋体"/>
          <w:b/>
          <w:color w:val="auto"/>
          <w:sz w:val="22"/>
          <w:szCs w:val="22"/>
          <w:highlight w:val="none"/>
        </w:rPr>
        <w:t>4）对于联合体协议或者分包意向协议约定小微企业合同份额占到合同总金额30%以上的，</w:t>
      </w:r>
      <w:r>
        <w:rPr>
          <w:rFonts w:hint="eastAsia" w:ascii="宋体" w:hAnsi="宋体" w:cs="宋体"/>
          <w:b/>
          <w:color w:val="auto"/>
          <w:sz w:val="22"/>
          <w:szCs w:val="22"/>
          <w:highlight w:val="none"/>
        </w:rPr>
        <w:t>对其投标报价给予6%的扣除，用扣除后的价格（即价格的 94% ）参与评审。</w:t>
      </w:r>
    </w:p>
    <w:p>
      <w:pPr>
        <w:spacing w:line="400" w:lineRule="exact"/>
        <w:rPr>
          <w:rFonts w:ascii="宋体" w:hAnsi="宋体" w:cs="Arial"/>
          <w:color w:val="auto"/>
          <w:sz w:val="22"/>
          <w:highlight w:val="none"/>
        </w:rPr>
      </w:pPr>
      <w:r>
        <w:rPr>
          <w:rFonts w:hint="eastAsia" w:ascii="宋体" w:hAnsi="宋体" w:cs="Arial"/>
          <w:color w:val="auto"/>
          <w:sz w:val="22"/>
          <w:highlight w:val="none"/>
        </w:rPr>
        <w:t xml:space="preserve">  5）</w:t>
      </w:r>
      <w:r>
        <w:rPr>
          <w:rFonts w:hint="eastAsia" w:ascii="宋体" w:hAnsi="宋体"/>
          <w:b/>
          <w:bCs/>
          <w:color w:val="auto"/>
          <w:sz w:val="22"/>
          <w:szCs w:val="22"/>
          <w:highlight w:val="none"/>
        </w:rPr>
        <w:t>▲</w:t>
      </w:r>
      <w:r>
        <w:rPr>
          <w:rFonts w:hint="eastAsia" w:ascii="宋体" w:hAnsi="宋体" w:cs="Arial"/>
          <w:b/>
          <w:color w:val="auto"/>
          <w:sz w:val="22"/>
          <w:szCs w:val="22"/>
          <w:highlight w:val="none"/>
          <w:u w:val="single"/>
        </w:rPr>
        <w:t>本项目</w:t>
      </w:r>
      <w:r>
        <w:rPr>
          <w:rFonts w:hint="eastAsia" w:ascii="宋体" w:hAnsi="宋体" w:cs="Arial"/>
          <w:b/>
          <w:color w:val="auto"/>
          <w:sz w:val="22"/>
          <w:szCs w:val="22"/>
          <w:highlight w:val="none"/>
          <w:u w:val="single"/>
          <w:lang w:val="en-US" w:eastAsia="zh-CN"/>
        </w:rPr>
        <w:t>标项一</w:t>
      </w:r>
      <w:r>
        <w:rPr>
          <w:rFonts w:hint="eastAsia" w:ascii="宋体" w:hAnsi="宋体" w:cs="Arial"/>
          <w:b/>
          <w:color w:val="auto"/>
          <w:sz w:val="22"/>
          <w:szCs w:val="22"/>
          <w:highlight w:val="none"/>
          <w:u w:val="single"/>
        </w:rPr>
        <w:t>采购预算</w:t>
      </w:r>
      <w:r>
        <w:rPr>
          <w:rFonts w:hint="eastAsia" w:ascii="宋体" w:hAnsi="宋体" w:cs="Arial"/>
          <w:b/>
          <w:color w:val="auto"/>
          <w:sz w:val="22"/>
          <w:szCs w:val="22"/>
          <w:highlight w:val="none"/>
          <w:u w:val="single"/>
        </w:rPr>
        <w:t>为311.5万元</w:t>
      </w:r>
      <w:r>
        <w:rPr>
          <w:rFonts w:hint="eastAsia" w:ascii="宋体" w:hAnsi="宋体" w:cs="Arial"/>
          <w:b/>
          <w:color w:val="auto"/>
          <w:sz w:val="22"/>
          <w:szCs w:val="22"/>
          <w:highlight w:val="none"/>
          <w:u w:val="single"/>
        </w:rPr>
        <w:t>，</w:t>
      </w:r>
      <w:r>
        <w:rPr>
          <w:rFonts w:hint="eastAsia" w:ascii="宋体" w:hAnsi="宋体"/>
          <w:b/>
          <w:color w:val="auto"/>
          <w:sz w:val="22"/>
          <w:szCs w:val="22"/>
          <w:highlight w:val="none"/>
          <w:u w:val="single"/>
        </w:rPr>
        <w:t>如投标人报价超过采购预算，其投标文件作无效标处理</w:t>
      </w:r>
      <w:r>
        <w:rPr>
          <w:rFonts w:hint="eastAsia" w:ascii="宋体" w:hAnsi="宋体" w:cs="Arial"/>
          <w:color w:val="auto"/>
          <w:sz w:val="22"/>
          <w:highlight w:val="none"/>
        </w:rPr>
        <w:t>。</w:t>
      </w:r>
    </w:p>
    <w:p>
      <w:pPr>
        <w:spacing w:line="400" w:lineRule="exact"/>
        <w:ind w:firstLine="220" w:firstLineChars="100"/>
        <w:rPr>
          <w:rFonts w:ascii="宋体" w:hAnsi="宋体" w:cs="Arial"/>
          <w:b/>
          <w:color w:val="auto"/>
          <w:sz w:val="22"/>
          <w:szCs w:val="22"/>
          <w:highlight w:val="none"/>
          <w:u w:val="single"/>
        </w:rPr>
      </w:pPr>
      <w:r>
        <w:rPr>
          <w:rFonts w:hint="eastAsia" w:ascii="宋体" w:hAnsi="宋体" w:cs="Arial"/>
          <w:color w:val="auto"/>
          <w:sz w:val="22"/>
          <w:highlight w:val="none"/>
        </w:rPr>
        <w:t>6）</w:t>
      </w:r>
      <w:r>
        <w:rPr>
          <w:rFonts w:hint="eastAsia" w:ascii="宋体" w:hAnsi="宋体" w:cs="Arial"/>
          <w:color w:val="auto"/>
          <w:sz w:val="22"/>
          <w:szCs w:val="22"/>
          <w:highlight w:val="none"/>
        </w:rPr>
        <w:t>所有投标人商务报价均超采购预算，</w:t>
      </w:r>
      <w:r>
        <w:rPr>
          <w:rFonts w:hint="eastAsia" w:ascii="宋体" w:hAnsi="宋体"/>
          <w:color w:val="auto"/>
          <w:sz w:val="22"/>
          <w:szCs w:val="22"/>
          <w:highlight w:val="none"/>
        </w:rPr>
        <w:t>采购人无法支付的,</w:t>
      </w:r>
      <w:r>
        <w:rPr>
          <w:rFonts w:hint="eastAsia" w:ascii="宋体" w:hAnsi="宋体" w:cs="Arial"/>
          <w:color w:val="auto"/>
          <w:sz w:val="22"/>
          <w:szCs w:val="22"/>
          <w:highlight w:val="none"/>
        </w:rPr>
        <w:t>重新组织招标</w:t>
      </w:r>
      <w:r>
        <w:rPr>
          <w:rFonts w:hint="eastAsia" w:ascii="宋体" w:hAnsi="宋体" w:cs="Arial"/>
          <w:color w:val="auto"/>
          <w:sz w:val="22"/>
          <w:highlight w:val="none"/>
        </w:rPr>
        <w:t>。</w:t>
      </w:r>
    </w:p>
    <w:p>
      <w:pPr>
        <w:spacing w:line="400" w:lineRule="exact"/>
        <w:rPr>
          <w:rFonts w:ascii="宋体" w:hAnsi="宋体" w:cs="Arial"/>
          <w:color w:val="auto"/>
          <w:sz w:val="22"/>
          <w:highlight w:val="none"/>
        </w:rPr>
      </w:pPr>
      <w:r>
        <w:rPr>
          <w:rFonts w:hint="eastAsia" w:ascii="宋体" w:hAnsi="宋体" w:cs="Arial"/>
          <w:color w:val="auto"/>
          <w:sz w:val="22"/>
          <w:highlight w:val="none"/>
        </w:rPr>
        <w:t>3、 有效投标人的综合得分为技术资信分和商务（报价）分的总和。</w:t>
      </w:r>
    </w:p>
    <w:p>
      <w:pPr>
        <w:spacing w:line="400" w:lineRule="exact"/>
        <w:rPr>
          <w:rFonts w:ascii="宋体" w:hAnsi="宋体" w:cs="Arial"/>
          <w:b/>
          <w:bCs/>
          <w:color w:val="auto"/>
          <w:sz w:val="22"/>
          <w:highlight w:val="none"/>
        </w:rPr>
      </w:pPr>
      <w:r>
        <w:rPr>
          <w:rFonts w:hint="eastAsia" w:ascii="宋体" w:hAnsi="宋体" w:cs="Arial"/>
          <w:b/>
          <w:bCs/>
          <w:color w:val="auto"/>
          <w:sz w:val="22"/>
          <w:highlight w:val="none"/>
        </w:rPr>
        <w:t>标项二：</w:t>
      </w:r>
    </w:p>
    <w:p>
      <w:pPr>
        <w:spacing w:line="400" w:lineRule="exact"/>
        <w:rPr>
          <w:rFonts w:ascii="宋体" w:hAnsi="宋体" w:cs="Arial"/>
          <w:color w:val="auto"/>
          <w:sz w:val="22"/>
          <w:highlight w:val="none"/>
        </w:rPr>
      </w:pPr>
      <w:r>
        <w:rPr>
          <w:rFonts w:hint="eastAsia" w:ascii="宋体" w:hAnsi="宋体" w:cs="Arial"/>
          <w:color w:val="auto"/>
          <w:sz w:val="22"/>
          <w:highlight w:val="none"/>
        </w:rPr>
        <w:t>1、商务技术分的评定（80分）</w:t>
      </w:r>
    </w:p>
    <w:p>
      <w:pPr>
        <w:spacing w:line="400" w:lineRule="exact"/>
        <w:ind w:left="439" w:leftChars="209"/>
        <w:rPr>
          <w:rFonts w:ascii="宋体" w:hAnsi="宋体" w:cs="Arial"/>
          <w:color w:val="auto"/>
          <w:sz w:val="22"/>
          <w:highlight w:val="none"/>
        </w:rPr>
      </w:pPr>
      <w:r>
        <w:rPr>
          <w:rFonts w:hint="eastAsia" w:ascii="宋体" w:hAnsi="宋体" w:cs="Arial"/>
          <w:color w:val="auto"/>
          <w:sz w:val="22"/>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分的最终得分（四舍五入，保留小数点后二位）。</w:t>
      </w:r>
    </w:p>
    <w:tbl>
      <w:tblPr>
        <w:tblStyle w:val="63"/>
        <w:tblW w:w="9618" w:type="dxa"/>
        <w:tblInd w:w="0" w:type="dxa"/>
        <w:tblLayout w:type="fixed"/>
        <w:tblCellMar>
          <w:top w:w="0" w:type="dxa"/>
          <w:left w:w="108" w:type="dxa"/>
          <w:bottom w:w="0" w:type="dxa"/>
          <w:right w:w="108" w:type="dxa"/>
        </w:tblCellMar>
      </w:tblPr>
      <w:tblGrid>
        <w:gridCol w:w="815"/>
        <w:gridCol w:w="816"/>
        <w:gridCol w:w="816"/>
        <w:gridCol w:w="7171"/>
      </w:tblGrid>
      <w:tr>
        <w:trPr>
          <w:trHeight w:val="297" w:hRule="atLeast"/>
        </w:trPr>
        <w:tc>
          <w:tcPr>
            <w:tcW w:w="8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816"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评分内容</w:t>
            </w:r>
          </w:p>
        </w:tc>
        <w:tc>
          <w:tcPr>
            <w:tcW w:w="816"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分值</w:t>
            </w:r>
          </w:p>
        </w:tc>
        <w:tc>
          <w:tcPr>
            <w:tcW w:w="7171"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评分标准说明</w:t>
            </w:r>
          </w:p>
        </w:tc>
      </w:tr>
      <w:tr>
        <w:tblPrEx>
          <w:tblCellMar>
            <w:top w:w="0" w:type="dxa"/>
            <w:left w:w="108" w:type="dxa"/>
            <w:bottom w:w="0" w:type="dxa"/>
            <w:right w:w="108" w:type="dxa"/>
          </w:tblCellMar>
        </w:tblPrEx>
        <w:trPr>
          <w:trHeight w:val="559" w:hRule="atLeast"/>
        </w:trPr>
        <w:tc>
          <w:tcPr>
            <w:tcW w:w="81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81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投标人实力</w:t>
            </w:r>
          </w:p>
        </w:tc>
        <w:tc>
          <w:tcPr>
            <w:tcW w:w="81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7171" w:type="dxa"/>
            <w:tcBorders>
              <w:top w:val="nil"/>
              <w:left w:val="nil"/>
              <w:bottom w:val="nil"/>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根据投标人在行业中的综合实力（含市场知名度、商业信誉、履约能力、获得荣誉等）情况，综合评分：</w:t>
            </w:r>
          </w:p>
        </w:tc>
      </w:tr>
      <w:tr>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一档（3-2.1分）：市场知名度高、商业信誉良好、履约能力强、荣誉多；</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二档（2-1.1分）：市场知名度较高、商业信誉良好、履约能力较强、荣誉较多；</w:t>
            </w:r>
          </w:p>
        </w:tc>
      </w:tr>
      <w:tr>
        <w:trPr>
          <w:trHeight w:val="297"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三档（1-0分）：市场知名度一般、履约能力一般、荣誉少。</w:t>
            </w:r>
          </w:p>
        </w:tc>
      </w:tr>
      <w:tr>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7171" w:type="dxa"/>
            <w:tcBorders>
              <w:top w:val="nil"/>
              <w:left w:val="nil"/>
              <w:bottom w:val="nil"/>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1.投标人具有在有效期内的质量管理体系认证证书得1分；</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2.投标人具有在有效期内的环境管理体系认证证书得1分；</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3.投标人具有在有效期内的职业健康管理体系认证证书得1分；</w:t>
            </w:r>
          </w:p>
        </w:tc>
      </w:tr>
      <w:tr>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4.投标人具有在有效期内的信息安全管理体系认证证书得2分；</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5.投标人具有在有效期内的信息技术服务管理体系认证证书得2分；</w:t>
            </w:r>
          </w:p>
        </w:tc>
      </w:tr>
      <w:tr>
        <w:tblPrEx>
          <w:tblCellMar>
            <w:top w:w="0" w:type="dxa"/>
            <w:left w:w="108" w:type="dxa"/>
            <w:bottom w:w="0" w:type="dxa"/>
            <w:right w:w="108" w:type="dxa"/>
          </w:tblCellMar>
        </w:tblPrEx>
        <w:trPr>
          <w:trHeight w:val="297"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注:以上证书提供证书扫描件加盖公章，不提供不得分。</w:t>
            </w:r>
          </w:p>
        </w:tc>
      </w:tr>
      <w:tr>
        <w:tblPrEx>
          <w:tblCellMar>
            <w:top w:w="0" w:type="dxa"/>
            <w:left w:w="108" w:type="dxa"/>
            <w:bottom w:w="0" w:type="dxa"/>
            <w:right w:w="108" w:type="dxa"/>
          </w:tblCellMar>
        </w:tblPrEx>
        <w:trPr>
          <w:trHeight w:val="540" w:hRule="atLeast"/>
        </w:trPr>
        <w:tc>
          <w:tcPr>
            <w:tcW w:w="81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81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针对本项目的方案</w:t>
            </w:r>
          </w:p>
        </w:tc>
        <w:tc>
          <w:tcPr>
            <w:tcW w:w="81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7171" w:type="dxa"/>
            <w:tcBorders>
              <w:top w:val="single" w:color="000000" w:sz="8" w:space="0"/>
              <w:left w:val="nil"/>
              <w:bottom w:val="nil"/>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根据投标人对</w:t>
            </w:r>
            <w:r>
              <w:rPr>
                <w:rFonts w:hint="eastAsia" w:ascii="宋体" w:hAnsi="宋体" w:cs="宋体"/>
                <w:color w:val="auto"/>
                <w:kern w:val="0"/>
                <w:sz w:val="22"/>
                <w:szCs w:val="22"/>
                <w:highlight w:val="none"/>
              </w:rPr>
              <w:t>温州巡游车移动端应用</w:t>
            </w:r>
            <w:r>
              <w:rPr>
                <w:rFonts w:hint="eastAsia" w:ascii="宋体" w:hAnsi="宋体" w:cs="宋体"/>
                <w:color w:val="auto"/>
                <w:kern w:val="0"/>
                <w:sz w:val="22"/>
                <w:szCs w:val="22"/>
                <w:highlight w:val="none"/>
              </w:rPr>
              <w:t>项目的理解（含背景、现状、存在问题等）情况，综合比较打分：</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一档（3-2.1分）：理解全面、准确；</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二档（2-1.1分）：理解较为全面；</w:t>
            </w:r>
          </w:p>
        </w:tc>
      </w:tr>
      <w:tr>
        <w:tblPrEx>
          <w:tblCellMar>
            <w:top w:w="0" w:type="dxa"/>
            <w:left w:w="108" w:type="dxa"/>
            <w:bottom w:w="0" w:type="dxa"/>
            <w:right w:w="108" w:type="dxa"/>
          </w:tblCellMar>
        </w:tblPrEx>
        <w:trPr>
          <w:trHeight w:val="297"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三档（1-0分）：理解不全面。</w:t>
            </w:r>
          </w:p>
        </w:tc>
      </w:tr>
      <w:tr>
        <w:trPr>
          <w:trHeight w:val="559"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根据投标人对</w:t>
            </w:r>
            <w:r>
              <w:rPr>
                <w:rFonts w:hint="eastAsia" w:ascii="宋体" w:hAnsi="宋体" w:cs="宋体"/>
                <w:color w:val="auto"/>
                <w:kern w:val="0"/>
                <w:sz w:val="22"/>
                <w:szCs w:val="22"/>
                <w:highlight w:val="none"/>
              </w:rPr>
              <w:t>温州巡游车移动端应用</w:t>
            </w:r>
            <w:r>
              <w:rPr>
                <w:rFonts w:hint="eastAsia" w:ascii="宋体" w:hAnsi="宋体" w:cs="宋体"/>
                <w:color w:val="auto"/>
                <w:kern w:val="0"/>
                <w:sz w:val="22"/>
                <w:szCs w:val="22"/>
                <w:highlight w:val="none"/>
              </w:rPr>
              <w:t>项目设计方案（项目整体设计方案、技术架构、技术路线等），综合比较打分：</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一档（4-3.1分）：设计方案先进、合理、技术可靠；</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二档（3-2.1分）：设计方案基本合理、技术可靠；</w:t>
            </w:r>
          </w:p>
        </w:tc>
      </w:tr>
      <w:tr>
        <w:tblPrEx>
          <w:tblCellMar>
            <w:top w:w="0" w:type="dxa"/>
            <w:left w:w="108" w:type="dxa"/>
            <w:bottom w:w="0" w:type="dxa"/>
            <w:right w:w="108" w:type="dxa"/>
          </w:tblCellMar>
        </w:tblPrEx>
        <w:trPr>
          <w:trHeight w:val="297"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三档（2-0分）：设计方案不合理。</w:t>
            </w:r>
          </w:p>
        </w:tc>
      </w:tr>
      <w:tr>
        <w:trPr>
          <w:trHeight w:val="559"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根据投标人提供的</w:t>
            </w:r>
            <w:r>
              <w:rPr>
                <w:rFonts w:hint="eastAsia" w:ascii="宋体" w:hAnsi="宋体" w:cs="宋体"/>
                <w:color w:val="auto"/>
                <w:kern w:val="0"/>
                <w:sz w:val="22"/>
                <w:szCs w:val="22"/>
                <w:highlight w:val="none"/>
              </w:rPr>
              <w:t>温州巡游车移动端应用</w:t>
            </w:r>
            <w:r>
              <w:rPr>
                <w:rFonts w:hint="eastAsia" w:ascii="宋体" w:hAnsi="宋体" w:cs="宋体"/>
                <w:color w:val="auto"/>
                <w:kern w:val="0"/>
                <w:sz w:val="22"/>
                <w:szCs w:val="22"/>
                <w:highlight w:val="none"/>
              </w:rPr>
              <w:t>项目具体实施方案（含质量、服务及承诺等）情况，综合比较打分：</w:t>
            </w:r>
          </w:p>
        </w:tc>
      </w:tr>
      <w:tr>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一档（4-3.1分分）：具体实施方案科学、合理、可行；</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二档（3-2.1分）：具体实施方案基本合理、可行；</w:t>
            </w:r>
          </w:p>
        </w:tc>
      </w:tr>
      <w:tr>
        <w:tblPrEx>
          <w:tblCellMar>
            <w:top w:w="0" w:type="dxa"/>
            <w:left w:w="108" w:type="dxa"/>
            <w:bottom w:w="0" w:type="dxa"/>
            <w:right w:w="108" w:type="dxa"/>
          </w:tblCellMar>
        </w:tblPrEx>
        <w:trPr>
          <w:trHeight w:val="297"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三档（2-0分）：具体实施方案不合理。</w:t>
            </w:r>
          </w:p>
        </w:tc>
      </w:tr>
      <w:tr>
        <w:tblPrEx>
          <w:tblCellMar>
            <w:top w:w="0" w:type="dxa"/>
            <w:left w:w="108" w:type="dxa"/>
            <w:bottom w:w="0" w:type="dxa"/>
            <w:right w:w="108" w:type="dxa"/>
          </w:tblCellMar>
        </w:tblPrEx>
        <w:trPr>
          <w:trHeight w:val="559"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7171" w:type="dxa"/>
            <w:tcBorders>
              <w:top w:val="nil"/>
              <w:left w:val="nil"/>
              <w:bottom w:val="nil"/>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根据投标人对</w:t>
            </w:r>
            <w:r>
              <w:rPr>
                <w:rFonts w:hint="eastAsia" w:ascii="宋体" w:hAnsi="宋体" w:cs="宋体"/>
                <w:color w:val="auto"/>
                <w:kern w:val="0"/>
                <w:sz w:val="22"/>
                <w:szCs w:val="22"/>
                <w:highlight w:val="none"/>
              </w:rPr>
              <w:t>金温铁路海铁多式联运“一单制”</w:t>
            </w:r>
            <w:r>
              <w:rPr>
                <w:rFonts w:hint="eastAsia" w:ascii="宋体" w:hAnsi="宋体" w:cs="宋体"/>
                <w:color w:val="auto"/>
                <w:kern w:val="0"/>
                <w:sz w:val="22"/>
                <w:szCs w:val="22"/>
                <w:highlight w:val="none"/>
              </w:rPr>
              <w:t>项目的理解（含背景、现状、存在问题等）情况，综合比较打分：</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一档（3-2.1分）：理解全面、准确；</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二档（2-1.1分）：理解较为全面；</w:t>
            </w:r>
          </w:p>
        </w:tc>
      </w:tr>
      <w:tr>
        <w:trPr>
          <w:trHeight w:val="297"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三档（1-0分）：理解不全面。</w:t>
            </w:r>
          </w:p>
        </w:tc>
      </w:tr>
      <w:tr>
        <w:tblPrEx>
          <w:tblCellMar>
            <w:top w:w="0" w:type="dxa"/>
            <w:left w:w="108" w:type="dxa"/>
            <w:bottom w:w="0" w:type="dxa"/>
            <w:right w:w="108" w:type="dxa"/>
          </w:tblCellMar>
        </w:tblPrEx>
        <w:trPr>
          <w:trHeight w:val="559"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根据投标人对</w:t>
            </w:r>
            <w:r>
              <w:rPr>
                <w:rFonts w:hint="eastAsia" w:ascii="宋体" w:hAnsi="宋体" w:cs="宋体"/>
                <w:color w:val="auto"/>
                <w:kern w:val="0"/>
                <w:sz w:val="22"/>
                <w:szCs w:val="22"/>
                <w:highlight w:val="none"/>
              </w:rPr>
              <w:t>金温铁路海铁多式联运“一单制”</w:t>
            </w:r>
            <w:r>
              <w:rPr>
                <w:rFonts w:hint="eastAsia" w:ascii="宋体" w:hAnsi="宋体" w:cs="宋体"/>
                <w:color w:val="auto"/>
                <w:kern w:val="0"/>
                <w:sz w:val="22"/>
                <w:szCs w:val="22"/>
                <w:highlight w:val="none"/>
              </w:rPr>
              <w:t>项目设计方案（项目整体设计方案、技术架构、技术路线等），综合比较打分：</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一档（4-3.1分）：设计方案先进、合理、技术可靠；</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二档（3-2.1分）：设计方案基本合理、技术可靠；</w:t>
            </w:r>
          </w:p>
        </w:tc>
      </w:tr>
      <w:tr>
        <w:tblPrEx>
          <w:tblCellMar>
            <w:top w:w="0" w:type="dxa"/>
            <w:left w:w="108" w:type="dxa"/>
            <w:bottom w:w="0" w:type="dxa"/>
            <w:right w:w="108" w:type="dxa"/>
          </w:tblCellMar>
        </w:tblPrEx>
        <w:trPr>
          <w:trHeight w:val="297"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三档（2-0分）：设计方案不合理。</w:t>
            </w:r>
          </w:p>
        </w:tc>
      </w:tr>
      <w:tr>
        <w:tblPrEx>
          <w:tblCellMar>
            <w:top w:w="0" w:type="dxa"/>
            <w:left w:w="108" w:type="dxa"/>
            <w:bottom w:w="0" w:type="dxa"/>
            <w:right w:w="108" w:type="dxa"/>
          </w:tblCellMar>
        </w:tblPrEx>
        <w:trPr>
          <w:trHeight w:val="559"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根据投标人提供的</w:t>
            </w:r>
            <w:r>
              <w:rPr>
                <w:rFonts w:hint="eastAsia" w:ascii="宋体" w:hAnsi="宋体" w:cs="宋体"/>
                <w:color w:val="auto"/>
                <w:kern w:val="0"/>
                <w:sz w:val="22"/>
                <w:szCs w:val="22"/>
                <w:highlight w:val="none"/>
              </w:rPr>
              <w:t>金温铁路海铁多式联运“一单制”</w:t>
            </w:r>
            <w:r>
              <w:rPr>
                <w:rFonts w:hint="eastAsia" w:ascii="宋体" w:hAnsi="宋体" w:cs="宋体"/>
                <w:color w:val="auto"/>
                <w:kern w:val="0"/>
                <w:sz w:val="22"/>
                <w:szCs w:val="22"/>
                <w:highlight w:val="none"/>
              </w:rPr>
              <w:t>项目具体实施方案（含质量、服务及承诺等）情况，综合比较打分：</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一档（4-3.1分）：具体实施方案科学、合理、可行；</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二档（3-2.1分）：具体实施方案基本合理、可行；</w:t>
            </w:r>
          </w:p>
        </w:tc>
      </w:tr>
      <w:tr>
        <w:tblPrEx>
          <w:tblCellMar>
            <w:top w:w="0" w:type="dxa"/>
            <w:left w:w="108" w:type="dxa"/>
            <w:bottom w:w="0" w:type="dxa"/>
            <w:right w:w="108" w:type="dxa"/>
          </w:tblCellMar>
        </w:tblPrEx>
        <w:trPr>
          <w:trHeight w:val="297"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三档（2-0分）：具体实施方案不合理。</w:t>
            </w:r>
          </w:p>
        </w:tc>
      </w:tr>
      <w:tr>
        <w:trPr>
          <w:trHeight w:val="559"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7171" w:type="dxa"/>
            <w:tcBorders>
              <w:top w:val="nil"/>
              <w:left w:val="nil"/>
              <w:bottom w:val="nil"/>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根据投标人对</w:t>
            </w:r>
            <w:r>
              <w:rPr>
                <w:rFonts w:hint="eastAsia" w:ascii="宋体" w:hAnsi="宋体" w:cs="宋体"/>
                <w:color w:val="auto"/>
                <w:kern w:val="0"/>
                <w:sz w:val="22"/>
                <w:szCs w:val="22"/>
                <w:highlight w:val="none"/>
              </w:rPr>
              <w:t>交通政务信息“一窗通达”</w:t>
            </w:r>
            <w:r>
              <w:rPr>
                <w:rFonts w:hint="eastAsia" w:ascii="宋体" w:hAnsi="宋体" w:cs="宋体"/>
                <w:color w:val="auto"/>
                <w:kern w:val="0"/>
                <w:sz w:val="22"/>
                <w:szCs w:val="22"/>
                <w:highlight w:val="none"/>
              </w:rPr>
              <w:t>项目的理解（含背景、现状、存在问题等）情况，综合比较打分：</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一档（3-2.1分）：理解全面、准确；</w:t>
            </w:r>
          </w:p>
        </w:tc>
      </w:tr>
      <w:tr>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二档（2-1.1分）：理解较为全面；</w:t>
            </w:r>
          </w:p>
        </w:tc>
      </w:tr>
      <w:tr>
        <w:tblPrEx>
          <w:tblCellMar>
            <w:top w:w="0" w:type="dxa"/>
            <w:left w:w="108" w:type="dxa"/>
            <w:bottom w:w="0" w:type="dxa"/>
            <w:right w:w="108" w:type="dxa"/>
          </w:tblCellMar>
        </w:tblPrEx>
        <w:trPr>
          <w:trHeight w:val="297"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三档（1-0分）：理解不全面。</w:t>
            </w:r>
          </w:p>
        </w:tc>
      </w:tr>
      <w:tr>
        <w:trPr>
          <w:trHeight w:val="559"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根据投标人对</w:t>
            </w:r>
            <w:r>
              <w:rPr>
                <w:rFonts w:hint="eastAsia" w:ascii="宋体" w:hAnsi="宋体" w:cs="宋体"/>
                <w:color w:val="auto"/>
                <w:kern w:val="0"/>
                <w:sz w:val="22"/>
                <w:szCs w:val="22"/>
                <w:highlight w:val="none"/>
              </w:rPr>
              <w:t>交通政务信息“一窗通达”</w:t>
            </w:r>
            <w:r>
              <w:rPr>
                <w:rFonts w:hint="eastAsia" w:ascii="宋体" w:hAnsi="宋体" w:cs="宋体"/>
                <w:color w:val="auto"/>
                <w:kern w:val="0"/>
                <w:sz w:val="22"/>
                <w:szCs w:val="22"/>
                <w:highlight w:val="none"/>
              </w:rPr>
              <w:t>项目设计方案（项目整体设计方案、技术架构、技术路线等），综合比较打分：</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一档（4-3.1分）：设计方案先进、合理、技术可靠；</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二档（3-2.1分）：设计方案基本合理、技术可靠；</w:t>
            </w:r>
          </w:p>
        </w:tc>
      </w:tr>
      <w:tr>
        <w:tblPrEx>
          <w:tblCellMar>
            <w:top w:w="0" w:type="dxa"/>
            <w:left w:w="108" w:type="dxa"/>
            <w:bottom w:w="0" w:type="dxa"/>
            <w:right w:w="108" w:type="dxa"/>
          </w:tblCellMar>
        </w:tblPrEx>
        <w:trPr>
          <w:trHeight w:val="297"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三档（2-0分）：设计方案不合理。</w:t>
            </w:r>
          </w:p>
        </w:tc>
      </w:tr>
      <w:tr>
        <w:tblPrEx>
          <w:tblCellMar>
            <w:top w:w="0" w:type="dxa"/>
            <w:left w:w="108" w:type="dxa"/>
            <w:bottom w:w="0" w:type="dxa"/>
            <w:right w:w="108" w:type="dxa"/>
          </w:tblCellMar>
        </w:tblPrEx>
        <w:trPr>
          <w:trHeight w:val="559"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根据投标人提供的</w:t>
            </w:r>
            <w:r>
              <w:rPr>
                <w:rFonts w:hint="eastAsia" w:ascii="宋体" w:hAnsi="宋体" w:cs="宋体"/>
                <w:color w:val="auto"/>
                <w:kern w:val="0"/>
                <w:sz w:val="22"/>
                <w:szCs w:val="22"/>
                <w:highlight w:val="none"/>
              </w:rPr>
              <w:t>交通政务信息“一窗通达”</w:t>
            </w:r>
            <w:r>
              <w:rPr>
                <w:rFonts w:hint="eastAsia" w:ascii="宋体" w:hAnsi="宋体" w:cs="宋体"/>
                <w:color w:val="auto"/>
                <w:kern w:val="0"/>
                <w:sz w:val="22"/>
                <w:szCs w:val="22"/>
                <w:highlight w:val="none"/>
              </w:rPr>
              <w:t>项目具体实施方案（含质量、服务及承诺等）情况，综合比较打分：</w:t>
            </w:r>
          </w:p>
        </w:tc>
      </w:tr>
      <w:tr>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一档（4-3.1分分）：具体实施方案科学、合理、可行；</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二档（3-2.1分）：具体实施方案基本合理、可行；</w:t>
            </w:r>
          </w:p>
        </w:tc>
      </w:tr>
      <w:tr>
        <w:tblPrEx>
          <w:tblCellMar>
            <w:top w:w="0" w:type="dxa"/>
            <w:left w:w="108" w:type="dxa"/>
            <w:bottom w:w="0" w:type="dxa"/>
            <w:right w:w="108" w:type="dxa"/>
          </w:tblCellMar>
        </w:tblPrEx>
        <w:trPr>
          <w:trHeight w:val="297"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三档（2-0分）：具体实施方案不合理。</w:t>
            </w:r>
          </w:p>
        </w:tc>
      </w:tr>
      <w:tr>
        <w:tblPrEx>
          <w:tblCellMar>
            <w:top w:w="0" w:type="dxa"/>
            <w:left w:w="108" w:type="dxa"/>
            <w:bottom w:w="0" w:type="dxa"/>
            <w:right w:w="108" w:type="dxa"/>
          </w:tblCellMar>
        </w:tblPrEx>
        <w:trPr>
          <w:trHeight w:val="559"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7171" w:type="dxa"/>
            <w:tcBorders>
              <w:top w:val="nil"/>
              <w:left w:val="nil"/>
              <w:bottom w:val="nil"/>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根据投标人对</w:t>
            </w:r>
            <w:r>
              <w:rPr>
                <w:rFonts w:hint="eastAsia" w:ascii="宋体" w:hAnsi="宋体" w:cs="宋体"/>
                <w:color w:val="auto"/>
                <w:kern w:val="0"/>
                <w:sz w:val="22"/>
                <w:szCs w:val="22"/>
                <w:highlight w:val="none"/>
              </w:rPr>
              <w:t>便行温州数字服务平台</w:t>
            </w:r>
            <w:r>
              <w:rPr>
                <w:rFonts w:hint="eastAsia" w:ascii="宋体" w:hAnsi="宋体" w:cs="宋体"/>
                <w:color w:val="auto"/>
                <w:kern w:val="0"/>
                <w:sz w:val="22"/>
                <w:szCs w:val="22"/>
                <w:highlight w:val="none"/>
              </w:rPr>
              <w:t>项目的理解（含背景、现状、存在问题等）情况，综合比较打分：</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一档（3-2.1分）：理解全面、准确；</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二档（2-1.1分）：理解较为全面；</w:t>
            </w:r>
          </w:p>
        </w:tc>
      </w:tr>
      <w:tr>
        <w:trPr>
          <w:trHeight w:val="297"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三档（1-0分）：理解不全面。</w:t>
            </w:r>
          </w:p>
        </w:tc>
      </w:tr>
      <w:tr>
        <w:tblPrEx>
          <w:tblCellMar>
            <w:top w:w="0" w:type="dxa"/>
            <w:left w:w="108" w:type="dxa"/>
            <w:bottom w:w="0" w:type="dxa"/>
            <w:right w:w="108" w:type="dxa"/>
          </w:tblCellMar>
        </w:tblPrEx>
        <w:trPr>
          <w:trHeight w:val="559"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根据投标人对</w:t>
            </w:r>
            <w:r>
              <w:rPr>
                <w:rFonts w:hint="eastAsia" w:ascii="宋体" w:hAnsi="宋体" w:cs="宋体"/>
                <w:color w:val="auto"/>
                <w:kern w:val="0"/>
                <w:sz w:val="22"/>
                <w:szCs w:val="22"/>
                <w:highlight w:val="none"/>
              </w:rPr>
              <w:t>便行温州数字服务平台</w:t>
            </w:r>
            <w:r>
              <w:rPr>
                <w:rFonts w:hint="eastAsia" w:ascii="宋体" w:hAnsi="宋体" w:cs="宋体"/>
                <w:color w:val="auto"/>
                <w:kern w:val="0"/>
                <w:sz w:val="22"/>
                <w:szCs w:val="22"/>
                <w:highlight w:val="none"/>
              </w:rPr>
              <w:t>项目设计方案（项目整体设计方案、技术架构、技术路线等），综合比较打分：</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一档（4-4.1分）：设计方案先进、合理、技术可靠；</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二档（4-2.1分）：设计方案基本合理、技术可靠；</w:t>
            </w:r>
          </w:p>
        </w:tc>
      </w:tr>
      <w:tr>
        <w:tblPrEx>
          <w:tblCellMar>
            <w:top w:w="0" w:type="dxa"/>
            <w:left w:w="108" w:type="dxa"/>
            <w:bottom w:w="0" w:type="dxa"/>
            <w:right w:w="108" w:type="dxa"/>
          </w:tblCellMar>
        </w:tblPrEx>
        <w:trPr>
          <w:trHeight w:val="297"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三档（2-0分）：设计方案不合理。</w:t>
            </w:r>
          </w:p>
        </w:tc>
      </w:tr>
      <w:tr>
        <w:tblPrEx>
          <w:tblCellMar>
            <w:top w:w="0" w:type="dxa"/>
            <w:left w:w="108" w:type="dxa"/>
            <w:bottom w:w="0" w:type="dxa"/>
            <w:right w:w="108" w:type="dxa"/>
          </w:tblCellMar>
        </w:tblPrEx>
        <w:trPr>
          <w:trHeight w:val="559"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根据投标人提供的</w:t>
            </w:r>
            <w:r>
              <w:rPr>
                <w:rFonts w:hint="eastAsia" w:ascii="宋体" w:hAnsi="宋体" w:cs="宋体"/>
                <w:color w:val="auto"/>
                <w:kern w:val="0"/>
                <w:sz w:val="22"/>
                <w:szCs w:val="22"/>
                <w:highlight w:val="none"/>
              </w:rPr>
              <w:t>便行温州数字服务平台</w:t>
            </w:r>
            <w:r>
              <w:rPr>
                <w:rFonts w:hint="eastAsia" w:ascii="宋体" w:hAnsi="宋体" w:cs="宋体"/>
                <w:color w:val="auto"/>
                <w:kern w:val="0"/>
                <w:sz w:val="22"/>
                <w:szCs w:val="22"/>
                <w:highlight w:val="none"/>
              </w:rPr>
              <w:t>项目具体实施方案（含质量、服务及承诺等）情况，综合比较打分：</w:t>
            </w:r>
          </w:p>
        </w:tc>
      </w:tr>
      <w:tr>
        <w:tblPrEx>
          <w:tblCellMar>
            <w:top w:w="0" w:type="dxa"/>
            <w:left w:w="108" w:type="dxa"/>
            <w:bottom w:w="0" w:type="dxa"/>
            <w:right w:w="108" w:type="dxa"/>
          </w:tblCellMar>
        </w:tblPrEx>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一档（4-3.1分分）：具体实施方案科学、合理、可行；</w:t>
            </w:r>
          </w:p>
        </w:tc>
      </w:tr>
      <w:tr>
        <w:trPr>
          <w:trHeight w:val="282"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二档（3-2.1分）：具体实施方案基本合理、可行；</w:t>
            </w:r>
          </w:p>
        </w:tc>
      </w:tr>
      <w:tr>
        <w:tblPrEx>
          <w:tblCellMar>
            <w:top w:w="0" w:type="dxa"/>
            <w:left w:w="108" w:type="dxa"/>
            <w:bottom w:w="0" w:type="dxa"/>
            <w:right w:w="108" w:type="dxa"/>
          </w:tblCellMar>
        </w:tblPrEx>
        <w:trPr>
          <w:trHeight w:val="297"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三档（2-0分）：具体实施方案不合理。</w:t>
            </w:r>
          </w:p>
        </w:tc>
      </w:tr>
      <w:tr>
        <w:tblPrEx>
          <w:tblCellMar>
            <w:top w:w="0" w:type="dxa"/>
            <w:left w:w="108" w:type="dxa"/>
            <w:bottom w:w="0" w:type="dxa"/>
            <w:right w:w="108" w:type="dxa"/>
          </w:tblCellMar>
        </w:tblPrEx>
        <w:trPr>
          <w:trHeight w:val="855" w:hRule="atLeast"/>
        </w:trPr>
        <w:tc>
          <w:tcPr>
            <w:tcW w:w="815"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8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项目管理实施方案</w:t>
            </w:r>
          </w:p>
        </w:tc>
        <w:tc>
          <w:tcPr>
            <w:tcW w:w="816"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7171"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提供的项目管理实施方案中关于项目组织的运作方式、项目管理目标、项目实施的组织结构、项目的管理措施、协调方法、实施流程、实施进度详细的描述，进行综合打分（0-3分）。</w:t>
            </w:r>
          </w:p>
        </w:tc>
      </w:tr>
      <w:tr>
        <w:tblPrEx>
          <w:tblCellMar>
            <w:top w:w="0" w:type="dxa"/>
            <w:left w:w="108" w:type="dxa"/>
            <w:bottom w:w="0" w:type="dxa"/>
            <w:right w:w="108" w:type="dxa"/>
          </w:tblCellMar>
        </w:tblPrEx>
        <w:trPr>
          <w:trHeight w:val="574" w:hRule="atLeast"/>
        </w:trPr>
        <w:tc>
          <w:tcPr>
            <w:tcW w:w="815"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816"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同类项目业绩</w:t>
            </w:r>
          </w:p>
        </w:tc>
        <w:tc>
          <w:tcPr>
            <w:tcW w:w="816"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717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投标人2019年1月以来有同类项目业绩的，每个得1分，最多得2分。</w:t>
            </w:r>
          </w:p>
        </w:tc>
      </w:tr>
      <w:tr>
        <w:tblPrEx>
          <w:tblCellMar>
            <w:top w:w="0" w:type="dxa"/>
            <w:left w:w="108" w:type="dxa"/>
            <w:bottom w:w="0" w:type="dxa"/>
            <w:right w:w="108" w:type="dxa"/>
          </w:tblCellMar>
        </w:tblPrEx>
        <w:trPr>
          <w:trHeight w:val="559" w:hRule="atLeast"/>
        </w:trPr>
        <w:tc>
          <w:tcPr>
            <w:tcW w:w="81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81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技术服务及力量保障</w:t>
            </w:r>
          </w:p>
        </w:tc>
        <w:tc>
          <w:tcPr>
            <w:tcW w:w="81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7171" w:type="dxa"/>
            <w:tcBorders>
              <w:top w:val="nil"/>
              <w:left w:val="nil"/>
              <w:bottom w:val="nil"/>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拟派本项目的项目负责人（一名）：具有信息系统项目管理师、网络应用工程师（CEAC）证书、</w:t>
            </w:r>
            <w:r>
              <w:rPr>
                <w:rFonts w:hint="eastAsia" w:ascii="宋体" w:hAnsi="宋体" w:cs="宋体"/>
                <w:color w:val="auto"/>
                <w:kern w:val="0"/>
                <w:sz w:val="22"/>
                <w:szCs w:val="22"/>
                <w:highlight w:val="none"/>
              </w:rPr>
              <w:t>ITSS(IT服务项目经理)证书</w:t>
            </w:r>
            <w:r>
              <w:rPr>
                <w:rFonts w:hint="eastAsia" w:ascii="宋体" w:hAnsi="宋体" w:cs="宋体"/>
                <w:color w:val="auto"/>
                <w:kern w:val="0"/>
                <w:sz w:val="22"/>
                <w:szCs w:val="22"/>
                <w:highlight w:val="none"/>
              </w:rPr>
              <w:t>，每具备1本证书得1分，持有全部得3分。</w:t>
            </w:r>
          </w:p>
        </w:tc>
      </w:tr>
      <w:tr>
        <w:tblPrEx>
          <w:tblCellMar>
            <w:top w:w="0" w:type="dxa"/>
            <w:left w:w="108" w:type="dxa"/>
            <w:bottom w:w="0" w:type="dxa"/>
            <w:right w:w="108" w:type="dxa"/>
          </w:tblCellMar>
        </w:tblPrEx>
        <w:trPr>
          <w:trHeight w:val="840"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拟派本项目的技术负责人（一名）：具有CISM(注册信息安全经理认证)、CISP(注册信息安全专业人员)、通信工程师（交换技术）、系统分析师（高级）证书，每具备1本证书得1分，持有全部得4分。</w:t>
            </w:r>
          </w:p>
        </w:tc>
      </w:tr>
      <w:tr>
        <w:tblPrEx>
          <w:tblCellMar>
            <w:top w:w="0" w:type="dxa"/>
            <w:left w:w="108" w:type="dxa"/>
            <w:bottom w:w="0" w:type="dxa"/>
            <w:right w:w="108" w:type="dxa"/>
          </w:tblCellMar>
        </w:tblPrEx>
        <w:trPr>
          <w:trHeight w:val="1890"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nil"/>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3.项目团队其它服务人员(（除以上项目和技术负责人外的人员）)资质：</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（1）提供数据库系统工程师（中级）证书，每人每证得1分，最高得1分；</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（2）提供软件设计师（中级）认证证书，每人每证得1分，最高得1分；</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（3）提供系统集成项目管理工程师（中级）认证证书，每人每证得1分，最高得1分；</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（4）提供CISP注册信息安全证书，每人每证得1分，最高得1分；</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（5）提供ORACLE OCM认证证书，每人每证得1分，最高得1分；</w:t>
            </w:r>
            <w:r>
              <w:rPr>
                <w:rFonts w:hint="eastAsia" w:ascii="宋体" w:hAnsi="宋体" w:cs="宋体"/>
                <w:color w:val="auto"/>
                <w:kern w:val="0"/>
                <w:sz w:val="20"/>
                <w:szCs w:val="20"/>
                <w:highlight w:val="none"/>
              </w:rPr>
              <w:br w:type="textWrapping"/>
            </w:r>
            <w:r>
              <w:rPr>
                <w:rFonts w:hint="eastAsia" w:ascii="宋体" w:hAnsi="宋体" w:cs="宋体"/>
                <w:color w:val="auto"/>
                <w:kern w:val="0"/>
                <w:sz w:val="22"/>
                <w:szCs w:val="22"/>
                <w:highlight w:val="none"/>
              </w:rPr>
              <w:t>（6）提供高级工程师技术开发专业职称资格证书，每人每证得1分，最高得1分。</w:t>
            </w:r>
          </w:p>
        </w:tc>
      </w:tr>
      <w:tr>
        <w:tblPrEx>
          <w:tblCellMar>
            <w:top w:w="0" w:type="dxa"/>
            <w:left w:w="108" w:type="dxa"/>
            <w:bottom w:w="0" w:type="dxa"/>
            <w:right w:w="108" w:type="dxa"/>
          </w:tblCellMar>
        </w:tblPrEx>
        <w:trPr>
          <w:trHeight w:val="855" w:hRule="atLeast"/>
        </w:trPr>
        <w:tc>
          <w:tcPr>
            <w:tcW w:w="81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81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2"/>
                <w:szCs w:val="22"/>
                <w:highlight w:val="none"/>
              </w:rPr>
            </w:pPr>
          </w:p>
        </w:tc>
        <w:tc>
          <w:tcPr>
            <w:tcW w:w="717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注：所有持证人员须提供相关证书和社保证明，复印件并加盖公章，未提供上述资料的不得分。（服务人员社保证明以社保部门出具的近6个月在投标单位的参保证明为准，社保缴纳单位应与</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名称一致，否则不得分）</w:t>
            </w:r>
          </w:p>
        </w:tc>
      </w:tr>
      <w:tr>
        <w:trPr>
          <w:trHeight w:val="855" w:hRule="atLeast"/>
        </w:trPr>
        <w:tc>
          <w:tcPr>
            <w:tcW w:w="815"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8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培训方案</w:t>
            </w:r>
          </w:p>
        </w:tc>
        <w:tc>
          <w:tcPr>
            <w:tcW w:w="816"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717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对培训计划（包括培训内容、时间、地点、人次；系统培训，重点培训为维护、调试、配置及使用技能；业务人员培训，重点对相应应用的操作、使用）的详细程度、合理性和可行性，综合评价（0-3分）。</w:t>
            </w:r>
          </w:p>
        </w:tc>
      </w:tr>
      <w:tr>
        <w:tblPrEx>
          <w:tblCellMar>
            <w:top w:w="0" w:type="dxa"/>
            <w:left w:w="108" w:type="dxa"/>
            <w:bottom w:w="0" w:type="dxa"/>
            <w:right w:w="108" w:type="dxa"/>
          </w:tblCellMar>
        </w:tblPrEx>
        <w:trPr>
          <w:trHeight w:val="574" w:hRule="atLeast"/>
        </w:trPr>
        <w:tc>
          <w:tcPr>
            <w:tcW w:w="815"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7</w:t>
            </w:r>
          </w:p>
        </w:tc>
        <w:tc>
          <w:tcPr>
            <w:tcW w:w="8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本地化服务</w:t>
            </w:r>
          </w:p>
        </w:tc>
        <w:tc>
          <w:tcPr>
            <w:tcW w:w="816"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7171"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根据本地化服务机构情况及本地化服务人员情况，综合评价（0-2分）。</w:t>
            </w:r>
          </w:p>
        </w:tc>
      </w:tr>
      <w:tr>
        <w:trPr>
          <w:trHeight w:val="574" w:hRule="atLeast"/>
        </w:trPr>
        <w:tc>
          <w:tcPr>
            <w:tcW w:w="815"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8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售后服务方案</w:t>
            </w:r>
          </w:p>
        </w:tc>
        <w:tc>
          <w:tcPr>
            <w:tcW w:w="8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7171"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根据售后服务承诺的范围和完善程度，包括售后服务标准、售后运营团队配比、服务支撑及应急方案等进行综合打分（0-3分）。</w:t>
            </w:r>
          </w:p>
        </w:tc>
      </w:tr>
    </w:tbl>
    <w:p>
      <w:pPr>
        <w:pStyle w:val="2"/>
        <w:rPr>
          <w:color w:val="auto"/>
          <w:highlight w:val="none"/>
        </w:rPr>
      </w:pPr>
    </w:p>
    <w:p>
      <w:pPr>
        <w:spacing w:line="400" w:lineRule="exact"/>
        <w:rPr>
          <w:rFonts w:ascii="宋体" w:hAnsi="宋体" w:cs="Arial"/>
          <w:color w:val="auto"/>
          <w:sz w:val="22"/>
          <w:highlight w:val="none"/>
        </w:rPr>
      </w:pPr>
      <w:r>
        <w:rPr>
          <w:rFonts w:hint="eastAsia" w:ascii="宋体" w:hAnsi="宋体" w:cs="Arial"/>
          <w:color w:val="auto"/>
          <w:sz w:val="22"/>
          <w:highlight w:val="none"/>
        </w:rPr>
        <w:t>2、</w:t>
      </w:r>
      <w:r>
        <w:rPr>
          <w:rFonts w:hint="eastAsia" w:ascii="宋体" w:hAnsi="宋体" w:cs="Arial"/>
          <w:b/>
          <w:color w:val="auto"/>
          <w:sz w:val="22"/>
          <w:highlight w:val="none"/>
        </w:rPr>
        <w:t>商务评分（20分）</w:t>
      </w:r>
      <w:r>
        <w:rPr>
          <w:rFonts w:hint="eastAsia" w:ascii="宋体" w:hAnsi="宋体" w:cs="Arial"/>
          <w:color w:val="auto"/>
          <w:sz w:val="22"/>
          <w:highlight w:val="none"/>
        </w:rPr>
        <w:t>：</w:t>
      </w:r>
    </w:p>
    <w:p>
      <w:pPr>
        <w:spacing w:line="400" w:lineRule="exact"/>
        <w:ind w:left="328" w:leftChars="156"/>
        <w:rPr>
          <w:rFonts w:ascii="宋体" w:hAnsi="宋体" w:cs="Arial"/>
          <w:color w:val="auto"/>
          <w:sz w:val="22"/>
          <w:highlight w:val="none"/>
        </w:rPr>
      </w:pPr>
      <w:r>
        <w:rPr>
          <w:rFonts w:hint="eastAsia" w:ascii="宋体" w:hAnsi="宋体" w:cs="Arial"/>
          <w:color w:val="auto"/>
          <w:sz w:val="22"/>
          <w:highlight w:val="none"/>
        </w:rPr>
        <w:t>满足招标文件要求且报价最低的投标报价为评标基准价。</w:t>
      </w:r>
    </w:p>
    <w:p>
      <w:pPr>
        <w:spacing w:line="400" w:lineRule="exact"/>
        <w:ind w:firstLine="330" w:firstLineChars="150"/>
        <w:rPr>
          <w:rFonts w:ascii="宋体" w:hAnsi="宋体" w:cs="Arial"/>
          <w:color w:val="auto"/>
          <w:sz w:val="22"/>
          <w:highlight w:val="none"/>
        </w:rPr>
      </w:pPr>
      <w:r>
        <w:rPr>
          <w:rFonts w:hint="eastAsia" w:ascii="宋体" w:hAnsi="宋体" w:cs="Arial"/>
          <w:color w:val="auto"/>
          <w:sz w:val="22"/>
          <w:highlight w:val="none"/>
        </w:rPr>
        <w:t>1）有效投标人的投标报价等于评标基准价时其商务分为满分20分；</w:t>
      </w:r>
    </w:p>
    <w:p>
      <w:pPr>
        <w:spacing w:line="400" w:lineRule="exact"/>
        <w:ind w:firstLine="330" w:firstLineChars="150"/>
        <w:rPr>
          <w:rFonts w:ascii="宋体" w:hAnsi="宋体" w:cs="Arial"/>
          <w:color w:val="auto"/>
          <w:sz w:val="22"/>
          <w:highlight w:val="none"/>
        </w:rPr>
      </w:pPr>
      <w:r>
        <w:rPr>
          <w:rFonts w:hint="eastAsia" w:ascii="宋体" w:hAnsi="宋体" w:cs="Arial"/>
          <w:color w:val="auto"/>
          <w:sz w:val="22"/>
          <w:highlight w:val="none"/>
        </w:rPr>
        <w:t>2）其他投标人的价格分按以下公式计算：</w:t>
      </w:r>
    </w:p>
    <w:p>
      <w:pPr>
        <w:spacing w:line="400" w:lineRule="exact"/>
        <w:ind w:left="657" w:leftChars="313"/>
        <w:rPr>
          <w:rFonts w:ascii="宋体" w:hAnsi="宋体" w:cs="Arial"/>
          <w:color w:val="auto"/>
          <w:sz w:val="22"/>
          <w:highlight w:val="none"/>
        </w:rPr>
      </w:pPr>
      <w:r>
        <w:rPr>
          <w:rFonts w:hint="eastAsia" w:ascii="宋体" w:hAnsi="宋体" w:cs="Arial"/>
          <w:color w:val="auto"/>
          <w:sz w:val="22"/>
          <w:highlight w:val="none"/>
        </w:rPr>
        <w:t>商务分得分=（评标基准价/投标人投标总价）×20% ×100（四舍五入后保留小数2位）</w:t>
      </w:r>
    </w:p>
    <w:p>
      <w:pPr>
        <w:spacing w:line="400" w:lineRule="exact"/>
        <w:ind w:firstLine="221" w:firstLineChars="100"/>
        <w:rPr>
          <w:rFonts w:ascii="宋体" w:hAnsi="宋体" w:cs="宋体"/>
          <w:b/>
          <w:color w:val="auto"/>
          <w:sz w:val="22"/>
          <w:szCs w:val="22"/>
          <w:highlight w:val="none"/>
        </w:rPr>
      </w:pPr>
      <w:r>
        <w:rPr>
          <w:rFonts w:hint="eastAsia" w:ascii="宋体" w:hAnsi="宋体" w:cs="宋体"/>
          <w:b/>
          <w:color w:val="auto"/>
          <w:sz w:val="22"/>
          <w:szCs w:val="22"/>
          <w:highlight w:val="none"/>
        </w:rPr>
        <w:t>3）本项目为对应的中小企业划分标准所属行业：</w:t>
      </w:r>
      <w:r>
        <w:rPr>
          <w:rFonts w:hint="eastAsia" w:ascii="宋体" w:hAnsi="宋体" w:cs="新宋体"/>
          <w:b/>
          <w:bCs/>
          <w:color w:val="auto"/>
          <w:kern w:val="0"/>
          <w:sz w:val="22"/>
          <w:highlight w:val="none"/>
          <w:u w:val="single"/>
          <w:lang w:val="zh-CN"/>
        </w:rPr>
        <w:t>软件和信息技术服务业</w:t>
      </w:r>
      <w:r>
        <w:rPr>
          <w:rFonts w:hint="eastAsia" w:ascii="宋体" w:hAnsi="宋体" w:cs="宋体"/>
          <w:b/>
          <w:color w:val="auto"/>
          <w:sz w:val="22"/>
          <w:szCs w:val="22"/>
          <w:highlight w:val="none"/>
        </w:rPr>
        <w:t>。对于符合招标文件规定的小、微企业（或监狱企业、残疾人福利单位），</w:t>
      </w:r>
      <w:r>
        <w:rPr>
          <w:rFonts w:hint="eastAsia" w:ascii="宋体" w:hAnsi="宋体" w:cs="宋体"/>
          <w:b/>
          <w:color w:val="auto"/>
          <w:sz w:val="22"/>
          <w:szCs w:val="22"/>
          <w:highlight w:val="none"/>
        </w:rPr>
        <w:t>对其投标报价给予20%的扣除，用扣除后的价格（即价格的 80% ）参与评审。</w:t>
      </w:r>
    </w:p>
    <w:p>
      <w:pPr>
        <w:spacing w:line="400" w:lineRule="exact"/>
        <w:ind w:firstLine="221" w:firstLineChars="100"/>
        <w:rPr>
          <w:rFonts w:ascii="宋体" w:hAnsi="宋体" w:cs="Arial"/>
          <w:color w:val="auto"/>
          <w:sz w:val="22"/>
          <w:highlight w:val="none"/>
        </w:rPr>
      </w:pPr>
      <w:r>
        <w:rPr>
          <w:rFonts w:hint="eastAsia" w:ascii="宋体" w:hAnsi="宋体" w:cs="宋体"/>
          <w:b/>
          <w:color w:val="auto"/>
          <w:sz w:val="22"/>
          <w:szCs w:val="22"/>
          <w:highlight w:val="none"/>
        </w:rPr>
        <w:t>4）对于联合体协议或者分包意向协议约定小微企业合同份额占到合同总金额30%以上的，</w:t>
      </w:r>
      <w:r>
        <w:rPr>
          <w:rFonts w:hint="eastAsia" w:ascii="宋体" w:hAnsi="宋体" w:cs="宋体"/>
          <w:b/>
          <w:color w:val="auto"/>
          <w:sz w:val="22"/>
          <w:szCs w:val="22"/>
          <w:highlight w:val="none"/>
        </w:rPr>
        <w:t>对其投标报价给予6%的扣除，用扣除后的价格（即价格的 94% ）参与评审。</w:t>
      </w:r>
    </w:p>
    <w:p>
      <w:pPr>
        <w:spacing w:line="400" w:lineRule="exact"/>
        <w:rPr>
          <w:rFonts w:ascii="宋体" w:hAnsi="宋体" w:cs="Arial"/>
          <w:color w:val="auto"/>
          <w:sz w:val="22"/>
          <w:highlight w:val="none"/>
        </w:rPr>
      </w:pPr>
      <w:r>
        <w:rPr>
          <w:rFonts w:hint="eastAsia" w:ascii="宋体" w:hAnsi="宋体" w:cs="Arial"/>
          <w:color w:val="auto"/>
          <w:sz w:val="22"/>
          <w:highlight w:val="none"/>
        </w:rPr>
        <w:t xml:space="preserve">  5）</w:t>
      </w:r>
      <w:r>
        <w:rPr>
          <w:rFonts w:hint="eastAsia" w:ascii="宋体" w:hAnsi="宋体"/>
          <w:b/>
          <w:bCs/>
          <w:color w:val="auto"/>
          <w:sz w:val="22"/>
          <w:szCs w:val="22"/>
          <w:highlight w:val="none"/>
        </w:rPr>
        <w:t>▲</w:t>
      </w:r>
      <w:r>
        <w:rPr>
          <w:rFonts w:hint="eastAsia" w:ascii="宋体" w:hAnsi="宋体" w:cs="Arial"/>
          <w:b/>
          <w:color w:val="auto"/>
          <w:sz w:val="22"/>
          <w:szCs w:val="22"/>
          <w:highlight w:val="none"/>
          <w:u w:val="single"/>
        </w:rPr>
        <w:t>本项目</w:t>
      </w:r>
      <w:r>
        <w:rPr>
          <w:rFonts w:hint="eastAsia" w:ascii="宋体" w:hAnsi="宋体" w:cs="Arial"/>
          <w:b/>
          <w:color w:val="auto"/>
          <w:sz w:val="22"/>
          <w:szCs w:val="22"/>
          <w:highlight w:val="none"/>
          <w:u w:val="single"/>
          <w:lang w:val="en-US" w:eastAsia="zh-CN"/>
        </w:rPr>
        <w:t>标项二</w:t>
      </w:r>
      <w:r>
        <w:rPr>
          <w:rFonts w:hint="eastAsia" w:ascii="宋体" w:hAnsi="宋体" w:cs="Arial"/>
          <w:b/>
          <w:color w:val="auto"/>
          <w:sz w:val="22"/>
          <w:szCs w:val="22"/>
          <w:highlight w:val="none"/>
          <w:u w:val="single"/>
        </w:rPr>
        <w:t>采购预算</w:t>
      </w:r>
      <w:r>
        <w:rPr>
          <w:rFonts w:hint="eastAsia" w:ascii="宋体" w:hAnsi="宋体" w:cs="Arial"/>
          <w:b/>
          <w:color w:val="auto"/>
          <w:sz w:val="22"/>
          <w:szCs w:val="22"/>
          <w:highlight w:val="none"/>
          <w:u w:val="single"/>
        </w:rPr>
        <w:t>为512万元</w:t>
      </w:r>
      <w:r>
        <w:rPr>
          <w:rFonts w:hint="eastAsia" w:ascii="宋体" w:hAnsi="宋体" w:cs="Arial"/>
          <w:b/>
          <w:color w:val="auto"/>
          <w:sz w:val="22"/>
          <w:szCs w:val="22"/>
          <w:highlight w:val="none"/>
          <w:u w:val="single"/>
        </w:rPr>
        <w:t>，</w:t>
      </w:r>
      <w:r>
        <w:rPr>
          <w:rFonts w:hint="eastAsia" w:ascii="宋体" w:hAnsi="宋体"/>
          <w:b/>
          <w:color w:val="auto"/>
          <w:sz w:val="22"/>
          <w:szCs w:val="22"/>
          <w:highlight w:val="none"/>
          <w:u w:val="single"/>
        </w:rPr>
        <w:t>如投标人报价超过采购预算，其投标文件作无效标处理</w:t>
      </w:r>
      <w:r>
        <w:rPr>
          <w:rFonts w:hint="eastAsia" w:ascii="宋体" w:hAnsi="宋体" w:cs="Arial"/>
          <w:color w:val="auto"/>
          <w:sz w:val="22"/>
          <w:highlight w:val="none"/>
        </w:rPr>
        <w:t>。</w:t>
      </w:r>
    </w:p>
    <w:p>
      <w:pPr>
        <w:spacing w:line="400" w:lineRule="exact"/>
        <w:ind w:firstLine="220" w:firstLineChars="100"/>
        <w:rPr>
          <w:rFonts w:ascii="宋体" w:hAnsi="宋体" w:cs="Arial"/>
          <w:b/>
          <w:color w:val="auto"/>
          <w:sz w:val="22"/>
          <w:szCs w:val="22"/>
          <w:highlight w:val="none"/>
          <w:u w:val="single"/>
        </w:rPr>
      </w:pPr>
      <w:r>
        <w:rPr>
          <w:rFonts w:hint="eastAsia" w:ascii="宋体" w:hAnsi="宋体" w:cs="Arial"/>
          <w:color w:val="auto"/>
          <w:sz w:val="22"/>
          <w:highlight w:val="none"/>
        </w:rPr>
        <w:t>6）</w:t>
      </w:r>
      <w:r>
        <w:rPr>
          <w:rFonts w:hint="eastAsia" w:ascii="宋体" w:hAnsi="宋体" w:cs="Arial"/>
          <w:color w:val="auto"/>
          <w:sz w:val="22"/>
          <w:szCs w:val="22"/>
          <w:highlight w:val="none"/>
        </w:rPr>
        <w:t>所有投标人商务报价均超采购预算，</w:t>
      </w:r>
      <w:r>
        <w:rPr>
          <w:rFonts w:hint="eastAsia" w:ascii="宋体" w:hAnsi="宋体"/>
          <w:color w:val="auto"/>
          <w:sz w:val="22"/>
          <w:szCs w:val="22"/>
          <w:highlight w:val="none"/>
        </w:rPr>
        <w:t>采购人无法支付的,</w:t>
      </w:r>
      <w:r>
        <w:rPr>
          <w:rFonts w:hint="eastAsia" w:ascii="宋体" w:hAnsi="宋体" w:cs="Arial"/>
          <w:color w:val="auto"/>
          <w:sz w:val="22"/>
          <w:szCs w:val="22"/>
          <w:highlight w:val="none"/>
        </w:rPr>
        <w:t>重新组织招标</w:t>
      </w:r>
      <w:r>
        <w:rPr>
          <w:rFonts w:hint="eastAsia" w:ascii="宋体" w:hAnsi="宋体" w:cs="Arial"/>
          <w:color w:val="auto"/>
          <w:sz w:val="22"/>
          <w:highlight w:val="none"/>
        </w:rPr>
        <w:t>。</w:t>
      </w:r>
    </w:p>
    <w:p>
      <w:pPr>
        <w:spacing w:line="400" w:lineRule="exact"/>
        <w:rPr>
          <w:rFonts w:hint="eastAsia" w:ascii="宋体" w:hAnsi="宋体" w:cs="Arial"/>
          <w:color w:val="auto"/>
          <w:sz w:val="22"/>
          <w:highlight w:val="none"/>
        </w:rPr>
      </w:pPr>
      <w:r>
        <w:rPr>
          <w:rFonts w:hint="eastAsia" w:ascii="宋体" w:hAnsi="宋体" w:cs="Arial"/>
          <w:color w:val="auto"/>
          <w:sz w:val="22"/>
          <w:highlight w:val="none"/>
        </w:rPr>
        <w:t>3、 有效投标人的综合得分为技术资信分和商务（报价）分的总和。</w:t>
      </w:r>
    </w:p>
    <w:p>
      <w:pPr>
        <w:rPr>
          <w:rFonts w:hint="eastAsia" w:ascii="宋体" w:hAnsi="宋体" w:cs="Arial"/>
          <w:color w:val="auto"/>
          <w:sz w:val="22"/>
          <w:highlight w:val="none"/>
        </w:rPr>
      </w:pPr>
      <w:r>
        <w:rPr>
          <w:rFonts w:hint="eastAsia" w:ascii="宋体" w:hAnsi="宋体" w:cs="Arial"/>
          <w:color w:val="auto"/>
          <w:sz w:val="22"/>
          <w:highlight w:val="none"/>
        </w:rPr>
        <w:br w:type="page"/>
      </w:r>
    </w:p>
    <w:p>
      <w:pPr>
        <w:pStyle w:val="2"/>
        <w:rPr>
          <w:color w:val="auto"/>
          <w:highlight w:val="none"/>
        </w:rPr>
      </w:pPr>
    </w:p>
    <w:bookmarkEnd w:id="192"/>
    <w:bookmarkEnd w:id="193"/>
    <w:p>
      <w:pPr>
        <w:pStyle w:val="5"/>
        <w:rPr>
          <w:rFonts w:ascii="宋体" w:hAnsi="宋体" w:eastAsia="宋体" w:cs="Arial"/>
          <w:color w:val="auto"/>
          <w:sz w:val="36"/>
          <w:szCs w:val="36"/>
          <w:highlight w:val="none"/>
        </w:rPr>
      </w:pPr>
      <w:bookmarkStart w:id="194" w:name="_Toc221356957"/>
      <w:bookmarkStart w:id="195" w:name="_Toc249758721"/>
      <w:bookmarkStart w:id="196" w:name="_Toc249758871"/>
      <w:bookmarkStart w:id="197" w:name="_Toc245722287"/>
      <w:bookmarkStart w:id="198" w:name="_Toc245191320"/>
      <w:bookmarkStart w:id="199" w:name="_Toc221423625"/>
      <w:bookmarkStart w:id="200" w:name="_Toc221356894"/>
      <w:bookmarkStart w:id="201" w:name="_Toc221374632"/>
      <w:bookmarkStart w:id="202" w:name="_Toc223716004"/>
      <w:bookmarkStart w:id="203" w:name="_Toc222114885"/>
      <w:bookmarkStart w:id="204" w:name="_Toc262049425"/>
      <w:bookmarkStart w:id="205" w:name="_Toc21546"/>
      <w:bookmarkStart w:id="206" w:name="_Toc262105510"/>
      <w:bookmarkStart w:id="207" w:name="_Toc239145360"/>
      <w:bookmarkStart w:id="208" w:name="_Toc246261271"/>
      <w:bookmarkStart w:id="209" w:name="_Toc241404208"/>
      <w:r>
        <w:rPr>
          <w:rFonts w:hint="eastAsia" w:ascii="宋体" w:hAnsi="宋体" w:eastAsia="宋体" w:cs="Arial"/>
          <w:color w:val="auto"/>
          <w:sz w:val="36"/>
          <w:szCs w:val="36"/>
          <w:highlight w:val="none"/>
        </w:rPr>
        <w:t>第四部分   合同主要条款</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rPr>
          <w:color w:val="auto"/>
          <w:highlight w:val="none"/>
        </w:rPr>
      </w:pPr>
      <w:bookmarkStart w:id="210" w:name="_Toc221356960"/>
      <w:bookmarkStart w:id="211" w:name="_Toc221356897"/>
      <w:bookmarkStart w:id="212" w:name="_Toc221374633"/>
    </w:p>
    <w:p>
      <w:pPr>
        <w:snapToGrid w:val="0"/>
        <w:spacing w:line="360" w:lineRule="auto"/>
        <w:jc w:val="left"/>
        <w:rPr>
          <w:rFonts w:ascii="宋体" w:hAnsi="宋体" w:cs="Arial"/>
          <w:color w:val="auto"/>
          <w:sz w:val="22"/>
          <w:szCs w:val="22"/>
          <w:highlight w:val="none"/>
        </w:rPr>
      </w:pPr>
    </w:p>
    <w:p>
      <w:pPr>
        <w:spacing w:line="400" w:lineRule="exact"/>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本条款为甲乙双方必须遵守的基本条款，也可根据实际情况另签合同条款，正式合同以双方签字盖章的文本为准。</w:t>
      </w:r>
    </w:p>
    <w:p>
      <w:pPr>
        <w:spacing w:line="400" w:lineRule="exact"/>
        <w:ind w:firstLine="440" w:firstLineChars="200"/>
        <w:rPr>
          <w:rFonts w:ascii="宋体" w:hAnsi="宋体" w:cs="Arial"/>
          <w:color w:val="auto"/>
          <w:sz w:val="22"/>
          <w:szCs w:val="22"/>
          <w:highlight w:val="none"/>
        </w:rPr>
      </w:pPr>
    </w:p>
    <w:p>
      <w:pPr>
        <w:spacing w:line="4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鉴于甲方于2022年  月  日接受乙方对</w:t>
      </w:r>
      <w:r>
        <w:rPr>
          <w:rFonts w:hint="eastAsia" w:ascii="宋体" w:hAnsi="宋体" w:cs="hakuyoxingshu7000"/>
          <w:color w:val="auto"/>
          <w:sz w:val="22"/>
          <w:highlight w:val="none"/>
          <w:u w:val="single"/>
        </w:rPr>
        <w:t xml:space="preserve">                      </w:t>
      </w:r>
      <w:r>
        <w:rPr>
          <w:rFonts w:hint="eastAsia" w:ascii="宋体" w:hAnsi="宋体" w:cs="hakuyoxingshu7000"/>
          <w:color w:val="auto"/>
          <w:sz w:val="22"/>
          <w:highlight w:val="none"/>
        </w:rPr>
        <w:t>的投标，双方根据《中华人民共和国民法典》和本项目的招标文件、投标文件及其投标中的承诺，经双方协商，同意签订本合同，共同遵守：</w:t>
      </w:r>
    </w:p>
    <w:p>
      <w:pPr>
        <w:spacing w:line="460" w:lineRule="exact"/>
        <w:rPr>
          <w:rFonts w:ascii="宋体" w:hAnsi="宋体" w:cs="hakuyoxingshu7000"/>
          <w:color w:val="auto"/>
          <w:sz w:val="22"/>
          <w:highlight w:val="none"/>
        </w:rPr>
      </w:pPr>
      <w:r>
        <w:rPr>
          <w:rFonts w:hint="eastAsia" w:ascii="宋体" w:hAnsi="宋体" w:cs="hakuyoxingshu7000"/>
          <w:b/>
          <w:color w:val="auto"/>
          <w:sz w:val="22"/>
          <w:highlight w:val="none"/>
        </w:rPr>
        <w:t>1、合同内容</w:t>
      </w:r>
      <w:r>
        <w:rPr>
          <w:rFonts w:hint="eastAsia" w:ascii="宋体" w:hAnsi="宋体" w:cs="hakuyoxingshu7000"/>
          <w:color w:val="auto"/>
          <w:sz w:val="22"/>
          <w:highlight w:val="none"/>
        </w:rPr>
        <w:t>：依据招标文件及</w:t>
      </w:r>
      <w:r>
        <w:rPr>
          <w:rFonts w:hint="eastAsia" w:ascii="宋体" w:hAnsi="宋体" w:cs="hakuyoxingshu7000"/>
          <w:color w:val="auto"/>
          <w:kern w:val="0"/>
          <w:sz w:val="22"/>
          <w:szCs w:val="22"/>
          <w:highlight w:val="none"/>
          <w:lang w:val="zh-CN"/>
        </w:rPr>
        <w:t>招标人</w:t>
      </w:r>
      <w:r>
        <w:rPr>
          <w:rFonts w:hint="eastAsia" w:ascii="宋体" w:hAnsi="宋体" w:cs="hakuyoxingshu7000"/>
          <w:color w:val="auto"/>
          <w:sz w:val="22"/>
          <w:highlight w:val="none"/>
        </w:rPr>
        <w:t>规定的服务内容。</w:t>
      </w:r>
    </w:p>
    <w:p>
      <w:pPr>
        <w:spacing w:line="460" w:lineRule="exact"/>
        <w:rPr>
          <w:rFonts w:ascii="宋体" w:hAnsi="宋体" w:cs="hakuyoxingshu7000"/>
          <w:b/>
          <w:color w:val="auto"/>
          <w:sz w:val="22"/>
          <w:highlight w:val="none"/>
        </w:rPr>
      </w:pPr>
      <w:r>
        <w:rPr>
          <w:rFonts w:hint="eastAsia" w:ascii="宋体" w:hAnsi="宋体" w:cs="hakuyoxingshu7000"/>
          <w:b/>
          <w:color w:val="auto"/>
          <w:sz w:val="22"/>
          <w:highlight w:val="none"/>
        </w:rPr>
        <w:t>2、合同价格</w:t>
      </w:r>
    </w:p>
    <w:p>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本合同总价为人民币</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万元。“合同总价”是指根据本合同规定，乙方在正确地完全履行合同义务后甲方应支付给乙方的价款。即系统软件平台的设计、开发、调试、运行、维护/升级费用、税金、完成本项目所需的人工费以及招标代理服务费等全部费用，实行固定费用总包干，投标人应根据上述因素自行考虑含入投标总价。</w:t>
      </w:r>
    </w:p>
    <w:p>
      <w:pPr>
        <w:spacing w:line="460" w:lineRule="exact"/>
        <w:rPr>
          <w:rFonts w:ascii="宋体" w:hAnsi="宋体" w:cs="hakuyoxingshu7000"/>
          <w:color w:val="auto"/>
          <w:sz w:val="22"/>
          <w:highlight w:val="none"/>
        </w:rPr>
      </w:pPr>
      <w:r>
        <w:rPr>
          <w:rFonts w:hint="eastAsia" w:ascii="宋体" w:hAnsi="宋体" w:cs="hakuyoxingshu7000"/>
          <w:b/>
          <w:color w:val="auto"/>
          <w:sz w:val="22"/>
          <w:highlight w:val="none"/>
        </w:rPr>
        <w:t xml:space="preserve">3、项目实施时间： </w:t>
      </w:r>
    </w:p>
    <w:p>
      <w:pPr>
        <w:tabs>
          <w:tab w:val="left" w:pos="540"/>
        </w:tabs>
        <w:spacing w:line="460" w:lineRule="exact"/>
        <w:ind w:left="425"/>
        <w:rPr>
          <w:rFonts w:ascii="宋体" w:hAnsi="宋体" w:cs="hakuyoxingshu7000"/>
          <w:b/>
          <w:color w:val="auto"/>
          <w:sz w:val="22"/>
          <w:highlight w:val="none"/>
        </w:rPr>
      </w:pPr>
      <w:r>
        <w:rPr>
          <w:rFonts w:hint="eastAsia" w:ascii="宋体" w:hAnsi="宋体" w:cs="hakuyoxingshu7000"/>
          <w:b/>
          <w:color w:val="auto"/>
          <w:sz w:val="22"/>
          <w:highlight w:val="none"/>
        </w:rPr>
        <w:t>合同签定后10个月内完成系统开发并上线试运行，试运行3个月，完成最终验收。</w:t>
      </w:r>
    </w:p>
    <w:p>
      <w:pPr>
        <w:spacing w:line="460" w:lineRule="exact"/>
        <w:rPr>
          <w:rFonts w:ascii="宋体" w:hAnsi="宋体"/>
          <w:b/>
          <w:color w:val="auto"/>
          <w:sz w:val="22"/>
          <w:szCs w:val="22"/>
          <w:highlight w:val="none"/>
        </w:rPr>
      </w:pPr>
      <w:r>
        <w:rPr>
          <w:rFonts w:hint="eastAsia" w:ascii="宋体" w:hAnsi="宋体"/>
          <w:b/>
          <w:color w:val="auto"/>
          <w:sz w:val="22"/>
          <w:szCs w:val="22"/>
          <w:highlight w:val="none"/>
        </w:rPr>
        <w:t>4、合同说明</w:t>
      </w:r>
    </w:p>
    <w:p>
      <w:pPr>
        <w:tabs>
          <w:tab w:val="left" w:pos="540"/>
        </w:tabs>
        <w:spacing w:line="460" w:lineRule="exact"/>
        <w:ind w:left="425"/>
        <w:rPr>
          <w:rFonts w:ascii="宋体" w:hAnsi="宋体" w:cs="hakuyoxingshu7000"/>
          <w:color w:val="auto"/>
          <w:sz w:val="22"/>
          <w:highlight w:val="none"/>
        </w:rPr>
      </w:pPr>
      <w:r>
        <w:rPr>
          <w:rFonts w:hint="eastAsia" w:ascii="宋体" w:hAnsi="宋体" w:cs="hakuyoxingshu7000"/>
          <w:color w:val="auto"/>
          <w:sz w:val="22"/>
          <w:highlight w:val="none"/>
        </w:rPr>
        <w:t>甲、乙双方经过协商，就甲方希望获得乙方开发、生产的软件达成以下合同。</w:t>
      </w:r>
    </w:p>
    <w:p>
      <w:pPr>
        <w:spacing w:line="460" w:lineRule="exact"/>
        <w:rPr>
          <w:rFonts w:ascii="宋体" w:hAnsi="宋体"/>
          <w:color w:val="auto"/>
          <w:sz w:val="22"/>
          <w:szCs w:val="22"/>
          <w:highlight w:val="none"/>
        </w:rPr>
      </w:pPr>
      <w:r>
        <w:rPr>
          <w:rFonts w:hint="eastAsia" w:ascii="宋体" w:hAnsi="宋体"/>
          <w:b/>
          <w:color w:val="auto"/>
          <w:sz w:val="22"/>
          <w:szCs w:val="22"/>
          <w:highlight w:val="none"/>
        </w:rPr>
        <w:t>5、合同清单</w:t>
      </w:r>
    </w:p>
    <w:p>
      <w:pPr>
        <w:spacing w:line="460" w:lineRule="exact"/>
        <w:ind w:left="420" w:leftChars="200"/>
        <w:rPr>
          <w:rFonts w:ascii="宋体" w:hAnsi="宋体"/>
          <w:color w:val="auto"/>
          <w:sz w:val="22"/>
          <w:szCs w:val="22"/>
          <w:highlight w:val="none"/>
        </w:rPr>
      </w:pPr>
      <w:r>
        <w:rPr>
          <w:rFonts w:hint="eastAsia" w:ascii="宋体" w:hAnsi="宋体"/>
          <w:color w:val="auto"/>
          <w:sz w:val="22"/>
          <w:szCs w:val="22"/>
          <w:highlight w:val="none"/>
        </w:rPr>
        <w:t xml:space="preserve"> 软件清单。</w:t>
      </w:r>
    </w:p>
    <w:tbl>
      <w:tblPr>
        <w:tblStyle w:val="6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2978"/>
        <w:gridCol w:w="1985"/>
        <w:gridCol w:w="1866"/>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2978" w:type="dxa"/>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软件名称</w:t>
            </w:r>
          </w:p>
        </w:tc>
        <w:tc>
          <w:tcPr>
            <w:tcW w:w="1985" w:type="dxa"/>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版本号</w:t>
            </w:r>
          </w:p>
        </w:tc>
        <w:tc>
          <w:tcPr>
            <w:tcW w:w="1866" w:type="dxa"/>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单价</w:t>
            </w:r>
          </w:p>
        </w:tc>
        <w:tc>
          <w:tcPr>
            <w:tcW w:w="1642" w:type="dxa"/>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Align w:val="center"/>
          </w:tcPr>
          <w:p>
            <w:pPr>
              <w:spacing w:line="460" w:lineRule="exact"/>
              <w:ind w:firstLine="330" w:firstLineChars="150"/>
              <w:jc w:val="center"/>
              <w:rPr>
                <w:rFonts w:ascii="宋体" w:hAnsi="宋体"/>
                <w:color w:val="auto"/>
                <w:sz w:val="22"/>
                <w:szCs w:val="22"/>
                <w:highlight w:val="none"/>
              </w:rPr>
            </w:pPr>
          </w:p>
        </w:tc>
        <w:tc>
          <w:tcPr>
            <w:tcW w:w="2978" w:type="dxa"/>
            <w:vAlign w:val="center"/>
          </w:tcPr>
          <w:p>
            <w:pPr>
              <w:spacing w:line="460" w:lineRule="exact"/>
              <w:ind w:firstLine="330" w:firstLineChars="150"/>
              <w:jc w:val="center"/>
              <w:rPr>
                <w:rFonts w:ascii="宋体" w:hAnsi="宋体"/>
                <w:color w:val="auto"/>
                <w:sz w:val="22"/>
                <w:szCs w:val="22"/>
                <w:highlight w:val="none"/>
              </w:rPr>
            </w:pPr>
          </w:p>
        </w:tc>
        <w:tc>
          <w:tcPr>
            <w:tcW w:w="1985" w:type="dxa"/>
            <w:vAlign w:val="center"/>
          </w:tcPr>
          <w:p>
            <w:pPr>
              <w:spacing w:line="460" w:lineRule="exact"/>
              <w:ind w:firstLine="330" w:firstLineChars="150"/>
              <w:jc w:val="center"/>
              <w:rPr>
                <w:rFonts w:ascii="宋体" w:hAnsi="宋体"/>
                <w:color w:val="auto"/>
                <w:sz w:val="22"/>
                <w:szCs w:val="22"/>
                <w:highlight w:val="none"/>
              </w:rPr>
            </w:pPr>
          </w:p>
        </w:tc>
        <w:tc>
          <w:tcPr>
            <w:tcW w:w="1866" w:type="dxa"/>
            <w:vAlign w:val="center"/>
          </w:tcPr>
          <w:p>
            <w:pPr>
              <w:spacing w:line="460" w:lineRule="exact"/>
              <w:ind w:firstLine="330" w:firstLineChars="150"/>
              <w:jc w:val="center"/>
              <w:rPr>
                <w:rFonts w:ascii="宋体" w:hAnsi="宋体"/>
                <w:color w:val="auto"/>
                <w:sz w:val="22"/>
                <w:szCs w:val="22"/>
                <w:highlight w:val="none"/>
              </w:rPr>
            </w:pPr>
          </w:p>
        </w:tc>
        <w:tc>
          <w:tcPr>
            <w:tcW w:w="1642" w:type="dxa"/>
            <w:vAlign w:val="center"/>
          </w:tcPr>
          <w:p>
            <w:pPr>
              <w:spacing w:line="460" w:lineRule="exact"/>
              <w:ind w:firstLine="330" w:firstLineChars="150"/>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tcPr>
          <w:p>
            <w:pPr>
              <w:spacing w:line="460" w:lineRule="exact"/>
              <w:ind w:firstLine="330" w:firstLineChars="150"/>
              <w:rPr>
                <w:rFonts w:ascii="宋体" w:hAnsi="宋体"/>
                <w:color w:val="auto"/>
                <w:sz w:val="22"/>
                <w:szCs w:val="22"/>
                <w:highlight w:val="none"/>
              </w:rPr>
            </w:pPr>
          </w:p>
        </w:tc>
        <w:tc>
          <w:tcPr>
            <w:tcW w:w="2978" w:type="dxa"/>
          </w:tcPr>
          <w:p>
            <w:pPr>
              <w:spacing w:line="460" w:lineRule="exact"/>
              <w:ind w:firstLine="330" w:firstLineChars="150"/>
              <w:rPr>
                <w:rFonts w:ascii="宋体" w:hAnsi="宋体"/>
                <w:color w:val="auto"/>
                <w:sz w:val="22"/>
                <w:szCs w:val="22"/>
                <w:highlight w:val="none"/>
              </w:rPr>
            </w:pPr>
          </w:p>
        </w:tc>
        <w:tc>
          <w:tcPr>
            <w:tcW w:w="1985" w:type="dxa"/>
          </w:tcPr>
          <w:p>
            <w:pPr>
              <w:spacing w:line="460" w:lineRule="exact"/>
              <w:ind w:firstLine="330" w:firstLineChars="150"/>
              <w:rPr>
                <w:rFonts w:ascii="宋体" w:hAnsi="宋体"/>
                <w:color w:val="auto"/>
                <w:sz w:val="22"/>
                <w:szCs w:val="22"/>
                <w:highlight w:val="none"/>
              </w:rPr>
            </w:pPr>
          </w:p>
        </w:tc>
        <w:tc>
          <w:tcPr>
            <w:tcW w:w="1866" w:type="dxa"/>
          </w:tcPr>
          <w:p>
            <w:pPr>
              <w:spacing w:line="460" w:lineRule="exact"/>
              <w:ind w:firstLine="330" w:firstLineChars="150"/>
              <w:rPr>
                <w:rFonts w:ascii="宋体" w:hAnsi="宋体"/>
                <w:color w:val="auto"/>
                <w:sz w:val="22"/>
                <w:szCs w:val="22"/>
                <w:highlight w:val="none"/>
              </w:rPr>
            </w:pPr>
          </w:p>
        </w:tc>
        <w:tc>
          <w:tcPr>
            <w:tcW w:w="1642" w:type="dxa"/>
          </w:tcPr>
          <w:p>
            <w:pPr>
              <w:spacing w:line="460" w:lineRule="exact"/>
              <w:ind w:firstLine="330" w:firstLineChars="150"/>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tcPr>
          <w:p>
            <w:pPr>
              <w:spacing w:line="460" w:lineRule="exact"/>
              <w:ind w:firstLine="330" w:firstLineChars="150"/>
              <w:rPr>
                <w:rFonts w:ascii="宋体" w:hAnsi="宋体"/>
                <w:color w:val="auto"/>
                <w:sz w:val="22"/>
                <w:szCs w:val="22"/>
                <w:highlight w:val="none"/>
              </w:rPr>
            </w:pPr>
          </w:p>
        </w:tc>
        <w:tc>
          <w:tcPr>
            <w:tcW w:w="2978" w:type="dxa"/>
          </w:tcPr>
          <w:p>
            <w:pPr>
              <w:spacing w:line="460" w:lineRule="exact"/>
              <w:ind w:firstLine="330" w:firstLineChars="150"/>
              <w:rPr>
                <w:rFonts w:ascii="宋体" w:hAnsi="宋体"/>
                <w:color w:val="auto"/>
                <w:sz w:val="22"/>
                <w:szCs w:val="22"/>
                <w:highlight w:val="none"/>
              </w:rPr>
            </w:pPr>
          </w:p>
        </w:tc>
        <w:tc>
          <w:tcPr>
            <w:tcW w:w="1985" w:type="dxa"/>
          </w:tcPr>
          <w:p>
            <w:pPr>
              <w:spacing w:line="460" w:lineRule="exact"/>
              <w:ind w:firstLine="330" w:firstLineChars="150"/>
              <w:rPr>
                <w:rFonts w:ascii="宋体" w:hAnsi="宋体"/>
                <w:color w:val="auto"/>
                <w:sz w:val="22"/>
                <w:szCs w:val="22"/>
                <w:highlight w:val="none"/>
              </w:rPr>
            </w:pPr>
          </w:p>
        </w:tc>
        <w:tc>
          <w:tcPr>
            <w:tcW w:w="1866" w:type="dxa"/>
          </w:tcPr>
          <w:p>
            <w:pPr>
              <w:spacing w:line="460" w:lineRule="exact"/>
              <w:ind w:firstLine="330" w:firstLineChars="150"/>
              <w:rPr>
                <w:rFonts w:ascii="宋体" w:hAnsi="宋体"/>
                <w:color w:val="auto"/>
                <w:sz w:val="22"/>
                <w:szCs w:val="22"/>
                <w:highlight w:val="none"/>
              </w:rPr>
            </w:pPr>
          </w:p>
        </w:tc>
        <w:tc>
          <w:tcPr>
            <w:tcW w:w="1642" w:type="dxa"/>
          </w:tcPr>
          <w:p>
            <w:pPr>
              <w:spacing w:line="460" w:lineRule="exact"/>
              <w:ind w:firstLine="330" w:firstLineChars="150"/>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tcPr>
          <w:p>
            <w:pPr>
              <w:spacing w:line="460" w:lineRule="exact"/>
              <w:ind w:firstLine="330" w:firstLineChars="150"/>
              <w:rPr>
                <w:rFonts w:ascii="宋体" w:hAnsi="宋体"/>
                <w:color w:val="auto"/>
                <w:sz w:val="22"/>
                <w:szCs w:val="22"/>
                <w:highlight w:val="none"/>
              </w:rPr>
            </w:pPr>
          </w:p>
        </w:tc>
        <w:tc>
          <w:tcPr>
            <w:tcW w:w="2978" w:type="dxa"/>
          </w:tcPr>
          <w:p>
            <w:pPr>
              <w:spacing w:line="460" w:lineRule="exact"/>
              <w:ind w:firstLine="330" w:firstLineChars="150"/>
              <w:rPr>
                <w:rFonts w:ascii="宋体" w:hAnsi="宋体"/>
                <w:color w:val="auto"/>
                <w:sz w:val="22"/>
                <w:szCs w:val="22"/>
                <w:highlight w:val="none"/>
              </w:rPr>
            </w:pPr>
          </w:p>
        </w:tc>
        <w:tc>
          <w:tcPr>
            <w:tcW w:w="1985" w:type="dxa"/>
          </w:tcPr>
          <w:p>
            <w:pPr>
              <w:spacing w:line="460" w:lineRule="exact"/>
              <w:ind w:firstLine="330" w:firstLineChars="150"/>
              <w:rPr>
                <w:rFonts w:ascii="宋体" w:hAnsi="宋体"/>
                <w:color w:val="auto"/>
                <w:sz w:val="22"/>
                <w:szCs w:val="22"/>
                <w:highlight w:val="none"/>
              </w:rPr>
            </w:pPr>
          </w:p>
        </w:tc>
        <w:tc>
          <w:tcPr>
            <w:tcW w:w="1866" w:type="dxa"/>
          </w:tcPr>
          <w:p>
            <w:pPr>
              <w:spacing w:line="460" w:lineRule="exact"/>
              <w:ind w:firstLine="330" w:firstLineChars="150"/>
              <w:rPr>
                <w:rFonts w:ascii="宋体" w:hAnsi="宋体"/>
                <w:color w:val="auto"/>
                <w:sz w:val="22"/>
                <w:szCs w:val="22"/>
                <w:highlight w:val="none"/>
              </w:rPr>
            </w:pPr>
          </w:p>
        </w:tc>
        <w:tc>
          <w:tcPr>
            <w:tcW w:w="1642" w:type="dxa"/>
          </w:tcPr>
          <w:p>
            <w:pPr>
              <w:spacing w:line="460" w:lineRule="exact"/>
              <w:ind w:firstLine="330" w:firstLineChars="150"/>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tcPr>
          <w:p>
            <w:pPr>
              <w:spacing w:line="460" w:lineRule="exact"/>
              <w:ind w:firstLine="330" w:firstLineChars="150"/>
              <w:rPr>
                <w:rFonts w:ascii="宋体" w:hAnsi="宋体"/>
                <w:color w:val="auto"/>
                <w:sz w:val="22"/>
                <w:szCs w:val="22"/>
                <w:highlight w:val="none"/>
              </w:rPr>
            </w:pPr>
            <w:r>
              <w:rPr>
                <w:rFonts w:hint="eastAsia" w:ascii="宋体" w:hAnsi="宋体"/>
                <w:color w:val="auto"/>
                <w:sz w:val="22"/>
                <w:szCs w:val="22"/>
                <w:highlight w:val="none"/>
              </w:rPr>
              <w:t>...</w:t>
            </w:r>
          </w:p>
        </w:tc>
        <w:tc>
          <w:tcPr>
            <w:tcW w:w="2978" w:type="dxa"/>
          </w:tcPr>
          <w:p>
            <w:pPr>
              <w:spacing w:line="460" w:lineRule="exact"/>
              <w:ind w:firstLine="330" w:firstLineChars="150"/>
              <w:rPr>
                <w:rFonts w:ascii="宋体" w:hAnsi="宋体"/>
                <w:color w:val="auto"/>
                <w:sz w:val="22"/>
                <w:szCs w:val="22"/>
                <w:highlight w:val="none"/>
              </w:rPr>
            </w:pPr>
          </w:p>
        </w:tc>
        <w:tc>
          <w:tcPr>
            <w:tcW w:w="1985" w:type="dxa"/>
          </w:tcPr>
          <w:p>
            <w:pPr>
              <w:spacing w:line="460" w:lineRule="exact"/>
              <w:ind w:firstLine="330" w:firstLineChars="150"/>
              <w:rPr>
                <w:rFonts w:ascii="宋体" w:hAnsi="宋体"/>
                <w:color w:val="auto"/>
                <w:sz w:val="22"/>
                <w:szCs w:val="22"/>
                <w:highlight w:val="none"/>
              </w:rPr>
            </w:pPr>
          </w:p>
        </w:tc>
        <w:tc>
          <w:tcPr>
            <w:tcW w:w="1866" w:type="dxa"/>
          </w:tcPr>
          <w:p>
            <w:pPr>
              <w:spacing w:line="460" w:lineRule="exact"/>
              <w:ind w:firstLine="330" w:firstLineChars="150"/>
              <w:rPr>
                <w:rFonts w:ascii="宋体" w:hAnsi="宋体"/>
                <w:color w:val="auto"/>
                <w:sz w:val="22"/>
                <w:szCs w:val="22"/>
                <w:highlight w:val="none"/>
              </w:rPr>
            </w:pPr>
          </w:p>
        </w:tc>
        <w:tc>
          <w:tcPr>
            <w:tcW w:w="1642" w:type="dxa"/>
          </w:tcPr>
          <w:p>
            <w:pPr>
              <w:spacing w:line="460" w:lineRule="exact"/>
              <w:ind w:firstLine="330" w:firstLineChars="150"/>
              <w:rPr>
                <w:rFonts w:ascii="宋体" w:hAnsi="宋体"/>
                <w:color w:val="auto"/>
                <w:sz w:val="22"/>
                <w:szCs w:val="22"/>
                <w:highlight w:val="none"/>
              </w:rPr>
            </w:pPr>
          </w:p>
        </w:tc>
      </w:tr>
    </w:tbl>
    <w:p>
      <w:pPr>
        <w:spacing w:line="440" w:lineRule="exact"/>
        <w:rPr>
          <w:rFonts w:ascii="宋体" w:hAnsi="宋体"/>
          <w:b/>
          <w:color w:val="auto"/>
          <w:sz w:val="22"/>
          <w:szCs w:val="22"/>
          <w:highlight w:val="none"/>
        </w:rPr>
      </w:pPr>
      <w:r>
        <w:rPr>
          <w:rFonts w:hint="eastAsia" w:ascii="宋体" w:hAnsi="宋体"/>
          <w:b/>
          <w:color w:val="auto"/>
          <w:sz w:val="22"/>
          <w:szCs w:val="22"/>
          <w:highlight w:val="none"/>
        </w:rPr>
        <w:t>6、费用支付</w:t>
      </w:r>
    </w:p>
    <w:p>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第一笔款：合同签订生效之后7个工作日内，甲方向乙方支付合同总价的40%；</w:t>
      </w:r>
    </w:p>
    <w:p>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第二笔款  系统开发完成，完成最终验收后，向乙方支付合同总价的60%。</w:t>
      </w:r>
    </w:p>
    <w:p>
      <w:pPr>
        <w:spacing w:line="440" w:lineRule="exact"/>
        <w:rPr>
          <w:rFonts w:ascii="宋体" w:hAnsi="宋体"/>
          <w:b/>
          <w:color w:val="auto"/>
          <w:sz w:val="22"/>
          <w:szCs w:val="22"/>
          <w:highlight w:val="none"/>
        </w:rPr>
      </w:pPr>
      <w:r>
        <w:rPr>
          <w:rFonts w:hint="eastAsia" w:ascii="宋体" w:hAnsi="宋体"/>
          <w:b/>
          <w:color w:val="auto"/>
          <w:sz w:val="22"/>
          <w:szCs w:val="22"/>
          <w:highlight w:val="none"/>
        </w:rPr>
        <w:t>7、相关服务</w:t>
      </w:r>
    </w:p>
    <w:p>
      <w:pPr>
        <w:spacing w:line="440" w:lineRule="exact"/>
        <w:ind w:left="750" w:leftChars="200" w:hanging="330" w:hangingChars="150"/>
        <w:rPr>
          <w:rFonts w:ascii="宋体" w:hAnsi="宋体"/>
          <w:color w:val="auto"/>
          <w:sz w:val="22"/>
          <w:szCs w:val="22"/>
          <w:highlight w:val="none"/>
        </w:rPr>
      </w:pPr>
      <w:r>
        <w:rPr>
          <w:rFonts w:hint="eastAsia" w:ascii="宋体" w:hAnsi="宋体"/>
          <w:color w:val="auto"/>
          <w:sz w:val="22"/>
          <w:szCs w:val="22"/>
          <w:highlight w:val="none"/>
        </w:rPr>
        <w:t>乙方为甲方提供如下免费服务：</w:t>
      </w:r>
    </w:p>
    <w:p>
      <w:pPr>
        <w:spacing w:line="440" w:lineRule="exact"/>
        <w:ind w:firstLine="440" w:firstLineChars="200"/>
        <w:rPr>
          <w:rFonts w:ascii="宋体" w:hAnsi="宋体"/>
          <w:bCs/>
          <w:color w:val="auto"/>
          <w:sz w:val="22"/>
          <w:szCs w:val="22"/>
          <w:highlight w:val="none"/>
        </w:rPr>
      </w:pPr>
      <w:r>
        <w:rPr>
          <w:rFonts w:hint="eastAsia" w:ascii="宋体" w:hAnsi="宋体"/>
          <w:bCs/>
          <w:color w:val="auto"/>
          <w:sz w:val="22"/>
          <w:szCs w:val="22"/>
          <w:highlight w:val="none"/>
        </w:rPr>
        <w:t>乙方为甲方提供至少3年（36个月）的售后免费维护期</w:t>
      </w:r>
      <w:r>
        <w:rPr>
          <w:rFonts w:hint="eastAsia" w:ascii="宋体" w:hAnsi="宋体"/>
          <w:bCs/>
          <w:color w:val="auto"/>
          <w:sz w:val="22"/>
          <w:szCs w:val="22"/>
          <w:highlight w:val="none"/>
        </w:rPr>
        <w:t>，服务内容包括上述项目的安装调试、免费升级、故障排除、性能调优、技术咨询等，并负责系统的开发、集成，处理、协调与各系统软件、硬件等</w:t>
      </w:r>
      <w:r>
        <w:rPr>
          <w:rFonts w:hint="eastAsia" w:ascii="宋体" w:hAnsi="宋体"/>
          <w:bCs/>
          <w:color w:val="auto"/>
          <w:sz w:val="22"/>
          <w:szCs w:val="22"/>
          <w:highlight w:val="none"/>
          <w:lang w:eastAsia="zh-CN"/>
        </w:rPr>
        <w:t>投标人</w:t>
      </w:r>
      <w:r>
        <w:rPr>
          <w:rFonts w:hint="eastAsia" w:ascii="宋体" w:hAnsi="宋体"/>
          <w:bCs/>
          <w:color w:val="auto"/>
          <w:sz w:val="22"/>
          <w:szCs w:val="22"/>
          <w:highlight w:val="none"/>
        </w:rPr>
        <w:t>的关系。</w:t>
      </w:r>
    </w:p>
    <w:p>
      <w:pPr>
        <w:spacing w:line="440" w:lineRule="exact"/>
        <w:ind w:firstLine="440" w:firstLineChars="200"/>
        <w:rPr>
          <w:rFonts w:ascii="宋体" w:hAnsi="宋体"/>
          <w:bCs/>
          <w:color w:val="auto"/>
          <w:sz w:val="22"/>
          <w:szCs w:val="22"/>
          <w:highlight w:val="none"/>
        </w:rPr>
      </w:pPr>
      <w:r>
        <w:rPr>
          <w:rFonts w:hint="eastAsia" w:ascii="宋体" w:hAnsi="宋体"/>
          <w:bCs/>
          <w:color w:val="auto"/>
          <w:sz w:val="22"/>
          <w:szCs w:val="22"/>
          <w:highlight w:val="none"/>
        </w:rPr>
        <w:t>7.2提供7×24小时的服务响应，针对各类系统问题或故障在1小时内进行响应；重大技术问题，如有需要，技术人员在4小时内到现场进行处理，并在12小时内解决问题。</w:t>
      </w:r>
    </w:p>
    <w:p>
      <w:pPr>
        <w:spacing w:line="440" w:lineRule="exact"/>
        <w:ind w:firstLine="440" w:firstLineChars="200"/>
        <w:rPr>
          <w:rFonts w:ascii="宋体" w:hAnsi="宋体"/>
          <w:bCs/>
          <w:color w:val="auto"/>
          <w:sz w:val="22"/>
          <w:szCs w:val="22"/>
          <w:highlight w:val="none"/>
        </w:rPr>
      </w:pPr>
      <w:r>
        <w:rPr>
          <w:rFonts w:hint="eastAsia" w:ascii="宋体" w:hAnsi="宋体"/>
          <w:bCs/>
          <w:color w:val="auto"/>
          <w:sz w:val="22"/>
          <w:szCs w:val="22"/>
          <w:highlight w:val="none"/>
        </w:rPr>
        <w:t>7.3提供热线电话、Email、远程协助及现场服务等多种技术服务方式。</w:t>
      </w:r>
    </w:p>
    <w:p>
      <w:pPr>
        <w:spacing w:line="440" w:lineRule="exact"/>
        <w:ind w:firstLine="440" w:firstLineChars="200"/>
        <w:rPr>
          <w:rFonts w:ascii="宋体" w:hAnsi="宋体"/>
          <w:bCs/>
          <w:color w:val="auto"/>
          <w:sz w:val="22"/>
          <w:szCs w:val="22"/>
          <w:highlight w:val="none"/>
        </w:rPr>
      </w:pPr>
      <w:r>
        <w:rPr>
          <w:rFonts w:hint="eastAsia" w:ascii="宋体" w:hAnsi="宋体"/>
          <w:bCs/>
          <w:color w:val="auto"/>
          <w:sz w:val="22"/>
          <w:szCs w:val="22"/>
          <w:highlight w:val="none"/>
        </w:rPr>
        <w:t>7.4定期检查，每半年对系统运行状况进行一次例行巡检，分析出现的问题，提出改进、升级或调整的建议、方案，并消除隐患。</w:t>
      </w:r>
    </w:p>
    <w:p>
      <w:pPr>
        <w:spacing w:line="440" w:lineRule="exact"/>
        <w:ind w:firstLine="440" w:firstLineChars="200"/>
        <w:rPr>
          <w:rFonts w:ascii="宋体" w:hAnsi="宋体"/>
          <w:bCs/>
          <w:color w:val="auto"/>
          <w:sz w:val="22"/>
          <w:szCs w:val="22"/>
          <w:highlight w:val="none"/>
        </w:rPr>
      </w:pPr>
      <w:r>
        <w:rPr>
          <w:rFonts w:hint="eastAsia" w:ascii="宋体" w:hAnsi="宋体"/>
          <w:bCs/>
          <w:color w:val="auto"/>
          <w:sz w:val="22"/>
          <w:szCs w:val="22"/>
          <w:highlight w:val="none"/>
        </w:rPr>
        <w:t>7.5提供在正常条件下保证系统正常稳定运行的系统扩充、版本更新升级及功能更新服务。</w:t>
      </w:r>
    </w:p>
    <w:p>
      <w:pPr>
        <w:spacing w:line="440" w:lineRule="exact"/>
        <w:ind w:firstLine="440" w:firstLineChars="200"/>
        <w:rPr>
          <w:rFonts w:ascii="宋体" w:hAnsi="宋体"/>
          <w:bCs/>
          <w:color w:val="auto"/>
          <w:sz w:val="22"/>
          <w:szCs w:val="22"/>
          <w:highlight w:val="none"/>
        </w:rPr>
      </w:pPr>
      <w:r>
        <w:rPr>
          <w:rFonts w:hint="eastAsia" w:ascii="宋体" w:hAnsi="宋体"/>
          <w:bCs/>
          <w:color w:val="auto"/>
          <w:sz w:val="22"/>
          <w:szCs w:val="22"/>
          <w:highlight w:val="none"/>
        </w:rPr>
        <w:t>7.6每季度通过电话跟踪使用情况，及时了解存在的问题，并随时给予解决。</w:t>
      </w:r>
    </w:p>
    <w:p>
      <w:pPr>
        <w:spacing w:line="440" w:lineRule="exact"/>
        <w:ind w:firstLine="440" w:firstLineChars="200"/>
        <w:rPr>
          <w:rFonts w:ascii="宋体" w:hAnsi="宋体"/>
          <w:bCs/>
          <w:color w:val="auto"/>
          <w:sz w:val="22"/>
          <w:szCs w:val="22"/>
          <w:highlight w:val="none"/>
        </w:rPr>
      </w:pPr>
      <w:r>
        <w:rPr>
          <w:rFonts w:hint="eastAsia" w:ascii="宋体" w:hAnsi="宋体"/>
          <w:bCs/>
          <w:color w:val="auto"/>
          <w:sz w:val="22"/>
          <w:szCs w:val="22"/>
          <w:highlight w:val="none"/>
        </w:rPr>
        <w:t>7.7三年免费维护期时间从验收通过之日起计算.</w:t>
      </w:r>
    </w:p>
    <w:p>
      <w:pPr>
        <w:spacing w:line="440" w:lineRule="exact"/>
        <w:rPr>
          <w:rFonts w:ascii="宋体" w:hAnsi="宋体"/>
          <w:color w:val="auto"/>
          <w:sz w:val="22"/>
          <w:szCs w:val="22"/>
          <w:highlight w:val="none"/>
        </w:rPr>
      </w:pPr>
      <w:r>
        <w:rPr>
          <w:rFonts w:hint="eastAsia" w:ascii="宋体" w:hAnsi="宋体"/>
          <w:b/>
          <w:color w:val="auto"/>
          <w:sz w:val="22"/>
          <w:szCs w:val="22"/>
          <w:highlight w:val="none"/>
        </w:rPr>
        <w:t>8、产品开发</w:t>
      </w:r>
      <w:r>
        <w:rPr>
          <w:rFonts w:ascii="宋体" w:hAnsi="宋体"/>
          <w:b/>
          <w:color w:val="auto"/>
          <w:sz w:val="22"/>
          <w:szCs w:val="22"/>
          <w:highlight w:val="none"/>
        </w:rPr>
        <w:t>说明</w:t>
      </w:r>
    </w:p>
    <w:p>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8</w:t>
      </w:r>
      <w:r>
        <w:rPr>
          <w:rFonts w:ascii="宋体" w:hAnsi="宋体"/>
          <w:color w:val="auto"/>
          <w:sz w:val="22"/>
          <w:szCs w:val="22"/>
          <w:highlight w:val="none"/>
        </w:rPr>
        <w:t>.1</w:t>
      </w:r>
      <w:r>
        <w:rPr>
          <w:rFonts w:hint="eastAsia" w:ascii="宋体" w:hAnsi="宋体"/>
          <w:color w:val="auto"/>
          <w:sz w:val="22"/>
          <w:szCs w:val="22"/>
          <w:highlight w:val="none"/>
        </w:rPr>
        <w:t>甲方在未取得乙方正式书面同意后，不得擅自变更需求及标准。</w:t>
      </w:r>
    </w:p>
    <w:p>
      <w:pPr>
        <w:spacing w:line="440" w:lineRule="exact"/>
        <w:ind w:left="550" w:leftChars="262"/>
        <w:rPr>
          <w:rFonts w:ascii="宋体" w:hAnsi="宋体"/>
          <w:color w:val="auto"/>
          <w:sz w:val="22"/>
          <w:szCs w:val="22"/>
          <w:highlight w:val="none"/>
        </w:rPr>
      </w:pPr>
      <w:r>
        <w:rPr>
          <w:rFonts w:ascii="宋体" w:hAnsi="宋体"/>
          <w:color w:val="auto"/>
          <w:sz w:val="22"/>
          <w:szCs w:val="22"/>
          <w:highlight w:val="none"/>
        </w:rPr>
        <w:t>8.2</w:t>
      </w:r>
      <w:r>
        <w:rPr>
          <w:rFonts w:hint="eastAsia" w:ascii="宋体" w:hAnsi="宋体"/>
          <w:color w:val="auto"/>
          <w:sz w:val="22"/>
          <w:szCs w:val="22"/>
          <w:highlight w:val="none"/>
        </w:rPr>
        <w:t>甲方对项目需求及标准的变更仅限于需求调研、代码编写、内部测试阶段提出。进入用户测试阶段后，甲方不得提出需求和标准的更改要求。</w:t>
      </w:r>
    </w:p>
    <w:p>
      <w:pPr>
        <w:spacing w:line="440" w:lineRule="exact"/>
        <w:ind w:left="550" w:leftChars="262"/>
        <w:rPr>
          <w:rFonts w:ascii="宋体" w:hAnsi="宋体"/>
          <w:color w:val="auto"/>
          <w:sz w:val="22"/>
          <w:szCs w:val="22"/>
          <w:highlight w:val="none"/>
        </w:rPr>
      </w:pPr>
      <w:r>
        <w:rPr>
          <w:rFonts w:hint="eastAsia" w:ascii="宋体" w:hAnsi="宋体"/>
          <w:color w:val="auto"/>
          <w:sz w:val="22"/>
          <w:szCs w:val="22"/>
          <w:highlight w:val="none"/>
        </w:rPr>
        <w:t>8</w:t>
      </w:r>
      <w:r>
        <w:rPr>
          <w:rFonts w:ascii="宋体" w:hAnsi="宋体"/>
          <w:color w:val="auto"/>
          <w:sz w:val="22"/>
          <w:szCs w:val="22"/>
          <w:highlight w:val="none"/>
        </w:rPr>
        <w:t>.3</w:t>
      </w:r>
      <w:r>
        <w:rPr>
          <w:rFonts w:hint="eastAsia" w:ascii="宋体" w:hAnsi="宋体"/>
          <w:color w:val="auto"/>
          <w:sz w:val="22"/>
          <w:szCs w:val="22"/>
          <w:highlight w:val="none"/>
        </w:rPr>
        <w:t>在进入用户测试阶段前，如甲方认为确有必要变更项目需求及标准，必须以书面形式向乙方提出更改请求，乙方有权利决定是否变更需求，并以书面形式通知甲方是否变更。</w:t>
      </w:r>
    </w:p>
    <w:p>
      <w:pPr>
        <w:tabs>
          <w:tab w:val="left" w:pos="1260"/>
        </w:tabs>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8.4</w:t>
      </w:r>
      <w:r>
        <w:rPr>
          <w:rFonts w:hint="eastAsia" w:ascii="宋体" w:hAnsi="宋体"/>
          <w:color w:val="auto"/>
          <w:sz w:val="22"/>
          <w:szCs w:val="22"/>
          <w:highlight w:val="none"/>
        </w:rPr>
        <w:t>如乙方以书面形式同意变更，甲乙双方应就甲方更改需求造成的研发费用的增减、开发时间的改变重新商谈并达成协议，作为本合同的补充协议。</w:t>
      </w:r>
    </w:p>
    <w:p>
      <w:pPr>
        <w:spacing w:line="440" w:lineRule="exact"/>
        <w:rPr>
          <w:rFonts w:ascii="宋体" w:hAnsi="宋体"/>
          <w:color w:val="auto"/>
          <w:sz w:val="22"/>
          <w:szCs w:val="22"/>
          <w:highlight w:val="none"/>
        </w:rPr>
      </w:pPr>
      <w:r>
        <w:rPr>
          <w:rFonts w:ascii="宋体" w:hAnsi="宋体"/>
          <w:b/>
          <w:color w:val="auto"/>
          <w:sz w:val="22"/>
          <w:szCs w:val="22"/>
          <w:highlight w:val="none"/>
        </w:rPr>
        <w:t>9</w:t>
      </w:r>
      <w:r>
        <w:rPr>
          <w:rFonts w:hint="eastAsia" w:ascii="宋体" w:hAnsi="宋体"/>
          <w:b/>
          <w:color w:val="auto"/>
          <w:sz w:val="22"/>
          <w:szCs w:val="22"/>
          <w:highlight w:val="none"/>
        </w:rPr>
        <w:t>、产品保证</w:t>
      </w:r>
    </w:p>
    <w:p>
      <w:pPr>
        <w:spacing w:line="440" w:lineRule="exact"/>
        <w:ind w:left="550" w:leftChars="262"/>
        <w:rPr>
          <w:rFonts w:ascii="宋体" w:hAnsi="宋体"/>
          <w:color w:val="auto"/>
          <w:sz w:val="22"/>
          <w:szCs w:val="22"/>
          <w:highlight w:val="none"/>
        </w:rPr>
      </w:pPr>
      <w:r>
        <w:rPr>
          <w:rFonts w:ascii="宋体" w:hAnsi="宋体"/>
          <w:color w:val="auto"/>
          <w:sz w:val="22"/>
          <w:szCs w:val="22"/>
          <w:highlight w:val="none"/>
        </w:rPr>
        <w:t>9</w:t>
      </w:r>
      <w:r>
        <w:rPr>
          <w:rFonts w:hint="eastAsia" w:ascii="宋体" w:hAnsi="宋体"/>
          <w:color w:val="auto"/>
          <w:sz w:val="22"/>
          <w:szCs w:val="22"/>
          <w:highlight w:val="none"/>
        </w:rPr>
        <w:t>.1乙方保证交付的软件均符合说明书或使用手册所述功能，并由软件验收测试的成功完成予以</w:t>
      </w:r>
    </w:p>
    <w:p>
      <w:pPr>
        <w:spacing w:line="440" w:lineRule="exact"/>
        <w:ind w:left="550" w:leftChars="262"/>
        <w:rPr>
          <w:rFonts w:ascii="宋体" w:hAnsi="宋体"/>
          <w:color w:val="auto"/>
          <w:sz w:val="22"/>
          <w:szCs w:val="22"/>
          <w:highlight w:val="none"/>
        </w:rPr>
      </w:pPr>
      <w:r>
        <w:rPr>
          <w:rFonts w:hint="eastAsia" w:ascii="宋体" w:hAnsi="宋体"/>
          <w:color w:val="auto"/>
          <w:sz w:val="22"/>
          <w:szCs w:val="22"/>
          <w:highlight w:val="none"/>
        </w:rPr>
        <w:t>证明。验收测试的成功完成应被视为该软件能达到说明或使用手册所述功能的决定性证据。但本保证不适用于：</w:t>
      </w:r>
    </w:p>
    <w:p>
      <w:pPr>
        <w:spacing w:line="440" w:lineRule="exact"/>
        <w:ind w:left="743" w:leftChars="354"/>
        <w:rPr>
          <w:rFonts w:ascii="宋体" w:hAnsi="宋体"/>
          <w:color w:val="auto"/>
          <w:sz w:val="22"/>
          <w:szCs w:val="22"/>
          <w:highlight w:val="none"/>
        </w:rPr>
      </w:pPr>
      <w:r>
        <w:rPr>
          <w:rFonts w:ascii="宋体" w:hAnsi="宋体"/>
          <w:color w:val="auto"/>
          <w:sz w:val="22"/>
          <w:szCs w:val="22"/>
          <w:highlight w:val="none"/>
        </w:rPr>
        <w:t>9</w:t>
      </w:r>
      <w:r>
        <w:rPr>
          <w:rFonts w:hint="eastAsia" w:ascii="宋体" w:hAnsi="宋体"/>
          <w:color w:val="auto"/>
          <w:sz w:val="22"/>
          <w:szCs w:val="22"/>
          <w:highlight w:val="none"/>
        </w:rPr>
        <w:t>.1.1乙方之外的任何人对该软件作任何方式的修改；</w:t>
      </w:r>
    </w:p>
    <w:p>
      <w:pPr>
        <w:spacing w:line="440" w:lineRule="exact"/>
        <w:ind w:left="743" w:leftChars="354"/>
        <w:rPr>
          <w:rFonts w:ascii="宋体" w:hAnsi="宋体"/>
          <w:color w:val="auto"/>
          <w:sz w:val="22"/>
          <w:szCs w:val="22"/>
          <w:highlight w:val="none"/>
        </w:rPr>
      </w:pPr>
      <w:r>
        <w:rPr>
          <w:rFonts w:ascii="宋体" w:hAnsi="宋体"/>
          <w:color w:val="auto"/>
          <w:sz w:val="22"/>
          <w:szCs w:val="22"/>
          <w:highlight w:val="none"/>
        </w:rPr>
        <w:t>9</w:t>
      </w:r>
      <w:r>
        <w:rPr>
          <w:rFonts w:hint="eastAsia" w:ascii="宋体" w:hAnsi="宋体"/>
          <w:color w:val="auto"/>
          <w:sz w:val="22"/>
          <w:szCs w:val="22"/>
          <w:highlight w:val="none"/>
        </w:rPr>
        <w:t>.1.2甲方未按软件所附说明书或用户手册的规定使用软件；</w:t>
      </w:r>
    </w:p>
    <w:p>
      <w:pPr>
        <w:spacing w:line="440" w:lineRule="exact"/>
        <w:ind w:left="743" w:leftChars="354"/>
        <w:rPr>
          <w:rFonts w:ascii="宋体" w:hAnsi="宋体"/>
          <w:color w:val="auto"/>
          <w:sz w:val="22"/>
          <w:szCs w:val="22"/>
          <w:highlight w:val="none"/>
        </w:rPr>
      </w:pPr>
      <w:r>
        <w:rPr>
          <w:rFonts w:ascii="宋体" w:hAnsi="宋体"/>
          <w:color w:val="auto"/>
          <w:sz w:val="22"/>
          <w:szCs w:val="22"/>
          <w:highlight w:val="none"/>
        </w:rPr>
        <w:t>9</w:t>
      </w:r>
      <w:r>
        <w:rPr>
          <w:rFonts w:hint="eastAsia" w:ascii="宋体" w:hAnsi="宋体"/>
          <w:color w:val="auto"/>
          <w:sz w:val="22"/>
          <w:szCs w:val="22"/>
          <w:highlight w:val="none"/>
        </w:rPr>
        <w:t>.1.3由于甲方原因或第三方产品的故障、网络故障等使软件无法正常运行。</w:t>
      </w:r>
    </w:p>
    <w:p>
      <w:pPr>
        <w:spacing w:line="440" w:lineRule="exact"/>
        <w:ind w:left="1121" w:leftChars="534"/>
        <w:rPr>
          <w:rFonts w:ascii="宋体" w:hAnsi="宋体"/>
          <w:color w:val="auto"/>
          <w:sz w:val="22"/>
          <w:szCs w:val="22"/>
          <w:highlight w:val="none"/>
        </w:rPr>
      </w:pPr>
      <w:r>
        <w:rPr>
          <w:rFonts w:hint="eastAsia" w:ascii="宋体" w:hAnsi="宋体"/>
          <w:color w:val="auto"/>
          <w:sz w:val="22"/>
          <w:szCs w:val="22"/>
          <w:highlight w:val="none"/>
        </w:rPr>
        <w:t>如果软件未能按照说明书或使用手册的功能运行，乙方应负责对软件进行修正或者在修正不能的情况下，免费为甲方更换符合规定的软件。如果上述二种方法均不可行，甲方有权终止软件不符合规定的部分，并由乙方返还甲方已经支付该部分的费用。</w:t>
      </w:r>
    </w:p>
    <w:p>
      <w:pPr>
        <w:spacing w:line="440" w:lineRule="exact"/>
        <w:ind w:left="582" w:leftChars="277"/>
        <w:rPr>
          <w:rFonts w:ascii="宋体" w:hAnsi="宋体"/>
          <w:color w:val="auto"/>
          <w:sz w:val="22"/>
          <w:szCs w:val="22"/>
          <w:highlight w:val="none"/>
        </w:rPr>
      </w:pPr>
      <w:r>
        <w:rPr>
          <w:rFonts w:ascii="宋体" w:hAnsi="宋体"/>
          <w:color w:val="auto"/>
          <w:sz w:val="22"/>
          <w:szCs w:val="22"/>
          <w:highlight w:val="none"/>
        </w:rPr>
        <w:t>9</w:t>
      </w:r>
      <w:r>
        <w:rPr>
          <w:rFonts w:hint="eastAsia" w:ascii="宋体" w:hAnsi="宋体"/>
          <w:color w:val="auto"/>
          <w:sz w:val="22"/>
          <w:szCs w:val="22"/>
          <w:highlight w:val="none"/>
        </w:rPr>
        <w:t>.2从本项目软件系统终验合格，正式交付使用之日起三年内，软件的储存载体、加密附件出现非人为的物理损坏、乙方应根据甲方的书面要求给予免费修正更换，对人为损坏或遗失则需适当收费。</w:t>
      </w:r>
    </w:p>
    <w:p>
      <w:pPr>
        <w:tabs>
          <w:tab w:val="left" w:pos="1260"/>
        </w:tabs>
        <w:spacing w:line="440" w:lineRule="exact"/>
        <w:rPr>
          <w:rFonts w:ascii="宋体" w:hAnsi="宋体"/>
          <w:b/>
          <w:color w:val="auto"/>
          <w:sz w:val="22"/>
          <w:szCs w:val="22"/>
          <w:highlight w:val="none"/>
        </w:rPr>
      </w:pPr>
      <w:r>
        <w:rPr>
          <w:rFonts w:ascii="宋体" w:hAnsi="宋体"/>
          <w:b/>
          <w:color w:val="auto"/>
          <w:sz w:val="22"/>
          <w:szCs w:val="22"/>
          <w:highlight w:val="none"/>
        </w:rPr>
        <w:t>10</w:t>
      </w:r>
      <w:r>
        <w:rPr>
          <w:rFonts w:hint="eastAsia" w:ascii="宋体" w:hAnsi="宋体"/>
          <w:b/>
          <w:color w:val="auto"/>
          <w:sz w:val="22"/>
          <w:szCs w:val="22"/>
          <w:highlight w:val="none"/>
        </w:rPr>
        <w:t>、产品验收</w:t>
      </w:r>
    </w:p>
    <w:p>
      <w:pPr>
        <w:spacing w:line="440" w:lineRule="exact"/>
        <w:ind w:firstLine="330" w:firstLineChars="150"/>
        <w:rPr>
          <w:rFonts w:ascii="宋体" w:hAnsi="宋体"/>
          <w:color w:val="auto"/>
          <w:sz w:val="22"/>
          <w:szCs w:val="22"/>
          <w:highlight w:val="none"/>
        </w:rPr>
      </w:pPr>
      <w:r>
        <w:rPr>
          <w:rFonts w:hint="eastAsia" w:ascii="宋体" w:hAnsi="宋体"/>
          <w:color w:val="auto"/>
          <w:sz w:val="22"/>
          <w:szCs w:val="22"/>
          <w:highlight w:val="none"/>
        </w:rPr>
        <w:t>9.1甲方对产品外部瑕疵的异议，应在收到该产品之日当面提出。</w:t>
      </w:r>
    </w:p>
    <w:p>
      <w:pPr>
        <w:spacing w:line="440" w:lineRule="exact"/>
        <w:ind w:left="653" w:leftChars="154" w:hanging="330" w:hangingChars="150"/>
        <w:rPr>
          <w:rFonts w:ascii="宋体" w:hAnsi="宋体"/>
          <w:color w:val="auto"/>
          <w:sz w:val="22"/>
          <w:szCs w:val="22"/>
          <w:highlight w:val="none"/>
        </w:rPr>
      </w:pPr>
      <w:r>
        <w:rPr>
          <w:rFonts w:hint="eastAsia" w:ascii="宋体" w:hAnsi="宋体"/>
          <w:color w:val="auto"/>
          <w:sz w:val="22"/>
          <w:szCs w:val="22"/>
          <w:highlight w:val="none"/>
        </w:rPr>
        <w:t>9.2乙方在甲方指定场所完成软件产品的安装和调试工作（包括个性化改造及适应性修改部份），并与甲方一起按软件的说明书或使用手册规定的技术指标和参数对该软件进行验收测试，验收测试合格后，甲方和乙方代表共同在验收合格证明书上签字。验收分为试运行和终验：</w:t>
      </w:r>
    </w:p>
    <w:p>
      <w:pPr>
        <w:spacing w:line="440" w:lineRule="exact"/>
        <w:rPr>
          <w:rFonts w:ascii="宋体" w:hAnsi="宋体"/>
          <w:color w:val="auto"/>
          <w:sz w:val="22"/>
          <w:szCs w:val="22"/>
          <w:highlight w:val="none"/>
        </w:rPr>
      </w:pPr>
      <w:r>
        <w:rPr>
          <w:rFonts w:hint="eastAsia" w:ascii="宋体" w:hAnsi="宋体"/>
          <w:b/>
          <w:color w:val="auto"/>
          <w:sz w:val="22"/>
          <w:szCs w:val="22"/>
          <w:highlight w:val="none"/>
        </w:rPr>
        <w:t>1</w:t>
      </w:r>
      <w:r>
        <w:rPr>
          <w:rFonts w:ascii="宋体" w:hAnsi="宋体"/>
          <w:b/>
          <w:color w:val="auto"/>
          <w:sz w:val="22"/>
          <w:szCs w:val="22"/>
          <w:highlight w:val="none"/>
        </w:rPr>
        <w:t>1</w:t>
      </w:r>
      <w:r>
        <w:rPr>
          <w:rFonts w:hint="eastAsia" w:ascii="宋体" w:hAnsi="宋体"/>
          <w:b/>
          <w:color w:val="auto"/>
          <w:sz w:val="22"/>
          <w:szCs w:val="22"/>
          <w:highlight w:val="none"/>
        </w:rPr>
        <w:t>、免责条款</w:t>
      </w:r>
    </w:p>
    <w:p>
      <w:pPr>
        <w:spacing w:line="440" w:lineRule="exact"/>
        <w:ind w:left="328" w:leftChars="156" w:firstLine="110" w:firstLineChars="50"/>
        <w:rPr>
          <w:rFonts w:ascii="宋体" w:hAnsi="宋体"/>
          <w:color w:val="auto"/>
          <w:sz w:val="22"/>
          <w:szCs w:val="22"/>
          <w:highlight w:val="none"/>
        </w:rPr>
      </w:pPr>
      <w:r>
        <w:rPr>
          <w:rFonts w:hint="eastAsia" w:ascii="宋体" w:hAnsi="宋体"/>
          <w:color w:val="auto"/>
          <w:sz w:val="22"/>
          <w:szCs w:val="22"/>
          <w:highlight w:val="none"/>
        </w:rPr>
        <w:t>乙方对甲方因软件遗失、被盗、被误用或被擅自修改、计算机设备故障、操作失误等情况造成的损失不负责任。</w:t>
      </w:r>
    </w:p>
    <w:p>
      <w:pPr>
        <w:tabs>
          <w:tab w:val="left" w:pos="1260"/>
        </w:tabs>
        <w:spacing w:line="440" w:lineRule="exact"/>
        <w:rPr>
          <w:rFonts w:ascii="宋体" w:hAnsi="宋体"/>
          <w:b/>
          <w:color w:val="auto"/>
          <w:sz w:val="22"/>
          <w:szCs w:val="22"/>
          <w:highlight w:val="none"/>
        </w:rPr>
      </w:pPr>
      <w:r>
        <w:rPr>
          <w:rFonts w:hint="eastAsia" w:ascii="宋体" w:hAnsi="宋体"/>
          <w:b/>
          <w:color w:val="auto"/>
          <w:sz w:val="22"/>
          <w:szCs w:val="22"/>
          <w:highlight w:val="none"/>
        </w:rPr>
        <w:t>1</w:t>
      </w:r>
      <w:r>
        <w:rPr>
          <w:rFonts w:ascii="宋体" w:hAnsi="宋体"/>
          <w:b/>
          <w:color w:val="auto"/>
          <w:sz w:val="22"/>
          <w:szCs w:val="22"/>
          <w:highlight w:val="none"/>
        </w:rPr>
        <w:t>2</w:t>
      </w:r>
      <w:r>
        <w:rPr>
          <w:rFonts w:hint="eastAsia" w:ascii="宋体" w:hAnsi="宋体"/>
          <w:b/>
          <w:color w:val="auto"/>
          <w:sz w:val="22"/>
          <w:szCs w:val="22"/>
          <w:highlight w:val="none"/>
        </w:rPr>
        <w:t>、软件著作权</w:t>
      </w:r>
    </w:p>
    <w:p>
      <w:pPr>
        <w:pStyle w:val="122"/>
        <w:numPr>
          <w:ilvl w:val="0"/>
          <w:numId w:val="46"/>
        </w:numPr>
        <w:spacing w:line="440" w:lineRule="exact"/>
        <w:ind w:firstLineChars="0"/>
        <w:rPr>
          <w:rFonts w:ascii="宋体" w:hAnsi="宋体"/>
          <w:color w:val="auto"/>
          <w:sz w:val="22"/>
          <w:highlight w:val="none"/>
        </w:rPr>
      </w:pPr>
      <w:r>
        <w:rPr>
          <w:rFonts w:hint="eastAsia" w:ascii="宋体" w:hAnsi="宋体"/>
          <w:color w:val="auto"/>
          <w:sz w:val="22"/>
          <w:highlight w:val="none"/>
        </w:rPr>
        <w:t>软件的著作权归乙方所有。</w:t>
      </w:r>
    </w:p>
    <w:p>
      <w:pPr>
        <w:spacing w:line="440" w:lineRule="exact"/>
        <w:ind w:left="328" w:leftChars="156"/>
        <w:rPr>
          <w:rFonts w:ascii="宋体" w:hAnsi="宋体"/>
          <w:color w:val="auto"/>
          <w:sz w:val="22"/>
          <w:szCs w:val="22"/>
          <w:highlight w:val="none"/>
        </w:rPr>
      </w:pPr>
      <w:r>
        <w:rPr>
          <w:rFonts w:hint="eastAsia" w:ascii="宋体" w:hAnsi="宋体"/>
          <w:color w:val="auto"/>
          <w:sz w:val="22"/>
          <w:szCs w:val="22"/>
          <w:highlight w:val="none"/>
        </w:rPr>
        <w:t>乙方承诺：本合同规定的软件系统（包括个性化改造及适应性修改部份）是独立、可稳定运行的系统，不需要另外依靠第三方软件的支持；本软件如与甲方在用其它第三方软件冲突，由乙方负责解决；乙方已依法进行了计算机软件著作权登记，或已经通过由有关部门组织的验收，准予在甲方所处行业或部门推广应用；甲方在使用过程中，不会遭遇知识产权方面的阻碍。</w:t>
      </w:r>
    </w:p>
    <w:p>
      <w:pPr>
        <w:pStyle w:val="122"/>
        <w:numPr>
          <w:ilvl w:val="0"/>
          <w:numId w:val="46"/>
        </w:numPr>
        <w:spacing w:line="440" w:lineRule="exact"/>
        <w:ind w:firstLineChars="0"/>
        <w:rPr>
          <w:rFonts w:ascii="宋体" w:hAnsi="宋体"/>
          <w:color w:val="auto"/>
          <w:sz w:val="22"/>
          <w:highlight w:val="none"/>
        </w:rPr>
      </w:pPr>
      <w:r>
        <w:rPr>
          <w:rFonts w:hint="eastAsia" w:ascii="宋体" w:hAnsi="宋体"/>
          <w:color w:val="auto"/>
          <w:sz w:val="22"/>
          <w:highlight w:val="none"/>
        </w:rPr>
        <w:t>乙方如需将本软件（含源代码、著作权等）做第三方商业用途，必须经过甲方书面同意。甲方保有优先购买本软件的权利。</w:t>
      </w:r>
    </w:p>
    <w:p>
      <w:pPr>
        <w:spacing w:line="440" w:lineRule="exact"/>
        <w:rPr>
          <w:rFonts w:ascii="宋体" w:hAnsi="宋体"/>
          <w:color w:val="auto"/>
          <w:sz w:val="22"/>
          <w:szCs w:val="22"/>
          <w:highlight w:val="none"/>
        </w:rPr>
      </w:pPr>
      <w:r>
        <w:rPr>
          <w:rFonts w:hint="eastAsia" w:ascii="宋体" w:hAnsi="宋体"/>
          <w:b/>
          <w:color w:val="auto"/>
          <w:sz w:val="22"/>
          <w:szCs w:val="22"/>
          <w:highlight w:val="none"/>
        </w:rPr>
        <w:t>13、违约责任</w:t>
      </w:r>
    </w:p>
    <w:p>
      <w:pPr>
        <w:tabs>
          <w:tab w:val="left" w:pos="1080"/>
        </w:tabs>
        <w:spacing w:line="440" w:lineRule="exact"/>
        <w:ind w:left="439" w:leftChars="209"/>
        <w:rPr>
          <w:rFonts w:ascii="宋体" w:hAnsi="宋体"/>
          <w:color w:val="auto"/>
          <w:sz w:val="22"/>
          <w:szCs w:val="22"/>
          <w:highlight w:val="none"/>
        </w:rPr>
      </w:pPr>
      <w:r>
        <w:rPr>
          <w:rFonts w:hint="eastAsia" w:ascii="宋体" w:hAnsi="宋体"/>
          <w:color w:val="auto"/>
          <w:sz w:val="22"/>
          <w:szCs w:val="22"/>
          <w:highlight w:val="none"/>
        </w:rPr>
        <w:t>本合同签订生效即具有法律效力，双方必须严格遵守，如乙方未按时交货（包括个性化改造），并在规定时间内完成安装、调试，或所提交的软件系统商品达不到合同规定的指标，乙方应当承担违约方式和违约金额如下：每超期10天，扣合同金额的</w:t>
      </w:r>
      <w:r>
        <w:rPr>
          <w:rFonts w:hint="eastAsia" w:ascii="宋体" w:hAnsi="宋体"/>
          <w:b/>
          <w:color w:val="auto"/>
          <w:sz w:val="22"/>
          <w:szCs w:val="22"/>
          <w:highlight w:val="none"/>
          <w:u w:val="single"/>
        </w:rPr>
        <w:t xml:space="preserve">0.5 </w:t>
      </w:r>
      <w:r>
        <w:rPr>
          <w:rFonts w:hint="eastAsia" w:ascii="宋体" w:hAnsi="宋体"/>
          <w:b/>
          <w:color w:val="auto"/>
          <w:sz w:val="22"/>
          <w:szCs w:val="22"/>
          <w:highlight w:val="none"/>
        </w:rPr>
        <w:t>%</w:t>
      </w:r>
      <w:r>
        <w:rPr>
          <w:rFonts w:hint="eastAsia" w:ascii="宋体" w:hAnsi="宋体"/>
          <w:color w:val="auto"/>
          <w:sz w:val="22"/>
          <w:szCs w:val="22"/>
          <w:highlight w:val="none"/>
        </w:rPr>
        <w:t>；累计超期30天，甲方有权终止执行合同。</w:t>
      </w:r>
    </w:p>
    <w:p>
      <w:pPr>
        <w:tabs>
          <w:tab w:val="left" w:pos="1080"/>
        </w:tabs>
        <w:spacing w:line="440" w:lineRule="exact"/>
        <w:rPr>
          <w:rFonts w:ascii="宋体" w:hAnsi="宋体"/>
          <w:b/>
          <w:color w:val="auto"/>
          <w:sz w:val="22"/>
          <w:szCs w:val="22"/>
          <w:highlight w:val="none"/>
        </w:rPr>
      </w:pPr>
      <w:r>
        <w:rPr>
          <w:rFonts w:hint="eastAsia" w:ascii="宋体" w:hAnsi="宋体"/>
          <w:b/>
          <w:color w:val="auto"/>
          <w:sz w:val="22"/>
          <w:szCs w:val="22"/>
          <w:highlight w:val="none"/>
        </w:rPr>
        <w:t>14、争议解决</w:t>
      </w:r>
    </w:p>
    <w:p>
      <w:pPr>
        <w:tabs>
          <w:tab w:val="left" w:pos="1080"/>
        </w:tabs>
        <w:spacing w:line="440" w:lineRule="exact"/>
        <w:ind w:left="328" w:leftChars="156"/>
        <w:rPr>
          <w:rFonts w:ascii="宋体" w:hAnsi="宋体"/>
          <w:color w:val="auto"/>
          <w:sz w:val="22"/>
          <w:szCs w:val="22"/>
          <w:highlight w:val="none"/>
        </w:rPr>
      </w:pPr>
      <w:r>
        <w:rPr>
          <w:rFonts w:hint="eastAsia" w:ascii="宋体" w:hAnsi="宋体"/>
          <w:color w:val="auto"/>
          <w:sz w:val="22"/>
          <w:szCs w:val="22"/>
          <w:highlight w:val="none"/>
        </w:rPr>
        <w:t>凡由本合同引起的或与解释或执行本合同有关的任何争议，双方应首先通过友好协商或调解解决。若协商或调解不成，双方约定：向甲方所在地的仲裁，仲裁应依据该委员会当时的仲裁规则进行；仲裁裁决是终局的，对双方都有约束力；仲裁费用应由败诉方承担，除非仲裁裁决另有裁定。</w:t>
      </w:r>
    </w:p>
    <w:p>
      <w:pPr>
        <w:spacing w:line="440" w:lineRule="exact"/>
        <w:rPr>
          <w:rFonts w:ascii="宋体" w:hAnsi="宋体"/>
          <w:b/>
          <w:color w:val="auto"/>
          <w:sz w:val="22"/>
          <w:szCs w:val="22"/>
          <w:highlight w:val="none"/>
        </w:rPr>
      </w:pPr>
      <w:r>
        <w:rPr>
          <w:rFonts w:hint="eastAsia" w:ascii="宋体" w:hAnsi="宋体"/>
          <w:b/>
          <w:color w:val="auto"/>
          <w:sz w:val="22"/>
          <w:szCs w:val="22"/>
          <w:highlight w:val="none"/>
        </w:rPr>
        <w:t>15、合同生效及其他</w:t>
      </w:r>
    </w:p>
    <w:p>
      <w:pPr>
        <w:tabs>
          <w:tab w:val="left" w:pos="900"/>
        </w:tabs>
        <w:spacing w:line="44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15.1本合同一式四份，甲、乙方各执贰份，均具有同等的法律效应。</w:t>
      </w:r>
    </w:p>
    <w:p>
      <w:pPr>
        <w:tabs>
          <w:tab w:val="left" w:pos="900"/>
        </w:tabs>
        <w:spacing w:line="44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15.2如需修改或补充合同内容，经协商，双方应签署书面修改或补充协议，该协议将作为本合同的一个组成部分。</w:t>
      </w:r>
    </w:p>
    <w:p>
      <w:pPr>
        <w:snapToGrid w:val="0"/>
        <w:spacing w:line="400" w:lineRule="exact"/>
        <w:ind w:left="420" w:hanging="420"/>
        <w:rPr>
          <w:rFonts w:ascii="宋体" w:hAnsi="宋体"/>
          <w:bCs/>
          <w:color w:val="auto"/>
          <w:sz w:val="22"/>
          <w:szCs w:val="22"/>
          <w:highlight w:val="none"/>
        </w:rPr>
      </w:pPr>
    </w:p>
    <w:p>
      <w:pPr>
        <w:snapToGrid w:val="0"/>
        <w:spacing w:line="400" w:lineRule="exact"/>
        <w:ind w:left="420" w:hanging="420"/>
        <w:rPr>
          <w:rFonts w:ascii="宋体" w:hAnsi="宋体" w:cs="宋体"/>
          <w:color w:val="auto"/>
          <w:sz w:val="22"/>
          <w:szCs w:val="22"/>
          <w:highlight w:val="none"/>
        </w:rPr>
      </w:pPr>
      <w:r>
        <w:rPr>
          <w:rFonts w:hint="eastAsia" w:ascii="宋体" w:hAnsi="宋体" w:cs="宋体"/>
          <w:color w:val="auto"/>
          <w:sz w:val="22"/>
          <w:szCs w:val="22"/>
          <w:highlight w:val="none"/>
        </w:rPr>
        <w:t>（本行以下无正文）</w:t>
      </w:r>
    </w:p>
    <w:p>
      <w:pPr>
        <w:spacing w:line="400" w:lineRule="exact"/>
        <w:rPr>
          <w:rFonts w:ascii="宋体" w:hAnsi="宋体"/>
          <w:color w:val="auto"/>
          <w:sz w:val="22"/>
          <w:szCs w:val="22"/>
          <w:highlight w:val="none"/>
        </w:rPr>
      </w:pPr>
    </w:p>
    <w:p>
      <w:pPr>
        <w:spacing w:line="400" w:lineRule="exact"/>
        <w:ind w:left="540"/>
        <w:rPr>
          <w:rFonts w:ascii="宋体" w:hAnsi="宋体"/>
          <w:b/>
          <w:color w:val="auto"/>
          <w:sz w:val="22"/>
          <w:szCs w:val="22"/>
          <w:highlight w:val="none"/>
        </w:rPr>
      </w:pPr>
      <w:r>
        <w:rPr>
          <w:rFonts w:hint="eastAsia" w:ascii="宋体" w:hAnsi="宋体"/>
          <w:b/>
          <w:color w:val="auto"/>
          <w:sz w:val="22"/>
          <w:szCs w:val="22"/>
          <w:highlight w:val="none"/>
        </w:rPr>
        <w:t>下列文件构成本合同的组成部分：</w:t>
      </w:r>
    </w:p>
    <w:p>
      <w:pPr>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 xml:space="preserve">  （1）合同主要条款                 （2）合同的特殊条款</w:t>
      </w:r>
    </w:p>
    <w:p>
      <w:pPr>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 xml:space="preserve">  （3）售后服务条款                 （4）中标通知书</w:t>
      </w:r>
    </w:p>
    <w:p>
      <w:pPr>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 xml:space="preserve">   (5) 投标分项报价表                (6) 技术规格、商务条款偏离表</w:t>
      </w:r>
    </w:p>
    <w:p>
      <w:pPr>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 xml:space="preserve">   (7) 招标内容及要求               （8）合同补充条款或说明（如有的话）</w:t>
      </w:r>
    </w:p>
    <w:p>
      <w:pPr>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 xml:space="preserve">   (9)承诺书 （含询标记录和优惠条件）</w:t>
      </w:r>
    </w:p>
    <w:p>
      <w:pPr>
        <w:pStyle w:val="34"/>
        <w:tabs>
          <w:tab w:val="left" w:pos="7935"/>
        </w:tabs>
        <w:snapToGrid w:val="0"/>
        <w:spacing w:line="400" w:lineRule="exact"/>
        <w:rPr>
          <w:rFonts w:hAnsi="宋体" w:cs="Arial"/>
          <w:color w:val="auto"/>
          <w:sz w:val="22"/>
          <w:szCs w:val="22"/>
          <w:highlight w:val="none"/>
        </w:rPr>
      </w:pPr>
    </w:p>
    <w:p>
      <w:pPr>
        <w:pStyle w:val="34"/>
        <w:tabs>
          <w:tab w:val="left" w:pos="7935"/>
        </w:tabs>
        <w:snapToGrid w:val="0"/>
        <w:spacing w:line="400" w:lineRule="exact"/>
        <w:rPr>
          <w:rFonts w:hAnsi="宋体" w:cs="Arial"/>
          <w:color w:val="auto"/>
          <w:sz w:val="22"/>
          <w:szCs w:val="22"/>
          <w:highlight w:val="none"/>
        </w:rPr>
      </w:pPr>
      <w:r>
        <w:rPr>
          <w:rFonts w:hint="eastAsia" w:hAnsi="宋体" w:cs="Arial"/>
          <w:color w:val="auto"/>
          <w:sz w:val="22"/>
          <w:szCs w:val="22"/>
          <w:highlight w:val="none"/>
        </w:rPr>
        <w:t>甲方：                                                 乙方：</w:t>
      </w:r>
      <w:r>
        <w:rPr>
          <w:rFonts w:hint="eastAsia" w:hAnsi="宋体" w:cs="Arial"/>
          <w:color w:val="auto"/>
          <w:sz w:val="22"/>
          <w:szCs w:val="22"/>
          <w:highlight w:val="none"/>
        </w:rPr>
        <w:tab/>
      </w:r>
    </w:p>
    <w:p>
      <w:pPr>
        <w:pStyle w:val="34"/>
        <w:snapToGrid w:val="0"/>
        <w:spacing w:line="400" w:lineRule="exact"/>
        <w:rPr>
          <w:rFonts w:hAnsi="宋体" w:cs="Arial"/>
          <w:color w:val="auto"/>
          <w:sz w:val="22"/>
          <w:szCs w:val="22"/>
          <w:highlight w:val="none"/>
        </w:rPr>
      </w:pPr>
      <w:r>
        <w:rPr>
          <w:rFonts w:hint="eastAsia" w:hAnsi="宋体" w:cs="Arial"/>
          <w:color w:val="auto"/>
          <w:sz w:val="22"/>
          <w:szCs w:val="22"/>
          <w:highlight w:val="none"/>
        </w:rPr>
        <w:t>（盖章）                                              （盖章）</w:t>
      </w:r>
    </w:p>
    <w:p>
      <w:pPr>
        <w:pStyle w:val="34"/>
        <w:snapToGrid w:val="0"/>
        <w:spacing w:line="400" w:lineRule="exact"/>
        <w:rPr>
          <w:rFonts w:hAnsi="宋体" w:cs="Arial"/>
          <w:color w:val="auto"/>
          <w:sz w:val="22"/>
          <w:szCs w:val="22"/>
          <w:highlight w:val="none"/>
        </w:rPr>
      </w:pPr>
      <w:r>
        <w:rPr>
          <w:rFonts w:hint="eastAsia" w:hAnsi="宋体" w:cs="Arial"/>
          <w:color w:val="auto"/>
          <w:sz w:val="22"/>
          <w:szCs w:val="22"/>
          <w:highlight w:val="none"/>
        </w:rPr>
        <w:t>授权代表（签字）：                                     授权代表（签字）：</w:t>
      </w:r>
    </w:p>
    <w:p>
      <w:pPr>
        <w:pStyle w:val="34"/>
        <w:snapToGrid w:val="0"/>
        <w:spacing w:line="400" w:lineRule="exact"/>
        <w:rPr>
          <w:rFonts w:hAnsi="宋体" w:cs="Arial"/>
          <w:color w:val="auto"/>
          <w:sz w:val="22"/>
          <w:szCs w:val="22"/>
          <w:highlight w:val="none"/>
        </w:rPr>
      </w:pPr>
      <w:r>
        <w:rPr>
          <w:rFonts w:hint="eastAsia" w:hAnsi="宋体" w:cs="Arial"/>
          <w:color w:val="auto"/>
          <w:sz w:val="22"/>
          <w:szCs w:val="22"/>
          <w:highlight w:val="none"/>
        </w:rPr>
        <w:t>地址：                                                 地址：</w:t>
      </w:r>
    </w:p>
    <w:p>
      <w:pPr>
        <w:pStyle w:val="34"/>
        <w:snapToGrid w:val="0"/>
        <w:spacing w:line="400" w:lineRule="exact"/>
        <w:rPr>
          <w:rFonts w:hAnsi="宋体" w:cs="Arial"/>
          <w:color w:val="auto"/>
          <w:sz w:val="22"/>
          <w:szCs w:val="22"/>
          <w:highlight w:val="none"/>
        </w:rPr>
      </w:pPr>
      <w:r>
        <w:rPr>
          <w:rFonts w:hint="eastAsia" w:hAnsi="宋体" w:cs="Arial"/>
          <w:color w:val="auto"/>
          <w:sz w:val="22"/>
          <w:szCs w:val="22"/>
          <w:highlight w:val="none"/>
        </w:rPr>
        <w:t>邮政编码：                                             邮政编码：</w:t>
      </w:r>
    </w:p>
    <w:p>
      <w:pPr>
        <w:pStyle w:val="34"/>
        <w:snapToGrid w:val="0"/>
        <w:spacing w:line="400" w:lineRule="exact"/>
        <w:rPr>
          <w:rFonts w:hAnsi="宋体" w:cs="Arial"/>
          <w:color w:val="auto"/>
          <w:sz w:val="22"/>
          <w:szCs w:val="22"/>
          <w:highlight w:val="none"/>
        </w:rPr>
      </w:pPr>
      <w:r>
        <w:rPr>
          <w:rFonts w:hint="eastAsia" w:hAnsi="宋体" w:cs="Arial"/>
          <w:color w:val="auto"/>
          <w:sz w:val="22"/>
          <w:szCs w:val="22"/>
          <w:highlight w:val="none"/>
        </w:rPr>
        <w:t>电话：                                                 电话：</w:t>
      </w:r>
    </w:p>
    <w:p>
      <w:pPr>
        <w:pStyle w:val="34"/>
        <w:snapToGrid w:val="0"/>
        <w:spacing w:line="400" w:lineRule="exact"/>
        <w:rPr>
          <w:rFonts w:hAnsi="宋体" w:cs="Arial"/>
          <w:color w:val="auto"/>
          <w:sz w:val="22"/>
          <w:szCs w:val="22"/>
          <w:highlight w:val="none"/>
        </w:rPr>
      </w:pPr>
      <w:r>
        <w:rPr>
          <w:rFonts w:hint="eastAsia" w:hAnsi="宋体" w:cs="Arial"/>
          <w:color w:val="auto"/>
          <w:sz w:val="22"/>
          <w:szCs w:val="22"/>
          <w:highlight w:val="none"/>
        </w:rPr>
        <w:t>传真：                                                 传真：</w:t>
      </w:r>
    </w:p>
    <w:p>
      <w:pPr>
        <w:pStyle w:val="34"/>
        <w:snapToGrid w:val="0"/>
        <w:spacing w:line="400" w:lineRule="exact"/>
        <w:rPr>
          <w:rFonts w:hAnsi="宋体" w:cs="Arial"/>
          <w:color w:val="auto"/>
          <w:sz w:val="22"/>
          <w:szCs w:val="22"/>
          <w:highlight w:val="none"/>
        </w:rPr>
      </w:pPr>
      <w:r>
        <w:rPr>
          <w:rFonts w:hint="eastAsia" w:hAnsi="宋体" w:cs="Arial"/>
          <w:color w:val="auto"/>
          <w:sz w:val="22"/>
          <w:szCs w:val="22"/>
          <w:highlight w:val="none"/>
        </w:rPr>
        <w:t>开户银行：                                             开户银行：</w:t>
      </w:r>
    </w:p>
    <w:p>
      <w:pPr>
        <w:spacing w:line="400" w:lineRule="exact"/>
        <w:rPr>
          <w:rFonts w:ascii="宋体" w:hAnsi="宋体" w:cs="Arial"/>
          <w:color w:val="auto"/>
          <w:sz w:val="22"/>
          <w:szCs w:val="22"/>
          <w:highlight w:val="none"/>
        </w:rPr>
      </w:pPr>
      <w:r>
        <w:rPr>
          <w:rFonts w:hint="eastAsia" w:ascii="宋体" w:hAnsi="宋体" w:cs="Arial"/>
          <w:color w:val="auto"/>
          <w:sz w:val="22"/>
          <w:szCs w:val="22"/>
          <w:highlight w:val="none"/>
        </w:rPr>
        <w:t>账号：                                                  账号：</w:t>
      </w:r>
    </w:p>
    <w:p>
      <w:pPr>
        <w:spacing w:line="400" w:lineRule="exact"/>
        <w:rPr>
          <w:rFonts w:ascii="宋体" w:hAnsi="宋体" w:cs="Arial"/>
          <w:color w:val="auto"/>
          <w:sz w:val="22"/>
          <w:szCs w:val="22"/>
          <w:highlight w:val="none"/>
        </w:rPr>
      </w:pPr>
    </w:p>
    <w:p>
      <w:pPr>
        <w:spacing w:line="400" w:lineRule="exact"/>
        <w:rPr>
          <w:rFonts w:ascii="宋体" w:hAnsi="宋体" w:cs="Arial"/>
          <w:color w:val="auto"/>
          <w:sz w:val="22"/>
          <w:szCs w:val="22"/>
          <w:highlight w:val="none"/>
        </w:rPr>
      </w:pPr>
    </w:p>
    <w:p>
      <w:pPr>
        <w:spacing w:line="400" w:lineRule="exact"/>
        <w:rPr>
          <w:rFonts w:ascii="宋体" w:hAnsi="宋体" w:cs="Arial"/>
          <w:color w:val="auto"/>
          <w:sz w:val="22"/>
          <w:szCs w:val="22"/>
          <w:highlight w:val="none"/>
        </w:rPr>
      </w:pPr>
    </w:p>
    <w:p>
      <w:pPr>
        <w:snapToGrid w:val="0"/>
        <w:spacing w:line="360" w:lineRule="auto"/>
        <w:jc w:val="left"/>
        <w:rPr>
          <w:rFonts w:ascii="仿宋_GB2312" w:hAnsi="宋体"/>
          <w:b/>
          <w:bCs/>
          <w:color w:val="auto"/>
          <w:sz w:val="24"/>
          <w:highlight w:val="none"/>
          <w:u w:val="single"/>
        </w:rPr>
      </w:pPr>
      <w:r>
        <w:rPr>
          <w:rFonts w:hint="eastAsia" w:ascii="仿宋_GB2312" w:hAnsi="宋体"/>
          <w:b/>
          <w:bCs/>
          <w:color w:val="auto"/>
          <w:sz w:val="24"/>
          <w:highlight w:val="none"/>
          <w:u w:val="single"/>
        </w:rPr>
        <w:t>注：本合同作为示范文本，具体以中标人与招标人所签定正式合同为准。</w:t>
      </w:r>
    </w:p>
    <w:p>
      <w:pPr>
        <w:spacing w:line="440" w:lineRule="exact"/>
        <w:ind w:firstLine="440" w:firstLineChars="200"/>
        <w:rPr>
          <w:rFonts w:ascii="宋体" w:hAnsi="宋体" w:cs="Arial"/>
          <w:b/>
          <w:color w:val="auto"/>
          <w:sz w:val="36"/>
          <w:szCs w:val="36"/>
          <w:highlight w:val="none"/>
        </w:rPr>
      </w:pPr>
      <w:r>
        <w:rPr>
          <w:rFonts w:ascii="宋体" w:hAnsi="宋体" w:cs="Arial"/>
          <w:color w:val="auto"/>
          <w:sz w:val="22"/>
          <w:szCs w:val="22"/>
          <w:highlight w:val="none"/>
        </w:rPr>
        <w:br w:type="page"/>
      </w:r>
      <w:bookmarkStart w:id="213" w:name="_Toc245191321"/>
      <w:bookmarkStart w:id="214" w:name="_Toc241404209"/>
      <w:bookmarkStart w:id="215" w:name="_Toc262049426"/>
      <w:bookmarkStart w:id="216" w:name="_Toc245722288"/>
      <w:bookmarkStart w:id="217" w:name="_Toc239145361"/>
      <w:bookmarkStart w:id="218" w:name="_Toc249758722"/>
      <w:bookmarkStart w:id="219" w:name="_Toc262105511"/>
      <w:bookmarkStart w:id="220" w:name="_Toc246261272"/>
      <w:bookmarkStart w:id="221" w:name="_Toc221423626"/>
      <w:bookmarkStart w:id="222" w:name="_Toc249758872"/>
      <w:bookmarkStart w:id="223" w:name="_Toc222114886"/>
      <w:bookmarkStart w:id="224" w:name="_Toc223716005"/>
    </w:p>
    <w:p>
      <w:pPr>
        <w:pStyle w:val="5"/>
        <w:rPr>
          <w:rFonts w:ascii="宋体" w:hAnsi="宋体" w:eastAsia="宋体" w:cs="Arial"/>
          <w:color w:val="auto"/>
          <w:sz w:val="36"/>
          <w:szCs w:val="36"/>
          <w:highlight w:val="none"/>
        </w:rPr>
      </w:pPr>
      <w:bookmarkStart w:id="225" w:name="_Toc14528"/>
      <w:r>
        <w:rPr>
          <w:rFonts w:hint="eastAsia" w:ascii="宋体" w:hAnsi="宋体" w:eastAsia="宋体" w:cs="Arial"/>
          <w:color w:val="auto"/>
          <w:sz w:val="36"/>
          <w:szCs w:val="36"/>
          <w:highlight w:val="none"/>
        </w:rPr>
        <w:t xml:space="preserve">第五部分   </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Pr>
          <w:rFonts w:hint="eastAsia" w:ascii="宋体" w:hAnsi="宋体" w:eastAsia="宋体" w:cs="Arial"/>
          <w:color w:val="auto"/>
          <w:sz w:val="36"/>
          <w:szCs w:val="36"/>
          <w:highlight w:val="none"/>
        </w:rPr>
        <w:t>附件</w:t>
      </w:r>
      <w:bookmarkEnd w:id="225"/>
    </w:p>
    <w:p>
      <w:pPr>
        <w:rPr>
          <w:rFonts w:ascii="宋体" w:hAnsi="宋体"/>
          <w:color w:val="auto"/>
          <w:highlight w:val="none"/>
        </w:rPr>
      </w:pPr>
    </w:p>
    <w:p>
      <w:pPr>
        <w:spacing w:line="460" w:lineRule="exact"/>
        <w:rPr>
          <w:rFonts w:ascii="宋体" w:hAnsi="宋体"/>
          <w:b/>
          <w:bCs/>
          <w:color w:val="auto"/>
          <w:sz w:val="22"/>
          <w:szCs w:val="22"/>
          <w:highlight w:val="none"/>
        </w:rPr>
      </w:pPr>
      <w:r>
        <w:rPr>
          <w:rFonts w:hint="eastAsia" w:ascii="宋体" w:hAnsi="宋体"/>
          <w:b/>
          <w:bCs/>
          <w:color w:val="auto"/>
          <w:sz w:val="22"/>
          <w:szCs w:val="22"/>
          <w:highlight w:val="none"/>
        </w:rPr>
        <w:t>附件一</w:t>
      </w:r>
    </w:p>
    <w:p>
      <w:pPr>
        <w:spacing w:line="460" w:lineRule="exact"/>
        <w:jc w:val="center"/>
        <w:rPr>
          <w:rFonts w:ascii="宋体" w:hAnsi="宋体" w:cs="仿宋"/>
          <w:b/>
          <w:bCs/>
          <w:color w:val="auto"/>
          <w:sz w:val="28"/>
          <w:szCs w:val="28"/>
          <w:highlight w:val="none"/>
        </w:rPr>
      </w:pPr>
      <w:r>
        <w:rPr>
          <w:rFonts w:hint="eastAsia" w:ascii="宋体" w:hAnsi="宋体" w:cs="仿宋"/>
          <w:b/>
          <w:bCs/>
          <w:color w:val="auto"/>
          <w:sz w:val="28"/>
          <w:szCs w:val="28"/>
          <w:highlight w:val="none"/>
        </w:rPr>
        <w:t>资格审查料</w:t>
      </w:r>
    </w:p>
    <w:p>
      <w:pPr>
        <w:spacing w:line="460" w:lineRule="exact"/>
        <w:jc w:val="center"/>
        <w:rPr>
          <w:rFonts w:ascii="宋体" w:hAnsi="宋体" w:cs="仿宋"/>
          <w:color w:val="auto"/>
          <w:sz w:val="28"/>
          <w:szCs w:val="28"/>
          <w:highlight w:val="none"/>
        </w:rPr>
      </w:pPr>
    </w:p>
    <w:p>
      <w:pPr>
        <w:spacing w:line="38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（1-1）法定代表人声明书</w:t>
      </w:r>
    </w:p>
    <w:p>
      <w:pPr>
        <w:spacing w:line="400" w:lineRule="exact"/>
        <w:rPr>
          <w:rFonts w:ascii="宋体" w:hAnsi="宋体"/>
          <w:color w:val="auto"/>
          <w:highlight w:val="none"/>
        </w:rPr>
      </w:pPr>
    </w:p>
    <w:p>
      <w:pPr>
        <w:spacing w:line="420" w:lineRule="exact"/>
        <w:rPr>
          <w:rFonts w:ascii="宋体" w:hAnsi="宋体"/>
          <w:color w:val="auto"/>
          <w:sz w:val="22"/>
          <w:szCs w:val="22"/>
          <w:highlight w:val="none"/>
        </w:rPr>
      </w:pPr>
      <w:r>
        <w:rPr>
          <w:rFonts w:hint="eastAsia" w:ascii="宋体" w:hAnsi="宋体"/>
          <w:bCs/>
          <w:color w:val="auto"/>
          <w:sz w:val="22"/>
          <w:szCs w:val="22"/>
          <w:highlight w:val="none"/>
        </w:rPr>
        <w:t>温州市交通运输局</w:t>
      </w:r>
      <w:r>
        <w:rPr>
          <w:rFonts w:hint="eastAsia" w:ascii="宋体" w:hAnsi="宋体"/>
          <w:color w:val="auto"/>
          <w:sz w:val="22"/>
          <w:szCs w:val="22"/>
          <w:highlight w:val="none"/>
        </w:rPr>
        <w:t>：</w:t>
      </w:r>
    </w:p>
    <w:p>
      <w:pPr>
        <w:spacing w:line="420" w:lineRule="exact"/>
        <w:rPr>
          <w:rFonts w:ascii="宋体" w:hAnsi="宋体"/>
          <w:color w:val="auto"/>
          <w:sz w:val="22"/>
          <w:szCs w:val="22"/>
          <w:highlight w:val="none"/>
        </w:rPr>
      </w:pPr>
      <w:r>
        <w:rPr>
          <w:rFonts w:hint="eastAsia" w:ascii="宋体" w:hAnsi="宋体"/>
          <w:color w:val="auto"/>
          <w:sz w:val="22"/>
          <w:szCs w:val="22"/>
          <w:highlight w:val="none"/>
        </w:rPr>
        <w:t>温州元信工程项目管理有限公司：</w:t>
      </w:r>
    </w:p>
    <w:p>
      <w:pPr>
        <w:spacing w:line="460" w:lineRule="exact"/>
        <w:rPr>
          <w:rFonts w:ascii="宋体" w:hAnsi="宋体"/>
          <w:color w:val="auto"/>
          <w:sz w:val="22"/>
          <w:szCs w:val="22"/>
          <w:highlight w:val="none"/>
          <w:u w:val="single"/>
        </w:rPr>
      </w:pPr>
    </w:p>
    <w:p>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本人</w:t>
      </w:r>
      <w:r>
        <w:rPr>
          <w:rFonts w:hint="eastAsia" w:ascii="宋体" w:hAnsi="宋体"/>
          <w:color w:val="auto"/>
          <w:sz w:val="22"/>
          <w:szCs w:val="22"/>
          <w:highlight w:val="none"/>
          <w:u w:val="single"/>
        </w:rPr>
        <w:t>（法定代表人姓名）</w:t>
      </w:r>
      <w:r>
        <w:rPr>
          <w:rFonts w:hint="eastAsia" w:ascii="宋体" w:hAnsi="宋体"/>
          <w:color w:val="auto"/>
          <w:sz w:val="22"/>
          <w:szCs w:val="22"/>
          <w:highlight w:val="none"/>
        </w:rPr>
        <w:t>为</w:t>
      </w:r>
      <w:r>
        <w:rPr>
          <w:rFonts w:hint="eastAsia" w:ascii="宋体" w:hAnsi="宋体"/>
          <w:color w:val="auto"/>
          <w:sz w:val="22"/>
          <w:szCs w:val="22"/>
          <w:highlight w:val="none"/>
          <w:u w:val="single"/>
        </w:rPr>
        <w:t>（投标人全称）</w:t>
      </w:r>
      <w:r>
        <w:rPr>
          <w:rFonts w:hint="eastAsia" w:ascii="宋体" w:hAnsi="宋体"/>
          <w:color w:val="auto"/>
          <w:sz w:val="22"/>
          <w:szCs w:val="22"/>
          <w:highlight w:val="none"/>
        </w:rPr>
        <w:t>的法定代表人。我公司参加贵处组织的</w:t>
      </w:r>
      <w:r>
        <w:rPr>
          <w:rFonts w:hint="eastAsia" w:ascii="宋体" w:hAnsi="宋体"/>
          <w:color w:val="auto"/>
          <w:sz w:val="22"/>
          <w:szCs w:val="22"/>
          <w:highlight w:val="none"/>
          <w:u w:val="single"/>
        </w:rPr>
        <w:t>（招标项目名称、招标编号）</w:t>
      </w:r>
      <w:r>
        <w:rPr>
          <w:rFonts w:hint="eastAsia" w:ascii="宋体" w:hAnsi="宋体"/>
          <w:color w:val="auto"/>
          <w:sz w:val="22"/>
          <w:szCs w:val="22"/>
          <w:highlight w:val="none"/>
        </w:rPr>
        <w:t>的招标活动，由我本人全权代表我方处理招标活动中的一切事宜。联系方式如下：</w:t>
      </w:r>
      <w:r>
        <w:rPr>
          <w:rFonts w:hint="eastAsia" w:ascii="宋体" w:hAnsi="宋体"/>
          <w:color w:val="auto"/>
          <w:sz w:val="22"/>
          <w:szCs w:val="22"/>
          <w:highlight w:val="none"/>
          <w:u w:val="single"/>
        </w:rPr>
        <w:t xml:space="preserve">手机号码：       联系邮箱:         详细通讯地址：             </w:t>
      </w:r>
      <w:r>
        <w:rPr>
          <w:rFonts w:hint="eastAsia" w:ascii="宋体" w:hAnsi="宋体"/>
          <w:color w:val="auto"/>
          <w:sz w:val="22"/>
          <w:szCs w:val="22"/>
          <w:highlight w:val="none"/>
        </w:rPr>
        <w:t xml:space="preserve"> 。  </w:t>
      </w:r>
    </w:p>
    <w:p>
      <w:pPr>
        <w:spacing w:line="400" w:lineRule="exact"/>
        <w:rPr>
          <w:rFonts w:ascii="宋体" w:hAnsi="宋体"/>
          <w:color w:val="auto"/>
          <w:highlight w:val="none"/>
        </w:rPr>
      </w:pPr>
    </w:p>
    <w:p>
      <w:pPr>
        <w:spacing w:line="400" w:lineRule="exact"/>
        <w:rPr>
          <w:rFonts w:ascii="宋体" w:hAnsi="宋体"/>
          <w:color w:val="auto"/>
          <w:highlight w:val="none"/>
        </w:rPr>
      </w:pPr>
    </w:p>
    <w:p>
      <w:pPr>
        <w:spacing w:line="400" w:lineRule="exact"/>
        <w:rPr>
          <w:rFonts w:ascii="宋体" w:hAnsi="宋体"/>
          <w:color w:val="auto"/>
          <w:highlight w:val="none"/>
        </w:rPr>
      </w:pPr>
    </w:p>
    <w:p>
      <w:pPr>
        <w:spacing w:line="460" w:lineRule="exact"/>
        <w:ind w:firstLine="3971" w:firstLineChars="1805"/>
        <w:rPr>
          <w:rFonts w:ascii="宋体" w:hAnsi="宋体"/>
          <w:color w:val="auto"/>
          <w:sz w:val="22"/>
          <w:szCs w:val="22"/>
          <w:highlight w:val="none"/>
        </w:rPr>
      </w:pPr>
    </w:p>
    <w:p>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投标人全称（公章）：</w:t>
      </w:r>
    </w:p>
    <w:p>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日期：     年    月   日</w:t>
      </w:r>
    </w:p>
    <w:p>
      <w:pPr>
        <w:spacing w:line="460" w:lineRule="exact"/>
        <w:rPr>
          <w:rFonts w:ascii="宋体" w:hAnsi="宋体"/>
          <w:color w:val="auto"/>
          <w:sz w:val="22"/>
          <w:szCs w:val="22"/>
          <w:highlight w:val="none"/>
        </w:rPr>
      </w:pPr>
    </w:p>
    <w:p>
      <w:pPr>
        <w:widowControl/>
        <w:jc w:val="left"/>
        <w:rPr>
          <w:rFonts w:ascii="Arial" w:hAnsi="Arial" w:cs="Arial"/>
          <w:color w:val="auto"/>
          <w:szCs w:val="21"/>
          <w:highlight w:val="none"/>
        </w:rPr>
      </w:pPr>
    </w:p>
    <w:p>
      <w:pPr>
        <w:widowControl/>
        <w:jc w:val="left"/>
        <w:rPr>
          <w:rFonts w:ascii="Arial" w:hAnsi="Arial" w:cs="Arial"/>
          <w:color w:val="auto"/>
          <w:szCs w:val="21"/>
          <w:highlight w:val="none"/>
        </w:rPr>
      </w:pPr>
    </w:p>
    <w:p>
      <w:pPr>
        <w:widowControl/>
        <w:jc w:val="left"/>
        <w:rPr>
          <w:rFonts w:ascii="Arial" w:hAnsi="Arial" w:cs="Arial"/>
          <w:color w:val="auto"/>
          <w:szCs w:val="21"/>
          <w:highlight w:val="none"/>
        </w:rPr>
      </w:pPr>
      <w:r>
        <w:rPr>
          <w:rFonts w:hint="eastAsia" w:ascii="宋体" w:hAnsi="宋体"/>
          <w:b/>
          <w:color w:val="auto"/>
          <w:sz w:val="22"/>
          <w:szCs w:val="22"/>
          <w:highlight w:val="none"/>
        </w:rPr>
        <w:t>附：法定代表人</w:t>
      </w:r>
      <w:r>
        <w:rPr>
          <w:rFonts w:ascii="宋体" w:hAnsi="宋体"/>
          <w:b/>
          <w:color w:val="auto"/>
          <w:sz w:val="22"/>
          <w:szCs w:val="22"/>
          <w:highlight w:val="none"/>
        </w:rPr>
        <w:t>身</w:t>
      </w:r>
      <w:r>
        <w:rPr>
          <w:rFonts w:ascii="宋体" w:hAnsi="宋体" w:cs="Courier New"/>
          <w:b/>
          <w:color w:val="auto"/>
          <w:sz w:val="22"/>
          <w:szCs w:val="22"/>
          <w:highlight w:val="none"/>
        </w:rPr>
        <w:t>份证正反面复印件</w:t>
      </w:r>
      <w:r>
        <w:rPr>
          <w:rFonts w:ascii="Arial" w:hAnsi="Arial" w:cs="Arial"/>
          <w:color w:val="auto"/>
          <w:szCs w:val="21"/>
          <w:highlight w:val="none"/>
        </w:rPr>
        <w:br w:type="page"/>
      </w:r>
    </w:p>
    <w:p>
      <w:pPr>
        <w:spacing w:line="360" w:lineRule="exact"/>
        <w:rPr>
          <w:rFonts w:ascii="Arial" w:hAnsi="Arial" w:cs="Arial"/>
          <w:color w:val="auto"/>
          <w:szCs w:val="21"/>
          <w:highlight w:val="none"/>
        </w:rPr>
      </w:pPr>
    </w:p>
    <w:p>
      <w:pPr>
        <w:spacing w:line="380" w:lineRule="exact"/>
        <w:jc w:val="center"/>
        <w:rPr>
          <w:rFonts w:ascii="宋体" w:hAnsi="宋体" w:cs="仿宋"/>
          <w:b/>
          <w:color w:val="auto"/>
          <w:sz w:val="22"/>
          <w:szCs w:val="22"/>
          <w:highlight w:val="none"/>
        </w:rPr>
      </w:pPr>
    </w:p>
    <w:p>
      <w:pPr>
        <w:spacing w:line="38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（1-2）法定代表人授权书</w:t>
      </w:r>
    </w:p>
    <w:p>
      <w:pPr>
        <w:spacing w:line="400" w:lineRule="exact"/>
        <w:jc w:val="center"/>
        <w:rPr>
          <w:rFonts w:ascii="宋体" w:hAnsi="宋体"/>
          <w:b/>
          <w:bCs/>
          <w:color w:val="auto"/>
          <w:sz w:val="28"/>
          <w:szCs w:val="28"/>
          <w:highlight w:val="none"/>
        </w:rPr>
      </w:pPr>
    </w:p>
    <w:p>
      <w:pPr>
        <w:spacing w:line="420" w:lineRule="exact"/>
        <w:rPr>
          <w:rFonts w:ascii="宋体" w:hAnsi="宋体"/>
          <w:color w:val="auto"/>
          <w:sz w:val="22"/>
          <w:szCs w:val="22"/>
          <w:highlight w:val="none"/>
        </w:rPr>
      </w:pPr>
      <w:r>
        <w:rPr>
          <w:rFonts w:hint="eastAsia" w:ascii="宋体" w:hAnsi="宋体"/>
          <w:bCs/>
          <w:color w:val="auto"/>
          <w:sz w:val="22"/>
          <w:szCs w:val="22"/>
          <w:highlight w:val="none"/>
        </w:rPr>
        <w:t>温州市交通运输局</w:t>
      </w:r>
      <w:r>
        <w:rPr>
          <w:rFonts w:hint="eastAsia" w:ascii="宋体" w:hAnsi="宋体"/>
          <w:color w:val="auto"/>
          <w:sz w:val="22"/>
          <w:szCs w:val="22"/>
          <w:highlight w:val="none"/>
        </w:rPr>
        <w:t>：</w:t>
      </w:r>
    </w:p>
    <w:p>
      <w:pPr>
        <w:spacing w:line="420" w:lineRule="exact"/>
        <w:rPr>
          <w:rFonts w:ascii="宋体" w:hAnsi="宋体"/>
          <w:color w:val="auto"/>
          <w:sz w:val="22"/>
          <w:szCs w:val="22"/>
          <w:highlight w:val="none"/>
        </w:rPr>
      </w:pPr>
      <w:r>
        <w:rPr>
          <w:rFonts w:hint="eastAsia" w:ascii="宋体" w:hAnsi="宋体"/>
          <w:color w:val="auto"/>
          <w:sz w:val="22"/>
          <w:szCs w:val="22"/>
          <w:highlight w:val="none"/>
        </w:rPr>
        <w:t>温州元信工程项目管理有限公司：</w:t>
      </w:r>
    </w:p>
    <w:p>
      <w:pPr>
        <w:spacing w:line="460" w:lineRule="exact"/>
        <w:rPr>
          <w:rFonts w:ascii="宋体" w:hAnsi="宋体"/>
          <w:color w:val="auto"/>
          <w:sz w:val="22"/>
          <w:szCs w:val="22"/>
          <w:highlight w:val="none"/>
          <w:u w:val="single"/>
        </w:rPr>
      </w:pPr>
    </w:p>
    <w:p>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u w:val="single"/>
        </w:rPr>
        <w:t>（投标人全称）</w:t>
      </w:r>
      <w:r>
        <w:rPr>
          <w:rFonts w:hint="eastAsia" w:ascii="宋体" w:hAnsi="宋体"/>
          <w:color w:val="auto"/>
          <w:sz w:val="22"/>
          <w:szCs w:val="22"/>
          <w:highlight w:val="none"/>
        </w:rPr>
        <w:t xml:space="preserve">法定代表人 </w:t>
      </w:r>
      <w:r>
        <w:rPr>
          <w:rFonts w:hint="eastAsia" w:ascii="宋体" w:hAnsi="宋体"/>
          <w:color w:val="auto"/>
          <w:sz w:val="22"/>
          <w:szCs w:val="22"/>
          <w:highlight w:val="none"/>
          <w:u w:val="single"/>
        </w:rPr>
        <w:t>（法定代表人姓名）</w:t>
      </w:r>
      <w:r>
        <w:rPr>
          <w:rFonts w:hint="eastAsia" w:ascii="宋体" w:hAnsi="宋体"/>
          <w:color w:val="auto"/>
          <w:sz w:val="22"/>
          <w:szCs w:val="22"/>
          <w:highlight w:val="none"/>
        </w:rPr>
        <w:t xml:space="preserve"> 授权</w:t>
      </w:r>
      <w:r>
        <w:rPr>
          <w:rFonts w:hint="eastAsia" w:ascii="宋体" w:hAnsi="宋体"/>
          <w:color w:val="auto"/>
          <w:sz w:val="22"/>
          <w:szCs w:val="22"/>
          <w:highlight w:val="none"/>
          <w:u w:val="single"/>
        </w:rPr>
        <w:t>（全权代表姓名）</w:t>
      </w:r>
      <w:r>
        <w:rPr>
          <w:rFonts w:hint="eastAsia" w:ascii="宋体" w:hAnsi="宋体"/>
          <w:color w:val="auto"/>
          <w:sz w:val="22"/>
          <w:szCs w:val="22"/>
          <w:highlight w:val="none"/>
        </w:rPr>
        <w:t>为本项目全权代表，参加贵处组织的</w:t>
      </w:r>
      <w:r>
        <w:rPr>
          <w:rFonts w:hint="eastAsia" w:ascii="宋体" w:hAnsi="宋体"/>
          <w:color w:val="auto"/>
          <w:sz w:val="22"/>
          <w:szCs w:val="22"/>
          <w:highlight w:val="none"/>
          <w:u w:val="single"/>
        </w:rPr>
        <w:t>（招标项目名称、招标编号）</w:t>
      </w:r>
      <w:r>
        <w:rPr>
          <w:rFonts w:hint="eastAsia" w:ascii="宋体" w:hAnsi="宋体"/>
          <w:color w:val="auto"/>
          <w:sz w:val="22"/>
          <w:szCs w:val="22"/>
          <w:highlight w:val="none"/>
        </w:rPr>
        <w:t>的招标活动，全权代表我方处理招标活动中的一切事宜。联系方式如下：</w:t>
      </w:r>
      <w:r>
        <w:rPr>
          <w:rFonts w:hint="eastAsia" w:ascii="宋体" w:hAnsi="宋体"/>
          <w:color w:val="auto"/>
          <w:sz w:val="22"/>
          <w:szCs w:val="22"/>
          <w:highlight w:val="none"/>
          <w:u w:val="single"/>
        </w:rPr>
        <w:t xml:space="preserve">手机号码：       联系邮箱:         详细通讯地址：             </w:t>
      </w:r>
      <w:r>
        <w:rPr>
          <w:rFonts w:hint="eastAsia" w:ascii="宋体" w:hAnsi="宋体"/>
          <w:color w:val="auto"/>
          <w:sz w:val="22"/>
          <w:szCs w:val="22"/>
          <w:highlight w:val="none"/>
        </w:rPr>
        <w:t xml:space="preserve"> 。  </w:t>
      </w:r>
    </w:p>
    <w:p>
      <w:pPr>
        <w:spacing w:line="460" w:lineRule="exact"/>
        <w:ind w:firstLine="220" w:firstLineChars="100"/>
        <w:rPr>
          <w:rFonts w:ascii="宋体" w:hAnsi="宋体"/>
          <w:color w:val="auto"/>
          <w:sz w:val="22"/>
          <w:szCs w:val="22"/>
          <w:highlight w:val="none"/>
        </w:rPr>
      </w:pPr>
    </w:p>
    <w:p>
      <w:pPr>
        <w:spacing w:line="460" w:lineRule="exact"/>
        <w:ind w:firstLine="550" w:firstLineChars="250"/>
        <w:rPr>
          <w:rFonts w:ascii="宋体" w:hAnsi="宋体"/>
          <w:color w:val="auto"/>
          <w:sz w:val="22"/>
          <w:szCs w:val="22"/>
          <w:highlight w:val="none"/>
        </w:rPr>
      </w:pPr>
    </w:p>
    <w:p>
      <w:pPr>
        <w:spacing w:line="460" w:lineRule="exact"/>
        <w:ind w:firstLine="2955"/>
        <w:rPr>
          <w:rFonts w:ascii="宋体" w:hAnsi="宋体"/>
          <w:color w:val="auto"/>
          <w:sz w:val="22"/>
          <w:szCs w:val="22"/>
          <w:highlight w:val="none"/>
        </w:rPr>
      </w:pPr>
    </w:p>
    <w:p>
      <w:pPr>
        <w:spacing w:line="460" w:lineRule="exact"/>
        <w:ind w:firstLine="3971" w:firstLineChars="1805"/>
        <w:rPr>
          <w:rFonts w:ascii="宋体" w:hAnsi="宋体"/>
          <w:color w:val="auto"/>
          <w:sz w:val="22"/>
          <w:szCs w:val="22"/>
          <w:highlight w:val="none"/>
        </w:rPr>
      </w:pPr>
      <w:r>
        <w:rPr>
          <w:rFonts w:hint="eastAsia" w:ascii="宋体" w:hAnsi="宋体"/>
          <w:color w:val="auto"/>
          <w:sz w:val="22"/>
          <w:szCs w:val="22"/>
          <w:highlight w:val="none"/>
        </w:rPr>
        <w:t>法定代表人 (签字或盖章)：</w:t>
      </w:r>
    </w:p>
    <w:p>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投标人全称（公章）：</w:t>
      </w:r>
    </w:p>
    <w:p>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日期：     年    月   日</w:t>
      </w:r>
    </w:p>
    <w:p>
      <w:pPr>
        <w:spacing w:line="460" w:lineRule="exact"/>
        <w:rPr>
          <w:rFonts w:ascii="宋体" w:hAnsi="宋体"/>
          <w:color w:val="auto"/>
          <w:sz w:val="22"/>
          <w:szCs w:val="22"/>
          <w:highlight w:val="none"/>
        </w:rPr>
      </w:pPr>
    </w:p>
    <w:p>
      <w:pPr>
        <w:spacing w:line="460" w:lineRule="exact"/>
        <w:rPr>
          <w:rFonts w:ascii="宋体" w:hAnsi="宋体"/>
          <w:color w:val="auto"/>
          <w:sz w:val="22"/>
          <w:szCs w:val="22"/>
          <w:highlight w:val="none"/>
        </w:rPr>
      </w:pPr>
    </w:p>
    <w:p>
      <w:pPr>
        <w:spacing w:line="460" w:lineRule="exact"/>
        <w:rPr>
          <w:rFonts w:ascii="宋体" w:hAnsi="宋体"/>
          <w:color w:val="auto"/>
          <w:sz w:val="22"/>
          <w:szCs w:val="22"/>
          <w:highlight w:val="none"/>
        </w:rPr>
      </w:pPr>
      <w:r>
        <w:rPr>
          <w:rFonts w:hint="eastAsia" w:ascii="宋体" w:hAnsi="宋体"/>
          <w:b/>
          <w:color w:val="auto"/>
          <w:sz w:val="22"/>
          <w:szCs w:val="22"/>
          <w:highlight w:val="none"/>
        </w:rPr>
        <w:t>附：法定代表人及授权代表的</w:t>
      </w:r>
      <w:r>
        <w:rPr>
          <w:rFonts w:ascii="宋体" w:hAnsi="宋体" w:cs="Courier New"/>
          <w:b/>
          <w:color w:val="auto"/>
          <w:sz w:val="22"/>
          <w:szCs w:val="22"/>
          <w:highlight w:val="none"/>
        </w:rPr>
        <w:t>身份证</w:t>
      </w:r>
      <w:r>
        <w:rPr>
          <w:rFonts w:hint="eastAsia" w:ascii="宋体" w:hAnsi="宋体"/>
          <w:b/>
          <w:color w:val="auto"/>
          <w:sz w:val="22"/>
          <w:szCs w:val="22"/>
          <w:highlight w:val="none"/>
        </w:rPr>
        <w:t>正反面复印件</w:t>
      </w:r>
    </w:p>
    <w:p>
      <w:pPr>
        <w:widowControl/>
        <w:jc w:val="left"/>
        <w:rPr>
          <w:rFonts w:ascii="宋体" w:hAnsi="宋体"/>
          <w:b/>
          <w:bCs/>
          <w:color w:val="auto"/>
          <w:highlight w:val="none"/>
        </w:rPr>
      </w:pPr>
    </w:p>
    <w:p>
      <w:pPr>
        <w:widowControl/>
        <w:jc w:val="left"/>
        <w:rPr>
          <w:rFonts w:ascii="宋体" w:hAnsi="宋体"/>
          <w:b/>
          <w:bCs/>
          <w:color w:val="auto"/>
          <w:highlight w:val="none"/>
        </w:rPr>
      </w:pPr>
    </w:p>
    <w:p>
      <w:pPr>
        <w:widowControl/>
        <w:jc w:val="left"/>
        <w:rPr>
          <w:rFonts w:ascii="宋体" w:hAnsi="宋体"/>
          <w:b/>
          <w:bCs/>
          <w:color w:val="auto"/>
          <w:highlight w:val="none"/>
        </w:rPr>
      </w:pPr>
    </w:p>
    <w:p>
      <w:pPr>
        <w:widowControl/>
        <w:jc w:val="left"/>
        <w:rPr>
          <w:rFonts w:ascii="宋体" w:hAnsi="宋体"/>
          <w:b/>
          <w:bCs/>
          <w:color w:val="auto"/>
          <w:highlight w:val="none"/>
        </w:rPr>
      </w:pPr>
    </w:p>
    <w:p>
      <w:pPr>
        <w:widowControl/>
        <w:jc w:val="left"/>
        <w:rPr>
          <w:rFonts w:ascii="宋体" w:hAnsi="宋体"/>
          <w:b/>
          <w:bCs/>
          <w:color w:val="auto"/>
          <w:highlight w:val="none"/>
        </w:rPr>
      </w:pPr>
    </w:p>
    <w:p>
      <w:pPr>
        <w:widowControl/>
        <w:jc w:val="left"/>
        <w:rPr>
          <w:rFonts w:ascii="宋体" w:hAnsi="宋体"/>
          <w:b/>
          <w:bCs/>
          <w:color w:val="auto"/>
          <w:highlight w:val="none"/>
        </w:rPr>
      </w:pPr>
    </w:p>
    <w:p>
      <w:pPr>
        <w:widowControl/>
        <w:jc w:val="left"/>
        <w:rPr>
          <w:rFonts w:ascii="宋体" w:hAnsi="宋体"/>
          <w:b/>
          <w:bCs/>
          <w:color w:val="auto"/>
          <w:highlight w:val="none"/>
        </w:rPr>
      </w:pPr>
    </w:p>
    <w:p>
      <w:pPr>
        <w:widowControl/>
        <w:jc w:val="left"/>
        <w:rPr>
          <w:rFonts w:ascii="宋体" w:hAnsi="宋体"/>
          <w:b/>
          <w:bCs/>
          <w:color w:val="auto"/>
          <w:highlight w:val="none"/>
        </w:rPr>
      </w:pPr>
    </w:p>
    <w:p>
      <w:pPr>
        <w:spacing w:line="460" w:lineRule="exact"/>
        <w:rPr>
          <w:rFonts w:ascii="宋体" w:hAnsi="宋体"/>
          <w:color w:val="auto"/>
          <w:sz w:val="22"/>
          <w:szCs w:val="22"/>
          <w:highlight w:val="none"/>
        </w:rPr>
      </w:pPr>
      <w:r>
        <w:rPr>
          <w:rFonts w:hint="eastAsia" w:ascii="宋体" w:hAnsi="宋体"/>
          <w:color w:val="auto"/>
          <w:sz w:val="22"/>
          <w:szCs w:val="22"/>
          <w:highlight w:val="none"/>
        </w:rPr>
        <w:t>说明：</w:t>
      </w:r>
    </w:p>
    <w:p>
      <w:pPr>
        <w:spacing w:line="460" w:lineRule="exact"/>
        <w:rPr>
          <w:rFonts w:ascii="宋体" w:hAnsi="宋体"/>
          <w:color w:val="auto"/>
          <w:sz w:val="22"/>
          <w:szCs w:val="22"/>
          <w:highlight w:val="none"/>
        </w:rPr>
      </w:pPr>
      <w:r>
        <w:rPr>
          <w:rFonts w:hint="eastAsia" w:ascii="宋体" w:hAnsi="宋体" w:cs="Courier New"/>
          <w:b/>
          <w:color w:val="auto"/>
          <w:sz w:val="22"/>
          <w:szCs w:val="22"/>
          <w:highlight w:val="none"/>
        </w:rPr>
        <w:t>1、</w:t>
      </w:r>
      <w:r>
        <w:rPr>
          <w:rFonts w:ascii="宋体" w:hAnsi="宋体" w:cs="Courier New"/>
          <w:b/>
          <w:color w:val="auto"/>
          <w:sz w:val="22"/>
          <w:szCs w:val="22"/>
          <w:highlight w:val="none"/>
        </w:rPr>
        <w:t>若投标人代表为</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，应提供</w:t>
      </w:r>
      <w:r>
        <w:rPr>
          <w:rFonts w:hint="eastAsia" w:ascii="宋体" w:hAnsi="宋体" w:cs="Courier New"/>
          <w:b/>
          <w:color w:val="auto"/>
          <w:sz w:val="22"/>
          <w:szCs w:val="22"/>
          <w:highlight w:val="none"/>
        </w:rPr>
        <w:t>声明</w:t>
      </w:r>
      <w:r>
        <w:rPr>
          <w:rFonts w:ascii="宋体" w:hAnsi="宋体" w:cs="Courier New"/>
          <w:b/>
          <w:color w:val="auto"/>
          <w:sz w:val="22"/>
          <w:szCs w:val="22"/>
          <w:highlight w:val="none"/>
        </w:rPr>
        <w:t>书（1-1）</w:t>
      </w:r>
      <w:r>
        <w:rPr>
          <w:rFonts w:hint="eastAsia" w:ascii="宋体" w:hAnsi="宋体" w:cs="Courier New"/>
          <w:b/>
          <w:color w:val="auto"/>
          <w:sz w:val="22"/>
          <w:szCs w:val="22"/>
          <w:highlight w:val="none"/>
        </w:rPr>
        <w:t>并提</w:t>
      </w:r>
      <w:r>
        <w:rPr>
          <w:rFonts w:ascii="宋体" w:hAnsi="宋体" w:cs="Courier New"/>
          <w:b/>
          <w:color w:val="auto"/>
          <w:sz w:val="22"/>
          <w:szCs w:val="22"/>
          <w:highlight w:val="none"/>
        </w:rPr>
        <w:t>交</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身份证正反面复印件</w:t>
      </w:r>
      <w:r>
        <w:rPr>
          <w:rFonts w:hint="eastAsia" w:ascii="宋体" w:hAnsi="宋体"/>
          <w:b/>
          <w:color w:val="auto"/>
          <w:sz w:val="22"/>
          <w:szCs w:val="22"/>
          <w:highlight w:val="none"/>
        </w:rPr>
        <w:t>；</w:t>
      </w:r>
    </w:p>
    <w:p>
      <w:pPr>
        <w:spacing w:line="460" w:lineRule="exact"/>
        <w:rPr>
          <w:rFonts w:ascii="宋体" w:hAnsi="宋体"/>
          <w:color w:val="auto"/>
          <w:sz w:val="22"/>
          <w:szCs w:val="22"/>
          <w:highlight w:val="none"/>
        </w:rPr>
      </w:pPr>
      <w:r>
        <w:rPr>
          <w:rFonts w:ascii="宋体" w:hAnsi="宋体" w:cs="Courier New"/>
          <w:b/>
          <w:color w:val="auto"/>
          <w:sz w:val="22"/>
          <w:szCs w:val="22"/>
          <w:highlight w:val="none"/>
        </w:rPr>
        <w:t>2</w:t>
      </w:r>
      <w:r>
        <w:rPr>
          <w:rFonts w:hint="eastAsia" w:ascii="宋体" w:hAnsi="宋体" w:cs="Courier New"/>
          <w:b/>
          <w:color w:val="auto"/>
          <w:sz w:val="22"/>
          <w:szCs w:val="22"/>
          <w:highlight w:val="none"/>
        </w:rPr>
        <w:t>、</w:t>
      </w:r>
      <w:r>
        <w:rPr>
          <w:rFonts w:ascii="宋体" w:hAnsi="宋体" w:cs="Courier New"/>
          <w:b/>
          <w:color w:val="auto"/>
          <w:sz w:val="22"/>
          <w:szCs w:val="22"/>
          <w:highlight w:val="none"/>
        </w:rPr>
        <w:t>若投标人代表为</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授权的委托代理人，应提供授权书（1-2）</w:t>
      </w:r>
      <w:r>
        <w:rPr>
          <w:rFonts w:hint="eastAsia" w:ascii="宋体" w:hAnsi="宋体" w:cs="Courier New"/>
          <w:b/>
          <w:color w:val="auto"/>
          <w:sz w:val="22"/>
          <w:szCs w:val="22"/>
          <w:highlight w:val="none"/>
        </w:rPr>
        <w:t>，并附</w:t>
      </w:r>
      <w:r>
        <w:rPr>
          <w:rFonts w:hint="eastAsia" w:ascii="宋体" w:hAnsi="宋体"/>
          <w:b/>
          <w:color w:val="auto"/>
          <w:sz w:val="22"/>
          <w:szCs w:val="22"/>
          <w:highlight w:val="none"/>
        </w:rPr>
        <w:t>法定代表人及授权代表的</w:t>
      </w:r>
      <w:r>
        <w:rPr>
          <w:rFonts w:ascii="宋体" w:hAnsi="宋体" w:cs="Courier New"/>
          <w:b/>
          <w:color w:val="auto"/>
          <w:sz w:val="22"/>
          <w:szCs w:val="22"/>
          <w:highlight w:val="none"/>
        </w:rPr>
        <w:t>身份证</w:t>
      </w:r>
      <w:r>
        <w:rPr>
          <w:rFonts w:hint="eastAsia" w:ascii="宋体" w:hAnsi="宋体"/>
          <w:b/>
          <w:color w:val="auto"/>
          <w:sz w:val="22"/>
          <w:szCs w:val="22"/>
          <w:highlight w:val="none"/>
        </w:rPr>
        <w:t>正反面复印件</w:t>
      </w:r>
      <w:r>
        <w:rPr>
          <w:rFonts w:hint="eastAsia" w:ascii="宋体" w:hAnsi="宋体" w:cs="Courier New"/>
          <w:b/>
          <w:color w:val="auto"/>
          <w:sz w:val="22"/>
          <w:szCs w:val="22"/>
          <w:highlight w:val="none"/>
        </w:rPr>
        <w:t>。</w:t>
      </w:r>
    </w:p>
    <w:p>
      <w:pPr>
        <w:spacing w:line="460" w:lineRule="exact"/>
        <w:rPr>
          <w:rFonts w:ascii="宋体" w:hAnsi="宋体"/>
          <w:color w:val="auto"/>
          <w:sz w:val="22"/>
          <w:szCs w:val="22"/>
          <w:highlight w:val="none"/>
        </w:rPr>
      </w:pPr>
    </w:p>
    <w:p>
      <w:pPr>
        <w:spacing w:line="380" w:lineRule="exact"/>
        <w:jc w:val="center"/>
        <w:rPr>
          <w:rFonts w:ascii="宋体" w:hAnsi="宋体"/>
          <w:b/>
          <w:bCs/>
          <w:color w:val="auto"/>
          <w:sz w:val="32"/>
          <w:highlight w:val="none"/>
        </w:rPr>
      </w:pPr>
      <w:r>
        <w:rPr>
          <w:rFonts w:hint="eastAsia" w:ascii="宋体" w:hAnsi="宋体"/>
          <w:b/>
          <w:bCs/>
          <w:color w:val="auto"/>
          <w:sz w:val="32"/>
          <w:highlight w:val="none"/>
        </w:rPr>
        <w:br w:type="page"/>
      </w:r>
    </w:p>
    <w:p>
      <w:pPr>
        <w:spacing w:line="380" w:lineRule="exact"/>
        <w:jc w:val="center"/>
        <w:rPr>
          <w:rFonts w:ascii="宋体" w:hAnsi="宋体"/>
          <w:b/>
          <w:bCs/>
          <w:color w:val="auto"/>
          <w:sz w:val="32"/>
          <w:highlight w:val="none"/>
        </w:rPr>
      </w:pPr>
    </w:p>
    <w:p>
      <w:pPr>
        <w:widowControl/>
        <w:adjustRightInd w:val="0"/>
        <w:snapToGrid w:val="0"/>
        <w:spacing w:line="360" w:lineRule="auto"/>
        <w:jc w:val="center"/>
        <w:rPr>
          <w:rFonts w:ascii="宋体" w:hAnsi="宋体"/>
          <w:b/>
          <w:color w:val="auto"/>
          <w:sz w:val="22"/>
          <w:szCs w:val="22"/>
          <w:highlight w:val="none"/>
        </w:rPr>
      </w:pPr>
      <w:r>
        <w:rPr>
          <w:rFonts w:hint="eastAsia" w:ascii="宋体" w:hAnsi="宋体"/>
          <w:b/>
          <w:color w:val="auto"/>
          <w:sz w:val="22"/>
          <w:szCs w:val="22"/>
          <w:highlight w:val="none"/>
        </w:rPr>
        <w:t>（</w:t>
      </w:r>
      <w:r>
        <w:rPr>
          <w:rFonts w:ascii="宋体" w:hAnsi="宋体"/>
          <w:b/>
          <w:color w:val="auto"/>
          <w:sz w:val="22"/>
          <w:szCs w:val="22"/>
          <w:highlight w:val="none"/>
        </w:rPr>
        <w:t>2</w:t>
      </w:r>
      <w:r>
        <w:rPr>
          <w:rFonts w:hint="eastAsia" w:ascii="宋体" w:hAnsi="宋体"/>
          <w:b/>
          <w:color w:val="auto"/>
          <w:sz w:val="22"/>
          <w:szCs w:val="22"/>
          <w:highlight w:val="none"/>
        </w:rPr>
        <w:t>）</w:t>
      </w:r>
      <w:r>
        <w:rPr>
          <w:rFonts w:hint="eastAsia" w:ascii="宋体" w:hAnsi="宋体"/>
          <w:b/>
          <w:color w:val="auto"/>
          <w:sz w:val="22"/>
          <w:szCs w:val="22"/>
          <w:highlight w:val="none"/>
          <w:lang w:eastAsia="zh-CN"/>
        </w:rPr>
        <w:t>投标人</w:t>
      </w:r>
      <w:r>
        <w:rPr>
          <w:rFonts w:hint="eastAsia" w:ascii="宋体" w:hAnsi="宋体"/>
          <w:b/>
          <w:color w:val="auto"/>
          <w:sz w:val="22"/>
          <w:szCs w:val="22"/>
          <w:highlight w:val="none"/>
        </w:rPr>
        <w:t>参与政府采购活动投标资格声明函</w:t>
      </w:r>
    </w:p>
    <w:p>
      <w:pPr>
        <w:widowControl/>
        <w:adjustRightInd w:val="0"/>
        <w:snapToGrid w:val="0"/>
        <w:spacing w:line="360" w:lineRule="auto"/>
        <w:jc w:val="left"/>
        <w:rPr>
          <w:rFonts w:ascii="宋体" w:hAnsi="宋体" w:cs="新宋体"/>
          <w:color w:val="auto"/>
          <w:kern w:val="0"/>
          <w:sz w:val="22"/>
          <w:szCs w:val="22"/>
          <w:highlight w:val="none"/>
        </w:rPr>
      </w:pPr>
    </w:p>
    <w:p>
      <w:pPr>
        <w:widowControl/>
        <w:adjustRightInd w:val="0"/>
        <w:snapToGrid w:val="0"/>
        <w:spacing w:line="360" w:lineRule="auto"/>
        <w:jc w:val="left"/>
        <w:rPr>
          <w:rFonts w:ascii="宋体" w:hAnsi="宋体" w:cs="宋体"/>
          <w:color w:val="auto"/>
          <w:kern w:val="0"/>
          <w:sz w:val="22"/>
          <w:szCs w:val="22"/>
          <w:highlight w:val="none"/>
        </w:rPr>
      </w:pPr>
      <w:r>
        <w:rPr>
          <w:rFonts w:hint="eastAsia" w:ascii="宋体" w:hAnsi="宋体"/>
          <w:color w:val="auto"/>
          <w:sz w:val="22"/>
          <w:szCs w:val="22"/>
          <w:highlight w:val="none"/>
        </w:rPr>
        <w:t>温州市交通运输局</w:t>
      </w:r>
      <w:r>
        <w:rPr>
          <w:rFonts w:hint="eastAsia" w:ascii="宋体" w:hAnsi="宋体" w:cs="宋体"/>
          <w:color w:val="auto"/>
          <w:kern w:val="0"/>
          <w:sz w:val="22"/>
          <w:szCs w:val="22"/>
          <w:highlight w:val="none"/>
        </w:rPr>
        <w:t>：</w:t>
      </w:r>
    </w:p>
    <w:p>
      <w:pPr>
        <w:widowControl/>
        <w:adjustRightInd w:val="0"/>
        <w:snapToGrid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温州元信工程项目管理有限公司：</w:t>
      </w:r>
    </w:p>
    <w:p>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我单位参与</w:t>
      </w:r>
      <w:r>
        <w:rPr>
          <w:rFonts w:hint="eastAsia" w:ascii="宋体" w:hAnsi="宋体"/>
          <w:color w:val="auto"/>
          <w:sz w:val="22"/>
          <w:szCs w:val="22"/>
          <w:highlight w:val="none"/>
          <w:u w:val="single"/>
        </w:rPr>
        <w:t xml:space="preserve">（项目名称） </w:t>
      </w:r>
      <w:r>
        <w:rPr>
          <w:rFonts w:hint="eastAsia" w:ascii="宋体" w:hAnsi="宋体" w:cs="宋体"/>
          <w:color w:val="auto"/>
          <w:kern w:val="0"/>
          <w:sz w:val="22"/>
          <w:szCs w:val="22"/>
          <w:highlight w:val="none"/>
        </w:rPr>
        <w:t>项目的采购活动，现声明如下：</w:t>
      </w:r>
    </w:p>
    <w:p>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1、我单位具有独立承担民事责任的能力。</w:t>
      </w:r>
    </w:p>
    <w:p>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2、我单位具有良好的商业信誉和健全的财务会计制度。</w:t>
      </w:r>
    </w:p>
    <w:p>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3、我单位具有依法缴纳税收和社会保障资金的良好记录。</w:t>
      </w:r>
    </w:p>
    <w:p>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4、我单位具有履行本项目政府采购合同所必需的设备和专业技术能力。</w:t>
      </w:r>
    </w:p>
    <w:p>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我单位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6、我单位未与单位负责人为同一人或者存在直接控股、管理关系的其他</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，一起参加本项目的政府采购活动。</w:t>
      </w:r>
    </w:p>
    <w:p>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7、我单位符合本项目特定资格条件：</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的要求，并在谈判响应文件中提供了相应的证明材料（采购文件没有要求特定资格条件的，本条款空格处可以空白）</w:t>
      </w:r>
    </w:p>
    <w:p>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以上事项如有虚假，采购人可取消我方任何资格（投标/中标/签订合同），我方对此无任何异议。</w:t>
      </w:r>
    </w:p>
    <w:p>
      <w:pPr>
        <w:widowControl/>
        <w:adjustRightInd w:val="0"/>
        <w:snapToGrid w:val="0"/>
        <w:spacing w:line="360" w:lineRule="auto"/>
        <w:ind w:firstLine="440" w:firstLineChars="200"/>
        <w:jc w:val="left"/>
        <w:rPr>
          <w:rFonts w:ascii="宋体" w:hAnsi="宋体" w:cs="宋体"/>
          <w:color w:val="auto"/>
          <w:kern w:val="0"/>
          <w:sz w:val="22"/>
          <w:szCs w:val="22"/>
          <w:highlight w:val="none"/>
        </w:rPr>
      </w:pPr>
    </w:p>
    <w:p>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pPr>
        <w:widowControl/>
        <w:adjustRightInd w:val="0"/>
        <w:snapToGrid w:val="0"/>
        <w:spacing w:line="360" w:lineRule="auto"/>
        <w:ind w:firstLine="440" w:firstLineChars="200"/>
        <w:jc w:val="left"/>
        <w:rPr>
          <w:rFonts w:ascii="宋体" w:hAnsi="宋体" w:cs="新宋体"/>
          <w:color w:val="auto"/>
          <w:kern w:val="0"/>
          <w:sz w:val="22"/>
          <w:szCs w:val="22"/>
          <w:highlight w:val="none"/>
        </w:rPr>
      </w:pPr>
    </w:p>
    <w:p>
      <w:pPr>
        <w:pStyle w:val="2"/>
        <w:rPr>
          <w:color w:val="auto"/>
          <w:highlight w:val="none"/>
        </w:rPr>
      </w:pPr>
    </w:p>
    <w:p>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投标人名称（盖章）</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w:t>
      </w:r>
    </w:p>
    <w:p>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法定代表人（负责人）或其授权代表（签字或盖章）：</w:t>
      </w:r>
    </w:p>
    <w:p>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日期：</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年</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月</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日</w:t>
      </w:r>
    </w:p>
    <w:p>
      <w:pPr>
        <w:pStyle w:val="2"/>
        <w:rPr>
          <w:color w:val="auto"/>
          <w:highlight w:val="none"/>
        </w:rPr>
      </w:pPr>
    </w:p>
    <w:p>
      <w:pPr>
        <w:widowControl/>
        <w:adjustRightInd w:val="0"/>
        <w:snapToGrid w:val="0"/>
        <w:spacing w:line="360" w:lineRule="auto"/>
        <w:jc w:val="left"/>
        <w:rPr>
          <w:rFonts w:ascii="宋体" w:hAnsi="宋体"/>
          <w:color w:val="auto"/>
          <w:sz w:val="22"/>
          <w:szCs w:val="22"/>
          <w:highlight w:val="none"/>
        </w:rPr>
      </w:pPr>
      <w:r>
        <w:rPr>
          <w:rFonts w:ascii="宋体" w:hAnsi="宋体" w:cs="新宋体"/>
          <w:color w:val="auto"/>
          <w:kern w:val="0"/>
          <w:sz w:val="22"/>
          <w:szCs w:val="22"/>
          <w:highlight w:val="none"/>
        </w:rPr>
        <w:br w:type="page"/>
      </w:r>
    </w:p>
    <w:p>
      <w:pPr>
        <w:pStyle w:val="34"/>
        <w:snapToGrid w:val="0"/>
        <w:spacing w:line="324" w:lineRule="auto"/>
        <w:jc w:val="center"/>
        <w:rPr>
          <w:rFonts w:hAnsi="宋体"/>
          <w:b/>
          <w:bCs/>
          <w:color w:val="auto"/>
          <w:sz w:val="22"/>
          <w:szCs w:val="22"/>
          <w:highlight w:val="none"/>
        </w:rPr>
      </w:pPr>
      <w:r>
        <w:rPr>
          <w:rFonts w:hint="eastAsia" w:hAnsi="宋体"/>
          <w:b/>
          <w:bCs/>
          <w:color w:val="auto"/>
          <w:sz w:val="22"/>
          <w:szCs w:val="22"/>
          <w:highlight w:val="none"/>
        </w:rPr>
        <w:t>（3）诚信投标承诺书</w:t>
      </w:r>
    </w:p>
    <w:p>
      <w:pPr>
        <w:ind w:right="-153" w:rightChars="-73"/>
        <w:jc w:val="center"/>
        <w:rPr>
          <w:rFonts w:ascii="宋体" w:hAnsi="宋体"/>
          <w:color w:val="auto"/>
          <w:sz w:val="22"/>
          <w:szCs w:val="22"/>
          <w:highlight w:val="none"/>
        </w:rPr>
      </w:pPr>
    </w:p>
    <w:p>
      <w:pPr>
        <w:spacing w:line="520" w:lineRule="exact"/>
        <w:ind w:right="-153" w:rightChars="-73"/>
        <w:rPr>
          <w:rFonts w:ascii="宋体" w:hAnsi="宋体"/>
          <w:color w:val="auto"/>
          <w:sz w:val="22"/>
          <w:szCs w:val="22"/>
          <w:highlight w:val="none"/>
        </w:rPr>
      </w:pPr>
      <w:r>
        <w:rPr>
          <w:rFonts w:hint="eastAsia" w:ascii="宋体" w:hAnsi="宋体"/>
          <w:color w:val="auto"/>
          <w:sz w:val="22"/>
          <w:szCs w:val="22"/>
          <w:highlight w:val="none"/>
        </w:rPr>
        <w:t>本企业郑重承诺：</w:t>
      </w:r>
    </w:p>
    <w:p>
      <w:pPr>
        <w:spacing w:line="5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为了积极配合贵公司组织的</w:t>
      </w:r>
      <w:r>
        <w:rPr>
          <w:rFonts w:hint="eastAsia" w:ascii="宋体" w:hAnsi="宋体"/>
          <w:color w:val="auto"/>
          <w:sz w:val="22"/>
          <w:szCs w:val="22"/>
          <w:highlight w:val="none"/>
          <w:u w:val="single"/>
        </w:rPr>
        <w:t xml:space="preserve"> （项目名称） </w:t>
      </w:r>
      <w:r>
        <w:rPr>
          <w:rFonts w:hint="eastAsia" w:ascii="宋体" w:hAnsi="宋体"/>
          <w:color w:val="auto"/>
          <w:sz w:val="22"/>
          <w:szCs w:val="22"/>
          <w:highlight w:val="none"/>
        </w:rPr>
        <w:t>招标工作，有效遏制不公平竞争和违规违纪问题的发生，确保招标工作的公平、公正、公开，我们保证认真贯彻</w:t>
      </w:r>
      <w:r>
        <w:rPr>
          <w:rFonts w:hint="eastAsia" w:ascii="宋体" w:hAnsi="宋体" w:cs="Century Gothic"/>
          <w:color w:val="auto"/>
          <w:sz w:val="22"/>
          <w:szCs w:val="22"/>
          <w:highlight w:val="none"/>
        </w:rPr>
        <w:t>《中华人民共和国政府采购法》、《中华人民共和国政府采购法实施条例》、《政府采购货物和服务招标投标管理办法》和《关于进一步规范政府采购活动的若干意见》等法律及有关法规</w:t>
      </w:r>
      <w:r>
        <w:rPr>
          <w:rFonts w:hint="eastAsia" w:ascii="宋体" w:hAnsi="宋体"/>
          <w:color w:val="auto"/>
          <w:sz w:val="22"/>
          <w:szCs w:val="22"/>
          <w:highlight w:val="none"/>
        </w:rPr>
        <w:t>相关规定以及有关廉洁要求，特承诺如下事项：</w:t>
      </w:r>
    </w:p>
    <w:p>
      <w:pPr>
        <w:numPr>
          <w:ilvl w:val="0"/>
          <w:numId w:val="47"/>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自觉遵守国家法律法规及有关廉政建设制度。</w:t>
      </w:r>
    </w:p>
    <w:p>
      <w:pPr>
        <w:numPr>
          <w:ilvl w:val="0"/>
          <w:numId w:val="47"/>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主动了解采购人招投标纪律，积极配合采购人执行招投标廉政建设的有关规定。</w:t>
      </w:r>
    </w:p>
    <w:p>
      <w:pPr>
        <w:numPr>
          <w:ilvl w:val="0"/>
          <w:numId w:val="47"/>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不使用不正当手段妨碍、排挤其它投标人或串通投标。</w:t>
      </w:r>
    </w:p>
    <w:p>
      <w:pPr>
        <w:numPr>
          <w:ilvl w:val="0"/>
          <w:numId w:val="47"/>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按照本招标文件规定的方式进行投标，不隐瞒本单位投标资质的真实情况，投标资质符合规定。</w:t>
      </w:r>
    </w:p>
    <w:p>
      <w:pPr>
        <w:numPr>
          <w:ilvl w:val="0"/>
          <w:numId w:val="47"/>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numPr>
          <w:ilvl w:val="0"/>
          <w:numId w:val="47"/>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不向采购人及个人购置或提供通讯工具、交通工具和高档办公用品等。</w:t>
      </w:r>
    </w:p>
    <w:p>
      <w:pPr>
        <w:numPr>
          <w:ilvl w:val="0"/>
          <w:numId w:val="47"/>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不向采购人涉及招标的人员的配偶、子女分包此次招标项目。</w:t>
      </w:r>
    </w:p>
    <w:p>
      <w:pPr>
        <w:numPr>
          <w:ilvl w:val="0"/>
          <w:numId w:val="47"/>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不向采购人及个人支付好处费、介绍费。</w:t>
      </w:r>
    </w:p>
    <w:p>
      <w:pPr>
        <w:numPr>
          <w:ilvl w:val="0"/>
          <w:numId w:val="47"/>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一旦发现相关人员在招标过程中的索要财物等不廉洁行为，坚决予以抵制，并及时向有关纪检监察部门举报。</w:t>
      </w:r>
    </w:p>
    <w:p>
      <w:pPr>
        <w:numPr>
          <w:ilvl w:val="0"/>
          <w:numId w:val="47"/>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我们若违反上述承诺，愿接受取消投标人资格及其他任何形式的处理。</w:t>
      </w:r>
    </w:p>
    <w:p>
      <w:pPr>
        <w:snapToGrid w:val="0"/>
        <w:spacing w:line="500" w:lineRule="exact"/>
        <w:ind w:firstLine="385" w:firstLineChars="175"/>
        <w:rPr>
          <w:rFonts w:ascii="宋体" w:hAnsi="宋体"/>
          <w:color w:val="auto"/>
          <w:sz w:val="22"/>
          <w:szCs w:val="22"/>
          <w:highlight w:val="none"/>
        </w:rPr>
      </w:pPr>
    </w:p>
    <w:p>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投标人名称（盖章）</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w:t>
      </w:r>
    </w:p>
    <w:p>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法定代表人（负责人）或其授权代表（签字或盖章）：</w:t>
      </w:r>
    </w:p>
    <w:p>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日期：</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年</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月</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日</w:t>
      </w:r>
    </w:p>
    <w:p>
      <w:pPr>
        <w:rPr>
          <w:rFonts w:ascii="宋体"/>
          <w:b/>
          <w:bCs/>
          <w:color w:val="auto"/>
          <w:sz w:val="22"/>
          <w:szCs w:val="22"/>
          <w:highlight w:val="none"/>
        </w:rPr>
      </w:pPr>
      <w:r>
        <w:rPr>
          <w:rFonts w:ascii="宋体"/>
          <w:b/>
          <w:bCs/>
          <w:color w:val="auto"/>
          <w:sz w:val="22"/>
          <w:szCs w:val="22"/>
          <w:highlight w:val="none"/>
        </w:rPr>
        <w:br w:type="page"/>
      </w:r>
    </w:p>
    <w:p>
      <w:pPr>
        <w:pStyle w:val="34"/>
        <w:snapToGrid w:val="0"/>
        <w:spacing w:line="324" w:lineRule="auto"/>
        <w:jc w:val="center"/>
        <w:rPr>
          <w:rFonts w:hAnsi="宋体"/>
          <w:b/>
          <w:bCs/>
          <w:color w:val="auto"/>
          <w:sz w:val="22"/>
          <w:szCs w:val="22"/>
          <w:highlight w:val="none"/>
        </w:rPr>
      </w:pPr>
      <w:r>
        <w:rPr>
          <w:rFonts w:hint="eastAsia" w:hAnsi="宋体"/>
          <w:b/>
          <w:bCs/>
          <w:color w:val="auto"/>
          <w:sz w:val="22"/>
          <w:szCs w:val="22"/>
          <w:highlight w:val="none"/>
        </w:rPr>
        <w:t>（4）联合体协议书</w:t>
      </w:r>
    </w:p>
    <w:p>
      <w:pPr>
        <w:pStyle w:val="2"/>
        <w:spacing w:line="400" w:lineRule="exact"/>
        <w:jc w:val="center"/>
        <w:rPr>
          <w:rFonts w:ascii="宋体" w:hAnsi="宋体"/>
          <w:color w:val="auto"/>
          <w:szCs w:val="21"/>
          <w:highlight w:val="none"/>
        </w:rPr>
      </w:pPr>
      <w:r>
        <w:rPr>
          <w:rFonts w:hint="eastAsia" w:ascii="宋体" w:hAnsi="宋体"/>
          <w:color w:val="auto"/>
          <w:szCs w:val="21"/>
          <w:highlight w:val="none"/>
        </w:rPr>
        <w:t>（适用于联合体）</w:t>
      </w:r>
    </w:p>
    <w:p>
      <w:pPr>
        <w:pStyle w:val="3"/>
        <w:ind w:firstLine="220"/>
        <w:rPr>
          <w:color w:val="auto"/>
          <w:sz w:val="22"/>
          <w:szCs w:val="22"/>
          <w:highlight w:val="none"/>
        </w:rPr>
      </w:pPr>
    </w:p>
    <w:p>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（所有成员单位名称）    </w:t>
      </w:r>
      <w:r>
        <w:rPr>
          <w:rFonts w:hint="eastAsia" w:ascii="宋体" w:hAnsi="宋体" w:cs="宋体"/>
          <w:color w:val="auto"/>
          <w:sz w:val="22"/>
          <w:szCs w:val="22"/>
          <w:highlight w:val="none"/>
        </w:rPr>
        <w:t>自愿组成联合体，参加</w:t>
      </w:r>
      <w:r>
        <w:rPr>
          <w:rFonts w:hint="eastAsia" w:ascii="宋体" w:hAnsi="宋体" w:cs="宋体"/>
          <w:color w:val="auto"/>
          <w:sz w:val="22"/>
          <w:szCs w:val="22"/>
          <w:highlight w:val="none"/>
          <w:u w:val="single"/>
        </w:rPr>
        <w:t xml:space="preserve">      （项目名称）</w:t>
      </w:r>
      <w:r>
        <w:rPr>
          <w:rFonts w:hint="eastAsia" w:ascii="宋体" w:hAnsi="宋体" w:cs="宋体"/>
          <w:color w:val="auto"/>
          <w:sz w:val="22"/>
          <w:szCs w:val="22"/>
          <w:highlight w:val="none"/>
        </w:rPr>
        <w:t>投标。现就有关事宜订立协议如下：</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 xml:space="preserve">    1．</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为联合体牵头人，</w:t>
      </w:r>
      <w:r>
        <w:rPr>
          <w:rFonts w:hint="eastAsia" w:ascii="宋体" w:hAnsi="宋体" w:cs="宋体"/>
          <w:color w:val="auto"/>
          <w:sz w:val="22"/>
          <w:szCs w:val="22"/>
          <w:highlight w:val="none"/>
          <w:lang w:val="zh-CN" w:bidi="zh-CN"/>
        </w:rPr>
        <w:t>属于</w:t>
      </w:r>
      <w:r>
        <w:rPr>
          <w:rFonts w:hint="eastAsia" w:ascii="宋体" w:hAnsi="宋体" w:cs="宋体"/>
          <w:color w:val="auto"/>
          <w:sz w:val="22"/>
          <w:szCs w:val="22"/>
          <w:highlight w:val="none"/>
          <w:u w:val="single"/>
          <w:lang w:val="zh-CN" w:bidi="zh-CN"/>
        </w:rPr>
        <w:t>（</w:t>
      </w:r>
      <w:r>
        <w:rPr>
          <w:rFonts w:hint="eastAsia" w:ascii="宋体" w:hAnsi="宋体" w:cs="宋体"/>
          <w:color w:val="auto"/>
          <w:sz w:val="22"/>
          <w:szCs w:val="22"/>
          <w:highlight w:val="none"/>
          <w:u w:val="single"/>
          <w:lang w:bidi="zh-CN"/>
        </w:rPr>
        <w:t>大</w:t>
      </w:r>
      <w:r>
        <w:rPr>
          <w:rFonts w:hint="eastAsia" w:ascii="宋体" w:hAnsi="宋体" w:cs="宋体"/>
          <w:color w:val="auto"/>
          <w:sz w:val="22"/>
          <w:szCs w:val="22"/>
          <w:highlight w:val="none"/>
          <w:u w:val="single"/>
          <w:lang w:val="zh-CN" w:bidi="zh-CN"/>
        </w:rPr>
        <w:t>型企业</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中型企业</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小型企业</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微型企业）</w:t>
      </w:r>
      <w:r>
        <w:rPr>
          <w:rFonts w:hint="eastAsia" w:ascii="宋体" w:hAnsi="宋体" w:cs="宋体"/>
          <w:color w:val="auto"/>
          <w:sz w:val="22"/>
          <w:szCs w:val="22"/>
          <w:highlight w:val="none"/>
          <w:lang w:val="zh-CN" w:bidi="zh-CN"/>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为联合体成员，</w:t>
      </w:r>
      <w:r>
        <w:rPr>
          <w:rFonts w:hint="eastAsia" w:ascii="宋体" w:hAnsi="宋体" w:cs="宋体"/>
          <w:color w:val="auto"/>
          <w:sz w:val="22"/>
          <w:szCs w:val="22"/>
          <w:highlight w:val="none"/>
          <w:lang w:val="zh-CN" w:bidi="zh-CN"/>
        </w:rPr>
        <w:t>属于</w:t>
      </w:r>
      <w:r>
        <w:rPr>
          <w:rFonts w:hint="eastAsia" w:ascii="宋体" w:hAnsi="宋体" w:cs="宋体"/>
          <w:color w:val="auto"/>
          <w:sz w:val="22"/>
          <w:szCs w:val="22"/>
          <w:highlight w:val="none"/>
          <w:u w:val="single"/>
          <w:lang w:val="zh-CN" w:bidi="zh-CN"/>
        </w:rPr>
        <w:t>（</w:t>
      </w:r>
      <w:r>
        <w:rPr>
          <w:rFonts w:hint="eastAsia" w:ascii="宋体" w:hAnsi="宋体" w:cs="宋体"/>
          <w:color w:val="auto"/>
          <w:sz w:val="22"/>
          <w:szCs w:val="22"/>
          <w:highlight w:val="none"/>
          <w:u w:val="single"/>
          <w:lang w:bidi="zh-CN"/>
        </w:rPr>
        <w:t>大</w:t>
      </w:r>
      <w:r>
        <w:rPr>
          <w:rFonts w:hint="eastAsia" w:ascii="宋体" w:hAnsi="宋体" w:cs="宋体"/>
          <w:color w:val="auto"/>
          <w:sz w:val="22"/>
          <w:szCs w:val="22"/>
          <w:highlight w:val="none"/>
          <w:u w:val="single"/>
          <w:lang w:val="zh-CN" w:bidi="zh-CN"/>
        </w:rPr>
        <w:t>型企业</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中型企业</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小型企业</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微型企业）</w:t>
      </w:r>
      <w:r>
        <w:rPr>
          <w:rFonts w:hint="eastAsia" w:ascii="宋体" w:hAnsi="宋体" w:cs="宋体"/>
          <w:color w:val="auto"/>
          <w:sz w:val="22"/>
          <w:szCs w:val="22"/>
          <w:highlight w:val="none"/>
        </w:rPr>
        <w:t>；</w:t>
      </w:r>
    </w:p>
    <w:p>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2．联合体内部有关事项规定如下：</w:t>
      </w:r>
    </w:p>
    <w:p>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（1）联合体由牵头人负责与业主联系；</w:t>
      </w:r>
    </w:p>
    <w:p>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（2）投标工作由联合体牵头人负责，由双方组成的投标小组具体实施；联合体牵头人负责对投标文件进行签字或盖章；</w:t>
      </w:r>
    </w:p>
    <w:p>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（3）联合体将严格按照招标文件的各项要求，递交投标文件，切实执行一切合同文件，共同承担合同规定的一切义务和责任，同时按照内部职责的划分，承担自身所负的责任和风险；</w:t>
      </w:r>
    </w:p>
    <w:p>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u w:val="single"/>
        </w:rPr>
      </w:pPr>
      <w:r>
        <w:rPr>
          <w:rFonts w:hint="eastAsia" w:ascii="宋体" w:hAnsi="宋体" w:cs="宋体"/>
          <w:color w:val="auto"/>
          <w:sz w:val="22"/>
          <w:szCs w:val="22"/>
          <w:highlight w:val="none"/>
        </w:rPr>
        <w:t>（4）联合体各成员单位内部的职责分工如下：</w:t>
      </w:r>
      <w:r>
        <w:rPr>
          <w:rFonts w:hint="eastAsia" w:ascii="宋体" w:hAnsi="宋体" w:cs="宋体"/>
          <w:color w:val="auto"/>
          <w:sz w:val="22"/>
          <w:szCs w:val="22"/>
          <w:highlight w:val="none"/>
          <w:u w:val="single"/>
        </w:rPr>
        <w:t xml:space="preserve">                                    </w:t>
      </w:r>
    </w:p>
    <w:p>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（5）联合体各成员约定</w:t>
      </w:r>
      <w:r>
        <w:rPr>
          <w:rFonts w:hint="eastAsia" w:ascii="宋体" w:hAnsi="宋体" w:cs="宋体"/>
          <w:color w:val="auto"/>
          <w:sz w:val="22"/>
          <w:szCs w:val="22"/>
          <w:highlight w:val="none"/>
          <w:u w:val="single"/>
        </w:rPr>
        <w:t xml:space="preserve">     （联合体成员）      </w:t>
      </w:r>
      <w:r>
        <w:rPr>
          <w:rFonts w:hint="eastAsia" w:ascii="宋体" w:hAnsi="宋体" w:cs="宋体"/>
          <w:color w:val="auto"/>
          <w:sz w:val="22"/>
          <w:szCs w:val="22"/>
          <w:highlight w:val="none"/>
        </w:rPr>
        <w:t>的</w:t>
      </w:r>
      <w:r>
        <w:rPr>
          <w:rFonts w:hint="eastAsia"/>
          <w:color w:val="auto"/>
          <w:sz w:val="22"/>
          <w:szCs w:val="22"/>
          <w:highlight w:val="none"/>
          <w:lang w:val="zh-CN"/>
        </w:rPr>
        <w:t>合同份额占到合同总金额</w:t>
      </w:r>
      <w:r>
        <w:rPr>
          <w:rFonts w:hint="eastAsia"/>
          <w:color w:val="auto"/>
          <w:sz w:val="22"/>
          <w:szCs w:val="22"/>
          <w:highlight w:val="none"/>
        </w:rPr>
        <w:t>的</w:t>
      </w:r>
      <w:r>
        <w:rPr>
          <w:rFonts w:hint="eastAsia"/>
          <w:color w:val="auto"/>
          <w:sz w:val="22"/>
          <w:szCs w:val="22"/>
          <w:highlight w:val="none"/>
          <w:u w:val="single"/>
        </w:rPr>
        <w:t xml:space="preserve">      </w:t>
      </w:r>
      <w:r>
        <w:rPr>
          <w:rFonts w:hint="eastAsia"/>
          <w:color w:val="auto"/>
          <w:sz w:val="22"/>
          <w:szCs w:val="22"/>
          <w:highlight w:val="none"/>
          <w:lang w:val="zh-CN"/>
        </w:rPr>
        <w:t>%；</w:t>
      </w:r>
    </w:p>
    <w:p>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u w:val="single"/>
        </w:rPr>
      </w:pPr>
      <w:r>
        <w:rPr>
          <w:rFonts w:hint="eastAsia" w:ascii="宋体" w:hAnsi="宋体" w:cs="宋体"/>
          <w:color w:val="auto"/>
          <w:sz w:val="22"/>
          <w:szCs w:val="22"/>
          <w:highlight w:val="none"/>
        </w:rPr>
        <w:t>（6）投标工作和联合体在中标后工程实施过程中的有关费用按各自承担的工作量分摊。</w:t>
      </w:r>
    </w:p>
    <w:p>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3．本协议书自签署之日起生效，合同履行完毕后自动失效。</w:t>
      </w:r>
    </w:p>
    <w:p>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p>
    <w:p>
      <w:pPr>
        <w:widowControl/>
        <w:tabs>
          <w:tab w:val="left" w:pos="482"/>
          <w:tab w:val="left" w:pos="2183"/>
          <w:tab w:val="left" w:pos="3884"/>
          <w:tab w:val="left" w:pos="5585"/>
        </w:tabs>
        <w:spacing w:before="100" w:beforeAutospacing="1" w:after="100" w:afterAutospacing="1" w:line="40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联合体牵头人名称（盖章）：       </w:t>
      </w:r>
    </w:p>
    <w:p>
      <w:pPr>
        <w:widowControl/>
        <w:tabs>
          <w:tab w:val="left" w:pos="482"/>
          <w:tab w:val="left" w:pos="2183"/>
          <w:tab w:val="left" w:pos="3884"/>
          <w:tab w:val="left" w:pos="5585"/>
        </w:tabs>
        <w:spacing w:before="100" w:beforeAutospacing="1" w:after="100" w:afterAutospacing="1" w:line="40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法定代表人（签字或盖章）</w:t>
      </w:r>
    </w:p>
    <w:p>
      <w:pPr>
        <w:widowControl/>
        <w:tabs>
          <w:tab w:val="left" w:pos="482"/>
          <w:tab w:val="left" w:pos="2183"/>
          <w:tab w:val="left" w:pos="3884"/>
          <w:tab w:val="left" w:pos="5585"/>
        </w:tabs>
        <w:spacing w:before="100" w:beforeAutospacing="1" w:after="100" w:afterAutospacing="1" w:line="400" w:lineRule="exact"/>
        <w:jc w:val="left"/>
        <w:rPr>
          <w:rFonts w:ascii="宋体" w:hAnsi="宋体" w:cs="宋体"/>
          <w:color w:val="auto"/>
          <w:sz w:val="22"/>
          <w:szCs w:val="22"/>
          <w:highlight w:val="none"/>
        </w:rPr>
      </w:pPr>
    </w:p>
    <w:p>
      <w:pPr>
        <w:tabs>
          <w:tab w:val="left" w:pos="482"/>
          <w:tab w:val="left" w:pos="2183"/>
          <w:tab w:val="left" w:pos="3884"/>
          <w:tab w:val="left" w:pos="5585"/>
        </w:tabs>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联合体成员名称（盖章）：</w:t>
      </w:r>
    </w:p>
    <w:p>
      <w:pPr>
        <w:tabs>
          <w:tab w:val="left" w:pos="482"/>
          <w:tab w:val="left" w:pos="2183"/>
          <w:tab w:val="left" w:pos="3884"/>
          <w:tab w:val="left" w:pos="5585"/>
        </w:tabs>
        <w:ind w:firstLine="440" w:firstLineChars="200"/>
        <w:jc w:val="left"/>
        <w:rPr>
          <w:rFonts w:ascii="宋体" w:hAnsi="宋体" w:cs="宋体"/>
          <w:color w:val="auto"/>
          <w:sz w:val="22"/>
          <w:szCs w:val="22"/>
          <w:highlight w:val="none"/>
        </w:rPr>
      </w:pPr>
    </w:p>
    <w:p>
      <w:pPr>
        <w:tabs>
          <w:tab w:val="left" w:pos="482"/>
          <w:tab w:val="left" w:pos="2183"/>
          <w:tab w:val="left" w:pos="3884"/>
          <w:tab w:val="left" w:pos="5585"/>
        </w:tabs>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    法定代表人（签字或盖章）</w:t>
      </w:r>
    </w:p>
    <w:p>
      <w:pPr>
        <w:tabs>
          <w:tab w:val="left" w:pos="482"/>
          <w:tab w:val="left" w:pos="2183"/>
          <w:tab w:val="left" w:pos="3884"/>
          <w:tab w:val="left" w:pos="5585"/>
        </w:tabs>
        <w:jc w:val="left"/>
        <w:rPr>
          <w:rFonts w:ascii="宋体" w:hAnsi="宋体" w:cs="宋体"/>
          <w:color w:val="auto"/>
          <w:sz w:val="22"/>
          <w:szCs w:val="22"/>
          <w:highlight w:val="none"/>
        </w:rPr>
      </w:pPr>
    </w:p>
    <w:p>
      <w:pPr>
        <w:widowControl/>
        <w:tabs>
          <w:tab w:val="left" w:pos="482"/>
          <w:tab w:val="left" w:pos="2183"/>
          <w:tab w:val="left" w:pos="3884"/>
          <w:tab w:val="left" w:pos="5585"/>
        </w:tabs>
        <w:wordWrap w:val="0"/>
        <w:autoSpaceDE w:val="0"/>
        <w:autoSpaceDN w:val="0"/>
        <w:ind w:left="262"/>
        <w:jc w:val="right"/>
        <w:rPr>
          <w:rFonts w:ascii="宋体" w:hAnsi="宋体" w:cs="宋体"/>
          <w:color w:val="auto"/>
          <w:sz w:val="22"/>
          <w:szCs w:val="22"/>
          <w:highlight w:val="none"/>
        </w:rPr>
      </w:pPr>
    </w:p>
    <w:p>
      <w:pPr>
        <w:widowControl/>
        <w:tabs>
          <w:tab w:val="left" w:pos="482"/>
          <w:tab w:val="left" w:pos="2183"/>
          <w:tab w:val="left" w:pos="3884"/>
          <w:tab w:val="left" w:pos="5585"/>
        </w:tabs>
        <w:wordWrap w:val="0"/>
        <w:autoSpaceDE w:val="0"/>
        <w:autoSpaceDN w:val="0"/>
        <w:ind w:left="262"/>
        <w:jc w:val="right"/>
        <w:rPr>
          <w:rFonts w:ascii="宋体" w:hAnsi="宋体"/>
          <w:color w:val="auto"/>
          <w:sz w:val="22"/>
          <w:szCs w:val="22"/>
          <w:highlight w:val="none"/>
        </w:rPr>
      </w:pPr>
      <w:r>
        <w:rPr>
          <w:rFonts w:hint="eastAsia" w:ascii="宋体" w:hAnsi="宋体" w:cs="宋体"/>
          <w:color w:val="auto"/>
          <w:sz w:val="22"/>
          <w:szCs w:val="22"/>
          <w:highlight w:val="none"/>
        </w:rPr>
        <w:t>年    月    日</w:t>
      </w:r>
    </w:p>
    <w:p>
      <w:pPr>
        <w:pStyle w:val="9"/>
        <w:rPr>
          <w:color w:val="auto"/>
          <w:sz w:val="22"/>
          <w:szCs w:val="22"/>
          <w:highlight w:val="none"/>
        </w:rPr>
      </w:pPr>
    </w:p>
    <w:p>
      <w:pPr>
        <w:spacing w:line="380" w:lineRule="exact"/>
        <w:rPr>
          <w:rFonts w:ascii="宋体"/>
          <w:b/>
          <w:bCs/>
          <w:color w:val="auto"/>
          <w:sz w:val="22"/>
          <w:szCs w:val="22"/>
          <w:highlight w:val="none"/>
        </w:rPr>
      </w:pPr>
    </w:p>
    <w:p>
      <w:pPr>
        <w:rPr>
          <w:rFonts w:ascii="宋体"/>
          <w:b/>
          <w:bCs/>
          <w:color w:val="auto"/>
          <w:sz w:val="22"/>
          <w:szCs w:val="22"/>
          <w:highlight w:val="none"/>
        </w:rPr>
      </w:pPr>
      <w:r>
        <w:rPr>
          <w:rFonts w:ascii="宋体"/>
          <w:b/>
          <w:bCs/>
          <w:color w:val="auto"/>
          <w:sz w:val="22"/>
          <w:szCs w:val="22"/>
          <w:highlight w:val="none"/>
        </w:rPr>
        <w:br w:type="page"/>
      </w:r>
    </w:p>
    <w:p>
      <w:pPr>
        <w:pStyle w:val="2"/>
        <w:rPr>
          <w:color w:val="auto"/>
          <w:highlight w:val="none"/>
        </w:rPr>
      </w:pPr>
    </w:p>
    <w:p>
      <w:pPr>
        <w:spacing w:line="460" w:lineRule="exact"/>
        <w:jc w:val="center"/>
        <w:rPr>
          <w:rFonts w:ascii="宋体" w:hAnsi="宋体"/>
          <w:b/>
          <w:bCs/>
          <w:color w:val="auto"/>
          <w:sz w:val="28"/>
          <w:szCs w:val="28"/>
          <w:highlight w:val="none"/>
        </w:rPr>
      </w:pPr>
    </w:p>
    <w:p>
      <w:pPr>
        <w:spacing w:line="380" w:lineRule="exact"/>
        <w:rPr>
          <w:rFonts w:ascii="宋体" w:hAnsi="宋体"/>
          <w:b/>
          <w:bCs/>
          <w:color w:val="auto"/>
          <w:sz w:val="22"/>
          <w:szCs w:val="22"/>
          <w:highlight w:val="none"/>
        </w:rPr>
      </w:pPr>
      <w:r>
        <w:rPr>
          <w:rFonts w:hint="eastAsia" w:ascii="宋体" w:hAnsi="宋体"/>
          <w:b/>
          <w:bCs/>
          <w:color w:val="auto"/>
          <w:sz w:val="22"/>
          <w:szCs w:val="22"/>
          <w:highlight w:val="none"/>
        </w:rPr>
        <w:t xml:space="preserve">附件二 </w:t>
      </w:r>
    </w:p>
    <w:p>
      <w:pPr>
        <w:spacing w:line="46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（1）开标一览表</w:t>
      </w:r>
    </w:p>
    <w:p>
      <w:pPr>
        <w:spacing w:line="380" w:lineRule="exact"/>
        <w:jc w:val="center"/>
        <w:rPr>
          <w:rFonts w:ascii="宋体" w:hAnsi="宋体"/>
          <w:b/>
          <w:bCs/>
          <w:color w:val="auto"/>
          <w:sz w:val="28"/>
          <w:highlight w:val="none"/>
        </w:rPr>
      </w:pPr>
    </w:p>
    <w:p>
      <w:pPr>
        <w:spacing w:line="380" w:lineRule="exact"/>
        <w:ind w:right="349" w:rightChars="166"/>
        <w:rPr>
          <w:rFonts w:ascii="宋体" w:hAnsi="宋体"/>
          <w:b/>
          <w:color w:val="auto"/>
          <w:sz w:val="22"/>
          <w:highlight w:val="none"/>
        </w:rPr>
      </w:pPr>
      <w:r>
        <w:rPr>
          <w:rFonts w:hint="eastAsia" w:ascii="宋体" w:hAnsi="宋体"/>
          <w:b/>
          <w:color w:val="auto"/>
          <w:sz w:val="22"/>
          <w:highlight w:val="none"/>
        </w:rPr>
        <w:t xml:space="preserve">                                                             单位：人民币元</w:t>
      </w:r>
    </w:p>
    <w:tbl>
      <w:tblPr>
        <w:tblStyle w:val="63"/>
        <w:tblW w:w="94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98"/>
        <w:gridCol w:w="2017"/>
        <w:gridCol w:w="44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exact"/>
        </w:trPr>
        <w:tc>
          <w:tcPr>
            <w:tcW w:w="710" w:type="dxa"/>
            <w:vAlign w:val="center"/>
          </w:tcPr>
          <w:p>
            <w:pPr>
              <w:spacing w:line="460" w:lineRule="exact"/>
              <w:jc w:val="center"/>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序号</w:t>
            </w:r>
          </w:p>
        </w:tc>
        <w:tc>
          <w:tcPr>
            <w:tcW w:w="4315" w:type="dxa"/>
            <w:gridSpan w:val="2"/>
            <w:vAlign w:val="center"/>
          </w:tcPr>
          <w:p>
            <w:pPr>
              <w:spacing w:line="460" w:lineRule="exact"/>
              <w:jc w:val="center"/>
              <w:rPr>
                <w:rFonts w:ascii="宋体" w:hAnsi="宋体" w:cs="Arial"/>
                <w:b/>
                <w:snapToGrid w:val="0"/>
                <w:color w:val="auto"/>
                <w:kern w:val="0"/>
                <w:sz w:val="22"/>
                <w:szCs w:val="22"/>
                <w:highlight w:val="none"/>
              </w:rPr>
            </w:pPr>
            <w:r>
              <w:rPr>
                <w:rFonts w:hint="eastAsia" w:ascii="宋体" w:hAnsi="宋体" w:cs="Arial"/>
                <w:b/>
                <w:snapToGrid w:val="0"/>
                <w:color w:val="auto"/>
                <w:kern w:val="0"/>
                <w:sz w:val="22"/>
                <w:szCs w:val="22"/>
                <w:highlight w:val="none"/>
              </w:rPr>
              <w:t>项目</w:t>
            </w:r>
            <w:r>
              <w:rPr>
                <w:rFonts w:ascii="宋体" w:hAnsi="宋体" w:cs="Arial"/>
                <w:b/>
                <w:snapToGrid w:val="0"/>
                <w:color w:val="auto"/>
                <w:kern w:val="0"/>
                <w:sz w:val="22"/>
                <w:szCs w:val="22"/>
                <w:highlight w:val="none"/>
              </w:rPr>
              <w:t>名称</w:t>
            </w:r>
          </w:p>
        </w:tc>
        <w:tc>
          <w:tcPr>
            <w:tcW w:w="4443" w:type="dxa"/>
            <w:vAlign w:val="center"/>
          </w:tcPr>
          <w:p>
            <w:pPr>
              <w:spacing w:line="460" w:lineRule="exact"/>
              <w:jc w:val="center"/>
              <w:rPr>
                <w:rFonts w:ascii="宋体" w:hAnsi="宋体" w:cs="Arial"/>
                <w:b/>
                <w:snapToGrid w:val="0"/>
                <w:color w:val="auto"/>
                <w:kern w:val="0"/>
                <w:sz w:val="22"/>
                <w:szCs w:val="22"/>
                <w:highlight w:val="none"/>
              </w:rPr>
            </w:pPr>
            <w:r>
              <w:rPr>
                <w:rFonts w:hint="eastAsia" w:ascii="宋体" w:hAnsi="宋体" w:cs="Arial"/>
                <w:b/>
                <w:snapToGrid w:val="0"/>
                <w:color w:val="auto"/>
                <w:kern w:val="0"/>
                <w:sz w:val="22"/>
                <w:szCs w:val="22"/>
                <w:highlight w:val="none"/>
              </w:rPr>
              <w:t>项目负责人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0" w:type="dxa"/>
            <w:vAlign w:val="center"/>
          </w:tcPr>
          <w:p>
            <w:pPr>
              <w:spacing w:line="460" w:lineRule="exact"/>
              <w:jc w:val="center"/>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1</w:t>
            </w:r>
          </w:p>
        </w:tc>
        <w:tc>
          <w:tcPr>
            <w:tcW w:w="4315" w:type="dxa"/>
            <w:gridSpan w:val="2"/>
            <w:vAlign w:val="center"/>
          </w:tcPr>
          <w:p>
            <w:pPr>
              <w:spacing w:line="460" w:lineRule="exact"/>
              <w:jc w:val="center"/>
              <w:rPr>
                <w:rFonts w:ascii="宋体" w:hAnsi="宋体" w:cs="Arial"/>
                <w:snapToGrid w:val="0"/>
                <w:color w:val="auto"/>
                <w:kern w:val="0"/>
                <w:sz w:val="22"/>
                <w:szCs w:val="22"/>
                <w:highlight w:val="none"/>
              </w:rPr>
            </w:pPr>
            <w:r>
              <w:rPr>
                <w:rFonts w:hint="eastAsia" w:ascii="宋体" w:hAnsi="宋体" w:cs="Arial"/>
                <w:snapToGrid w:val="0"/>
                <w:color w:val="auto"/>
                <w:kern w:val="0"/>
                <w:sz w:val="22"/>
                <w:szCs w:val="22"/>
                <w:highlight w:val="none"/>
                <w:lang w:eastAsia="zh-CN"/>
              </w:rPr>
              <w:t>数字交通综合执法与服务应用项目</w:t>
            </w:r>
            <w:r>
              <w:rPr>
                <w:rFonts w:hint="eastAsia" w:ascii="宋体" w:hAnsi="宋体" w:cs="Arial"/>
                <w:snapToGrid w:val="0"/>
                <w:color w:val="auto"/>
                <w:kern w:val="0"/>
                <w:sz w:val="22"/>
                <w:szCs w:val="22"/>
                <w:highlight w:val="none"/>
                <w:lang w:eastAsia="zh-CN"/>
              </w:rPr>
              <w:t>（</w:t>
            </w:r>
            <w:r>
              <w:rPr>
                <w:rFonts w:hint="eastAsia" w:ascii="宋体" w:hAnsi="宋体" w:cs="宋体"/>
                <w:color w:val="auto"/>
                <w:kern w:val="0"/>
                <w:sz w:val="22"/>
                <w:szCs w:val="22"/>
                <w:highlight w:val="none"/>
              </w:rPr>
              <w:t>标项</w:t>
            </w:r>
            <w:r>
              <w:rPr>
                <w:rFonts w:hint="eastAsia" w:ascii="宋体" w:hAnsi="宋体" w:cs="宋体"/>
                <w:color w:val="auto"/>
                <w:kern w:val="0"/>
                <w:sz w:val="22"/>
                <w:szCs w:val="22"/>
                <w:highlight w:val="none"/>
                <w:u w:val="single"/>
                <w:lang w:val="en-US" w:eastAsia="zh-CN"/>
              </w:rPr>
              <w:t xml:space="preserve">   </w:t>
            </w:r>
            <w:r>
              <w:rPr>
                <w:rFonts w:hint="eastAsia" w:ascii="宋体" w:hAnsi="宋体" w:cs="Arial"/>
                <w:snapToGrid w:val="0"/>
                <w:color w:val="auto"/>
                <w:kern w:val="0"/>
                <w:sz w:val="22"/>
                <w:szCs w:val="22"/>
                <w:highlight w:val="none"/>
                <w:lang w:eastAsia="zh-CN"/>
              </w:rPr>
              <w:t>）</w:t>
            </w:r>
          </w:p>
        </w:tc>
        <w:tc>
          <w:tcPr>
            <w:tcW w:w="4443" w:type="dxa"/>
            <w:vAlign w:val="center"/>
          </w:tcPr>
          <w:p>
            <w:pPr>
              <w:spacing w:line="460" w:lineRule="exact"/>
              <w:jc w:val="center"/>
              <w:rPr>
                <w:rFonts w:ascii="宋体" w:hAnsi="宋体" w:cs="Arial"/>
                <w:b/>
                <w:snapToGrid w:val="0"/>
                <w:color w:val="auto"/>
                <w:kern w:val="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3008" w:type="dxa"/>
            <w:gridSpan w:val="2"/>
            <w:vAlign w:val="center"/>
          </w:tcPr>
          <w:p>
            <w:pPr>
              <w:spacing w:line="460" w:lineRule="exact"/>
              <w:jc w:val="center"/>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投标</w:t>
            </w:r>
            <w:r>
              <w:rPr>
                <w:rFonts w:hint="eastAsia" w:ascii="宋体" w:hAnsi="宋体" w:cs="Arial"/>
                <w:b/>
                <w:snapToGrid w:val="0"/>
                <w:color w:val="auto"/>
                <w:kern w:val="0"/>
                <w:sz w:val="22"/>
                <w:szCs w:val="22"/>
                <w:highlight w:val="none"/>
              </w:rPr>
              <w:t>报价</w:t>
            </w:r>
          </w:p>
        </w:tc>
        <w:tc>
          <w:tcPr>
            <w:tcW w:w="6460" w:type="dxa"/>
            <w:gridSpan w:val="2"/>
            <w:vAlign w:val="center"/>
          </w:tcPr>
          <w:p>
            <w:pPr>
              <w:spacing w:line="460" w:lineRule="exact"/>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 xml:space="preserve">大写：    </w:t>
            </w:r>
          </w:p>
          <w:p>
            <w:pPr>
              <w:spacing w:line="460" w:lineRule="exact"/>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 xml:space="preserve">小写（￥）：      </w:t>
            </w:r>
          </w:p>
        </w:tc>
      </w:tr>
    </w:tbl>
    <w:p>
      <w:pPr>
        <w:spacing w:line="460" w:lineRule="exact"/>
        <w:rPr>
          <w:rFonts w:ascii="宋体" w:hAnsi="宋体"/>
          <w:color w:val="auto"/>
          <w:sz w:val="22"/>
          <w:szCs w:val="22"/>
          <w:highlight w:val="none"/>
        </w:rPr>
      </w:pPr>
    </w:p>
    <w:p>
      <w:pPr>
        <w:spacing w:line="380" w:lineRule="exact"/>
        <w:ind w:right="349" w:rightChars="166" w:firstLine="331" w:firstLineChars="150"/>
        <w:rPr>
          <w:rFonts w:ascii="宋体" w:hAnsi="宋体"/>
          <w:b/>
          <w:color w:val="auto"/>
          <w:sz w:val="22"/>
          <w:highlight w:val="none"/>
        </w:rPr>
      </w:pPr>
    </w:p>
    <w:p>
      <w:pPr>
        <w:spacing w:line="380" w:lineRule="exact"/>
        <w:ind w:left="528" w:leftChars="-15" w:hanging="559" w:hangingChars="253"/>
        <w:rPr>
          <w:rFonts w:hint="eastAsia" w:ascii="宋体" w:hAnsi="宋体"/>
          <w:b/>
          <w:color w:val="auto"/>
          <w:sz w:val="22"/>
          <w:highlight w:val="none"/>
        </w:rPr>
      </w:pPr>
      <w:r>
        <w:rPr>
          <w:rFonts w:hint="eastAsia" w:ascii="宋体" w:hAnsi="宋体"/>
          <w:b/>
          <w:color w:val="auto"/>
          <w:sz w:val="22"/>
          <w:highlight w:val="none"/>
        </w:rPr>
        <w:t>说明：</w:t>
      </w:r>
    </w:p>
    <w:p>
      <w:pPr>
        <w:spacing w:line="380" w:lineRule="exact"/>
        <w:ind w:left="528" w:leftChars="-15" w:hanging="559" w:hangingChars="253"/>
        <w:rPr>
          <w:rFonts w:ascii="宋体" w:hAnsi="宋体" w:cs="Arial"/>
          <w:b/>
          <w:bCs/>
          <w:color w:val="auto"/>
          <w:sz w:val="22"/>
          <w:szCs w:val="22"/>
          <w:highlight w:val="none"/>
        </w:rPr>
      </w:pPr>
      <w:r>
        <w:rPr>
          <w:rFonts w:hint="eastAsia" w:ascii="宋体" w:hAnsi="宋体" w:cs="Arial"/>
          <w:b/>
          <w:bCs/>
          <w:color w:val="auto"/>
          <w:sz w:val="22"/>
          <w:szCs w:val="22"/>
          <w:highlight w:val="none"/>
        </w:rPr>
        <w:t>1、《开标一览表》中“投标报价”应与</w:t>
      </w:r>
      <w:r>
        <w:rPr>
          <w:rFonts w:hint="eastAsia" w:ascii="宋体" w:hAnsi="宋体" w:cs="Arial"/>
          <w:b/>
          <w:bCs/>
          <w:color w:val="auto"/>
          <w:sz w:val="22"/>
          <w:szCs w:val="22"/>
          <w:highlight w:val="none"/>
          <w:lang w:eastAsia="zh-CN"/>
        </w:rPr>
        <w:t>（</w:t>
      </w:r>
      <w:r>
        <w:rPr>
          <w:rFonts w:hint="eastAsia" w:ascii="宋体" w:hAnsi="宋体" w:cs="Arial"/>
          <w:b/>
          <w:bCs/>
          <w:color w:val="auto"/>
          <w:sz w:val="22"/>
          <w:szCs w:val="22"/>
          <w:highlight w:val="none"/>
          <w:lang w:val="en-US" w:eastAsia="zh-CN"/>
        </w:rPr>
        <w:t>2）</w:t>
      </w:r>
      <w:r>
        <w:rPr>
          <w:rFonts w:hint="eastAsia" w:ascii="宋体" w:hAnsi="宋体"/>
          <w:b/>
          <w:color w:val="auto"/>
          <w:sz w:val="22"/>
          <w:highlight w:val="none"/>
        </w:rPr>
        <w:t>《投标分项报价表》中“投标总价”相一致</w:t>
      </w:r>
      <w:r>
        <w:rPr>
          <w:rFonts w:hint="eastAsia" w:ascii="宋体" w:hAnsi="宋体" w:cs="Arial"/>
          <w:b/>
          <w:bCs/>
          <w:color w:val="auto"/>
          <w:sz w:val="22"/>
          <w:szCs w:val="22"/>
          <w:highlight w:val="none"/>
        </w:rPr>
        <w:t xml:space="preserve">。 </w:t>
      </w:r>
    </w:p>
    <w:p>
      <w:pPr>
        <w:spacing w:line="380" w:lineRule="exact"/>
        <w:ind w:left="532" w:leftChars="-66" w:hanging="671" w:hangingChars="304"/>
        <w:rPr>
          <w:rFonts w:ascii="宋体" w:hAnsi="宋体"/>
          <w:b/>
          <w:color w:val="auto"/>
          <w:sz w:val="22"/>
          <w:highlight w:val="none"/>
        </w:rPr>
      </w:pPr>
      <w:r>
        <w:rPr>
          <w:rFonts w:hint="eastAsia" w:ascii="宋体" w:hAnsi="宋体" w:cs="Arial"/>
          <w:b/>
          <w:bCs/>
          <w:color w:val="auto"/>
          <w:sz w:val="22"/>
          <w:szCs w:val="22"/>
          <w:highlight w:val="none"/>
        </w:rPr>
        <w:t>2、▲</w:t>
      </w:r>
      <w:r>
        <w:rPr>
          <w:rFonts w:hint="eastAsia" w:ascii="宋体" w:hAnsi="宋体" w:cs="Arial"/>
          <w:b/>
          <w:color w:val="auto"/>
          <w:sz w:val="22"/>
          <w:szCs w:val="22"/>
          <w:highlight w:val="none"/>
          <w:u w:val="single"/>
        </w:rPr>
        <w:t>不按要求提供开标一览表的投标文件将被视为未实质性响应招标文件</w:t>
      </w:r>
      <w:r>
        <w:rPr>
          <w:rFonts w:hint="eastAsia" w:ascii="宋体" w:hAnsi="宋体"/>
          <w:b/>
          <w:color w:val="auto"/>
          <w:sz w:val="22"/>
          <w:highlight w:val="none"/>
          <w:u w:val="single"/>
        </w:rPr>
        <w:t>。</w:t>
      </w:r>
    </w:p>
    <w:p>
      <w:pPr>
        <w:spacing w:line="380" w:lineRule="exact"/>
        <w:ind w:firstLine="660" w:firstLineChars="300"/>
        <w:rPr>
          <w:rFonts w:ascii="宋体" w:hAnsi="宋体"/>
          <w:color w:val="auto"/>
          <w:sz w:val="22"/>
          <w:szCs w:val="22"/>
          <w:highlight w:val="none"/>
        </w:rPr>
      </w:pPr>
    </w:p>
    <w:p>
      <w:pPr>
        <w:spacing w:line="380" w:lineRule="exact"/>
        <w:rPr>
          <w:rFonts w:ascii="宋体" w:hAnsi="宋体"/>
          <w:color w:val="auto"/>
          <w:sz w:val="22"/>
          <w:szCs w:val="22"/>
          <w:highlight w:val="none"/>
        </w:rPr>
      </w:pPr>
      <w:r>
        <w:rPr>
          <w:rFonts w:hint="eastAsia" w:ascii="宋体" w:hAnsi="宋体"/>
          <w:color w:val="auto"/>
          <w:sz w:val="22"/>
          <w:szCs w:val="22"/>
          <w:highlight w:val="none"/>
        </w:rPr>
        <w:t>投标人全称（盖章）：</w:t>
      </w:r>
    </w:p>
    <w:p>
      <w:pPr>
        <w:spacing w:line="380" w:lineRule="exact"/>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pPr>
        <w:spacing w:line="380" w:lineRule="exact"/>
        <w:rPr>
          <w:rFonts w:ascii="宋体" w:hAnsi="宋体"/>
          <w:color w:val="auto"/>
          <w:sz w:val="22"/>
          <w:szCs w:val="22"/>
          <w:highlight w:val="none"/>
        </w:rPr>
      </w:pPr>
      <w:r>
        <w:rPr>
          <w:rFonts w:hint="eastAsia" w:ascii="宋体" w:hAnsi="宋体"/>
          <w:color w:val="auto"/>
          <w:sz w:val="22"/>
          <w:szCs w:val="22"/>
          <w:highlight w:val="none"/>
        </w:rPr>
        <w:t>日 期：  年  月  日</w:t>
      </w:r>
    </w:p>
    <w:p>
      <w:pPr>
        <w:spacing w:line="460" w:lineRule="exact"/>
        <w:rPr>
          <w:rFonts w:ascii="宋体" w:hAnsi="宋体"/>
          <w:b/>
          <w:bCs/>
          <w:color w:val="auto"/>
          <w:sz w:val="22"/>
          <w:szCs w:val="22"/>
          <w:highlight w:val="none"/>
        </w:rPr>
      </w:pPr>
      <w:r>
        <w:rPr>
          <w:rFonts w:hint="eastAsia" w:ascii="宋体" w:hAnsi="宋体"/>
          <w:color w:val="auto"/>
          <w:sz w:val="22"/>
          <w:szCs w:val="22"/>
          <w:highlight w:val="none"/>
        </w:rPr>
        <w:br w:type="page"/>
      </w:r>
    </w:p>
    <w:p>
      <w:pPr>
        <w:spacing w:line="38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（2）</w:t>
      </w:r>
      <w:r>
        <w:rPr>
          <w:rFonts w:ascii="宋体" w:hAnsi="宋体"/>
          <w:b/>
          <w:bCs/>
          <w:color w:val="auto"/>
          <w:sz w:val="28"/>
          <w:szCs w:val="28"/>
          <w:highlight w:val="none"/>
        </w:rPr>
        <w:t>投标分项报价表</w:t>
      </w:r>
    </w:p>
    <w:p>
      <w:pPr>
        <w:spacing w:line="380" w:lineRule="exact"/>
        <w:jc w:val="center"/>
        <w:rPr>
          <w:rFonts w:ascii="宋体" w:hAnsi="宋体"/>
          <w:b/>
          <w:bCs/>
          <w:color w:val="auto"/>
          <w:sz w:val="28"/>
          <w:szCs w:val="28"/>
          <w:highlight w:val="none"/>
        </w:rPr>
      </w:pPr>
    </w:p>
    <w:tbl>
      <w:tblPr>
        <w:tblStyle w:val="63"/>
        <w:tblW w:w="9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815"/>
        <w:gridCol w:w="2656"/>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10" w:type="dxa"/>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3815" w:type="dxa"/>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项目内容</w:t>
            </w:r>
          </w:p>
        </w:tc>
        <w:tc>
          <w:tcPr>
            <w:tcW w:w="2656" w:type="dxa"/>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描述</w:t>
            </w:r>
          </w:p>
        </w:tc>
        <w:tc>
          <w:tcPr>
            <w:tcW w:w="2656" w:type="dxa"/>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报价（人民币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10" w:type="dxa"/>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1</w:t>
            </w:r>
          </w:p>
        </w:tc>
        <w:tc>
          <w:tcPr>
            <w:tcW w:w="3815" w:type="dxa"/>
            <w:vAlign w:val="center"/>
          </w:tcPr>
          <w:p>
            <w:pPr>
              <w:jc w:val="center"/>
              <w:rPr>
                <w:rFonts w:ascii="宋体" w:hAnsi="宋体"/>
                <w:color w:val="auto"/>
                <w:sz w:val="22"/>
                <w:szCs w:val="22"/>
                <w:highlight w:val="none"/>
              </w:rPr>
            </w:pPr>
          </w:p>
        </w:tc>
        <w:tc>
          <w:tcPr>
            <w:tcW w:w="2656" w:type="dxa"/>
            <w:vAlign w:val="center"/>
          </w:tcPr>
          <w:p>
            <w:pPr>
              <w:jc w:val="center"/>
              <w:rPr>
                <w:rFonts w:ascii="宋体" w:hAnsi="宋体"/>
                <w:color w:val="auto"/>
                <w:sz w:val="22"/>
                <w:szCs w:val="22"/>
                <w:highlight w:val="none"/>
              </w:rPr>
            </w:pPr>
          </w:p>
        </w:tc>
        <w:tc>
          <w:tcPr>
            <w:tcW w:w="2656" w:type="dxa"/>
            <w:vAlign w:val="center"/>
          </w:tcPr>
          <w:p>
            <w:pPr>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10" w:type="dxa"/>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2</w:t>
            </w:r>
          </w:p>
        </w:tc>
        <w:tc>
          <w:tcPr>
            <w:tcW w:w="3815" w:type="dxa"/>
            <w:vAlign w:val="center"/>
          </w:tcPr>
          <w:p>
            <w:pPr>
              <w:jc w:val="center"/>
              <w:rPr>
                <w:rFonts w:ascii="宋体" w:hAnsi="宋体"/>
                <w:color w:val="auto"/>
                <w:sz w:val="22"/>
                <w:szCs w:val="22"/>
                <w:highlight w:val="none"/>
              </w:rPr>
            </w:pPr>
          </w:p>
        </w:tc>
        <w:tc>
          <w:tcPr>
            <w:tcW w:w="2656" w:type="dxa"/>
            <w:vAlign w:val="center"/>
          </w:tcPr>
          <w:p>
            <w:pPr>
              <w:jc w:val="center"/>
              <w:rPr>
                <w:rFonts w:ascii="宋体" w:hAnsi="宋体"/>
                <w:color w:val="auto"/>
                <w:sz w:val="22"/>
                <w:szCs w:val="22"/>
                <w:highlight w:val="none"/>
              </w:rPr>
            </w:pPr>
          </w:p>
        </w:tc>
        <w:tc>
          <w:tcPr>
            <w:tcW w:w="2656" w:type="dxa"/>
            <w:vAlign w:val="center"/>
          </w:tcPr>
          <w:p>
            <w:pPr>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10" w:type="dxa"/>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3</w:t>
            </w:r>
          </w:p>
        </w:tc>
        <w:tc>
          <w:tcPr>
            <w:tcW w:w="3815" w:type="dxa"/>
            <w:vAlign w:val="center"/>
          </w:tcPr>
          <w:p>
            <w:pPr>
              <w:jc w:val="center"/>
              <w:rPr>
                <w:rFonts w:ascii="宋体" w:hAnsi="宋体"/>
                <w:color w:val="auto"/>
                <w:sz w:val="22"/>
                <w:szCs w:val="22"/>
                <w:highlight w:val="none"/>
                <w:lang w:val="en-GB"/>
              </w:rPr>
            </w:pPr>
          </w:p>
        </w:tc>
        <w:tc>
          <w:tcPr>
            <w:tcW w:w="2656" w:type="dxa"/>
            <w:vAlign w:val="center"/>
          </w:tcPr>
          <w:p>
            <w:pPr>
              <w:jc w:val="center"/>
              <w:rPr>
                <w:rFonts w:ascii="宋体" w:hAnsi="宋体"/>
                <w:color w:val="auto"/>
                <w:sz w:val="22"/>
                <w:szCs w:val="22"/>
                <w:highlight w:val="none"/>
              </w:rPr>
            </w:pPr>
          </w:p>
        </w:tc>
        <w:tc>
          <w:tcPr>
            <w:tcW w:w="2656" w:type="dxa"/>
            <w:vAlign w:val="center"/>
          </w:tcPr>
          <w:p>
            <w:pPr>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10" w:type="dxa"/>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4</w:t>
            </w:r>
          </w:p>
        </w:tc>
        <w:tc>
          <w:tcPr>
            <w:tcW w:w="3815" w:type="dxa"/>
            <w:vAlign w:val="center"/>
          </w:tcPr>
          <w:p>
            <w:pPr>
              <w:jc w:val="center"/>
              <w:rPr>
                <w:rFonts w:ascii="宋体" w:hAnsi="宋体"/>
                <w:color w:val="auto"/>
                <w:sz w:val="22"/>
                <w:szCs w:val="22"/>
                <w:highlight w:val="none"/>
                <w:lang w:val="en-GB"/>
              </w:rPr>
            </w:pPr>
          </w:p>
        </w:tc>
        <w:tc>
          <w:tcPr>
            <w:tcW w:w="2656" w:type="dxa"/>
            <w:vAlign w:val="center"/>
          </w:tcPr>
          <w:p>
            <w:pPr>
              <w:jc w:val="center"/>
              <w:rPr>
                <w:rFonts w:ascii="宋体" w:hAnsi="宋体"/>
                <w:color w:val="auto"/>
                <w:sz w:val="22"/>
                <w:szCs w:val="22"/>
                <w:highlight w:val="none"/>
              </w:rPr>
            </w:pPr>
          </w:p>
        </w:tc>
        <w:tc>
          <w:tcPr>
            <w:tcW w:w="2656" w:type="dxa"/>
            <w:vAlign w:val="center"/>
          </w:tcPr>
          <w:p>
            <w:pPr>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10" w:type="dxa"/>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5</w:t>
            </w:r>
          </w:p>
        </w:tc>
        <w:tc>
          <w:tcPr>
            <w:tcW w:w="3815" w:type="dxa"/>
            <w:vAlign w:val="center"/>
          </w:tcPr>
          <w:p>
            <w:pPr>
              <w:jc w:val="center"/>
              <w:rPr>
                <w:rFonts w:ascii="宋体" w:hAnsi="宋体"/>
                <w:color w:val="auto"/>
                <w:sz w:val="22"/>
                <w:szCs w:val="22"/>
                <w:highlight w:val="none"/>
                <w:lang w:val="en-GB"/>
              </w:rPr>
            </w:pPr>
          </w:p>
        </w:tc>
        <w:tc>
          <w:tcPr>
            <w:tcW w:w="2656" w:type="dxa"/>
            <w:vAlign w:val="center"/>
          </w:tcPr>
          <w:p>
            <w:pPr>
              <w:jc w:val="center"/>
              <w:rPr>
                <w:rFonts w:ascii="宋体" w:hAnsi="宋体"/>
                <w:color w:val="auto"/>
                <w:sz w:val="22"/>
                <w:szCs w:val="22"/>
                <w:highlight w:val="none"/>
              </w:rPr>
            </w:pPr>
          </w:p>
        </w:tc>
        <w:tc>
          <w:tcPr>
            <w:tcW w:w="2656" w:type="dxa"/>
            <w:vAlign w:val="center"/>
          </w:tcPr>
          <w:p>
            <w:pPr>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10" w:type="dxa"/>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w:t>
            </w:r>
          </w:p>
        </w:tc>
        <w:tc>
          <w:tcPr>
            <w:tcW w:w="3815" w:type="dxa"/>
            <w:vAlign w:val="center"/>
          </w:tcPr>
          <w:p>
            <w:pPr>
              <w:jc w:val="center"/>
              <w:rPr>
                <w:rFonts w:ascii="宋体" w:hAnsi="宋体"/>
                <w:color w:val="auto"/>
                <w:sz w:val="22"/>
                <w:szCs w:val="22"/>
                <w:highlight w:val="none"/>
              </w:rPr>
            </w:pPr>
          </w:p>
        </w:tc>
        <w:tc>
          <w:tcPr>
            <w:tcW w:w="2656" w:type="dxa"/>
            <w:vAlign w:val="center"/>
          </w:tcPr>
          <w:p>
            <w:pPr>
              <w:jc w:val="center"/>
              <w:rPr>
                <w:rFonts w:ascii="宋体" w:hAnsi="宋体"/>
                <w:color w:val="auto"/>
                <w:sz w:val="22"/>
                <w:szCs w:val="22"/>
                <w:highlight w:val="none"/>
              </w:rPr>
            </w:pPr>
          </w:p>
        </w:tc>
        <w:tc>
          <w:tcPr>
            <w:tcW w:w="2656" w:type="dxa"/>
            <w:vAlign w:val="center"/>
          </w:tcPr>
          <w:p>
            <w:pPr>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625" w:type="dxa"/>
            <w:gridSpan w:val="2"/>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投标总价</w:t>
            </w:r>
          </w:p>
        </w:tc>
        <w:tc>
          <w:tcPr>
            <w:tcW w:w="5312" w:type="dxa"/>
            <w:gridSpan w:val="2"/>
          </w:tcPr>
          <w:p>
            <w:pPr>
              <w:spacing w:line="360" w:lineRule="auto"/>
              <w:jc w:val="left"/>
              <w:rPr>
                <w:rFonts w:ascii="宋体" w:hAnsi="宋体"/>
                <w:color w:val="auto"/>
                <w:sz w:val="22"/>
                <w:szCs w:val="22"/>
                <w:highlight w:val="none"/>
              </w:rPr>
            </w:pPr>
          </w:p>
        </w:tc>
      </w:tr>
    </w:tbl>
    <w:p>
      <w:pPr>
        <w:spacing w:line="360" w:lineRule="auto"/>
        <w:rPr>
          <w:rFonts w:ascii="宋体" w:hAnsi="宋体" w:cs="宋体"/>
          <w:color w:val="auto"/>
          <w:kern w:val="0"/>
          <w:szCs w:val="21"/>
          <w:highlight w:val="none"/>
        </w:rPr>
      </w:pPr>
    </w:p>
    <w:p>
      <w:pPr>
        <w:spacing w:line="360" w:lineRule="exact"/>
        <w:rPr>
          <w:rFonts w:ascii="宋体" w:hAnsi="宋体"/>
          <w:b/>
          <w:color w:val="auto"/>
          <w:sz w:val="22"/>
          <w:szCs w:val="22"/>
          <w:highlight w:val="none"/>
        </w:rPr>
      </w:pPr>
      <w:r>
        <w:rPr>
          <w:rFonts w:hint="eastAsia" w:ascii="宋体" w:hAnsi="宋体"/>
          <w:b/>
          <w:bCs/>
          <w:color w:val="auto"/>
          <w:sz w:val="22"/>
          <w:szCs w:val="22"/>
          <w:highlight w:val="none"/>
        </w:rPr>
        <w:t>说明：</w:t>
      </w:r>
      <w:r>
        <w:rPr>
          <w:rFonts w:hint="eastAsia" w:ascii="宋体" w:hAnsi="宋体"/>
          <w:b/>
          <w:color w:val="auto"/>
          <w:sz w:val="22"/>
          <w:szCs w:val="22"/>
          <w:highlight w:val="none"/>
        </w:rPr>
        <w:t>1、此表内投标总价应与</w:t>
      </w:r>
      <w:r>
        <w:rPr>
          <w:rFonts w:hint="eastAsia" w:ascii="宋体" w:hAnsi="宋体"/>
          <w:b/>
          <w:color w:val="auto"/>
          <w:sz w:val="22"/>
          <w:szCs w:val="22"/>
          <w:highlight w:val="none"/>
          <w:lang w:eastAsia="zh-CN"/>
        </w:rPr>
        <w:t>（</w:t>
      </w:r>
      <w:r>
        <w:rPr>
          <w:rFonts w:hint="eastAsia" w:ascii="宋体" w:hAnsi="宋体"/>
          <w:b/>
          <w:color w:val="auto"/>
          <w:sz w:val="22"/>
          <w:szCs w:val="22"/>
          <w:highlight w:val="none"/>
          <w:lang w:val="en-US" w:eastAsia="zh-CN"/>
        </w:rPr>
        <w:t>1）</w:t>
      </w:r>
      <w:r>
        <w:rPr>
          <w:rFonts w:hint="eastAsia" w:ascii="宋体" w:hAnsi="宋体"/>
          <w:b/>
          <w:color w:val="auto"/>
          <w:sz w:val="22"/>
          <w:szCs w:val="22"/>
          <w:highlight w:val="none"/>
        </w:rPr>
        <w:t>“开标一览表”投标报价相一致。</w:t>
      </w:r>
    </w:p>
    <w:p>
      <w:pPr>
        <w:spacing w:line="360" w:lineRule="exact"/>
        <w:ind w:firstLine="663" w:firstLineChars="300"/>
        <w:rPr>
          <w:rFonts w:ascii="宋体" w:hAnsi="宋体"/>
          <w:b/>
          <w:color w:val="auto"/>
          <w:sz w:val="22"/>
          <w:szCs w:val="22"/>
          <w:highlight w:val="none"/>
        </w:rPr>
      </w:pPr>
      <w:r>
        <w:rPr>
          <w:rFonts w:hint="eastAsia" w:ascii="宋体" w:hAnsi="宋体"/>
          <w:b/>
          <w:color w:val="auto"/>
          <w:sz w:val="22"/>
          <w:szCs w:val="22"/>
          <w:highlight w:val="none"/>
        </w:rPr>
        <w:t>2、</w:t>
      </w:r>
      <w:r>
        <w:rPr>
          <w:rFonts w:hint="eastAsia" w:ascii="宋体" w:hAnsi="宋体" w:cs="Arial"/>
          <w:b/>
          <w:bCs/>
          <w:color w:val="auto"/>
          <w:sz w:val="22"/>
          <w:szCs w:val="22"/>
          <w:highlight w:val="none"/>
        </w:rPr>
        <w:t>▲</w:t>
      </w:r>
      <w:r>
        <w:rPr>
          <w:rFonts w:hint="eastAsia" w:ascii="宋体" w:hAnsi="宋体"/>
          <w:b/>
          <w:color w:val="auto"/>
          <w:sz w:val="22"/>
          <w:szCs w:val="22"/>
          <w:highlight w:val="none"/>
          <w:u w:val="single"/>
        </w:rPr>
        <w:t>不提供投标分项报价表，视为没有实质性响应采购文件要求。</w:t>
      </w:r>
    </w:p>
    <w:p>
      <w:pPr>
        <w:spacing w:line="380" w:lineRule="exact"/>
        <w:ind w:firstLine="663" w:firstLineChars="300"/>
        <w:rPr>
          <w:rFonts w:ascii="宋体" w:hAnsi="宋体" w:cs="宋体"/>
          <w:color w:val="auto"/>
          <w:sz w:val="22"/>
          <w:szCs w:val="22"/>
          <w:highlight w:val="none"/>
        </w:rPr>
      </w:pPr>
      <w:r>
        <w:rPr>
          <w:rFonts w:ascii="宋体" w:hAnsi="宋体" w:cs="宋体"/>
          <w:b/>
          <w:color w:val="auto"/>
          <w:sz w:val="22"/>
          <w:szCs w:val="22"/>
          <w:highlight w:val="none"/>
        </w:rPr>
        <w:t>3</w:t>
      </w:r>
      <w:r>
        <w:rPr>
          <w:rFonts w:hint="eastAsia" w:ascii="宋体" w:hAnsi="宋体" w:cs="宋体"/>
          <w:b/>
          <w:color w:val="auto"/>
          <w:sz w:val="22"/>
          <w:szCs w:val="22"/>
          <w:highlight w:val="none"/>
        </w:rPr>
        <w:t xml:space="preserve">. </w:t>
      </w:r>
      <w:r>
        <w:rPr>
          <w:rFonts w:hint="eastAsia" w:ascii="宋体" w:hAnsi="宋体" w:cs="宋体"/>
          <w:color w:val="auto"/>
          <w:sz w:val="22"/>
          <w:szCs w:val="22"/>
          <w:highlight w:val="none"/>
        </w:rPr>
        <w:t>本表可在不改变格式的情况下根据具体需要自行增减。</w:t>
      </w:r>
    </w:p>
    <w:p>
      <w:pPr>
        <w:spacing w:line="360" w:lineRule="auto"/>
        <w:ind w:firstLine="420" w:firstLineChars="200"/>
        <w:rPr>
          <w:rFonts w:ascii="宋体" w:hAnsi="宋体"/>
          <w:color w:val="auto"/>
          <w:szCs w:val="21"/>
          <w:highlight w:val="none"/>
        </w:rPr>
      </w:pPr>
    </w:p>
    <w:p>
      <w:pPr>
        <w:spacing w:line="380" w:lineRule="exact"/>
        <w:ind w:firstLine="420" w:firstLineChars="200"/>
        <w:rPr>
          <w:rFonts w:ascii="宋体" w:hAnsi="宋体"/>
          <w:color w:val="auto"/>
          <w:szCs w:val="21"/>
          <w:highlight w:val="none"/>
        </w:rPr>
      </w:pPr>
    </w:p>
    <w:p>
      <w:pPr>
        <w:pStyle w:val="2"/>
        <w:rPr>
          <w:rFonts w:ascii="宋体" w:hAnsi="宋体"/>
          <w:color w:val="auto"/>
          <w:szCs w:val="21"/>
          <w:highlight w:val="none"/>
        </w:rPr>
      </w:pPr>
    </w:p>
    <w:p>
      <w:pPr>
        <w:pStyle w:val="3"/>
        <w:ind w:firstLine="210"/>
        <w:rPr>
          <w:rFonts w:ascii="宋体" w:hAnsi="宋体"/>
          <w:color w:val="auto"/>
          <w:szCs w:val="21"/>
          <w:highlight w:val="none"/>
        </w:rPr>
      </w:pPr>
    </w:p>
    <w:p>
      <w:pPr>
        <w:rPr>
          <w:color w:val="auto"/>
          <w:highlight w:val="none"/>
        </w:rPr>
      </w:pPr>
    </w:p>
    <w:p>
      <w:pPr>
        <w:spacing w:line="380" w:lineRule="exact"/>
        <w:rPr>
          <w:rFonts w:ascii="宋体" w:hAnsi="宋体"/>
          <w:color w:val="auto"/>
          <w:sz w:val="22"/>
          <w:szCs w:val="22"/>
          <w:highlight w:val="none"/>
        </w:rPr>
      </w:pPr>
      <w:r>
        <w:rPr>
          <w:rFonts w:hint="eastAsia" w:ascii="宋体" w:hAnsi="宋体"/>
          <w:color w:val="auto"/>
          <w:sz w:val="22"/>
          <w:szCs w:val="22"/>
          <w:highlight w:val="none"/>
        </w:rPr>
        <w:t>投标人全称（盖章）：</w:t>
      </w:r>
    </w:p>
    <w:p>
      <w:pPr>
        <w:spacing w:line="380" w:lineRule="exact"/>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pPr>
        <w:spacing w:line="380" w:lineRule="exact"/>
        <w:jc w:val="left"/>
        <w:rPr>
          <w:rFonts w:ascii="宋体" w:hAnsi="宋体" w:cs="Arial"/>
          <w:b/>
          <w:bCs/>
          <w:color w:val="auto"/>
          <w:sz w:val="22"/>
          <w:szCs w:val="22"/>
          <w:highlight w:val="none"/>
        </w:rPr>
      </w:pPr>
      <w:r>
        <w:rPr>
          <w:rFonts w:hint="eastAsia" w:ascii="宋体" w:hAnsi="宋体"/>
          <w:color w:val="auto"/>
          <w:sz w:val="22"/>
          <w:szCs w:val="22"/>
          <w:highlight w:val="none"/>
        </w:rPr>
        <w:t>日期：</w:t>
      </w:r>
    </w:p>
    <w:p>
      <w:pPr>
        <w:spacing w:line="460" w:lineRule="exact"/>
        <w:rPr>
          <w:rFonts w:ascii="宋体" w:hAnsi="宋体"/>
          <w:b/>
          <w:bCs/>
          <w:color w:val="auto"/>
          <w:sz w:val="22"/>
          <w:szCs w:val="22"/>
          <w:highlight w:val="none"/>
        </w:rPr>
      </w:pPr>
      <w:r>
        <w:rPr>
          <w:rFonts w:ascii="宋体" w:hAnsi="宋体" w:cs="Arial"/>
          <w:b/>
          <w:bCs/>
          <w:color w:val="auto"/>
          <w:szCs w:val="21"/>
          <w:highlight w:val="none"/>
        </w:rPr>
        <w:br w:type="page"/>
      </w:r>
      <w:r>
        <w:rPr>
          <w:rFonts w:hint="eastAsia" w:ascii="宋体" w:hAnsi="宋体"/>
          <w:b/>
          <w:bCs/>
          <w:color w:val="auto"/>
          <w:sz w:val="22"/>
          <w:szCs w:val="22"/>
          <w:highlight w:val="none"/>
        </w:rPr>
        <w:t>附件三</w:t>
      </w:r>
    </w:p>
    <w:p>
      <w:pPr>
        <w:spacing w:line="460" w:lineRule="exact"/>
        <w:rPr>
          <w:rFonts w:ascii="宋体" w:hAnsi="宋体"/>
          <w:b/>
          <w:bCs/>
          <w:color w:val="auto"/>
          <w:highlight w:val="none"/>
        </w:rPr>
      </w:pPr>
    </w:p>
    <w:p>
      <w:pPr>
        <w:spacing w:line="46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投 标 函</w:t>
      </w:r>
    </w:p>
    <w:p>
      <w:pPr>
        <w:spacing w:line="420" w:lineRule="exact"/>
        <w:rPr>
          <w:rFonts w:ascii="宋体" w:hAnsi="宋体"/>
          <w:color w:val="auto"/>
          <w:sz w:val="22"/>
          <w:szCs w:val="22"/>
          <w:highlight w:val="none"/>
        </w:rPr>
      </w:pPr>
      <w:r>
        <w:rPr>
          <w:rFonts w:hint="eastAsia" w:ascii="宋体" w:hAnsi="宋体"/>
          <w:bCs/>
          <w:color w:val="auto"/>
          <w:sz w:val="22"/>
          <w:szCs w:val="22"/>
          <w:highlight w:val="none"/>
        </w:rPr>
        <w:t>温州市交通运输局</w:t>
      </w:r>
      <w:r>
        <w:rPr>
          <w:rFonts w:hint="eastAsia" w:ascii="宋体" w:hAnsi="宋体"/>
          <w:color w:val="auto"/>
          <w:sz w:val="22"/>
          <w:szCs w:val="22"/>
          <w:highlight w:val="none"/>
        </w:rPr>
        <w:t>：</w:t>
      </w:r>
    </w:p>
    <w:p>
      <w:pPr>
        <w:spacing w:line="420" w:lineRule="exact"/>
        <w:rPr>
          <w:rFonts w:ascii="宋体" w:hAnsi="宋体"/>
          <w:color w:val="auto"/>
          <w:sz w:val="22"/>
          <w:szCs w:val="22"/>
          <w:highlight w:val="none"/>
        </w:rPr>
      </w:pPr>
      <w:r>
        <w:rPr>
          <w:rFonts w:hint="eastAsia" w:ascii="宋体" w:hAnsi="宋体"/>
          <w:color w:val="auto"/>
          <w:sz w:val="22"/>
          <w:szCs w:val="22"/>
          <w:highlight w:val="none"/>
        </w:rPr>
        <w:t>温州元信工程项目管理有限公司：</w:t>
      </w:r>
    </w:p>
    <w:p>
      <w:pPr>
        <w:spacing w:line="42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根据贵方为项目（招标编号：）的投标邀请，我方</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（投标人名称）作为投标人正式授权</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（授权代表全名，职务）代表我方处理有关本投标的一切事宜。</w:t>
      </w:r>
    </w:p>
    <w:p>
      <w:pPr>
        <w:pStyle w:val="18"/>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szCs w:val="22"/>
          <w:highlight w:val="none"/>
        </w:rPr>
        <w:t>在此提交的投标文件中，包括如下内</w:t>
      </w:r>
      <w:r>
        <w:rPr>
          <w:rFonts w:hint="eastAsia" w:ascii="宋体" w:hAnsi="宋体" w:cs="hakuyoxingshu7000"/>
          <w:color w:val="auto"/>
          <w:sz w:val="22"/>
          <w:highlight w:val="none"/>
        </w:rPr>
        <w:t>容：</w:t>
      </w:r>
    </w:p>
    <w:p>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1、</w:t>
      </w:r>
      <w:r>
        <w:rPr>
          <w:rFonts w:hint="eastAsia" w:ascii="宋体" w:hAnsi="宋体" w:cs="新宋体"/>
          <w:color w:val="auto"/>
          <w:sz w:val="22"/>
          <w:highlight w:val="none"/>
        </w:rPr>
        <w:t>按“投标人须知”要求编制的投标文件资格文件；</w:t>
      </w:r>
    </w:p>
    <w:p>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2、按“投标人须知”要求编制的投标文件商务技术文件；</w:t>
      </w:r>
    </w:p>
    <w:p>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3、按“投标人须知”要求编制的投标文件报价文件；</w:t>
      </w:r>
    </w:p>
    <w:p>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我方己完全明白招标文件的所有条款要求，并重申以下几点：</w:t>
      </w:r>
    </w:p>
    <w:p>
      <w:pPr>
        <w:pStyle w:val="122"/>
        <w:numPr>
          <w:ilvl w:val="1"/>
          <w:numId w:val="48"/>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本投标文件的有效期自投标截止日起  90 天内有效，如中标，有效期将延至合同终止日为止；</w:t>
      </w:r>
    </w:p>
    <w:p>
      <w:pPr>
        <w:pStyle w:val="122"/>
        <w:numPr>
          <w:ilvl w:val="1"/>
          <w:numId w:val="48"/>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我方已详细研究了招标文件的所有内容包括修改书（如有）和所有已提供的参考资料以及有关附件，我方完全理解并同意放弃在此方面提出含糊意见或误解的一切权力；</w:t>
      </w:r>
    </w:p>
    <w:p>
      <w:pPr>
        <w:pStyle w:val="122"/>
        <w:numPr>
          <w:ilvl w:val="1"/>
          <w:numId w:val="48"/>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我方郑重承诺所提供的“信用中国网站”、“中国政府采购网”信用查询证明文件真实有效；</w:t>
      </w:r>
    </w:p>
    <w:p>
      <w:pPr>
        <w:pStyle w:val="122"/>
        <w:numPr>
          <w:ilvl w:val="1"/>
          <w:numId w:val="48"/>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我方在参加本项目前三年内</w:t>
      </w:r>
      <w:r>
        <w:rPr>
          <w:rFonts w:hint="eastAsia" w:ascii="宋体" w:hAnsi="宋体" w:cs="hakuyoxingshu7000"/>
          <w:color w:val="auto"/>
          <w:sz w:val="22"/>
          <w:highlight w:val="none"/>
          <w:u w:val="single"/>
        </w:rPr>
        <w:t>（被通报或者处罚的违法行为有：               ）</w:t>
      </w:r>
      <w:r>
        <w:rPr>
          <w:rFonts w:hint="eastAsia" w:ascii="宋体" w:hAnsi="宋体" w:cs="hakuyoxingshu7000"/>
          <w:color w:val="auto"/>
          <w:sz w:val="22"/>
          <w:highlight w:val="none"/>
        </w:rPr>
        <w:t>或（</w:t>
      </w:r>
      <w:r>
        <w:rPr>
          <w:rFonts w:hint="eastAsia" w:ascii="宋体" w:hAnsi="宋体" w:cs="hakuyoxingshu7000"/>
          <w:color w:val="auto"/>
          <w:sz w:val="22"/>
          <w:highlight w:val="none"/>
          <w:u w:val="single"/>
        </w:rPr>
        <w:t>没有因违法经营受到刑事处罚或者责令停产停业、吊销许可证或者执照、较大数额罚款等行政处罚或处罚）</w:t>
      </w:r>
      <w:r>
        <w:rPr>
          <w:rFonts w:hint="eastAsia" w:ascii="宋体" w:hAnsi="宋体" w:cs="hakuyoxingshu7000"/>
          <w:color w:val="auto"/>
          <w:sz w:val="22"/>
          <w:highlight w:val="none"/>
        </w:rPr>
        <w:t>或</w:t>
      </w:r>
      <w:r>
        <w:rPr>
          <w:rFonts w:hint="eastAsia" w:ascii="宋体" w:hAnsi="宋体" w:cs="hakuyoxingshu7000"/>
          <w:color w:val="auto"/>
          <w:sz w:val="22"/>
          <w:highlight w:val="none"/>
          <w:u w:val="single"/>
        </w:rPr>
        <w:t>（在  至  期间禁止参加政府采购活动但是期限届满，须附相关证明文件）</w:t>
      </w:r>
      <w:r>
        <w:rPr>
          <w:rFonts w:hint="eastAsia" w:ascii="宋体" w:hAnsi="宋体" w:cs="hakuyoxingshu7000"/>
          <w:color w:val="auto"/>
          <w:sz w:val="22"/>
          <w:highlight w:val="none"/>
        </w:rPr>
        <w:t>；</w:t>
      </w:r>
    </w:p>
    <w:p>
      <w:pPr>
        <w:pStyle w:val="122"/>
        <w:numPr>
          <w:ilvl w:val="1"/>
          <w:numId w:val="48"/>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我方同意提供按照贵方可能要求的与投标有关的一切数据或资料；</w:t>
      </w:r>
    </w:p>
    <w:p>
      <w:pPr>
        <w:pStyle w:val="122"/>
        <w:numPr>
          <w:ilvl w:val="1"/>
          <w:numId w:val="48"/>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我方理解贵方不一定接受最低报价。</w:t>
      </w:r>
      <w:r>
        <w:rPr>
          <w:rFonts w:ascii="宋体" w:hAnsi="宋体" w:cs="hakuyoxingshu7000"/>
          <w:color w:val="auto"/>
          <w:sz w:val="22"/>
          <w:highlight w:val="none"/>
        </w:rPr>
        <w:tab/>
      </w:r>
    </w:p>
    <w:p>
      <w:pPr>
        <w:pStyle w:val="122"/>
        <w:numPr>
          <w:ilvl w:val="1"/>
          <w:numId w:val="48"/>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我方如果中标，将保证履行招标文件以及招标文件修改书（如有）中的全部责任和义务，按质、按量、按期完成《合同书》中的全部任务。</w:t>
      </w:r>
    </w:p>
    <w:p>
      <w:pPr>
        <w:pStyle w:val="122"/>
        <w:numPr>
          <w:ilvl w:val="1"/>
          <w:numId w:val="48"/>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所有与本投标有关的函件请发往下列地址：</w:t>
      </w:r>
    </w:p>
    <w:p>
      <w:pPr>
        <w:spacing w:line="360" w:lineRule="exact"/>
        <w:ind w:firstLine="435"/>
        <w:rPr>
          <w:rFonts w:ascii="宋体" w:hAnsi="宋体" w:cs="hakuyoxingshu7000"/>
          <w:color w:val="auto"/>
          <w:sz w:val="22"/>
          <w:szCs w:val="22"/>
          <w:highlight w:val="none"/>
        </w:rPr>
      </w:pPr>
      <w:r>
        <w:rPr>
          <w:rFonts w:hint="eastAsia" w:ascii="宋体" w:hAnsi="宋体" w:cs="hakuyoxingshu7000"/>
          <w:color w:val="auto"/>
          <w:sz w:val="22"/>
          <w:szCs w:val="22"/>
          <w:highlight w:val="none"/>
        </w:rPr>
        <w:t xml:space="preserve">   地址</w:t>
      </w:r>
    </w:p>
    <w:p>
      <w:pPr>
        <w:spacing w:line="360" w:lineRule="exact"/>
        <w:ind w:firstLine="435"/>
        <w:rPr>
          <w:rFonts w:ascii="宋体" w:hAnsi="宋体" w:cs="hakuyoxingshu7000"/>
          <w:color w:val="auto"/>
          <w:sz w:val="22"/>
          <w:szCs w:val="22"/>
          <w:highlight w:val="none"/>
        </w:rPr>
      </w:pPr>
      <w:r>
        <w:rPr>
          <w:rFonts w:hint="eastAsia" w:ascii="宋体" w:hAnsi="宋体" w:cs="hakuyoxingshu7000"/>
          <w:color w:val="auto"/>
          <w:sz w:val="22"/>
          <w:szCs w:val="22"/>
          <w:highlight w:val="none"/>
        </w:rPr>
        <w:t xml:space="preserve">   电话</w:t>
      </w:r>
    </w:p>
    <w:p>
      <w:pPr>
        <w:spacing w:line="360" w:lineRule="exact"/>
        <w:ind w:firstLine="435"/>
        <w:rPr>
          <w:rFonts w:ascii="宋体" w:hAnsi="宋体" w:cs="hakuyoxingshu7000"/>
          <w:color w:val="auto"/>
          <w:sz w:val="22"/>
          <w:szCs w:val="22"/>
          <w:highlight w:val="none"/>
          <w:u w:val="single"/>
        </w:rPr>
      </w:pPr>
      <w:r>
        <w:rPr>
          <w:rFonts w:hint="eastAsia" w:ascii="宋体" w:hAnsi="宋体" w:cs="hakuyoxingshu7000"/>
          <w:color w:val="auto"/>
          <w:sz w:val="22"/>
          <w:szCs w:val="22"/>
          <w:highlight w:val="none"/>
        </w:rPr>
        <w:t xml:space="preserve">   传真</w:t>
      </w:r>
    </w:p>
    <w:p>
      <w:pPr>
        <w:spacing w:line="360" w:lineRule="exact"/>
        <w:ind w:firstLine="770" w:firstLineChars="350"/>
        <w:rPr>
          <w:rFonts w:ascii="宋体" w:hAnsi="宋体" w:cs="hakuyoxingshu7000"/>
          <w:color w:val="auto"/>
          <w:sz w:val="22"/>
          <w:szCs w:val="22"/>
          <w:highlight w:val="none"/>
          <w:u w:val="single"/>
        </w:rPr>
      </w:pPr>
      <w:r>
        <w:rPr>
          <w:rFonts w:hint="eastAsia" w:ascii="宋体" w:hAnsi="宋体" w:cs="hakuyoxingshu7000"/>
          <w:color w:val="auto"/>
          <w:sz w:val="22"/>
          <w:szCs w:val="22"/>
          <w:highlight w:val="none"/>
        </w:rPr>
        <w:t>电子邮件</w:t>
      </w:r>
    </w:p>
    <w:p>
      <w:pPr>
        <w:spacing w:line="420" w:lineRule="exact"/>
        <w:ind w:firstLine="435"/>
        <w:rPr>
          <w:rFonts w:ascii="宋体" w:hAnsi="宋体"/>
          <w:color w:val="auto"/>
          <w:sz w:val="22"/>
          <w:szCs w:val="22"/>
          <w:highlight w:val="none"/>
        </w:rPr>
      </w:pPr>
    </w:p>
    <w:p>
      <w:pPr>
        <w:spacing w:line="420" w:lineRule="exact"/>
        <w:ind w:firstLine="435"/>
        <w:rPr>
          <w:rFonts w:ascii="宋体" w:hAnsi="宋体"/>
          <w:color w:val="auto"/>
          <w:sz w:val="22"/>
          <w:szCs w:val="22"/>
          <w:highlight w:val="none"/>
        </w:rPr>
      </w:pPr>
      <w:r>
        <w:rPr>
          <w:rFonts w:hint="eastAsia" w:ascii="宋体" w:hAnsi="宋体"/>
          <w:color w:val="auto"/>
          <w:sz w:val="22"/>
          <w:szCs w:val="22"/>
          <w:highlight w:val="none"/>
        </w:rPr>
        <w:t xml:space="preserve">                                   投标人名称（盖章）</w:t>
      </w:r>
    </w:p>
    <w:p>
      <w:pPr>
        <w:spacing w:line="420" w:lineRule="exact"/>
        <w:ind w:firstLine="435"/>
        <w:rPr>
          <w:rFonts w:ascii="宋体" w:hAnsi="宋体"/>
          <w:color w:val="auto"/>
          <w:sz w:val="22"/>
          <w:szCs w:val="22"/>
          <w:highlight w:val="none"/>
        </w:rPr>
      </w:pPr>
      <w:r>
        <w:rPr>
          <w:rFonts w:hint="eastAsia" w:ascii="宋体" w:hAnsi="宋体"/>
          <w:color w:val="auto"/>
          <w:sz w:val="22"/>
          <w:szCs w:val="22"/>
          <w:highlight w:val="none"/>
        </w:rPr>
        <w:t xml:space="preserve">                                   投标人代表（签字或盖章）</w:t>
      </w:r>
    </w:p>
    <w:p>
      <w:pPr>
        <w:spacing w:line="460" w:lineRule="exact"/>
        <w:ind w:firstLine="435"/>
        <w:rPr>
          <w:rFonts w:ascii="宋体" w:hAnsi="宋体"/>
          <w:color w:val="auto"/>
          <w:sz w:val="22"/>
          <w:szCs w:val="22"/>
          <w:highlight w:val="none"/>
          <w:u w:val="single"/>
        </w:rPr>
        <w:sectPr>
          <w:footerReference r:id="rId6" w:type="first"/>
          <w:headerReference r:id="rId3" w:type="default"/>
          <w:footerReference r:id="rId4" w:type="default"/>
          <w:footerReference r:id="rId5" w:type="even"/>
          <w:type w:val="nextColumn"/>
          <w:pgSz w:w="11906" w:h="16838"/>
          <w:pgMar w:top="1134" w:right="1134" w:bottom="1134" w:left="1134" w:header="851" w:footer="851" w:gutter="0"/>
          <w:cols w:space="720" w:num="1"/>
          <w:titlePg/>
          <w:docGrid w:linePitch="312" w:charSpace="0"/>
        </w:sectPr>
      </w:pPr>
      <w:r>
        <w:rPr>
          <w:rFonts w:hint="eastAsia" w:ascii="宋体" w:hAnsi="宋体"/>
          <w:color w:val="auto"/>
          <w:sz w:val="22"/>
          <w:szCs w:val="22"/>
          <w:highlight w:val="none"/>
        </w:rPr>
        <w:t xml:space="preserve">                                   日    期</w:t>
      </w:r>
    </w:p>
    <w:p>
      <w:pPr>
        <w:spacing w:line="460" w:lineRule="exact"/>
        <w:rPr>
          <w:rFonts w:ascii="宋体" w:hAnsi="宋体"/>
          <w:color w:val="auto"/>
          <w:highlight w:val="none"/>
        </w:rPr>
      </w:pPr>
      <w:r>
        <w:rPr>
          <w:rFonts w:hint="eastAsia" w:ascii="宋体" w:hAnsi="宋体"/>
          <w:b/>
          <w:bCs/>
          <w:color w:val="auto"/>
          <w:sz w:val="22"/>
          <w:szCs w:val="22"/>
          <w:highlight w:val="none"/>
        </w:rPr>
        <w:t>附件四</w:t>
      </w:r>
    </w:p>
    <w:p>
      <w:pPr>
        <w:spacing w:line="460" w:lineRule="exact"/>
        <w:rPr>
          <w:rFonts w:ascii="宋体" w:hAnsi="宋体"/>
          <w:b/>
          <w:color w:val="auto"/>
          <w:sz w:val="22"/>
          <w:szCs w:val="22"/>
          <w:highlight w:val="none"/>
        </w:rPr>
      </w:pPr>
    </w:p>
    <w:p>
      <w:pPr>
        <w:spacing w:line="460" w:lineRule="exact"/>
        <w:ind w:firstLine="437"/>
        <w:jc w:val="center"/>
        <w:rPr>
          <w:rFonts w:ascii="宋体" w:hAnsi="宋体"/>
          <w:b/>
          <w:bCs/>
          <w:color w:val="auto"/>
          <w:sz w:val="28"/>
          <w:szCs w:val="28"/>
          <w:highlight w:val="none"/>
        </w:rPr>
      </w:pPr>
      <w:r>
        <w:rPr>
          <w:rFonts w:hint="eastAsia" w:ascii="宋体" w:hAnsi="宋体"/>
          <w:b/>
          <w:bCs/>
          <w:color w:val="auto"/>
          <w:sz w:val="28"/>
          <w:szCs w:val="28"/>
          <w:highlight w:val="none"/>
        </w:rPr>
        <w:t>技术规格、商务条款偏离表</w:t>
      </w:r>
    </w:p>
    <w:p>
      <w:pPr>
        <w:spacing w:line="380" w:lineRule="exact"/>
        <w:rPr>
          <w:rFonts w:ascii="宋体" w:hAnsi="宋体"/>
          <w:b/>
          <w:bCs/>
          <w:color w:val="auto"/>
          <w:sz w:val="22"/>
          <w:szCs w:val="22"/>
          <w:highlight w:val="none"/>
        </w:rPr>
      </w:pPr>
      <w:r>
        <w:rPr>
          <w:rFonts w:hint="eastAsia" w:ascii="宋体" w:hAnsi="宋体"/>
          <w:b/>
          <w:bCs/>
          <w:color w:val="auto"/>
          <w:sz w:val="22"/>
          <w:szCs w:val="22"/>
          <w:highlight w:val="none"/>
        </w:rPr>
        <w:t>投标人名称：                                          招标编号：</w:t>
      </w:r>
    </w:p>
    <w:tbl>
      <w:tblPr>
        <w:tblStyle w:val="6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tcPr>
          <w:p>
            <w:pPr>
              <w:spacing w:line="380" w:lineRule="exact"/>
              <w:jc w:val="center"/>
              <w:rPr>
                <w:rFonts w:ascii="宋体" w:hAnsi="宋体"/>
                <w:color w:val="auto"/>
                <w:sz w:val="22"/>
                <w:szCs w:val="22"/>
                <w:highlight w:val="none"/>
              </w:rPr>
            </w:pPr>
          </w:p>
        </w:tc>
        <w:tc>
          <w:tcPr>
            <w:tcW w:w="1364" w:type="dxa"/>
            <w:vAlign w:val="center"/>
          </w:tcPr>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2097" w:type="dxa"/>
            <w:vAlign w:val="center"/>
          </w:tcPr>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招标文件</w:t>
            </w:r>
          </w:p>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条目号</w:t>
            </w:r>
          </w:p>
        </w:tc>
        <w:tc>
          <w:tcPr>
            <w:tcW w:w="1992" w:type="dxa"/>
            <w:vAlign w:val="center"/>
          </w:tcPr>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招标文件</w:t>
            </w:r>
          </w:p>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规范要求</w:t>
            </w:r>
          </w:p>
        </w:tc>
        <w:tc>
          <w:tcPr>
            <w:tcW w:w="1866" w:type="dxa"/>
            <w:vAlign w:val="center"/>
          </w:tcPr>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投标文件</w:t>
            </w:r>
          </w:p>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对应规范</w:t>
            </w:r>
          </w:p>
        </w:tc>
        <w:tc>
          <w:tcPr>
            <w:tcW w:w="1592" w:type="dxa"/>
            <w:vAlign w:val="center"/>
          </w:tcPr>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vAlign w:val="center"/>
          </w:tcPr>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技</w:t>
            </w:r>
          </w:p>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术</w:t>
            </w:r>
          </w:p>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规</w:t>
            </w:r>
          </w:p>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格</w:t>
            </w:r>
          </w:p>
        </w:tc>
        <w:tc>
          <w:tcPr>
            <w:tcW w:w="1364" w:type="dxa"/>
            <w:vAlign w:val="center"/>
          </w:tcPr>
          <w:p>
            <w:pPr>
              <w:spacing w:line="380" w:lineRule="exact"/>
              <w:jc w:val="center"/>
              <w:rPr>
                <w:rFonts w:ascii="宋体" w:hAnsi="宋体"/>
                <w:color w:val="auto"/>
                <w:sz w:val="22"/>
                <w:szCs w:val="22"/>
                <w:highlight w:val="none"/>
              </w:rPr>
            </w:pPr>
          </w:p>
        </w:tc>
        <w:tc>
          <w:tcPr>
            <w:tcW w:w="2097" w:type="dxa"/>
            <w:vAlign w:val="center"/>
          </w:tcPr>
          <w:p>
            <w:pPr>
              <w:spacing w:line="380" w:lineRule="exact"/>
              <w:jc w:val="center"/>
              <w:rPr>
                <w:rFonts w:ascii="宋体" w:hAnsi="宋体"/>
                <w:color w:val="auto"/>
                <w:sz w:val="22"/>
                <w:szCs w:val="22"/>
                <w:highlight w:val="none"/>
              </w:rPr>
            </w:pPr>
          </w:p>
        </w:tc>
        <w:tc>
          <w:tcPr>
            <w:tcW w:w="1992" w:type="dxa"/>
            <w:vAlign w:val="center"/>
          </w:tcPr>
          <w:p>
            <w:pPr>
              <w:spacing w:line="380" w:lineRule="exact"/>
              <w:jc w:val="center"/>
              <w:rPr>
                <w:rFonts w:ascii="宋体" w:hAnsi="宋体"/>
                <w:color w:val="auto"/>
                <w:sz w:val="22"/>
                <w:szCs w:val="22"/>
                <w:highlight w:val="none"/>
              </w:rPr>
            </w:pPr>
          </w:p>
        </w:tc>
        <w:tc>
          <w:tcPr>
            <w:tcW w:w="1866" w:type="dxa"/>
            <w:vAlign w:val="center"/>
          </w:tcPr>
          <w:p>
            <w:pPr>
              <w:spacing w:line="380" w:lineRule="exact"/>
              <w:jc w:val="center"/>
              <w:rPr>
                <w:rFonts w:ascii="宋体" w:hAnsi="宋体"/>
                <w:color w:val="auto"/>
                <w:sz w:val="22"/>
                <w:szCs w:val="22"/>
                <w:highlight w:val="none"/>
              </w:rPr>
            </w:pPr>
          </w:p>
        </w:tc>
        <w:tc>
          <w:tcPr>
            <w:tcW w:w="1592" w:type="dxa"/>
            <w:vAlign w:val="center"/>
          </w:tcPr>
          <w:p>
            <w:pPr>
              <w:spacing w:line="3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ind w:firstLine="220" w:firstLineChars="100"/>
              <w:rPr>
                <w:rFonts w:ascii="宋体" w:hAnsi="宋体"/>
                <w:color w:val="auto"/>
                <w:sz w:val="22"/>
                <w:szCs w:val="22"/>
                <w:highlight w:val="none"/>
              </w:rPr>
            </w:pPr>
          </w:p>
        </w:tc>
        <w:tc>
          <w:tcPr>
            <w:tcW w:w="1364" w:type="dxa"/>
            <w:vAlign w:val="center"/>
          </w:tcPr>
          <w:p>
            <w:pPr>
              <w:spacing w:line="380" w:lineRule="exact"/>
              <w:jc w:val="center"/>
              <w:rPr>
                <w:rFonts w:ascii="宋体" w:hAnsi="宋体"/>
                <w:color w:val="auto"/>
                <w:sz w:val="22"/>
                <w:szCs w:val="22"/>
                <w:highlight w:val="none"/>
              </w:rPr>
            </w:pPr>
          </w:p>
        </w:tc>
        <w:tc>
          <w:tcPr>
            <w:tcW w:w="2097" w:type="dxa"/>
            <w:vAlign w:val="center"/>
          </w:tcPr>
          <w:p>
            <w:pPr>
              <w:spacing w:line="380" w:lineRule="exact"/>
              <w:jc w:val="center"/>
              <w:rPr>
                <w:rFonts w:ascii="宋体" w:hAnsi="宋体"/>
                <w:color w:val="auto"/>
                <w:sz w:val="22"/>
                <w:szCs w:val="22"/>
                <w:highlight w:val="none"/>
              </w:rPr>
            </w:pPr>
          </w:p>
        </w:tc>
        <w:tc>
          <w:tcPr>
            <w:tcW w:w="1992" w:type="dxa"/>
            <w:vAlign w:val="center"/>
          </w:tcPr>
          <w:p>
            <w:pPr>
              <w:spacing w:line="380" w:lineRule="exact"/>
              <w:jc w:val="center"/>
              <w:rPr>
                <w:rFonts w:ascii="宋体" w:hAnsi="宋体"/>
                <w:color w:val="auto"/>
                <w:sz w:val="22"/>
                <w:szCs w:val="22"/>
                <w:highlight w:val="none"/>
              </w:rPr>
            </w:pPr>
          </w:p>
        </w:tc>
        <w:tc>
          <w:tcPr>
            <w:tcW w:w="1866" w:type="dxa"/>
            <w:vAlign w:val="center"/>
          </w:tcPr>
          <w:p>
            <w:pPr>
              <w:spacing w:line="380" w:lineRule="exact"/>
              <w:jc w:val="center"/>
              <w:rPr>
                <w:rFonts w:ascii="宋体" w:hAnsi="宋体"/>
                <w:color w:val="auto"/>
                <w:sz w:val="22"/>
                <w:szCs w:val="22"/>
                <w:highlight w:val="none"/>
              </w:rPr>
            </w:pPr>
          </w:p>
        </w:tc>
        <w:tc>
          <w:tcPr>
            <w:tcW w:w="1592" w:type="dxa"/>
            <w:vAlign w:val="center"/>
          </w:tcPr>
          <w:p>
            <w:pPr>
              <w:spacing w:line="3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auto"/>
                <w:sz w:val="22"/>
                <w:szCs w:val="22"/>
                <w:highlight w:val="none"/>
              </w:rPr>
            </w:pPr>
          </w:p>
        </w:tc>
        <w:tc>
          <w:tcPr>
            <w:tcW w:w="1364" w:type="dxa"/>
            <w:vAlign w:val="center"/>
          </w:tcPr>
          <w:p>
            <w:pPr>
              <w:spacing w:line="380" w:lineRule="exact"/>
              <w:jc w:val="center"/>
              <w:rPr>
                <w:rFonts w:ascii="宋体" w:hAnsi="宋体"/>
                <w:color w:val="auto"/>
                <w:sz w:val="22"/>
                <w:szCs w:val="22"/>
                <w:highlight w:val="none"/>
              </w:rPr>
            </w:pPr>
          </w:p>
        </w:tc>
        <w:tc>
          <w:tcPr>
            <w:tcW w:w="2097" w:type="dxa"/>
            <w:vAlign w:val="center"/>
          </w:tcPr>
          <w:p>
            <w:pPr>
              <w:spacing w:line="380" w:lineRule="exact"/>
              <w:jc w:val="center"/>
              <w:rPr>
                <w:rFonts w:ascii="宋体" w:hAnsi="宋体"/>
                <w:color w:val="auto"/>
                <w:sz w:val="22"/>
                <w:szCs w:val="22"/>
                <w:highlight w:val="none"/>
              </w:rPr>
            </w:pPr>
          </w:p>
        </w:tc>
        <w:tc>
          <w:tcPr>
            <w:tcW w:w="1992" w:type="dxa"/>
            <w:vAlign w:val="center"/>
          </w:tcPr>
          <w:p>
            <w:pPr>
              <w:spacing w:line="380" w:lineRule="exact"/>
              <w:jc w:val="center"/>
              <w:rPr>
                <w:rFonts w:ascii="宋体" w:hAnsi="宋体"/>
                <w:color w:val="auto"/>
                <w:sz w:val="22"/>
                <w:szCs w:val="22"/>
                <w:highlight w:val="none"/>
              </w:rPr>
            </w:pPr>
          </w:p>
        </w:tc>
        <w:tc>
          <w:tcPr>
            <w:tcW w:w="1866" w:type="dxa"/>
            <w:vAlign w:val="center"/>
          </w:tcPr>
          <w:p>
            <w:pPr>
              <w:spacing w:line="380" w:lineRule="exact"/>
              <w:jc w:val="center"/>
              <w:rPr>
                <w:rFonts w:ascii="宋体" w:hAnsi="宋体"/>
                <w:color w:val="auto"/>
                <w:sz w:val="22"/>
                <w:szCs w:val="22"/>
                <w:highlight w:val="none"/>
              </w:rPr>
            </w:pPr>
          </w:p>
        </w:tc>
        <w:tc>
          <w:tcPr>
            <w:tcW w:w="1592" w:type="dxa"/>
            <w:vAlign w:val="center"/>
          </w:tcPr>
          <w:p>
            <w:pPr>
              <w:spacing w:line="3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auto"/>
                <w:sz w:val="22"/>
                <w:szCs w:val="22"/>
                <w:highlight w:val="none"/>
              </w:rPr>
            </w:pPr>
          </w:p>
        </w:tc>
        <w:tc>
          <w:tcPr>
            <w:tcW w:w="1364" w:type="dxa"/>
            <w:vAlign w:val="center"/>
          </w:tcPr>
          <w:p>
            <w:pPr>
              <w:spacing w:line="380" w:lineRule="exact"/>
              <w:jc w:val="center"/>
              <w:rPr>
                <w:rFonts w:ascii="宋体" w:hAnsi="宋体"/>
                <w:color w:val="auto"/>
                <w:sz w:val="22"/>
                <w:szCs w:val="22"/>
                <w:highlight w:val="none"/>
              </w:rPr>
            </w:pPr>
          </w:p>
        </w:tc>
        <w:tc>
          <w:tcPr>
            <w:tcW w:w="2097" w:type="dxa"/>
            <w:vAlign w:val="center"/>
          </w:tcPr>
          <w:p>
            <w:pPr>
              <w:spacing w:line="380" w:lineRule="exact"/>
              <w:jc w:val="center"/>
              <w:rPr>
                <w:rFonts w:ascii="宋体" w:hAnsi="宋体"/>
                <w:color w:val="auto"/>
                <w:sz w:val="22"/>
                <w:szCs w:val="22"/>
                <w:highlight w:val="none"/>
              </w:rPr>
            </w:pPr>
          </w:p>
        </w:tc>
        <w:tc>
          <w:tcPr>
            <w:tcW w:w="1992" w:type="dxa"/>
            <w:vAlign w:val="center"/>
          </w:tcPr>
          <w:p>
            <w:pPr>
              <w:spacing w:line="380" w:lineRule="exact"/>
              <w:jc w:val="center"/>
              <w:rPr>
                <w:rFonts w:ascii="宋体" w:hAnsi="宋体"/>
                <w:color w:val="auto"/>
                <w:sz w:val="22"/>
                <w:szCs w:val="22"/>
                <w:highlight w:val="none"/>
              </w:rPr>
            </w:pPr>
          </w:p>
        </w:tc>
        <w:tc>
          <w:tcPr>
            <w:tcW w:w="1866" w:type="dxa"/>
            <w:vAlign w:val="center"/>
          </w:tcPr>
          <w:p>
            <w:pPr>
              <w:spacing w:line="380" w:lineRule="exact"/>
              <w:jc w:val="center"/>
              <w:rPr>
                <w:rFonts w:ascii="宋体" w:hAnsi="宋体"/>
                <w:color w:val="auto"/>
                <w:sz w:val="22"/>
                <w:szCs w:val="22"/>
                <w:highlight w:val="none"/>
              </w:rPr>
            </w:pPr>
          </w:p>
        </w:tc>
        <w:tc>
          <w:tcPr>
            <w:tcW w:w="1592" w:type="dxa"/>
            <w:vAlign w:val="center"/>
          </w:tcPr>
          <w:p>
            <w:pPr>
              <w:spacing w:line="3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auto"/>
                <w:sz w:val="22"/>
                <w:szCs w:val="22"/>
                <w:highlight w:val="none"/>
              </w:rPr>
            </w:pPr>
          </w:p>
        </w:tc>
        <w:tc>
          <w:tcPr>
            <w:tcW w:w="1364" w:type="dxa"/>
            <w:vAlign w:val="center"/>
          </w:tcPr>
          <w:p>
            <w:pPr>
              <w:spacing w:line="380" w:lineRule="exact"/>
              <w:jc w:val="center"/>
              <w:rPr>
                <w:rFonts w:ascii="宋体" w:hAnsi="宋体"/>
                <w:color w:val="auto"/>
                <w:sz w:val="22"/>
                <w:szCs w:val="22"/>
                <w:highlight w:val="none"/>
              </w:rPr>
            </w:pPr>
          </w:p>
        </w:tc>
        <w:tc>
          <w:tcPr>
            <w:tcW w:w="2097" w:type="dxa"/>
            <w:vAlign w:val="center"/>
          </w:tcPr>
          <w:p>
            <w:pPr>
              <w:spacing w:line="380" w:lineRule="exact"/>
              <w:jc w:val="center"/>
              <w:rPr>
                <w:rFonts w:ascii="宋体" w:hAnsi="宋体"/>
                <w:color w:val="auto"/>
                <w:sz w:val="22"/>
                <w:szCs w:val="22"/>
                <w:highlight w:val="none"/>
              </w:rPr>
            </w:pPr>
          </w:p>
        </w:tc>
        <w:tc>
          <w:tcPr>
            <w:tcW w:w="1992" w:type="dxa"/>
            <w:vAlign w:val="center"/>
          </w:tcPr>
          <w:p>
            <w:pPr>
              <w:spacing w:line="380" w:lineRule="exact"/>
              <w:jc w:val="center"/>
              <w:rPr>
                <w:rFonts w:ascii="宋体" w:hAnsi="宋体"/>
                <w:color w:val="auto"/>
                <w:sz w:val="22"/>
                <w:szCs w:val="22"/>
                <w:highlight w:val="none"/>
              </w:rPr>
            </w:pPr>
          </w:p>
        </w:tc>
        <w:tc>
          <w:tcPr>
            <w:tcW w:w="1866" w:type="dxa"/>
            <w:vAlign w:val="center"/>
          </w:tcPr>
          <w:p>
            <w:pPr>
              <w:spacing w:line="380" w:lineRule="exact"/>
              <w:jc w:val="center"/>
              <w:rPr>
                <w:rFonts w:ascii="宋体" w:hAnsi="宋体"/>
                <w:color w:val="auto"/>
                <w:sz w:val="22"/>
                <w:szCs w:val="22"/>
                <w:highlight w:val="none"/>
              </w:rPr>
            </w:pPr>
          </w:p>
        </w:tc>
        <w:tc>
          <w:tcPr>
            <w:tcW w:w="1592" w:type="dxa"/>
            <w:vAlign w:val="center"/>
          </w:tcPr>
          <w:p>
            <w:pPr>
              <w:spacing w:line="3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vAlign w:val="center"/>
          </w:tcPr>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商</w:t>
            </w:r>
          </w:p>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务</w:t>
            </w:r>
          </w:p>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条</w:t>
            </w:r>
          </w:p>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款</w:t>
            </w:r>
          </w:p>
        </w:tc>
        <w:tc>
          <w:tcPr>
            <w:tcW w:w="1364" w:type="dxa"/>
            <w:vAlign w:val="center"/>
          </w:tcPr>
          <w:p>
            <w:pPr>
              <w:spacing w:line="380" w:lineRule="exact"/>
              <w:jc w:val="center"/>
              <w:rPr>
                <w:rFonts w:ascii="宋体" w:hAnsi="宋体"/>
                <w:color w:val="auto"/>
                <w:sz w:val="22"/>
                <w:szCs w:val="22"/>
                <w:highlight w:val="none"/>
              </w:rPr>
            </w:pPr>
          </w:p>
        </w:tc>
        <w:tc>
          <w:tcPr>
            <w:tcW w:w="2097" w:type="dxa"/>
            <w:vAlign w:val="center"/>
          </w:tcPr>
          <w:p>
            <w:pPr>
              <w:spacing w:line="380" w:lineRule="exact"/>
              <w:jc w:val="center"/>
              <w:rPr>
                <w:rFonts w:ascii="宋体" w:hAnsi="宋体"/>
                <w:color w:val="auto"/>
                <w:sz w:val="22"/>
                <w:szCs w:val="22"/>
                <w:highlight w:val="none"/>
              </w:rPr>
            </w:pPr>
          </w:p>
        </w:tc>
        <w:tc>
          <w:tcPr>
            <w:tcW w:w="1992" w:type="dxa"/>
            <w:vAlign w:val="center"/>
          </w:tcPr>
          <w:p>
            <w:pPr>
              <w:spacing w:line="380" w:lineRule="exact"/>
              <w:jc w:val="center"/>
              <w:rPr>
                <w:rFonts w:ascii="宋体" w:hAnsi="宋体"/>
                <w:color w:val="auto"/>
                <w:sz w:val="22"/>
                <w:szCs w:val="22"/>
                <w:highlight w:val="none"/>
              </w:rPr>
            </w:pPr>
          </w:p>
        </w:tc>
        <w:tc>
          <w:tcPr>
            <w:tcW w:w="1866" w:type="dxa"/>
            <w:vAlign w:val="center"/>
          </w:tcPr>
          <w:p>
            <w:pPr>
              <w:spacing w:line="380" w:lineRule="exact"/>
              <w:jc w:val="center"/>
              <w:rPr>
                <w:rFonts w:ascii="宋体" w:hAnsi="宋体"/>
                <w:color w:val="auto"/>
                <w:sz w:val="22"/>
                <w:szCs w:val="22"/>
                <w:highlight w:val="none"/>
              </w:rPr>
            </w:pPr>
          </w:p>
        </w:tc>
        <w:tc>
          <w:tcPr>
            <w:tcW w:w="1592" w:type="dxa"/>
            <w:vAlign w:val="center"/>
          </w:tcPr>
          <w:p>
            <w:pPr>
              <w:spacing w:line="3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auto"/>
                <w:sz w:val="22"/>
                <w:szCs w:val="22"/>
                <w:highlight w:val="none"/>
              </w:rPr>
            </w:pPr>
          </w:p>
        </w:tc>
        <w:tc>
          <w:tcPr>
            <w:tcW w:w="1364" w:type="dxa"/>
            <w:vAlign w:val="center"/>
          </w:tcPr>
          <w:p>
            <w:pPr>
              <w:spacing w:line="380" w:lineRule="exact"/>
              <w:jc w:val="center"/>
              <w:rPr>
                <w:rFonts w:ascii="宋体" w:hAnsi="宋体"/>
                <w:color w:val="auto"/>
                <w:sz w:val="22"/>
                <w:szCs w:val="22"/>
                <w:highlight w:val="none"/>
              </w:rPr>
            </w:pPr>
          </w:p>
        </w:tc>
        <w:tc>
          <w:tcPr>
            <w:tcW w:w="2097" w:type="dxa"/>
            <w:vAlign w:val="center"/>
          </w:tcPr>
          <w:p>
            <w:pPr>
              <w:spacing w:line="380" w:lineRule="exact"/>
              <w:jc w:val="center"/>
              <w:rPr>
                <w:rFonts w:ascii="宋体" w:hAnsi="宋体"/>
                <w:color w:val="auto"/>
                <w:sz w:val="22"/>
                <w:szCs w:val="22"/>
                <w:highlight w:val="none"/>
              </w:rPr>
            </w:pPr>
          </w:p>
        </w:tc>
        <w:tc>
          <w:tcPr>
            <w:tcW w:w="1992" w:type="dxa"/>
            <w:vAlign w:val="center"/>
          </w:tcPr>
          <w:p>
            <w:pPr>
              <w:spacing w:line="380" w:lineRule="exact"/>
              <w:jc w:val="center"/>
              <w:rPr>
                <w:rFonts w:ascii="宋体" w:hAnsi="宋体"/>
                <w:color w:val="auto"/>
                <w:sz w:val="22"/>
                <w:szCs w:val="22"/>
                <w:highlight w:val="none"/>
              </w:rPr>
            </w:pPr>
          </w:p>
        </w:tc>
        <w:tc>
          <w:tcPr>
            <w:tcW w:w="1866" w:type="dxa"/>
            <w:vAlign w:val="center"/>
          </w:tcPr>
          <w:p>
            <w:pPr>
              <w:spacing w:line="380" w:lineRule="exact"/>
              <w:jc w:val="center"/>
              <w:rPr>
                <w:rFonts w:ascii="宋体" w:hAnsi="宋体"/>
                <w:color w:val="auto"/>
                <w:sz w:val="22"/>
                <w:szCs w:val="22"/>
                <w:highlight w:val="none"/>
              </w:rPr>
            </w:pPr>
          </w:p>
        </w:tc>
        <w:tc>
          <w:tcPr>
            <w:tcW w:w="1592" w:type="dxa"/>
            <w:vAlign w:val="center"/>
          </w:tcPr>
          <w:p>
            <w:pPr>
              <w:spacing w:line="3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auto"/>
                <w:sz w:val="22"/>
                <w:szCs w:val="22"/>
                <w:highlight w:val="none"/>
              </w:rPr>
            </w:pPr>
          </w:p>
        </w:tc>
        <w:tc>
          <w:tcPr>
            <w:tcW w:w="1364" w:type="dxa"/>
            <w:vAlign w:val="center"/>
          </w:tcPr>
          <w:p>
            <w:pPr>
              <w:spacing w:line="380" w:lineRule="exact"/>
              <w:jc w:val="center"/>
              <w:rPr>
                <w:rFonts w:ascii="宋体" w:hAnsi="宋体"/>
                <w:color w:val="auto"/>
                <w:sz w:val="22"/>
                <w:szCs w:val="22"/>
                <w:highlight w:val="none"/>
              </w:rPr>
            </w:pPr>
          </w:p>
        </w:tc>
        <w:tc>
          <w:tcPr>
            <w:tcW w:w="2097" w:type="dxa"/>
            <w:vAlign w:val="center"/>
          </w:tcPr>
          <w:p>
            <w:pPr>
              <w:spacing w:line="380" w:lineRule="exact"/>
              <w:jc w:val="center"/>
              <w:rPr>
                <w:rFonts w:ascii="宋体" w:hAnsi="宋体"/>
                <w:color w:val="auto"/>
                <w:sz w:val="22"/>
                <w:szCs w:val="22"/>
                <w:highlight w:val="none"/>
              </w:rPr>
            </w:pPr>
          </w:p>
        </w:tc>
        <w:tc>
          <w:tcPr>
            <w:tcW w:w="1992" w:type="dxa"/>
            <w:vAlign w:val="center"/>
          </w:tcPr>
          <w:p>
            <w:pPr>
              <w:spacing w:line="380" w:lineRule="exact"/>
              <w:jc w:val="center"/>
              <w:rPr>
                <w:rFonts w:ascii="宋体" w:hAnsi="宋体"/>
                <w:color w:val="auto"/>
                <w:sz w:val="22"/>
                <w:szCs w:val="22"/>
                <w:highlight w:val="none"/>
              </w:rPr>
            </w:pPr>
          </w:p>
        </w:tc>
        <w:tc>
          <w:tcPr>
            <w:tcW w:w="1866" w:type="dxa"/>
            <w:vAlign w:val="center"/>
          </w:tcPr>
          <w:p>
            <w:pPr>
              <w:spacing w:line="380" w:lineRule="exact"/>
              <w:jc w:val="center"/>
              <w:rPr>
                <w:rFonts w:ascii="宋体" w:hAnsi="宋体"/>
                <w:color w:val="auto"/>
                <w:sz w:val="22"/>
                <w:szCs w:val="22"/>
                <w:highlight w:val="none"/>
              </w:rPr>
            </w:pPr>
          </w:p>
        </w:tc>
        <w:tc>
          <w:tcPr>
            <w:tcW w:w="1592" w:type="dxa"/>
            <w:vAlign w:val="center"/>
          </w:tcPr>
          <w:p>
            <w:pPr>
              <w:spacing w:line="3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auto"/>
                <w:sz w:val="22"/>
                <w:szCs w:val="22"/>
                <w:highlight w:val="none"/>
              </w:rPr>
            </w:pPr>
          </w:p>
        </w:tc>
        <w:tc>
          <w:tcPr>
            <w:tcW w:w="1364" w:type="dxa"/>
            <w:vAlign w:val="center"/>
          </w:tcPr>
          <w:p>
            <w:pPr>
              <w:spacing w:line="380" w:lineRule="exact"/>
              <w:jc w:val="center"/>
              <w:rPr>
                <w:rFonts w:ascii="宋体" w:hAnsi="宋体"/>
                <w:color w:val="auto"/>
                <w:sz w:val="22"/>
                <w:szCs w:val="22"/>
                <w:highlight w:val="none"/>
              </w:rPr>
            </w:pPr>
          </w:p>
        </w:tc>
        <w:tc>
          <w:tcPr>
            <w:tcW w:w="2097" w:type="dxa"/>
            <w:vAlign w:val="center"/>
          </w:tcPr>
          <w:p>
            <w:pPr>
              <w:spacing w:line="380" w:lineRule="exact"/>
              <w:jc w:val="center"/>
              <w:rPr>
                <w:rFonts w:ascii="宋体" w:hAnsi="宋体"/>
                <w:color w:val="auto"/>
                <w:sz w:val="22"/>
                <w:szCs w:val="22"/>
                <w:highlight w:val="none"/>
              </w:rPr>
            </w:pPr>
          </w:p>
        </w:tc>
        <w:tc>
          <w:tcPr>
            <w:tcW w:w="1992" w:type="dxa"/>
            <w:vAlign w:val="center"/>
          </w:tcPr>
          <w:p>
            <w:pPr>
              <w:spacing w:line="380" w:lineRule="exact"/>
              <w:jc w:val="center"/>
              <w:rPr>
                <w:rFonts w:ascii="宋体" w:hAnsi="宋体"/>
                <w:color w:val="auto"/>
                <w:sz w:val="22"/>
                <w:szCs w:val="22"/>
                <w:highlight w:val="none"/>
              </w:rPr>
            </w:pPr>
          </w:p>
        </w:tc>
        <w:tc>
          <w:tcPr>
            <w:tcW w:w="1866" w:type="dxa"/>
            <w:vAlign w:val="center"/>
          </w:tcPr>
          <w:p>
            <w:pPr>
              <w:spacing w:line="380" w:lineRule="exact"/>
              <w:jc w:val="center"/>
              <w:rPr>
                <w:rFonts w:ascii="宋体" w:hAnsi="宋体"/>
                <w:color w:val="auto"/>
                <w:sz w:val="22"/>
                <w:szCs w:val="22"/>
                <w:highlight w:val="none"/>
              </w:rPr>
            </w:pPr>
          </w:p>
        </w:tc>
        <w:tc>
          <w:tcPr>
            <w:tcW w:w="1592" w:type="dxa"/>
            <w:vAlign w:val="center"/>
          </w:tcPr>
          <w:p>
            <w:pPr>
              <w:spacing w:line="3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auto"/>
                <w:sz w:val="22"/>
                <w:szCs w:val="22"/>
                <w:highlight w:val="none"/>
              </w:rPr>
            </w:pPr>
          </w:p>
        </w:tc>
        <w:tc>
          <w:tcPr>
            <w:tcW w:w="1364" w:type="dxa"/>
            <w:vAlign w:val="center"/>
          </w:tcPr>
          <w:p>
            <w:pPr>
              <w:spacing w:line="380" w:lineRule="exact"/>
              <w:jc w:val="center"/>
              <w:rPr>
                <w:rFonts w:ascii="宋体" w:hAnsi="宋体"/>
                <w:color w:val="auto"/>
                <w:sz w:val="22"/>
                <w:szCs w:val="22"/>
                <w:highlight w:val="none"/>
              </w:rPr>
            </w:pPr>
          </w:p>
        </w:tc>
        <w:tc>
          <w:tcPr>
            <w:tcW w:w="2097" w:type="dxa"/>
            <w:vAlign w:val="center"/>
          </w:tcPr>
          <w:p>
            <w:pPr>
              <w:spacing w:line="380" w:lineRule="exact"/>
              <w:jc w:val="center"/>
              <w:rPr>
                <w:rFonts w:ascii="宋体" w:hAnsi="宋体"/>
                <w:color w:val="auto"/>
                <w:sz w:val="22"/>
                <w:szCs w:val="22"/>
                <w:highlight w:val="none"/>
              </w:rPr>
            </w:pPr>
          </w:p>
        </w:tc>
        <w:tc>
          <w:tcPr>
            <w:tcW w:w="1992" w:type="dxa"/>
            <w:vAlign w:val="center"/>
          </w:tcPr>
          <w:p>
            <w:pPr>
              <w:spacing w:line="380" w:lineRule="exact"/>
              <w:jc w:val="center"/>
              <w:rPr>
                <w:rFonts w:ascii="宋体" w:hAnsi="宋体"/>
                <w:color w:val="auto"/>
                <w:sz w:val="22"/>
                <w:szCs w:val="22"/>
                <w:highlight w:val="none"/>
              </w:rPr>
            </w:pPr>
          </w:p>
        </w:tc>
        <w:tc>
          <w:tcPr>
            <w:tcW w:w="1866" w:type="dxa"/>
            <w:vAlign w:val="center"/>
          </w:tcPr>
          <w:p>
            <w:pPr>
              <w:spacing w:line="380" w:lineRule="exact"/>
              <w:jc w:val="center"/>
              <w:rPr>
                <w:rFonts w:ascii="宋体" w:hAnsi="宋体"/>
                <w:color w:val="auto"/>
                <w:sz w:val="22"/>
                <w:szCs w:val="22"/>
                <w:highlight w:val="none"/>
              </w:rPr>
            </w:pPr>
          </w:p>
        </w:tc>
        <w:tc>
          <w:tcPr>
            <w:tcW w:w="1592" w:type="dxa"/>
            <w:vAlign w:val="center"/>
          </w:tcPr>
          <w:p>
            <w:pPr>
              <w:spacing w:line="380" w:lineRule="exact"/>
              <w:jc w:val="center"/>
              <w:rPr>
                <w:rFonts w:ascii="宋体" w:hAnsi="宋体"/>
                <w:color w:val="auto"/>
                <w:sz w:val="22"/>
                <w:szCs w:val="22"/>
                <w:highlight w:val="none"/>
              </w:rPr>
            </w:pPr>
          </w:p>
        </w:tc>
      </w:tr>
    </w:tbl>
    <w:p>
      <w:pPr>
        <w:spacing w:line="380" w:lineRule="exact"/>
        <w:rPr>
          <w:rFonts w:ascii="宋体" w:hAnsi="宋体"/>
          <w:b/>
          <w:color w:val="auto"/>
          <w:sz w:val="22"/>
          <w:szCs w:val="22"/>
          <w:highlight w:val="none"/>
        </w:rPr>
      </w:pPr>
      <w:r>
        <w:rPr>
          <w:rFonts w:hint="eastAsia" w:ascii="宋体" w:hAnsi="宋体"/>
          <w:b/>
          <w:color w:val="auto"/>
          <w:sz w:val="22"/>
          <w:szCs w:val="22"/>
          <w:highlight w:val="none"/>
        </w:rPr>
        <w:t>注：</w:t>
      </w:r>
      <w:r>
        <w:rPr>
          <w:rFonts w:hint="eastAsia" w:ascii="宋体" w:hAnsi="宋体"/>
          <w:b/>
          <w:color w:val="auto"/>
          <w:highlight w:val="none"/>
        </w:rPr>
        <w:t>不填写此表视为完全响应招标文件内容。</w:t>
      </w:r>
    </w:p>
    <w:p>
      <w:pPr>
        <w:spacing w:line="380" w:lineRule="exact"/>
        <w:ind w:firstLine="4417" w:firstLineChars="2000"/>
        <w:rPr>
          <w:rFonts w:ascii="宋体" w:hAnsi="宋体"/>
          <w:b/>
          <w:color w:val="auto"/>
          <w:sz w:val="22"/>
          <w:szCs w:val="22"/>
          <w:highlight w:val="none"/>
        </w:rPr>
      </w:pPr>
    </w:p>
    <w:p>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投标人全称（盖章）：</w:t>
      </w:r>
    </w:p>
    <w:p>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日期：  年   月  日</w:t>
      </w:r>
    </w:p>
    <w:p>
      <w:pPr>
        <w:spacing w:line="400" w:lineRule="exact"/>
        <w:rPr>
          <w:rFonts w:ascii="宋体" w:hAnsi="宋体"/>
          <w:color w:val="auto"/>
          <w:sz w:val="22"/>
          <w:szCs w:val="22"/>
          <w:highlight w:val="none"/>
        </w:rPr>
      </w:pPr>
    </w:p>
    <w:p>
      <w:pPr>
        <w:spacing w:line="460" w:lineRule="exact"/>
        <w:rPr>
          <w:rFonts w:ascii="宋体" w:hAnsi="宋体"/>
          <w:b/>
          <w:color w:val="auto"/>
          <w:sz w:val="22"/>
          <w:szCs w:val="22"/>
          <w:highlight w:val="none"/>
        </w:rPr>
      </w:pPr>
      <w:r>
        <w:rPr>
          <w:rFonts w:hint="eastAsia" w:ascii="宋体" w:hAnsi="宋体"/>
          <w:color w:val="auto"/>
          <w:highlight w:val="none"/>
        </w:rPr>
        <w:br w:type="page"/>
      </w:r>
    </w:p>
    <w:p>
      <w:pPr>
        <w:spacing w:line="460" w:lineRule="exact"/>
        <w:rPr>
          <w:rFonts w:hAnsi="宋体"/>
          <w:b/>
          <w:bCs/>
          <w:color w:val="auto"/>
          <w:highlight w:val="none"/>
        </w:rPr>
      </w:pPr>
      <w:r>
        <w:rPr>
          <w:rFonts w:hint="eastAsia" w:ascii="宋体" w:hAnsi="宋体"/>
          <w:b/>
          <w:color w:val="auto"/>
          <w:sz w:val="22"/>
          <w:szCs w:val="22"/>
          <w:highlight w:val="none"/>
        </w:rPr>
        <w:t>附件五</w:t>
      </w:r>
    </w:p>
    <w:p>
      <w:pPr>
        <w:spacing w:line="440" w:lineRule="atLeast"/>
        <w:jc w:val="center"/>
        <w:rPr>
          <w:rFonts w:ascii="宋体"/>
          <w:b/>
          <w:color w:val="auto"/>
          <w:sz w:val="22"/>
          <w:szCs w:val="22"/>
          <w:highlight w:val="none"/>
        </w:rPr>
      </w:pPr>
      <w:r>
        <w:rPr>
          <w:rFonts w:hint="eastAsia" w:ascii="宋体" w:hAnsi="宋体"/>
          <w:b/>
          <w:color w:val="auto"/>
          <w:sz w:val="22"/>
          <w:szCs w:val="22"/>
          <w:highlight w:val="none"/>
          <w:lang w:eastAsia="zh-CN"/>
        </w:rPr>
        <w:t>（</w:t>
      </w:r>
      <w:r>
        <w:rPr>
          <w:rFonts w:hint="eastAsia" w:ascii="宋体" w:hAnsi="宋体"/>
          <w:b/>
          <w:color w:val="auto"/>
          <w:sz w:val="22"/>
          <w:szCs w:val="22"/>
          <w:highlight w:val="none"/>
          <w:lang w:val="en-US" w:eastAsia="zh-CN"/>
        </w:rPr>
        <w:t>1）</w:t>
      </w:r>
      <w:r>
        <w:rPr>
          <w:rFonts w:hint="eastAsia" w:ascii="宋体" w:hAnsi="宋体"/>
          <w:b/>
          <w:color w:val="auto"/>
          <w:sz w:val="22"/>
          <w:szCs w:val="22"/>
          <w:highlight w:val="none"/>
        </w:rPr>
        <w:t>中小企业声明函</w:t>
      </w:r>
    </w:p>
    <w:p>
      <w:pPr>
        <w:widowControl/>
        <w:adjustRightInd w:val="0"/>
        <w:snapToGrid w:val="0"/>
        <w:spacing w:line="324" w:lineRule="auto"/>
        <w:jc w:val="center"/>
        <w:rPr>
          <w:rFonts w:ascii="宋体" w:hAnsi="宋体" w:cs="宋体"/>
          <w:b/>
          <w:color w:val="auto"/>
          <w:kern w:val="0"/>
          <w:sz w:val="22"/>
          <w:szCs w:val="22"/>
          <w:highlight w:val="none"/>
        </w:rPr>
      </w:pPr>
    </w:p>
    <w:p>
      <w:pPr>
        <w:widowControl/>
        <w:adjustRightInd w:val="0"/>
        <w:snapToGrid w:val="0"/>
        <w:spacing w:line="324" w:lineRule="auto"/>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中小企业声明函（货物）</w:t>
      </w:r>
    </w:p>
    <w:p>
      <w:pPr>
        <w:widowControl/>
        <w:adjustRightInd w:val="0"/>
        <w:snapToGrid w:val="0"/>
        <w:spacing w:line="324" w:lineRule="auto"/>
        <w:ind w:firstLine="440" w:firstLineChars="200"/>
        <w:jc w:val="center"/>
        <w:rPr>
          <w:rFonts w:ascii="宋体" w:hAnsi="宋体" w:cs="宋体"/>
          <w:color w:val="auto"/>
          <w:kern w:val="0"/>
          <w:sz w:val="22"/>
          <w:szCs w:val="22"/>
          <w:highlight w:val="none"/>
        </w:rPr>
      </w:pPr>
    </w:p>
    <w:p>
      <w:pPr>
        <w:spacing w:before="240" w:beforeLines="100" w:line="440" w:lineRule="atLeast"/>
        <w:ind w:firstLine="440" w:firstLineChars="200"/>
        <w:rPr>
          <w:rFonts w:ascii="宋体" w:hAnsi="宋体" w:cs="宋体"/>
          <w:color w:val="auto"/>
          <w:sz w:val="22"/>
          <w:szCs w:val="22"/>
          <w:highlight w:val="none"/>
          <w:lang w:val="zh-CN" w:bidi="zh-CN"/>
        </w:rPr>
      </w:pPr>
      <w:r>
        <w:rPr>
          <w:rFonts w:hint="eastAsia" w:ascii="宋体" w:hAnsi="宋体" w:cs="宋体"/>
          <w:color w:val="auto"/>
          <w:kern w:val="0"/>
          <w:sz w:val="22"/>
          <w:szCs w:val="22"/>
          <w:highlight w:val="none"/>
          <w:lang w:val="zh-CN"/>
        </w:rPr>
        <w:t>本公司（联合体）郑重声明，根据《政府采购促进中小企业发展管理办法》（财库﹝2020﹞46 号）的规定</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lang w:val="zh-CN" w:bidi="zh-CN"/>
        </w:rPr>
        <w:t>本公司（联合体）参加</w:t>
      </w:r>
      <w:r>
        <w:rPr>
          <w:rFonts w:hint="eastAsia" w:ascii="宋体" w:hAnsi="宋体" w:cs="宋体"/>
          <w:i/>
          <w:iCs/>
          <w:color w:val="auto"/>
          <w:sz w:val="22"/>
          <w:szCs w:val="22"/>
          <w:highlight w:val="none"/>
          <w:u w:val="single"/>
          <w:lang w:val="zh-CN" w:bidi="zh-CN"/>
        </w:rPr>
        <w:t>（单位名称）</w:t>
      </w:r>
      <w:r>
        <w:rPr>
          <w:rFonts w:hint="eastAsia" w:ascii="宋体" w:hAnsi="宋体" w:cs="宋体"/>
          <w:color w:val="auto"/>
          <w:sz w:val="22"/>
          <w:szCs w:val="22"/>
          <w:highlight w:val="none"/>
          <w:lang w:val="zh-CN" w:bidi="zh-CN"/>
        </w:rPr>
        <w:t>的</w:t>
      </w:r>
      <w:r>
        <w:rPr>
          <w:rFonts w:hint="eastAsia" w:ascii="宋体" w:hAnsi="宋体" w:cs="宋体"/>
          <w:i/>
          <w:iCs/>
          <w:color w:val="auto"/>
          <w:sz w:val="22"/>
          <w:szCs w:val="22"/>
          <w:highlight w:val="none"/>
          <w:u w:val="single"/>
          <w:lang w:val="zh-CN" w:bidi="zh-CN"/>
        </w:rPr>
        <w:t>（项目名称）</w:t>
      </w:r>
      <w:r>
        <w:rPr>
          <w:rFonts w:hint="eastAsia" w:ascii="宋体" w:hAnsi="宋体" w:cs="宋体"/>
          <w:color w:val="auto"/>
          <w:sz w:val="22"/>
          <w:szCs w:val="22"/>
          <w:highlight w:val="none"/>
          <w:lang w:val="zh-CN" w:bidi="zh-CN"/>
        </w:rPr>
        <w:t>采购活动，提供的货物全部由符合政策要求的中小企业制造。相关企业（含联合体中的中小企业、签订分包意向协议的中小企业） 的具体情况如下：</w:t>
      </w:r>
    </w:p>
    <w:p>
      <w:pPr>
        <w:spacing w:before="240" w:beforeLines="100" w:line="440" w:lineRule="atLeast"/>
        <w:ind w:firstLine="440" w:firstLineChars="200"/>
        <w:rPr>
          <w:rFonts w:ascii="宋体" w:hAnsi="宋体" w:cs="宋体"/>
          <w:color w:val="auto"/>
          <w:sz w:val="22"/>
          <w:szCs w:val="22"/>
          <w:highlight w:val="none"/>
          <w:lang w:val="zh-CN" w:bidi="zh-CN"/>
        </w:rPr>
      </w:pPr>
      <w:r>
        <w:rPr>
          <w:rFonts w:hint="eastAsia" w:ascii="宋体" w:hAnsi="宋体" w:cs="宋体"/>
          <w:color w:val="auto"/>
          <w:kern w:val="0"/>
          <w:sz w:val="22"/>
          <w:szCs w:val="22"/>
          <w:highlight w:val="none"/>
        </w:rPr>
        <w:t>    1.</w:t>
      </w:r>
      <w:r>
        <w:rPr>
          <w:rFonts w:hint="eastAsia" w:ascii="宋体" w:hAnsi="宋体" w:cs="宋体"/>
          <w:i/>
          <w:iCs/>
          <w:color w:val="auto"/>
          <w:sz w:val="22"/>
          <w:szCs w:val="22"/>
          <w:highlight w:val="none"/>
          <w:u w:val="single"/>
          <w:lang w:val="zh-CN" w:bidi="zh-CN"/>
        </w:rPr>
        <w:t>（标的名称）</w:t>
      </w:r>
      <w:r>
        <w:rPr>
          <w:rFonts w:hint="eastAsia" w:ascii="宋体" w:hAnsi="宋体" w:cs="宋体"/>
          <w:color w:val="auto"/>
          <w:sz w:val="22"/>
          <w:szCs w:val="22"/>
          <w:highlight w:val="none"/>
          <w:lang w:val="zh-CN" w:bidi="zh-CN"/>
        </w:rPr>
        <w:t>，属于</w:t>
      </w:r>
      <w:r>
        <w:rPr>
          <w:rFonts w:hint="eastAsia" w:ascii="宋体" w:hAnsi="宋体" w:cs="宋体"/>
          <w:i/>
          <w:iCs/>
          <w:color w:val="auto"/>
          <w:sz w:val="22"/>
          <w:szCs w:val="22"/>
          <w:highlight w:val="none"/>
          <w:u w:val="single"/>
          <w:lang w:val="zh-CN" w:bidi="zh-CN"/>
        </w:rPr>
        <w:t>（招标文件中明确的所属行业）</w:t>
      </w:r>
      <w:r>
        <w:rPr>
          <w:rFonts w:hint="eastAsia" w:ascii="宋体" w:hAnsi="宋体" w:cs="宋体"/>
          <w:color w:val="auto"/>
          <w:sz w:val="22"/>
          <w:szCs w:val="22"/>
          <w:highlight w:val="none"/>
          <w:lang w:val="zh-CN" w:bidi="zh-CN"/>
        </w:rPr>
        <w:t>行业；制造商为</w:t>
      </w:r>
      <w:r>
        <w:rPr>
          <w:rFonts w:hint="eastAsia" w:ascii="宋体" w:hAnsi="宋体" w:cs="宋体"/>
          <w:i/>
          <w:iCs/>
          <w:color w:val="auto"/>
          <w:sz w:val="22"/>
          <w:szCs w:val="22"/>
          <w:highlight w:val="none"/>
          <w:u w:val="single"/>
          <w:lang w:val="zh-CN" w:bidi="zh-CN"/>
        </w:rPr>
        <w:t>（企业名称）</w:t>
      </w:r>
      <w:r>
        <w:rPr>
          <w:rFonts w:hint="eastAsia" w:ascii="宋体" w:hAnsi="宋体" w:cs="宋体"/>
          <w:color w:val="auto"/>
          <w:sz w:val="22"/>
          <w:szCs w:val="22"/>
          <w:highlight w:val="none"/>
          <w:lang w:val="zh-CN" w:bidi="zh-CN"/>
        </w:rPr>
        <w:t>，从业人员</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lang w:val="zh-CN" w:bidi="zh-CN"/>
        </w:rPr>
        <w:t>人，营业收入为</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val="zh-CN" w:bidi="zh-CN"/>
        </w:rPr>
        <w:t>万元，资产总额为</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val="zh-CN" w:bidi="zh-CN"/>
        </w:rPr>
        <w:t>万元，属于</w:t>
      </w:r>
      <w:r>
        <w:rPr>
          <w:rFonts w:hint="eastAsia" w:ascii="宋体" w:hAnsi="宋体" w:cs="宋体"/>
          <w:i/>
          <w:iCs/>
          <w:color w:val="auto"/>
          <w:sz w:val="22"/>
          <w:szCs w:val="22"/>
          <w:highlight w:val="none"/>
          <w:u w:val="single"/>
          <w:lang w:val="zh-CN" w:bidi="zh-CN"/>
        </w:rPr>
        <w:t>（中型企业、小型企业、微型企业）</w:t>
      </w:r>
      <w:r>
        <w:rPr>
          <w:rFonts w:hint="eastAsia" w:ascii="宋体" w:hAnsi="宋体" w:cs="宋体"/>
          <w:color w:val="auto"/>
          <w:sz w:val="22"/>
          <w:szCs w:val="22"/>
          <w:highlight w:val="none"/>
          <w:lang w:val="zh-CN" w:bidi="zh-CN"/>
        </w:rPr>
        <w:t>；</w:t>
      </w:r>
    </w:p>
    <w:p>
      <w:pPr>
        <w:spacing w:before="240" w:beforeLines="100" w:line="440" w:lineRule="atLeas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2.</w:t>
      </w:r>
      <w:r>
        <w:rPr>
          <w:rFonts w:hint="eastAsia" w:ascii="宋体" w:hAnsi="宋体" w:cs="宋体"/>
          <w:i/>
          <w:iCs/>
          <w:color w:val="auto"/>
          <w:sz w:val="22"/>
          <w:szCs w:val="22"/>
          <w:highlight w:val="none"/>
          <w:u w:val="single"/>
          <w:lang w:val="zh-CN" w:bidi="zh-CN"/>
        </w:rPr>
        <w:t>（标的名称）</w:t>
      </w:r>
      <w:r>
        <w:rPr>
          <w:rFonts w:hint="eastAsia" w:ascii="宋体" w:hAnsi="宋体" w:cs="宋体"/>
          <w:color w:val="auto"/>
          <w:sz w:val="22"/>
          <w:szCs w:val="22"/>
          <w:highlight w:val="none"/>
          <w:lang w:val="zh-CN" w:bidi="zh-CN"/>
        </w:rPr>
        <w:t>，属于</w:t>
      </w:r>
      <w:r>
        <w:rPr>
          <w:rFonts w:hint="eastAsia" w:ascii="宋体" w:hAnsi="宋体" w:cs="宋体"/>
          <w:i/>
          <w:iCs/>
          <w:color w:val="auto"/>
          <w:sz w:val="22"/>
          <w:szCs w:val="22"/>
          <w:highlight w:val="none"/>
          <w:u w:val="single"/>
          <w:lang w:val="zh-CN" w:bidi="zh-CN"/>
        </w:rPr>
        <w:t>（招标文件中明确的所属行业）</w:t>
      </w:r>
      <w:r>
        <w:rPr>
          <w:rFonts w:hint="eastAsia" w:ascii="宋体" w:hAnsi="宋体" w:cs="宋体"/>
          <w:color w:val="auto"/>
          <w:sz w:val="22"/>
          <w:szCs w:val="22"/>
          <w:highlight w:val="none"/>
          <w:lang w:val="zh-CN" w:bidi="zh-CN"/>
        </w:rPr>
        <w:t>行业；制造商为</w:t>
      </w:r>
      <w:r>
        <w:rPr>
          <w:rFonts w:hint="eastAsia" w:ascii="宋体" w:hAnsi="宋体" w:cs="宋体"/>
          <w:i/>
          <w:iCs/>
          <w:color w:val="auto"/>
          <w:sz w:val="22"/>
          <w:szCs w:val="22"/>
          <w:highlight w:val="none"/>
          <w:u w:val="single"/>
          <w:lang w:val="zh-CN" w:bidi="zh-CN"/>
        </w:rPr>
        <w:t>（企业名称）</w:t>
      </w:r>
      <w:r>
        <w:rPr>
          <w:rFonts w:hint="eastAsia" w:ascii="宋体" w:hAnsi="宋体" w:cs="宋体"/>
          <w:color w:val="auto"/>
          <w:sz w:val="22"/>
          <w:szCs w:val="22"/>
          <w:highlight w:val="none"/>
          <w:lang w:val="zh-CN" w:bidi="zh-CN"/>
        </w:rPr>
        <w:t>，从业人员</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lang w:val="zh-CN" w:bidi="zh-CN"/>
        </w:rPr>
        <w:t>人，营业收入为</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val="zh-CN" w:bidi="zh-CN"/>
        </w:rPr>
        <w:t>万元，资产总额为</w:t>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val="zh-CN" w:bidi="zh-CN"/>
        </w:rPr>
        <w:t>万元，属于</w:t>
      </w:r>
      <w:r>
        <w:rPr>
          <w:rFonts w:hint="eastAsia" w:ascii="宋体" w:hAnsi="宋体" w:cs="宋体"/>
          <w:i/>
          <w:iCs/>
          <w:color w:val="auto"/>
          <w:sz w:val="22"/>
          <w:szCs w:val="22"/>
          <w:highlight w:val="none"/>
          <w:u w:val="single"/>
          <w:lang w:val="zh-CN" w:bidi="zh-CN"/>
        </w:rPr>
        <w:t>（中型企业、小型企业、微型企业）</w:t>
      </w:r>
      <w:r>
        <w:rPr>
          <w:rFonts w:hint="eastAsia" w:ascii="宋体" w:hAnsi="宋体" w:cs="宋体"/>
          <w:color w:val="auto"/>
          <w:kern w:val="0"/>
          <w:sz w:val="22"/>
          <w:szCs w:val="22"/>
          <w:highlight w:val="none"/>
        </w:rPr>
        <w:t>；</w:t>
      </w:r>
    </w:p>
    <w:p>
      <w:pPr>
        <w:spacing w:before="240" w:beforeLines="100" w:line="440" w:lineRule="atLeast"/>
        <w:ind w:firstLine="440" w:firstLineChars="200"/>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w:t>
      </w:r>
    </w:p>
    <w:p>
      <w:pPr>
        <w:spacing w:before="240" w:beforeLines="100" w:line="440" w:lineRule="atLeas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r>
        <w:rPr>
          <w:rFonts w:hint="eastAsia" w:ascii="宋体" w:hAnsi="宋体" w:cs="宋体"/>
          <w:color w:val="auto"/>
          <w:sz w:val="22"/>
          <w:szCs w:val="22"/>
          <w:highlight w:val="none"/>
          <w:lang w:val="zh-CN" w:bidi="zh-CN"/>
        </w:rPr>
        <w:t>以上企业，不属于大企业的分支机构，不存在控股股东为大企业的情形，也不存在与大企业的负责人为同一人的情形。</w:t>
      </w:r>
      <w:r>
        <w:rPr>
          <w:rFonts w:hint="eastAsia" w:ascii="宋体" w:hAnsi="宋体" w:cs="宋体"/>
          <w:color w:val="auto"/>
          <w:kern w:val="0"/>
          <w:sz w:val="22"/>
          <w:szCs w:val="22"/>
          <w:highlight w:val="none"/>
        </w:rPr>
        <w:t xml:space="preserve">  </w:t>
      </w:r>
    </w:p>
    <w:p>
      <w:pPr>
        <w:widowControl/>
        <w:adjustRightInd w:val="0"/>
        <w:snapToGrid w:val="0"/>
        <w:spacing w:line="400" w:lineRule="exact"/>
        <w:ind w:firstLine="440" w:firstLineChars="200"/>
        <w:jc w:val="lef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本企业对上述声明内容的真实性负责。如有虚假，将依法承担相应责任。</w:t>
      </w:r>
    </w:p>
    <w:p>
      <w:pPr>
        <w:widowControl/>
        <w:adjustRightInd w:val="0"/>
        <w:snapToGrid w:val="0"/>
        <w:spacing w:line="400" w:lineRule="exact"/>
        <w:ind w:firstLine="3300" w:firstLineChars="1500"/>
        <w:jc w:val="left"/>
        <w:rPr>
          <w:rFonts w:ascii="宋体" w:hAnsi="宋体" w:cs="宋体"/>
          <w:color w:val="auto"/>
          <w:sz w:val="22"/>
          <w:szCs w:val="22"/>
          <w:highlight w:val="none"/>
        </w:rPr>
      </w:pPr>
    </w:p>
    <w:p>
      <w:pPr>
        <w:widowControl/>
        <w:adjustRightInd w:val="0"/>
        <w:snapToGrid w:val="0"/>
        <w:spacing w:line="400" w:lineRule="exact"/>
        <w:ind w:firstLine="3300" w:firstLineChars="1500"/>
        <w:jc w:val="left"/>
        <w:rPr>
          <w:rFonts w:ascii="宋体" w:hAnsi="宋体" w:cs="宋体"/>
          <w:color w:val="auto"/>
          <w:sz w:val="22"/>
          <w:szCs w:val="22"/>
          <w:highlight w:val="none"/>
        </w:rPr>
      </w:pPr>
    </w:p>
    <w:p>
      <w:pPr>
        <w:widowControl/>
        <w:adjustRightInd w:val="0"/>
        <w:snapToGrid w:val="0"/>
        <w:spacing w:line="400" w:lineRule="exact"/>
        <w:ind w:firstLine="3300" w:firstLineChars="1500"/>
        <w:jc w:val="left"/>
        <w:rPr>
          <w:rFonts w:ascii="宋体" w:hAnsi="宋体" w:cs="宋体"/>
          <w:color w:val="auto"/>
          <w:sz w:val="22"/>
          <w:szCs w:val="22"/>
          <w:highlight w:val="none"/>
        </w:rPr>
      </w:pPr>
    </w:p>
    <w:p>
      <w:pPr>
        <w:pStyle w:val="2"/>
        <w:rPr>
          <w:rFonts w:ascii="宋体" w:hAnsi="宋体" w:cs="宋体"/>
          <w:color w:val="auto"/>
          <w:sz w:val="22"/>
          <w:szCs w:val="22"/>
          <w:highlight w:val="none"/>
        </w:rPr>
      </w:pPr>
    </w:p>
    <w:p>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投标人名称（盖章）：</w:t>
      </w:r>
    </w:p>
    <w:p>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pPr>
        <w:spacing w:line="440" w:lineRule="atLeast"/>
        <w:jc w:val="center"/>
        <w:rPr>
          <w:rFonts w:ascii="宋体" w:hAnsi="宋体" w:cs="宋体"/>
          <w:color w:val="auto"/>
          <w:kern w:val="0"/>
          <w:sz w:val="22"/>
          <w:szCs w:val="22"/>
          <w:highlight w:val="none"/>
        </w:rPr>
      </w:pPr>
    </w:p>
    <w:p>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说明：</w:t>
      </w:r>
    </w:p>
    <w:p>
      <w:pPr>
        <w:numPr>
          <w:ilvl w:val="0"/>
          <w:numId w:val="49"/>
        </w:numPr>
        <w:tabs>
          <w:tab w:val="left" w:pos="42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本项目为对应的中小企业划分标准所属行业：</w:t>
      </w:r>
      <w:r>
        <w:rPr>
          <w:rFonts w:hint="eastAsia" w:ascii="宋体" w:hAnsi="宋体" w:cs="宋体"/>
          <w:b/>
          <w:color w:val="auto"/>
          <w:sz w:val="22"/>
          <w:szCs w:val="22"/>
          <w:highlight w:val="none"/>
          <w:u w:val="single"/>
        </w:rPr>
        <w:t xml:space="preserve"> </w:t>
      </w:r>
      <w:r>
        <w:rPr>
          <w:rFonts w:hint="eastAsia" w:ascii="宋体" w:hAnsi="宋体" w:cs="新宋体"/>
          <w:b/>
          <w:bCs/>
          <w:color w:val="auto"/>
          <w:kern w:val="0"/>
          <w:sz w:val="22"/>
          <w:highlight w:val="none"/>
          <w:u w:val="single"/>
          <w:lang w:val="zh-CN"/>
        </w:rPr>
        <w:t>软件和信息技术服务业</w:t>
      </w:r>
      <w:r>
        <w:rPr>
          <w:rFonts w:hint="eastAsia" w:ascii="宋体" w:hAnsi="宋体" w:cs="宋体"/>
          <w:b/>
          <w:color w:val="auto"/>
          <w:sz w:val="22"/>
          <w:szCs w:val="22"/>
          <w:highlight w:val="none"/>
        </w:rPr>
        <w:t>。</w:t>
      </w:r>
    </w:p>
    <w:p>
      <w:pPr>
        <w:numPr>
          <w:ilvl w:val="0"/>
          <w:numId w:val="49"/>
        </w:numPr>
        <w:tabs>
          <w:tab w:val="left" w:pos="42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从业人员、营业收入、资产总额填报上一年度数据，无上一年度数据的新成立企业可不填报。</w:t>
      </w:r>
    </w:p>
    <w:p>
      <w:pPr>
        <w:pStyle w:val="748"/>
        <w:spacing w:before="60" w:after="60"/>
        <w:rPr>
          <w:rFonts w:ascii="宋体" w:hAnsi="宋体" w:cs="宋体"/>
          <w:color w:val="auto"/>
          <w:sz w:val="22"/>
          <w:szCs w:val="22"/>
          <w:highlight w:val="none"/>
        </w:rPr>
        <w:sectPr>
          <w:footerReference r:id="rId9" w:type="first"/>
          <w:headerReference r:id="rId7" w:type="default"/>
          <w:footerReference r:id="rId8" w:type="default"/>
          <w:type w:val="nextColumn"/>
          <w:pgSz w:w="11906" w:h="16838"/>
          <w:pgMar w:top="1134" w:right="1134" w:bottom="1134" w:left="1134" w:header="851" w:footer="992" w:gutter="0"/>
          <w:cols w:space="720" w:num="1"/>
          <w:titlePg/>
          <w:docGrid w:linePitch="312" w:charSpace="0"/>
        </w:sectPr>
      </w:pPr>
    </w:p>
    <w:p>
      <w:pPr>
        <w:spacing w:after="120" w:line="44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中小企业声明函（工程、服务）</w:t>
      </w:r>
    </w:p>
    <w:p>
      <w:pPr>
        <w:spacing w:before="5" w:after="120" w:line="440" w:lineRule="exact"/>
        <w:rPr>
          <w:rFonts w:ascii="宋体" w:hAnsi="宋体" w:cs="宋体"/>
          <w:b/>
          <w:color w:val="auto"/>
          <w:sz w:val="22"/>
          <w:szCs w:val="22"/>
          <w:highlight w:val="none"/>
        </w:rPr>
      </w:pPr>
    </w:p>
    <w:p>
      <w:pPr>
        <w:spacing w:after="120" w:line="480" w:lineRule="exact"/>
        <w:ind w:right="-1"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本公司（联合体）郑重声明，根据《政府采购促进中小企业发展管理办法》（财库﹝2020﹞46号）的规定，本公司（联合体）参加</w:t>
      </w:r>
      <w:r>
        <w:rPr>
          <w:rFonts w:hint="eastAsia" w:ascii="宋体" w:hAnsi="宋体" w:cs="宋体"/>
          <w:i/>
          <w:iCs/>
          <w:color w:val="auto"/>
          <w:sz w:val="22"/>
          <w:szCs w:val="22"/>
          <w:highlight w:val="none"/>
          <w:u w:val="single"/>
        </w:rPr>
        <w:t>（单位名称）</w:t>
      </w:r>
      <w:r>
        <w:rPr>
          <w:rFonts w:hint="eastAsia" w:ascii="宋体" w:hAnsi="宋体" w:cs="宋体"/>
          <w:color w:val="auto"/>
          <w:sz w:val="22"/>
          <w:szCs w:val="22"/>
          <w:highlight w:val="none"/>
        </w:rPr>
        <w:t>的</w:t>
      </w:r>
      <w:r>
        <w:rPr>
          <w:rFonts w:hint="eastAsia" w:ascii="宋体" w:hAnsi="宋体" w:cs="宋体"/>
          <w:i/>
          <w:iCs/>
          <w:color w:val="auto"/>
          <w:sz w:val="22"/>
          <w:szCs w:val="22"/>
          <w:highlight w:val="none"/>
          <w:u w:val="single"/>
        </w:rPr>
        <w:t>（项目名称）</w:t>
      </w:r>
      <w:r>
        <w:rPr>
          <w:rFonts w:hint="eastAsia" w:ascii="宋体" w:hAnsi="宋体" w:cs="宋体"/>
          <w:color w:val="auto"/>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22"/>
        <w:tabs>
          <w:tab w:val="left" w:pos="1025"/>
        </w:tabs>
        <w:spacing w:line="480" w:lineRule="exact"/>
        <w:ind w:firstLine="440"/>
        <w:jc w:val="left"/>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i/>
          <w:iCs/>
          <w:color w:val="auto"/>
          <w:sz w:val="22"/>
          <w:highlight w:val="none"/>
          <w:u w:val="single"/>
        </w:rPr>
        <w:t>（标的名称）</w:t>
      </w:r>
      <w:r>
        <w:rPr>
          <w:rFonts w:hint="eastAsia" w:ascii="宋体" w:hAnsi="宋体" w:cs="宋体"/>
          <w:color w:val="auto"/>
          <w:sz w:val="22"/>
          <w:highlight w:val="none"/>
        </w:rPr>
        <w:t>，属于</w:t>
      </w:r>
      <w:r>
        <w:rPr>
          <w:rFonts w:hint="eastAsia" w:ascii="宋体" w:hAnsi="宋体" w:cs="宋体"/>
          <w:i/>
          <w:iCs/>
          <w:color w:val="auto"/>
          <w:sz w:val="22"/>
          <w:highlight w:val="none"/>
          <w:u w:val="single"/>
        </w:rPr>
        <w:t>（采购文件中明确的所属行业）</w:t>
      </w:r>
      <w:r>
        <w:rPr>
          <w:rFonts w:hint="eastAsia" w:ascii="宋体" w:hAnsi="宋体" w:cs="宋体"/>
          <w:color w:val="auto"/>
          <w:sz w:val="22"/>
          <w:highlight w:val="none"/>
        </w:rPr>
        <w:t>；承建（承接）企业为</w:t>
      </w:r>
      <w:r>
        <w:rPr>
          <w:rFonts w:hint="eastAsia" w:ascii="宋体" w:hAnsi="宋体" w:cs="宋体"/>
          <w:i/>
          <w:iCs/>
          <w:color w:val="auto"/>
          <w:sz w:val="22"/>
          <w:highlight w:val="none"/>
          <w:u w:val="single"/>
        </w:rPr>
        <w:t>（企业名称）</w:t>
      </w:r>
      <w:r>
        <w:rPr>
          <w:rFonts w:hint="eastAsia"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人，营业收入为</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万元，属于</w:t>
      </w:r>
      <w:r>
        <w:rPr>
          <w:rFonts w:hint="eastAsia" w:ascii="宋体" w:hAnsi="宋体" w:cs="宋体"/>
          <w:i/>
          <w:iCs/>
          <w:color w:val="auto"/>
          <w:sz w:val="22"/>
          <w:highlight w:val="none"/>
          <w:u w:val="single"/>
        </w:rPr>
        <w:t>（中型企业、小型企业、微型企业）</w:t>
      </w:r>
      <w:r>
        <w:rPr>
          <w:rFonts w:hint="eastAsia" w:ascii="宋体" w:hAnsi="宋体" w:cs="宋体"/>
          <w:color w:val="auto"/>
          <w:sz w:val="22"/>
          <w:highlight w:val="none"/>
        </w:rPr>
        <w:t>；</w:t>
      </w:r>
    </w:p>
    <w:p>
      <w:pPr>
        <w:pStyle w:val="122"/>
        <w:tabs>
          <w:tab w:val="left" w:pos="1243"/>
          <w:tab w:val="left" w:pos="1806"/>
          <w:tab w:val="left" w:pos="5005"/>
          <w:tab w:val="left" w:pos="7213"/>
        </w:tabs>
        <w:spacing w:line="480" w:lineRule="exact"/>
        <w:ind w:firstLine="440"/>
        <w:jc w:val="left"/>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i/>
          <w:iCs/>
          <w:color w:val="auto"/>
          <w:sz w:val="22"/>
          <w:highlight w:val="none"/>
          <w:u w:val="single"/>
        </w:rPr>
        <w:t>（标的名称）</w:t>
      </w:r>
      <w:r>
        <w:rPr>
          <w:rFonts w:hint="eastAsia" w:ascii="宋体" w:hAnsi="宋体" w:cs="宋体"/>
          <w:color w:val="auto"/>
          <w:sz w:val="22"/>
          <w:highlight w:val="none"/>
        </w:rPr>
        <w:t>，属于</w:t>
      </w:r>
      <w:r>
        <w:rPr>
          <w:rFonts w:hint="eastAsia" w:ascii="宋体" w:hAnsi="宋体" w:cs="宋体"/>
          <w:i/>
          <w:iCs/>
          <w:color w:val="auto"/>
          <w:sz w:val="22"/>
          <w:highlight w:val="none"/>
          <w:u w:val="single"/>
        </w:rPr>
        <w:t>（采购文件中明确的所属行业）</w:t>
      </w:r>
      <w:r>
        <w:rPr>
          <w:rFonts w:hint="eastAsia" w:ascii="宋体" w:hAnsi="宋体" w:cs="宋体"/>
          <w:color w:val="auto"/>
          <w:sz w:val="22"/>
          <w:highlight w:val="none"/>
        </w:rPr>
        <w:t>；承建（承接）企业为</w:t>
      </w:r>
      <w:r>
        <w:rPr>
          <w:rFonts w:hint="eastAsia" w:ascii="宋体" w:hAnsi="宋体" w:cs="宋体"/>
          <w:i/>
          <w:iCs/>
          <w:color w:val="auto"/>
          <w:sz w:val="22"/>
          <w:highlight w:val="none"/>
          <w:u w:val="single"/>
        </w:rPr>
        <w:t>（企业名称）</w:t>
      </w:r>
      <w:r>
        <w:rPr>
          <w:rFonts w:hint="eastAsia"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人，营业收入为</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万元，属于</w:t>
      </w:r>
      <w:r>
        <w:rPr>
          <w:rFonts w:hint="eastAsia" w:ascii="宋体" w:hAnsi="宋体" w:cs="宋体"/>
          <w:i/>
          <w:iCs/>
          <w:color w:val="auto"/>
          <w:sz w:val="22"/>
          <w:highlight w:val="none"/>
          <w:u w:val="single"/>
        </w:rPr>
        <w:t>（中型企业、小型企业、微型企业）</w:t>
      </w:r>
      <w:r>
        <w:rPr>
          <w:rFonts w:hint="eastAsia" w:ascii="宋体" w:hAnsi="宋体" w:cs="宋体"/>
          <w:color w:val="auto"/>
          <w:sz w:val="22"/>
          <w:highlight w:val="none"/>
        </w:rPr>
        <w:t>；</w:t>
      </w:r>
    </w:p>
    <w:p>
      <w:pPr>
        <w:spacing w:before="11" w:after="120" w:line="480" w:lineRule="exact"/>
        <w:ind w:left="860"/>
        <w:jc w:val="left"/>
        <w:rPr>
          <w:rFonts w:ascii="宋体" w:hAnsi="宋体" w:cs="宋体"/>
          <w:color w:val="auto"/>
          <w:sz w:val="22"/>
          <w:szCs w:val="22"/>
          <w:highlight w:val="none"/>
        </w:rPr>
      </w:pPr>
      <w:r>
        <w:rPr>
          <w:rFonts w:hint="eastAsia" w:ascii="宋体" w:hAnsi="宋体" w:cs="宋体"/>
          <w:color w:val="auto"/>
          <w:sz w:val="22"/>
          <w:szCs w:val="22"/>
          <w:highlight w:val="none"/>
        </w:rPr>
        <w:t>……</w:t>
      </w:r>
    </w:p>
    <w:p>
      <w:pPr>
        <w:spacing w:before="108" w:after="120" w:line="480" w:lineRule="exact"/>
        <w:ind w:right="417" w:firstLine="645"/>
        <w:jc w:val="left"/>
        <w:rPr>
          <w:rFonts w:ascii="宋体" w:hAnsi="宋体" w:cs="宋体"/>
          <w:color w:val="auto"/>
          <w:sz w:val="22"/>
          <w:szCs w:val="22"/>
          <w:highlight w:val="none"/>
        </w:rPr>
      </w:pPr>
      <w:r>
        <w:rPr>
          <w:rFonts w:hint="eastAsia" w:ascii="宋体" w:hAnsi="宋体" w:cs="宋体"/>
          <w:color w:val="auto"/>
          <w:sz w:val="22"/>
          <w:szCs w:val="22"/>
          <w:highlight w:val="none"/>
        </w:rPr>
        <w:t>以上企业，不属于大企业的分支机构，不存在控股股东为大企业的情形，也不存在与大企业的负责人为同一人的情形。</w:t>
      </w:r>
    </w:p>
    <w:p>
      <w:pPr>
        <w:spacing w:after="120" w:line="480" w:lineRule="exact"/>
        <w:ind w:right="375" w:firstLine="860"/>
        <w:jc w:val="left"/>
        <w:rPr>
          <w:rFonts w:ascii="宋体" w:hAnsi="宋体" w:cs="宋体"/>
          <w:color w:val="auto"/>
          <w:sz w:val="22"/>
          <w:szCs w:val="22"/>
          <w:highlight w:val="none"/>
        </w:rPr>
      </w:pPr>
      <w:r>
        <w:rPr>
          <w:rFonts w:hint="eastAsia" w:ascii="宋体" w:hAnsi="宋体" w:cs="宋体"/>
          <w:color w:val="auto"/>
          <w:sz w:val="22"/>
          <w:szCs w:val="22"/>
          <w:highlight w:val="none"/>
        </w:rPr>
        <w:t>本企业对上述声明内容的真实性负责。如有虚假，将依法承担相应责任。</w:t>
      </w:r>
    </w:p>
    <w:p>
      <w:pPr>
        <w:spacing w:before="29" w:after="120" w:line="480" w:lineRule="exact"/>
        <w:ind w:left="4060" w:right="2166"/>
        <w:jc w:val="left"/>
        <w:rPr>
          <w:rFonts w:ascii="宋体" w:hAnsi="宋体" w:cs="宋体"/>
          <w:color w:val="auto"/>
          <w:sz w:val="22"/>
          <w:szCs w:val="22"/>
          <w:highlight w:val="none"/>
        </w:rPr>
      </w:pPr>
    </w:p>
    <w:p>
      <w:pPr>
        <w:spacing w:before="29" w:after="120" w:line="480" w:lineRule="exact"/>
        <w:ind w:left="4060" w:right="2166"/>
        <w:jc w:val="left"/>
        <w:rPr>
          <w:rFonts w:ascii="宋体" w:hAnsi="宋体" w:cs="宋体"/>
          <w:color w:val="auto"/>
          <w:sz w:val="22"/>
          <w:szCs w:val="22"/>
          <w:highlight w:val="none"/>
        </w:rPr>
      </w:pPr>
      <w:r>
        <w:rPr>
          <w:rFonts w:hint="eastAsia" w:ascii="宋体" w:hAnsi="宋体" w:cs="宋体"/>
          <w:color w:val="auto"/>
          <w:sz w:val="22"/>
          <w:szCs w:val="22"/>
          <w:highlight w:val="none"/>
        </w:rPr>
        <w:t>企业名称（盖章）：</w:t>
      </w:r>
    </w:p>
    <w:p>
      <w:pPr>
        <w:spacing w:before="29" w:after="120" w:line="480" w:lineRule="exact"/>
        <w:ind w:left="4060" w:right="2166"/>
        <w:jc w:val="left"/>
        <w:rPr>
          <w:rFonts w:ascii="宋体" w:hAnsi="宋体" w:cs="宋体"/>
          <w:color w:val="auto"/>
          <w:sz w:val="22"/>
          <w:szCs w:val="22"/>
          <w:highlight w:val="none"/>
        </w:rPr>
      </w:pPr>
      <w:r>
        <w:rPr>
          <w:rFonts w:hint="eastAsia" w:ascii="宋体" w:hAnsi="宋体" w:cs="宋体"/>
          <w:color w:val="auto"/>
          <w:sz w:val="22"/>
          <w:szCs w:val="22"/>
          <w:highlight w:val="none"/>
        </w:rPr>
        <w:t>日期：</w:t>
      </w:r>
    </w:p>
    <w:p>
      <w:pPr>
        <w:pStyle w:val="748"/>
        <w:spacing w:before="60" w:after="60"/>
        <w:rPr>
          <w:rFonts w:ascii="宋体" w:hAnsi="宋体" w:cs="宋体"/>
          <w:color w:val="auto"/>
          <w:sz w:val="22"/>
          <w:szCs w:val="22"/>
          <w:highlight w:val="none"/>
        </w:rPr>
      </w:pPr>
    </w:p>
    <w:p>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说明：</w:t>
      </w:r>
    </w:p>
    <w:p>
      <w:pPr>
        <w:numPr>
          <w:ilvl w:val="0"/>
          <w:numId w:val="50"/>
        </w:numPr>
        <w:tabs>
          <w:tab w:val="left" w:pos="42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本项目为对应的中小企业划分标准所属行业：</w:t>
      </w:r>
      <w:r>
        <w:rPr>
          <w:rFonts w:hint="eastAsia" w:ascii="宋体" w:hAnsi="宋体" w:cs="宋体"/>
          <w:b/>
          <w:color w:val="auto"/>
          <w:sz w:val="22"/>
          <w:szCs w:val="22"/>
          <w:highlight w:val="none"/>
          <w:u w:val="single"/>
        </w:rPr>
        <w:t xml:space="preserve"> </w:t>
      </w:r>
      <w:r>
        <w:rPr>
          <w:rFonts w:hint="eastAsia" w:ascii="宋体" w:hAnsi="宋体" w:cs="新宋体"/>
          <w:b/>
          <w:bCs/>
          <w:color w:val="auto"/>
          <w:kern w:val="0"/>
          <w:sz w:val="22"/>
          <w:highlight w:val="none"/>
          <w:u w:val="single"/>
          <w:lang w:val="zh-CN"/>
        </w:rPr>
        <w:t>软件和信息技术服务业</w:t>
      </w:r>
      <w:r>
        <w:rPr>
          <w:rFonts w:hint="eastAsia" w:ascii="宋体" w:hAnsi="宋体" w:cs="宋体"/>
          <w:b/>
          <w:color w:val="auto"/>
          <w:sz w:val="22"/>
          <w:szCs w:val="22"/>
          <w:highlight w:val="none"/>
        </w:rPr>
        <w:t>。</w:t>
      </w:r>
    </w:p>
    <w:p>
      <w:pPr>
        <w:numPr>
          <w:ilvl w:val="0"/>
          <w:numId w:val="50"/>
        </w:numPr>
        <w:tabs>
          <w:tab w:val="left" w:pos="42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从业人员、营业收入、资产总额填报上一年度数据，无上一年度数据的新成立企业可不填报。</w:t>
      </w:r>
    </w:p>
    <w:p>
      <w:pPr>
        <w:tabs>
          <w:tab w:val="left" w:pos="420"/>
        </w:tabs>
        <w:spacing w:line="400" w:lineRule="exact"/>
        <w:rPr>
          <w:rFonts w:ascii="宋体" w:hAnsi="宋体" w:cs="宋体"/>
          <w:b/>
          <w:color w:val="auto"/>
          <w:sz w:val="22"/>
          <w:szCs w:val="22"/>
          <w:highlight w:val="none"/>
        </w:rPr>
      </w:pPr>
    </w:p>
    <w:p>
      <w:pPr>
        <w:pStyle w:val="748"/>
        <w:spacing w:before="60" w:after="60"/>
        <w:rPr>
          <w:rFonts w:ascii="宋体" w:hAnsi="宋体" w:cs="宋体"/>
          <w:color w:val="auto"/>
          <w:sz w:val="22"/>
          <w:szCs w:val="22"/>
          <w:highlight w:val="none"/>
        </w:rPr>
        <w:sectPr>
          <w:type w:val="nextColumn"/>
          <w:pgSz w:w="11906" w:h="16838"/>
          <w:pgMar w:top="1134" w:right="1134" w:bottom="1134" w:left="1134" w:header="851" w:footer="992" w:gutter="0"/>
          <w:cols w:space="720" w:num="1"/>
          <w:docGrid w:linePitch="312" w:charSpace="0"/>
        </w:sectPr>
      </w:pPr>
    </w:p>
    <w:p>
      <w:pPr>
        <w:spacing w:after="120" w:line="440" w:lineRule="exact"/>
        <w:jc w:val="center"/>
        <w:rPr>
          <w:rFonts w:ascii="宋体" w:hAnsi="宋体" w:cs="宋体"/>
          <w:b/>
          <w:bCs/>
          <w:color w:val="auto"/>
          <w:sz w:val="22"/>
          <w:szCs w:val="22"/>
          <w:highlight w:val="none"/>
        </w:rPr>
      </w:pPr>
    </w:p>
    <w:p>
      <w:pPr>
        <w:spacing w:before="240" w:beforeLines="100" w:line="440" w:lineRule="atLeast"/>
        <w:ind w:firstLine="440" w:firstLineChars="200"/>
        <w:jc w:val="right"/>
        <w:rPr>
          <w:rFonts w:ascii="宋体"/>
          <w:color w:val="auto"/>
          <w:sz w:val="22"/>
          <w:szCs w:val="22"/>
          <w:highlight w:val="none"/>
        </w:rPr>
      </w:pPr>
      <w:r>
        <w:rPr>
          <w:rFonts w:ascii="宋体"/>
          <w:color w:val="auto"/>
          <w:sz w:val="22"/>
          <w:szCs w:val="22"/>
          <w:highlight w:val="none"/>
        </w:rPr>
        <w:t>              </w:t>
      </w:r>
      <w:r>
        <w:rPr>
          <w:rFonts w:hint="eastAsia" w:ascii="宋体" w:hAnsi="宋体"/>
          <w:color w:val="auto"/>
          <w:sz w:val="22"/>
          <w:szCs w:val="22"/>
          <w:highlight w:val="none"/>
        </w:rPr>
        <w:t>　　　　　</w:t>
      </w:r>
    </w:p>
    <w:p>
      <w:pPr>
        <w:spacing w:line="440" w:lineRule="atLeast"/>
        <w:rPr>
          <w:rFonts w:ascii="宋体"/>
          <w:color w:val="auto"/>
          <w:sz w:val="22"/>
          <w:szCs w:val="22"/>
          <w:highlight w:val="none"/>
        </w:rPr>
      </w:pPr>
    </w:p>
    <w:p>
      <w:pPr>
        <w:spacing w:line="440" w:lineRule="atLeast"/>
        <w:jc w:val="center"/>
        <w:rPr>
          <w:rFonts w:ascii="宋体"/>
          <w:color w:val="auto"/>
          <w:spacing w:val="6"/>
          <w:sz w:val="22"/>
          <w:szCs w:val="22"/>
          <w:highlight w:val="none"/>
        </w:rPr>
      </w:pPr>
      <w:r>
        <w:rPr>
          <w:rFonts w:hint="eastAsia" w:ascii="宋体" w:hAnsi="宋体"/>
          <w:b/>
          <w:color w:val="auto"/>
          <w:sz w:val="22"/>
          <w:szCs w:val="22"/>
          <w:highlight w:val="none"/>
        </w:rPr>
        <w:t>（</w:t>
      </w:r>
      <w:r>
        <w:rPr>
          <w:rFonts w:hint="eastAsia" w:ascii="宋体" w:hAnsi="宋体"/>
          <w:b/>
          <w:color w:val="auto"/>
          <w:sz w:val="22"/>
          <w:szCs w:val="22"/>
          <w:highlight w:val="none"/>
          <w:lang w:val="en-US" w:eastAsia="zh-CN"/>
        </w:rPr>
        <w:t>2</w:t>
      </w:r>
      <w:r>
        <w:rPr>
          <w:rFonts w:hint="eastAsia" w:ascii="宋体" w:hAnsi="宋体"/>
          <w:b/>
          <w:color w:val="auto"/>
          <w:sz w:val="22"/>
          <w:szCs w:val="22"/>
          <w:highlight w:val="none"/>
        </w:rPr>
        <w:t>）</w:t>
      </w:r>
      <w:r>
        <w:rPr>
          <w:rFonts w:hint="eastAsia" w:ascii="宋体" w:hAnsi="宋体"/>
          <w:b/>
          <w:color w:val="auto"/>
          <w:spacing w:val="6"/>
          <w:sz w:val="22"/>
          <w:szCs w:val="22"/>
          <w:highlight w:val="none"/>
        </w:rPr>
        <w:t>残疾人福利性单位声明函</w:t>
      </w:r>
    </w:p>
    <w:p>
      <w:pPr>
        <w:widowControl/>
        <w:adjustRightInd w:val="0"/>
        <w:snapToGrid w:val="0"/>
        <w:spacing w:line="324" w:lineRule="auto"/>
        <w:ind w:firstLine="440" w:firstLineChars="200"/>
        <w:jc w:val="center"/>
        <w:rPr>
          <w:rFonts w:ascii="宋体" w:cs="Arial"/>
          <w:color w:val="auto"/>
          <w:kern w:val="0"/>
          <w:sz w:val="22"/>
          <w:szCs w:val="22"/>
          <w:highlight w:val="none"/>
        </w:rPr>
      </w:pPr>
      <w:r>
        <w:rPr>
          <w:rFonts w:hint="eastAsia" w:ascii="宋体" w:hAnsi="宋体" w:cs="Arial"/>
          <w:color w:val="auto"/>
          <w:kern w:val="0"/>
          <w:sz w:val="22"/>
          <w:szCs w:val="22"/>
          <w:highlight w:val="none"/>
        </w:rPr>
        <w:t>【不属于残疾人福利性单位的无需填写、递交】</w:t>
      </w:r>
    </w:p>
    <w:p>
      <w:pPr>
        <w:snapToGrid w:val="0"/>
        <w:spacing w:line="300" w:lineRule="auto"/>
        <w:jc w:val="center"/>
        <w:rPr>
          <w:rFonts w:ascii="宋体" w:cs="Arial"/>
          <w:b/>
          <w:bCs/>
          <w:color w:val="auto"/>
          <w:sz w:val="22"/>
          <w:szCs w:val="22"/>
          <w:highlight w:val="none"/>
        </w:rPr>
      </w:pPr>
    </w:p>
    <w:p>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本单位郑重声明，根据《财政部民政部中国残疾人联合会关于促进残疾人就业政府采购政策的通知》（财库</w:t>
      </w:r>
      <w:r>
        <w:rPr>
          <w:rFonts w:hint="eastAsia" w:ascii="宋体" w:hAnsi="宋体" w:cs="Arial"/>
          <w:color w:val="auto"/>
          <w:sz w:val="22"/>
          <w:szCs w:val="22"/>
          <w:highlight w:val="none"/>
        </w:rPr>
        <w:t>〔</w:t>
      </w:r>
      <w:r>
        <w:rPr>
          <w:rFonts w:ascii="宋体" w:hAnsi="宋体" w:cs="Arial"/>
          <w:color w:val="auto"/>
          <w:sz w:val="22"/>
          <w:szCs w:val="22"/>
          <w:highlight w:val="none"/>
        </w:rPr>
        <w:t>2017</w:t>
      </w:r>
      <w:r>
        <w:rPr>
          <w:rFonts w:hint="eastAsia" w:ascii="宋体" w:hAnsi="宋体" w:cs="Arial"/>
          <w:color w:val="auto"/>
          <w:sz w:val="22"/>
          <w:szCs w:val="22"/>
          <w:highlight w:val="none"/>
        </w:rPr>
        <w:t>〕</w:t>
      </w:r>
      <w:r>
        <w:rPr>
          <w:rFonts w:ascii="宋体" w:hAnsi="宋体" w:cs="Arial"/>
          <w:color w:val="auto"/>
          <w:sz w:val="22"/>
          <w:szCs w:val="22"/>
          <w:highlight w:val="none"/>
        </w:rPr>
        <w:t>141</w:t>
      </w:r>
      <w:r>
        <w:rPr>
          <w:rFonts w:hint="eastAsia" w:ascii="宋体" w:hAnsi="宋体" w:cs="Arial"/>
          <w:color w:val="auto"/>
          <w:spacing w:val="6"/>
          <w:sz w:val="22"/>
          <w:szCs w:val="22"/>
          <w:highlight w:val="none"/>
        </w:rPr>
        <w:t>号）的规定，本单位为符合条件的残疾人福利性单位，且本单位参加</w:t>
      </w:r>
      <w:r>
        <w:rPr>
          <w:rFonts w:hint="eastAsia" w:ascii="宋体" w:hAnsi="宋体" w:cs="Arial"/>
          <w:color w:val="auto"/>
          <w:spacing w:val="6"/>
          <w:sz w:val="22"/>
          <w:szCs w:val="22"/>
          <w:highlight w:val="none"/>
          <w:u w:val="single"/>
        </w:rPr>
        <w:t>（采购人名称）</w:t>
      </w:r>
      <w:r>
        <w:rPr>
          <w:rFonts w:hint="eastAsia" w:ascii="宋体" w:hAnsi="宋体" w:cs="Arial"/>
          <w:color w:val="auto"/>
          <w:spacing w:val="6"/>
          <w:sz w:val="22"/>
          <w:szCs w:val="22"/>
          <w:highlight w:val="none"/>
        </w:rPr>
        <w:t>单位的</w:t>
      </w:r>
      <w:r>
        <w:rPr>
          <w:rFonts w:hint="eastAsia" w:ascii="宋体" w:hAnsi="宋体" w:cs="Arial"/>
          <w:color w:val="auto"/>
          <w:spacing w:val="6"/>
          <w:sz w:val="22"/>
          <w:szCs w:val="22"/>
          <w:highlight w:val="none"/>
          <w:u w:val="single"/>
        </w:rPr>
        <w:t>（项目名称）</w:t>
      </w:r>
      <w:r>
        <w:rPr>
          <w:rFonts w:hint="eastAsia" w:ascii="宋体" w:hAnsi="宋体" w:cs="Arial"/>
          <w:color w:val="auto"/>
          <w:spacing w:val="6"/>
          <w:sz w:val="22"/>
          <w:szCs w:val="22"/>
          <w:highlight w:val="none"/>
        </w:rPr>
        <w:t>项目采购活动提供本单位制造的货物（由本单位承担工程</w:t>
      </w:r>
      <w:r>
        <w:rPr>
          <w:rFonts w:ascii="宋体" w:hAnsi="宋体" w:cs="Arial"/>
          <w:color w:val="auto"/>
          <w:spacing w:val="6"/>
          <w:sz w:val="22"/>
          <w:szCs w:val="22"/>
          <w:highlight w:val="none"/>
        </w:rPr>
        <w:t>/</w:t>
      </w:r>
      <w:r>
        <w:rPr>
          <w:rFonts w:hint="eastAsia" w:ascii="宋体" w:hAnsi="宋体" w:cs="Arial"/>
          <w:color w:val="auto"/>
          <w:spacing w:val="6"/>
          <w:sz w:val="22"/>
          <w:szCs w:val="22"/>
          <w:highlight w:val="none"/>
        </w:rPr>
        <w:t>提供服务），或者提供其他残疾人福利性单位制造的货物（不包括使用非残疾人福利性单位注册商标的货物）。</w:t>
      </w:r>
    </w:p>
    <w:p>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本单位对上述声明的真实性负责。如有虚假，将依法承担相应责任。</w:t>
      </w:r>
    </w:p>
    <w:p>
      <w:pPr>
        <w:snapToGrid w:val="0"/>
        <w:spacing w:line="300" w:lineRule="auto"/>
        <w:ind w:firstLine="464" w:firstLineChars="200"/>
        <w:rPr>
          <w:rFonts w:ascii="宋体" w:cs="Arial"/>
          <w:color w:val="auto"/>
          <w:spacing w:val="6"/>
          <w:sz w:val="22"/>
          <w:szCs w:val="22"/>
          <w:highlight w:val="none"/>
        </w:rPr>
      </w:pPr>
    </w:p>
    <w:p>
      <w:pPr>
        <w:snapToGrid w:val="0"/>
        <w:spacing w:line="300" w:lineRule="auto"/>
        <w:ind w:firstLine="464" w:firstLineChars="200"/>
        <w:rPr>
          <w:rFonts w:ascii="宋体" w:cs="Arial"/>
          <w:color w:val="auto"/>
          <w:spacing w:val="6"/>
          <w:sz w:val="22"/>
          <w:szCs w:val="22"/>
          <w:highlight w:val="none"/>
        </w:rPr>
      </w:pPr>
    </w:p>
    <w:p>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投标人名称（盖章）：</w:t>
      </w:r>
    </w:p>
    <w:p>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pPr>
        <w:adjustRightInd w:val="0"/>
        <w:snapToGrid w:val="0"/>
        <w:spacing w:line="300" w:lineRule="auto"/>
        <w:ind w:firstLine="440" w:firstLineChars="200"/>
        <w:rPr>
          <w:rFonts w:ascii="宋体" w:cs="Arial"/>
          <w:color w:val="auto"/>
          <w:kern w:val="0"/>
          <w:sz w:val="22"/>
          <w:szCs w:val="22"/>
          <w:highlight w:val="none"/>
        </w:rPr>
      </w:pPr>
    </w:p>
    <w:p>
      <w:pPr>
        <w:pStyle w:val="42"/>
        <w:rPr>
          <w:color w:val="auto"/>
          <w:highlight w:val="none"/>
        </w:rPr>
      </w:pPr>
    </w:p>
    <w:p>
      <w:pPr>
        <w:adjustRightInd w:val="0"/>
        <w:snapToGrid w:val="0"/>
        <w:spacing w:line="300" w:lineRule="auto"/>
        <w:ind w:firstLine="440" w:firstLineChars="200"/>
        <w:rPr>
          <w:rFonts w:ascii="宋体" w:cs="Arial"/>
          <w:color w:val="auto"/>
          <w:kern w:val="0"/>
          <w:sz w:val="22"/>
          <w:szCs w:val="22"/>
          <w:highlight w:val="none"/>
        </w:rPr>
      </w:pPr>
    </w:p>
    <w:p>
      <w:pPr>
        <w:spacing w:line="440" w:lineRule="atLeast"/>
        <w:rPr>
          <w:rFonts w:ascii="宋体"/>
          <w:color w:val="auto"/>
          <w:sz w:val="22"/>
          <w:szCs w:val="22"/>
          <w:highlight w:val="none"/>
        </w:rPr>
      </w:pPr>
    </w:p>
    <w:p>
      <w:pPr>
        <w:adjustRightInd w:val="0"/>
        <w:snapToGrid w:val="0"/>
        <w:spacing w:line="300" w:lineRule="auto"/>
        <w:jc w:val="center"/>
        <w:rPr>
          <w:rFonts w:ascii="宋体" w:cs="Arial"/>
          <w:color w:val="auto"/>
          <w:kern w:val="0"/>
          <w:sz w:val="22"/>
          <w:szCs w:val="22"/>
          <w:highlight w:val="none"/>
        </w:rPr>
      </w:pPr>
      <w:r>
        <w:rPr>
          <w:rFonts w:hint="eastAsia" w:ascii="宋体" w:hAnsi="宋体"/>
          <w:b/>
          <w:color w:val="auto"/>
          <w:sz w:val="22"/>
          <w:szCs w:val="22"/>
          <w:highlight w:val="none"/>
        </w:rPr>
        <w:t>（</w:t>
      </w:r>
      <w:r>
        <w:rPr>
          <w:rFonts w:hint="eastAsia" w:ascii="宋体" w:hAnsi="宋体"/>
          <w:b/>
          <w:color w:val="auto"/>
          <w:sz w:val="22"/>
          <w:szCs w:val="22"/>
          <w:highlight w:val="none"/>
          <w:lang w:val="en-US" w:eastAsia="zh-CN"/>
        </w:rPr>
        <w:t>3</w:t>
      </w:r>
      <w:r>
        <w:rPr>
          <w:rFonts w:hint="eastAsia" w:ascii="宋体" w:hAnsi="宋体"/>
          <w:b/>
          <w:color w:val="auto"/>
          <w:sz w:val="22"/>
          <w:szCs w:val="22"/>
          <w:highlight w:val="none"/>
        </w:rPr>
        <w:t>）</w:t>
      </w:r>
      <w:r>
        <w:rPr>
          <w:rFonts w:hint="eastAsia" w:ascii="宋体" w:hAnsi="宋体"/>
          <w:b/>
          <w:color w:val="auto"/>
          <w:spacing w:val="6"/>
          <w:sz w:val="22"/>
          <w:szCs w:val="22"/>
          <w:highlight w:val="none"/>
        </w:rPr>
        <w:t>监狱企业声明函</w:t>
      </w:r>
    </w:p>
    <w:p>
      <w:pPr>
        <w:snapToGrid w:val="0"/>
        <w:spacing w:line="300" w:lineRule="auto"/>
        <w:ind w:firstLine="464" w:firstLineChars="200"/>
        <w:jc w:val="center"/>
        <w:rPr>
          <w:rFonts w:ascii="宋体" w:cs="Arial"/>
          <w:color w:val="auto"/>
          <w:spacing w:val="6"/>
          <w:sz w:val="22"/>
          <w:szCs w:val="22"/>
          <w:highlight w:val="none"/>
        </w:rPr>
      </w:pPr>
      <w:r>
        <w:rPr>
          <w:rFonts w:hint="eastAsia" w:ascii="宋体" w:hAnsi="宋体"/>
          <w:color w:val="auto"/>
          <w:spacing w:val="6"/>
          <w:sz w:val="22"/>
          <w:szCs w:val="22"/>
          <w:highlight w:val="none"/>
        </w:rPr>
        <w:t>【</w:t>
      </w:r>
      <w:r>
        <w:rPr>
          <w:rFonts w:hint="eastAsia" w:ascii="宋体" w:hAnsi="宋体" w:cs="Arial"/>
          <w:color w:val="auto"/>
          <w:spacing w:val="6"/>
          <w:sz w:val="22"/>
          <w:szCs w:val="22"/>
          <w:highlight w:val="none"/>
        </w:rPr>
        <w:t>非监狱企业不用提供】</w:t>
      </w:r>
    </w:p>
    <w:p>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本企业郑重声明，根据《关于政府采购支持监狱企业发展有关问题的通知》（财库</w:t>
      </w:r>
      <w:r>
        <w:rPr>
          <w:rFonts w:ascii="宋体" w:hAnsi="宋体" w:cs="Arial"/>
          <w:color w:val="auto"/>
          <w:spacing w:val="6"/>
          <w:sz w:val="22"/>
          <w:szCs w:val="22"/>
          <w:highlight w:val="none"/>
        </w:rPr>
        <w:t>[2014]68</w:t>
      </w:r>
      <w:r>
        <w:rPr>
          <w:rFonts w:hint="eastAsia" w:ascii="宋体" w:hAnsi="宋体" w:cs="Arial"/>
          <w:color w:val="auto"/>
          <w:spacing w:val="6"/>
          <w:sz w:val="22"/>
          <w:szCs w:val="22"/>
          <w:highlight w:val="none"/>
        </w:rPr>
        <w:t>号）的规定，本企业为监狱企业。</w:t>
      </w:r>
      <w:r>
        <w:rPr>
          <w:rFonts w:ascii="宋体" w:hAnsi="宋体" w:cs="Arial"/>
          <w:color w:val="auto"/>
          <w:spacing w:val="6"/>
          <w:sz w:val="22"/>
          <w:szCs w:val="22"/>
          <w:highlight w:val="none"/>
        </w:rPr>
        <w:t xml:space="preserve"> </w:t>
      </w:r>
    </w:p>
    <w:p>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根据上述标准，我企业属于监狱企业的理由为：</w:t>
      </w:r>
      <w:r>
        <w:rPr>
          <w:rFonts w:hint="eastAsia" w:ascii="宋体" w:hAnsi="宋体" w:cs="Arial"/>
          <w:color w:val="auto"/>
          <w:spacing w:val="6"/>
          <w:sz w:val="22"/>
          <w:szCs w:val="22"/>
          <w:highlight w:val="none"/>
          <w:lang w:val="en-US" w:eastAsia="zh-CN"/>
        </w:rPr>
        <w:t xml:space="preserve">  </w:t>
      </w:r>
      <w:r>
        <w:rPr>
          <w:rFonts w:hint="eastAsia" w:ascii="宋体" w:hAnsi="宋体" w:cs="Arial"/>
          <w:color w:val="auto"/>
          <w:spacing w:val="6"/>
          <w:sz w:val="22"/>
          <w:szCs w:val="22"/>
          <w:highlight w:val="none"/>
        </w:rPr>
        <w:t>。</w:t>
      </w:r>
      <w:r>
        <w:rPr>
          <w:rFonts w:ascii="宋体" w:hAnsi="宋体" w:cs="Arial"/>
          <w:color w:val="auto"/>
          <w:spacing w:val="6"/>
          <w:sz w:val="22"/>
          <w:szCs w:val="22"/>
          <w:highlight w:val="none"/>
        </w:rPr>
        <w:t xml:space="preserve"> </w:t>
      </w:r>
    </w:p>
    <w:p>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本企业为参加（项目名称</w:t>
      </w:r>
      <w:r>
        <w:rPr>
          <w:rFonts w:hint="eastAsia" w:ascii="宋体" w:hAnsi="宋体" w:cs="Arial"/>
          <w:color w:val="auto"/>
          <w:spacing w:val="6"/>
          <w:sz w:val="22"/>
          <w:szCs w:val="22"/>
          <w:highlight w:val="none"/>
          <w:u w:val="single"/>
        </w:rPr>
        <w:t>：</w:t>
      </w:r>
      <w:r>
        <w:rPr>
          <w:rFonts w:ascii="宋体" w:hAnsi="宋体" w:cs="Arial"/>
          <w:color w:val="auto"/>
          <w:spacing w:val="6"/>
          <w:sz w:val="22"/>
          <w:szCs w:val="22"/>
          <w:highlight w:val="none"/>
          <w:u w:val="single"/>
        </w:rPr>
        <w:t xml:space="preserve">         </w:t>
      </w:r>
      <w:r>
        <w:rPr>
          <w:rFonts w:hint="eastAsia" w:ascii="宋体" w:hAnsi="宋体" w:cs="Arial"/>
          <w:color w:val="auto"/>
          <w:spacing w:val="6"/>
          <w:sz w:val="22"/>
          <w:szCs w:val="22"/>
          <w:highlight w:val="none"/>
        </w:rPr>
        <w:t>）（项目编号</w:t>
      </w:r>
      <w:r>
        <w:rPr>
          <w:rFonts w:hint="eastAsia" w:ascii="宋体" w:hAnsi="宋体" w:cs="Arial"/>
          <w:color w:val="auto"/>
          <w:spacing w:val="6"/>
          <w:sz w:val="22"/>
          <w:szCs w:val="22"/>
          <w:highlight w:val="none"/>
          <w:u w:val="single"/>
        </w:rPr>
        <w:t>：</w:t>
      </w:r>
      <w:r>
        <w:rPr>
          <w:rFonts w:ascii="宋体" w:hAnsi="宋体" w:cs="Arial"/>
          <w:color w:val="auto"/>
          <w:spacing w:val="6"/>
          <w:sz w:val="22"/>
          <w:szCs w:val="22"/>
          <w:highlight w:val="none"/>
          <w:u w:val="single"/>
        </w:rPr>
        <w:t xml:space="preserve">         </w:t>
      </w:r>
      <w:r>
        <w:rPr>
          <w:rFonts w:hint="eastAsia" w:ascii="宋体" w:hAnsi="宋体" w:cs="Arial"/>
          <w:color w:val="auto"/>
          <w:spacing w:val="6"/>
          <w:sz w:val="22"/>
          <w:szCs w:val="22"/>
          <w:highlight w:val="none"/>
        </w:rPr>
        <w:t>）采购活动并承担本工程。</w:t>
      </w:r>
      <w:r>
        <w:rPr>
          <w:rFonts w:ascii="宋体" w:hAnsi="宋体" w:cs="Arial"/>
          <w:color w:val="auto"/>
          <w:spacing w:val="6"/>
          <w:sz w:val="22"/>
          <w:szCs w:val="22"/>
          <w:highlight w:val="none"/>
        </w:rPr>
        <w:t xml:space="preserve"> </w:t>
      </w:r>
    </w:p>
    <w:p>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本企业对上述声明的真实性负责。如有虚假，将依法承担相应责任。</w:t>
      </w:r>
      <w:r>
        <w:rPr>
          <w:rFonts w:ascii="宋体" w:hAnsi="宋体" w:cs="Arial"/>
          <w:color w:val="auto"/>
          <w:spacing w:val="6"/>
          <w:sz w:val="22"/>
          <w:szCs w:val="22"/>
          <w:highlight w:val="none"/>
        </w:rPr>
        <w:t xml:space="preserve"> </w:t>
      </w:r>
    </w:p>
    <w:p>
      <w:pPr>
        <w:tabs>
          <w:tab w:val="left" w:pos="4860"/>
        </w:tabs>
        <w:spacing w:line="588" w:lineRule="exact"/>
        <w:ind w:right="1560" w:firstLine="464" w:firstLineChars="200"/>
        <w:jc w:val="center"/>
        <w:rPr>
          <w:rFonts w:ascii="宋体"/>
          <w:color w:val="auto"/>
          <w:spacing w:val="6"/>
          <w:sz w:val="22"/>
          <w:szCs w:val="22"/>
          <w:highlight w:val="none"/>
        </w:rPr>
      </w:pPr>
    </w:p>
    <w:p>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投标人名称（盖章）：</w:t>
      </w:r>
    </w:p>
    <w:p>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pPr>
        <w:tabs>
          <w:tab w:val="left" w:pos="1995"/>
        </w:tabs>
        <w:spacing w:line="380" w:lineRule="exact"/>
        <w:rPr>
          <w:rFonts w:ascii="宋体" w:hAnsi="宋体"/>
          <w:color w:val="auto"/>
          <w:sz w:val="22"/>
          <w:szCs w:val="22"/>
          <w:highlight w:val="none"/>
        </w:rPr>
      </w:pPr>
    </w:p>
    <w:p>
      <w:pPr>
        <w:spacing w:line="440" w:lineRule="exact"/>
        <w:jc w:val="left"/>
        <w:rPr>
          <w:rFonts w:ascii="宋体" w:hAnsi="宋体" w:cs="hakuyoxingshu7000"/>
          <w:color w:val="auto"/>
          <w:sz w:val="36"/>
          <w:szCs w:val="36"/>
          <w:highlight w:val="none"/>
        </w:rPr>
      </w:pPr>
      <w:r>
        <w:rPr>
          <w:rFonts w:ascii="宋体" w:hAnsi="宋体"/>
          <w:color w:val="auto"/>
          <w:sz w:val="22"/>
          <w:szCs w:val="22"/>
          <w:highlight w:val="none"/>
        </w:rPr>
        <w:br w:type="page"/>
      </w:r>
    </w:p>
    <w:p>
      <w:pPr>
        <w:widowControl/>
        <w:jc w:val="left"/>
        <w:rPr>
          <w:rFonts w:ascii="宋体" w:hAnsi="宋体" w:cs="Arial"/>
          <w:b/>
          <w:bCs/>
          <w:color w:val="auto"/>
          <w:sz w:val="24"/>
          <w:highlight w:val="none"/>
        </w:rPr>
      </w:pPr>
    </w:p>
    <w:p>
      <w:pPr>
        <w:tabs>
          <w:tab w:val="left" w:pos="795"/>
          <w:tab w:val="center" w:pos="4873"/>
        </w:tabs>
        <w:overflowPunct w:val="0"/>
        <w:spacing w:line="500" w:lineRule="exact"/>
        <w:ind w:firstLine="108" w:firstLineChars="49"/>
        <w:jc w:val="left"/>
        <w:rPr>
          <w:rFonts w:ascii="宋体" w:hAnsi="宋体" w:cs="hakuyoxingshu7000"/>
          <w:color w:val="auto"/>
          <w:sz w:val="22"/>
          <w:highlight w:val="none"/>
        </w:rPr>
      </w:pPr>
      <w:r>
        <w:rPr>
          <w:rFonts w:hint="eastAsia" w:ascii="宋体" w:hAnsi="宋体"/>
          <w:b/>
          <w:color w:val="auto"/>
          <w:sz w:val="22"/>
          <w:szCs w:val="22"/>
          <w:highlight w:val="none"/>
        </w:rPr>
        <w:t>附件六</w:t>
      </w:r>
    </w:p>
    <w:p>
      <w:pPr>
        <w:jc w:val="center"/>
        <w:rPr>
          <w:rFonts w:ascii="宋体" w:hAnsi="宋体"/>
          <w:b/>
          <w:color w:val="auto"/>
          <w:spacing w:val="6"/>
          <w:sz w:val="22"/>
          <w:szCs w:val="22"/>
          <w:highlight w:val="none"/>
        </w:rPr>
      </w:pPr>
      <w:r>
        <w:rPr>
          <w:rFonts w:hint="eastAsia" w:ascii="宋体" w:hAnsi="宋体"/>
          <w:b/>
          <w:color w:val="auto"/>
          <w:spacing w:val="6"/>
          <w:sz w:val="22"/>
          <w:szCs w:val="22"/>
          <w:highlight w:val="none"/>
        </w:rPr>
        <w:t>政府采购活动现场确认声明书</w:t>
      </w:r>
    </w:p>
    <w:p>
      <w:pPr>
        <w:tabs>
          <w:tab w:val="left" w:pos="795"/>
          <w:tab w:val="center" w:pos="4873"/>
        </w:tabs>
        <w:overflowPunct w:val="0"/>
        <w:spacing w:line="460" w:lineRule="exact"/>
        <w:ind w:firstLine="118" w:firstLineChars="49"/>
        <w:jc w:val="left"/>
        <w:rPr>
          <w:rFonts w:ascii="宋体" w:hAnsi="宋体" w:cs="Arial"/>
          <w:b/>
          <w:bCs/>
          <w:color w:val="auto"/>
          <w:sz w:val="24"/>
          <w:highlight w:val="none"/>
        </w:rPr>
      </w:pPr>
    </w:p>
    <w:p>
      <w:pPr>
        <w:pStyle w:val="811"/>
        <w:widowControl w:val="0"/>
        <w:snapToGrid w:val="0"/>
        <w:spacing w:line="440" w:lineRule="exact"/>
        <w:jc w:val="both"/>
        <w:rPr>
          <w:rFonts w:hint="default" w:hAnsi="宋体"/>
          <w:b/>
          <w:color w:val="auto"/>
          <w:spacing w:val="6"/>
          <w:sz w:val="22"/>
          <w:szCs w:val="22"/>
          <w:highlight w:val="none"/>
          <w:u w:val="single"/>
        </w:rPr>
      </w:pPr>
      <w:r>
        <w:rPr>
          <w:rFonts w:hAnsi="宋体"/>
          <w:b/>
          <w:bCs/>
          <w:color w:val="auto"/>
          <w:spacing w:val="6"/>
          <w:sz w:val="22"/>
          <w:szCs w:val="22"/>
          <w:highlight w:val="none"/>
          <w:u w:val="single"/>
        </w:rPr>
        <w:t>温州市交通运输局</w:t>
      </w:r>
      <w:r>
        <w:rPr>
          <w:rFonts w:hAnsi="宋体"/>
          <w:b/>
          <w:color w:val="auto"/>
          <w:spacing w:val="6"/>
          <w:sz w:val="22"/>
          <w:szCs w:val="22"/>
          <w:highlight w:val="none"/>
        </w:rPr>
        <w:t>：</w:t>
      </w:r>
    </w:p>
    <w:p>
      <w:pPr>
        <w:pStyle w:val="811"/>
        <w:widowControl w:val="0"/>
        <w:snapToGrid w:val="0"/>
        <w:spacing w:line="440" w:lineRule="exact"/>
        <w:jc w:val="both"/>
        <w:rPr>
          <w:rFonts w:hint="default" w:hAnsi="宋体"/>
          <w:b/>
          <w:color w:val="auto"/>
          <w:spacing w:val="6"/>
          <w:sz w:val="22"/>
          <w:szCs w:val="22"/>
          <w:highlight w:val="none"/>
          <w:u w:val="single"/>
        </w:rPr>
      </w:pPr>
      <w:r>
        <w:rPr>
          <w:rFonts w:hAnsi="宋体"/>
          <w:b/>
          <w:color w:val="auto"/>
          <w:spacing w:val="6"/>
          <w:sz w:val="22"/>
          <w:szCs w:val="22"/>
          <w:highlight w:val="none"/>
          <w:u w:val="single"/>
        </w:rPr>
        <w:t>温州元信工程项目管理有限公司</w:t>
      </w:r>
      <w:r>
        <w:rPr>
          <w:rFonts w:hAnsi="宋体"/>
          <w:b/>
          <w:color w:val="auto"/>
          <w:kern w:val="0"/>
          <w:sz w:val="22"/>
          <w:szCs w:val="22"/>
          <w:highlight w:val="none"/>
        </w:rPr>
        <w:t>：</w:t>
      </w:r>
    </w:p>
    <w:p>
      <w:pPr>
        <w:pStyle w:val="811"/>
        <w:widowControl w:val="0"/>
        <w:snapToGrid w:val="0"/>
        <w:spacing w:line="440" w:lineRule="exact"/>
        <w:ind w:firstLine="464" w:firstLineChars="200"/>
        <w:jc w:val="both"/>
        <w:rPr>
          <w:rFonts w:hint="default" w:hAnsi="宋体"/>
          <w:color w:val="auto"/>
          <w:spacing w:val="6"/>
          <w:sz w:val="22"/>
          <w:szCs w:val="22"/>
          <w:highlight w:val="none"/>
        </w:rPr>
      </w:pPr>
      <w:r>
        <w:rPr>
          <w:rFonts w:hAnsi="宋体"/>
          <w:color w:val="auto"/>
          <w:spacing w:val="6"/>
          <w:sz w:val="22"/>
          <w:szCs w:val="22"/>
          <w:highlight w:val="none"/>
        </w:rPr>
        <w:t>本人经由</w:t>
      </w:r>
      <w:r>
        <w:rPr>
          <w:rFonts w:hAnsi="宋体"/>
          <w:color w:val="auto"/>
          <w:spacing w:val="6"/>
          <w:sz w:val="22"/>
          <w:szCs w:val="22"/>
          <w:highlight w:val="none"/>
          <w:u w:val="single"/>
        </w:rPr>
        <w:t xml:space="preserve">                       （单位）</w:t>
      </w:r>
      <w:r>
        <w:rPr>
          <w:rFonts w:hAnsi="宋体"/>
          <w:color w:val="auto"/>
          <w:spacing w:val="6"/>
          <w:sz w:val="22"/>
          <w:szCs w:val="22"/>
          <w:highlight w:val="none"/>
        </w:rPr>
        <w:t>负责人</w:t>
      </w:r>
      <w:r>
        <w:rPr>
          <w:rFonts w:hAnsi="宋体"/>
          <w:color w:val="auto"/>
          <w:spacing w:val="6"/>
          <w:sz w:val="22"/>
          <w:szCs w:val="22"/>
          <w:highlight w:val="none"/>
          <w:u w:val="single"/>
        </w:rPr>
        <w:t xml:space="preserve">          （姓名）</w:t>
      </w:r>
      <w:r>
        <w:rPr>
          <w:rFonts w:hAnsi="宋体"/>
          <w:color w:val="auto"/>
          <w:spacing w:val="6"/>
          <w:sz w:val="22"/>
          <w:szCs w:val="22"/>
          <w:highlight w:val="none"/>
        </w:rPr>
        <w:t>合法授权</w:t>
      </w:r>
      <w:r>
        <w:rPr>
          <w:rFonts w:hAnsi="宋体"/>
          <w:color w:val="auto"/>
          <w:spacing w:val="6"/>
          <w:sz w:val="22"/>
          <w:szCs w:val="22"/>
          <w:highlight w:val="none"/>
          <w:u w:val="single"/>
        </w:rPr>
        <w:t>数字交通综合执法与服务应用</w:t>
      </w:r>
      <w:r>
        <w:rPr>
          <w:rFonts w:hAnsi="宋体"/>
          <w:color w:val="auto"/>
          <w:spacing w:val="6"/>
          <w:sz w:val="22"/>
          <w:szCs w:val="22"/>
          <w:highlight w:val="none"/>
        </w:rPr>
        <w:t>项目（编号：</w:t>
      </w:r>
      <w:r>
        <w:rPr>
          <w:rFonts w:hAnsi="宋体"/>
          <w:color w:val="auto"/>
          <w:spacing w:val="6"/>
          <w:sz w:val="22"/>
          <w:szCs w:val="22"/>
          <w:highlight w:val="none"/>
          <w:u w:val="single"/>
        </w:rPr>
        <w:t>WZYX-H2022052001</w:t>
      </w:r>
      <w:r>
        <w:rPr>
          <w:rFonts w:hAnsi="宋体"/>
          <w:color w:val="auto"/>
          <w:spacing w:val="6"/>
          <w:sz w:val="22"/>
          <w:szCs w:val="22"/>
          <w:highlight w:val="none"/>
        </w:rPr>
        <w:t xml:space="preserve">）政府采购活动，经与本单位法人代表（负责人）联系确认，现就有关公平竞争事项郑重声明如下： </w:t>
      </w:r>
    </w:p>
    <w:p>
      <w:pPr>
        <w:pStyle w:val="810"/>
        <w:widowControl/>
        <w:numPr>
          <w:ilvl w:val="0"/>
          <w:numId w:val="51"/>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kern w:val="0"/>
          <w:sz w:val="22"/>
          <w:szCs w:val="22"/>
          <w:highlight w:val="none"/>
        </w:rPr>
        <w:t xml:space="preserve">本单位与采购人之间 </w:t>
      </w:r>
      <w:r>
        <w:rPr>
          <w:rFonts w:ascii="宋体" w:hAnsi="宋体" w:cs="宋体"/>
          <w:color w:val="auto"/>
          <w:kern w:val="0"/>
          <w:sz w:val="22"/>
          <w:szCs w:val="22"/>
          <w:highlight w:val="none"/>
        </w:rPr>
        <w:t>□</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w:t>
      </w:r>
      <w:r>
        <w:rPr>
          <w:rFonts w:ascii="宋体" w:hAnsi="宋体"/>
          <w:color w:val="auto"/>
          <w:kern w:val="0"/>
          <w:sz w:val="22"/>
          <w:szCs w:val="22"/>
          <w:highlight w:val="none"/>
        </w:rPr>
        <w:t>存在下列利害关系：</w:t>
      </w:r>
    </w:p>
    <w:p>
      <w:pPr>
        <w:pStyle w:val="810"/>
        <w:widowControl/>
        <w:snapToGrid w:val="0"/>
        <w:spacing w:line="440" w:lineRule="exact"/>
        <w:rPr>
          <w:rFonts w:hint="default" w:ascii="宋体" w:hAnsi="宋体"/>
          <w:color w:val="auto"/>
          <w:kern w:val="0"/>
          <w:sz w:val="22"/>
          <w:szCs w:val="22"/>
          <w:highlight w:val="none"/>
        </w:rPr>
      </w:pPr>
      <w:r>
        <w:rPr>
          <w:rFonts w:ascii="宋体" w:hAnsi="宋体"/>
          <w:color w:val="auto"/>
          <w:kern w:val="0"/>
          <w:sz w:val="22"/>
          <w:szCs w:val="22"/>
          <w:highlight w:val="none"/>
        </w:rPr>
        <w:t xml:space="preserve">  A.投资关系    B.行政隶属关系    C.业务指导关系</w:t>
      </w:r>
    </w:p>
    <w:p>
      <w:pPr>
        <w:pStyle w:val="810"/>
        <w:widowControl/>
        <w:snapToGrid w:val="0"/>
        <w:spacing w:line="440" w:lineRule="exact"/>
        <w:rPr>
          <w:rFonts w:hint="default" w:ascii="宋体" w:hAnsi="宋体"/>
          <w:color w:val="auto"/>
          <w:kern w:val="0"/>
          <w:sz w:val="22"/>
          <w:szCs w:val="22"/>
          <w:highlight w:val="none"/>
        </w:rPr>
      </w:pPr>
      <w:r>
        <w:rPr>
          <w:rFonts w:ascii="宋体" w:hAnsi="宋体"/>
          <w:color w:val="auto"/>
          <w:kern w:val="0"/>
          <w:sz w:val="22"/>
          <w:szCs w:val="22"/>
          <w:highlight w:val="none"/>
        </w:rPr>
        <w:t xml:space="preserve">  D.其他可能</w:t>
      </w:r>
      <w:r>
        <w:rPr>
          <w:rFonts w:ascii="宋体" w:hAnsi="宋体"/>
          <w:color w:val="auto"/>
          <w:sz w:val="22"/>
          <w:szCs w:val="22"/>
          <w:highlight w:val="none"/>
        </w:rPr>
        <w:t>影响采购公正的</w:t>
      </w:r>
      <w:r>
        <w:rPr>
          <w:rFonts w:ascii="宋体" w:hAnsi="宋体"/>
          <w:color w:val="auto"/>
          <w:kern w:val="0"/>
          <w:sz w:val="22"/>
          <w:szCs w:val="22"/>
          <w:highlight w:val="none"/>
        </w:rPr>
        <w:t>利害关系</w:t>
      </w:r>
      <w:r>
        <w:rPr>
          <w:rFonts w:ascii="宋体" w:hAnsi="宋体"/>
          <w:color w:val="auto"/>
          <w:kern w:val="0"/>
          <w:sz w:val="22"/>
          <w:szCs w:val="22"/>
          <w:highlight w:val="none"/>
          <w:u w:val="single"/>
        </w:rPr>
        <w:t xml:space="preserve">（如有，请如实说明）                 </w:t>
      </w:r>
      <w:r>
        <w:rPr>
          <w:rFonts w:ascii="宋体" w:hAnsi="宋体"/>
          <w:color w:val="auto"/>
          <w:kern w:val="0"/>
          <w:sz w:val="22"/>
          <w:szCs w:val="22"/>
          <w:highlight w:val="none"/>
        </w:rPr>
        <w:t>。</w:t>
      </w:r>
    </w:p>
    <w:p>
      <w:pPr>
        <w:pStyle w:val="810"/>
        <w:widowControl/>
        <w:snapToGrid w:val="0"/>
        <w:spacing w:line="440" w:lineRule="exact"/>
        <w:rPr>
          <w:rFonts w:hint="default" w:ascii="宋体" w:hAnsi="宋体"/>
          <w:color w:val="auto"/>
          <w:kern w:val="0"/>
          <w:sz w:val="22"/>
          <w:szCs w:val="22"/>
          <w:highlight w:val="none"/>
        </w:rPr>
      </w:pPr>
      <w:r>
        <w:rPr>
          <w:rFonts w:ascii="宋体" w:hAnsi="宋体"/>
          <w:color w:val="auto"/>
          <w:spacing w:val="6"/>
          <w:sz w:val="22"/>
          <w:szCs w:val="22"/>
          <w:highlight w:val="none"/>
        </w:rPr>
        <w:t xml:space="preserve">  二、</w:t>
      </w:r>
      <w:r>
        <w:rPr>
          <w:rFonts w:ascii="宋体" w:hAnsi="宋体"/>
          <w:color w:val="auto"/>
          <w:kern w:val="0"/>
          <w:sz w:val="22"/>
          <w:szCs w:val="22"/>
          <w:highlight w:val="none"/>
        </w:rPr>
        <w:t xml:space="preserve">现已清楚知道参加本项目采购活动的其他所有投标人名称，本单位 </w:t>
      </w:r>
      <w:r>
        <w:rPr>
          <w:rFonts w:ascii="宋体" w:hAnsi="宋体" w:cs="宋体"/>
          <w:color w:val="auto"/>
          <w:kern w:val="0"/>
          <w:sz w:val="22"/>
          <w:szCs w:val="22"/>
          <w:highlight w:val="none"/>
        </w:rPr>
        <w:t>□与其他所有投标人之间均</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□与</w:t>
      </w:r>
      <w:r>
        <w:rPr>
          <w:rFonts w:ascii="宋体" w:hAnsi="宋体" w:cs="宋体"/>
          <w:color w:val="auto"/>
          <w:kern w:val="0"/>
          <w:sz w:val="22"/>
          <w:szCs w:val="22"/>
          <w:highlight w:val="none"/>
          <w:u w:val="single"/>
        </w:rPr>
        <w:t xml:space="preserve">           （投标人名称）</w:t>
      </w:r>
      <w:r>
        <w:rPr>
          <w:rFonts w:ascii="宋体" w:hAnsi="宋体" w:cs="宋体"/>
          <w:color w:val="auto"/>
          <w:kern w:val="0"/>
          <w:sz w:val="22"/>
          <w:szCs w:val="22"/>
          <w:highlight w:val="none"/>
        </w:rPr>
        <w:t>之间</w:t>
      </w:r>
      <w:r>
        <w:rPr>
          <w:rFonts w:ascii="宋体" w:hAnsi="宋体"/>
          <w:color w:val="auto"/>
          <w:kern w:val="0"/>
          <w:sz w:val="22"/>
          <w:szCs w:val="22"/>
          <w:highlight w:val="none"/>
        </w:rPr>
        <w:t>存在下列利害关系：</w:t>
      </w:r>
    </w:p>
    <w:p>
      <w:pPr>
        <w:pStyle w:val="811"/>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A.法定代表人或负责人或实际控制人是同一人</w:t>
      </w:r>
    </w:p>
    <w:p>
      <w:pPr>
        <w:pStyle w:val="811"/>
        <w:widowControl w:val="0"/>
        <w:snapToGrid w:val="0"/>
        <w:spacing w:line="440" w:lineRule="exact"/>
        <w:jc w:val="both"/>
        <w:rPr>
          <w:rFonts w:hint="default" w:hAnsi="宋体"/>
          <w:color w:val="auto"/>
          <w:spacing w:val="6"/>
          <w:sz w:val="22"/>
          <w:szCs w:val="22"/>
          <w:highlight w:val="none"/>
        </w:rPr>
      </w:pPr>
      <w:r>
        <w:rPr>
          <w:rFonts w:hAnsi="宋体"/>
          <w:color w:val="auto"/>
          <w:kern w:val="0"/>
          <w:sz w:val="22"/>
          <w:szCs w:val="22"/>
          <w:highlight w:val="none"/>
        </w:rPr>
        <w:t xml:space="preserve">  B.法定代表人或负责人或实际控制人是夫妻关系</w:t>
      </w:r>
    </w:p>
    <w:p>
      <w:pPr>
        <w:pStyle w:val="811"/>
        <w:widowControl w:val="0"/>
        <w:snapToGrid w:val="0"/>
        <w:spacing w:line="440" w:lineRule="exact"/>
        <w:jc w:val="both"/>
        <w:rPr>
          <w:rFonts w:hint="default" w:hAnsi="宋体"/>
          <w:color w:val="auto"/>
          <w:spacing w:val="6"/>
          <w:sz w:val="22"/>
          <w:szCs w:val="22"/>
          <w:highlight w:val="none"/>
        </w:rPr>
      </w:pPr>
      <w:r>
        <w:rPr>
          <w:rFonts w:hAnsi="宋体"/>
          <w:color w:val="auto"/>
          <w:kern w:val="0"/>
          <w:sz w:val="22"/>
          <w:szCs w:val="22"/>
          <w:highlight w:val="none"/>
        </w:rPr>
        <w:t xml:space="preserve">  C.法定代表人或负责人或实际控制人是直系血亲关系</w:t>
      </w:r>
    </w:p>
    <w:p>
      <w:pPr>
        <w:pStyle w:val="811"/>
        <w:widowControl w:val="0"/>
        <w:snapToGrid w:val="0"/>
        <w:spacing w:line="440" w:lineRule="exact"/>
        <w:jc w:val="both"/>
        <w:rPr>
          <w:rFonts w:hint="default" w:hAnsi="宋体"/>
          <w:color w:val="auto"/>
          <w:spacing w:val="6"/>
          <w:sz w:val="22"/>
          <w:szCs w:val="22"/>
          <w:highlight w:val="none"/>
        </w:rPr>
      </w:pPr>
      <w:r>
        <w:rPr>
          <w:rFonts w:hAnsi="宋体"/>
          <w:color w:val="auto"/>
          <w:kern w:val="0"/>
          <w:sz w:val="22"/>
          <w:szCs w:val="22"/>
          <w:highlight w:val="none"/>
        </w:rPr>
        <w:t xml:space="preserve">  D.法定代表人或负责人或实际控制人存在三代以内旁系血亲关系</w:t>
      </w:r>
    </w:p>
    <w:p>
      <w:pPr>
        <w:pStyle w:val="811"/>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E.法定代表人或负责人或实际控制人存在近姻亲关系</w:t>
      </w:r>
    </w:p>
    <w:p>
      <w:pPr>
        <w:pStyle w:val="811"/>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F.法定代表人或负责人或实际控制人存在股份控制或实际控制关系</w:t>
      </w:r>
    </w:p>
    <w:p>
      <w:pPr>
        <w:pStyle w:val="811"/>
        <w:widowControl w:val="0"/>
        <w:snapToGrid w:val="0"/>
        <w:spacing w:line="440" w:lineRule="exact"/>
        <w:jc w:val="both"/>
        <w:outlineLvl w:val="0"/>
        <w:rPr>
          <w:rFonts w:hint="default" w:hAnsi="宋体"/>
          <w:color w:val="auto"/>
          <w:kern w:val="0"/>
          <w:sz w:val="22"/>
          <w:szCs w:val="22"/>
          <w:highlight w:val="none"/>
        </w:rPr>
      </w:pPr>
      <w:r>
        <w:rPr>
          <w:rFonts w:hAnsi="宋体"/>
          <w:color w:val="auto"/>
          <w:kern w:val="0"/>
          <w:sz w:val="22"/>
          <w:szCs w:val="22"/>
          <w:highlight w:val="none"/>
        </w:rPr>
        <w:t xml:space="preserve">  </w:t>
      </w:r>
      <w:bookmarkStart w:id="226" w:name="_Toc26171"/>
      <w:bookmarkStart w:id="227" w:name="_Toc22986"/>
      <w:r>
        <w:rPr>
          <w:rFonts w:hAnsi="宋体"/>
          <w:color w:val="auto"/>
          <w:kern w:val="0"/>
          <w:sz w:val="22"/>
          <w:szCs w:val="22"/>
          <w:highlight w:val="none"/>
        </w:rPr>
        <w:t>G.存在共同直接或间接投资设立子公司、联营企业和合营企业情况</w:t>
      </w:r>
      <w:bookmarkEnd w:id="226"/>
      <w:bookmarkEnd w:id="227"/>
    </w:p>
    <w:p>
      <w:pPr>
        <w:pStyle w:val="811"/>
        <w:widowControl w:val="0"/>
        <w:snapToGrid w:val="0"/>
        <w:spacing w:line="440" w:lineRule="exact"/>
        <w:jc w:val="both"/>
        <w:rPr>
          <w:rFonts w:hint="default" w:hAnsi="宋体"/>
          <w:color w:val="auto"/>
          <w:sz w:val="22"/>
          <w:szCs w:val="22"/>
          <w:highlight w:val="none"/>
        </w:rPr>
      </w:pPr>
      <w:r>
        <w:rPr>
          <w:rFonts w:hAnsi="宋体"/>
          <w:color w:val="auto"/>
          <w:kern w:val="0"/>
          <w:sz w:val="22"/>
          <w:szCs w:val="22"/>
          <w:highlight w:val="none"/>
        </w:rPr>
        <w:t xml:space="preserve">  H.存在分级代理或代销关系、同一生产制造商关系、</w:t>
      </w:r>
      <w:r>
        <w:rPr>
          <w:rFonts w:hAnsi="宋体"/>
          <w:color w:val="auto"/>
          <w:sz w:val="22"/>
          <w:szCs w:val="22"/>
          <w:highlight w:val="none"/>
        </w:rPr>
        <w:t>管理关系、重要业务（占主营业务收入50%以上）或重要财务往来关系（如融资）等其他实质性控制关系</w:t>
      </w:r>
    </w:p>
    <w:p>
      <w:pPr>
        <w:pStyle w:val="811"/>
        <w:widowControl w:val="0"/>
        <w:snapToGrid w:val="0"/>
        <w:spacing w:line="440" w:lineRule="exact"/>
        <w:jc w:val="both"/>
        <w:rPr>
          <w:rFonts w:hint="default" w:hAnsi="宋体"/>
          <w:color w:val="auto"/>
          <w:spacing w:val="6"/>
          <w:sz w:val="22"/>
          <w:szCs w:val="22"/>
          <w:highlight w:val="none"/>
        </w:rPr>
      </w:pPr>
      <w:r>
        <w:rPr>
          <w:rFonts w:hAnsi="宋体"/>
          <w:color w:val="auto"/>
          <w:sz w:val="22"/>
          <w:szCs w:val="22"/>
          <w:highlight w:val="none"/>
        </w:rPr>
        <w:t xml:space="preserve">  I</w:t>
      </w:r>
      <w:r>
        <w:rPr>
          <w:rFonts w:hAnsi="宋体"/>
          <w:color w:val="auto"/>
          <w:kern w:val="0"/>
          <w:sz w:val="22"/>
          <w:szCs w:val="22"/>
          <w:highlight w:val="none"/>
        </w:rPr>
        <w:t>.</w:t>
      </w:r>
      <w:r>
        <w:rPr>
          <w:rFonts w:hAnsi="宋体"/>
          <w:color w:val="auto"/>
          <w:sz w:val="22"/>
          <w:szCs w:val="22"/>
          <w:highlight w:val="none"/>
        </w:rPr>
        <w:t>其他利害关系情况</w:t>
      </w:r>
      <w:r>
        <w:rPr>
          <w:rFonts w:hAnsi="宋体"/>
          <w:color w:val="auto"/>
          <w:kern w:val="0"/>
          <w:sz w:val="22"/>
          <w:szCs w:val="22"/>
          <w:highlight w:val="none"/>
        </w:rPr>
        <w:t>。</w:t>
      </w:r>
    </w:p>
    <w:p>
      <w:pPr>
        <w:pStyle w:val="810"/>
        <w:widowControl/>
        <w:numPr>
          <w:ilvl w:val="0"/>
          <w:numId w:val="52"/>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sz w:val="22"/>
          <w:szCs w:val="22"/>
          <w:highlight w:val="none"/>
        </w:rPr>
        <w:t>现已清楚知道并</w:t>
      </w:r>
      <w:r>
        <w:rPr>
          <w:rFonts w:ascii="宋体" w:hAnsi="宋体"/>
          <w:color w:val="auto"/>
          <w:kern w:val="0"/>
          <w:sz w:val="22"/>
          <w:szCs w:val="22"/>
          <w:highlight w:val="none"/>
        </w:rPr>
        <w:t>严格遵守政府采购法律法规和现场纪律。</w:t>
      </w:r>
    </w:p>
    <w:p>
      <w:pPr>
        <w:pStyle w:val="810"/>
        <w:widowControl/>
        <w:numPr>
          <w:ilvl w:val="0"/>
          <w:numId w:val="52"/>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kern w:val="0"/>
          <w:sz w:val="22"/>
          <w:szCs w:val="22"/>
          <w:highlight w:val="none"/>
        </w:rPr>
        <w:t>我发现投标人之间存在或可能存在上述第二条第项利害关系。</w:t>
      </w:r>
    </w:p>
    <w:p>
      <w:pPr>
        <w:pStyle w:val="811"/>
        <w:widowControl w:val="0"/>
        <w:snapToGrid w:val="0"/>
        <w:spacing w:line="440" w:lineRule="exact"/>
        <w:ind w:firstLine="440" w:firstLineChars="200"/>
        <w:jc w:val="both"/>
        <w:rPr>
          <w:rFonts w:hint="default" w:hAnsi="宋体"/>
          <w:color w:val="auto"/>
          <w:sz w:val="22"/>
          <w:szCs w:val="22"/>
          <w:highlight w:val="none"/>
        </w:rPr>
      </w:pPr>
    </w:p>
    <w:p>
      <w:pPr>
        <w:pStyle w:val="811"/>
        <w:widowControl w:val="0"/>
        <w:snapToGrid w:val="0"/>
        <w:spacing w:line="440" w:lineRule="exact"/>
        <w:ind w:firstLine="440" w:firstLineChars="200"/>
        <w:jc w:val="both"/>
        <w:rPr>
          <w:rFonts w:hint="default" w:hAnsi="宋体"/>
          <w:color w:val="auto"/>
          <w:sz w:val="22"/>
          <w:szCs w:val="22"/>
          <w:highlight w:val="none"/>
        </w:rPr>
      </w:pPr>
      <w:r>
        <w:rPr>
          <w:rFonts w:hAnsi="宋体"/>
          <w:color w:val="auto"/>
          <w:sz w:val="22"/>
          <w:szCs w:val="22"/>
          <w:highlight w:val="none"/>
        </w:rPr>
        <w:t xml:space="preserve">                                投标人代表签名：</w:t>
      </w:r>
    </w:p>
    <w:p>
      <w:pPr>
        <w:pStyle w:val="811"/>
        <w:widowControl w:val="0"/>
        <w:snapToGrid w:val="0"/>
        <w:spacing w:line="440" w:lineRule="exact"/>
        <w:ind w:firstLine="440" w:firstLineChars="200"/>
        <w:jc w:val="both"/>
        <w:rPr>
          <w:rFonts w:hint="default" w:hAnsi="宋体"/>
          <w:color w:val="auto"/>
          <w:sz w:val="22"/>
          <w:szCs w:val="22"/>
          <w:highlight w:val="none"/>
        </w:rPr>
      </w:pPr>
      <w:r>
        <w:rPr>
          <w:rFonts w:hAnsi="宋体"/>
          <w:color w:val="auto"/>
          <w:sz w:val="22"/>
          <w:szCs w:val="22"/>
          <w:highlight w:val="none"/>
        </w:rPr>
        <w:t xml:space="preserve">                                    年   月   日</w:t>
      </w:r>
    </w:p>
    <w:p>
      <w:pPr>
        <w:tabs>
          <w:tab w:val="left" w:pos="795"/>
          <w:tab w:val="center" w:pos="4873"/>
        </w:tabs>
        <w:overflowPunct w:val="0"/>
        <w:spacing w:line="460" w:lineRule="exact"/>
        <w:ind w:firstLine="118" w:firstLineChars="49"/>
        <w:jc w:val="left"/>
        <w:rPr>
          <w:rFonts w:ascii="宋体" w:hAnsi="宋体" w:cs="Arial"/>
          <w:b/>
          <w:bCs/>
          <w:color w:val="auto"/>
          <w:sz w:val="24"/>
          <w:highlight w:val="none"/>
        </w:rPr>
      </w:pPr>
    </w:p>
    <w:p>
      <w:pPr>
        <w:spacing w:line="400" w:lineRule="exact"/>
        <w:ind w:left="439" w:leftChars="209"/>
        <w:rPr>
          <w:rFonts w:ascii="宋体" w:hAnsi="宋体" w:cs="Arial"/>
          <w:color w:val="auto"/>
          <w:sz w:val="22"/>
          <w:szCs w:val="22"/>
          <w:highlight w:val="none"/>
        </w:rPr>
      </w:pPr>
    </w:p>
    <w:sectPr>
      <w:footerReference r:id="rId12" w:type="first"/>
      <w:headerReference r:id="rId10" w:type="default"/>
      <w:footerReference r:id="rId11" w:type="default"/>
      <w:type w:val="nextColumn"/>
      <w:pgSz w:w="11906" w:h="16838"/>
      <w:pgMar w:top="1134" w:right="1134" w:bottom="1134"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Century Gothic">
    <w:panose1 w:val="020B0502020202020204"/>
    <w:charset w:val="00"/>
    <w:family w:val="swiss"/>
    <w:pitch w:val="default"/>
    <w:sig w:usb0="00000287" w:usb1="00000000" w:usb2="00000000" w:usb3="00000000" w:csb0="2000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华文细黑">
    <w:panose1 w:val="02010600040101010101"/>
    <w:charset w:val="86"/>
    <w:family w:val="auto"/>
    <w:pitch w:val="default"/>
    <w:sig w:usb0="00000287" w:usb1="080F0000" w:usb2="00000000" w:usb3="00000000" w:csb0="0004009F" w:csb1="DFD70000"/>
  </w:font>
  <w:font w:name="Helvetica">
    <w:panose1 w:val="020B0504020202030204"/>
    <w:charset w:val="00"/>
    <w:family w:val="swiss"/>
    <w:pitch w:val="default"/>
    <w:sig w:usb0="00000007" w:usb1="00000000" w:usb2="00000000" w:usb3="00000000" w:csb0="00000093" w:csb1="00000000"/>
  </w:font>
  <w:font w:name="宋体,Verdana,Arial">
    <w:altName w:val="宋体"/>
    <w:panose1 w:val="00000000000000000000"/>
    <w:charset w:val="86"/>
    <w:family w:val="roma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Times">
    <w:altName w:val="CG Times"/>
    <w:panose1 w:val="02020603050405020304"/>
    <w:charset w:val="00"/>
    <w:family w:val="roman"/>
    <w:pitch w:val="default"/>
    <w:sig w:usb0="00000000" w:usb1="00000000" w:usb2="00000000" w:usb3="00000000" w:csb0="00000093" w:csb1="00000000"/>
  </w:font>
  <w:font w:name="CG Times">
    <w:panose1 w:val="02020603050405020304"/>
    <w:charset w:val="00"/>
    <w:family w:val="auto"/>
    <w:pitch w:val="default"/>
    <w:sig w:usb0="00000007" w:usb1="00000000" w:usb2="00000000" w:usb3="00000000" w:csb0="00000093" w:csb1="00000000"/>
  </w:font>
  <w:font w:name="全真楷書">
    <w:altName w:val="宋体"/>
    <w:panose1 w:val="00000000000000000000"/>
    <w:charset w:val="86"/>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40001" w:csb1="00000000"/>
  </w:font>
  <w:font w:name="hakuyoxingshu7000">
    <w:altName w:val="宋体"/>
    <w:panose1 w:val="00000000000000000000"/>
    <w:charset w:val="86"/>
    <w:family w:val="auto"/>
    <w:pitch w:val="default"/>
    <w:sig w:usb0="00000000" w:usb1="00000000" w:usb2="0000003F" w:usb3="00000000" w:csb0="003F00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center" w:y="1"/>
      <w:pBdr>
        <w:bottom w:val="single" w:color="auto" w:sz="6" w:space="3"/>
      </w:pBdr>
      <w:rPr>
        <w:rStyle w:val="69"/>
      </w:rPr>
    </w:pPr>
    <w:r>
      <w:fldChar w:fldCharType="begin"/>
    </w:r>
    <w:r>
      <w:rPr>
        <w:rStyle w:val="69"/>
      </w:rPr>
      <w:instrText xml:space="preserve">PAGE  </w:instrText>
    </w:r>
    <w:r>
      <w:fldChar w:fldCharType="end"/>
    </w:r>
  </w:p>
  <w:p>
    <w:pPr>
      <w:pStyle w:val="42"/>
      <w:pBdr>
        <w:bottom w:val="single" w:color="auto" w:sz="6" w:space="3"/>
      </w:pBd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enter" w:pos="481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enter" w:pos="4819"/>
        <w:tab w:val="clear" w:pos="4153"/>
        <w:tab w:val="clear" w:pos="8306"/>
      </w:tabs>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fldChar w:fldCharType="begin"/>
                          </w:r>
                          <w:r>
                            <w:instrText xml:space="preserve"> PAGE   \* MERGEFORMAT </w:instrText>
                          </w:r>
                          <w:r>
                            <w:fldChar w:fldCharType="separate"/>
                          </w:r>
                          <w:r>
                            <w:rPr>
                              <w:lang w:val="zh-CN"/>
                            </w:rPr>
                            <w:t>49</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jc w:val="center"/>
                    </w:pPr>
                    <w:r>
                      <w:fldChar w:fldCharType="begin"/>
                    </w:r>
                    <w:r>
                      <w:instrText xml:space="preserve"> PAGE   \* MERGEFORMAT </w:instrText>
                    </w:r>
                    <w:r>
                      <w:fldChar w:fldCharType="separate"/>
                    </w:r>
                    <w:r>
                      <w:rPr>
                        <w:lang w:val="zh-CN"/>
                      </w:rPr>
                      <w:t>49</w:t>
                    </w:r>
                    <w:r>
                      <w:rPr>
                        <w:lang w:val="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4E4FD"/>
    <w:multiLevelType w:val="singleLevel"/>
    <w:tmpl w:val="8134E4FD"/>
    <w:lvl w:ilvl="0" w:tentative="0">
      <w:start w:val="1"/>
      <w:numFmt w:val="decimal"/>
      <w:lvlText w:val="%1."/>
      <w:lvlJc w:val="left"/>
      <w:pPr>
        <w:ind w:left="425" w:hanging="425"/>
      </w:pPr>
      <w:rPr>
        <w:rFonts w:hint="default" w:cs="Times New Roman"/>
      </w:rPr>
    </w:lvl>
  </w:abstractNum>
  <w:abstractNum w:abstractNumId="1">
    <w:nsid w:val="8402E84F"/>
    <w:multiLevelType w:val="singleLevel"/>
    <w:tmpl w:val="8402E84F"/>
    <w:lvl w:ilvl="0" w:tentative="0">
      <w:start w:val="1"/>
      <w:numFmt w:val="decimal"/>
      <w:lvlText w:val="(%1)"/>
      <w:lvlJc w:val="left"/>
      <w:pPr>
        <w:ind w:left="425" w:hanging="425"/>
      </w:pPr>
      <w:rPr>
        <w:rFonts w:hint="default"/>
      </w:rPr>
    </w:lvl>
  </w:abstractNum>
  <w:abstractNum w:abstractNumId="2">
    <w:nsid w:val="851DD5D3"/>
    <w:multiLevelType w:val="multilevel"/>
    <w:tmpl w:val="851DD5D3"/>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85570643"/>
    <w:multiLevelType w:val="multilevel"/>
    <w:tmpl w:val="85570643"/>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9E46C32E"/>
    <w:multiLevelType w:val="singleLevel"/>
    <w:tmpl w:val="9E46C32E"/>
    <w:lvl w:ilvl="0" w:tentative="0">
      <w:start w:val="1"/>
      <w:numFmt w:val="decimal"/>
      <w:lvlText w:val="%1)"/>
      <w:lvlJc w:val="left"/>
      <w:pPr>
        <w:ind w:left="425" w:hanging="425"/>
      </w:pPr>
      <w:rPr>
        <w:rFonts w:hint="default"/>
      </w:rPr>
    </w:lvl>
  </w:abstractNum>
  <w:abstractNum w:abstractNumId="5">
    <w:nsid w:val="B0C8D056"/>
    <w:multiLevelType w:val="multilevel"/>
    <w:tmpl w:val="B0C8D056"/>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6">
    <w:nsid w:val="B101DE90"/>
    <w:multiLevelType w:val="singleLevel"/>
    <w:tmpl w:val="B101DE90"/>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7">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8">
    <w:nsid w:val="B41003A9"/>
    <w:multiLevelType w:val="multilevel"/>
    <w:tmpl w:val="B41003A9"/>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B728518F"/>
    <w:multiLevelType w:val="singleLevel"/>
    <w:tmpl w:val="B728518F"/>
    <w:lvl w:ilvl="0" w:tentative="0">
      <w:start w:val="1"/>
      <w:numFmt w:val="decimal"/>
      <w:lvlText w:val="%1."/>
      <w:lvlJc w:val="left"/>
      <w:pPr>
        <w:ind w:left="425" w:hanging="425"/>
      </w:pPr>
      <w:rPr>
        <w:rFonts w:hint="default" w:cs="Times New Roman"/>
      </w:rPr>
    </w:lvl>
  </w:abstractNum>
  <w:abstractNum w:abstractNumId="10">
    <w:nsid w:val="B8F104FA"/>
    <w:multiLevelType w:val="singleLevel"/>
    <w:tmpl w:val="B8F104FA"/>
    <w:lvl w:ilvl="0" w:tentative="0">
      <w:start w:val="2"/>
      <w:numFmt w:val="decimal"/>
      <w:suff w:val="nothing"/>
      <w:lvlText w:val="%1、"/>
      <w:lvlJc w:val="left"/>
    </w:lvl>
  </w:abstractNum>
  <w:abstractNum w:abstractNumId="11">
    <w:nsid w:val="B98F8BE0"/>
    <w:multiLevelType w:val="multilevel"/>
    <w:tmpl w:val="B98F8BE0"/>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BE864F71"/>
    <w:multiLevelType w:val="singleLevel"/>
    <w:tmpl w:val="BE864F71"/>
    <w:lvl w:ilvl="0" w:tentative="0">
      <w:start w:val="1"/>
      <w:numFmt w:val="decimal"/>
      <w:lvlText w:val="%1."/>
      <w:lvlJc w:val="left"/>
      <w:pPr>
        <w:ind w:left="425" w:hanging="425"/>
      </w:pPr>
      <w:rPr>
        <w:rFonts w:hint="default"/>
      </w:rPr>
    </w:lvl>
  </w:abstractNum>
  <w:abstractNum w:abstractNumId="13">
    <w:nsid w:val="C7F702AA"/>
    <w:multiLevelType w:val="multilevel"/>
    <w:tmpl w:val="C7F702AA"/>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CB354C58"/>
    <w:multiLevelType w:val="singleLevel"/>
    <w:tmpl w:val="CB354C58"/>
    <w:lvl w:ilvl="0" w:tentative="0">
      <w:start w:val="1"/>
      <w:numFmt w:val="decimal"/>
      <w:lvlText w:val="%1."/>
      <w:lvlJc w:val="left"/>
      <w:pPr>
        <w:tabs>
          <w:tab w:val="left" w:pos="312"/>
        </w:tabs>
      </w:pPr>
    </w:lvl>
  </w:abstractNum>
  <w:abstractNum w:abstractNumId="15">
    <w:nsid w:val="D1B5A987"/>
    <w:multiLevelType w:val="multilevel"/>
    <w:tmpl w:val="D1B5A987"/>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D44A826A"/>
    <w:multiLevelType w:val="multilevel"/>
    <w:tmpl w:val="D44A826A"/>
    <w:lvl w:ilvl="0" w:tentative="0">
      <w:start w:val="1"/>
      <w:numFmt w:val="none"/>
      <w:lvlText w:val="2"/>
      <w:lvlJc w:val="left"/>
      <w:pPr>
        <w:tabs>
          <w:tab w:val="left" w:pos="425"/>
        </w:tabs>
        <w:ind w:left="425" w:hanging="425"/>
      </w:pPr>
      <w:rPr>
        <w:rFonts w:hint="eastAsia"/>
      </w:rPr>
    </w:lvl>
    <w:lvl w:ilvl="1" w:tentative="0">
      <w:start w:val="1"/>
      <w:numFmt w:val="decimal"/>
      <w:lvlText w:val="%19.%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EC545A32"/>
    <w:multiLevelType w:val="multilevel"/>
    <w:tmpl w:val="EC545A32"/>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8">
    <w:nsid w:val="FB0F5EB6"/>
    <w:multiLevelType w:val="singleLevel"/>
    <w:tmpl w:val="FB0F5EB6"/>
    <w:lvl w:ilvl="0" w:tentative="0">
      <w:start w:val="1"/>
      <w:numFmt w:val="decimalEnclosedCircleChinese"/>
      <w:suff w:val="nothing"/>
      <w:lvlText w:val="%1　"/>
      <w:lvlJc w:val="left"/>
      <w:pPr>
        <w:ind w:firstLine="400"/>
      </w:pPr>
      <w:rPr>
        <w:rFonts w:hint="eastAsia" w:cs="Times New Roman"/>
      </w:rPr>
    </w:lvl>
  </w:abstractNum>
  <w:abstractNum w:abstractNumId="19">
    <w:nsid w:val="00000002"/>
    <w:multiLevelType w:val="multilevel"/>
    <w:tmpl w:val="00000002"/>
    <w:lvl w:ilvl="0" w:tentative="0">
      <w:start w:val="1"/>
      <w:numFmt w:val="decimal"/>
      <w:lvlText w:val="（%1）"/>
      <w:lvlJc w:val="left"/>
      <w:pPr>
        <w:tabs>
          <w:tab w:val="left" w:pos="420"/>
        </w:tabs>
        <w:ind w:left="420" w:hanging="420"/>
      </w:pPr>
      <w:rPr>
        <w:rFonts w:hint="eastAsia" w:ascii="楷体_GB2312" w:hAnsi="Times New Roman" w:eastAsia="楷体_GB2312"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31"/>
    <w:multiLevelType w:val="multilevel"/>
    <w:tmpl w:val="00000031"/>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7F1F61"/>
    <w:multiLevelType w:val="multilevel"/>
    <w:tmpl w:val="007F1F61"/>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2">
    <w:nsid w:val="0D1875C4"/>
    <w:multiLevelType w:val="multilevel"/>
    <w:tmpl w:val="0D1875C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E631A2B"/>
    <w:multiLevelType w:val="multilevel"/>
    <w:tmpl w:val="0E631A2B"/>
    <w:lvl w:ilvl="0" w:tentative="0">
      <w:start w:val="1"/>
      <w:numFmt w:val="decimal"/>
      <w:lvlText w:val="%1."/>
      <w:lvlJc w:val="left"/>
      <w:pPr>
        <w:tabs>
          <w:tab w:val="left" w:pos="420"/>
        </w:tabs>
        <w:ind w:left="420" w:hanging="420"/>
      </w:pPr>
      <w:rPr>
        <w:rFonts w:hint="eastAsia" w:ascii="楷体_GB2312" w:hAnsi="Times New Roman" w:eastAsia="楷体_GB2312" w:cs="Times New Roman"/>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4">
    <w:nsid w:val="15440064"/>
    <w:multiLevelType w:val="multilevel"/>
    <w:tmpl w:val="15440064"/>
    <w:lvl w:ilvl="0" w:tentative="0">
      <w:start w:val="1"/>
      <w:numFmt w:val="decimal"/>
      <w:lvlText w:val="%1)"/>
      <w:lvlJc w:val="left"/>
      <w:pPr>
        <w:ind w:left="750" w:hanging="420"/>
      </w:pPr>
    </w:lvl>
    <w:lvl w:ilvl="1" w:tentative="0">
      <w:start w:val="1"/>
      <w:numFmt w:val="lowerLetter"/>
      <w:lvlText w:val="%2)"/>
      <w:lvlJc w:val="left"/>
      <w:pPr>
        <w:ind w:left="1170" w:hanging="420"/>
      </w:pPr>
    </w:lvl>
    <w:lvl w:ilvl="2" w:tentative="0">
      <w:start w:val="1"/>
      <w:numFmt w:val="lowerRoman"/>
      <w:lvlText w:val="%3."/>
      <w:lvlJc w:val="right"/>
      <w:pPr>
        <w:ind w:left="1590" w:hanging="420"/>
      </w:pPr>
    </w:lvl>
    <w:lvl w:ilvl="3" w:tentative="0">
      <w:start w:val="1"/>
      <w:numFmt w:val="decimal"/>
      <w:lvlText w:val="%4."/>
      <w:lvlJc w:val="left"/>
      <w:pPr>
        <w:ind w:left="2010" w:hanging="420"/>
      </w:pPr>
    </w:lvl>
    <w:lvl w:ilvl="4" w:tentative="0">
      <w:start w:val="1"/>
      <w:numFmt w:val="lowerLetter"/>
      <w:lvlText w:val="%5)"/>
      <w:lvlJc w:val="left"/>
      <w:pPr>
        <w:ind w:left="2430" w:hanging="420"/>
      </w:pPr>
    </w:lvl>
    <w:lvl w:ilvl="5" w:tentative="0">
      <w:start w:val="1"/>
      <w:numFmt w:val="lowerRoman"/>
      <w:lvlText w:val="%6."/>
      <w:lvlJc w:val="right"/>
      <w:pPr>
        <w:ind w:left="2850" w:hanging="420"/>
      </w:pPr>
    </w:lvl>
    <w:lvl w:ilvl="6" w:tentative="0">
      <w:start w:val="1"/>
      <w:numFmt w:val="decimal"/>
      <w:lvlText w:val="%7."/>
      <w:lvlJc w:val="left"/>
      <w:pPr>
        <w:ind w:left="3270" w:hanging="420"/>
      </w:pPr>
    </w:lvl>
    <w:lvl w:ilvl="7" w:tentative="0">
      <w:start w:val="1"/>
      <w:numFmt w:val="lowerLetter"/>
      <w:lvlText w:val="%8)"/>
      <w:lvlJc w:val="left"/>
      <w:pPr>
        <w:ind w:left="3690" w:hanging="420"/>
      </w:pPr>
    </w:lvl>
    <w:lvl w:ilvl="8" w:tentative="0">
      <w:start w:val="1"/>
      <w:numFmt w:val="lowerRoman"/>
      <w:lvlText w:val="%9."/>
      <w:lvlJc w:val="right"/>
      <w:pPr>
        <w:ind w:left="4110" w:hanging="420"/>
      </w:pPr>
    </w:lvl>
  </w:abstractNum>
  <w:abstractNum w:abstractNumId="25">
    <w:nsid w:val="1808B767"/>
    <w:multiLevelType w:val="multilevel"/>
    <w:tmpl w:val="1808B767"/>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6">
    <w:nsid w:val="18C1EDA2"/>
    <w:multiLevelType w:val="multilevel"/>
    <w:tmpl w:val="18C1EDA2"/>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7">
    <w:nsid w:val="1DD3B500"/>
    <w:multiLevelType w:val="singleLevel"/>
    <w:tmpl w:val="1DD3B500"/>
    <w:lvl w:ilvl="0" w:tentative="0">
      <w:start w:val="1"/>
      <w:numFmt w:val="decimalEnclosedCircleChinese"/>
      <w:suff w:val="nothing"/>
      <w:lvlText w:val="%1　"/>
      <w:lvlJc w:val="left"/>
      <w:pPr>
        <w:ind w:left="0" w:firstLine="400"/>
      </w:pPr>
      <w:rPr>
        <w:rFonts w:hint="eastAsia"/>
      </w:rPr>
    </w:lvl>
  </w:abstractNum>
  <w:abstractNum w:abstractNumId="28">
    <w:nsid w:val="1DE6CA46"/>
    <w:multiLevelType w:val="multilevel"/>
    <w:tmpl w:val="1DE6CA46"/>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9">
    <w:nsid w:val="1E507798"/>
    <w:multiLevelType w:val="multilevel"/>
    <w:tmpl w:val="1E507798"/>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0">
    <w:nsid w:val="1E5719E2"/>
    <w:multiLevelType w:val="multilevel"/>
    <w:tmpl w:val="1E5719E2"/>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1">
    <w:nsid w:val="1FBAA356"/>
    <w:multiLevelType w:val="multilevel"/>
    <w:tmpl w:val="1FBAA356"/>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2">
    <w:nsid w:val="2434239E"/>
    <w:multiLevelType w:val="multilevel"/>
    <w:tmpl w:val="2434239E"/>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3">
    <w:nsid w:val="270C2544"/>
    <w:multiLevelType w:val="multilevel"/>
    <w:tmpl w:val="270C254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27D639A9"/>
    <w:multiLevelType w:val="multilevel"/>
    <w:tmpl w:val="27D639A9"/>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5">
    <w:nsid w:val="283A0536"/>
    <w:multiLevelType w:val="multilevel"/>
    <w:tmpl w:val="283A0536"/>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6">
    <w:nsid w:val="2B127F5B"/>
    <w:multiLevelType w:val="multilevel"/>
    <w:tmpl w:val="2B127F5B"/>
    <w:lvl w:ilvl="0" w:tentative="0">
      <w:start w:val="1"/>
      <w:numFmt w:val="decimal"/>
      <w:lvlText w:val="%1)"/>
      <w:lvlJc w:val="left"/>
      <w:pPr>
        <w:ind w:left="862" w:hanging="420"/>
      </w:pPr>
    </w:lvl>
    <w:lvl w:ilvl="1" w:tentative="0">
      <w:start w:val="1"/>
      <w:numFmt w:val="lowerLetter"/>
      <w:lvlText w:val="%2)"/>
      <w:lvlJc w:val="left"/>
      <w:pPr>
        <w:ind w:left="1282" w:hanging="420"/>
      </w:pPr>
    </w:lvl>
    <w:lvl w:ilvl="2" w:tentative="0">
      <w:start w:val="1"/>
      <w:numFmt w:val="lowerRoman"/>
      <w:lvlText w:val="%3."/>
      <w:lvlJc w:val="right"/>
      <w:pPr>
        <w:ind w:left="1702" w:hanging="420"/>
      </w:pPr>
    </w:lvl>
    <w:lvl w:ilvl="3" w:tentative="0">
      <w:start w:val="1"/>
      <w:numFmt w:val="decimal"/>
      <w:lvlText w:val="%4."/>
      <w:lvlJc w:val="left"/>
      <w:pPr>
        <w:ind w:left="2122" w:hanging="420"/>
      </w:pPr>
    </w:lvl>
    <w:lvl w:ilvl="4" w:tentative="0">
      <w:start w:val="1"/>
      <w:numFmt w:val="lowerLetter"/>
      <w:lvlText w:val="%5)"/>
      <w:lvlJc w:val="left"/>
      <w:pPr>
        <w:ind w:left="2542" w:hanging="420"/>
      </w:pPr>
    </w:lvl>
    <w:lvl w:ilvl="5" w:tentative="0">
      <w:start w:val="1"/>
      <w:numFmt w:val="lowerRoman"/>
      <w:lvlText w:val="%6."/>
      <w:lvlJc w:val="right"/>
      <w:pPr>
        <w:ind w:left="2962" w:hanging="420"/>
      </w:pPr>
    </w:lvl>
    <w:lvl w:ilvl="6" w:tentative="0">
      <w:start w:val="1"/>
      <w:numFmt w:val="decimal"/>
      <w:lvlText w:val="%7."/>
      <w:lvlJc w:val="left"/>
      <w:pPr>
        <w:ind w:left="3382" w:hanging="420"/>
      </w:pPr>
    </w:lvl>
    <w:lvl w:ilvl="7" w:tentative="0">
      <w:start w:val="1"/>
      <w:numFmt w:val="lowerLetter"/>
      <w:lvlText w:val="%8)"/>
      <w:lvlJc w:val="left"/>
      <w:pPr>
        <w:ind w:left="3802" w:hanging="420"/>
      </w:pPr>
    </w:lvl>
    <w:lvl w:ilvl="8" w:tentative="0">
      <w:start w:val="1"/>
      <w:numFmt w:val="lowerRoman"/>
      <w:lvlText w:val="%9."/>
      <w:lvlJc w:val="right"/>
      <w:pPr>
        <w:ind w:left="4222" w:hanging="420"/>
      </w:pPr>
    </w:lvl>
  </w:abstractNum>
  <w:abstractNum w:abstractNumId="37">
    <w:nsid w:val="2C98C600"/>
    <w:multiLevelType w:val="singleLevel"/>
    <w:tmpl w:val="2C98C600"/>
    <w:lvl w:ilvl="0" w:tentative="0">
      <w:start w:val="1"/>
      <w:numFmt w:val="decimal"/>
      <w:lvlText w:val="%1."/>
      <w:lvlJc w:val="left"/>
      <w:pPr>
        <w:ind w:left="425" w:hanging="425"/>
      </w:pPr>
      <w:rPr>
        <w:rFonts w:hint="default"/>
      </w:rPr>
    </w:lvl>
  </w:abstractNum>
  <w:abstractNum w:abstractNumId="38">
    <w:nsid w:val="2CFDCB7F"/>
    <w:multiLevelType w:val="multilevel"/>
    <w:tmpl w:val="2CFDCB7F"/>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9">
    <w:nsid w:val="37E9328B"/>
    <w:multiLevelType w:val="multilevel"/>
    <w:tmpl w:val="37E9328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0">
    <w:nsid w:val="3CC351E3"/>
    <w:multiLevelType w:val="multilevel"/>
    <w:tmpl w:val="3CC351E3"/>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41">
    <w:nsid w:val="3F31A2EA"/>
    <w:multiLevelType w:val="singleLevel"/>
    <w:tmpl w:val="3F31A2EA"/>
    <w:lvl w:ilvl="0" w:tentative="0">
      <w:start w:val="1"/>
      <w:numFmt w:val="decimal"/>
      <w:lvlText w:val="%1."/>
      <w:lvlJc w:val="left"/>
      <w:pPr>
        <w:ind w:left="425" w:hanging="425"/>
      </w:pPr>
      <w:rPr>
        <w:rFonts w:hint="default"/>
      </w:rPr>
    </w:lvl>
  </w:abstractNum>
  <w:abstractNum w:abstractNumId="42">
    <w:nsid w:val="44A246E4"/>
    <w:multiLevelType w:val="multilevel"/>
    <w:tmpl w:val="44A246E4"/>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3">
    <w:nsid w:val="45DC5E2A"/>
    <w:multiLevelType w:val="multilevel"/>
    <w:tmpl w:val="45DC5E2A"/>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44">
    <w:nsid w:val="4B8E5DBA"/>
    <w:multiLevelType w:val="multilevel"/>
    <w:tmpl w:val="4B8E5DBA"/>
    <w:lvl w:ilvl="0" w:tentative="0">
      <w:start w:val="1"/>
      <w:numFmt w:val="chineseCountingThousand"/>
      <w:lvlText w:val="(%1)"/>
      <w:lvlJc w:val="left"/>
      <w:pPr>
        <w:ind w:left="420" w:hanging="420"/>
      </w:pPr>
    </w:lvl>
    <w:lvl w:ilvl="1" w:tentative="0">
      <w:start w:val="1"/>
      <w:numFmt w:val="chineseCountingThousand"/>
      <w:lvlText w:val="(%2)"/>
      <w:lvlJc w:val="left"/>
      <w:pPr>
        <w:ind w:left="272" w:firstLine="148"/>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49DB4B5"/>
    <w:multiLevelType w:val="multilevel"/>
    <w:tmpl w:val="549DB4B5"/>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6">
    <w:nsid w:val="54F403B5"/>
    <w:multiLevelType w:val="singleLevel"/>
    <w:tmpl w:val="54F403B5"/>
    <w:lvl w:ilvl="0" w:tentative="0">
      <w:start w:val="1"/>
      <w:numFmt w:val="chineseCounting"/>
      <w:suff w:val="nothing"/>
      <w:lvlText w:val="%1、"/>
      <w:lvlJc w:val="left"/>
      <w:pPr>
        <w:ind w:left="0" w:firstLine="0"/>
      </w:pPr>
    </w:lvl>
  </w:abstractNum>
  <w:abstractNum w:abstractNumId="47">
    <w:nsid w:val="557FD3DA"/>
    <w:multiLevelType w:val="singleLevel"/>
    <w:tmpl w:val="557FD3DA"/>
    <w:lvl w:ilvl="0" w:tentative="0">
      <w:start w:val="3"/>
      <w:numFmt w:val="chineseCounting"/>
      <w:suff w:val="nothing"/>
      <w:lvlText w:val="%1、"/>
      <w:lvlJc w:val="left"/>
      <w:pPr>
        <w:ind w:left="0" w:firstLine="0"/>
      </w:pPr>
    </w:lvl>
  </w:abstractNum>
  <w:abstractNum w:abstractNumId="48">
    <w:nsid w:val="572A8CE4"/>
    <w:multiLevelType w:val="multilevel"/>
    <w:tmpl w:val="572A8CE4"/>
    <w:lvl w:ilvl="0" w:tentative="0">
      <w:start w:val="1"/>
      <w:numFmt w:val="none"/>
      <w:lvlText w:val="2"/>
      <w:lvlJc w:val="left"/>
      <w:pPr>
        <w:tabs>
          <w:tab w:val="left" w:pos="425"/>
        </w:tabs>
        <w:ind w:left="425" w:hanging="425"/>
      </w:pPr>
      <w:rPr>
        <w:rFonts w:hint="eastAsia"/>
      </w:rPr>
    </w:lvl>
    <w:lvl w:ilvl="1" w:tentative="0">
      <w:start w:val="1"/>
      <w:numFmt w:val="decimal"/>
      <w:lvlText w:val="%19.%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9">
    <w:nsid w:val="5A3C92CC"/>
    <w:multiLevelType w:val="singleLevel"/>
    <w:tmpl w:val="5A3C92CC"/>
    <w:lvl w:ilvl="0" w:tentative="0">
      <w:start w:val="1"/>
      <w:numFmt w:val="decimalEnclosedCircleChinese"/>
      <w:suff w:val="nothing"/>
      <w:lvlText w:val="%1　"/>
      <w:lvlJc w:val="left"/>
      <w:pPr>
        <w:ind w:firstLine="400"/>
      </w:pPr>
      <w:rPr>
        <w:rFonts w:hint="eastAsia" w:cs="Times New Roman"/>
      </w:rPr>
    </w:lvl>
  </w:abstractNum>
  <w:abstractNum w:abstractNumId="50">
    <w:nsid w:val="65832174"/>
    <w:multiLevelType w:val="multilevel"/>
    <w:tmpl w:val="65832174"/>
    <w:lvl w:ilvl="0" w:tentative="0">
      <w:start w:val="1"/>
      <w:numFmt w:val="decimal"/>
      <w:lvlText w:val="%1)"/>
      <w:lvlJc w:val="left"/>
      <w:pPr>
        <w:ind w:left="530" w:hanging="420"/>
      </w:p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51">
    <w:nsid w:val="7B9B3A13"/>
    <w:multiLevelType w:val="singleLevel"/>
    <w:tmpl w:val="7B9B3A13"/>
    <w:lvl w:ilvl="0" w:tentative="0">
      <w:start w:val="1"/>
      <w:numFmt w:val="decimalEnclosedCircleChinese"/>
      <w:lvlText w:val="%1　"/>
      <w:lvlJc w:val="left"/>
      <w:pPr>
        <w:ind w:left="420" w:hanging="420"/>
      </w:pPr>
      <w:rPr>
        <w:rFonts w:hint="eastAsia"/>
      </w:rPr>
    </w:lvl>
  </w:abstractNum>
  <w:num w:numId="1">
    <w:abstractNumId w:val="6"/>
  </w:num>
  <w:num w:numId="2">
    <w:abstractNumId w:val="1"/>
  </w:num>
  <w:num w:numId="3">
    <w:abstractNumId w:val="27"/>
  </w:num>
  <w:num w:numId="4">
    <w:abstractNumId w:val="0"/>
  </w:num>
  <w:num w:numId="5">
    <w:abstractNumId w:val="49"/>
  </w:num>
  <w:num w:numId="6">
    <w:abstractNumId w:val="18"/>
  </w:num>
  <w:num w:numId="7">
    <w:abstractNumId w:val="9"/>
  </w:num>
  <w:num w:numId="8">
    <w:abstractNumId w:val="41"/>
  </w:num>
  <w:num w:numId="9">
    <w:abstractNumId w:val="4"/>
  </w:num>
  <w:num w:numId="10">
    <w:abstractNumId w:val="32"/>
  </w:num>
  <w:num w:numId="11">
    <w:abstractNumId w:val="28"/>
  </w:num>
  <w:num w:numId="12">
    <w:abstractNumId w:val="30"/>
  </w:num>
  <w:num w:numId="13">
    <w:abstractNumId w:val="31"/>
  </w:num>
  <w:num w:numId="14">
    <w:abstractNumId w:val="2"/>
  </w:num>
  <w:num w:numId="15">
    <w:abstractNumId w:val="23"/>
  </w:num>
  <w:num w:numId="16">
    <w:abstractNumId w:val="51"/>
  </w:num>
  <w:num w:numId="17">
    <w:abstractNumId w:val="7"/>
  </w:num>
  <w:num w:numId="18">
    <w:abstractNumId w:val="39"/>
  </w:num>
  <w:num w:numId="19">
    <w:abstractNumId w:val="21"/>
  </w:num>
  <w:num w:numId="20">
    <w:abstractNumId w:val="13"/>
  </w:num>
  <w:num w:numId="21">
    <w:abstractNumId w:val="20"/>
  </w:num>
  <w:num w:numId="22">
    <w:abstractNumId w:val="48"/>
  </w:num>
  <w:num w:numId="23">
    <w:abstractNumId w:val="40"/>
  </w:num>
  <w:num w:numId="24">
    <w:abstractNumId w:val="15"/>
  </w:num>
  <w:num w:numId="25">
    <w:abstractNumId w:val="29"/>
  </w:num>
  <w:num w:numId="26">
    <w:abstractNumId w:val="5"/>
  </w:num>
  <w:num w:numId="27">
    <w:abstractNumId w:val="11"/>
  </w:num>
  <w:num w:numId="28">
    <w:abstractNumId w:val="34"/>
  </w:num>
  <w:num w:numId="29">
    <w:abstractNumId w:val="50"/>
  </w:num>
  <w:num w:numId="30">
    <w:abstractNumId w:val="38"/>
  </w:num>
  <w:num w:numId="31">
    <w:abstractNumId w:val="45"/>
  </w:num>
  <w:num w:numId="32">
    <w:abstractNumId w:val="33"/>
  </w:num>
  <w:num w:numId="33">
    <w:abstractNumId w:val="26"/>
  </w:num>
  <w:num w:numId="34">
    <w:abstractNumId w:val="19"/>
  </w:num>
  <w:num w:numId="35">
    <w:abstractNumId w:val="36"/>
  </w:num>
  <w:num w:numId="36">
    <w:abstractNumId w:val="8"/>
  </w:num>
  <w:num w:numId="37">
    <w:abstractNumId w:val="35"/>
  </w:num>
  <w:num w:numId="38">
    <w:abstractNumId w:val="3"/>
  </w:num>
  <w:num w:numId="39">
    <w:abstractNumId w:val="16"/>
  </w:num>
  <w:num w:numId="40">
    <w:abstractNumId w:val="22"/>
  </w:num>
  <w:num w:numId="41">
    <w:abstractNumId w:val="17"/>
  </w:num>
  <w:num w:numId="42">
    <w:abstractNumId w:val="25"/>
  </w:num>
  <w:num w:numId="43">
    <w:abstractNumId w:val="42"/>
  </w:num>
  <w:num w:numId="44">
    <w:abstractNumId w:val="10"/>
  </w:num>
  <w:num w:numId="45">
    <w:abstractNumId w:val="14"/>
  </w:num>
  <w:num w:numId="46">
    <w:abstractNumId w:val="24"/>
  </w:num>
  <w:num w:numId="47">
    <w:abstractNumId w:val="43"/>
  </w:num>
  <w:num w:numId="48">
    <w:abstractNumId w:val="44"/>
  </w:num>
  <w:num w:numId="49">
    <w:abstractNumId w:val="37"/>
  </w:num>
  <w:num w:numId="50">
    <w:abstractNumId w:val="12"/>
  </w:num>
  <w:num w:numId="51">
    <w:abstractNumId w:val="46"/>
  </w:num>
  <w:num w:numId="52">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38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hNzcwYWMxNDc0YjRjN2UxZDk1NTg4ZWEwNTIzZDUifQ=="/>
  </w:docVars>
  <w:rsids>
    <w:rsidRoot w:val="00C0263E"/>
    <w:rsid w:val="000009F5"/>
    <w:rsid w:val="0000118C"/>
    <w:rsid w:val="00001380"/>
    <w:rsid w:val="00002CB1"/>
    <w:rsid w:val="0000340D"/>
    <w:rsid w:val="00003A66"/>
    <w:rsid w:val="000053C0"/>
    <w:rsid w:val="000066EF"/>
    <w:rsid w:val="00007C55"/>
    <w:rsid w:val="00007D33"/>
    <w:rsid w:val="00011067"/>
    <w:rsid w:val="000115A8"/>
    <w:rsid w:val="00014395"/>
    <w:rsid w:val="00014590"/>
    <w:rsid w:val="00014C8E"/>
    <w:rsid w:val="00015251"/>
    <w:rsid w:val="000157E0"/>
    <w:rsid w:val="0001618C"/>
    <w:rsid w:val="00016208"/>
    <w:rsid w:val="00016969"/>
    <w:rsid w:val="000229EB"/>
    <w:rsid w:val="000237A7"/>
    <w:rsid w:val="000238E0"/>
    <w:rsid w:val="00023A93"/>
    <w:rsid w:val="00023BA5"/>
    <w:rsid w:val="0002481A"/>
    <w:rsid w:val="00025CDD"/>
    <w:rsid w:val="00026C3B"/>
    <w:rsid w:val="000301C4"/>
    <w:rsid w:val="0003039C"/>
    <w:rsid w:val="00030937"/>
    <w:rsid w:val="00033B38"/>
    <w:rsid w:val="00034BF8"/>
    <w:rsid w:val="00034E38"/>
    <w:rsid w:val="00035750"/>
    <w:rsid w:val="00035CCB"/>
    <w:rsid w:val="00036E25"/>
    <w:rsid w:val="00040402"/>
    <w:rsid w:val="0004164F"/>
    <w:rsid w:val="00042E2F"/>
    <w:rsid w:val="00043009"/>
    <w:rsid w:val="000444E6"/>
    <w:rsid w:val="0004573A"/>
    <w:rsid w:val="0005052D"/>
    <w:rsid w:val="000506B4"/>
    <w:rsid w:val="000515F3"/>
    <w:rsid w:val="00052EC4"/>
    <w:rsid w:val="000548DE"/>
    <w:rsid w:val="00054D5C"/>
    <w:rsid w:val="00054FC6"/>
    <w:rsid w:val="000560AE"/>
    <w:rsid w:val="00060505"/>
    <w:rsid w:val="000611E3"/>
    <w:rsid w:val="000622C1"/>
    <w:rsid w:val="0006286C"/>
    <w:rsid w:val="00063E50"/>
    <w:rsid w:val="0006448F"/>
    <w:rsid w:val="000649D3"/>
    <w:rsid w:val="000665E3"/>
    <w:rsid w:val="000671DC"/>
    <w:rsid w:val="0007024A"/>
    <w:rsid w:val="00070481"/>
    <w:rsid w:val="0007050C"/>
    <w:rsid w:val="000722C5"/>
    <w:rsid w:val="00072310"/>
    <w:rsid w:val="0007247B"/>
    <w:rsid w:val="00073304"/>
    <w:rsid w:val="00074B78"/>
    <w:rsid w:val="00075C22"/>
    <w:rsid w:val="00076686"/>
    <w:rsid w:val="0008019F"/>
    <w:rsid w:val="000803DE"/>
    <w:rsid w:val="000811D4"/>
    <w:rsid w:val="00081E28"/>
    <w:rsid w:val="0008207A"/>
    <w:rsid w:val="000832C8"/>
    <w:rsid w:val="00083799"/>
    <w:rsid w:val="000861D1"/>
    <w:rsid w:val="0008646C"/>
    <w:rsid w:val="000873E1"/>
    <w:rsid w:val="00087F08"/>
    <w:rsid w:val="00090259"/>
    <w:rsid w:val="00092D6D"/>
    <w:rsid w:val="000930EA"/>
    <w:rsid w:val="00094254"/>
    <w:rsid w:val="00095884"/>
    <w:rsid w:val="000966E8"/>
    <w:rsid w:val="00096ABD"/>
    <w:rsid w:val="000A0528"/>
    <w:rsid w:val="000A144D"/>
    <w:rsid w:val="000A328D"/>
    <w:rsid w:val="000A390D"/>
    <w:rsid w:val="000A3F6F"/>
    <w:rsid w:val="000A4DF8"/>
    <w:rsid w:val="000A5466"/>
    <w:rsid w:val="000A5ADF"/>
    <w:rsid w:val="000A63F5"/>
    <w:rsid w:val="000A7842"/>
    <w:rsid w:val="000B09D6"/>
    <w:rsid w:val="000B09F3"/>
    <w:rsid w:val="000B1182"/>
    <w:rsid w:val="000B1199"/>
    <w:rsid w:val="000B1688"/>
    <w:rsid w:val="000B36A7"/>
    <w:rsid w:val="000B5427"/>
    <w:rsid w:val="000B5DD6"/>
    <w:rsid w:val="000B5FCA"/>
    <w:rsid w:val="000B6132"/>
    <w:rsid w:val="000C2262"/>
    <w:rsid w:val="000C27EC"/>
    <w:rsid w:val="000C3D0E"/>
    <w:rsid w:val="000C5FB8"/>
    <w:rsid w:val="000C7809"/>
    <w:rsid w:val="000C7CBF"/>
    <w:rsid w:val="000D3013"/>
    <w:rsid w:val="000D3236"/>
    <w:rsid w:val="000D73D9"/>
    <w:rsid w:val="000D7C89"/>
    <w:rsid w:val="000E2193"/>
    <w:rsid w:val="000E2A62"/>
    <w:rsid w:val="000E4534"/>
    <w:rsid w:val="000E6B70"/>
    <w:rsid w:val="000E75FB"/>
    <w:rsid w:val="000F0294"/>
    <w:rsid w:val="000F1CB3"/>
    <w:rsid w:val="000F2728"/>
    <w:rsid w:val="000F33BB"/>
    <w:rsid w:val="000F3619"/>
    <w:rsid w:val="000F5693"/>
    <w:rsid w:val="000F64BF"/>
    <w:rsid w:val="000F79A4"/>
    <w:rsid w:val="000F7AE5"/>
    <w:rsid w:val="000F7C73"/>
    <w:rsid w:val="00101644"/>
    <w:rsid w:val="00101A77"/>
    <w:rsid w:val="00101AC0"/>
    <w:rsid w:val="001020F4"/>
    <w:rsid w:val="00103097"/>
    <w:rsid w:val="001030C3"/>
    <w:rsid w:val="001030C6"/>
    <w:rsid w:val="0010568D"/>
    <w:rsid w:val="001064A6"/>
    <w:rsid w:val="0010684A"/>
    <w:rsid w:val="00107EF0"/>
    <w:rsid w:val="00112030"/>
    <w:rsid w:val="00114920"/>
    <w:rsid w:val="001156FE"/>
    <w:rsid w:val="00123BAD"/>
    <w:rsid w:val="00124127"/>
    <w:rsid w:val="00126280"/>
    <w:rsid w:val="001263CA"/>
    <w:rsid w:val="001266BF"/>
    <w:rsid w:val="00130AF0"/>
    <w:rsid w:val="00131E83"/>
    <w:rsid w:val="0013221F"/>
    <w:rsid w:val="001325EF"/>
    <w:rsid w:val="00132C17"/>
    <w:rsid w:val="00133211"/>
    <w:rsid w:val="00134351"/>
    <w:rsid w:val="00134F4E"/>
    <w:rsid w:val="00136160"/>
    <w:rsid w:val="0013760C"/>
    <w:rsid w:val="001377FC"/>
    <w:rsid w:val="00137F40"/>
    <w:rsid w:val="00140223"/>
    <w:rsid w:val="001424BC"/>
    <w:rsid w:val="00142EB9"/>
    <w:rsid w:val="00143117"/>
    <w:rsid w:val="0014546D"/>
    <w:rsid w:val="00146114"/>
    <w:rsid w:val="0014791A"/>
    <w:rsid w:val="001508A1"/>
    <w:rsid w:val="00150AA7"/>
    <w:rsid w:val="001528B3"/>
    <w:rsid w:val="001528EB"/>
    <w:rsid w:val="00152A36"/>
    <w:rsid w:val="001547EB"/>
    <w:rsid w:val="0015505B"/>
    <w:rsid w:val="00155310"/>
    <w:rsid w:val="00156F66"/>
    <w:rsid w:val="0016030B"/>
    <w:rsid w:val="00160445"/>
    <w:rsid w:val="00161CFC"/>
    <w:rsid w:val="00161EA2"/>
    <w:rsid w:val="00161ECC"/>
    <w:rsid w:val="00162A58"/>
    <w:rsid w:val="00162E8F"/>
    <w:rsid w:val="00163C20"/>
    <w:rsid w:val="00165188"/>
    <w:rsid w:val="00165F5B"/>
    <w:rsid w:val="001671DC"/>
    <w:rsid w:val="0016795B"/>
    <w:rsid w:val="00167ACA"/>
    <w:rsid w:val="00170B47"/>
    <w:rsid w:val="00170C20"/>
    <w:rsid w:val="00170E49"/>
    <w:rsid w:val="0017187B"/>
    <w:rsid w:val="00174EB3"/>
    <w:rsid w:val="001754BF"/>
    <w:rsid w:val="00175520"/>
    <w:rsid w:val="00175E74"/>
    <w:rsid w:val="00177526"/>
    <w:rsid w:val="00180634"/>
    <w:rsid w:val="00180C7B"/>
    <w:rsid w:val="00181085"/>
    <w:rsid w:val="0018186B"/>
    <w:rsid w:val="00183F0E"/>
    <w:rsid w:val="00184846"/>
    <w:rsid w:val="00186674"/>
    <w:rsid w:val="001866ED"/>
    <w:rsid w:val="00186E54"/>
    <w:rsid w:val="00187CAD"/>
    <w:rsid w:val="00193B17"/>
    <w:rsid w:val="0019491C"/>
    <w:rsid w:val="0019588E"/>
    <w:rsid w:val="00195C4F"/>
    <w:rsid w:val="0019610B"/>
    <w:rsid w:val="001966EF"/>
    <w:rsid w:val="00197748"/>
    <w:rsid w:val="00197786"/>
    <w:rsid w:val="00197CB8"/>
    <w:rsid w:val="001A2414"/>
    <w:rsid w:val="001A370B"/>
    <w:rsid w:val="001A441F"/>
    <w:rsid w:val="001A4BA7"/>
    <w:rsid w:val="001A57FC"/>
    <w:rsid w:val="001A687D"/>
    <w:rsid w:val="001A6C5A"/>
    <w:rsid w:val="001B0BAA"/>
    <w:rsid w:val="001B1B9B"/>
    <w:rsid w:val="001B2696"/>
    <w:rsid w:val="001B28CB"/>
    <w:rsid w:val="001B45D2"/>
    <w:rsid w:val="001B5B34"/>
    <w:rsid w:val="001C0431"/>
    <w:rsid w:val="001C0FC5"/>
    <w:rsid w:val="001C1820"/>
    <w:rsid w:val="001C239E"/>
    <w:rsid w:val="001C4F6D"/>
    <w:rsid w:val="001C5219"/>
    <w:rsid w:val="001C5EFC"/>
    <w:rsid w:val="001D11DE"/>
    <w:rsid w:val="001D2CF5"/>
    <w:rsid w:val="001D4025"/>
    <w:rsid w:val="001D542B"/>
    <w:rsid w:val="001D5DDD"/>
    <w:rsid w:val="001D63C0"/>
    <w:rsid w:val="001D6B9A"/>
    <w:rsid w:val="001D6CA6"/>
    <w:rsid w:val="001D7241"/>
    <w:rsid w:val="001D7551"/>
    <w:rsid w:val="001D76AB"/>
    <w:rsid w:val="001E013B"/>
    <w:rsid w:val="001E376F"/>
    <w:rsid w:val="001E5262"/>
    <w:rsid w:val="001E66DD"/>
    <w:rsid w:val="001E7237"/>
    <w:rsid w:val="001E726C"/>
    <w:rsid w:val="001F24A5"/>
    <w:rsid w:val="001F362D"/>
    <w:rsid w:val="001F3B6E"/>
    <w:rsid w:val="001F430D"/>
    <w:rsid w:val="001F5880"/>
    <w:rsid w:val="001F69BE"/>
    <w:rsid w:val="00201E84"/>
    <w:rsid w:val="00201FC4"/>
    <w:rsid w:val="00205213"/>
    <w:rsid w:val="0020571F"/>
    <w:rsid w:val="00211497"/>
    <w:rsid w:val="002114C3"/>
    <w:rsid w:val="00212117"/>
    <w:rsid w:val="00213222"/>
    <w:rsid w:val="00214475"/>
    <w:rsid w:val="00214568"/>
    <w:rsid w:val="00216E04"/>
    <w:rsid w:val="00217341"/>
    <w:rsid w:val="00217721"/>
    <w:rsid w:val="00217E51"/>
    <w:rsid w:val="00220A8C"/>
    <w:rsid w:val="00221867"/>
    <w:rsid w:val="002225DC"/>
    <w:rsid w:val="002241B4"/>
    <w:rsid w:val="00224B8F"/>
    <w:rsid w:val="00225F76"/>
    <w:rsid w:val="00226492"/>
    <w:rsid w:val="0022687E"/>
    <w:rsid w:val="00231563"/>
    <w:rsid w:val="00233E84"/>
    <w:rsid w:val="002352A0"/>
    <w:rsid w:val="002356C2"/>
    <w:rsid w:val="002357FB"/>
    <w:rsid w:val="002358F4"/>
    <w:rsid w:val="0023642E"/>
    <w:rsid w:val="00240C65"/>
    <w:rsid w:val="00241F03"/>
    <w:rsid w:val="00242271"/>
    <w:rsid w:val="00242B3E"/>
    <w:rsid w:val="00243AC5"/>
    <w:rsid w:val="00243B0E"/>
    <w:rsid w:val="00244F16"/>
    <w:rsid w:val="00245B20"/>
    <w:rsid w:val="00246320"/>
    <w:rsid w:val="0024772A"/>
    <w:rsid w:val="00250036"/>
    <w:rsid w:val="00251A22"/>
    <w:rsid w:val="0025244C"/>
    <w:rsid w:val="00254330"/>
    <w:rsid w:val="00254A99"/>
    <w:rsid w:val="00256997"/>
    <w:rsid w:val="002602F6"/>
    <w:rsid w:val="00260378"/>
    <w:rsid w:val="00264B34"/>
    <w:rsid w:val="002652D9"/>
    <w:rsid w:val="002659A6"/>
    <w:rsid w:val="0026651F"/>
    <w:rsid w:val="0026686D"/>
    <w:rsid w:val="002712BB"/>
    <w:rsid w:val="00271B69"/>
    <w:rsid w:val="00272CB0"/>
    <w:rsid w:val="00275C95"/>
    <w:rsid w:val="002768CF"/>
    <w:rsid w:val="002770B7"/>
    <w:rsid w:val="00277460"/>
    <w:rsid w:val="00280A65"/>
    <w:rsid w:val="00280FEF"/>
    <w:rsid w:val="0028109A"/>
    <w:rsid w:val="00281DDC"/>
    <w:rsid w:val="00282FD5"/>
    <w:rsid w:val="00285AAF"/>
    <w:rsid w:val="00286DD8"/>
    <w:rsid w:val="00286F17"/>
    <w:rsid w:val="00287A2E"/>
    <w:rsid w:val="0029043C"/>
    <w:rsid w:val="00290CB4"/>
    <w:rsid w:val="00291B72"/>
    <w:rsid w:val="00291D32"/>
    <w:rsid w:val="0029218D"/>
    <w:rsid w:val="00292455"/>
    <w:rsid w:val="00292814"/>
    <w:rsid w:val="002928CA"/>
    <w:rsid w:val="00294454"/>
    <w:rsid w:val="00295525"/>
    <w:rsid w:val="00295F60"/>
    <w:rsid w:val="002A02F3"/>
    <w:rsid w:val="002A051B"/>
    <w:rsid w:val="002A28B3"/>
    <w:rsid w:val="002A6B85"/>
    <w:rsid w:val="002A6BD5"/>
    <w:rsid w:val="002B038E"/>
    <w:rsid w:val="002B0545"/>
    <w:rsid w:val="002B066A"/>
    <w:rsid w:val="002B0A1B"/>
    <w:rsid w:val="002B1B8F"/>
    <w:rsid w:val="002B1C31"/>
    <w:rsid w:val="002B2154"/>
    <w:rsid w:val="002B41F4"/>
    <w:rsid w:val="002B4A6A"/>
    <w:rsid w:val="002B4D23"/>
    <w:rsid w:val="002B7F08"/>
    <w:rsid w:val="002C2E5B"/>
    <w:rsid w:val="002C3295"/>
    <w:rsid w:val="002C58AB"/>
    <w:rsid w:val="002C64A3"/>
    <w:rsid w:val="002C6AE5"/>
    <w:rsid w:val="002D0A09"/>
    <w:rsid w:val="002D2571"/>
    <w:rsid w:val="002D3563"/>
    <w:rsid w:val="002D6CCA"/>
    <w:rsid w:val="002D7C9E"/>
    <w:rsid w:val="002E09BA"/>
    <w:rsid w:val="002E0B9B"/>
    <w:rsid w:val="002E1874"/>
    <w:rsid w:val="002E1F1D"/>
    <w:rsid w:val="002E3588"/>
    <w:rsid w:val="002E369D"/>
    <w:rsid w:val="002E414F"/>
    <w:rsid w:val="002E4D98"/>
    <w:rsid w:val="002E4FC2"/>
    <w:rsid w:val="002E621E"/>
    <w:rsid w:val="002E7FC6"/>
    <w:rsid w:val="002F1A8C"/>
    <w:rsid w:val="002F205E"/>
    <w:rsid w:val="002F2128"/>
    <w:rsid w:val="002F4EE5"/>
    <w:rsid w:val="002F6F42"/>
    <w:rsid w:val="002F74AD"/>
    <w:rsid w:val="0030357F"/>
    <w:rsid w:val="003049BB"/>
    <w:rsid w:val="003051A4"/>
    <w:rsid w:val="00306C91"/>
    <w:rsid w:val="00307EEB"/>
    <w:rsid w:val="00307F4F"/>
    <w:rsid w:val="00310B99"/>
    <w:rsid w:val="00311763"/>
    <w:rsid w:val="00311CAC"/>
    <w:rsid w:val="00311E34"/>
    <w:rsid w:val="0031250D"/>
    <w:rsid w:val="00313693"/>
    <w:rsid w:val="003149C7"/>
    <w:rsid w:val="00314D0E"/>
    <w:rsid w:val="00314DC2"/>
    <w:rsid w:val="00315B4A"/>
    <w:rsid w:val="00315C51"/>
    <w:rsid w:val="00315EDD"/>
    <w:rsid w:val="00316A41"/>
    <w:rsid w:val="0032241D"/>
    <w:rsid w:val="003227D9"/>
    <w:rsid w:val="00325D8E"/>
    <w:rsid w:val="00326910"/>
    <w:rsid w:val="00330173"/>
    <w:rsid w:val="003306ED"/>
    <w:rsid w:val="003316FD"/>
    <w:rsid w:val="00331756"/>
    <w:rsid w:val="00331834"/>
    <w:rsid w:val="003337FC"/>
    <w:rsid w:val="00333B48"/>
    <w:rsid w:val="0033453F"/>
    <w:rsid w:val="00335FD1"/>
    <w:rsid w:val="0033603E"/>
    <w:rsid w:val="003367B8"/>
    <w:rsid w:val="0033694B"/>
    <w:rsid w:val="00336994"/>
    <w:rsid w:val="0033791E"/>
    <w:rsid w:val="00337E75"/>
    <w:rsid w:val="00341BF5"/>
    <w:rsid w:val="00342785"/>
    <w:rsid w:val="0034347F"/>
    <w:rsid w:val="003445DC"/>
    <w:rsid w:val="0034506F"/>
    <w:rsid w:val="0034675A"/>
    <w:rsid w:val="00346D10"/>
    <w:rsid w:val="003475ED"/>
    <w:rsid w:val="003478BA"/>
    <w:rsid w:val="00347A0A"/>
    <w:rsid w:val="00350E2E"/>
    <w:rsid w:val="003527E3"/>
    <w:rsid w:val="00352E06"/>
    <w:rsid w:val="003564E1"/>
    <w:rsid w:val="00356990"/>
    <w:rsid w:val="00356D20"/>
    <w:rsid w:val="00360BC0"/>
    <w:rsid w:val="00360D09"/>
    <w:rsid w:val="003612EF"/>
    <w:rsid w:val="00361E7B"/>
    <w:rsid w:val="00362A3D"/>
    <w:rsid w:val="003676A9"/>
    <w:rsid w:val="00370352"/>
    <w:rsid w:val="003706F7"/>
    <w:rsid w:val="00371F2C"/>
    <w:rsid w:val="0037242E"/>
    <w:rsid w:val="00372732"/>
    <w:rsid w:val="00372A07"/>
    <w:rsid w:val="00372CDC"/>
    <w:rsid w:val="00372D8B"/>
    <w:rsid w:val="00372E07"/>
    <w:rsid w:val="0037534C"/>
    <w:rsid w:val="00375AEB"/>
    <w:rsid w:val="0037609C"/>
    <w:rsid w:val="00377834"/>
    <w:rsid w:val="003802B8"/>
    <w:rsid w:val="00380F44"/>
    <w:rsid w:val="00382420"/>
    <w:rsid w:val="00382AE9"/>
    <w:rsid w:val="00383814"/>
    <w:rsid w:val="00383844"/>
    <w:rsid w:val="003839ED"/>
    <w:rsid w:val="00384395"/>
    <w:rsid w:val="00384768"/>
    <w:rsid w:val="00384FE1"/>
    <w:rsid w:val="0038509B"/>
    <w:rsid w:val="00385F49"/>
    <w:rsid w:val="00390522"/>
    <w:rsid w:val="00391BB8"/>
    <w:rsid w:val="00393AB0"/>
    <w:rsid w:val="00394A83"/>
    <w:rsid w:val="00394DE2"/>
    <w:rsid w:val="003A0DB0"/>
    <w:rsid w:val="003A18AB"/>
    <w:rsid w:val="003A1B28"/>
    <w:rsid w:val="003A3092"/>
    <w:rsid w:val="003A445D"/>
    <w:rsid w:val="003A5399"/>
    <w:rsid w:val="003A5A52"/>
    <w:rsid w:val="003A5B10"/>
    <w:rsid w:val="003A600E"/>
    <w:rsid w:val="003A6762"/>
    <w:rsid w:val="003A6AC6"/>
    <w:rsid w:val="003A6F84"/>
    <w:rsid w:val="003B0436"/>
    <w:rsid w:val="003B0B28"/>
    <w:rsid w:val="003B134F"/>
    <w:rsid w:val="003B19DA"/>
    <w:rsid w:val="003B2058"/>
    <w:rsid w:val="003B2DEF"/>
    <w:rsid w:val="003B4F56"/>
    <w:rsid w:val="003B5C88"/>
    <w:rsid w:val="003B6F69"/>
    <w:rsid w:val="003B7911"/>
    <w:rsid w:val="003C062B"/>
    <w:rsid w:val="003C1C86"/>
    <w:rsid w:val="003C22CE"/>
    <w:rsid w:val="003C2C1C"/>
    <w:rsid w:val="003C5248"/>
    <w:rsid w:val="003C527B"/>
    <w:rsid w:val="003C5441"/>
    <w:rsid w:val="003C5F9D"/>
    <w:rsid w:val="003C6940"/>
    <w:rsid w:val="003C7017"/>
    <w:rsid w:val="003C7F0C"/>
    <w:rsid w:val="003D06B1"/>
    <w:rsid w:val="003D0900"/>
    <w:rsid w:val="003D0D18"/>
    <w:rsid w:val="003D1EC8"/>
    <w:rsid w:val="003D360E"/>
    <w:rsid w:val="003D5126"/>
    <w:rsid w:val="003D689D"/>
    <w:rsid w:val="003D6E91"/>
    <w:rsid w:val="003D7CE8"/>
    <w:rsid w:val="003E1388"/>
    <w:rsid w:val="003E31FB"/>
    <w:rsid w:val="003E3905"/>
    <w:rsid w:val="003E3CFF"/>
    <w:rsid w:val="003E4F3E"/>
    <w:rsid w:val="003E50DF"/>
    <w:rsid w:val="003E5932"/>
    <w:rsid w:val="003E66DE"/>
    <w:rsid w:val="003E7E19"/>
    <w:rsid w:val="003F1618"/>
    <w:rsid w:val="003F1DEC"/>
    <w:rsid w:val="003F21CF"/>
    <w:rsid w:val="003F279A"/>
    <w:rsid w:val="003F29BD"/>
    <w:rsid w:val="003F3104"/>
    <w:rsid w:val="003F46CF"/>
    <w:rsid w:val="003F4CA7"/>
    <w:rsid w:val="003F5868"/>
    <w:rsid w:val="003F6C73"/>
    <w:rsid w:val="003F7552"/>
    <w:rsid w:val="00401278"/>
    <w:rsid w:val="0040174F"/>
    <w:rsid w:val="0040240A"/>
    <w:rsid w:val="00402BF2"/>
    <w:rsid w:val="00403D22"/>
    <w:rsid w:val="00405E4E"/>
    <w:rsid w:val="00406893"/>
    <w:rsid w:val="00410A3B"/>
    <w:rsid w:val="00410D1B"/>
    <w:rsid w:val="004115FE"/>
    <w:rsid w:val="00413595"/>
    <w:rsid w:val="00413B2D"/>
    <w:rsid w:val="00413F45"/>
    <w:rsid w:val="00415266"/>
    <w:rsid w:val="00415935"/>
    <w:rsid w:val="00415D57"/>
    <w:rsid w:val="004179AC"/>
    <w:rsid w:val="00420438"/>
    <w:rsid w:val="00420A03"/>
    <w:rsid w:val="0042103B"/>
    <w:rsid w:val="00421DA6"/>
    <w:rsid w:val="00423A55"/>
    <w:rsid w:val="00424BCF"/>
    <w:rsid w:val="00425EA7"/>
    <w:rsid w:val="00425FF5"/>
    <w:rsid w:val="00426345"/>
    <w:rsid w:val="00426A16"/>
    <w:rsid w:val="00426C0F"/>
    <w:rsid w:val="00426CD8"/>
    <w:rsid w:val="00426F87"/>
    <w:rsid w:val="0042780F"/>
    <w:rsid w:val="00427BC7"/>
    <w:rsid w:val="00431753"/>
    <w:rsid w:val="0043374D"/>
    <w:rsid w:val="00434D28"/>
    <w:rsid w:val="00434D51"/>
    <w:rsid w:val="0043715C"/>
    <w:rsid w:val="00437627"/>
    <w:rsid w:val="00440128"/>
    <w:rsid w:val="00440CB1"/>
    <w:rsid w:val="004415C4"/>
    <w:rsid w:val="0044172D"/>
    <w:rsid w:val="00442574"/>
    <w:rsid w:val="004435FD"/>
    <w:rsid w:val="00443A57"/>
    <w:rsid w:val="00444956"/>
    <w:rsid w:val="00444E15"/>
    <w:rsid w:val="00446780"/>
    <w:rsid w:val="00446A8C"/>
    <w:rsid w:val="00447DCA"/>
    <w:rsid w:val="0045017E"/>
    <w:rsid w:val="00450328"/>
    <w:rsid w:val="00451F48"/>
    <w:rsid w:val="00452478"/>
    <w:rsid w:val="00453521"/>
    <w:rsid w:val="00454978"/>
    <w:rsid w:val="00454D15"/>
    <w:rsid w:val="004552D9"/>
    <w:rsid w:val="00456127"/>
    <w:rsid w:val="00457069"/>
    <w:rsid w:val="0046048E"/>
    <w:rsid w:val="00460743"/>
    <w:rsid w:val="004652EE"/>
    <w:rsid w:val="00465E8E"/>
    <w:rsid w:val="00467509"/>
    <w:rsid w:val="004718DC"/>
    <w:rsid w:val="00472C88"/>
    <w:rsid w:val="00475851"/>
    <w:rsid w:val="004761D2"/>
    <w:rsid w:val="00476775"/>
    <w:rsid w:val="00476E26"/>
    <w:rsid w:val="004819A1"/>
    <w:rsid w:val="004819E1"/>
    <w:rsid w:val="00481A01"/>
    <w:rsid w:val="00485076"/>
    <w:rsid w:val="00485212"/>
    <w:rsid w:val="0048774A"/>
    <w:rsid w:val="00487C5F"/>
    <w:rsid w:val="00487FE2"/>
    <w:rsid w:val="00496FF4"/>
    <w:rsid w:val="00497DD5"/>
    <w:rsid w:val="004A0195"/>
    <w:rsid w:val="004A081D"/>
    <w:rsid w:val="004A1424"/>
    <w:rsid w:val="004A1DBF"/>
    <w:rsid w:val="004A2722"/>
    <w:rsid w:val="004A47C8"/>
    <w:rsid w:val="004A4BB3"/>
    <w:rsid w:val="004A5B46"/>
    <w:rsid w:val="004A622C"/>
    <w:rsid w:val="004A7735"/>
    <w:rsid w:val="004A7F41"/>
    <w:rsid w:val="004B0DA9"/>
    <w:rsid w:val="004B1CFB"/>
    <w:rsid w:val="004B2188"/>
    <w:rsid w:val="004B2353"/>
    <w:rsid w:val="004B2461"/>
    <w:rsid w:val="004B27CE"/>
    <w:rsid w:val="004B481A"/>
    <w:rsid w:val="004C120E"/>
    <w:rsid w:val="004C1BB5"/>
    <w:rsid w:val="004C30FF"/>
    <w:rsid w:val="004C320B"/>
    <w:rsid w:val="004C40CD"/>
    <w:rsid w:val="004C4CF2"/>
    <w:rsid w:val="004C5FD5"/>
    <w:rsid w:val="004C6222"/>
    <w:rsid w:val="004C6CB1"/>
    <w:rsid w:val="004D27C2"/>
    <w:rsid w:val="004D2C24"/>
    <w:rsid w:val="004D3753"/>
    <w:rsid w:val="004D50DA"/>
    <w:rsid w:val="004D58A7"/>
    <w:rsid w:val="004D61B2"/>
    <w:rsid w:val="004D67B5"/>
    <w:rsid w:val="004D6E68"/>
    <w:rsid w:val="004D7426"/>
    <w:rsid w:val="004D762F"/>
    <w:rsid w:val="004E1C43"/>
    <w:rsid w:val="004E1DF9"/>
    <w:rsid w:val="004E2883"/>
    <w:rsid w:val="004E2A89"/>
    <w:rsid w:val="004E662E"/>
    <w:rsid w:val="004E7A7B"/>
    <w:rsid w:val="004E7E25"/>
    <w:rsid w:val="004F0A29"/>
    <w:rsid w:val="004F266F"/>
    <w:rsid w:val="004F2956"/>
    <w:rsid w:val="004F2B35"/>
    <w:rsid w:val="004F2EF1"/>
    <w:rsid w:val="004F31EF"/>
    <w:rsid w:val="004F3BAC"/>
    <w:rsid w:val="004F413C"/>
    <w:rsid w:val="004F4CB1"/>
    <w:rsid w:val="004F4F3B"/>
    <w:rsid w:val="004F5B81"/>
    <w:rsid w:val="004F6902"/>
    <w:rsid w:val="004F6D20"/>
    <w:rsid w:val="004F70F5"/>
    <w:rsid w:val="004F7551"/>
    <w:rsid w:val="00501542"/>
    <w:rsid w:val="00501E25"/>
    <w:rsid w:val="005022C1"/>
    <w:rsid w:val="00504C8A"/>
    <w:rsid w:val="00507C38"/>
    <w:rsid w:val="00507DE6"/>
    <w:rsid w:val="005120A7"/>
    <w:rsid w:val="00513AB9"/>
    <w:rsid w:val="00513E50"/>
    <w:rsid w:val="0051489B"/>
    <w:rsid w:val="005155A9"/>
    <w:rsid w:val="00515FE8"/>
    <w:rsid w:val="00517287"/>
    <w:rsid w:val="0052226E"/>
    <w:rsid w:val="00523418"/>
    <w:rsid w:val="005236FC"/>
    <w:rsid w:val="00526AE5"/>
    <w:rsid w:val="00531F18"/>
    <w:rsid w:val="00532116"/>
    <w:rsid w:val="005331D1"/>
    <w:rsid w:val="00533354"/>
    <w:rsid w:val="00533A01"/>
    <w:rsid w:val="0053581D"/>
    <w:rsid w:val="005361A6"/>
    <w:rsid w:val="005365A4"/>
    <w:rsid w:val="00537641"/>
    <w:rsid w:val="00537895"/>
    <w:rsid w:val="00540439"/>
    <w:rsid w:val="00541069"/>
    <w:rsid w:val="00541CCF"/>
    <w:rsid w:val="00541FA4"/>
    <w:rsid w:val="00542A9F"/>
    <w:rsid w:val="0054464F"/>
    <w:rsid w:val="00544A0F"/>
    <w:rsid w:val="00544C78"/>
    <w:rsid w:val="00544D67"/>
    <w:rsid w:val="00545454"/>
    <w:rsid w:val="00545D1F"/>
    <w:rsid w:val="00550294"/>
    <w:rsid w:val="0055074D"/>
    <w:rsid w:val="00550A9D"/>
    <w:rsid w:val="0055146E"/>
    <w:rsid w:val="00552790"/>
    <w:rsid w:val="00553B65"/>
    <w:rsid w:val="00554FA5"/>
    <w:rsid w:val="0055630A"/>
    <w:rsid w:val="00562458"/>
    <w:rsid w:val="00563E31"/>
    <w:rsid w:val="005649F0"/>
    <w:rsid w:val="00565774"/>
    <w:rsid w:val="00567288"/>
    <w:rsid w:val="00567387"/>
    <w:rsid w:val="0057403F"/>
    <w:rsid w:val="005764A8"/>
    <w:rsid w:val="00581B85"/>
    <w:rsid w:val="00581C75"/>
    <w:rsid w:val="0058232E"/>
    <w:rsid w:val="0058391D"/>
    <w:rsid w:val="00583CC1"/>
    <w:rsid w:val="00585AE0"/>
    <w:rsid w:val="00585FF4"/>
    <w:rsid w:val="00587089"/>
    <w:rsid w:val="00590404"/>
    <w:rsid w:val="00590BED"/>
    <w:rsid w:val="00592D16"/>
    <w:rsid w:val="0059433D"/>
    <w:rsid w:val="00594608"/>
    <w:rsid w:val="00594766"/>
    <w:rsid w:val="00595997"/>
    <w:rsid w:val="00595FB2"/>
    <w:rsid w:val="0059698F"/>
    <w:rsid w:val="00597270"/>
    <w:rsid w:val="005977E7"/>
    <w:rsid w:val="005A0668"/>
    <w:rsid w:val="005A0979"/>
    <w:rsid w:val="005A0C07"/>
    <w:rsid w:val="005A112D"/>
    <w:rsid w:val="005A2579"/>
    <w:rsid w:val="005A2B1B"/>
    <w:rsid w:val="005A50CF"/>
    <w:rsid w:val="005A5577"/>
    <w:rsid w:val="005A583B"/>
    <w:rsid w:val="005A59E2"/>
    <w:rsid w:val="005A5BF6"/>
    <w:rsid w:val="005B0109"/>
    <w:rsid w:val="005B3421"/>
    <w:rsid w:val="005B590E"/>
    <w:rsid w:val="005B645C"/>
    <w:rsid w:val="005C0E93"/>
    <w:rsid w:val="005C0FB1"/>
    <w:rsid w:val="005C11D2"/>
    <w:rsid w:val="005C309B"/>
    <w:rsid w:val="005C38A1"/>
    <w:rsid w:val="005C3E22"/>
    <w:rsid w:val="005C5217"/>
    <w:rsid w:val="005C7E35"/>
    <w:rsid w:val="005D1AE8"/>
    <w:rsid w:val="005D2FE3"/>
    <w:rsid w:val="005D3C90"/>
    <w:rsid w:val="005D4120"/>
    <w:rsid w:val="005D4F28"/>
    <w:rsid w:val="005D616F"/>
    <w:rsid w:val="005E0760"/>
    <w:rsid w:val="005E2264"/>
    <w:rsid w:val="005E2743"/>
    <w:rsid w:val="005E3D2F"/>
    <w:rsid w:val="005E639D"/>
    <w:rsid w:val="005E7B5F"/>
    <w:rsid w:val="005E7D70"/>
    <w:rsid w:val="005F11D1"/>
    <w:rsid w:val="005F3359"/>
    <w:rsid w:val="005F3416"/>
    <w:rsid w:val="005F3A7B"/>
    <w:rsid w:val="005F6C3A"/>
    <w:rsid w:val="005F70DA"/>
    <w:rsid w:val="00603948"/>
    <w:rsid w:val="00603D90"/>
    <w:rsid w:val="00603EA3"/>
    <w:rsid w:val="0060545D"/>
    <w:rsid w:val="00605A96"/>
    <w:rsid w:val="00605AB0"/>
    <w:rsid w:val="00606128"/>
    <w:rsid w:val="00606BB7"/>
    <w:rsid w:val="006100AD"/>
    <w:rsid w:val="00611A12"/>
    <w:rsid w:val="00615E1D"/>
    <w:rsid w:val="00616EFD"/>
    <w:rsid w:val="00617B4C"/>
    <w:rsid w:val="00620037"/>
    <w:rsid w:val="00620580"/>
    <w:rsid w:val="00621A4A"/>
    <w:rsid w:val="00621B40"/>
    <w:rsid w:val="00623496"/>
    <w:rsid w:val="00623903"/>
    <w:rsid w:val="00623F48"/>
    <w:rsid w:val="00624E26"/>
    <w:rsid w:val="00625C32"/>
    <w:rsid w:val="006278C8"/>
    <w:rsid w:val="00630166"/>
    <w:rsid w:val="00633E3A"/>
    <w:rsid w:val="00633F70"/>
    <w:rsid w:val="006342DE"/>
    <w:rsid w:val="0063588F"/>
    <w:rsid w:val="00636660"/>
    <w:rsid w:val="00636DB2"/>
    <w:rsid w:val="00637038"/>
    <w:rsid w:val="00637722"/>
    <w:rsid w:val="0064203B"/>
    <w:rsid w:val="006420FC"/>
    <w:rsid w:val="00645BF8"/>
    <w:rsid w:val="00650C87"/>
    <w:rsid w:val="00651281"/>
    <w:rsid w:val="006512AE"/>
    <w:rsid w:val="00651CB9"/>
    <w:rsid w:val="00651E27"/>
    <w:rsid w:val="006525CF"/>
    <w:rsid w:val="006532ED"/>
    <w:rsid w:val="00654262"/>
    <w:rsid w:val="00655C5B"/>
    <w:rsid w:val="00655DC1"/>
    <w:rsid w:val="00657198"/>
    <w:rsid w:val="006571C6"/>
    <w:rsid w:val="0066128A"/>
    <w:rsid w:val="0066150B"/>
    <w:rsid w:val="0066320E"/>
    <w:rsid w:val="00663BF2"/>
    <w:rsid w:val="0066474E"/>
    <w:rsid w:val="00665ED7"/>
    <w:rsid w:val="0066606C"/>
    <w:rsid w:val="006676C2"/>
    <w:rsid w:val="00667822"/>
    <w:rsid w:val="006705A8"/>
    <w:rsid w:val="00671E40"/>
    <w:rsid w:val="00671EC6"/>
    <w:rsid w:val="0067294F"/>
    <w:rsid w:val="00674324"/>
    <w:rsid w:val="00674354"/>
    <w:rsid w:val="00674A0F"/>
    <w:rsid w:val="00675089"/>
    <w:rsid w:val="00675441"/>
    <w:rsid w:val="0068029B"/>
    <w:rsid w:val="00682B94"/>
    <w:rsid w:val="00687717"/>
    <w:rsid w:val="00690075"/>
    <w:rsid w:val="006913FE"/>
    <w:rsid w:val="00691719"/>
    <w:rsid w:val="006921C7"/>
    <w:rsid w:val="00693987"/>
    <w:rsid w:val="006963B7"/>
    <w:rsid w:val="00696B42"/>
    <w:rsid w:val="006A03ED"/>
    <w:rsid w:val="006A2A5D"/>
    <w:rsid w:val="006A2F2D"/>
    <w:rsid w:val="006A4A7F"/>
    <w:rsid w:val="006A4E5B"/>
    <w:rsid w:val="006A4E7A"/>
    <w:rsid w:val="006A6CCF"/>
    <w:rsid w:val="006A74B4"/>
    <w:rsid w:val="006B0997"/>
    <w:rsid w:val="006B0EB7"/>
    <w:rsid w:val="006B1C92"/>
    <w:rsid w:val="006B21D3"/>
    <w:rsid w:val="006B2787"/>
    <w:rsid w:val="006B295C"/>
    <w:rsid w:val="006B4738"/>
    <w:rsid w:val="006B59C9"/>
    <w:rsid w:val="006B6194"/>
    <w:rsid w:val="006B6F55"/>
    <w:rsid w:val="006B7598"/>
    <w:rsid w:val="006B79FA"/>
    <w:rsid w:val="006C0444"/>
    <w:rsid w:val="006C044C"/>
    <w:rsid w:val="006C1BFA"/>
    <w:rsid w:val="006C3B14"/>
    <w:rsid w:val="006C4503"/>
    <w:rsid w:val="006C4BD0"/>
    <w:rsid w:val="006C722E"/>
    <w:rsid w:val="006D1796"/>
    <w:rsid w:val="006D1A31"/>
    <w:rsid w:val="006D2661"/>
    <w:rsid w:val="006D2C17"/>
    <w:rsid w:val="006D4862"/>
    <w:rsid w:val="006D51E6"/>
    <w:rsid w:val="006D551F"/>
    <w:rsid w:val="006D5E5C"/>
    <w:rsid w:val="006D7209"/>
    <w:rsid w:val="006D75B2"/>
    <w:rsid w:val="006D765E"/>
    <w:rsid w:val="006E03E4"/>
    <w:rsid w:val="006E278D"/>
    <w:rsid w:val="006E3218"/>
    <w:rsid w:val="006E33B6"/>
    <w:rsid w:val="006E5386"/>
    <w:rsid w:val="006E646E"/>
    <w:rsid w:val="006E649A"/>
    <w:rsid w:val="006E6BF1"/>
    <w:rsid w:val="006E6BF2"/>
    <w:rsid w:val="006E7AA4"/>
    <w:rsid w:val="006F005C"/>
    <w:rsid w:val="006F130A"/>
    <w:rsid w:val="006F1FB3"/>
    <w:rsid w:val="006F2541"/>
    <w:rsid w:val="006F26B0"/>
    <w:rsid w:val="006F2CB1"/>
    <w:rsid w:val="006F30BD"/>
    <w:rsid w:val="006F3C5B"/>
    <w:rsid w:val="006F3F07"/>
    <w:rsid w:val="006F4F33"/>
    <w:rsid w:val="006F6520"/>
    <w:rsid w:val="007006BA"/>
    <w:rsid w:val="007007BA"/>
    <w:rsid w:val="00702E89"/>
    <w:rsid w:val="007039A3"/>
    <w:rsid w:val="00707244"/>
    <w:rsid w:val="0070725E"/>
    <w:rsid w:val="007102F3"/>
    <w:rsid w:val="007103F1"/>
    <w:rsid w:val="00711044"/>
    <w:rsid w:val="007123DF"/>
    <w:rsid w:val="00713D91"/>
    <w:rsid w:val="00714281"/>
    <w:rsid w:val="007147A2"/>
    <w:rsid w:val="00714C48"/>
    <w:rsid w:val="00714FCC"/>
    <w:rsid w:val="00715178"/>
    <w:rsid w:val="007160A3"/>
    <w:rsid w:val="00716A87"/>
    <w:rsid w:val="00716CDB"/>
    <w:rsid w:val="00716F9F"/>
    <w:rsid w:val="00720B17"/>
    <w:rsid w:val="00721D66"/>
    <w:rsid w:val="0072307C"/>
    <w:rsid w:val="00724991"/>
    <w:rsid w:val="0072560B"/>
    <w:rsid w:val="00725DFA"/>
    <w:rsid w:val="00725ED2"/>
    <w:rsid w:val="00727B6C"/>
    <w:rsid w:val="007313BA"/>
    <w:rsid w:val="007313DE"/>
    <w:rsid w:val="00731D53"/>
    <w:rsid w:val="007321E9"/>
    <w:rsid w:val="007366B7"/>
    <w:rsid w:val="00736D97"/>
    <w:rsid w:val="007370D4"/>
    <w:rsid w:val="0073740C"/>
    <w:rsid w:val="007402F1"/>
    <w:rsid w:val="00740570"/>
    <w:rsid w:val="0074195D"/>
    <w:rsid w:val="00742446"/>
    <w:rsid w:val="00742BF7"/>
    <w:rsid w:val="00743CA6"/>
    <w:rsid w:val="007448E7"/>
    <w:rsid w:val="007450B0"/>
    <w:rsid w:val="0074526C"/>
    <w:rsid w:val="007455EA"/>
    <w:rsid w:val="00747C42"/>
    <w:rsid w:val="0075515B"/>
    <w:rsid w:val="00755444"/>
    <w:rsid w:val="007566A9"/>
    <w:rsid w:val="007569A0"/>
    <w:rsid w:val="00756EA9"/>
    <w:rsid w:val="007605D6"/>
    <w:rsid w:val="00760AFF"/>
    <w:rsid w:val="00761452"/>
    <w:rsid w:val="0076155E"/>
    <w:rsid w:val="00761CBE"/>
    <w:rsid w:val="00764D0E"/>
    <w:rsid w:val="00766A77"/>
    <w:rsid w:val="00766E81"/>
    <w:rsid w:val="00767FA3"/>
    <w:rsid w:val="00770097"/>
    <w:rsid w:val="007703BB"/>
    <w:rsid w:val="007708C4"/>
    <w:rsid w:val="00770C0B"/>
    <w:rsid w:val="00771061"/>
    <w:rsid w:val="0077145F"/>
    <w:rsid w:val="00771FCA"/>
    <w:rsid w:val="00772E70"/>
    <w:rsid w:val="00773166"/>
    <w:rsid w:val="00773570"/>
    <w:rsid w:val="0077433A"/>
    <w:rsid w:val="007754E0"/>
    <w:rsid w:val="00776672"/>
    <w:rsid w:val="007770C9"/>
    <w:rsid w:val="00777CCA"/>
    <w:rsid w:val="00777F87"/>
    <w:rsid w:val="00780D98"/>
    <w:rsid w:val="007832F6"/>
    <w:rsid w:val="00783D5D"/>
    <w:rsid w:val="007847D8"/>
    <w:rsid w:val="00786543"/>
    <w:rsid w:val="00787D93"/>
    <w:rsid w:val="00787EB1"/>
    <w:rsid w:val="007901F5"/>
    <w:rsid w:val="007904E1"/>
    <w:rsid w:val="00791213"/>
    <w:rsid w:val="00791F8A"/>
    <w:rsid w:val="00797610"/>
    <w:rsid w:val="007A03DF"/>
    <w:rsid w:val="007A040D"/>
    <w:rsid w:val="007A0DB8"/>
    <w:rsid w:val="007A0E99"/>
    <w:rsid w:val="007A17D9"/>
    <w:rsid w:val="007A73AD"/>
    <w:rsid w:val="007B0FA6"/>
    <w:rsid w:val="007B14EC"/>
    <w:rsid w:val="007B377B"/>
    <w:rsid w:val="007B3E74"/>
    <w:rsid w:val="007B5044"/>
    <w:rsid w:val="007B5D4E"/>
    <w:rsid w:val="007B723F"/>
    <w:rsid w:val="007C002A"/>
    <w:rsid w:val="007C0A17"/>
    <w:rsid w:val="007C15D9"/>
    <w:rsid w:val="007C3732"/>
    <w:rsid w:val="007C4EE3"/>
    <w:rsid w:val="007C5399"/>
    <w:rsid w:val="007C684B"/>
    <w:rsid w:val="007C6978"/>
    <w:rsid w:val="007C6E05"/>
    <w:rsid w:val="007D0F36"/>
    <w:rsid w:val="007D101C"/>
    <w:rsid w:val="007D23C5"/>
    <w:rsid w:val="007D3C48"/>
    <w:rsid w:val="007D48C7"/>
    <w:rsid w:val="007D4B28"/>
    <w:rsid w:val="007D5615"/>
    <w:rsid w:val="007D5ADA"/>
    <w:rsid w:val="007D63E7"/>
    <w:rsid w:val="007D6543"/>
    <w:rsid w:val="007E005D"/>
    <w:rsid w:val="007E02CB"/>
    <w:rsid w:val="007E0F83"/>
    <w:rsid w:val="007E1474"/>
    <w:rsid w:val="007E2036"/>
    <w:rsid w:val="007E296F"/>
    <w:rsid w:val="007E4CB4"/>
    <w:rsid w:val="007E70B0"/>
    <w:rsid w:val="007F0893"/>
    <w:rsid w:val="007F2EC6"/>
    <w:rsid w:val="007F4180"/>
    <w:rsid w:val="007F45EC"/>
    <w:rsid w:val="007F4D32"/>
    <w:rsid w:val="007F51D0"/>
    <w:rsid w:val="007F65D1"/>
    <w:rsid w:val="007F6CB7"/>
    <w:rsid w:val="007F6E1C"/>
    <w:rsid w:val="00801560"/>
    <w:rsid w:val="0080164C"/>
    <w:rsid w:val="008019F0"/>
    <w:rsid w:val="00803FC2"/>
    <w:rsid w:val="00806022"/>
    <w:rsid w:val="008072A8"/>
    <w:rsid w:val="008077F2"/>
    <w:rsid w:val="00807A3F"/>
    <w:rsid w:val="00810520"/>
    <w:rsid w:val="00810639"/>
    <w:rsid w:val="00810BD8"/>
    <w:rsid w:val="00812CE9"/>
    <w:rsid w:val="00813781"/>
    <w:rsid w:val="008140F9"/>
    <w:rsid w:val="0081469C"/>
    <w:rsid w:val="008147FC"/>
    <w:rsid w:val="00814ACF"/>
    <w:rsid w:val="00817A45"/>
    <w:rsid w:val="008204F3"/>
    <w:rsid w:val="00821DFC"/>
    <w:rsid w:val="008224CE"/>
    <w:rsid w:val="00827B6B"/>
    <w:rsid w:val="00827FE3"/>
    <w:rsid w:val="00830014"/>
    <w:rsid w:val="00831A23"/>
    <w:rsid w:val="008344A5"/>
    <w:rsid w:val="00835031"/>
    <w:rsid w:val="00836AA0"/>
    <w:rsid w:val="00836FF1"/>
    <w:rsid w:val="00837372"/>
    <w:rsid w:val="0084002A"/>
    <w:rsid w:val="00840092"/>
    <w:rsid w:val="008413BD"/>
    <w:rsid w:val="00843920"/>
    <w:rsid w:val="0084552A"/>
    <w:rsid w:val="00845A92"/>
    <w:rsid w:val="00847BF2"/>
    <w:rsid w:val="008503D8"/>
    <w:rsid w:val="00851920"/>
    <w:rsid w:val="00852D8E"/>
    <w:rsid w:val="008539AD"/>
    <w:rsid w:val="0085482F"/>
    <w:rsid w:val="00854CFC"/>
    <w:rsid w:val="00855C37"/>
    <w:rsid w:val="00860E99"/>
    <w:rsid w:val="00861C05"/>
    <w:rsid w:val="00861E96"/>
    <w:rsid w:val="00862F7F"/>
    <w:rsid w:val="00863657"/>
    <w:rsid w:val="008656B7"/>
    <w:rsid w:val="008658A7"/>
    <w:rsid w:val="008671DB"/>
    <w:rsid w:val="00870BA9"/>
    <w:rsid w:val="008712EE"/>
    <w:rsid w:val="008718F2"/>
    <w:rsid w:val="008729B8"/>
    <w:rsid w:val="00872CB4"/>
    <w:rsid w:val="00873BC0"/>
    <w:rsid w:val="00874C5B"/>
    <w:rsid w:val="0087616A"/>
    <w:rsid w:val="00876196"/>
    <w:rsid w:val="00876DAA"/>
    <w:rsid w:val="00877EC3"/>
    <w:rsid w:val="00877F9C"/>
    <w:rsid w:val="00880D9F"/>
    <w:rsid w:val="00881279"/>
    <w:rsid w:val="00882982"/>
    <w:rsid w:val="00882AB9"/>
    <w:rsid w:val="00882D02"/>
    <w:rsid w:val="0088325F"/>
    <w:rsid w:val="00883BE3"/>
    <w:rsid w:val="008847B7"/>
    <w:rsid w:val="00885F35"/>
    <w:rsid w:val="00887DFA"/>
    <w:rsid w:val="00891EA3"/>
    <w:rsid w:val="00892038"/>
    <w:rsid w:val="0089289E"/>
    <w:rsid w:val="008947DF"/>
    <w:rsid w:val="00897248"/>
    <w:rsid w:val="008A211B"/>
    <w:rsid w:val="008A3CC2"/>
    <w:rsid w:val="008A5B2F"/>
    <w:rsid w:val="008A7C91"/>
    <w:rsid w:val="008A7E2C"/>
    <w:rsid w:val="008B01D1"/>
    <w:rsid w:val="008B133A"/>
    <w:rsid w:val="008B55AB"/>
    <w:rsid w:val="008B65EB"/>
    <w:rsid w:val="008B779C"/>
    <w:rsid w:val="008B7DD0"/>
    <w:rsid w:val="008C0ECF"/>
    <w:rsid w:val="008C0F76"/>
    <w:rsid w:val="008C2C5E"/>
    <w:rsid w:val="008C483C"/>
    <w:rsid w:val="008C58D1"/>
    <w:rsid w:val="008C61DF"/>
    <w:rsid w:val="008C7B9E"/>
    <w:rsid w:val="008D1A1C"/>
    <w:rsid w:val="008D1A80"/>
    <w:rsid w:val="008D1E81"/>
    <w:rsid w:val="008D3345"/>
    <w:rsid w:val="008D3C03"/>
    <w:rsid w:val="008D5ACB"/>
    <w:rsid w:val="008D6273"/>
    <w:rsid w:val="008D7E34"/>
    <w:rsid w:val="008E1EB8"/>
    <w:rsid w:val="008E1FDA"/>
    <w:rsid w:val="008E25B7"/>
    <w:rsid w:val="008E42F8"/>
    <w:rsid w:val="008E4BE7"/>
    <w:rsid w:val="008E555E"/>
    <w:rsid w:val="008E63D3"/>
    <w:rsid w:val="008E66A3"/>
    <w:rsid w:val="008E737B"/>
    <w:rsid w:val="008E7424"/>
    <w:rsid w:val="008F0F01"/>
    <w:rsid w:val="008F1189"/>
    <w:rsid w:val="008F12BA"/>
    <w:rsid w:val="008F1683"/>
    <w:rsid w:val="008F19D4"/>
    <w:rsid w:val="008F204A"/>
    <w:rsid w:val="008F25A3"/>
    <w:rsid w:val="008F2A3C"/>
    <w:rsid w:val="008F3755"/>
    <w:rsid w:val="008F4252"/>
    <w:rsid w:val="008F4EB5"/>
    <w:rsid w:val="00900323"/>
    <w:rsid w:val="00901FBC"/>
    <w:rsid w:val="009020B1"/>
    <w:rsid w:val="00902478"/>
    <w:rsid w:val="0090263B"/>
    <w:rsid w:val="00903044"/>
    <w:rsid w:val="00905B2C"/>
    <w:rsid w:val="0090617D"/>
    <w:rsid w:val="009061CE"/>
    <w:rsid w:val="00910E23"/>
    <w:rsid w:val="00913038"/>
    <w:rsid w:val="00913272"/>
    <w:rsid w:val="0091369B"/>
    <w:rsid w:val="009136FE"/>
    <w:rsid w:val="0091478E"/>
    <w:rsid w:val="00914C69"/>
    <w:rsid w:val="009162B7"/>
    <w:rsid w:val="0091700C"/>
    <w:rsid w:val="00920574"/>
    <w:rsid w:val="00920C3E"/>
    <w:rsid w:val="009214D4"/>
    <w:rsid w:val="00921B73"/>
    <w:rsid w:val="00921BE2"/>
    <w:rsid w:val="00922554"/>
    <w:rsid w:val="00923403"/>
    <w:rsid w:val="0092403E"/>
    <w:rsid w:val="00930A90"/>
    <w:rsid w:val="00930FD1"/>
    <w:rsid w:val="00931D2F"/>
    <w:rsid w:val="00932A42"/>
    <w:rsid w:val="009330C9"/>
    <w:rsid w:val="00933833"/>
    <w:rsid w:val="009349B1"/>
    <w:rsid w:val="0093681E"/>
    <w:rsid w:val="00936838"/>
    <w:rsid w:val="00936952"/>
    <w:rsid w:val="00937ED0"/>
    <w:rsid w:val="0094019C"/>
    <w:rsid w:val="00940C6E"/>
    <w:rsid w:val="00940C9D"/>
    <w:rsid w:val="00940F9C"/>
    <w:rsid w:val="0094171B"/>
    <w:rsid w:val="00941943"/>
    <w:rsid w:val="00941C2E"/>
    <w:rsid w:val="00942021"/>
    <w:rsid w:val="00942873"/>
    <w:rsid w:val="00943357"/>
    <w:rsid w:val="00944565"/>
    <w:rsid w:val="00944762"/>
    <w:rsid w:val="00944F45"/>
    <w:rsid w:val="00945553"/>
    <w:rsid w:val="0094735E"/>
    <w:rsid w:val="009509AA"/>
    <w:rsid w:val="009509BC"/>
    <w:rsid w:val="00952741"/>
    <w:rsid w:val="00952C9E"/>
    <w:rsid w:val="009540B8"/>
    <w:rsid w:val="00954811"/>
    <w:rsid w:val="00954998"/>
    <w:rsid w:val="00954AAA"/>
    <w:rsid w:val="0095540B"/>
    <w:rsid w:val="00955D97"/>
    <w:rsid w:val="0095633E"/>
    <w:rsid w:val="0095667F"/>
    <w:rsid w:val="0095682A"/>
    <w:rsid w:val="00960E62"/>
    <w:rsid w:val="00961CD0"/>
    <w:rsid w:val="009645F2"/>
    <w:rsid w:val="009648A2"/>
    <w:rsid w:val="00965263"/>
    <w:rsid w:val="0096536F"/>
    <w:rsid w:val="00967186"/>
    <w:rsid w:val="00970F49"/>
    <w:rsid w:val="0097238F"/>
    <w:rsid w:val="009724A5"/>
    <w:rsid w:val="00972A9A"/>
    <w:rsid w:val="00972D68"/>
    <w:rsid w:val="0097333F"/>
    <w:rsid w:val="009733AC"/>
    <w:rsid w:val="00974871"/>
    <w:rsid w:val="00975F94"/>
    <w:rsid w:val="0097791B"/>
    <w:rsid w:val="00977E9B"/>
    <w:rsid w:val="009803A4"/>
    <w:rsid w:val="0098137D"/>
    <w:rsid w:val="00982333"/>
    <w:rsid w:val="0098309E"/>
    <w:rsid w:val="00983AE2"/>
    <w:rsid w:val="0098426F"/>
    <w:rsid w:val="00984285"/>
    <w:rsid w:val="00985B1E"/>
    <w:rsid w:val="00985BC5"/>
    <w:rsid w:val="00985D6A"/>
    <w:rsid w:val="00986A07"/>
    <w:rsid w:val="00986E24"/>
    <w:rsid w:val="00987BAA"/>
    <w:rsid w:val="00990093"/>
    <w:rsid w:val="0099275F"/>
    <w:rsid w:val="00994819"/>
    <w:rsid w:val="00995274"/>
    <w:rsid w:val="00995E8A"/>
    <w:rsid w:val="009A0EE0"/>
    <w:rsid w:val="009A1055"/>
    <w:rsid w:val="009A4B97"/>
    <w:rsid w:val="009A5200"/>
    <w:rsid w:val="009A544A"/>
    <w:rsid w:val="009A6C27"/>
    <w:rsid w:val="009A7092"/>
    <w:rsid w:val="009A712B"/>
    <w:rsid w:val="009A7610"/>
    <w:rsid w:val="009A77C4"/>
    <w:rsid w:val="009A7C29"/>
    <w:rsid w:val="009B1AF1"/>
    <w:rsid w:val="009B2BAF"/>
    <w:rsid w:val="009B3BF5"/>
    <w:rsid w:val="009B5DB8"/>
    <w:rsid w:val="009B6327"/>
    <w:rsid w:val="009B6A1C"/>
    <w:rsid w:val="009C43BB"/>
    <w:rsid w:val="009C55EC"/>
    <w:rsid w:val="009C5BEB"/>
    <w:rsid w:val="009C6B5D"/>
    <w:rsid w:val="009C7925"/>
    <w:rsid w:val="009D0DC3"/>
    <w:rsid w:val="009D12A1"/>
    <w:rsid w:val="009D3853"/>
    <w:rsid w:val="009D433B"/>
    <w:rsid w:val="009D4379"/>
    <w:rsid w:val="009D5595"/>
    <w:rsid w:val="009D62F3"/>
    <w:rsid w:val="009D6E9A"/>
    <w:rsid w:val="009E03FF"/>
    <w:rsid w:val="009E0418"/>
    <w:rsid w:val="009E07FD"/>
    <w:rsid w:val="009E1BB6"/>
    <w:rsid w:val="009E350A"/>
    <w:rsid w:val="009E374B"/>
    <w:rsid w:val="009E4137"/>
    <w:rsid w:val="009E54FD"/>
    <w:rsid w:val="009E576D"/>
    <w:rsid w:val="009E6CDF"/>
    <w:rsid w:val="009E6E2F"/>
    <w:rsid w:val="009F2023"/>
    <w:rsid w:val="009F3861"/>
    <w:rsid w:val="009F3D82"/>
    <w:rsid w:val="009F64FC"/>
    <w:rsid w:val="009F6926"/>
    <w:rsid w:val="009F6CED"/>
    <w:rsid w:val="009F70FB"/>
    <w:rsid w:val="009F7510"/>
    <w:rsid w:val="00A01190"/>
    <w:rsid w:val="00A01A68"/>
    <w:rsid w:val="00A024E9"/>
    <w:rsid w:val="00A02A63"/>
    <w:rsid w:val="00A02DAB"/>
    <w:rsid w:val="00A03C7E"/>
    <w:rsid w:val="00A05634"/>
    <w:rsid w:val="00A059DC"/>
    <w:rsid w:val="00A05FF7"/>
    <w:rsid w:val="00A06EE3"/>
    <w:rsid w:val="00A105B6"/>
    <w:rsid w:val="00A1082E"/>
    <w:rsid w:val="00A10EB5"/>
    <w:rsid w:val="00A121B3"/>
    <w:rsid w:val="00A121B9"/>
    <w:rsid w:val="00A126EB"/>
    <w:rsid w:val="00A143C7"/>
    <w:rsid w:val="00A15C0B"/>
    <w:rsid w:val="00A17099"/>
    <w:rsid w:val="00A2051A"/>
    <w:rsid w:val="00A2192D"/>
    <w:rsid w:val="00A23EDF"/>
    <w:rsid w:val="00A242AD"/>
    <w:rsid w:val="00A24399"/>
    <w:rsid w:val="00A26A6F"/>
    <w:rsid w:val="00A310F9"/>
    <w:rsid w:val="00A316D9"/>
    <w:rsid w:val="00A31E98"/>
    <w:rsid w:val="00A323E7"/>
    <w:rsid w:val="00A35E52"/>
    <w:rsid w:val="00A36BAE"/>
    <w:rsid w:val="00A37137"/>
    <w:rsid w:val="00A37F0A"/>
    <w:rsid w:val="00A421B3"/>
    <w:rsid w:val="00A44AEC"/>
    <w:rsid w:val="00A46E78"/>
    <w:rsid w:val="00A53A52"/>
    <w:rsid w:val="00A53BB6"/>
    <w:rsid w:val="00A54F72"/>
    <w:rsid w:val="00A55903"/>
    <w:rsid w:val="00A55D2E"/>
    <w:rsid w:val="00A56352"/>
    <w:rsid w:val="00A5770C"/>
    <w:rsid w:val="00A6124E"/>
    <w:rsid w:val="00A62378"/>
    <w:rsid w:val="00A6646F"/>
    <w:rsid w:val="00A66B41"/>
    <w:rsid w:val="00A700E2"/>
    <w:rsid w:val="00A70250"/>
    <w:rsid w:val="00A725BB"/>
    <w:rsid w:val="00A726CE"/>
    <w:rsid w:val="00A73385"/>
    <w:rsid w:val="00A740A8"/>
    <w:rsid w:val="00A75479"/>
    <w:rsid w:val="00A75705"/>
    <w:rsid w:val="00A75A21"/>
    <w:rsid w:val="00A761B6"/>
    <w:rsid w:val="00A77460"/>
    <w:rsid w:val="00A80E7B"/>
    <w:rsid w:val="00A81C0B"/>
    <w:rsid w:val="00A81FA8"/>
    <w:rsid w:val="00A820A6"/>
    <w:rsid w:val="00A82FC8"/>
    <w:rsid w:val="00A84FEE"/>
    <w:rsid w:val="00A8535F"/>
    <w:rsid w:val="00A85730"/>
    <w:rsid w:val="00A86DAC"/>
    <w:rsid w:val="00A8723D"/>
    <w:rsid w:val="00A87703"/>
    <w:rsid w:val="00A87F7B"/>
    <w:rsid w:val="00A90341"/>
    <w:rsid w:val="00A91A73"/>
    <w:rsid w:val="00A91C32"/>
    <w:rsid w:val="00A93FFC"/>
    <w:rsid w:val="00A963ED"/>
    <w:rsid w:val="00A967F3"/>
    <w:rsid w:val="00A96931"/>
    <w:rsid w:val="00A9749E"/>
    <w:rsid w:val="00A977F2"/>
    <w:rsid w:val="00A97E6E"/>
    <w:rsid w:val="00AA5C79"/>
    <w:rsid w:val="00AB13B1"/>
    <w:rsid w:val="00AB199F"/>
    <w:rsid w:val="00AB25E7"/>
    <w:rsid w:val="00AB3C32"/>
    <w:rsid w:val="00AB45EF"/>
    <w:rsid w:val="00AB5E5F"/>
    <w:rsid w:val="00AB6279"/>
    <w:rsid w:val="00AB731D"/>
    <w:rsid w:val="00AB7A32"/>
    <w:rsid w:val="00AC2DBE"/>
    <w:rsid w:val="00AC549B"/>
    <w:rsid w:val="00AC607A"/>
    <w:rsid w:val="00AC6E8B"/>
    <w:rsid w:val="00AC7614"/>
    <w:rsid w:val="00AC766C"/>
    <w:rsid w:val="00AC798E"/>
    <w:rsid w:val="00AD0000"/>
    <w:rsid w:val="00AD3682"/>
    <w:rsid w:val="00AD4209"/>
    <w:rsid w:val="00AD44C0"/>
    <w:rsid w:val="00AD61F6"/>
    <w:rsid w:val="00AD70E0"/>
    <w:rsid w:val="00AD7167"/>
    <w:rsid w:val="00AE2239"/>
    <w:rsid w:val="00AE2E60"/>
    <w:rsid w:val="00AE59FD"/>
    <w:rsid w:val="00AE5D3D"/>
    <w:rsid w:val="00AE69EE"/>
    <w:rsid w:val="00AE7DA4"/>
    <w:rsid w:val="00AF0B65"/>
    <w:rsid w:val="00AF250C"/>
    <w:rsid w:val="00AF3374"/>
    <w:rsid w:val="00AF5A23"/>
    <w:rsid w:val="00AF601E"/>
    <w:rsid w:val="00AF694A"/>
    <w:rsid w:val="00AF795E"/>
    <w:rsid w:val="00B010E2"/>
    <w:rsid w:val="00B01C39"/>
    <w:rsid w:val="00B02C88"/>
    <w:rsid w:val="00B04285"/>
    <w:rsid w:val="00B04835"/>
    <w:rsid w:val="00B07EE8"/>
    <w:rsid w:val="00B104C6"/>
    <w:rsid w:val="00B11D84"/>
    <w:rsid w:val="00B1224E"/>
    <w:rsid w:val="00B125BF"/>
    <w:rsid w:val="00B12D57"/>
    <w:rsid w:val="00B13390"/>
    <w:rsid w:val="00B13865"/>
    <w:rsid w:val="00B13E71"/>
    <w:rsid w:val="00B15BC3"/>
    <w:rsid w:val="00B21447"/>
    <w:rsid w:val="00B223C8"/>
    <w:rsid w:val="00B2296A"/>
    <w:rsid w:val="00B22D64"/>
    <w:rsid w:val="00B24C5F"/>
    <w:rsid w:val="00B25796"/>
    <w:rsid w:val="00B27A07"/>
    <w:rsid w:val="00B27AF6"/>
    <w:rsid w:val="00B31690"/>
    <w:rsid w:val="00B3337D"/>
    <w:rsid w:val="00B34136"/>
    <w:rsid w:val="00B346C1"/>
    <w:rsid w:val="00B34944"/>
    <w:rsid w:val="00B36A21"/>
    <w:rsid w:val="00B3726C"/>
    <w:rsid w:val="00B374A8"/>
    <w:rsid w:val="00B37BEF"/>
    <w:rsid w:val="00B40658"/>
    <w:rsid w:val="00B414B8"/>
    <w:rsid w:val="00B42517"/>
    <w:rsid w:val="00B43061"/>
    <w:rsid w:val="00B432AC"/>
    <w:rsid w:val="00B43BA2"/>
    <w:rsid w:val="00B44FA5"/>
    <w:rsid w:val="00B454F7"/>
    <w:rsid w:val="00B52E6D"/>
    <w:rsid w:val="00B52ED0"/>
    <w:rsid w:val="00B53A73"/>
    <w:rsid w:val="00B54603"/>
    <w:rsid w:val="00B552DA"/>
    <w:rsid w:val="00B5608D"/>
    <w:rsid w:val="00B562E2"/>
    <w:rsid w:val="00B56A11"/>
    <w:rsid w:val="00B56ECB"/>
    <w:rsid w:val="00B572A0"/>
    <w:rsid w:val="00B57E1B"/>
    <w:rsid w:val="00B603C2"/>
    <w:rsid w:val="00B6095E"/>
    <w:rsid w:val="00B62B84"/>
    <w:rsid w:val="00B62D66"/>
    <w:rsid w:val="00B63087"/>
    <w:rsid w:val="00B63193"/>
    <w:rsid w:val="00B64C68"/>
    <w:rsid w:val="00B659F4"/>
    <w:rsid w:val="00B661B0"/>
    <w:rsid w:val="00B66398"/>
    <w:rsid w:val="00B67DCE"/>
    <w:rsid w:val="00B70C39"/>
    <w:rsid w:val="00B70F0A"/>
    <w:rsid w:val="00B726D6"/>
    <w:rsid w:val="00B72B55"/>
    <w:rsid w:val="00B735C1"/>
    <w:rsid w:val="00B7381C"/>
    <w:rsid w:val="00B73EDF"/>
    <w:rsid w:val="00B74212"/>
    <w:rsid w:val="00B7526C"/>
    <w:rsid w:val="00B76D9A"/>
    <w:rsid w:val="00B80857"/>
    <w:rsid w:val="00B81841"/>
    <w:rsid w:val="00B8206E"/>
    <w:rsid w:val="00B8251F"/>
    <w:rsid w:val="00B832B1"/>
    <w:rsid w:val="00B85A40"/>
    <w:rsid w:val="00B87616"/>
    <w:rsid w:val="00B90617"/>
    <w:rsid w:val="00B90754"/>
    <w:rsid w:val="00B91207"/>
    <w:rsid w:val="00B9205C"/>
    <w:rsid w:val="00B920E4"/>
    <w:rsid w:val="00B94187"/>
    <w:rsid w:val="00B94B43"/>
    <w:rsid w:val="00B96AED"/>
    <w:rsid w:val="00B97073"/>
    <w:rsid w:val="00B97620"/>
    <w:rsid w:val="00BA1AB7"/>
    <w:rsid w:val="00BA3FCD"/>
    <w:rsid w:val="00BA47A8"/>
    <w:rsid w:val="00BA4DDB"/>
    <w:rsid w:val="00BA57D7"/>
    <w:rsid w:val="00BA5CA3"/>
    <w:rsid w:val="00BA6CBE"/>
    <w:rsid w:val="00BB07E1"/>
    <w:rsid w:val="00BB145E"/>
    <w:rsid w:val="00BB1A2E"/>
    <w:rsid w:val="00BB26BB"/>
    <w:rsid w:val="00BB30DF"/>
    <w:rsid w:val="00BB3339"/>
    <w:rsid w:val="00BB4244"/>
    <w:rsid w:val="00BB4CF4"/>
    <w:rsid w:val="00BB5D91"/>
    <w:rsid w:val="00BB610B"/>
    <w:rsid w:val="00BB7ADA"/>
    <w:rsid w:val="00BB7AFC"/>
    <w:rsid w:val="00BB7D7D"/>
    <w:rsid w:val="00BC096B"/>
    <w:rsid w:val="00BC15EC"/>
    <w:rsid w:val="00BC1E07"/>
    <w:rsid w:val="00BC2B1A"/>
    <w:rsid w:val="00BC3C09"/>
    <w:rsid w:val="00BC512C"/>
    <w:rsid w:val="00BC5675"/>
    <w:rsid w:val="00BC618A"/>
    <w:rsid w:val="00BC769F"/>
    <w:rsid w:val="00BC7A4C"/>
    <w:rsid w:val="00BC7FF9"/>
    <w:rsid w:val="00BD07E6"/>
    <w:rsid w:val="00BD2EED"/>
    <w:rsid w:val="00BD3855"/>
    <w:rsid w:val="00BD5628"/>
    <w:rsid w:val="00BD5AF3"/>
    <w:rsid w:val="00BD6C21"/>
    <w:rsid w:val="00BD7681"/>
    <w:rsid w:val="00BD7EF8"/>
    <w:rsid w:val="00BE0142"/>
    <w:rsid w:val="00BE22C8"/>
    <w:rsid w:val="00BE2377"/>
    <w:rsid w:val="00BE3345"/>
    <w:rsid w:val="00BE35EB"/>
    <w:rsid w:val="00BE461E"/>
    <w:rsid w:val="00BE5A4D"/>
    <w:rsid w:val="00BE61C8"/>
    <w:rsid w:val="00BE64F5"/>
    <w:rsid w:val="00BE7956"/>
    <w:rsid w:val="00BE79A6"/>
    <w:rsid w:val="00BF086C"/>
    <w:rsid w:val="00BF17F2"/>
    <w:rsid w:val="00BF1A73"/>
    <w:rsid w:val="00BF1CAD"/>
    <w:rsid w:val="00BF2508"/>
    <w:rsid w:val="00BF33D2"/>
    <w:rsid w:val="00BF37C2"/>
    <w:rsid w:val="00BF3935"/>
    <w:rsid w:val="00BF39BB"/>
    <w:rsid w:val="00BF46BB"/>
    <w:rsid w:val="00BF5719"/>
    <w:rsid w:val="00BF607C"/>
    <w:rsid w:val="00C00A00"/>
    <w:rsid w:val="00C01112"/>
    <w:rsid w:val="00C01494"/>
    <w:rsid w:val="00C01BFB"/>
    <w:rsid w:val="00C02260"/>
    <w:rsid w:val="00C025E7"/>
    <w:rsid w:val="00C0263E"/>
    <w:rsid w:val="00C02DF8"/>
    <w:rsid w:val="00C0561B"/>
    <w:rsid w:val="00C0647D"/>
    <w:rsid w:val="00C10554"/>
    <w:rsid w:val="00C10625"/>
    <w:rsid w:val="00C108ED"/>
    <w:rsid w:val="00C1184C"/>
    <w:rsid w:val="00C11A1B"/>
    <w:rsid w:val="00C11C5E"/>
    <w:rsid w:val="00C12763"/>
    <w:rsid w:val="00C12C0D"/>
    <w:rsid w:val="00C134D8"/>
    <w:rsid w:val="00C13D4D"/>
    <w:rsid w:val="00C148BC"/>
    <w:rsid w:val="00C16046"/>
    <w:rsid w:val="00C20CDF"/>
    <w:rsid w:val="00C21F6B"/>
    <w:rsid w:val="00C23456"/>
    <w:rsid w:val="00C2390A"/>
    <w:rsid w:val="00C2498B"/>
    <w:rsid w:val="00C24A0A"/>
    <w:rsid w:val="00C24E8B"/>
    <w:rsid w:val="00C25CDF"/>
    <w:rsid w:val="00C263A8"/>
    <w:rsid w:val="00C26C8D"/>
    <w:rsid w:val="00C2708E"/>
    <w:rsid w:val="00C30A10"/>
    <w:rsid w:val="00C317A4"/>
    <w:rsid w:val="00C33D18"/>
    <w:rsid w:val="00C350F0"/>
    <w:rsid w:val="00C414D7"/>
    <w:rsid w:val="00C420DF"/>
    <w:rsid w:val="00C43040"/>
    <w:rsid w:val="00C43DE8"/>
    <w:rsid w:val="00C43E3A"/>
    <w:rsid w:val="00C44D2D"/>
    <w:rsid w:val="00C44DAE"/>
    <w:rsid w:val="00C52C4B"/>
    <w:rsid w:val="00C53DDA"/>
    <w:rsid w:val="00C56B1C"/>
    <w:rsid w:val="00C56DF6"/>
    <w:rsid w:val="00C5737B"/>
    <w:rsid w:val="00C6016E"/>
    <w:rsid w:val="00C6038C"/>
    <w:rsid w:val="00C60584"/>
    <w:rsid w:val="00C6060A"/>
    <w:rsid w:val="00C60B28"/>
    <w:rsid w:val="00C6126A"/>
    <w:rsid w:val="00C62091"/>
    <w:rsid w:val="00C6258D"/>
    <w:rsid w:val="00C62A66"/>
    <w:rsid w:val="00C63628"/>
    <w:rsid w:val="00C63E52"/>
    <w:rsid w:val="00C66938"/>
    <w:rsid w:val="00C67663"/>
    <w:rsid w:val="00C705A5"/>
    <w:rsid w:val="00C729D3"/>
    <w:rsid w:val="00C729E7"/>
    <w:rsid w:val="00C72B5E"/>
    <w:rsid w:val="00C737F9"/>
    <w:rsid w:val="00C73A5B"/>
    <w:rsid w:val="00C73FA9"/>
    <w:rsid w:val="00C74081"/>
    <w:rsid w:val="00C7632C"/>
    <w:rsid w:val="00C77E0D"/>
    <w:rsid w:val="00C801D4"/>
    <w:rsid w:val="00C8146A"/>
    <w:rsid w:val="00C815B5"/>
    <w:rsid w:val="00C81AD4"/>
    <w:rsid w:val="00C8302B"/>
    <w:rsid w:val="00C832A5"/>
    <w:rsid w:val="00C84EB8"/>
    <w:rsid w:val="00C853DA"/>
    <w:rsid w:val="00C904F1"/>
    <w:rsid w:val="00C93076"/>
    <w:rsid w:val="00C9363B"/>
    <w:rsid w:val="00C9391B"/>
    <w:rsid w:val="00C9418E"/>
    <w:rsid w:val="00C94270"/>
    <w:rsid w:val="00C9510D"/>
    <w:rsid w:val="00C9531E"/>
    <w:rsid w:val="00C96A49"/>
    <w:rsid w:val="00C96D02"/>
    <w:rsid w:val="00C96F79"/>
    <w:rsid w:val="00CA0E8F"/>
    <w:rsid w:val="00CA1042"/>
    <w:rsid w:val="00CA19D6"/>
    <w:rsid w:val="00CA2681"/>
    <w:rsid w:val="00CA2CFB"/>
    <w:rsid w:val="00CA3243"/>
    <w:rsid w:val="00CA3F81"/>
    <w:rsid w:val="00CA603F"/>
    <w:rsid w:val="00CA6FB7"/>
    <w:rsid w:val="00CA6FBA"/>
    <w:rsid w:val="00CA7651"/>
    <w:rsid w:val="00CA7C9F"/>
    <w:rsid w:val="00CA7D86"/>
    <w:rsid w:val="00CB049B"/>
    <w:rsid w:val="00CB319C"/>
    <w:rsid w:val="00CB4268"/>
    <w:rsid w:val="00CB4887"/>
    <w:rsid w:val="00CB4D62"/>
    <w:rsid w:val="00CB6FBF"/>
    <w:rsid w:val="00CB7E17"/>
    <w:rsid w:val="00CC0560"/>
    <w:rsid w:val="00CC151F"/>
    <w:rsid w:val="00CC22F9"/>
    <w:rsid w:val="00CC230B"/>
    <w:rsid w:val="00CC274B"/>
    <w:rsid w:val="00CC294E"/>
    <w:rsid w:val="00CC33DF"/>
    <w:rsid w:val="00CC4EB8"/>
    <w:rsid w:val="00CC5E64"/>
    <w:rsid w:val="00CC6A51"/>
    <w:rsid w:val="00CD0F60"/>
    <w:rsid w:val="00CD1BCC"/>
    <w:rsid w:val="00CD32E1"/>
    <w:rsid w:val="00CD3427"/>
    <w:rsid w:val="00CD4064"/>
    <w:rsid w:val="00CD4302"/>
    <w:rsid w:val="00CD58EF"/>
    <w:rsid w:val="00CD6D47"/>
    <w:rsid w:val="00CD7FC2"/>
    <w:rsid w:val="00CE0726"/>
    <w:rsid w:val="00CE0BED"/>
    <w:rsid w:val="00CE19BE"/>
    <w:rsid w:val="00CE1BF2"/>
    <w:rsid w:val="00CE2DCF"/>
    <w:rsid w:val="00CE3A87"/>
    <w:rsid w:val="00CE6BE7"/>
    <w:rsid w:val="00CE755F"/>
    <w:rsid w:val="00CE7640"/>
    <w:rsid w:val="00CF13B5"/>
    <w:rsid w:val="00CF3A18"/>
    <w:rsid w:val="00CF5CF9"/>
    <w:rsid w:val="00CF6D7A"/>
    <w:rsid w:val="00CF6ED6"/>
    <w:rsid w:val="00CF759C"/>
    <w:rsid w:val="00CF7737"/>
    <w:rsid w:val="00D00C78"/>
    <w:rsid w:val="00D02C9E"/>
    <w:rsid w:val="00D03193"/>
    <w:rsid w:val="00D046FC"/>
    <w:rsid w:val="00D06F2E"/>
    <w:rsid w:val="00D11242"/>
    <w:rsid w:val="00D1169D"/>
    <w:rsid w:val="00D11CD6"/>
    <w:rsid w:val="00D13802"/>
    <w:rsid w:val="00D143D3"/>
    <w:rsid w:val="00D14BF8"/>
    <w:rsid w:val="00D14F0E"/>
    <w:rsid w:val="00D163D0"/>
    <w:rsid w:val="00D20F72"/>
    <w:rsid w:val="00D21EEE"/>
    <w:rsid w:val="00D21F92"/>
    <w:rsid w:val="00D22970"/>
    <w:rsid w:val="00D229D3"/>
    <w:rsid w:val="00D251A1"/>
    <w:rsid w:val="00D2585E"/>
    <w:rsid w:val="00D31D3C"/>
    <w:rsid w:val="00D33E71"/>
    <w:rsid w:val="00D35C26"/>
    <w:rsid w:val="00D40CD0"/>
    <w:rsid w:val="00D43239"/>
    <w:rsid w:val="00D451A1"/>
    <w:rsid w:val="00D455F3"/>
    <w:rsid w:val="00D464B0"/>
    <w:rsid w:val="00D50242"/>
    <w:rsid w:val="00D51C3C"/>
    <w:rsid w:val="00D51CD3"/>
    <w:rsid w:val="00D51E39"/>
    <w:rsid w:val="00D52EE2"/>
    <w:rsid w:val="00D53501"/>
    <w:rsid w:val="00D5386C"/>
    <w:rsid w:val="00D540A6"/>
    <w:rsid w:val="00D55EF3"/>
    <w:rsid w:val="00D5679B"/>
    <w:rsid w:val="00D569AE"/>
    <w:rsid w:val="00D57BE2"/>
    <w:rsid w:val="00D60B2A"/>
    <w:rsid w:val="00D616A7"/>
    <w:rsid w:val="00D61BC6"/>
    <w:rsid w:val="00D61BE0"/>
    <w:rsid w:val="00D6282C"/>
    <w:rsid w:val="00D62B56"/>
    <w:rsid w:val="00D6320B"/>
    <w:rsid w:val="00D63B81"/>
    <w:rsid w:val="00D643D1"/>
    <w:rsid w:val="00D64B55"/>
    <w:rsid w:val="00D66E35"/>
    <w:rsid w:val="00D6767C"/>
    <w:rsid w:val="00D67827"/>
    <w:rsid w:val="00D700A4"/>
    <w:rsid w:val="00D72B9B"/>
    <w:rsid w:val="00D72C7F"/>
    <w:rsid w:val="00D72FA5"/>
    <w:rsid w:val="00D74D0B"/>
    <w:rsid w:val="00D770DB"/>
    <w:rsid w:val="00D775D2"/>
    <w:rsid w:val="00D778B7"/>
    <w:rsid w:val="00D808FF"/>
    <w:rsid w:val="00D81187"/>
    <w:rsid w:val="00D8135F"/>
    <w:rsid w:val="00D81C55"/>
    <w:rsid w:val="00D822D3"/>
    <w:rsid w:val="00D8383E"/>
    <w:rsid w:val="00D83C9E"/>
    <w:rsid w:val="00D83D79"/>
    <w:rsid w:val="00D84487"/>
    <w:rsid w:val="00D85AB5"/>
    <w:rsid w:val="00D86210"/>
    <w:rsid w:val="00D86295"/>
    <w:rsid w:val="00D8649C"/>
    <w:rsid w:val="00D8793B"/>
    <w:rsid w:val="00D879D1"/>
    <w:rsid w:val="00D91A7B"/>
    <w:rsid w:val="00D94C2C"/>
    <w:rsid w:val="00D94CD0"/>
    <w:rsid w:val="00D96558"/>
    <w:rsid w:val="00D967FA"/>
    <w:rsid w:val="00DA0A3E"/>
    <w:rsid w:val="00DA1330"/>
    <w:rsid w:val="00DA1ADC"/>
    <w:rsid w:val="00DA2BE5"/>
    <w:rsid w:val="00DA2D7A"/>
    <w:rsid w:val="00DA34F2"/>
    <w:rsid w:val="00DB30B2"/>
    <w:rsid w:val="00DB41C9"/>
    <w:rsid w:val="00DB423A"/>
    <w:rsid w:val="00DB548B"/>
    <w:rsid w:val="00DB5765"/>
    <w:rsid w:val="00DB629A"/>
    <w:rsid w:val="00DB713F"/>
    <w:rsid w:val="00DB73C5"/>
    <w:rsid w:val="00DC106C"/>
    <w:rsid w:val="00DC2259"/>
    <w:rsid w:val="00DC2C99"/>
    <w:rsid w:val="00DC2D12"/>
    <w:rsid w:val="00DC3945"/>
    <w:rsid w:val="00DC45E1"/>
    <w:rsid w:val="00DC46C9"/>
    <w:rsid w:val="00DC47A4"/>
    <w:rsid w:val="00DC4AAE"/>
    <w:rsid w:val="00DC5248"/>
    <w:rsid w:val="00DC5536"/>
    <w:rsid w:val="00DC5C85"/>
    <w:rsid w:val="00DD058B"/>
    <w:rsid w:val="00DD0C0F"/>
    <w:rsid w:val="00DD1B81"/>
    <w:rsid w:val="00DD2029"/>
    <w:rsid w:val="00DD4837"/>
    <w:rsid w:val="00DD785C"/>
    <w:rsid w:val="00DD7BC3"/>
    <w:rsid w:val="00DD7D4D"/>
    <w:rsid w:val="00DE009F"/>
    <w:rsid w:val="00DE042E"/>
    <w:rsid w:val="00DE0739"/>
    <w:rsid w:val="00DE0E94"/>
    <w:rsid w:val="00DE12D7"/>
    <w:rsid w:val="00DE2E53"/>
    <w:rsid w:val="00DE2EE9"/>
    <w:rsid w:val="00DE2EF3"/>
    <w:rsid w:val="00DE379F"/>
    <w:rsid w:val="00DE4930"/>
    <w:rsid w:val="00DE617C"/>
    <w:rsid w:val="00DE67A0"/>
    <w:rsid w:val="00DF1C33"/>
    <w:rsid w:val="00DF2382"/>
    <w:rsid w:val="00DF2A62"/>
    <w:rsid w:val="00DF4349"/>
    <w:rsid w:val="00DF4808"/>
    <w:rsid w:val="00DF4D0D"/>
    <w:rsid w:val="00DF62FA"/>
    <w:rsid w:val="00E016DB"/>
    <w:rsid w:val="00E0197C"/>
    <w:rsid w:val="00E0237A"/>
    <w:rsid w:val="00E0254F"/>
    <w:rsid w:val="00E02B10"/>
    <w:rsid w:val="00E04084"/>
    <w:rsid w:val="00E047E0"/>
    <w:rsid w:val="00E04B3B"/>
    <w:rsid w:val="00E07445"/>
    <w:rsid w:val="00E111E4"/>
    <w:rsid w:val="00E11770"/>
    <w:rsid w:val="00E11BE3"/>
    <w:rsid w:val="00E11C33"/>
    <w:rsid w:val="00E11F09"/>
    <w:rsid w:val="00E12B3B"/>
    <w:rsid w:val="00E13054"/>
    <w:rsid w:val="00E13402"/>
    <w:rsid w:val="00E140B0"/>
    <w:rsid w:val="00E142C1"/>
    <w:rsid w:val="00E14F5A"/>
    <w:rsid w:val="00E15513"/>
    <w:rsid w:val="00E15B74"/>
    <w:rsid w:val="00E15BF2"/>
    <w:rsid w:val="00E17157"/>
    <w:rsid w:val="00E17419"/>
    <w:rsid w:val="00E2032A"/>
    <w:rsid w:val="00E20A68"/>
    <w:rsid w:val="00E21F15"/>
    <w:rsid w:val="00E23097"/>
    <w:rsid w:val="00E2327B"/>
    <w:rsid w:val="00E2589C"/>
    <w:rsid w:val="00E25B7D"/>
    <w:rsid w:val="00E2632E"/>
    <w:rsid w:val="00E270C1"/>
    <w:rsid w:val="00E31502"/>
    <w:rsid w:val="00E32462"/>
    <w:rsid w:val="00E33424"/>
    <w:rsid w:val="00E33A75"/>
    <w:rsid w:val="00E33F87"/>
    <w:rsid w:val="00E3463F"/>
    <w:rsid w:val="00E34B6C"/>
    <w:rsid w:val="00E361F5"/>
    <w:rsid w:val="00E375CE"/>
    <w:rsid w:val="00E40242"/>
    <w:rsid w:val="00E40828"/>
    <w:rsid w:val="00E40C19"/>
    <w:rsid w:val="00E40FE6"/>
    <w:rsid w:val="00E40FE8"/>
    <w:rsid w:val="00E4134D"/>
    <w:rsid w:val="00E4193F"/>
    <w:rsid w:val="00E41B0C"/>
    <w:rsid w:val="00E42341"/>
    <w:rsid w:val="00E42CBB"/>
    <w:rsid w:val="00E43520"/>
    <w:rsid w:val="00E43D61"/>
    <w:rsid w:val="00E44B8A"/>
    <w:rsid w:val="00E45966"/>
    <w:rsid w:val="00E459E1"/>
    <w:rsid w:val="00E46295"/>
    <w:rsid w:val="00E46D5F"/>
    <w:rsid w:val="00E513FC"/>
    <w:rsid w:val="00E516D9"/>
    <w:rsid w:val="00E538DB"/>
    <w:rsid w:val="00E5415A"/>
    <w:rsid w:val="00E54E2C"/>
    <w:rsid w:val="00E569EB"/>
    <w:rsid w:val="00E5716A"/>
    <w:rsid w:val="00E61630"/>
    <w:rsid w:val="00E6166A"/>
    <w:rsid w:val="00E64356"/>
    <w:rsid w:val="00E64F3E"/>
    <w:rsid w:val="00E65519"/>
    <w:rsid w:val="00E6560A"/>
    <w:rsid w:val="00E65726"/>
    <w:rsid w:val="00E662BB"/>
    <w:rsid w:val="00E673C8"/>
    <w:rsid w:val="00E67446"/>
    <w:rsid w:val="00E67A22"/>
    <w:rsid w:val="00E7044D"/>
    <w:rsid w:val="00E704EA"/>
    <w:rsid w:val="00E70611"/>
    <w:rsid w:val="00E713CD"/>
    <w:rsid w:val="00E736FF"/>
    <w:rsid w:val="00E75432"/>
    <w:rsid w:val="00E7581D"/>
    <w:rsid w:val="00E764C3"/>
    <w:rsid w:val="00E765EF"/>
    <w:rsid w:val="00E77808"/>
    <w:rsid w:val="00E82D9D"/>
    <w:rsid w:val="00E83C85"/>
    <w:rsid w:val="00E84623"/>
    <w:rsid w:val="00E84D87"/>
    <w:rsid w:val="00E85CDF"/>
    <w:rsid w:val="00E86616"/>
    <w:rsid w:val="00E872C7"/>
    <w:rsid w:val="00E87808"/>
    <w:rsid w:val="00E8790A"/>
    <w:rsid w:val="00E87ABB"/>
    <w:rsid w:val="00E87C91"/>
    <w:rsid w:val="00E9064F"/>
    <w:rsid w:val="00E910A9"/>
    <w:rsid w:val="00E91247"/>
    <w:rsid w:val="00E91411"/>
    <w:rsid w:val="00E92BF0"/>
    <w:rsid w:val="00E92C64"/>
    <w:rsid w:val="00E93541"/>
    <w:rsid w:val="00E949EC"/>
    <w:rsid w:val="00E953CE"/>
    <w:rsid w:val="00E958E8"/>
    <w:rsid w:val="00E96623"/>
    <w:rsid w:val="00E96668"/>
    <w:rsid w:val="00EA0652"/>
    <w:rsid w:val="00EA1782"/>
    <w:rsid w:val="00EA1F24"/>
    <w:rsid w:val="00EA2DB8"/>
    <w:rsid w:val="00EA39A7"/>
    <w:rsid w:val="00EA7125"/>
    <w:rsid w:val="00EB1681"/>
    <w:rsid w:val="00EB2CB4"/>
    <w:rsid w:val="00EB3A1F"/>
    <w:rsid w:val="00EB3E97"/>
    <w:rsid w:val="00EB4EA5"/>
    <w:rsid w:val="00EB55BA"/>
    <w:rsid w:val="00EC1A48"/>
    <w:rsid w:val="00EC26FE"/>
    <w:rsid w:val="00EC3B54"/>
    <w:rsid w:val="00EC3F97"/>
    <w:rsid w:val="00EC432B"/>
    <w:rsid w:val="00EC6662"/>
    <w:rsid w:val="00EC675E"/>
    <w:rsid w:val="00EC78FA"/>
    <w:rsid w:val="00ED01AD"/>
    <w:rsid w:val="00ED2146"/>
    <w:rsid w:val="00ED2BB9"/>
    <w:rsid w:val="00ED4146"/>
    <w:rsid w:val="00ED5710"/>
    <w:rsid w:val="00EE1BDD"/>
    <w:rsid w:val="00EE3FFB"/>
    <w:rsid w:val="00EE479C"/>
    <w:rsid w:val="00EE5946"/>
    <w:rsid w:val="00EE5EA2"/>
    <w:rsid w:val="00EE63FC"/>
    <w:rsid w:val="00EE6849"/>
    <w:rsid w:val="00EF0613"/>
    <w:rsid w:val="00EF0D66"/>
    <w:rsid w:val="00EF26F9"/>
    <w:rsid w:val="00EF2A94"/>
    <w:rsid w:val="00EF38CF"/>
    <w:rsid w:val="00EF52A4"/>
    <w:rsid w:val="00F0078D"/>
    <w:rsid w:val="00F023EE"/>
    <w:rsid w:val="00F03239"/>
    <w:rsid w:val="00F03C21"/>
    <w:rsid w:val="00F03D21"/>
    <w:rsid w:val="00F04158"/>
    <w:rsid w:val="00F04E5C"/>
    <w:rsid w:val="00F05565"/>
    <w:rsid w:val="00F0582D"/>
    <w:rsid w:val="00F06F74"/>
    <w:rsid w:val="00F07A2D"/>
    <w:rsid w:val="00F104D7"/>
    <w:rsid w:val="00F10D78"/>
    <w:rsid w:val="00F11249"/>
    <w:rsid w:val="00F11F0B"/>
    <w:rsid w:val="00F1265E"/>
    <w:rsid w:val="00F129BB"/>
    <w:rsid w:val="00F13ED6"/>
    <w:rsid w:val="00F13F50"/>
    <w:rsid w:val="00F14A5A"/>
    <w:rsid w:val="00F15D9E"/>
    <w:rsid w:val="00F16B52"/>
    <w:rsid w:val="00F17C0E"/>
    <w:rsid w:val="00F210AC"/>
    <w:rsid w:val="00F21403"/>
    <w:rsid w:val="00F249C2"/>
    <w:rsid w:val="00F253C7"/>
    <w:rsid w:val="00F279A4"/>
    <w:rsid w:val="00F30C0A"/>
    <w:rsid w:val="00F3232F"/>
    <w:rsid w:val="00F33BB7"/>
    <w:rsid w:val="00F34C18"/>
    <w:rsid w:val="00F35481"/>
    <w:rsid w:val="00F3562D"/>
    <w:rsid w:val="00F3664A"/>
    <w:rsid w:val="00F3686E"/>
    <w:rsid w:val="00F411E8"/>
    <w:rsid w:val="00F4209F"/>
    <w:rsid w:val="00F42383"/>
    <w:rsid w:val="00F43110"/>
    <w:rsid w:val="00F438B4"/>
    <w:rsid w:val="00F43CC8"/>
    <w:rsid w:val="00F4428C"/>
    <w:rsid w:val="00F454DA"/>
    <w:rsid w:val="00F45639"/>
    <w:rsid w:val="00F469A1"/>
    <w:rsid w:val="00F46FC6"/>
    <w:rsid w:val="00F47BA8"/>
    <w:rsid w:val="00F50150"/>
    <w:rsid w:val="00F5048C"/>
    <w:rsid w:val="00F50D8A"/>
    <w:rsid w:val="00F522B1"/>
    <w:rsid w:val="00F52791"/>
    <w:rsid w:val="00F54043"/>
    <w:rsid w:val="00F54E07"/>
    <w:rsid w:val="00F56F04"/>
    <w:rsid w:val="00F577C0"/>
    <w:rsid w:val="00F613BC"/>
    <w:rsid w:val="00F61BFF"/>
    <w:rsid w:val="00F64C25"/>
    <w:rsid w:val="00F651BA"/>
    <w:rsid w:val="00F6525F"/>
    <w:rsid w:val="00F65D79"/>
    <w:rsid w:val="00F66421"/>
    <w:rsid w:val="00F6669A"/>
    <w:rsid w:val="00F67366"/>
    <w:rsid w:val="00F67D49"/>
    <w:rsid w:val="00F70383"/>
    <w:rsid w:val="00F70E3F"/>
    <w:rsid w:val="00F71B14"/>
    <w:rsid w:val="00F731E5"/>
    <w:rsid w:val="00F7330B"/>
    <w:rsid w:val="00F73509"/>
    <w:rsid w:val="00F763B1"/>
    <w:rsid w:val="00F81319"/>
    <w:rsid w:val="00F8194F"/>
    <w:rsid w:val="00F819C2"/>
    <w:rsid w:val="00F8574E"/>
    <w:rsid w:val="00F85A56"/>
    <w:rsid w:val="00F8713E"/>
    <w:rsid w:val="00F908DC"/>
    <w:rsid w:val="00F928CB"/>
    <w:rsid w:val="00F9425D"/>
    <w:rsid w:val="00F94F1D"/>
    <w:rsid w:val="00F967F6"/>
    <w:rsid w:val="00FA0253"/>
    <w:rsid w:val="00FA2C3A"/>
    <w:rsid w:val="00FA4A20"/>
    <w:rsid w:val="00FA4DDD"/>
    <w:rsid w:val="00FA6311"/>
    <w:rsid w:val="00FB01B5"/>
    <w:rsid w:val="00FB0DA0"/>
    <w:rsid w:val="00FB2722"/>
    <w:rsid w:val="00FB2854"/>
    <w:rsid w:val="00FB2D8A"/>
    <w:rsid w:val="00FB3F04"/>
    <w:rsid w:val="00FB3FF4"/>
    <w:rsid w:val="00FB4BBC"/>
    <w:rsid w:val="00FC1F1B"/>
    <w:rsid w:val="00FC207C"/>
    <w:rsid w:val="00FC394A"/>
    <w:rsid w:val="00FC3A86"/>
    <w:rsid w:val="00FC4760"/>
    <w:rsid w:val="00FD2D9B"/>
    <w:rsid w:val="00FD3EA7"/>
    <w:rsid w:val="00FD44F9"/>
    <w:rsid w:val="00FD4696"/>
    <w:rsid w:val="00FD52DD"/>
    <w:rsid w:val="00FD7765"/>
    <w:rsid w:val="00FE0974"/>
    <w:rsid w:val="00FE2780"/>
    <w:rsid w:val="00FE2A0E"/>
    <w:rsid w:val="00FE2FAF"/>
    <w:rsid w:val="00FE358B"/>
    <w:rsid w:val="00FE504D"/>
    <w:rsid w:val="00FE676D"/>
    <w:rsid w:val="00FE68EA"/>
    <w:rsid w:val="00FE71F2"/>
    <w:rsid w:val="00FE7293"/>
    <w:rsid w:val="00FE76FD"/>
    <w:rsid w:val="00FF0C6B"/>
    <w:rsid w:val="00FF0E71"/>
    <w:rsid w:val="00FF2FB1"/>
    <w:rsid w:val="00FF36D3"/>
    <w:rsid w:val="00FF3D8E"/>
    <w:rsid w:val="00FF4C69"/>
    <w:rsid w:val="00FF4F18"/>
    <w:rsid w:val="00FF5FCF"/>
    <w:rsid w:val="00FF6953"/>
    <w:rsid w:val="01992A24"/>
    <w:rsid w:val="02E27F7D"/>
    <w:rsid w:val="042943E8"/>
    <w:rsid w:val="04710602"/>
    <w:rsid w:val="04F550AA"/>
    <w:rsid w:val="05310009"/>
    <w:rsid w:val="059E3E15"/>
    <w:rsid w:val="0A063254"/>
    <w:rsid w:val="0A344230"/>
    <w:rsid w:val="0B886F7D"/>
    <w:rsid w:val="0BA36C6F"/>
    <w:rsid w:val="0D316E18"/>
    <w:rsid w:val="0FEA3A6E"/>
    <w:rsid w:val="12C42B13"/>
    <w:rsid w:val="142573E4"/>
    <w:rsid w:val="16307361"/>
    <w:rsid w:val="169F5708"/>
    <w:rsid w:val="16E62715"/>
    <w:rsid w:val="177B641D"/>
    <w:rsid w:val="17F14DDF"/>
    <w:rsid w:val="18070DF2"/>
    <w:rsid w:val="1858672E"/>
    <w:rsid w:val="1927589A"/>
    <w:rsid w:val="192F4A36"/>
    <w:rsid w:val="1CF3514C"/>
    <w:rsid w:val="1E297B6C"/>
    <w:rsid w:val="1EC822F6"/>
    <w:rsid w:val="1ECF36EA"/>
    <w:rsid w:val="1FBF409D"/>
    <w:rsid w:val="21220D00"/>
    <w:rsid w:val="221E2698"/>
    <w:rsid w:val="22352338"/>
    <w:rsid w:val="23846AEF"/>
    <w:rsid w:val="23E65DA1"/>
    <w:rsid w:val="2549001C"/>
    <w:rsid w:val="278E2F9A"/>
    <w:rsid w:val="278E34D5"/>
    <w:rsid w:val="27CC2C14"/>
    <w:rsid w:val="2956041F"/>
    <w:rsid w:val="297053DF"/>
    <w:rsid w:val="2AF5733A"/>
    <w:rsid w:val="2BC563F1"/>
    <w:rsid w:val="2BFC4F9F"/>
    <w:rsid w:val="2C2F2E5B"/>
    <w:rsid w:val="2DC2617B"/>
    <w:rsid w:val="2E1C3845"/>
    <w:rsid w:val="2FE70FAB"/>
    <w:rsid w:val="30D83F02"/>
    <w:rsid w:val="319607FA"/>
    <w:rsid w:val="3229683B"/>
    <w:rsid w:val="32C30AF4"/>
    <w:rsid w:val="330F7C45"/>
    <w:rsid w:val="338102BC"/>
    <w:rsid w:val="34BE73F7"/>
    <w:rsid w:val="34C76929"/>
    <w:rsid w:val="39221B61"/>
    <w:rsid w:val="3A2B12A7"/>
    <w:rsid w:val="3A452D5C"/>
    <w:rsid w:val="3CAC748F"/>
    <w:rsid w:val="3D9A41CA"/>
    <w:rsid w:val="3F51591E"/>
    <w:rsid w:val="3FAF14E4"/>
    <w:rsid w:val="41700164"/>
    <w:rsid w:val="421373D0"/>
    <w:rsid w:val="427F57B3"/>
    <w:rsid w:val="43731F9A"/>
    <w:rsid w:val="43AD2CD4"/>
    <w:rsid w:val="44907C3B"/>
    <w:rsid w:val="45241161"/>
    <w:rsid w:val="459C7DF3"/>
    <w:rsid w:val="45C967F5"/>
    <w:rsid w:val="461D5993"/>
    <w:rsid w:val="471415BF"/>
    <w:rsid w:val="47BB0620"/>
    <w:rsid w:val="4989458D"/>
    <w:rsid w:val="4A8061AA"/>
    <w:rsid w:val="4B2332A6"/>
    <w:rsid w:val="4BA76BC0"/>
    <w:rsid w:val="4C7153F5"/>
    <w:rsid w:val="4C81727E"/>
    <w:rsid w:val="4D026B14"/>
    <w:rsid w:val="509E7570"/>
    <w:rsid w:val="511F4FD0"/>
    <w:rsid w:val="533D97EE"/>
    <w:rsid w:val="55216B22"/>
    <w:rsid w:val="571A7E3F"/>
    <w:rsid w:val="576135B0"/>
    <w:rsid w:val="576E0986"/>
    <w:rsid w:val="578C2807"/>
    <w:rsid w:val="58C074BE"/>
    <w:rsid w:val="594919CB"/>
    <w:rsid w:val="59CB51D7"/>
    <w:rsid w:val="5A517CF1"/>
    <w:rsid w:val="5A930A90"/>
    <w:rsid w:val="5B533D47"/>
    <w:rsid w:val="5D206234"/>
    <w:rsid w:val="5D9B7B77"/>
    <w:rsid w:val="5EC56345"/>
    <w:rsid w:val="5FAB6B76"/>
    <w:rsid w:val="5FEF7C89"/>
    <w:rsid w:val="607E7999"/>
    <w:rsid w:val="61585C2F"/>
    <w:rsid w:val="62354DE3"/>
    <w:rsid w:val="638A7BED"/>
    <w:rsid w:val="63A131C2"/>
    <w:rsid w:val="647937F6"/>
    <w:rsid w:val="65A7591F"/>
    <w:rsid w:val="66DF78CE"/>
    <w:rsid w:val="67165838"/>
    <w:rsid w:val="67191A6E"/>
    <w:rsid w:val="67AB1D56"/>
    <w:rsid w:val="67C116AC"/>
    <w:rsid w:val="6961142C"/>
    <w:rsid w:val="69C24894"/>
    <w:rsid w:val="6A031098"/>
    <w:rsid w:val="6A3E6297"/>
    <w:rsid w:val="6B5B8058"/>
    <w:rsid w:val="6C4C4BAA"/>
    <w:rsid w:val="6E374FFD"/>
    <w:rsid w:val="6FFE228A"/>
    <w:rsid w:val="70230C37"/>
    <w:rsid w:val="709E6CED"/>
    <w:rsid w:val="72A74FF1"/>
    <w:rsid w:val="73267C07"/>
    <w:rsid w:val="736036C2"/>
    <w:rsid w:val="74962C31"/>
    <w:rsid w:val="750033AF"/>
    <w:rsid w:val="75C6A22D"/>
    <w:rsid w:val="78332F27"/>
    <w:rsid w:val="79C835E8"/>
    <w:rsid w:val="7A147F78"/>
    <w:rsid w:val="7ADB6F81"/>
    <w:rsid w:val="7AF7379A"/>
    <w:rsid w:val="7B6F3A41"/>
    <w:rsid w:val="7C6575D1"/>
    <w:rsid w:val="7CD32A90"/>
    <w:rsid w:val="7D0A66C6"/>
    <w:rsid w:val="7D4A5387"/>
    <w:rsid w:val="7F71201A"/>
    <w:rsid w:val="7FA866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1"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1" w:semiHidden="0" w:name="annotation reference"/>
    <w:lsdException w:qFormat="1" w:unhideWhenUsed="0" w:uiPriority="0" w:semiHidden="0" w:name="line number"/>
    <w:lsdException w:qFormat="1" w:unhideWhenUsed="0" w:uiPriority="0" w:semiHidden="0" w:name="page number"/>
    <w:lsdException w:qFormat="1" w:uiPriority="1" w:semiHidden="0" w:name="endnote reference"/>
    <w:lsdException w:qFormat="1" w:uiPriority="1"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1"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1"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1"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7"/>
    <w:qFormat/>
    <w:uiPriority w:val="9"/>
    <w:pPr>
      <w:keepNext/>
      <w:jc w:val="center"/>
      <w:outlineLvl w:val="0"/>
    </w:pPr>
    <w:rPr>
      <w:rFonts w:ascii="楷体_GB2312" w:eastAsia="楷体_GB2312"/>
      <w:b/>
      <w:bCs/>
    </w:rPr>
  </w:style>
  <w:style w:type="paragraph" w:styleId="6">
    <w:name w:val="heading 2"/>
    <w:basedOn w:val="1"/>
    <w:next w:val="1"/>
    <w:link w:val="78"/>
    <w:qFormat/>
    <w:uiPriority w:val="9"/>
    <w:pPr>
      <w:keepNext/>
      <w:keepLines/>
      <w:spacing w:before="260" w:after="260" w:line="416" w:lineRule="auto"/>
      <w:outlineLvl w:val="1"/>
    </w:pPr>
    <w:rPr>
      <w:rFonts w:ascii="Cambria" w:hAnsi="Cambria"/>
      <w:b/>
      <w:bCs/>
      <w:sz w:val="32"/>
      <w:szCs w:val="32"/>
    </w:rPr>
  </w:style>
  <w:style w:type="paragraph" w:styleId="7">
    <w:name w:val="heading 3"/>
    <w:basedOn w:val="6"/>
    <w:next w:val="1"/>
    <w:link w:val="79"/>
    <w:qFormat/>
    <w:uiPriority w:val="9"/>
    <w:pPr>
      <w:outlineLvl w:val="2"/>
    </w:pPr>
  </w:style>
  <w:style w:type="paragraph" w:styleId="8">
    <w:name w:val="heading 4"/>
    <w:basedOn w:val="1"/>
    <w:next w:val="1"/>
    <w:link w:val="80"/>
    <w:qFormat/>
    <w:uiPriority w:val="0"/>
    <w:pPr>
      <w:keepNext/>
      <w:keepLines/>
      <w:spacing w:before="280" w:after="290" w:line="376" w:lineRule="auto"/>
      <w:outlineLvl w:val="3"/>
    </w:pPr>
    <w:rPr>
      <w:rFonts w:ascii="Cambria" w:hAnsi="Cambria"/>
      <w:b/>
      <w:bCs/>
      <w:sz w:val="28"/>
      <w:szCs w:val="28"/>
    </w:rPr>
  </w:style>
  <w:style w:type="paragraph" w:styleId="9">
    <w:name w:val="heading 5"/>
    <w:basedOn w:val="1"/>
    <w:next w:val="1"/>
    <w:link w:val="81"/>
    <w:qFormat/>
    <w:uiPriority w:val="9"/>
    <w:pPr>
      <w:keepNext/>
      <w:keepLines/>
      <w:spacing w:before="280" w:after="290" w:line="376" w:lineRule="auto"/>
      <w:outlineLvl w:val="4"/>
    </w:pPr>
    <w:rPr>
      <w:b/>
      <w:bCs/>
      <w:sz w:val="28"/>
      <w:szCs w:val="28"/>
    </w:rPr>
  </w:style>
  <w:style w:type="paragraph" w:styleId="10">
    <w:name w:val="heading 6"/>
    <w:basedOn w:val="1"/>
    <w:next w:val="1"/>
    <w:link w:val="82"/>
    <w:qFormat/>
    <w:uiPriority w:val="9"/>
    <w:pPr>
      <w:keepNext/>
      <w:keepLines/>
      <w:spacing w:before="240" w:after="64" w:line="320" w:lineRule="auto"/>
      <w:outlineLvl w:val="5"/>
    </w:pPr>
    <w:rPr>
      <w:rFonts w:ascii="Cambria" w:hAnsi="Cambria"/>
      <w:b/>
      <w:bCs/>
      <w:sz w:val="24"/>
    </w:rPr>
  </w:style>
  <w:style w:type="paragraph" w:styleId="11">
    <w:name w:val="heading 7"/>
    <w:basedOn w:val="1"/>
    <w:next w:val="1"/>
    <w:link w:val="165"/>
    <w:qFormat/>
    <w:uiPriority w:val="9"/>
    <w:pPr>
      <w:keepNext/>
      <w:keepLines/>
      <w:adjustRightInd w:val="0"/>
      <w:spacing w:before="240" w:after="64" w:line="320" w:lineRule="atLeast"/>
      <w:textAlignment w:val="baseline"/>
      <w:outlineLvl w:val="6"/>
    </w:pPr>
    <w:rPr>
      <w:rFonts w:eastAsia="等线"/>
      <w:b/>
      <w:sz w:val="24"/>
    </w:rPr>
  </w:style>
  <w:style w:type="paragraph" w:styleId="12">
    <w:name w:val="heading 8"/>
    <w:basedOn w:val="1"/>
    <w:next w:val="1"/>
    <w:link w:val="166"/>
    <w:qFormat/>
    <w:uiPriority w:val="9"/>
    <w:pPr>
      <w:keepNext/>
      <w:keepLines/>
      <w:adjustRightInd w:val="0"/>
      <w:spacing w:before="240" w:after="64" w:line="320" w:lineRule="atLeast"/>
      <w:textAlignment w:val="baseline"/>
      <w:outlineLvl w:val="7"/>
    </w:pPr>
    <w:rPr>
      <w:rFonts w:ascii="Arial" w:hAnsi="Arial" w:eastAsia="黑体"/>
      <w:sz w:val="24"/>
    </w:rPr>
  </w:style>
  <w:style w:type="paragraph" w:styleId="13">
    <w:name w:val="heading 9"/>
    <w:basedOn w:val="1"/>
    <w:next w:val="1"/>
    <w:link w:val="167"/>
    <w:qFormat/>
    <w:uiPriority w:val="9"/>
    <w:pPr>
      <w:keepNext/>
      <w:keepLines/>
      <w:adjustRightInd w:val="0"/>
      <w:spacing w:before="240" w:after="64" w:line="320" w:lineRule="atLeast"/>
      <w:textAlignment w:val="baseline"/>
      <w:outlineLvl w:val="8"/>
    </w:pPr>
    <w:rPr>
      <w:rFonts w:ascii="Arial" w:hAnsi="Arial" w:eastAsia="黑体"/>
      <w:sz w:val="24"/>
    </w:rPr>
  </w:style>
  <w:style w:type="character" w:default="1" w:styleId="66">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8"/>
    <w:qFormat/>
    <w:uiPriority w:val="99"/>
    <w:pPr>
      <w:spacing w:after="120"/>
    </w:pPr>
  </w:style>
  <w:style w:type="paragraph" w:styleId="3">
    <w:name w:val="Body Text First Indent"/>
    <w:basedOn w:val="2"/>
    <w:next w:val="1"/>
    <w:link w:val="100"/>
    <w:qFormat/>
    <w:uiPriority w:val="0"/>
    <w:pPr>
      <w:ind w:firstLine="420" w:firstLineChars="100"/>
    </w:pPr>
  </w:style>
  <w:style w:type="paragraph" w:styleId="4">
    <w:name w:val="macro"/>
    <w:link w:val="42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hAnsi="Wingdings" w:eastAsia="Times New Roman" w:cs="Times New Roman"/>
      <w:kern w:val="2"/>
      <w:sz w:val="24"/>
      <w:szCs w:val="24"/>
      <w:lang w:val="en-US" w:eastAsia="zh-CN" w:bidi="ar-SA"/>
    </w:rPr>
  </w:style>
  <w:style w:type="paragraph" w:styleId="14">
    <w:name w:val="toc 7"/>
    <w:basedOn w:val="1"/>
    <w:next w:val="1"/>
    <w:qFormat/>
    <w:uiPriority w:val="39"/>
    <w:pPr>
      <w:autoSpaceDE w:val="0"/>
      <w:autoSpaceDN w:val="0"/>
      <w:adjustRightInd w:val="0"/>
      <w:ind w:left="2520" w:leftChars="1200"/>
      <w:jc w:val="left"/>
    </w:pPr>
    <w:rPr>
      <w:rFonts w:ascii="等线" w:hAnsi="等线" w:eastAsia="等线" w:cs="等线"/>
      <w:kern w:val="0"/>
      <w:sz w:val="20"/>
      <w:szCs w:val="20"/>
    </w:rPr>
  </w:style>
  <w:style w:type="paragraph" w:styleId="15">
    <w:name w:val="Note Heading"/>
    <w:basedOn w:val="1"/>
    <w:next w:val="1"/>
    <w:link w:val="419"/>
    <w:qFormat/>
    <w:uiPriority w:val="0"/>
    <w:pPr>
      <w:spacing w:line="360" w:lineRule="auto"/>
      <w:ind w:firstLine="200" w:firstLineChars="200"/>
      <w:jc w:val="center"/>
    </w:pPr>
    <w:rPr>
      <w:rFonts w:ascii="DFKai-SB" w:hAnsi="DFKai-SB" w:eastAsia="DFKai-SB" w:cs="等线"/>
      <w:sz w:val="20"/>
      <w:szCs w:val="20"/>
      <w:lang w:eastAsia="zh-TW"/>
    </w:rPr>
  </w:style>
  <w:style w:type="paragraph" w:styleId="16">
    <w:name w:val="List Bullet 4"/>
    <w:basedOn w:val="1"/>
    <w:qFormat/>
    <w:uiPriority w:val="0"/>
    <w:pPr>
      <w:numPr>
        <w:ilvl w:val="0"/>
        <w:numId w:val="1"/>
      </w:numPr>
    </w:pPr>
  </w:style>
  <w:style w:type="paragraph" w:styleId="17">
    <w:name w:val="List Number"/>
    <w:basedOn w:val="1"/>
    <w:qFormat/>
    <w:uiPriority w:val="0"/>
    <w:pPr>
      <w:tabs>
        <w:tab w:val="left" w:pos="360"/>
      </w:tabs>
      <w:ind w:left="360" w:hanging="360" w:hangingChars="200"/>
    </w:pPr>
    <w:rPr>
      <w:rFonts w:ascii="等线" w:hAnsi="等线" w:eastAsia="等线" w:cs="等线"/>
    </w:rPr>
  </w:style>
  <w:style w:type="paragraph" w:styleId="18">
    <w:name w:val="Normal Indent"/>
    <w:basedOn w:val="1"/>
    <w:link w:val="101"/>
    <w:qFormat/>
    <w:uiPriority w:val="0"/>
    <w:pPr>
      <w:adjustRightInd w:val="0"/>
      <w:spacing w:line="312" w:lineRule="atLeast"/>
      <w:ind w:firstLine="420"/>
      <w:textAlignment w:val="baseline"/>
    </w:pPr>
    <w:rPr>
      <w:kern w:val="0"/>
      <w:szCs w:val="20"/>
    </w:rPr>
  </w:style>
  <w:style w:type="paragraph" w:styleId="19">
    <w:name w:val="caption"/>
    <w:basedOn w:val="1"/>
    <w:next w:val="1"/>
    <w:qFormat/>
    <w:uiPriority w:val="0"/>
    <w:rPr>
      <w:rFonts w:ascii="Cambria" w:hAnsi="Cambria" w:eastAsia="黑体"/>
      <w:sz w:val="20"/>
      <w:szCs w:val="20"/>
    </w:rPr>
  </w:style>
  <w:style w:type="paragraph" w:styleId="20">
    <w:name w:val="List Bullet"/>
    <w:basedOn w:val="1"/>
    <w:qFormat/>
    <w:uiPriority w:val="0"/>
    <w:pPr>
      <w:tabs>
        <w:tab w:val="left" w:pos="360"/>
      </w:tabs>
      <w:ind w:left="360" w:hanging="360"/>
    </w:pPr>
    <w:rPr>
      <w:rFonts w:ascii="Century Gothic" w:hAnsi="Century Gothic" w:eastAsia="等线" w:cs="等线"/>
      <w:szCs w:val="22"/>
    </w:rPr>
  </w:style>
  <w:style w:type="paragraph" w:styleId="21">
    <w:name w:val="Document Map"/>
    <w:basedOn w:val="1"/>
    <w:link w:val="204"/>
    <w:qFormat/>
    <w:uiPriority w:val="0"/>
    <w:pPr>
      <w:shd w:val="clear" w:color="auto" w:fill="000080"/>
    </w:pPr>
  </w:style>
  <w:style w:type="paragraph" w:styleId="22">
    <w:name w:val="toa heading"/>
    <w:basedOn w:val="1"/>
    <w:next w:val="1"/>
    <w:qFormat/>
    <w:uiPriority w:val="0"/>
    <w:pPr>
      <w:spacing w:before="120" w:line="560" w:lineRule="exact"/>
      <w:ind w:firstLine="200" w:firstLineChars="200"/>
    </w:pPr>
    <w:rPr>
      <w:rFonts w:ascii="Arial" w:hAnsi="Arial" w:cs="Arial"/>
      <w:sz w:val="24"/>
    </w:rPr>
  </w:style>
  <w:style w:type="paragraph" w:styleId="23">
    <w:name w:val="annotation text"/>
    <w:basedOn w:val="1"/>
    <w:link w:val="112"/>
    <w:qFormat/>
    <w:uiPriority w:val="1"/>
    <w:pPr>
      <w:jc w:val="left"/>
    </w:pPr>
  </w:style>
  <w:style w:type="paragraph" w:styleId="24">
    <w:name w:val="Salutation"/>
    <w:basedOn w:val="1"/>
    <w:next w:val="1"/>
    <w:link w:val="407"/>
    <w:qFormat/>
    <w:uiPriority w:val="0"/>
    <w:pPr>
      <w:tabs>
        <w:tab w:val="left" w:pos="840"/>
      </w:tabs>
      <w:autoSpaceDE w:val="0"/>
      <w:autoSpaceDN w:val="0"/>
      <w:adjustRightInd w:val="0"/>
      <w:jc w:val="left"/>
    </w:pPr>
    <w:rPr>
      <w:rFonts w:ascii="等线" w:hAnsi="等线" w:eastAsia="等线" w:cs="等线"/>
      <w:kern w:val="0"/>
      <w:sz w:val="24"/>
      <w:szCs w:val="20"/>
    </w:rPr>
  </w:style>
  <w:style w:type="paragraph" w:styleId="25">
    <w:name w:val="Body Text 3"/>
    <w:basedOn w:val="1"/>
    <w:link w:val="422"/>
    <w:qFormat/>
    <w:uiPriority w:val="0"/>
    <w:pPr>
      <w:autoSpaceDE w:val="0"/>
      <w:autoSpaceDN w:val="0"/>
      <w:adjustRightInd w:val="0"/>
      <w:jc w:val="center"/>
    </w:pPr>
    <w:rPr>
      <w:rFonts w:ascii="等线" w:hAnsi="等线" w:eastAsia="等线" w:cs="等线"/>
      <w:kern w:val="0"/>
      <w:sz w:val="20"/>
      <w:szCs w:val="20"/>
    </w:rPr>
  </w:style>
  <w:style w:type="paragraph" w:styleId="26">
    <w:name w:val="List Bullet 3"/>
    <w:basedOn w:val="1"/>
    <w:qFormat/>
    <w:uiPriority w:val="0"/>
    <w:pPr>
      <w:tabs>
        <w:tab w:val="left" w:pos="1321"/>
        <w:tab w:val="left" w:pos="2281"/>
      </w:tabs>
      <w:adjustRightInd w:val="0"/>
      <w:spacing w:line="360" w:lineRule="atLeast"/>
      <w:ind w:left="1321" w:leftChars="600" w:hanging="200" w:hangingChars="200"/>
      <w:jc w:val="left"/>
      <w:textAlignment w:val="baseline"/>
    </w:pPr>
    <w:rPr>
      <w:rFonts w:ascii="等线" w:hAnsi="等线" w:eastAsia="PMingLiU" w:cs="等线"/>
      <w:kern w:val="0"/>
      <w:sz w:val="24"/>
      <w:szCs w:val="20"/>
      <w:lang w:eastAsia="zh-TW"/>
    </w:rPr>
  </w:style>
  <w:style w:type="paragraph" w:styleId="27">
    <w:name w:val="Body Text Indent"/>
    <w:basedOn w:val="1"/>
    <w:link w:val="89"/>
    <w:qFormat/>
    <w:uiPriority w:val="0"/>
    <w:pPr>
      <w:ind w:left="480" w:hanging="480" w:hangingChars="200"/>
    </w:pPr>
    <w:rPr>
      <w:sz w:val="24"/>
    </w:rPr>
  </w:style>
  <w:style w:type="paragraph" w:styleId="28">
    <w:name w:val="List Number 3"/>
    <w:basedOn w:val="1"/>
    <w:qFormat/>
    <w:uiPriority w:val="0"/>
    <w:pPr>
      <w:tabs>
        <w:tab w:val="left" w:pos="1200"/>
      </w:tabs>
      <w:ind w:left="1200" w:leftChars="400" w:hanging="360" w:hangingChars="200"/>
    </w:pPr>
    <w:rPr>
      <w:rFonts w:ascii="等线" w:hAnsi="等线" w:eastAsia="等线" w:cs="等线"/>
    </w:rPr>
  </w:style>
  <w:style w:type="paragraph" w:styleId="29">
    <w:name w:val="List 2"/>
    <w:basedOn w:val="1"/>
    <w:qFormat/>
    <w:uiPriority w:val="0"/>
    <w:pPr>
      <w:autoSpaceDE w:val="0"/>
      <w:autoSpaceDN w:val="0"/>
      <w:adjustRightInd w:val="0"/>
      <w:ind w:left="100" w:hanging="200"/>
      <w:textAlignment w:val="baseline"/>
    </w:pPr>
    <w:rPr>
      <w:rFonts w:ascii="等线" w:hAnsi="等线" w:eastAsia="等线" w:cs="等线"/>
      <w:kern w:val="0"/>
      <w:sz w:val="28"/>
      <w:szCs w:val="20"/>
    </w:rPr>
  </w:style>
  <w:style w:type="paragraph" w:styleId="30">
    <w:name w:val="Block Text"/>
    <w:basedOn w:val="1"/>
    <w:qFormat/>
    <w:uiPriority w:val="0"/>
    <w:pPr>
      <w:adjustRightInd w:val="0"/>
      <w:spacing w:line="360" w:lineRule="atLeast"/>
      <w:ind w:left="1260" w:leftChars="525" w:right="22" w:rightChars="9" w:firstLine="200" w:firstLineChars="200"/>
      <w:jc w:val="left"/>
      <w:textAlignment w:val="baseline"/>
    </w:pPr>
    <w:rPr>
      <w:rFonts w:ascii="DFKai-SB" w:hAnsi="DFKai-SB" w:eastAsia="DFKai-SB" w:cs="等线"/>
      <w:kern w:val="0"/>
      <w:sz w:val="28"/>
      <w:szCs w:val="20"/>
      <w:lang w:eastAsia="zh-TW"/>
    </w:rPr>
  </w:style>
  <w:style w:type="paragraph" w:styleId="31">
    <w:name w:val="List Bullet 2"/>
    <w:basedOn w:val="1"/>
    <w:qFormat/>
    <w:uiPriority w:val="0"/>
    <w:pPr>
      <w:tabs>
        <w:tab w:val="left" w:pos="780"/>
      </w:tabs>
      <w:spacing w:line="360" w:lineRule="auto"/>
      <w:ind w:left="780" w:leftChars="200" w:hanging="360" w:hangingChars="200"/>
    </w:pPr>
    <w:rPr>
      <w:rFonts w:ascii="等线" w:hAnsi="等线" w:eastAsia="等线" w:cs="等线"/>
    </w:rPr>
  </w:style>
  <w:style w:type="paragraph" w:styleId="32">
    <w:name w:val="toc 5"/>
    <w:basedOn w:val="1"/>
    <w:next w:val="1"/>
    <w:qFormat/>
    <w:uiPriority w:val="39"/>
    <w:pPr>
      <w:autoSpaceDE w:val="0"/>
      <w:autoSpaceDN w:val="0"/>
      <w:adjustRightInd w:val="0"/>
      <w:ind w:left="1680" w:leftChars="800"/>
      <w:jc w:val="left"/>
    </w:pPr>
    <w:rPr>
      <w:rFonts w:ascii="等线" w:hAnsi="等线" w:eastAsia="等线" w:cs="等线"/>
      <w:kern w:val="0"/>
      <w:sz w:val="20"/>
      <w:szCs w:val="20"/>
    </w:rPr>
  </w:style>
  <w:style w:type="paragraph" w:styleId="33">
    <w:name w:val="toc 3"/>
    <w:basedOn w:val="1"/>
    <w:next w:val="1"/>
    <w:qFormat/>
    <w:uiPriority w:val="39"/>
    <w:pPr>
      <w:ind w:left="840" w:leftChars="400"/>
    </w:pPr>
  </w:style>
  <w:style w:type="paragraph" w:styleId="34">
    <w:name w:val="Plain Text"/>
    <w:basedOn w:val="1"/>
    <w:next w:val="35"/>
    <w:link w:val="90"/>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5">
    <w:name w:val="toc 2"/>
    <w:basedOn w:val="1"/>
    <w:next w:val="1"/>
    <w:qFormat/>
    <w:uiPriority w:val="39"/>
    <w:pPr>
      <w:ind w:left="420" w:leftChars="200"/>
    </w:pPr>
  </w:style>
  <w:style w:type="paragraph" w:styleId="36">
    <w:name w:val="List Number 4"/>
    <w:basedOn w:val="1"/>
    <w:qFormat/>
    <w:uiPriority w:val="0"/>
    <w:pPr>
      <w:tabs>
        <w:tab w:val="left" w:pos="840"/>
      </w:tabs>
      <w:autoSpaceDE w:val="0"/>
      <w:autoSpaceDN w:val="0"/>
      <w:adjustRightInd w:val="0"/>
      <w:spacing w:line="360" w:lineRule="atLeast"/>
      <w:ind w:left="840" w:hanging="420"/>
      <w:jc w:val="left"/>
    </w:pPr>
    <w:rPr>
      <w:rFonts w:ascii="等线" w:hAnsi="等线" w:eastAsia="等线" w:cs="等线"/>
      <w:kern w:val="0"/>
      <w:sz w:val="24"/>
      <w:szCs w:val="20"/>
    </w:rPr>
  </w:style>
  <w:style w:type="paragraph" w:styleId="37">
    <w:name w:val="toc 8"/>
    <w:basedOn w:val="1"/>
    <w:next w:val="1"/>
    <w:qFormat/>
    <w:uiPriority w:val="39"/>
    <w:pPr>
      <w:autoSpaceDE w:val="0"/>
      <w:autoSpaceDN w:val="0"/>
      <w:adjustRightInd w:val="0"/>
      <w:ind w:left="2940" w:leftChars="1400"/>
      <w:jc w:val="left"/>
    </w:pPr>
    <w:rPr>
      <w:rFonts w:ascii="等线" w:hAnsi="等线" w:eastAsia="等线" w:cs="等线"/>
      <w:kern w:val="0"/>
      <w:sz w:val="20"/>
      <w:szCs w:val="20"/>
    </w:rPr>
  </w:style>
  <w:style w:type="paragraph" w:styleId="38">
    <w:name w:val="Date"/>
    <w:basedOn w:val="1"/>
    <w:next w:val="1"/>
    <w:link w:val="83"/>
    <w:qFormat/>
    <w:uiPriority w:val="0"/>
    <w:pPr>
      <w:ind w:left="100" w:leftChars="2500"/>
    </w:pPr>
  </w:style>
  <w:style w:type="paragraph" w:styleId="39">
    <w:name w:val="Body Text Indent 2"/>
    <w:basedOn w:val="1"/>
    <w:link w:val="304"/>
    <w:qFormat/>
    <w:uiPriority w:val="0"/>
    <w:pPr>
      <w:spacing w:line="500" w:lineRule="exact"/>
      <w:ind w:firstLine="511" w:firstLineChars="213"/>
    </w:pPr>
    <w:rPr>
      <w:sz w:val="24"/>
    </w:rPr>
  </w:style>
  <w:style w:type="paragraph" w:styleId="40">
    <w:name w:val="endnote text"/>
    <w:basedOn w:val="1"/>
    <w:link w:val="757"/>
    <w:unhideWhenUsed/>
    <w:qFormat/>
    <w:uiPriority w:val="1"/>
    <w:pPr>
      <w:snapToGrid w:val="0"/>
      <w:spacing w:line="360" w:lineRule="auto"/>
      <w:ind w:firstLine="200" w:firstLineChars="200"/>
      <w:jc w:val="left"/>
    </w:pPr>
    <w:rPr>
      <w:sz w:val="28"/>
    </w:rPr>
  </w:style>
  <w:style w:type="paragraph" w:styleId="41">
    <w:name w:val="Balloon Text"/>
    <w:basedOn w:val="1"/>
    <w:link w:val="267"/>
    <w:qFormat/>
    <w:uiPriority w:val="0"/>
    <w:rPr>
      <w:sz w:val="18"/>
      <w:szCs w:val="18"/>
    </w:rPr>
  </w:style>
  <w:style w:type="paragraph" w:styleId="42">
    <w:name w:val="footer"/>
    <w:basedOn w:val="1"/>
    <w:link w:val="87"/>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spacing w:line="360" w:lineRule="auto"/>
      <w:ind w:firstLine="200" w:firstLineChars="200"/>
    </w:pPr>
    <w:rPr>
      <w:rFonts w:ascii="Arial" w:hAnsi="Arial" w:eastAsia="等线" w:cs="等线"/>
      <w:spacing w:val="-10"/>
      <w:szCs w:val="20"/>
    </w:rPr>
  </w:style>
  <w:style w:type="paragraph" w:styleId="44">
    <w:name w:val="header"/>
    <w:basedOn w:val="1"/>
    <w:link w:val="370"/>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439"/>
    <w:qFormat/>
    <w:uiPriority w:val="0"/>
    <w:pPr>
      <w:autoSpaceDE w:val="0"/>
      <w:autoSpaceDN w:val="0"/>
      <w:adjustRightInd w:val="0"/>
      <w:spacing w:after="600" w:line="312" w:lineRule="atLeast"/>
      <w:jc w:val="center"/>
      <w:textAlignment w:val="baseline"/>
    </w:pPr>
    <w:rPr>
      <w:rFonts w:ascii="等线" w:hAnsi="等线" w:eastAsia="黑体" w:cs="等线"/>
      <w:kern w:val="0"/>
      <w:sz w:val="24"/>
      <w:szCs w:val="20"/>
    </w:rPr>
  </w:style>
  <w:style w:type="paragraph" w:styleId="46">
    <w:name w:val="toc 1"/>
    <w:basedOn w:val="1"/>
    <w:next w:val="1"/>
    <w:qFormat/>
    <w:uiPriority w:val="39"/>
    <w:pPr>
      <w:tabs>
        <w:tab w:val="right" w:leader="dot" w:pos="9628"/>
      </w:tabs>
      <w:spacing w:line="480" w:lineRule="auto"/>
    </w:pPr>
    <w:rPr>
      <w:rFonts w:ascii="Arial" w:hAnsi="Arial" w:eastAsia="新宋体" w:cs="Arial"/>
      <w:bCs/>
      <w:sz w:val="24"/>
    </w:rPr>
  </w:style>
  <w:style w:type="paragraph" w:styleId="47">
    <w:name w:val="toc 4"/>
    <w:basedOn w:val="1"/>
    <w:next w:val="1"/>
    <w:qFormat/>
    <w:uiPriority w:val="39"/>
    <w:pPr>
      <w:autoSpaceDE w:val="0"/>
      <w:autoSpaceDN w:val="0"/>
      <w:adjustRightInd w:val="0"/>
      <w:ind w:left="1260" w:leftChars="600"/>
      <w:jc w:val="left"/>
    </w:pPr>
    <w:rPr>
      <w:rFonts w:ascii="等线" w:hAnsi="等线" w:eastAsia="等线" w:cs="等线"/>
      <w:kern w:val="0"/>
      <w:sz w:val="20"/>
      <w:szCs w:val="20"/>
    </w:rPr>
  </w:style>
  <w:style w:type="paragraph" w:styleId="48">
    <w:name w:val="Subtitle"/>
    <w:basedOn w:val="1"/>
    <w:next w:val="1"/>
    <w:link w:val="435"/>
    <w:qFormat/>
    <w:uiPriority w:val="0"/>
    <w:pPr>
      <w:spacing w:before="240" w:after="60" w:line="312" w:lineRule="auto"/>
      <w:jc w:val="center"/>
      <w:outlineLvl w:val="1"/>
    </w:pPr>
    <w:rPr>
      <w:rFonts w:ascii="Verdana" w:hAnsi="Verdana" w:eastAsia="仿宋_GB2312"/>
      <w:b/>
      <w:bCs/>
      <w:kern w:val="28"/>
      <w:sz w:val="32"/>
      <w:szCs w:val="32"/>
    </w:rPr>
  </w:style>
  <w:style w:type="paragraph" w:styleId="49">
    <w:name w:val="List Number 5"/>
    <w:basedOn w:val="1"/>
    <w:qFormat/>
    <w:uiPriority w:val="0"/>
    <w:pPr>
      <w:tabs>
        <w:tab w:val="left" w:pos="2040"/>
      </w:tabs>
      <w:autoSpaceDE w:val="0"/>
      <w:autoSpaceDN w:val="0"/>
      <w:adjustRightInd w:val="0"/>
      <w:spacing w:line="400" w:lineRule="exact"/>
      <w:ind w:left="2040" w:hanging="360"/>
      <w:jc w:val="left"/>
    </w:pPr>
    <w:rPr>
      <w:rFonts w:ascii="等线" w:hAnsi="等线" w:eastAsia="等线" w:cs="等线"/>
      <w:kern w:val="0"/>
      <w:sz w:val="24"/>
      <w:szCs w:val="20"/>
    </w:rPr>
  </w:style>
  <w:style w:type="paragraph" w:styleId="50">
    <w:name w:val="footnote text"/>
    <w:basedOn w:val="1"/>
    <w:link w:val="434"/>
    <w:qFormat/>
    <w:uiPriority w:val="0"/>
    <w:pPr>
      <w:snapToGrid w:val="0"/>
      <w:spacing w:line="360" w:lineRule="auto"/>
      <w:ind w:firstLine="200" w:firstLineChars="200"/>
      <w:jc w:val="left"/>
    </w:pPr>
    <w:rPr>
      <w:rFonts w:ascii="等线" w:hAnsi="等线" w:eastAsia="等线" w:cs="等线"/>
      <w:sz w:val="18"/>
      <w:szCs w:val="18"/>
    </w:rPr>
  </w:style>
  <w:style w:type="paragraph" w:styleId="51">
    <w:name w:val="toc 6"/>
    <w:basedOn w:val="1"/>
    <w:next w:val="1"/>
    <w:qFormat/>
    <w:uiPriority w:val="39"/>
    <w:pPr>
      <w:autoSpaceDE w:val="0"/>
      <w:autoSpaceDN w:val="0"/>
      <w:adjustRightInd w:val="0"/>
      <w:ind w:left="2100" w:leftChars="1000"/>
      <w:jc w:val="left"/>
    </w:pPr>
    <w:rPr>
      <w:rFonts w:ascii="等线" w:hAnsi="等线" w:eastAsia="等线" w:cs="等线"/>
      <w:kern w:val="0"/>
      <w:sz w:val="20"/>
      <w:szCs w:val="20"/>
    </w:rPr>
  </w:style>
  <w:style w:type="paragraph" w:styleId="52">
    <w:name w:val="Body Text Indent 3"/>
    <w:basedOn w:val="1"/>
    <w:link w:val="201"/>
    <w:qFormat/>
    <w:uiPriority w:val="0"/>
    <w:pPr>
      <w:spacing w:line="500" w:lineRule="exact"/>
      <w:ind w:left="511" w:hanging="511" w:hangingChars="213"/>
    </w:pPr>
    <w:rPr>
      <w:sz w:val="24"/>
    </w:rPr>
  </w:style>
  <w:style w:type="paragraph" w:styleId="53">
    <w:name w:val="table of figures"/>
    <w:basedOn w:val="1"/>
    <w:next w:val="1"/>
    <w:qFormat/>
    <w:uiPriority w:val="0"/>
    <w:pPr>
      <w:spacing w:line="360" w:lineRule="auto"/>
      <w:ind w:left="840" w:leftChars="200" w:hanging="420" w:hangingChars="200"/>
    </w:pPr>
    <w:rPr>
      <w:rFonts w:ascii="等线" w:hAnsi="等线" w:eastAsia="等线" w:cs="等线"/>
      <w:szCs w:val="20"/>
    </w:rPr>
  </w:style>
  <w:style w:type="paragraph" w:styleId="54">
    <w:name w:val="toc 9"/>
    <w:basedOn w:val="1"/>
    <w:next w:val="1"/>
    <w:qFormat/>
    <w:uiPriority w:val="39"/>
    <w:pPr>
      <w:autoSpaceDE w:val="0"/>
      <w:autoSpaceDN w:val="0"/>
      <w:adjustRightInd w:val="0"/>
      <w:ind w:left="3360" w:leftChars="1600"/>
      <w:jc w:val="left"/>
    </w:pPr>
    <w:rPr>
      <w:rFonts w:ascii="等线" w:hAnsi="等线" w:eastAsia="等线" w:cs="等线"/>
      <w:kern w:val="0"/>
      <w:sz w:val="20"/>
      <w:szCs w:val="20"/>
    </w:rPr>
  </w:style>
  <w:style w:type="paragraph" w:styleId="55">
    <w:name w:val="Body Text 2"/>
    <w:basedOn w:val="1"/>
    <w:link w:val="433"/>
    <w:qFormat/>
    <w:uiPriority w:val="0"/>
    <w:pPr>
      <w:autoSpaceDE w:val="0"/>
      <w:autoSpaceDN w:val="0"/>
      <w:adjustRightInd w:val="0"/>
      <w:spacing w:after="120" w:line="480" w:lineRule="auto"/>
      <w:jc w:val="left"/>
    </w:pPr>
    <w:rPr>
      <w:rFonts w:ascii="等线" w:hAnsi="等线" w:eastAsia="等线" w:cs="等线"/>
      <w:kern w:val="0"/>
      <w:sz w:val="20"/>
      <w:szCs w:val="20"/>
    </w:rPr>
  </w:style>
  <w:style w:type="paragraph" w:styleId="56">
    <w:name w:val="Message Header"/>
    <w:basedOn w:val="1"/>
    <w:link w:val="436"/>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tLeast"/>
      <w:ind w:left="1080" w:leftChars="400" w:hanging="1080" w:hangingChars="400"/>
      <w:jc w:val="left"/>
      <w:textAlignment w:val="baseline"/>
    </w:pPr>
    <w:rPr>
      <w:rFonts w:eastAsia="仿宋_GB2312"/>
    </w:rPr>
  </w:style>
  <w:style w:type="paragraph" w:styleId="57">
    <w:name w:val="HTML Preformatted"/>
    <w:basedOn w:val="1"/>
    <w:link w:val="43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黑体" w:hAnsi="Courier New" w:eastAsia="黑体"/>
      <w:kern w:val="0"/>
      <w:sz w:val="20"/>
      <w:szCs w:val="20"/>
    </w:rPr>
  </w:style>
  <w:style w:type="paragraph" w:styleId="58">
    <w:name w:val="Normal (Web)"/>
    <w:basedOn w:val="1"/>
    <w:link w:val="164"/>
    <w:qFormat/>
    <w:uiPriority w:val="1"/>
    <w:pPr>
      <w:widowControl/>
      <w:spacing w:before="100" w:beforeAutospacing="1" w:after="100" w:afterAutospacing="1"/>
      <w:jc w:val="left"/>
    </w:pPr>
    <w:rPr>
      <w:rFonts w:ascii="宋体" w:hAnsi="宋体"/>
      <w:kern w:val="0"/>
      <w:sz w:val="24"/>
    </w:rPr>
  </w:style>
  <w:style w:type="paragraph" w:styleId="59">
    <w:name w:val="index 1"/>
    <w:basedOn w:val="1"/>
    <w:next w:val="1"/>
    <w:qFormat/>
    <w:uiPriority w:val="0"/>
    <w:pPr>
      <w:spacing w:line="360" w:lineRule="auto"/>
      <w:ind w:firstLine="200" w:firstLineChars="200"/>
    </w:pPr>
    <w:rPr>
      <w:rFonts w:ascii="等线" w:hAnsi="等线" w:eastAsia="等线" w:cs="等线"/>
      <w:szCs w:val="20"/>
    </w:rPr>
  </w:style>
  <w:style w:type="paragraph" w:styleId="60">
    <w:name w:val="Title"/>
    <w:basedOn w:val="1"/>
    <w:link w:val="155"/>
    <w:qFormat/>
    <w:uiPriority w:val="0"/>
    <w:pPr>
      <w:autoSpaceDE w:val="0"/>
      <w:autoSpaceDN w:val="0"/>
      <w:adjustRightInd w:val="0"/>
      <w:spacing w:before="240" w:after="60"/>
      <w:jc w:val="center"/>
      <w:outlineLvl w:val="0"/>
    </w:pPr>
    <w:rPr>
      <w:rFonts w:ascii="Verdana" w:hAnsi="Verdana" w:eastAsia="仿宋_GB2312"/>
      <w:b/>
      <w:bCs/>
      <w:kern w:val="0"/>
      <w:sz w:val="32"/>
      <w:szCs w:val="32"/>
    </w:rPr>
  </w:style>
  <w:style w:type="paragraph" w:styleId="61">
    <w:name w:val="annotation subject"/>
    <w:basedOn w:val="23"/>
    <w:next w:val="23"/>
    <w:link w:val="168"/>
    <w:qFormat/>
    <w:uiPriority w:val="1"/>
    <w:rPr>
      <w:b/>
      <w:bCs/>
    </w:rPr>
  </w:style>
  <w:style w:type="paragraph" w:styleId="62">
    <w:name w:val="Body Text First Indent 2"/>
    <w:basedOn w:val="27"/>
    <w:link w:val="437"/>
    <w:unhideWhenUsed/>
    <w:qFormat/>
    <w:uiPriority w:val="0"/>
    <w:pPr>
      <w:spacing w:after="120"/>
      <w:ind w:left="420" w:leftChars="200" w:firstLine="420" w:firstLineChars="200"/>
    </w:pPr>
    <w:rPr>
      <w:sz w:val="21"/>
    </w:rPr>
  </w:style>
  <w:style w:type="table" w:styleId="64">
    <w:name w:val="Table Grid"/>
    <w:basedOn w:val="6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3"/>
    <w:qFormat/>
    <w:uiPriority w:val="0"/>
    <w:pPr>
      <w:widowControl w:val="0"/>
      <w:jc w:val="both"/>
    </w:pPr>
    <w:rPr>
      <w:rFonts w:hint="eastAsia" w:ascii="等线" w:hAnsi="等线" w:eastAsia="等线" w:cs="等线"/>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7">
    <w:name w:val="Strong"/>
    <w:qFormat/>
    <w:uiPriority w:val="0"/>
    <w:rPr>
      <w:b/>
      <w:bCs/>
    </w:rPr>
  </w:style>
  <w:style w:type="character" w:styleId="68">
    <w:name w:val="endnote reference"/>
    <w:unhideWhenUsed/>
    <w:qFormat/>
    <w:uiPriority w:val="1"/>
    <w:rPr>
      <w:vertAlign w:val="superscript"/>
    </w:rPr>
  </w:style>
  <w:style w:type="character" w:styleId="69">
    <w:name w:val="page number"/>
    <w:basedOn w:val="66"/>
    <w:qFormat/>
    <w:uiPriority w:val="0"/>
  </w:style>
  <w:style w:type="character" w:styleId="70">
    <w:name w:val="FollowedHyperlink"/>
    <w:qFormat/>
    <w:uiPriority w:val="0"/>
    <w:rPr>
      <w:color w:val="800080"/>
      <w:u w:val="single"/>
    </w:rPr>
  </w:style>
  <w:style w:type="character" w:styleId="71">
    <w:name w:val="Emphasis"/>
    <w:qFormat/>
    <w:uiPriority w:val="1"/>
    <w:rPr>
      <w:i/>
      <w:iCs/>
    </w:rPr>
  </w:style>
  <w:style w:type="character" w:styleId="72">
    <w:name w:val="line number"/>
    <w:basedOn w:val="66"/>
    <w:qFormat/>
    <w:uiPriority w:val="0"/>
  </w:style>
  <w:style w:type="character" w:styleId="73">
    <w:name w:val="Hyperlink"/>
    <w:qFormat/>
    <w:uiPriority w:val="99"/>
    <w:rPr>
      <w:color w:val="000000"/>
      <w:sz w:val="20"/>
      <w:szCs w:val="20"/>
      <w:u w:val="none"/>
    </w:rPr>
  </w:style>
  <w:style w:type="character" w:styleId="74">
    <w:name w:val="annotation reference"/>
    <w:qFormat/>
    <w:uiPriority w:val="1"/>
    <w:rPr>
      <w:sz w:val="21"/>
      <w:szCs w:val="21"/>
    </w:rPr>
  </w:style>
  <w:style w:type="character" w:styleId="75">
    <w:name w:val="HTML Cite"/>
    <w:qFormat/>
    <w:uiPriority w:val="0"/>
    <w:rPr>
      <w:color w:val="008000"/>
    </w:rPr>
  </w:style>
  <w:style w:type="paragraph" w:customStyle="1" w:styleId="76">
    <w:name w:val="样式 10 磅"/>
    <w:qFormat/>
    <w:uiPriority w:val="0"/>
    <w:pPr>
      <w:widowControl w:val="0"/>
      <w:jc w:val="both"/>
    </w:pPr>
    <w:rPr>
      <w:rFonts w:ascii="Calibri" w:hAnsi="Calibri" w:eastAsia="宋体" w:cs="Times New Roman"/>
      <w:kern w:val="2"/>
      <w:sz w:val="21"/>
      <w:szCs w:val="24"/>
      <w:lang w:val="en-US" w:eastAsia="zh-CN" w:bidi="ar-SA"/>
    </w:rPr>
  </w:style>
  <w:style w:type="character" w:customStyle="1" w:styleId="77">
    <w:name w:val="标题 1 字符1"/>
    <w:link w:val="5"/>
    <w:qFormat/>
    <w:uiPriority w:val="9"/>
    <w:rPr>
      <w:rFonts w:ascii="楷体_GB2312" w:eastAsia="楷体_GB2312"/>
      <w:b/>
      <w:bCs/>
      <w:kern w:val="2"/>
      <w:sz w:val="21"/>
      <w:szCs w:val="24"/>
    </w:rPr>
  </w:style>
  <w:style w:type="character" w:customStyle="1" w:styleId="78">
    <w:name w:val="标题 2 字符"/>
    <w:link w:val="6"/>
    <w:qFormat/>
    <w:uiPriority w:val="9"/>
    <w:rPr>
      <w:rFonts w:ascii="Cambria" w:hAnsi="Cambria" w:eastAsia="宋体" w:cs="Times New Roman"/>
      <w:b/>
      <w:bCs/>
      <w:kern w:val="2"/>
      <w:sz w:val="32"/>
      <w:szCs w:val="32"/>
    </w:rPr>
  </w:style>
  <w:style w:type="character" w:customStyle="1" w:styleId="79">
    <w:name w:val="标题 3 字符1"/>
    <w:link w:val="7"/>
    <w:qFormat/>
    <w:uiPriority w:val="9"/>
    <w:rPr>
      <w:b/>
      <w:bCs/>
      <w:kern w:val="2"/>
      <w:sz w:val="32"/>
      <w:szCs w:val="32"/>
      <w:lang w:bidi="ar-SA"/>
    </w:rPr>
  </w:style>
  <w:style w:type="character" w:customStyle="1" w:styleId="80">
    <w:name w:val="标题 4 字符1"/>
    <w:link w:val="8"/>
    <w:qFormat/>
    <w:uiPriority w:val="0"/>
    <w:rPr>
      <w:rFonts w:ascii="Cambria" w:hAnsi="Cambria" w:eastAsia="宋体"/>
      <w:b/>
      <w:bCs/>
      <w:kern w:val="2"/>
      <w:sz w:val="28"/>
      <w:szCs w:val="28"/>
      <w:lang w:bidi="ar-SA"/>
    </w:rPr>
  </w:style>
  <w:style w:type="character" w:customStyle="1" w:styleId="81">
    <w:name w:val="标题 5 字符1"/>
    <w:link w:val="9"/>
    <w:qFormat/>
    <w:uiPriority w:val="9"/>
    <w:rPr>
      <w:b/>
      <w:bCs/>
      <w:kern w:val="2"/>
      <w:sz w:val="28"/>
      <w:szCs w:val="28"/>
    </w:rPr>
  </w:style>
  <w:style w:type="character" w:customStyle="1" w:styleId="82">
    <w:name w:val="标题 6 字符1"/>
    <w:link w:val="10"/>
    <w:qFormat/>
    <w:uiPriority w:val="9"/>
    <w:rPr>
      <w:rFonts w:ascii="Cambria" w:hAnsi="Cambria" w:eastAsia="宋体" w:cs="Times New Roman"/>
      <w:b/>
      <w:bCs/>
      <w:kern w:val="2"/>
      <w:sz w:val="24"/>
      <w:szCs w:val="24"/>
    </w:rPr>
  </w:style>
  <w:style w:type="character" w:customStyle="1" w:styleId="83">
    <w:name w:val="日期 字符"/>
    <w:link w:val="38"/>
    <w:qFormat/>
    <w:uiPriority w:val="0"/>
    <w:rPr>
      <w:kern w:val="2"/>
      <w:sz w:val="21"/>
      <w:szCs w:val="24"/>
    </w:rPr>
  </w:style>
  <w:style w:type="character" w:customStyle="1" w:styleId="84">
    <w:name w:val="样式6 列表并列 Char"/>
    <w:link w:val="85"/>
    <w:qFormat/>
    <w:uiPriority w:val="0"/>
    <w:rPr>
      <w:rFonts w:ascii="Arial" w:hAnsi="Arial" w:cs="Arial"/>
      <w:kern w:val="21"/>
      <w:sz w:val="21"/>
      <w:szCs w:val="24"/>
    </w:rPr>
  </w:style>
  <w:style w:type="paragraph" w:customStyle="1" w:styleId="85">
    <w:name w:val="样式6 列表并列"/>
    <w:link w:val="84"/>
    <w:qFormat/>
    <w:uiPriority w:val="0"/>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86">
    <w:name w:val="Texte Char Char"/>
    <w:qFormat/>
    <w:uiPriority w:val="0"/>
    <w:rPr>
      <w:rFonts w:ascii="宋体" w:hAnsi="Courier New" w:eastAsia="宋体"/>
      <w:sz w:val="21"/>
      <w:szCs w:val="21"/>
      <w:lang w:val="en-US" w:eastAsia="zh-CN" w:bidi="ar-SA"/>
    </w:rPr>
  </w:style>
  <w:style w:type="character" w:customStyle="1" w:styleId="87">
    <w:name w:val="页脚 字符"/>
    <w:link w:val="42"/>
    <w:qFormat/>
    <w:uiPriority w:val="99"/>
    <w:rPr>
      <w:kern w:val="2"/>
      <w:sz w:val="18"/>
      <w:szCs w:val="18"/>
    </w:rPr>
  </w:style>
  <w:style w:type="character" w:customStyle="1" w:styleId="88">
    <w:name w:val="正文文本 字符1"/>
    <w:link w:val="2"/>
    <w:qFormat/>
    <w:uiPriority w:val="99"/>
    <w:rPr>
      <w:kern w:val="2"/>
      <w:sz w:val="21"/>
      <w:szCs w:val="24"/>
    </w:rPr>
  </w:style>
  <w:style w:type="character" w:customStyle="1" w:styleId="89">
    <w:name w:val="正文文本缩进 字符1"/>
    <w:link w:val="27"/>
    <w:qFormat/>
    <w:uiPriority w:val="0"/>
    <w:rPr>
      <w:kern w:val="2"/>
      <w:sz w:val="24"/>
      <w:szCs w:val="24"/>
    </w:rPr>
  </w:style>
  <w:style w:type="character" w:customStyle="1" w:styleId="90">
    <w:name w:val="纯文本 字符1"/>
    <w:link w:val="34"/>
    <w:qFormat/>
    <w:uiPriority w:val="0"/>
    <w:rPr>
      <w:rFonts w:ascii="宋体" w:hAnsi="Courier New" w:eastAsia="宋体"/>
      <w:sz w:val="21"/>
      <w:szCs w:val="21"/>
      <w:lang w:val="en-US" w:eastAsia="zh-CN" w:bidi="ar-SA"/>
    </w:rPr>
  </w:style>
  <w:style w:type="character" w:customStyle="1" w:styleId="91">
    <w:name w:val="font31"/>
    <w:qFormat/>
    <w:uiPriority w:val="0"/>
    <w:rPr>
      <w:rFonts w:hint="eastAsia" w:ascii="新宋体" w:hAnsi="新宋体" w:eastAsia="新宋体" w:cs="新宋体"/>
      <w:color w:val="000000"/>
      <w:sz w:val="22"/>
      <w:szCs w:val="22"/>
      <w:u w:val="none"/>
    </w:rPr>
  </w:style>
  <w:style w:type="character" w:customStyle="1" w:styleId="92">
    <w:name w:val="style21"/>
    <w:qFormat/>
    <w:uiPriority w:val="0"/>
    <w:rPr>
      <w:sz w:val="15"/>
      <w:szCs w:val="15"/>
    </w:rPr>
  </w:style>
  <w:style w:type="character" w:customStyle="1" w:styleId="93">
    <w:name w:val="BZ_正文 Char"/>
    <w:link w:val="94"/>
    <w:qFormat/>
    <w:uiPriority w:val="0"/>
    <w:rPr>
      <w:rFonts w:ascii="宋体" w:hAnsi="宋体" w:eastAsia="宋体"/>
      <w:kern w:val="2"/>
      <w:sz w:val="24"/>
      <w:szCs w:val="24"/>
    </w:rPr>
  </w:style>
  <w:style w:type="paragraph" w:customStyle="1" w:styleId="94">
    <w:name w:val="BZ_正文"/>
    <w:basedOn w:val="1"/>
    <w:link w:val="93"/>
    <w:qFormat/>
    <w:uiPriority w:val="0"/>
    <w:pPr>
      <w:widowControl/>
      <w:spacing w:line="360" w:lineRule="auto"/>
      <w:ind w:firstLine="480" w:firstLineChars="200"/>
    </w:pPr>
    <w:rPr>
      <w:rFonts w:ascii="宋体" w:hAnsi="宋体"/>
      <w:sz w:val="24"/>
      <w:shd w:val="clear" w:color="auto" w:fill="FFFFFF"/>
    </w:rPr>
  </w:style>
  <w:style w:type="character" w:customStyle="1" w:styleId="95">
    <w:name w:val="Char Char Char"/>
    <w:qFormat/>
    <w:uiPriority w:val="0"/>
    <w:rPr>
      <w:rFonts w:ascii="宋体" w:hAnsi="Courier New" w:eastAsia="宋体"/>
      <w:sz w:val="21"/>
      <w:szCs w:val="21"/>
      <w:lang w:val="en-US" w:eastAsia="zh-CN" w:bidi="ar-SA"/>
    </w:rPr>
  </w:style>
  <w:style w:type="character" w:customStyle="1" w:styleId="96">
    <w:name w:val="font21"/>
    <w:qFormat/>
    <w:uiPriority w:val="0"/>
    <w:rPr>
      <w:rFonts w:hint="eastAsia" w:ascii="宋体" w:hAnsi="宋体" w:eastAsia="宋体" w:cs="宋体"/>
      <w:b/>
      <w:color w:val="000000"/>
      <w:sz w:val="21"/>
      <w:szCs w:val="21"/>
      <w:u w:val="none"/>
    </w:rPr>
  </w:style>
  <w:style w:type="character" w:customStyle="1" w:styleId="97">
    <w:name w:val="font11"/>
    <w:qFormat/>
    <w:uiPriority w:val="0"/>
    <w:rPr>
      <w:rFonts w:hint="default" w:ascii="Times New Roman" w:hAnsi="Times New Roman" w:eastAsia="仿宋_GB2312" w:cs="Times New Roman"/>
      <w:b/>
      <w:color w:val="000000"/>
      <w:sz w:val="21"/>
      <w:szCs w:val="21"/>
      <w:u w:val="none"/>
    </w:rPr>
  </w:style>
  <w:style w:type="character" w:customStyle="1" w:styleId="98">
    <w:name w:val="正文1 Char"/>
    <w:link w:val="99"/>
    <w:qFormat/>
    <w:uiPriority w:val="0"/>
    <w:rPr>
      <w:sz w:val="24"/>
      <w:lang w:val="en-US" w:eastAsia="zh-CN" w:bidi="ar-SA"/>
    </w:rPr>
  </w:style>
  <w:style w:type="paragraph" w:customStyle="1" w:styleId="99">
    <w:name w:val="正文1"/>
    <w:link w:val="98"/>
    <w:qFormat/>
    <w:uiPriority w:val="0"/>
    <w:pPr>
      <w:spacing w:beforeLines="50" w:afterLines="50"/>
      <w:ind w:firstLine="200" w:firstLineChars="200"/>
    </w:pPr>
    <w:rPr>
      <w:rFonts w:ascii="Times New Roman" w:hAnsi="Times New Roman" w:eastAsia="宋体" w:cs="Times New Roman"/>
      <w:sz w:val="24"/>
      <w:lang w:val="en-US" w:eastAsia="zh-CN" w:bidi="ar-SA"/>
    </w:rPr>
  </w:style>
  <w:style w:type="character" w:customStyle="1" w:styleId="100">
    <w:name w:val="正文文本首行缩进 字符"/>
    <w:basedOn w:val="88"/>
    <w:link w:val="3"/>
    <w:qFormat/>
    <w:uiPriority w:val="0"/>
    <w:rPr>
      <w:kern w:val="2"/>
      <w:sz w:val="21"/>
      <w:szCs w:val="24"/>
    </w:rPr>
  </w:style>
  <w:style w:type="character" w:customStyle="1" w:styleId="101">
    <w:name w:val="正文缩进 字符1"/>
    <w:link w:val="18"/>
    <w:qFormat/>
    <w:uiPriority w:val="0"/>
    <w:rPr>
      <w:rFonts w:eastAsia="宋体"/>
      <w:sz w:val="21"/>
      <w:lang w:val="en-US" w:eastAsia="zh-CN" w:bidi="ar-SA"/>
    </w:rPr>
  </w:style>
  <w:style w:type="character" w:customStyle="1" w:styleId="102">
    <w:name w:val="BZ_题注_图 Char"/>
    <w:link w:val="103"/>
    <w:qFormat/>
    <w:uiPriority w:val="0"/>
    <w:rPr>
      <w:rFonts w:eastAsia="黑体"/>
      <w:kern w:val="2"/>
      <w:sz w:val="21"/>
      <w:szCs w:val="21"/>
    </w:rPr>
  </w:style>
  <w:style w:type="paragraph" w:customStyle="1" w:styleId="103">
    <w:name w:val="BZ_题注_图"/>
    <w:basedOn w:val="19"/>
    <w:next w:val="1"/>
    <w:link w:val="102"/>
    <w:qFormat/>
    <w:uiPriority w:val="0"/>
    <w:pPr>
      <w:widowControl/>
      <w:spacing w:beforeLines="50" w:afterLines="50"/>
      <w:jc w:val="center"/>
    </w:pPr>
    <w:rPr>
      <w:rFonts w:ascii="Times New Roman" w:hAnsi="Times New Roman"/>
      <w:sz w:val="21"/>
      <w:szCs w:val="21"/>
    </w:rPr>
  </w:style>
  <w:style w:type="character" w:customStyle="1" w:styleId="104">
    <w:name w:val="文档正文 Char"/>
    <w:link w:val="105"/>
    <w:qFormat/>
    <w:uiPriority w:val="0"/>
    <w:rPr>
      <w:rFonts w:ascii="Tahoma" w:hAnsi="Tahoma" w:eastAsia="仿宋_GB2312"/>
      <w:sz w:val="28"/>
      <w:lang w:val="en-US" w:eastAsia="zh-CN" w:bidi="ar-SA"/>
    </w:rPr>
  </w:style>
  <w:style w:type="paragraph" w:customStyle="1" w:styleId="105">
    <w:name w:val="文档正文"/>
    <w:basedOn w:val="1"/>
    <w:link w:val="104"/>
    <w:qFormat/>
    <w:uiPriority w:val="0"/>
    <w:pPr>
      <w:spacing w:line="360" w:lineRule="auto"/>
      <w:ind w:firstLine="480" w:firstLineChars="200"/>
    </w:pPr>
    <w:rPr>
      <w:rFonts w:ascii="Tahoma" w:hAnsi="Tahoma" w:eastAsia="仿宋_GB2312"/>
      <w:kern w:val="0"/>
      <w:sz w:val="28"/>
      <w:szCs w:val="20"/>
    </w:rPr>
  </w:style>
  <w:style w:type="character" w:customStyle="1" w:styleId="106">
    <w:name w:val="unnamed51"/>
    <w:qFormat/>
    <w:uiPriority w:val="0"/>
    <w:rPr>
      <w:sz w:val="22"/>
      <w:szCs w:val="22"/>
    </w:rPr>
  </w:style>
  <w:style w:type="character" w:customStyle="1" w:styleId="107">
    <w:name w:val="Char Char2"/>
    <w:qFormat/>
    <w:uiPriority w:val="0"/>
    <w:rPr>
      <w:rFonts w:ascii="宋体" w:hAnsi="Courier New" w:eastAsia="宋体"/>
      <w:kern w:val="2"/>
      <w:sz w:val="21"/>
      <w:lang w:val="en-US" w:eastAsia="zh-CN"/>
    </w:rPr>
  </w:style>
  <w:style w:type="character" w:customStyle="1" w:styleId="108">
    <w:name w:val="BZ_三级标题 Char"/>
    <w:link w:val="109"/>
    <w:qFormat/>
    <w:uiPriority w:val="0"/>
    <w:rPr>
      <w:rFonts w:eastAsia="黑体"/>
      <w:b/>
      <w:bCs/>
      <w:kern w:val="2"/>
      <w:sz w:val="28"/>
      <w:szCs w:val="28"/>
    </w:rPr>
  </w:style>
  <w:style w:type="paragraph" w:customStyle="1" w:styleId="109">
    <w:name w:val="BZ_三级标题"/>
    <w:basedOn w:val="7"/>
    <w:next w:val="94"/>
    <w:link w:val="108"/>
    <w:qFormat/>
    <w:uiPriority w:val="0"/>
    <w:pPr>
      <w:spacing w:line="240" w:lineRule="auto"/>
      <w:ind w:left="720" w:hanging="720"/>
    </w:pPr>
    <w:rPr>
      <w:rFonts w:eastAsia="黑体"/>
      <w:sz w:val="28"/>
      <w:szCs w:val="28"/>
    </w:rPr>
  </w:style>
  <w:style w:type="character" w:customStyle="1" w:styleId="110">
    <w:name w:val="哈哈正文 Char"/>
    <w:link w:val="111"/>
    <w:qFormat/>
    <w:uiPriority w:val="0"/>
    <w:rPr>
      <w:rFonts w:ascii="宋体" w:hAnsi="宋体" w:eastAsia="宋体" w:cs="宋体"/>
      <w:kern w:val="2"/>
      <w:sz w:val="24"/>
      <w:lang w:val="en-US" w:eastAsia="zh-CN" w:bidi="ar-SA"/>
    </w:rPr>
  </w:style>
  <w:style w:type="paragraph" w:customStyle="1" w:styleId="111">
    <w:name w:val="哈哈正文"/>
    <w:basedOn w:val="1"/>
    <w:link w:val="110"/>
    <w:qFormat/>
    <w:uiPriority w:val="0"/>
    <w:pPr>
      <w:spacing w:line="360" w:lineRule="auto"/>
      <w:ind w:firstLine="200" w:firstLineChars="200"/>
    </w:pPr>
    <w:rPr>
      <w:rFonts w:ascii="宋体" w:hAnsi="宋体" w:cs="宋体"/>
      <w:sz w:val="24"/>
      <w:szCs w:val="20"/>
    </w:rPr>
  </w:style>
  <w:style w:type="character" w:customStyle="1" w:styleId="112">
    <w:name w:val="批注文字 字符"/>
    <w:link w:val="23"/>
    <w:qFormat/>
    <w:uiPriority w:val="1"/>
    <w:rPr>
      <w:kern w:val="2"/>
      <w:sz w:val="21"/>
      <w:szCs w:val="24"/>
    </w:rPr>
  </w:style>
  <w:style w:type="character" w:customStyle="1" w:styleId="113">
    <w:name w:val="fontstyle01"/>
    <w:qFormat/>
    <w:uiPriority w:val="0"/>
    <w:rPr>
      <w:rFonts w:hint="eastAsia" w:ascii="楷体" w:hAnsi="楷体" w:eastAsia="楷体"/>
      <w:color w:val="000000"/>
      <w:sz w:val="24"/>
      <w:szCs w:val="24"/>
    </w:rPr>
  </w:style>
  <w:style w:type="character" w:customStyle="1" w:styleId="114">
    <w:name w:val="List Paragraph Char"/>
    <w:link w:val="115"/>
    <w:qFormat/>
    <w:uiPriority w:val="0"/>
    <w:rPr>
      <w:rFonts w:ascii="Calibri" w:hAnsi="Calibri" w:eastAsia="宋体"/>
      <w:kern w:val="2"/>
      <w:sz w:val="21"/>
      <w:szCs w:val="22"/>
      <w:lang w:val="en-US" w:eastAsia="zh-CN" w:bidi="ar-SA"/>
    </w:rPr>
  </w:style>
  <w:style w:type="paragraph" w:customStyle="1" w:styleId="115">
    <w:name w:val="列出段落1"/>
    <w:basedOn w:val="1"/>
    <w:link w:val="114"/>
    <w:qFormat/>
    <w:uiPriority w:val="0"/>
    <w:pPr>
      <w:ind w:firstLine="420" w:firstLineChars="200"/>
    </w:pPr>
    <w:rPr>
      <w:rFonts w:ascii="Calibri" w:hAnsi="Calibri"/>
      <w:szCs w:val="22"/>
    </w:rPr>
  </w:style>
  <w:style w:type="paragraph" w:customStyle="1" w:styleId="116">
    <w:name w:val="正文2"/>
    <w:basedOn w:val="1"/>
    <w:qFormat/>
    <w:uiPriority w:val="0"/>
    <w:pPr>
      <w:spacing w:before="156" w:line="360" w:lineRule="auto"/>
      <w:ind w:firstLine="510" w:firstLineChars="200"/>
    </w:pPr>
    <w:rPr>
      <w:sz w:val="24"/>
      <w:szCs w:val="20"/>
    </w:rPr>
  </w:style>
  <w:style w:type="paragraph" w:customStyle="1" w:styleId="117">
    <w:name w:val="Char Char Char Char"/>
    <w:basedOn w:val="21"/>
    <w:qFormat/>
    <w:uiPriority w:val="0"/>
    <w:rPr>
      <w:rFonts w:ascii="Tahoma" w:hAnsi="Tahoma"/>
      <w:sz w:val="24"/>
    </w:rPr>
  </w:style>
  <w:style w:type="paragraph" w:customStyle="1" w:styleId="118">
    <w:name w:val="Char1 Char Char Char"/>
    <w:basedOn w:val="1"/>
    <w:qFormat/>
    <w:uiPriority w:val="0"/>
    <w:rPr>
      <w:rFonts w:ascii="Tahoma" w:hAnsi="Tahoma"/>
      <w:sz w:val="24"/>
      <w:szCs w:val="20"/>
    </w:rPr>
  </w:style>
  <w:style w:type="paragraph" w:customStyle="1" w:styleId="119">
    <w:name w:val="style3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21">
    <w:name w:val="Char Char Char Char Char Char Char Char Char Char Char Char Char1"/>
    <w:basedOn w:val="1"/>
    <w:qFormat/>
    <w:uiPriority w:val="0"/>
    <w:rPr>
      <w:rFonts w:ascii="Tahoma" w:hAnsi="Tahoma"/>
      <w:sz w:val="24"/>
      <w:szCs w:val="20"/>
    </w:rPr>
  </w:style>
  <w:style w:type="paragraph" w:styleId="122">
    <w:name w:val="List Paragraph"/>
    <w:basedOn w:val="1"/>
    <w:qFormat/>
    <w:uiPriority w:val="0"/>
    <w:pPr>
      <w:ind w:firstLine="420" w:firstLineChars="200"/>
    </w:pPr>
  </w:style>
  <w:style w:type="paragraph" w:customStyle="1" w:styleId="123">
    <w:name w:val="BZ_六级标题"/>
    <w:basedOn w:val="10"/>
    <w:next w:val="94"/>
    <w:qFormat/>
    <w:uiPriority w:val="0"/>
    <w:pPr>
      <w:widowControl/>
      <w:tabs>
        <w:tab w:val="left" w:pos="360"/>
      </w:tabs>
      <w:spacing w:beforeLines="50" w:afterLines="50" w:line="240" w:lineRule="auto"/>
    </w:pPr>
    <w:rPr>
      <w:rFonts w:eastAsia="黑体"/>
    </w:rPr>
  </w:style>
  <w:style w:type="paragraph" w:customStyle="1" w:styleId="124">
    <w:name w:val="正文－恩普"/>
    <w:basedOn w:val="18"/>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25">
    <w:name w:val="Char Char Char Char2"/>
    <w:basedOn w:val="21"/>
    <w:qFormat/>
    <w:uiPriority w:val="0"/>
  </w:style>
  <w:style w:type="paragraph" w:customStyle="1" w:styleId="126">
    <w:name w:val="默认段落字体 Para Char"/>
    <w:basedOn w:val="1"/>
    <w:qFormat/>
    <w:uiPriority w:val="0"/>
    <w:pPr>
      <w:tabs>
        <w:tab w:val="left" w:pos="360"/>
      </w:tabs>
      <w:adjustRightInd w:val="0"/>
      <w:textAlignment w:val="baseline"/>
    </w:pPr>
    <w:rPr>
      <w:kern w:val="0"/>
      <w:sz w:val="24"/>
      <w:szCs w:val="20"/>
    </w:rPr>
  </w:style>
  <w:style w:type="paragraph" w:customStyle="1" w:styleId="127">
    <w:name w:val="Char Char Char Char Char Char Char1"/>
    <w:basedOn w:val="1"/>
    <w:qFormat/>
    <w:uiPriority w:val="0"/>
    <w:rPr>
      <w:rFonts w:ascii="仿宋_GB2312" w:eastAsia="仿宋_GB2312"/>
      <w:b/>
      <w:sz w:val="32"/>
      <w:szCs w:val="32"/>
    </w:rPr>
  </w:style>
  <w:style w:type="paragraph" w:customStyle="1" w:styleId="128">
    <w:name w:val="简单回函地址"/>
    <w:basedOn w:val="1"/>
    <w:qFormat/>
    <w:uiPriority w:val="0"/>
  </w:style>
  <w:style w:type="paragraph" w:customStyle="1" w:styleId="129">
    <w:name w:val="Char Char7 Char"/>
    <w:basedOn w:val="1"/>
    <w:qFormat/>
    <w:uiPriority w:val="0"/>
    <w:pPr>
      <w:tabs>
        <w:tab w:val="left" w:pos="425"/>
      </w:tabs>
      <w:ind w:left="420" w:leftChars="200" w:firstLine="270" w:firstLineChars="150"/>
    </w:pPr>
  </w:style>
  <w:style w:type="paragraph" w:customStyle="1" w:styleId="130">
    <w:name w:val="BZ_一级标题"/>
    <w:basedOn w:val="5"/>
    <w:next w:val="94"/>
    <w:link w:val="174"/>
    <w:qFormat/>
    <w:uiPriority w:val="0"/>
    <w:pPr>
      <w:keepLines/>
      <w:widowControl/>
      <w:spacing w:beforeLines="50" w:afterLines="50"/>
      <w:ind w:left="432" w:hanging="432"/>
      <w:jc w:val="both"/>
    </w:pPr>
    <w:rPr>
      <w:rFonts w:ascii="Times New Roman" w:eastAsia="华文中宋"/>
      <w:kern w:val="44"/>
      <w:sz w:val="36"/>
      <w:szCs w:val="36"/>
    </w:rPr>
  </w:style>
  <w:style w:type="paragraph" w:customStyle="1" w:styleId="131">
    <w:name w:val="保留正文"/>
    <w:basedOn w:val="2"/>
    <w:qFormat/>
    <w:uiPriority w:val="0"/>
    <w:pPr>
      <w:keepNext/>
      <w:spacing w:after="160"/>
    </w:pPr>
  </w:style>
  <w:style w:type="paragraph" w:customStyle="1" w:styleId="132">
    <w:name w:val="Char Char Char Char Char Char Char"/>
    <w:basedOn w:val="1"/>
    <w:qFormat/>
    <w:uiPriority w:val="0"/>
    <w:rPr>
      <w:rFonts w:ascii="仿宋_GB2312" w:eastAsia="仿宋_GB2312"/>
      <w:b/>
      <w:sz w:val="32"/>
      <w:szCs w:val="32"/>
    </w:rPr>
  </w:style>
  <w:style w:type="paragraph" w:customStyle="1" w:styleId="133">
    <w:name w:val="xl55"/>
    <w:basedOn w:val="1"/>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34">
    <w:name w:val="Char Char"/>
    <w:basedOn w:val="1"/>
    <w:qFormat/>
    <w:uiPriority w:val="0"/>
    <w:rPr>
      <w:rFonts w:ascii="仿宋_GB2312" w:eastAsia="仿宋_GB2312"/>
      <w:b/>
      <w:sz w:val="32"/>
      <w:szCs w:val="32"/>
    </w:rPr>
  </w:style>
  <w:style w:type="paragraph" w:customStyle="1" w:styleId="135">
    <w:name w:val="CM106"/>
    <w:basedOn w:val="136"/>
    <w:next w:val="136"/>
    <w:qFormat/>
    <w:uiPriority w:val="0"/>
    <w:rPr>
      <w:rFonts w:ascii="宋体" w:cs="Times New Roman"/>
      <w:color w:val="auto"/>
    </w:rPr>
  </w:style>
  <w:style w:type="paragraph" w:customStyle="1" w:styleId="136">
    <w:name w:val="Default"/>
    <w:qFormat/>
    <w:uiPriority w:val="99"/>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137">
    <w:name w:val="Char Char Char Char1"/>
    <w:basedOn w:val="1"/>
    <w:qFormat/>
    <w:uiPriority w:val="0"/>
    <w:rPr>
      <w:rFonts w:ascii="Tahoma" w:hAnsi="Tahoma"/>
      <w:sz w:val="24"/>
      <w:szCs w:val="20"/>
    </w:rPr>
  </w:style>
  <w:style w:type="paragraph" w:customStyle="1" w:styleId="138">
    <w:name w:val="Char Char Char Char Char Char Char Char Char Char Char Char Char"/>
    <w:basedOn w:val="1"/>
    <w:qFormat/>
    <w:uiPriority w:val="0"/>
    <w:rPr>
      <w:rFonts w:ascii="Tahoma" w:hAnsi="Tahoma"/>
      <w:sz w:val="24"/>
      <w:szCs w:val="20"/>
    </w:rPr>
  </w:style>
  <w:style w:type="paragraph" w:customStyle="1" w:styleId="139">
    <w:name w:val="Char Char1 Char Char Char Char Char Char"/>
    <w:basedOn w:val="1"/>
    <w:qFormat/>
    <w:uiPriority w:val="0"/>
    <w:pPr>
      <w:widowControl/>
      <w:spacing w:after="160" w:line="240" w:lineRule="exact"/>
      <w:jc w:val="left"/>
    </w:pPr>
    <w:rPr>
      <w:rFonts w:ascii="宋体" w:hAnsi="宋体" w:cs="宋体"/>
      <w:kern w:val="0"/>
      <w:szCs w:val="20"/>
    </w:rPr>
  </w:style>
  <w:style w:type="paragraph" w:customStyle="1" w:styleId="140">
    <w:name w:val="BZ_五级标题"/>
    <w:basedOn w:val="9"/>
    <w:next w:val="94"/>
    <w:qFormat/>
    <w:uiPriority w:val="0"/>
    <w:pPr>
      <w:widowControl/>
      <w:spacing w:beforeLines="50" w:afterLines="50" w:line="240" w:lineRule="auto"/>
    </w:pPr>
    <w:rPr>
      <w:rFonts w:eastAsia="黑体"/>
      <w:b w:val="0"/>
      <w:sz w:val="24"/>
      <w:szCs w:val="24"/>
    </w:rPr>
  </w:style>
  <w:style w:type="paragraph" w:customStyle="1" w:styleId="141">
    <w:name w:val="Char Char Char Char Char Char Char Char Char Char Char Char Char2"/>
    <w:basedOn w:val="1"/>
    <w:qFormat/>
    <w:uiPriority w:val="0"/>
    <w:rPr>
      <w:rFonts w:ascii="Tahoma" w:hAnsi="Tahoma"/>
      <w:sz w:val="24"/>
      <w:szCs w:val="20"/>
    </w:rPr>
  </w:style>
  <w:style w:type="paragraph" w:customStyle="1" w:styleId="142">
    <w:name w:val="Char Char Char Char Char Char Char2"/>
    <w:basedOn w:val="1"/>
    <w:qFormat/>
    <w:uiPriority w:val="0"/>
    <w:rPr>
      <w:rFonts w:ascii="仿宋_GB2312" w:eastAsia="仿宋_GB2312"/>
      <w:b/>
      <w:sz w:val="32"/>
      <w:szCs w:val="32"/>
    </w:rPr>
  </w:style>
  <w:style w:type="paragraph" w:customStyle="1" w:styleId="143">
    <w:name w:val="1"/>
    <w:basedOn w:val="18"/>
    <w:qFormat/>
    <w:uiPriority w:val="99"/>
    <w:pPr>
      <w:framePr w:wrap="around" w:vAnchor="text" w:hAnchor="text" w:y="1"/>
      <w:adjustRightInd/>
      <w:spacing w:line="360" w:lineRule="auto"/>
      <w:ind w:firstLine="200" w:firstLineChars="200"/>
      <w:textAlignment w:val="auto"/>
    </w:pPr>
    <w:rPr>
      <w:kern w:val="2"/>
      <w:sz w:val="24"/>
      <w:szCs w:val="24"/>
    </w:rPr>
  </w:style>
  <w:style w:type="paragraph" w:customStyle="1" w:styleId="144">
    <w:name w:val="样式 Arial 小四 首行缩进:  0.85 厘米"/>
    <w:basedOn w:val="1"/>
    <w:qFormat/>
    <w:uiPriority w:val="0"/>
    <w:pPr>
      <w:spacing w:line="360" w:lineRule="auto"/>
      <w:ind w:firstLine="482"/>
    </w:pPr>
    <w:rPr>
      <w:rFonts w:ascii="Arial" w:hAnsi="Arial" w:cs="宋体"/>
      <w:sz w:val="24"/>
      <w:szCs w:val="20"/>
    </w:rPr>
  </w:style>
  <w:style w:type="paragraph" w:customStyle="1" w:styleId="145">
    <w:name w:val="修订1"/>
    <w:qFormat/>
    <w:uiPriority w:val="99"/>
    <w:rPr>
      <w:rFonts w:ascii="Times New Roman" w:hAnsi="Times New Roman" w:eastAsia="宋体" w:cs="Times New Roman"/>
      <w:kern w:val="2"/>
      <w:sz w:val="21"/>
      <w:szCs w:val="24"/>
      <w:lang w:val="en-US" w:eastAsia="zh-CN" w:bidi="ar-SA"/>
    </w:rPr>
  </w:style>
  <w:style w:type="paragraph" w:customStyle="1" w:styleId="14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147">
    <w:name w:val="BZ_二级标题"/>
    <w:basedOn w:val="6"/>
    <w:next w:val="132"/>
    <w:qFormat/>
    <w:uiPriority w:val="0"/>
    <w:pPr>
      <w:widowControl/>
      <w:spacing w:beforeLines="50" w:afterLines="50" w:line="240" w:lineRule="auto"/>
      <w:ind w:left="576" w:hanging="576"/>
    </w:pPr>
    <w:rPr>
      <w:rFonts w:ascii="Times New Roman" w:hAnsi="Times New Roman" w:eastAsia="楷体"/>
    </w:rPr>
  </w:style>
  <w:style w:type="paragraph" w:customStyle="1" w:styleId="148">
    <w:name w:val="Char1 Char Char Char1"/>
    <w:basedOn w:val="1"/>
    <w:qFormat/>
    <w:uiPriority w:val="0"/>
    <w:rPr>
      <w:rFonts w:ascii="仿宋_GB2312" w:eastAsia="仿宋_GB2312"/>
      <w:b/>
      <w:sz w:val="32"/>
      <w:szCs w:val="32"/>
    </w:rPr>
  </w:style>
  <w:style w:type="character" w:customStyle="1" w:styleId="149">
    <w:name w:val="纯文本 Char1"/>
    <w:qFormat/>
    <w:uiPriority w:val="0"/>
    <w:rPr>
      <w:rFonts w:ascii="宋体" w:hAnsi="Courier New"/>
      <w:kern w:val="2"/>
      <w:sz w:val="21"/>
      <w:szCs w:val="24"/>
    </w:rPr>
  </w:style>
  <w:style w:type="paragraph" w:customStyle="1" w:styleId="150">
    <w:name w:val="样式6"/>
    <w:basedOn w:val="1"/>
    <w:qFormat/>
    <w:uiPriority w:val="0"/>
    <w:pPr>
      <w:spacing w:line="360" w:lineRule="auto"/>
      <w:ind w:firstLine="200" w:firstLineChars="200"/>
      <w:jc w:val="left"/>
    </w:pPr>
    <w:rPr>
      <w:sz w:val="24"/>
    </w:rPr>
  </w:style>
  <w:style w:type="paragraph" w:customStyle="1" w:styleId="151">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character" w:customStyle="1" w:styleId="152">
    <w:name w:val="正文首行缩进2字符 Char"/>
    <w:link w:val="153"/>
    <w:qFormat/>
    <w:uiPriority w:val="0"/>
    <w:rPr>
      <w:rFonts w:eastAsia="仿宋"/>
      <w:sz w:val="28"/>
    </w:rPr>
  </w:style>
  <w:style w:type="paragraph" w:customStyle="1" w:styleId="153">
    <w:name w:val="正文首行缩进2字符"/>
    <w:basedOn w:val="1"/>
    <w:link w:val="152"/>
    <w:qFormat/>
    <w:uiPriority w:val="0"/>
    <w:pPr>
      <w:spacing w:line="360" w:lineRule="auto"/>
      <w:ind w:firstLine="200" w:firstLineChars="200"/>
    </w:pPr>
    <w:rPr>
      <w:rFonts w:eastAsia="仿宋"/>
      <w:kern w:val="0"/>
      <w:sz w:val="28"/>
      <w:szCs w:val="20"/>
    </w:rPr>
  </w:style>
  <w:style w:type="character" w:customStyle="1" w:styleId="154">
    <w:name w:val="generalinfo-address-text"/>
    <w:basedOn w:val="66"/>
    <w:qFormat/>
    <w:uiPriority w:val="0"/>
  </w:style>
  <w:style w:type="character" w:customStyle="1" w:styleId="155">
    <w:name w:val="标题 字符"/>
    <w:link w:val="60"/>
    <w:qFormat/>
    <w:uiPriority w:val="0"/>
    <w:rPr>
      <w:rFonts w:ascii="Verdana" w:hAnsi="Verdana" w:eastAsia="仿宋_GB2312"/>
      <w:b/>
      <w:bCs/>
      <w:sz w:val="32"/>
      <w:szCs w:val="32"/>
    </w:rPr>
  </w:style>
  <w:style w:type="paragraph" w:customStyle="1" w:styleId="156">
    <w:name w:val="方案正文"/>
    <w:basedOn w:val="1"/>
    <w:link w:val="157"/>
    <w:qFormat/>
    <w:uiPriority w:val="0"/>
    <w:pPr>
      <w:spacing w:line="360" w:lineRule="auto"/>
      <w:ind w:firstLine="200" w:firstLineChars="200"/>
    </w:pPr>
    <w:rPr>
      <w:rFonts w:ascii="Century Gothic" w:hAnsi="Century Gothic"/>
      <w:szCs w:val="28"/>
    </w:rPr>
  </w:style>
  <w:style w:type="character" w:customStyle="1" w:styleId="157">
    <w:name w:val="方案正文 字符"/>
    <w:link w:val="156"/>
    <w:qFormat/>
    <w:uiPriority w:val="0"/>
    <w:rPr>
      <w:rFonts w:ascii="Century Gothic" w:hAnsi="Century Gothic" w:cs="Times New Roman"/>
      <w:kern w:val="2"/>
      <w:sz w:val="21"/>
      <w:szCs w:val="28"/>
    </w:rPr>
  </w:style>
  <w:style w:type="paragraph" w:customStyle="1" w:styleId="158">
    <w:name w:val="正文缩进1"/>
    <w:basedOn w:val="1"/>
    <w:qFormat/>
    <w:uiPriority w:val="0"/>
    <w:pPr>
      <w:spacing w:line="360" w:lineRule="auto"/>
      <w:ind w:firstLine="454"/>
      <w:jc w:val="left"/>
    </w:pPr>
    <w:rPr>
      <w:sz w:val="24"/>
    </w:rPr>
  </w:style>
  <w:style w:type="character" w:customStyle="1" w:styleId="159">
    <w:name w:val="ant-form-item-children"/>
    <w:basedOn w:val="66"/>
    <w:qFormat/>
    <w:uiPriority w:val="0"/>
  </w:style>
  <w:style w:type="paragraph" w:customStyle="1" w:styleId="160">
    <w:name w:val="BZ_四级标题"/>
    <w:basedOn w:val="8"/>
    <w:next w:val="1"/>
    <w:link w:val="308"/>
    <w:qFormat/>
    <w:uiPriority w:val="0"/>
    <w:pPr>
      <w:widowControl/>
      <w:spacing w:beforeLines="50" w:afterLines="50" w:line="240" w:lineRule="auto"/>
      <w:ind w:left="864" w:hanging="864"/>
    </w:pPr>
    <w:rPr>
      <w:rFonts w:ascii="Times New Roman" w:hAnsi="Times New Roman" w:eastAsia="黑体"/>
      <w:b w:val="0"/>
      <w:sz w:val="24"/>
    </w:rPr>
  </w:style>
  <w:style w:type="paragraph" w:customStyle="1" w:styleId="161">
    <w:name w:val="_Style 10"/>
    <w:basedOn w:val="1"/>
    <w:qFormat/>
    <w:uiPriority w:val="0"/>
    <w:pPr>
      <w:spacing w:beforeLines="50" w:afterLines="50"/>
    </w:pPr>
    <w:rPr>
      <w:rFonts w:ascii="Calibri" w:hAnsi="Calibri"/>
      <w:szCs w:val="20"/>
    </w:rPr>
  </w:style>
  <w:style w:type="paragraph" w:customStyle="1" w:styleId="162">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16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4">
    <w:name w:val="普通(网站) 字符"/>
    <w:link w:val="58"/>
    <w:qFormat/>
    <w:uiPriority w:val="0"/>
    <w:rPr>
      <w:rFonts w:ascii="宋体" w:hAnsi="宋体" w:cs="宋体"/>
      <w:sz w:val="24"/>
      <w:szCs w:val="24"/>
    </w:rPr>
  </w:style>
  <w:style w:type="character" w:customStyle="1" w:styleId="165">
    <w:name w:val="标题 7 字符1"/>
    <w:basedOn w:val="66"/>
    <w:link w:val="11"/>
    <w:qFormat/>
    <w:uiPriority w:val="9"/>
    <w:rPr>
      <w:rFonts w:eastAsia="等线"/>
      <w:b/>
      <w:kern w:val="2"/>
      <w:sz w:val="24"/>
      <w:szCs w:val="24"/>
    </w:rPr>
  </w:style>
  <w:style w:type="character" w:customStyle="1" w:styleId="166">
    <w:name w:val="标题 8 字符1"/>
    <w:basedOn w:val="66"/>
    <w:link w:val="12"/>
    <w:qFormat/>
    <w:uiPriority w:val="9"/>
    <w:rPr>
      <w:rFonts w:ascii="Arial" w:hAnsi="Arial" w:eastAsia="黑体"/>
      <w:kern w:val="2"/>
      <w:sz w:val="24"/>
      <w:szCs w:val="24"/>
    </w:rPr>
  </w:style>
  <w:style w:type="character" w:customStyle="1" w:styleId="167">
    <w:name w:val="标题 9 字符1"/>
    <w:basedOn w:val="66"/>
    <w:link w:val="13"/>
    <w:qFormat/>
    <w:uiPriority w:val="9"/>
    <w:rPr>
      <w:rFonts w:ascii="Arial" w:hAnsi="Arial" w:eastAsia="黑体"/>
      <w:kern w:val="2"/>
      <w:sz w:val="24"/>
      <w:szCs w:val="24"/>
    </w:rPr>
  </w:style>
  <w:style w:type="character" w:customStyle="1" w:styleId="168">
    <w:name w:val="批注主题 字符"/>
    <w:link w:val="61"/>
    <w:qFormat/>
    <w:uiPriority w:val="1"/>
    <w:rPr>
      <w:b/>
      <w:bCs/>
      <w:kern w:val="2"/>
      <w:sz w:val="21"/>
      <w:szCs w:val="24"/>
    </w:rPr>
  </w:style>
  <w:style w:type="character" w:customStyle="1" w:styleId="169">
    <w:name w:val="Char Char112"/>
    <w:qFormat/>
    <w:uiPriority w:val="0"/>
    <w:rPr>
      <w:rFonts w:eastAsia="仿宋_GB2312"/>
      <w:kern w:val="2"/>
      <w:sz w:val="21"/>
      <w:szCs w:val="24"/>
      <w:lang w:val="en-US" w:eastAsia="zh-CN" w:bidi="ar-SA"/>
    </w:rPr>
  </w:style>
  <w:style w:type="character" w:customStyle="1" w:styleId="170">
    <w:name w:val="No Spacing Char"/>
    <w:link w:val="171"/>
    <w:qFormat/>
    <w:uiPriority w:val="0"/>
    <w:rPr>
      <w:rFonts w:ascii="Calibri" w:hAnsi="Calibri" w:eastAsia="仿宋_GB2312"/>
      <w:sz w:val="28"/>
      <w:szCs w:val="22"/>
    </w:rPr>
  </w:style>
  <w:style w:type="paragraph" w:customStyle="1" w:styleId="171">
    <w:name w:val="无间隔1"/>
    <w:link w:val="170"/>
    <w:qFormat/>
    <w:uiPriority w:val="0"/>
    <w:pPr>
      <w:widowControl w:val="0"/>
      <w:ind w:firstLine="200" w:firstLineChars="200"/>
      <w:jc w:val="both"/>
    </w:pPr>
    <w:rPr>
      <w:rFonts w:ascii="Calibri" w:hAnsi="Calibri" w:eastAsia="仿宋_GB2312" w:cs="Times New Roman"/>
      <w:sz w:val="28"/>
      <w:szCs w:val="22"/>
      <w:lang w:val="en-US" w:eastAsia="zh-CN" w:bidi="ar-SA"/>
    </w:rPr>
  </w:style>
  <w:style w:type="character" w:customStyle="1" w:styleId="172">
    <w:name w:val="Char Char14"/>
    <w:qFormat/>
    <w:uiPriority w:val="0"/>
    <w:rPr>
      <w:rFonts w:eastAsia="仿宋_GB2312"/>
      <w:kern w:val="2"/>
      <w:sz w:val="21"/>
      <w:szCs w:val="24"/>
      <w:lang w:val="en-US" w:eastAsia="zh-CN" w:bidi="ar-SA"/>
    </w:rPr>
  </w:style>
  <w:style w:type="character" w:customStyle="1" w:styleId="173">
    <w:name w:val="明显强调1"/>
    <w:qFormat/>
    <w:uiPriority w:val="0"/>
    <w:rPr>
      <w:rFonts w:eastAsia="宋体"/>
      <w:b/>
      <w:bCs/>
      <w:iCs/>
      <w:color w:val="auto"/>
      <w:sz w:val="24"/>
    </w:rPr>
  </w:style>
  <w:style w:type="character" w:customStyle="1" w:styleId="174">
    <w:name w:val="BZ_一级标题 Char"/>
    <w:link w:val="130"/>
    <w:qFormat/>
    <w:uiPriority w:val="0"/>
    <w:rPr>
      <w:rFonts w:eastAsia="华文中宋"/>
      <w:b/>
      <w:bCs/>
      <w:kern w:val="44"/>
      <w:sz w:val="36"/>
      <w:szCs w:val="36"/>
    </w:rPr>
  </w:style>
  <w:style w:type="character" w:customStyle="1" w:styleId="175">
    <w:name w:val="样式 宋体 小四 行距: 1.5 倍行距 Char"/>
    <w:link w:val="176"/>
    <w:qFormat/>
    <w:uiPriority w:val="0"/>
    <w:rPr>
      <w:rFonts w:ascii="宋体" w:hAnsi="宋体" w:cs="宋体"/>
      <w:kern w:val="2"/>
      <w:sz w:val="24"/>
    </w:rPr>
  </w:style>
  <w:style w:type="paragraph" w:customStyle="1" w:styleId="176">
    <w:name w:val="样式 宋体 小四 行距: 1.5 倍行距"/>
    <w:basedOn w:val="1"/>
    <w:link w:val="175"/>
    <w:qFormat/>
    <w:uiPriority w:val="0"/>
    <w:pPr>
      <w:spacing w:line="360" w:lineRule="auto"/>
      <w:ind w:firstLine="540" w:firstLineChars="225"/>
    </w:pPr>
    <w:rPr>
      <w:rFonts w:ascii="宋体" w:hAnsi="宋体" w:cs="宋体"/>
      <w:sz w:val="24"/>
      <w:szCs w:val="20"/>
    </w:rPr>
  </w:style>
  <w:style w:type="character" w:customStyle="1" w:styleId="177">
    <w:name w:val="正文1 Char Char"/>
    <w:qFormat/>
    <w:uiPriority w:val="0"/>
    <w:rPr>
      <w:rFonts w:ascii="仿宋_GB2312" w:hAnsi="仿宋_GB2312" w:eastAsia="仿宋_GB2312" w:cs="仿宋_GB2312"/>
      <w:sz w:val="21"/>
      <w:lang w:val="en-US" w:eastAsia="zh-CN" w:bidi="ar-SA"/>
    </w:rPr>
  </w:style>
  <w:style w:type="character" w:customStyle="1" w:styleId="178">
    <w:name w:val="编号正文缩进 Char Char"/>
    <w:link w:val="179"/>
    <w:qFormat/>
    <w:uiPriority w:val="0"/>
    <w:rPr>
      <w:kern w:val="2"/>
      <w:sz w:val="24"/>
      <w:szCs w:val="24"/>
    </w:rPr>
  </w:style>
  <w:style w:type="paragraph" w:customStyle="1" w:styleId="179">
    <w:name w:val="编号正文缩进"/>
    <w:basedOn w:val="18"/>
    <w:link w:val="178"/>
    <w:qFormat/>
    <w:uiPriority w:val="0"/>
    <w:pPr>
      <w:tabs>
        <w:tab w:val="left" w:pos="1497"/>
      </w:tabs>
      <w:spacing w:line="400" w:lineRule="atLeast"/>
      <w:ind w:left="567" w:firstLine="510"/>
    </w:pPr>
    <w:rPr>
      <w:kern w:val="2"/>
      <w:sz w:val="24"/>
      <w:szCs w:val="24"/>
    </w:rPr>
  </w:style>
  <w:style w:type="character" w:customStyle="1" w:styleId="180">
    <w:name w:val="Char Char18"/>
    <w:qFormat/>
    <w:uiPriority w:val="0"/>
    <w:rPr>
      <w:b/>
      <w:bCs/>
      <w:kern w:val="2"/>
      <w:sz w:val="32"/>
      <w:szCs w:val="32"/>
    </w:rPr>
  </w:style>
  <w:style w:type="character" w:customStyle="1" w:styleId="181">
    <w:name w:val="样式1 Char"/>
    <w:link w:val="182"/>
    <w:qFormat/>
    <w:uiPriority w:val="0"/>
    <w:rPr>
      <w:rFonts w:ascii="楷体_GB2312" w:hAnsi="Calibri" w:eastAsia="楷体_GB2312"/>
      <w:kern w:val="2"/>
      <w:sz w:val="24"/>
      <w:szCs w:val="24"/>
    </w:rPr>
  </w:style>
  <w:style w:type="paragraph" w:customStyle="1" w:styleId="182">
    <w:name w:val="样式1"/>
    <w:basedOn w:val="183"/>
    <w:link w:val="181"/>
    <w:qFormat/>
    <w:uiPriority w:val="0"/>
    <w:pPr>
      <w:spacing w:line="360" w:lineRule="auto"/>
      <w:ind w:firstLine="480"/>
    </w:pPr>
    <w:rPr>
      <w:rFonts w:ascii="楷体_GB2312" w:eastAsia="楷体_GB2312" w:cs="Times New Roman"/>
      <w:sz w:val="24"/>
      <w:szCs w:val="24"/>
    </w:rPr>
  </w:style>
  <w:style w:type="paragraph" w:customStyle="1" w:styleId="183">
    <w:name w:val="列出段落11"/>
    <w:basedOn w:val="1"/>
    <w:qFormat/>
    <w:uiPriority w:val="34"/>
    <w:pPr>
      <w:ind w:firstLine="420" w:firstLineChars="200"/>
    </w:pPr>
    <w:rPr>
      <w:rFonts w:ascii="Calibri" w:hAnsi="Calibri" w:eastAsia="等线" w:cs="黑体"/>
      <w:szCs w:val="22"/>
    </w:rPr>
  </w:style>
  <w:style w:type="character" w:customStyle="1" w:styleId="184">
    <w:name w:val="Style3"/>
    <w:qFormat/>
    <w:uiPriority w:val="0"/>
    <w:rPr>
      <w:rFonts w:ascii="Century Gothic" w:hAnsi="仿宋_GB2312" w:eastAsia="仿宋_GB2312" w:cs="新宋体"/>
      <w:szCs w:val="22"/>
      <w:lang w:eastAsia="zh-CN"/>
    </w:rPr>
  </w:style>
  <w:style w:type="character" w:customStyle="1" w:styleId="185">
    <w:name w:val="副标题 Char1"/>
    <w:qFormat/>
    <w:uiPriority w:val="11"/>
    <w:rPr>
      <w:rFonts w:ascii="Cambria" w:hAnsi="Cambria" w:cs="Times New Roman"/>
      <w:b/>
      <w:bCs/>
      <w:kern w:val="28"/>
      <w:sz w:val="32"/>
      <w:szCs w:val="32"/>
    </w:rPr>
  </w:style>
  <w:style w:type="character" w:customStyle="1" w:styleId="186">
    <w:name w:val="Style4"/>
    <w:qFormat/>
    <w:uiPriority w:val="0"/>
    <w:rPr>
      <w:rFonts w:ascii="Century Gothic" w:hAnsi="仿宋_GB2312" w:eastAsia="仿宋_GB2312" w:cs="新宋体"/>
      <w:szCs w:val="22"/>
      <w:lang w:eastAsia="zh-CN"/>
    </w:rPr>
  </w:style>
  <w:style w:type="character" w:customStyle="1" w:styleId="187">
    <w:name w:val="页眉注释 Char Char"/>
    <w:link w:val="188"/>
    <w:qFormat/>
    <w:uiPriority w:val="0"/>
    <w:rPr>
      <w:rFonts w:ascii="华文细黑" w:hAnsi="华文细黑" w:eastAsia="华文细黑"/>
      <w:b/>
      <w:color w:val="FFFFFF"/>
      <w:kern w:val="2"/>
      <w:sz w:val="18"/>
      <w:szCs w:val="18"/>
    </w:rPr>
  </w:style>
  <w:style w:type="paragraph" w:customStyle="1" w:styleId="188">
    <w:name w:val="页眉注释"/>
    <w:basedOn w:val="1"/>
    <w:link w:val="187"/>
    <w:qFormat/>
    <w:uiPriority w:val="0"/>
    <w:pPr>
      <w:spacing w:line="0" w:lineRule="atLeast"/>
      <w:jc w:val="center"/>
    </w:pPr>
    <w:rPr>
      <w:rFonts w:ascii="华文细黑" w:hAnsi="华文细黑" w:eastAsia="华文细黑"/>
      <w:b/>
      <w:color w:val="FFFFFF"/>
      <w:sz w:val="18"/>
      <w:szCs w:val="18"/>
    </w:rPr>
  </w:style>
  <w:style w:type="character" w:customStyle="1" w:styleId="189">
    <w:name w:val="heading 2 Char1"/>
    <w:qFormat/>
    <w:uiPriority w:val="0"/>
    <w:rPr>
      <w:rFonts w:ascii="Verdana" w:hAnsi="Verdana" w:eastAsia="仿宋_GB2312"/>
      <w:b/>
      <w:bCs/>
      <w:kern w:val="2"/>
      <w:sz w:val="32"/>
      <w:szCs w:val="32"/>
      <w:lang w:val="en-US" w:eastAsia="zh-CN" w:bidi="ar-SA"/>
    </w:rPr>
  </w:style>
  <w:style w:type="character" w:customStyle="1" w:styleId="190">
    <w:name w:val="heading 4 Char"/>
    <w:qFormat/>
    <w:uiPriority w:val="0"/>
    <w:rPr>
      <w:rFonts w:ascii="Tahoma" w:hAnsi="Tahoma" w:eastAsia="Helvetica" w:cs="新宋体"/>
      <w:sz w:val="21"/>
      <w:szCs w:val="21"/>
    </w:rPr>
  </w:style>
  <w:style w:type="character" w:customStyle="1" w:styleId="191">
    <w:name w:val="Char Char16"/>
    <w:qFormat/>
    <w:uiPriority w:val="0"/>
    <w:rPr>
      <w:b/>
      <w:bCs/>
      <w:kern w:val="2"/>
      <w:sz w:val="28"/>
      <w:szCs w:val="28"/>
    </w:rPr>
  </w:style>
  <w:style w:type="character" w:customStyle="1" w:styleId="192">
    <w:name w:val="Char Char23"/>
    <w:qFormat/>
    <w:uiPriority w:val="0"/>
    <w:rPr>
      <w:rFonts w:eastAsia="仿宋_GB2312"/>
      <w:b/>
      <w:bCs/>
      <w:kern w:val="2"/>
      <w:sz w:val="32"/>
      <w:szCs w:val="32"/>
      <w:lang w:val="en-US" w:eastAsia="zh-CN" w:bidi="ar-SA"/>
    </w:rPr>
  </w:style>
  <w:style w:type="character" w:customStyle="1" w:styleId="193">
    <w:name w:val="apple-converted-space"/>
    <w:qFormat/>
    <w:uiPriority w:val="0"/>
  </w:style>
  <w:style w:type="character" w:customStyle="1" w:styleId="194">
    <w:name w:val="Char Char25"/>
    <w:qFormat/>
    <w:uiPriority w:val="0"/>
    <w:rPr>
      <w:rFonts w:ascii="Arial Unicode MS" w:eastAsia="Arial Unicode MS"/>
      <w:b/>
      <w:bCs/>
      <w:kern w:val="2"/>
      <w:sz w:val="21"/>
      <w:szCs w:val="24"/>
      <w:lang w:val="en-US" w:eastAsia="zh-CN" w:bidi="ar-SA"/>
    </w:rPr>
  </w:style>
  <w:style w:type="character" w:customStyle="1" w:styleId="195">
    <w:name w:val="heading 3 Char1"/>
    <w:qFormat/>
    <w:uiPriority w:val="0"/>
    <w:rPr>
      <w:rFonts w:eastAsia="仿宋_GB2312"/>
      <w:b/>
      <w:bCs/>
      <w:kern w:val="2"/>
      <w:sz w:val="32"/>
      <w:szCs w:val="32"/>
      <w:lang w:val="en-US" w:eastAsia="zh-CN" w:bidi="ar-SA"/>
    </w:rPr>
  </w:style>
  <w:style w:type="character" w:customStyle="1" w:styleId="196">
    <w:name w:val="不明显强调1"/>
    <w:qFormat/>
    <w:uiPriority w:val="0"/>
    <w:rPr>
      <w:i/>
      <w:iCs/>
      <w:color w:val="808080"/>
    </w:rPr>
  </w:style>
  <w:style w:type="character" w:customStyle="1" w:styleId="197">
    <w:name w:val="pt141"/>
    <w:qFormat/>
    <w:uiPriority w:val="0"/>
    <w:rPr>
      <w:color w:val="330066"/>
      <w:spacing w:val="450"/>
      <w:sz w:val="22"/>
      <w:szCs w:val="22"/>
    </w:rPr>
  </w:style>
  <w:style w:type="character" w:customStyle="1" w:styleId="198">
    <w:name w:val="无间隔 字符"/>
    <w:link w:val="199"/>
    <w:qFormat/>
    <w:uiPriority w:val="1"/>
    <w:rPr>
      <w:rFonts w:ascii="Century Gothic" w:hAnsi="Century Gothic" w:eastAsia="Times New Roman"/>
      <w:sz w:val="22"/>
      <w:szCs w:val="22"/>
    </w:rPr>
  </w:style>
  <w:style w:type="paragraph" w:styleId="199">
    <w:name w:val="No Spacing"/>
    <w:link w:val="198"/>
    <w:qFormat/>
    <w:uiPriority w:val="1"/>
    <w:rPr>
      <w:rFonts w:ascii="Century Gothic" w:hAnsi="Century Gothic" w:eastAsia="Times New Roman" w:cs="Times New Roman"/>
      <w:sz w:val="22"/>
      <w:szCs w:val="22"/>
      <w:lang w:val="en-US" w:eastAsia="zh-CN" w:bidi="ar-SA"/>
    </w:rPr>
  </w:style>
  <w:style w:type="character" w:customStyle="1" w:styleId="200">
    <w:name w:val="明显参考1"/>
    <w:qFormat/>
    <w:uiPriority w:val="0"/>
    <w:rPr>
      <w:b/>
      <w:bCs/>
      <w:smallCaps/>
      <w:color w:val="C0504D"/>
      <w:spacing w:val="5"/>
      <w:u w:val="single"/>
    </w:rPr>
  </w:style>
  <w:style w:type="character" w:customStyle="1" w:styleId="201">
    <w:name w:val="正文文本缩进 3 字符1"/>
    <w:link w:val="52"/>
    <w:qFormat/>
    <w:uiPriority w:val="0"/>
    <w:rPr>
      <w:kern w:val="2"/>
      <w:sz w:val="24"/>
      <w:szCs w:val="24"/>
    </w:rPr>
  </w:style>
  <w:style w:type="character" w:customStyle="1" w:styleId="202">
    <w:name w:val="样式2 Char"/>
    <w:link w:val="203"/>
    <w:qFormat/>
    <w:uiPriority w:val="0"/>
    <w:rPr>
      <w:rFonts w:ascii="仿宋_GB2312" w:hAnsi="仿宋_GB2312" w:eastAsia="仿宋_GB2312"/>
      <w:bCs/>
      <w:kern w:val="2"/>
      <w:sz w:val="28"/>
      <w:szCs w:val="28"/>
    </w:rPr>
  </w:style>
  <w:style w:type="paragraph" w:customStyle="1" w:styleId="203">
    <w:name w:val="样式2"/>
    <w:basedOn w:val="6"/>
    <w:link w:val="202"/>
    <w:qFormat/>
    <w:uiPriority w:val="0"/>
    <w:pPr>
      <w:snapToGrid w:val="0"/>
      <w:spacing w:afterLines="50" w:line="480" w:lineRule="exact"/>
      <w:ind w:firstLine="556"/>
    </w:pPr>
    <w:rPr>
      <w:rFonts w:ascii="仿宋_GB2312" w:hAnsi="仿宋_GB2312" w:eastAsia="仿宋_GB2312"/>
      <w:b w:val="0"/>
      <w:sz w:val="28"/>
      <w:szCs w:val="28"/>
    </w:rPr>
  </w:style>
  <w:style w:type="character" w:customStyle="1" w:styleId="204">
    <w:name w:val="文档结构图 字符1"/>
    <w:link w:val="21"/>
    <w:qFormat/>
    <w:uiPriority w:val="0"/>
    <w:rPr>
      <w:kern w:val="2"/>
      <w:sz w:val="21"/>
      <w:szCs w:val="24"/>
      <w:shd w:val="clear" w:color="auto" w:fill="000080"/>
    </w:rPr>
  </w:style>
  <w:style w:type="character" w:customStyle="1" w:styleId="205">
    <w:name w:val="1233 Char"/>
    <w:link w:val="206"/>
    <w:qFormat/>
    <w:uiPriority w:val="0"/>
    <w:rPr>
      <w:rFonts w:ascii="仿宋" w:hAnsi="仿宋" w:eastAsia="仿宋"/>
      <w:b/>
      <w:bCs/>
      <w:kern w:val="44"/>
      <w:sz w:val="24"/>
      <w:szCs w:val="24"/>
    </w:rPr>
  </w:style>
  <w:style w:type="paragraph" w:customStyle="1" w:styleId="206">
    <w:name w:val="1233"/>
    <w:basedOn w:val="5"/>
    <w:link w:val="205"/>
    <w:qFormat/>
    <w:uiPriority w:val="0"/>
    <w:pPr>
      <w:keepLines/>
      <w:spacing w:line="360" w:lineRule="auto"/>
      <w:ind w:firstLine="200" w:firstLineChars="200"/>
      <w:jc w:val="both"/>
    </w:pPr>
    <w:rPr>
      <w:rFonts w:ascii="仿宋" w:hAnsi="仿宋" w:eastAsia="仿宋"/>
      <w:kern w:val="44"/>
      <w:sz w:val="24"/>
    </w:rPr>
  </w:style>
  <w:style w:type="character" w:customStyle="1" w:styleId="207">
    <w:name w:val="heading 2 Char"/>
    <w:qFormat/>
    <w:uiPriority w:val="0"/>
    <w:rPr>
      <w:rFonts w:ascii="Tahoma" w:hAnsi="Tahoma" w:eastAsia="Helvetica" w:cs="新宋体"/>
      <w:sz w:val="30"/>
      <w:szCs w:val="24"/>
    </w:rPr>
  </w:style>
  <w:style w:type="character" w:customStyle="1" w:styleId="208">
    <w:name w:val="Intense Emphasis1"/>
    <w:qFormat/>
    <w:uiPriority w:val="0"/>
    <w:rPr>
      <w:b/>
      <w:bCs/>
      <w:i/>
      <w:iCs/>
      <w:color w:val="4F81BD"/>
    </w:rPr>
  </w:style>
  <w:style w:type="character" w:customStyle="1" w:styleId="209">
    <w:name w:val="emailstyle16"/>
    <w:qFormat/>
    <w:uiPriority w:val="0"/>
    <w:rPr>
      <w:rFonts w:ascii="Arial" w:hAnsi="Arial" w:eastAsia="宋体" w:cs="Arial"/>
      <w:color w:val="auto"/>
      <w:kern w:val="2"/>
      <w:sz w:val="20"/>
      <w:szCs w:val="24"/>
      <w:lang w:val="en-US" w:eastAsia="zh-CN" w:bidi="ar-SA"/>
    </w:rPr>
  </w:style>
  <w:style w:type="character" w:customStyle="1" w:styleId="210">
    <w:name w:val="正文靠右 Char Char"/>
    <w:link w:val="211"/>
    <w:qFormat/>
    <w:uiPriority w:val="0"/>
    <w:rPr>
      <w:kern w:val="2"/>
      <w:sz w:val="21"/>
      <w:szCs w:val="24"/>
    </w:rPr>
  </w:style>
  <w:style w:type="paragraph" w:customStyle="1" w:styleId="211">
    <w:name w:val="正文靠右"/>
    <w:basedOn w:val="1"/>
    <w:link w:val="210"/>
    <w:qFormat/>
    <w:uiPriority w:val="0"/>
    <w:pPr>
      <w:jc w:val="right"/>
    </w:pPr>
  </w:style>
  <w:style w:type="character" w:customStyle="1" w:styleId="212">
    <w:name w:val="Char Char111"/>
    <w:qFormat/>
    <w:uiPriority w:val="0"/>
    <w:rPr>
      <w:rFonts w:ascii="新宋体" w:hAnsi="新宋体" w:eastAsia="仿宋_GB2312" w:cs="新宋体"/>
      <w:sz w:val="18"/>
      <w:szCs w:val="18"/>
    </w:rPr>
  </w:style>
  <w:style w:type="character" w:customStyle="1" w:styleId="213">
    <w:name w:val="HTML 预设格式 Char1"/>
    <w:qFormat/>
    <w:uiPriority w:val="0"/>
    <w:rPr>
      <w:rFonts w:ascii="宋体" w:hAnsi="宋体" w:cs="宋体"/>
      <w:sz w:val="24"/>
      <w:szCs w:val="24"/>
    </w:rPr>
  </w:style>
  <w:style w:type="character" w:customStyle="1" w:styleId="214">
    <w:name w:val="正文缩进 字符"/>
    <w:qFormat/>
    <w:uiPriority w:val="0"/>
    <w:rPr>
      <w:sz w:val="28"/>
    </w:rPr>
  </w:style>
  <w:style w:type="character" w:customStyle="1" w:styleId="215">
    <w:name w:val="Style1"/>
    <w:qFormat/>
    <w:uiPriority w:val="0"/>
    <w:rPr>
      <w:rFonts w:ascii="Century Gothic" w:hAnsi="仿宋_GB2312" w:eastAsia="仿宋_GB2312" w:cs="新宋体"/>
      <w:sz w:val="22"/>
      <w:szCs w:val="22"/>
      <w:lang w:eastAsia="zh-CN"/>
    </w:rPr>
  </w:style>
  <w:style w:type="character" w:customStyle="1" w:styleId="216">
    <w:name w:val="BZ_封面_名称 Char"/>
    <w:link w:val="217"/>
    <w:qFormat/>
    <w:uiPriority w:val="0"/>
    <w:rPr>
      <w:rFonts w:eastAsia="黑体"/>
      <w:kern w:val="2"/>
      <w:sz w:val="44"/>
      <w:szCs w:val="44"/>
    </w:rPr>
  </w:style>
  <w:style w:type="paragraph" w:customStyle="1" w:styleId="217">
    <w:name w:val="BZ_封面_名称"/>
    <w:basedOn w:val="1"/>
    <w:link w:val="216"/>
    <w:qFormat/>
    <w:uiPriority w:val="0"/>
    <w:pPr>
      <w:widowControl/>
      <w:jc w:val="center"/>
    </w:pPr>
    <w:rPr>
      <w:rFonts w:eastAsia="黑体"/>
      <w:sz w:val="44"/>
      <w:szCs w:val="44"/>
    </w:rPr>
  </w:style>
  <w:style w:type="character" w:customStyle="1" w:styleId="218">
    <w:name w:val="个人答复风格"/>
    <w:qFormat/>
    <w:uiPriority w:val="0"/>
    <w:rPr>
      <w:rFonts w:ascii="Arial" w:hAnsi="Arial" w:eastAsia="宋体" w:cs="Arial"/>
      <w:color w:val="auto"/>
      <w:kern w:val="2"/>
      <w:sz w:val="20"/>
      <w:szCs w:val="24"/>
      <w:lang w:val="en-US" w:eastAsia="zh-CN" w:bidi="ar-SA"/>
    </w:rPr>
  </w:style>
  <w:style w:type="character" w:customStyle="1" w:styleId="219">
    <w:name w:val="kpk:3级 Char"/>
    <w:link w:val="220"/>
    <w:qFormat/>
    <w:uiPriority w:val="0"/>
    <w:rPr>
      <w:rFonts w:ascii="黑体" w:eastAsia="黑体"/>
      <w:b/>
      <w:bCs/>
      <w:kern w:val="2"/>
      <w:sz w:val="24"/>
      <w:szCs w:val="24"/>
    </w:rPr>
  </w:style>
  <w:style w:type="paragraph" w:customStyle="1" w:styleId="220">
    <w:name w:val="kpk:3级"/>
    <w:basedOn w:val="7"/>
    <w:link w:val="219"/>
    <w:qFormat/>
    <w:uiPriority w:val="0"/>
    <w:pPr>
      <w:tabs>
        <w:tab w:val="left" w:pos="420"/>
      </w:tabs>
      <w:spacing w:before="0" w:after="0" w:line="360" w:lineRule="auto"/>
      <w:ind w:left="420" w:hanging="420"/>
    </w:pPr>
    <w:rPr>
      <w:rFonts w:ascii="黑体" w:eastAsia="黑体"/>
      <w:sz w:val="24"/>
      <w:szCs w:val="24"/>
    </w:rPr>
  </w:style>
  <w:style w:type="character" w:customStyle="1" w:styleId="221">
    <w:name w:val="Char Char19"/>
    <w:qFormat/>
    <w:uiPriority w:val="0"/>
    <w:rPr>
      <w:rFonts w:ascii="Tahoma" w:hAnsi="Tahoma" w:eastAsia="Helvetica"/>
      <w:sz w:val="21"/>
      <w:szCs w:val="21"/>
      <w:lang w:val="en-US" w:eastAsia="zh-CN" w:bidi="ar-SA"/>
    </w:rPr>
  </w:style>
  <w:style w:type="character" w:customStyle="1" w:styleId="222">
    <w:name w:val="Table Text Char Char"/>
    <w:qFormat/>
    <w:uiPriority w:val="0"/>
    <w:rPr>
      <w:rFonts w:eastAsia="仿宋_GB2312"/>
      <w:sz w:val="24"/>
      <w:lang w:bidi="ar-SA"/>
    </w:rPr>
  </w:style>
  <w:style w:type="character" w:customStyle="1" w:styleId="223">
    <w:name w:val="heading 4 Char1"/>
    <w:qFormat/>
    <w:uiPriority w:val="0"/>
    <w:rPr>
      <w:rFonts w:ascii="Verdana" w:hAnsi="Verdana" w:eastAsia="仿宋_GB2312"/>
      <w:b/>
      <w:bCs/>
      <w:kern w:val="2"/>
      <w:sz w:val="28"/>
      <w:szCs w:val="28"/>
      <w:lang w:val="en-US" w:eastAsia="zh-CN" w:bidi="ar-SA"/>
    </w:rPr>
  </w:style>
  <w:style w:type="character" w:customStyle="1" w:styleId="224">
    <w:name w:val="a61"/>
    <w:qFormat/>
    <w:uiPriority w:val="0"/>
    <w:rPr>
      <w:rFonts w:hint="eastAsia" w:ascii="宋体" w:hAnsi="宋体" w:eastAsia="宋体"/>
      <w:kern w:val="2"/>
      <w:sz w:val="23"/>
      <w:szCs w:val="23"/>
      <w:lang w:val="en-US" w:eastAsia="zh-CN" w:bidi="ar-SA"/>
    </w:rPr>
  </w:style>
  <w:style w:type="character" w:customStyle="1" w:styleId="225">
    <w:name w:val="kpk:4级 Char1"/>
    <w:link w:val="226"/>
    <w:qFormat/>
    <w:uiPriority w:val="0"/>
    <w:rPr>
      <w:rFonts w:ascii="Arial" w:hAnsi="Arial" w:eastAsia="黑体"/>
      <w:bCs/>
      <w:sz w:val="24"/>
      <w:szCs w:val="28"/>
    </w:rPr>
  </w:style>
  <w:style w:type="paragraph" w:customStyle="1" w:styleId="226">
    <w:name w:val="kpk:4级"/>
    <w:basedOn w:val="8"/>
    <w:link w:val="225"/>
    <w:qFormat/>
    <w:uiPriority w:val="0"/>
    <w:pPr>
      <w:tabs>
        <w:tab w:val="left" w:pos="-142"/>
        <w:tab w:val="left" w:pos="0"/>
        <w:tab w:val="left" w:pos="284"/>
        <w:tab w:val="left" w:pos="780"/>
      </w:tabs>
      <w:spacing w:before="0" w:after="0" w:line="360" w:lineRule="auto"/>
      <w:ind w:left="780" w:leftChars="200" w:hanging="360"/>
    </w:pPr>
    <w:rPr>
      <w:rFonts w:ascii="Arial" w:hAnsi="Arial" w:eastAsia="黑体"/>
      <w:b w:val="0"/>
      <w:kern w:val="0"/>
      <w:sz w:val="24"/>
    </w:rPr>
  </w:style>
  <w:style w:type="character" w:customStyle="1" w:styleId="227">
    <w:name w:val="heading 3 Char"/>
    <w:qFormat/>
    <w:uiPriority w:val="0"/>
    <w:rPr>
      <w:rFonts w:ascii="Tahoma" w:hAnsi="Tahoma" w:eastAsia="Helvetica"/>
      <w:sz w:val="28"/>
      <w:szCs w:val="24"/>
    </w:rPr>
  </w:style>
  <w:style w:type="character" w:customStyle="1" w:styleId="228">
    <w:name w:val="heading 4 Char2"/>
    <w:qFormat/>
    <w:uiPriority w:val="0"/>
    <w:rPr>
      <w:rFonts w:ascii="Verdana" w:hAnsi="Verdana"/>
      <w:b/>
      <w:bCs/>
      <w:kern w:val="2"/>
      <w:sz w:val="28"/>
      <w:szCs w:val="28"/>
    </w:rPr>
  </w:style>
  <w:style w:type="character" w:customStyle="1" w:styleId="229">
    <w:name w:val="样式 标题 3 + 黑体 小四 Char Char"/>
    <w:qFormat/>
    <w:uiPriority w:val="0"/>
    <w:rPr>
      <w:rFonts w:ascii="Helvetica" w:hAnsi="Tahoma" w:eastAsia="Helvetica"/>
      <w:bCs/>
      <w:sz w:val="24"/>
      <w:szCs w:val="24"/>
      <w:lang w:bidi="ar-SA"/>
    </w:rPr>
  </w:style>
  <w:style w:type="character" w:customStyle="1" w:styleId="230">
    <w:name w:val="四级标题 Char"/>
    <w:link w:val="231"/>
    <w:qFormat/>
    <w:uiPriority w:val="0"/>
    <w:rPr>
      <w:rFonts w:eastAsia="黑体"/>
      <w:b/>
      <w:kern w:val="2"/>
      <w:sz w:val="28"/>
      <w:szCs w:val="22"/>
    </w:rPr>
  </w:style>
  <w:style w:type="paragraph" w:customStyle="1" w:styleId="231">
    <w:name w:val="四级标题"/>
    <w:basedOn w:val="1"/>
    <w:link w:val="230"/>
    <w:qFormat/>
    <w:uiPriority w:val="0"/>
    <w:pPr>
      <w:tabs>
        <w:tab w:val="left" w:pos="420"/>
      </w:tabs>
      <w:spacing w:line="360" w:lineRule="auto"/>
      <w:ind w:left="420" w:firstLine="200" w:firstLineChars="200"/>
      <w:outlineLvl w:val="3"/>
    </w:pPr>
    <w:rPr>
      <w:rFonts w:eastAsia="黑体"/>
      <w:b/>
      <w:sz w:val="28"/>
      <w:szCs w:val="22"/>
    </w:rPr>
  </w:style>
  <w:style w:type="character" w:customStyle="1" w:styleId="232">
    <w:name w:val="标题 4 字符"/>
    <w:qFormat/>
    <w:uiPriority w:val="0"/>
    <w:rPr>
      <w:rFonts w:eastAsia="楷体_GB2312"/>
      <w:b/>
      <w:snapToGrid/>
      <w:sz w:val="28"/>
    </w:rPr>
  </w:style>
  <w:style w:type="character" w:customStyle="1" w:styleId="233">
    <w:name w:val="heading 5 Char2"/>
    <w:qFormat/>
    <w:uiPriority w:val="0"/>
    <w:rPr>
      <w:b/>
      <w:bCs/>
      <w:kern w:val="2"/>
      <w:sz w:val="28"/>
      <w:szCs w:val="28"/>
    </w:rPr>
  </w:style>
  <w:style w:type="character" w:customStyle="1" w:styleId="234">
    <w:name w:val="书籍标题1"/>
    <w:qFormat/>
    <w:uiPriority w:val="0"/>
    <w:rPr>
      <w:b/>
      <w:bCs/>
      <w:smallCaps/>
      <w:spacing w:val="5"/>
    </w:rPr>
  </w:style>
  <w:style w:type="character" w:customStyle="1" w:styleId="235">
    <w:name w:val="Ò³Ã¼ Char Char2"/>
    <w:qFormat/>
    <w:uiPriority w:val="0"/>
    <w:rPr>
      <w:kern w:val="2"/>
      <w:sz w:val="18"/>
      <w:szCs w:val="18"/>
    </w:rPr>
  </w:style>
  <w:style w:type="character" w:customStyle="1" w:styleId="236">
    <w:name w:val="不明显参考1"/>
    <w:qFormat/>
    <w:uiPriority w:val="0"/>
    <w:rPr>
      <w:smallCaps/>
      <w:color w:val="C0504D"/>
      <w:u w:val="single"/>
    </w:rPr>
  </w:style>
  <w:style w:type="character" w:customStyle="1" w:styleId="237">
    <w:name w:val="标题 6 字符"/>
    <w:qFormat/>
    <w:uiPriority w:val="0"/>
    <w:rPr>
      <w:rFonts w:ascii="Arial" w:hAnsi="Arial" w:eastAsia="黑体"/>
      <w:spacing w:val="20"/>
      <w:kern w:val="2"/>
      <w:sz w:val="28"/>
    </w:rPr>
  </w:style>
  <w:style w:type="character" w:customStyle="1" w:styleId="238">
    <w:name w:val="A3 Char Char"/>
    <w:qFormat/>
    <w:uiPriority w:val="0"/>
    <w:rPr>
      <w:rFonts w:eastAsia="宋体"/>
      <w:b/>
      <w:bCs/>
      <w:sz w:val="32"/>
      <w:szCs w:val="32"/>
      <w:lang w:bidi="ar-SA"/>
    </w:rPr>
  </w:style>
  <w:style w:type="character" w:customStyle="1" w:styleId="239">
    <w:name w:val="Footer-Even Char"/>
    <w:qFormat/>
    <w:uiPriority w:val="0"/>
    <w:rPr>
      <w:sz w:val="18"/>
      <w:szCs w:val="18"/>
    </w:rPr>
  </w:style>
  <w:style w:type="character" w:customStyle="1" w:styleId="240">
    <w:name w:val="标题 8 字符"/>
    <w:qFormat/>
    <w:uiPriority w:val="0"/>
    <w:rPr>
      <w:rFonts w:ascii="Arial" w:hAnsi="Arial" w:eastAsia="黑体"/>
      <w:kern w:val="2"/>
      <w:sz w:val="24"/>
      <w:vertAlign w:val="superscript"/>
    </w:rPr>
  </w:style>
  <w:style w:type="character" w:customStyle="1" w:styleId="241">
    <w:name w:val="标题 1 字符"/>
    <w:qFormat/>
    <w:uiPriority w:val="0"/>
    <w:rPr>
      <w:rFonts w:eastAsia="黑体"/>
      <w:snapToGrid/>
      <w:sz w:val="44"/>
    </w:rPr>
  </w:style>
  <w:style w:type="character" w:customStyle="1" w:styleId="242">
    <w:name w:val="content_title1"/>
    <w:qFormat/>
    <w:uiPriority w:val="0"/>
    <w:rPr>
      <w:rFonts w:eastAsia="宋体"/>
      <w:color w:val="9A1601"/>
      <w:kern w:val="2"/>
      <w:sz w:val="21"/>
      <w:szCs w:val="21"/>
      <w:lang w:val="en-US" w:eastAsia="zh-CN" w:bidi="ar-SA"/>
    </w:rPr>
  </w:style>
  <w:style w:type="character" w:customStyle="1" w:styleId="243">
    <w:name w:val="正文文本 2 Char"/>
    <w:qFormat/>
    <w:uiPriority w:val="0"/>
    <w:rPr>
      <w:rFonts w:ascii="等线" w:hAnsi="等线" w:eastAsia="等线" w:cs="等线"/>
    </w:rPr>
  </w:style>
  <w:style w:type="character" w:customStyle="1" w:styleId="244">
    <w:name w:val="标题 7 字符"/>
    <w:qFormat/>
    <w:uiPriority w:val="0"/>
    <w:rPr>
      <w:b/>
      <w:kern w:val="2"/>
      <w:sz w:val="24"/>
      <w:vertAlign w:val="superscript"/>
    </w:rPr>
  </w:style>
  <w:style w:type="character" w:customStyle="1" w:styleId="245">
    <w:name w:val="Char Char6"/>
    <w:qFormat/>
    <w:uiPriority w:val="0"/>
    <w:rPr>
      <w:rFonts w:ascii="新宋体" w:hAnsi="新宋体" w:eastAsia="仿宋_GB2312" w:cs="新宋体"/>
      <w:szCs w:val="24"/>
    </w:rPr>
  </w:style>
  <w:style w:type="character" w:customStyle="1" w:styleId="246">
    <w:name w:val="标题 5 字符"/>
    <w:qFormat/>
    <w:uiPriority w:val="0"/>
    <w:rPr>
      <w:kern w:val="2"/>
      <w:sz w:val="28"/>
    </w:rPr>
  </w:style>
  <w:style w:type="character" w:customStyle="1" w:styleId="247">
    <w:name w:val="smalltxt1"/>
    <w:qFormat/>
    <w:uiPriority w:val="0"/>
    <w:rPr>
      <w:rFonts w:hint="default" w:ascii="宋体,Verdana,Arial" w:hAnsi="宋体,Verdana,Arial"/>
      <w:sz w:val="24"/>
      <w:szCs w:val="24"/>
    </w:rPr>
  </w:style>
  <w:style w:type="character" w:customStyle="1" w:styleId="248">
    <w:name w:val="正文居中 Char Char"/>
    <w:link w:val="249"/>
    <w:qFormat/>
    <w:uiPriority w:val="0"/>
    <w:rPr>
      <w:kern w:val="2"/>
      <w:sz w:val="21"/>
      <w:szCs w:val="24"/>
    </w:rPr>
  </w:style>
  <w:style w:type="paragraph" w:customStyle="1" w:styleId="249">
    <w:name w:val="正文居中"/>
    <w:basedOn w:val="1"/>
    <w:link w:val="248"/>
    <w:qFormat/>
    <w:uiPriority w:val="0"/>
    <w:pPr>
      <w:jc w:val="center"/>
    </w:pPr>
  </w:style>
  <w:style w:type="character" w:customStyle="1" w:styleId="250">
    <w:name w:val="样式2 Char Char"/>
    <w:qFormat/>
    <w:uiPriority w:val="0"/>
    <w:rPr>
      <w:rFonts w:ascii="仿宋_GB2312" w:hAnsi="仿宋_GB2312" w:eastAsia="仿宋_GB2312"/>
      <w:bCs/>
      <w:kern w:val="2"/>
      <w:sz w:val="28"/>
      <w:szCs w:val="28"/>
      <w:lang w:val="en-US" w:eastAsia="zh-CN" w:bidi="ar-SA"/>
    </w:rPr>
  </w:style>
  <w:style w:type="character" w:customStyle="1" w:styleId="251">
    <w:name w:val="heading 6 Char1"/>
    <w:qFormat/>
    <w:uiPriority w:val="0"/>
    <w:rPr>
      <w:rFonts w:ascii="Tahoma" w:hAnsi="Tahoma" w:eastAsia="Helvetica"/>
      <w:kern w:val="2"/>
      <w:sz w:val="24"/>
      <w:szCs w:val="24"/>
      <w:lang w:val="en-US" w:eastAsia="zh-CN" w:bidi="ar-SA"/>
    </w:rPr>
  </w:style>
  <w:style w:type="character" w:customStyle="1" w:styleId="252">
    <w:name w:val="正文文本缩进 2 字符"/>
    <w:qFormat/>
    <w:uiPriority w:val="0"/>
    <w:rPr>
      <w:sz w:val="28"/>
    </w:rPr>
  </w:style>
  <w:style w:type="character" w:customStyle="1" w:styleId="253">
    <w:name w:val="正文文本缩进 字符"/>
    <w:qFormat/>
    <w:uiPriority w:val="0"/>
    <w:rPr>
      <w:sz w:val="28"/>
    </w:rPr>
  </w:style>
  <w:style w:type="character" w:customStyle="1" w:styleId="254">
    <w:name w:val="t11"/>
    <w:qFormat/>
    <w:uiPriority w:val="0"/>
    <w:rPr>
      <w:rFonts w:eastAsia="宋体"/>
      <w:color w:val="333333"/>
      <w:kern w:val="2"/>
      <w:sz w:val="18"/>
      <w:szCs w:val="18"/>
      <w:lang w:val="en-US" w:eastAsia="zh-CN" w:bidi="ar-SA"/>
    </w:rPr>
  </w:style>
  <w:style w:type="character" w:customStyle="1" w:styleId="255">
    <w:name w:val="正文文本 Char Char"/>
    <w:qFormat/>
    <w:uiPriority w:val="0"/>
    <w:rPr>
      <w:rFonts w:ascii="Times New Roman" w:hAnsi="Times New Roman"/>
      <w:kern w:val="2"/>
      <w:sz w:val="21"/>
      <w:szCs w:val="24"/>
    </w:rPr>
  </w:style>
  <w:style w:type="character" w:customStyle="1" w:styleId="256">
    <w:name w:val="引用 Char"/>
    <w:qFormat/>
    <w:uiPriority w:val="0"/>
    <w:rPr>
      <w:rFonts w:ascii="Century Gothic" w:hAnsi="Century Gothic" w:eastAsia="仿宋_GB2312"/>
      <w:i/>
      <w:iCs/>
      <w:color w:val="000000"/>
    </w:rPr>
  </w:style>
  <w:style w:type="paragraph" w:styleId="257">
    <w:name w:val="Quote"/>
    <w:basedOn w:val="1"/>
    <w:next w:val="1"/>
    <w:link w:val="458"/>
    <w:qFormat/>
    <w:uiPriority w:val="0"/>
    <w:rPr>
      <w:rFonts w:ascii="Century Gothic" w:hAnsi="Century Gothic" w:eastAsia="仿宋_GB2312"/>
      <w:i/>
      <w:iCs/>
      <w:color w:val="000000"/>
      <w:kern w:val="0"/>
      <w:sz w:val="20"/>
      <w:szCs w:val="20"/>
    </w:rPr>
  </w:style>
  <w:style w:type="character" w:customStyle="1" w:styleId="258">
    <w:name w:val="Plain Text Char"/>
    <w:qFormat/>
    <w:uiPriority w:val="0"/>
    <w:rPr>
      <w:rFonts w:ascii="仿宋_GB2312" w:hAnsi="Wingdings" w:eastAsia="仿宋_GB2312" w:cs="新宋体"/>
      <w:sz w:val="21"/>
      <w:szCs w:val="21"/>
    </w:rPr>
  </w:style>
  <w:style w:type="character" w:customStyle="1" w:styleId="259">
    <w:name w:val="A4 Char Char"/>
    <w:qFormat/>
    <w:uiPriority w:val="0"/>
    <w:rPr>
      <w:rFonts w:ascii="Cambria" w:hAnsi="Cambria" w:eastAsia="宋体"/>
      <w:b/>
      <w:bCs/>
      <w:sz w:val="28"/>
      <w:szCs w:val="28"/>
    </w:rPr>
  </w:style>
  <w:style w:type="character" w:customStyle="1" w:styleId="260">
    <w:name w:val="正文4 Char"/>
    <w:qFormat/>
    <w:uiPriority w:val="0"/>
    <w:rPr>
      <w:rFonts w:ascii="新宋体" w:hAnsi="新宋体" w:eastAsia="宋体" w:cs="新宋体"/>
      <w:kern w:val="2"/>
      <w:sz w:val="24"/>
      <w:szCs w:val="24"/>
      <w:lang w:val="en-US" w:eastAsia="zh-CN" w:bidi="ar-SA"/>
    </w:rPr>
  </w:style>
  <w:style w:type="character" w:customStyle="1" w:styleId="261">
    <w:name w:val="heading 5 Char1"/>
    <w:qFormat/>
    <w:uiPriority w:val="0"/>
    <w:rPr>
      <w:rFonts w:eastAsia="仿宋_GB2312"/>
      <w:b/>
      <w:bCs/>
      <w:kern w:val="2"/>
      <w:sz w:val="28"/>
      <w:szCs w:val="28"/>
      <w:lang w:val="en-US" w:eastAsia="zh-CN" w:bidi="ar-SA"/>
    </w:rPr>
  </w:style>
  <w:style w:type="character" w:customStyle="1" w:styleId="262">
    <w:name w:val="Char Char22"/>
    <w:qFormat/>
    <w:uiPriority w:val="0"/>
    <w:rPr>
      <w:rFonts w:ascii="Tahoma" w:hAnsi="Tahoma" w:eastAsia="Helvetica"/>
      <w:b/>
      <w:bCs/>
      <w:kern w:val="44"/>
      <w:sz w:val="30"/>
      <w:szCs w:val="44"/>
      <w:lang w:val="en-US" w:eastAsia="zh-CN" w:bidi="ar-SA"/>
    </w:rPr>
  </w:style>
  <w:style w:type="character" w:customStyle="1" w:styleId="263">
    <w:name w:val="表格 Char Char"/>
    <w:link w:val="264"/>
    <w:qFormat/>
    <w:uiPriority w:val="0"/>
    <w:rPr>
      <w:rFonts w:ascii="仿宋_GB2312" w:hAnsi="仿宋_GB2312" w:eastAsia="仿宋_GB2312"/>
    </w:rPr>
  </w:style>
  <w:style w:type="paragraph" w:customStyle="1" w:styleId="264">
    <w:name w:val="表格"/>
    <w:basedOn w:val="1"/>
    <w:link w:val="263"/>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character" w:customStyle="1" w:styleId="265">
    <w:name w:val="一级标题 Char"/>
    <w:link w:val="266"/>
    <w:qFormat/>
    <w:uiPriority w:val="0"/>
    <w:rPr>
      <w:rFonts w:ascii="黑体" w:eastAsia="华文中宋"/>
      <w:b/>
      <w:kern w:val="44"/>
      <w:sz w:val="36"/>
      <w:szCs w:val="44"/>
    </w:rPr>
  </w:style>
  <w:style w:type="paragraph" w:customStyle="1" w:styleId="266">
    <w:name w:val="一级标题"/>
    <w:basedOn w:val="5"/>
    <w:link w:val="265"/>
    <w:qFormat/>
    <w:uiPriority w:val="0"/>
    <w:pPr>
      <w:keepLines/>
      <w:pageBreakBefore/>
      <w:spacing w:line="578" w:lineRule="auto"/>
      <w:ind w:left="432" w:hanging="432"/>
    </w:pPr>
    <w:rPr>
      <w:rFonts w:ascii="黑体" w:eastAsia="华文中宋"/>
      <w:bCs w:val="0"/>
      <w:kern w:val="44"/>
      <w:sz w:val="36"/>
      <w:szCs w:val="44"/>
    </w:rPr>
  </w:style>
  <w:style w:type="character" w:customStyle="1" w:styleId="267">
    <w:name w:val="批注框文本 字符1"/>
    <w:link w:val="41"/>
    <w:qFormat/>
    <w:uiPriority w:val="0"/>
    <w:rPr>
      <w:kern w:val="2"/>
      <w:sz w:val="18"/>
      <w:szCs w:val="18"/>
    </w:rPr>
  </w:style>
  <w:style w:type="character" w:customStyle="1" w:styleId="268">
    <w:name w:val="正文（小四+1.25倍行距） Char"/>
    <w:link w:val="269"/>
    <w:qFormat/>
    <w:uiPriority w:val="0"/>
    <w:rPr>
      <w:sz w:val="24"/>
      <w:szCs w:val="24"/>
    </w:rPr>
  </w:style>
  <w:style w:type="paragraph" w:customStyle="1" w:styleId="269">
    <w:name w:val="正文（小四+1.25倍行距）"/>
    <w:basedOn w:val="1"/>
    <w:link w:val="268"/>
    <w:qFormat/>
    <w:uiPriority w:val="0"/>
    <w:pPr>
      <w:spacing w:afterLines="50" w:line="300" w:lineRule="auto"/>
      <w:ind w:firstLine="420"/>
    </w:pPr>
    <w:rPr>
      <w:kern w:val="0"/>
      <w:sz w:val="24"/>
    </w:rPr>
  </w:style>
  <w:style w:type="character" w:customStyle="1" w:styleId="270">
    <w:name w:val="Ò³Ã¼ Char Char1"/>
    <w:qFormat/>
    <w:uiPriority w:val="0"/>
    <w:rPr>
      <w:rFonts w:eastAsia="仿宋_GB2312"/>
      <w:kern w:val="2"/>
      <w:sz w:val="18"/>
      <w:szCs w:val="18"/>
      <w:lang w:val="en-US" w:eastAsia="zh-CN" w:bidi="ar-SA"/>
    </w:rPr>
  </w:style>
  <w:style w:type="character" w:customStyle="1" w:styleId="271">
    <w:name w:val="正文首行缩进 字符"/>
    <w:basedOn w:val="272"/>
    <w:qFormat/>
    <w:uiPriority w:val="0"/>
    <w:rPr>
      <w:rFonts w:ascii="宋体"/>
      <w:sz w:val="21"/>
    </w:rPr>
  </w:style>
  <w:style w:type="character" w:customStyle="1" w:styleId="272">
    <w:name w:val="正文文本 字符"/>
    <w:qFormat/>
    <w:uiPriority w:val="0"/>
    <w:rPr>
      <w:rFonts w:ascii="宋体"/>
      <w:sz w:val="21"/>
    </w:rPr>
  </w:style>
  <w:style w:type="character" w:customStyle="1" w:styleId="273">
    <w:name w:val="信息标题 Char"/>
    <w:qFormat/>
    <w:uiPriority w:val="0"/>
    <w:rPr>
      <w:rFonts w:eastAsia="仿宋_GB2312"/>
      <w:kern w:val="2"/>
      <w:sz w:val="21"/>
      <w:szCs w:val="24"/>
      <w:shd w:val="pct20" w:color="auto" w:fill="auto"/>
    </w:rPr>
  </w:style>
  <w:style w:type="character" w:customStyle="1" w:styleId="274">
    <w:name w:val="A4 Char"/>
    <w:link w:val="275"/>
    <w:qFormat/>
    <w:uiPriority w:val="0"/>
    <w:rPr>
      <w:rFonts w:ascii="Cambria" w:hAnsi="Cambria" w:cs="新宋体"/>
      <w:b/>
      <w:bCs/>
      <w:sz w:val="28"/>
      <w:szCs w:val="28"/>
    </w:rPr>
  </w:style>
  <w:style w:type="paragraph" w:customStyle="1" w:styleId="275">
    <w:name w:val="A4"/>
    <w:basedOn w:val="8"/>
    <w:link w:val="274"/>
    <w:qFormat/>
    <w:uiPriority w:val="0"/>
    <w:pPr>
      <w:spacing w:line="377" w:lineRule="auto"/>
      <w:jc w:val="left"/>
    </w:pPr>
    <w:rPr>
      <w:rFonts w:cs="新宋体"/>
      <w:kern w:val="0"/>
    </w:rPr>
  </w:style>
  <w:style w:type="character" w:customStyle="1" w:styleId="276">
    <w:name w:val="Char Char61"/>
    <w:qFormat/>
    <w:uiPriority w:val="0"/>
    <w:rPr>
      <w:rFonts w:ascii="新宋体" w:hAnsi="新宋体" w:eastAsia="仿宋_GB2312" w:cs="新宋体"/>
      <w:szCs w:val="24"/>
    </w:rPr>
  </w:style>
  <w:style w:type="character" w:customStyle="1" w:styleId="277">
    <w:name w:val="符号正文缩进 Char Char"/>
    <w:link w:val="278"/>
    <w:qFormat/>
    <w:uiPriority w:val="0"/>
    <w:rPr>
      <w:kern w:val="2"/>
      <w:sz w:val="24"/>
      <w:szCs w:val="24"/>
    </w:rPr>
  </w:style>
  <w:style w:type="paragraph" w:customStyle="1" w:styleId="278">
    <w:name w:val="符号正文缩进"/>
    <w:basedOn w:val="18"/>
    <w:link w:val="277"/>
    <w:qFormat/>
    <w:uiPriority w:val="0"/>
    <w:pPr>
      <w:tabs>
        <w:tab w:val="left" w:pos="1497"/>
      </w:tabs>
      <w:spacing w:line="400" w:lineRule="atLeast"/>
      <w:ind w:left="567" w:firstLine="510"/>
    </w:pPr>
    <w:rPr>
      <w:kern w:val="2"/>
      <w:sz w:val="24"/>
      <w:szCs w:val="24"/>
    </w:rPr>
  </w:style>
  <w:style w:type="character" w:customStyle="1" w:styleId="279">
    <w:name w:val="Char Char11"/>
    <w:qFormat/>
    <w:uiPriority w:val="0"/>
    <w:rPr>
      <w:rFonts w:ascii="新宋体" w:hAnsi="新宋体" w:eastAsia="仿宋_GB2312" w:cs="新宋体"/>
      <w:sz w:val="18"/>
      <w:szCs w:val="18"/>
    </w:rPr>
  </w:style>
  <w:style w:type="character" w:customStyle="1" w:styleId="280">
    <w:name w:val="heading 1 Char2"/>
    <w:qFormat/>
    <w:uiPriority w:val="0"/>
    <w:rPr>
      <w:b/>
      <w:bCs/>
      <w:kern w:val="44"/>
      <w:sz w:val="44"/>
      <w:szCs w:val="44"/>
    </w:rPr>
  </w:style>
  <w:style w:type="character" w:customStyle="1" w:styleId="281">
    <w:name w:val="Char Char13"/>
    <w:basedOn w:val="66"/>
    <w:qFormat/>
    <w:uiPriority w:val="0"/>
    <w:rPr>
      <w:rFonts w:ascii="Times New Roman" w:hAnsi="Times New Roman" w:eastAsia="宋体" w:cs="Times New Roman"/>
      <w:b/>
      <w:bCs/>
      <w:color w:val="auto"/>
      <w:kern w:val="2"/>
      <w:szCs w:val="20"/>
    </w:rPr>
  </w:style>
  <w:style w:type="character" w:customStyle="1" w:styleId="282">
    <w:name w:val="heading 7 Char1"/>
    <w:qFormat/>
    <w:uiPriority w:val="0"/>
    <w:rPr>
      <w:rFonts w:ascii="Tahoma" w:hAnsi="Tahoma" w:eastAsia="Helvetica"/>
      <w:sz w:val="21"/>
      <w:szCs w:val="21"/>
      <w:lang w:val="en-US" w:eastAsia="zh-CN" w:bidi="ar-SA"/>
    </w:rPr>
  </w:style>
  <w:style w:type="character" w:customStyle="1" w:styleId="283">
    <w:name w:val="Style2"/>
    <w:qFormat/>
    <w:uiPriority w:val="0"/>
    <w:rPr>
      <w:rFonts w:ascii="Century Gothic" w:hAnsi="仿宋_GB2312" w:eastAsia="仿宋_GB2312" w:cs="新宋体"/>
      <w:sz w:val="22"/>
      <w:szCs w:val="22"/>
      <w:lang w:eastAsia="zh-CN"/>
    </w:rPr>
  </w:style>
  <w:style w:type="character" w:customStyle="1" w:styleId="284">
    <w:name w:val="blue1"/>
    <w:basedOn w:val="66"/>
    <w:qFormat/>
    <w:uiPriority w:val="0"/>
  </w:style>
  <w:style w:type="character" w:customStyle="1" w:styleId="285">
    <w:name w:val="style111"/>
    <w:qFormat/>
    <w:uiPriority w:val="0"/>
    <w:rPr>
      <w:sz w:val="27"/>
      <w:szCs w:val="27"/>
    </w:rPr>
  </w:style>
  <w:style w:type="character" w:customStyle="1" w:styleId="286">
    <w:name w:val="emailstyle15"/>
    <w:qFormat/>
    <w:uiPriority w:val="0"/>
    <w:rPr>
      <w:rFonts w:ascii="Arial" w:hAnsi="Arial" w:eastAsia="宋体" w:cs="Arial"/>
      <w:color w:val="auto"/>
      <w:kern w:val="2"/>
      <w:sz w:val="20"/>
      <w:szCs w:val="24"/>
      <w:lang w:val="en-US" w:eastAsia="zh-CN" w:bidi="ar-SA"/>
    </w:rPr>
  </w:style>
  <w:style w:type="character" w:customStyle="1" w:styleId="287">
    <w:name w:val="个人撰写风格"/>
    <w:qFormat/>
    <w:uiPriority w:val="0"/>
    <w:rPr>
      <w:rFonts w:ascii="Arial" w:hAnsi="Arial" w:eastAsia="宋体" w:cs="Arial"/>
      <w:color w:val="auto"/>
      <w:kern w:val="2"/>
      <w:sz w:val="20"/>
      <w:szCs w:val="24"/>
      <w:lang w:val="en-US" w:eastAsia="zh-CN" w:bidi="ar-SA"/>
    </w:rPr>
  </w:style>
  <w:style w:type="character" w:customStyle="1" w:styleId="288">
    <w:name w:val="font01"/>
    <w:qFormat/>
    <w:uiPriority w:val="0"/>
    <w:rPr>
      <w:rFonts w:hint="eastAsia" w:ascii="宋体" w:hAnsi="宋体" w:eastAsia="宋体" w:cs="宋体"/>
      <w:color w:val="000000"/>
      <w:sz w:val="18"/>
      <w:szCs w:val="18"/>
      <w:u w:val="none"/>
      <w:vertAlign w:val="superscript"/>
    </w:rPr>
  </w:style>
  <w:style w:type="character" w:customStyle="1" w:styleId="289">
    <w:name w:val="Char Char21"/>
    <w:qFormat/>
    <w:uiPriority w:val="0"/>
    <w:rPr>
      <w:rFonts w:ascii="新宋体" w:hAnsi="新宋体" w:eastAsia="仿宋_GB2312" w:cs="新宋体"/>
      <w:b/>
      <w:bCs/>
      <w:kern w:val="44"/>
      <w:sz w:val="44"/>
      <w:szCs w:val="44"/>
    </w:rPr>
  </w:style>
  <w:style w:type="character" w:customStyle="1" w:styleId="290">
    <w:name w:val="Char Char24"/>
    <w:qFormat/>
    <w:uiPriority w:val="0"/>
    <w:rPr>
      <w:rFonts w:ascii="Verdana" w:hAnsi="Verdana" w:eastAsia="仿宋_GB2312"/>
      <w:b/>
      <w:bCs/>
      <w:kern w:val="2"/>
      <w:sz w:val="32"/>
      <w:szCs w:val="32"/>
      <w:lang w:val="en-US" w:eastAsia="zh-CN" w:bidi="ar-SA"/>
    </w:rPr>
  </w:style>
  <w:style w:type="character" w:customStyle="1" w:styleId="291">
    <w:name w:val="Char Char181"/>
    <w:qFormat/>
    <w:uiPriority w:val="0"/>
    <w:rPr>
      <w:rFonts w:ascii="Tahoma" w:hAnsi="Tahoma" w:eastAsia="Helvetica"/>
      <w:sz w:val="24"/>
      <w:lang w:val="en-US" w:eastAsia="zh-CN" w:bidi="ar-SA"/>
    </w:rPr>
  </w:style>
  <w:style w:type="character" w:customStyle="1" w:styleId="292">
    <w:name w:val="heading 5 Char"/>
    <w:qFormat/>
    <w:uiPriority w:val="0"/>
    <w:rPr>
      <w:rFonts w:ascii="Tahoma" w:hAnsi="Tahoma" w:eastAsia="Helvetica"/>
      <w:sz w:val="21"/>
      <w:szCs w:val="21"/>
    </w:rPr>
  </w:style>
  <w:style w:type="character" w:customStyle="1" w:styleId="293">
    <w:name w:val="heading 3 Char2"/>
    <w:qFormat/>
    <w:uiPriority w:val="0"/>
    <w:rPr>
      <w:b/>
      <w:bCs/>
      <w:kern w:val="2"/>
      <w:sz w:val="32"/>
      <w:szCs w:val="32"/>
    </w:rPr>
  </w:style>
  <w:style w:type="character" w:customStyle="1" w:styleId="294">
    <w:name w:val="列出段落 Char1"/>
    <w:qFormat/>
    <w:uiPriority w:val="0"/>
    <w:rPr>
      <w:kern w:val="2"/>
      <w:sz w:val="21"/>
      <w:szCs w:val="24"/>
    </w:rPr>
  </w:style>
  <w:style w:type="character" w:customStyle="1" w:styleId="295">
    <w:name w:val="Footer-Even Char2"/>
    <w:qFormat/>
    <w:uiPriority w:val="0"/>
    <w:rPr>
      <w:kern w:val="2"/>
      <w:sz w:val="18"/>
      <w:szCs w:val="18"/>
    </w:rPr>
  </w:style>
  <w:style w:type="character" w:customStyle="1" w:styleId="296">
    <w:name w:val="heading 1 Char1"/>
    <w:qFormat/>
    <w:uiPriority w:val="0"/>
    <w:rPr>
      <w:rFonts w:eastAsia="仿宋_GB2312"/>
      <w:b/>
      <w:bCs/>
      <w:kern w:val="44"/>
      <w:sz w:val="44"/>
      <w:szCs w:val="44"/>
      <w:lang w:val="en-US" w:eastAsia="zh-CN" w:bidi="ar-SA"/>
    </w:rPr>
  </w:style>
  <w:style w:type="character" w:customStyle="1" w:styleId="297">
    <w:name w:val="kpk:正文 Char"/>
    <w:link w:val="298"/>
    <w:qFormat/>
    <w:uiPriority w:val="0"/>
    <w:rPr>
      <w:rFonts w:ascii="宋体" w:hAnsi="宋体"/>
      <w:kern w:val="2"/>
      <w:sz w:val="24"/>
      <w:szCs w:val="24"/>
      <w:lang w:val="en-GB"/>
    </w:rPr>
  </w:style>
  <w:style w:type="paragraph" w:customStyle="1" w:styleId="298">
    <w:name w:val="kpk:正文"/>
    <w:basedOn w:val="1"/>
    <w:link w:val="297"/>
    <w:qFormat/>
    <w:uiPriority w:val="0"/>
    <w:pPr>
      <w:wordWrap w:val="0"/>
      <w:spacing w:beforeLines="50" w:after="312" w:line="360" w:lineRule="auto"/>
      <w:ind w:firstLine="480" w:firstLineChars="200"/>
      <w:jc w:val="left"/>
    </w:pPr>
    <w:rPr>
      <w:rFonts w:ascii="宋体" w:hAnsi="宋体"/>
      <w:sz w:val="24"/>
      <w:lang w:val="en-GB"/>
    </w:rPr>
  </w:style>
  <w:style w:type="character" w:customStyle="1" w:styleId="299">
    <w:name w:val="彩色列表 - 强调文字颜色 1 Char"/>
    <w:link w:val="300"/>
    <w:qFormat/>
    <w:uiPriority w:val="0"/>
    <w:rPr>
      <w:kern w:val="2"/>
      <w:sz w:val="21"/>
      <w:szCs w:val="22"/>
    </w:rPr>
  </w:style>
  <w:style w:type="paragraph" w:customStyle="1" w:styleId="300">
    <w:name w:val="彩色列表 - 强调文字颜色 11"/>
    <w:basedOn w:val="1"/>
    <w:link w:val="299"/>
    <w:qFormat/>
    <w:uiPriority w:val="0"/>
    <w:pPr>
      <w:ind w:firstLine="420" w:firstLineChars="200"/>
    </w:pPr>
    <w:rPr>
      <w:szCs w:val="22"/>
    </w:rPr>
  </w:style>
  <w:style w:type="character" w:customStyle="1" w:styleId="301">
    <w:name w:val="A3 Char"/>
    <w:link w:val="302"/>
    <w:qFormat/>
    <w:uiPriority w:val="0"/>
    <w:rPr>
      <w:b/>
      <w:bCs/>
      <w:sz w:val="32"/>
      <w:szCs w:val="32"/>
    </w:rPr>
  </w:style>
  <w:style w:type="paragraph" w:customStyle="1" w:styleId="302">
    <w:name w:val="A3"/>
    <w:basedOn w:val="7"/>
    <w:link w:val="301"/>
    <w:qFormat/>
    <w:uiPriority w:val="0"/>
    <w:pPr>
      <w:spacing w:before="0" w:after="0" w:line="415" w:lineRule="auto"/>
      <w:ind w:left="720" w:hanging="720"/>
      <w:jc w:val="left"/>
    </w:pPr>
    <w:rPr>
      <w:kern w:val="0"/>
    </w:rPr>
  </w:style>
  <w:style w:type="character" w:customStyle="1" w:styleId="303">
    <w:name w:val="批注框文本 字符"/>
    <w:semiHidden/>
    <w:qFormat/>
    <w:uiPriority w:val="0"/>
    <w:rPr>
      <w:sz w:val="18"/>
      <w:szCs w:val="18"/>
    </w:rPr>
  </w:style>
  <w:style w:type="character" w:customStyle="1" w:styleId="304">
    <w:name w:val="正文文本缩进 2 字符1"/>
    <w:link w:val="39"/>
    <w:qFormat/>
    <w:uiPriority w:val="0"/>
    <w:rPr>
      <w:kern w:val="2"/>
      <w:sz w:val="24"/>
      <w:szCs w:val="24"/>
    </w:rPr>
  </w:style>
  <w:style w:type="character" w:customStyle="1" w:styleId="305">
    <w:name w:val="Table Text Char"/>
    <w:link w:val="306"/>
    <w:qFormat/>
    <w:uiPriority w:val="0"/>
    <w:rPr>
      <w:rFonts w:eastAsia="仿宋_GB2312"/>
      <w:sz w:val="24"/>
    </w:rPr>
  </w:style>
  <w:style w:type="paragraph" w:customStyle="1" w:styleId="306">
    <w:name w:val="Table Text"/>
    <w:basedOn w:val="1"/>
    <w:link w:val="305"/>
    <w:qFormat/>
    <w:uiPriority w:val="0"/>
    <w:pPr>
      <w:widowControl/>
      <w:autoSpaceDE w:val="0"/>
      <w:autoSpaceDN w:val="0"/>
      <w:adjustRightInd w:val="0"/>
      <w:spacing w:before="60" w:after="60"/>
      <w:jc w:val="left"/>
    </w:pPr>
    <w:rPr>
      <w:rFonts w:eastAsia="仿宋_GB2312"/>
      <w:kern w:val="0"/>
      <w:sz w:val="24"/>
      <w:szCs w:val="20"/>
    </w:rPr>
  </w:style>
  <w:style w:type="character" w:customStyle="1" w:styleId="307">
    <w:name w:val="!我的正文 Ctr+Q Char Char"/>
    <w:qFormat/>
    <w:uiPriority w:val="0"/>
    <w:rPr>
      <w:rFonts w:ascii="Arial" w:hAnsi="Arial"/>
      <w:kern w:val="2"/>
      <w:sz w:val="24"/>
      <w:szCs w:val="21"/>
      <w:lang w:bidi="ar-SA"/>
    </w:rPr>
  </w:style>
  <w:style w:type="character" w:customStyle="1" w:styleId="308">
    <w:name w:val="BZ_四级标题 Char"/>
    <w:link w:val="160"/>
    <w:qFormat/>
    <w:uiPriority w:val="0"/>
    <w:rPr>
      <w:rFonts w:eastAsia="黑体"/>
      <w:bCs/>
      <w:kern w:val="2"/>
      <w:sz w:val="24"/>
      <w:szCs w:val="28"/>
    </w:rPr>
  </w:style>
  <w:style w:type="character" w:customStyle="1" w:styleId="309">
    <w:name w:val="Char Char17"/>
    <w:qFormat/>
    <w:uiPriority w:val="0"/>
    <w:rPr>
      <w:rFonts w:ascii="Tahoma" w:hAnsi="Tahoma" w:eastAsia="Helvetica"/>
      <w:sz w:val="21"/>
      <w:lang w:val="en-US" w:eastAsia="zh-CN" w:bidi="ar-SA"/>
    </w:rPr>
  </w:style>
  <w:style w:type="character" w:customStyle="1" w:styleId="310">
    <w:name w:val="heading 2 Char2"/>
    <w:qFormat/>
    <w:uiPriority w:val="0"/>
    <w:rPr>
      <w:rFonts w:ascii="Verdana" w:hAnsi="Verdana"/>
      <w:b/>
      <w:bCs/>
      <w:kern w:val="2"/>
      <w:sz w:val="32"/>
      <w:szCs w:val="32"/>
    </w:rPr>
  </w:style>
  <w:style w:type="character" w:customStyle="1" w:styleId="311">
    <w:name w:val="正文缩进字符"/>
    <w:link w:val="312"/>
    <w:qFormat/>
    <w:uiPriority w:val="0"/>
    <w:rPr>
      <w:rFonts w:ascii="宋体"/>
      <w:sz w:val="24"/>
    </w:rPr>
  </w:style>
  <w:style w:type="paragraph" w:customStyle="1" w:styleId="312">
    <w:name w:val="正文缩进2"/>
    <w:basedOn w:val="1"/>
    <w:link w:val="311"/>
    <w:qFormat/>
    <w:uiPriority w:val="0"/>
    <w:pPr>
      <w:autoSpaceDE w:val="0"/>
      <w:autoSpaceDN w:val="0"/>
      <w:adjustRightInd w:val="0"/>
      <w:spacing w:line="360" w:lineRule="auto"/>
      <w:ind w:firstLine="420" w:firstLineChars="200"/>
      <w:jc w:val="left"/>
    </w:pPr>
    <w:rPr>
      <w:rFonts w:ascii="宋体"/>
      <w:kern w:val="0"/>
      <w:sz w:val="24"/>
      <w:szCs w:val="20"/>
    </w:rPr>
  </w:style>
  <w:style w:type="character" w:customStyle="1" w:styleId="313">
    <w:name w:val="1Text Char"/>
    <w:link w:val="314"/>
    <w:qFormat/>
    <w:uiPriority w:val="0"/>
    <w:rPr>
      <w:rFonts w:ascii="Calibri" w:hAnsi="Calibri"/>
      <w:sz w:val="24"/>
      <w:szCs w:val="24"/>
    </w:rPr>
  </w:style>
  <w:style w:type="paragraph" w:customStyle="1" w:styleId="314">
    <w:name w:val="1Text"/>
    <w:basedOn w:val="1"/>
    <w:link w:val="313"/>
    <w:qFormat/>
    <w:uiPriority w:val="0"/>
    <w:pPr>
      <w:spacing w:beforeLines="50" w:afterLines="50" w:line="360" w:lineRule="auto"/>
      <w:ind w:firstLine="480" w:firstLineChars="200"/>
      <w:jc w:val="left"/>
    </w:pPr>
    <w:rPr>
      <w:rFonts w:ascii="Calibri" w:hAnsi="Calibri"/>
      <w:kern w:val="0"/>
      <w:sz w:val="24"/>
    </w:rPr>
  </w:style>
  <w:style w:type="character" w:customStyle="1" w:styleId="315">
    <w:name w:val="文档结构图 字符"/>
    <w:semiHidden/>
    <w:qFormat/>
    <w:uiPriority w:val="99"/>
    <w:rPr>
      <w:rFonts w:ascii="宋体"/>
      <w:sz w:val="18"/>
      <w:szCs w:val="18"/>
    </w:rPr>
  </w:style>
  <w:style w:type="character" w:customStyle="1" w:styleId="316">
    <w:name w:val="heading 8 Char1"/>
    <w:qFormat/>
    <w:uiPriority w:val="0"/>
    <w:rPr>
      <w:rFonts w:ascii="Tahoma" w:hAnsi="Tahoma" w:eastAsia="Helvetica"/>
      <w:sz w:val="24"/>
      <w:lang w:val="en-US" w:eastAsia="zh-CN" w:bidi="ar-SA"/>
    </w:rPr>
  </w:style>
  <w:style w:type="character" w:customStyle="1" w:styleId="317">
    <w:name w:val="Char Char171"/>
    <w:qFormat/>
    <w:uiPriority w:val="0"/>
    <w:rPr>
      <w:rFonts w:ascii="Verdana" w:hAnsi="Verdana"/>
      <w:b/>
      <w:bCs/>
      <w:kern w:val="2"/>
      <w:sz w:val="28"/>
      <w:szCs w:val="28"/>
    </w:rPr>
  </w:style>
  <w:style w:type="character" w:customStyle="1" w:styleId="318">
    <w:name w:val="副标题 Char"/>
    <w:qFormat/>
    <w:uiPriority w:val="0"/>
    <w:rPr>
      <w:rFonts w:ascii="Verdana" w:hAnsi="Verdana" w:eastAsia="仿宋_GB2312"/>
      <w:b/>
      <w:bCs/>
      <w:kern w:val="28"/>
      <w:sz w:val="32"/>
      <w:szCs w:val="32"/>
    </w:rPr>
  </w:style>
  <w:style w:type="character" w:customStyle="1" w:styleId="319">
    <w:name w:val="内容文本 Char"/>
    <w:link w:val="320"/>
    <w:qFormat/>
    <w:uiPriority w:val="0"/>
    <w:rPr>
      <w:rFonts w:ascii="宋体" w:hAnsi="宋体"/>
      <w:sz w:val="24"/>
      <w:szCs w:val="24"/>
      <w:lang w:eastAsia="en-US" w:bidi="en-US"/>
    </w:rPr>
  </w:style>
  <w:style w:type="paragraph" w:customStyle="1" w:styleId="320">
    <w:name w:val="内容文本"/>
    <w:basedOn w:val="300"/>
    <w:link w:val="319"/>
    <w:qFormat/>
    <w:uiPriority w:val="0"/>
    <w:pPr>
      <w:spacing w:line="360" w:lineRule="auto"/>
      <w:ind w:firstLine="200"/>
      <w:contextualSpacing/>
      <w:jc w:val="left"/>
    </w:pPr>
    <w:rPr>
      <w:rFonts w:ascii="宋体" w:hAnsi="宋体"/>
      <w:kern w:val="0"/>
      <w:sz w:val="24"/>
      <w:szCs w:val="24"/>
      <w:lang w:eastAsia="en-US" w:bidi="en-US"/>
    </w:rPr>
  </w:style>
  <w:style w:type="character" w:customStyle="1" w:styleId="321">
    <w:name w:val="明显引用 Char"/>
    <w:qFormat/>
    <w:uiPriority w:val="0"/>
    <w:rPr>
      <w:rFonts w:ascii="Century Gothic" w:hAnsi="Century Gothic" w:eastAsia="仿宋_GB2312"/>
      <w:b/>
      <w:bCs/>
      <w:i/>
      <w:iCs/>
      <w:color w:val="4F81BD"/>
    </w:rPr>
  </w:style>
  <w:style w:type="paragraph" w:styleId="322">
    <w:name w:val="Intense Quote"/>
    <w:basedOn w:val="1"/>
    <w:next w:val="1"/>
    <w:link w:val="593"/>
    <w:qFormat/>
    <w:uiPriority w:val="0"/>
    <w:pPr>
      <w:pBdr>
        <w:bottom w:val="single" w:color="4F81BD" w:sz="4" w:space="4"/>
      </w:pBdr>
      <w:spacing w:before="200" w:after="280"/>
      <w:ind w:left="936" w:right="936"/>
    </w:pPr>
    <w:rPr>
      <w:rFonts w:ascii="Century Gothic" w:hAnsi="Century Gothic" w:eastAsia="仿宋_GB2312"/>
      <w:b/>
      <w:bCs/>
      <w:i/>
      <w:iCs/>
      <w:color w:val="4F81BD"/>
      <w:kern w:val="0"/>
      <w:sz w:val="20"/>
      <w:szCs w:val="20"/>
    </w:rPr>
  </w:style>
  <w:style w:type="character" w:customStyle="1" w:styleId="323">
    <w:name w:val="Style5"/>
    <w:qFormat/>
    <w:uiPriority w:val="0"/>
    <w:rPr>
      <w:rFonts w:ascii="Century Gothic" w:hAnsi="仿宋_GB2312" w:eastAsia="仿宋_GB2312" w:cs="新宋体"/>
      <w:sz w:val="22"/>
      <w:szCs w:val="22"/>
      <w:lang w:eastAsia="zh-CN"/>
    </w:rPr>
  </w:style>
  <w:style w:type="character" w:customStyle="1" w:styleId="324">
    <w:name w:val="HTML 预设格式 Char"/>
    <w:qFormat/>
    <w:uiPriority w:val="0"/>
    <w:rPr>
      <w:rFonts w:ascii="黑体" w:hAnsi="Courier New" w:eastAsia="黑体"/>
    </w:rPr>
  </w:style>
  <w:style w:type="character" w:customStyle="1" w:styleId="325">
    <w:name w:val="BZ_图 Char"/>
    <w:link w:val="326"/>
    <w:qFormat/>
    <w:uiPriority w:val="0"/>
    <w:rPr>
      <w:kern w:val="2"/>
      <w:sz w:val="21"/>
      <w:szCs w:val="24"/>
    </w:rPr>
  </w:style>
  <w:style w:type="paragraph" w:customStyle="1" w:styleId="326">
    <w:name w:val="BZ_图"/>
    <w:basedOn w:val="1"/>
    <w:next w:val="1"/>
    <w:link w:val="325"/>
    <w:qFormat/>
    <w:uiPriority w:val="0"/>
    <w:pPr>
      <w:keepNext/>
      <w:widowControl/>
      <w:spacing w:beforeLines="50" w:afterLines="50"/>
      <w:jc w:val="center"/>
    </w:pPr>
  </w:style>
  <w:style w:type="character" w:customStyle="1" w:styleId="327">
    <w:name w:val="Char Char Char Char Char Char Char Char Char Char Char Char Char Char Char"/>
    <w:qFormat/>
    <w:uiPriority w:val="0"/>
    <w:rPr>
      <w:rFonts w:ascii="仿宋_GB2312" w:hAnsi="Wingdings" w:eastAsia="仿宋_GB2312"/>
      <w:sz w:val="21"/>
      <w:szCs w:val="21"/>
      <w:lang w:val="en-US" w:eastAsia="zh-CN" w:bidi="ar-SA"/>
    </w:rPr>
  </w:style>
  <w:style w:type="character" w:customStyle="1" w:styleId="328">
    <w:name w:val="标题 3 字符"/>
    <w:qFormat/>
    <w:uiPriority w:val="0"/>
    <w:rPr>
      <w:rFonts w:eastAsia="黑体"/>
      <w:b/>
      <w:sz w:val="28"/>
    </w:rPr>
  </w:style>
  <w:style w:type="character" w:customStyle="1" w:styleId="329">
    <w:name w:val="dandyren_title1"/>
    <w:qFormat/>
    <w:uiPriority w:val="0"/>
    <w:rPr>
      <w:b/>
      <w:bCs/>
      <w:color w:val="FF6633"/>
      <w:sz w:val="18"/>
      <w:szCs w:val="18"/>
    </w:rPr>
  </w:style>
  <w:style w:type="character" w:customStyle="1" w:styleId="330">
    <w:name w:val="样式 正文缩进首行缩进两字正文（首行缩进两字） Char正文（首行缩进两字） Char Char Char正文（首行缩进... Char"/>
    <w:link w:val="331"/>
    <w:qFormat/>
    <w:uiPriority w:val="0"/>
    <w:rPr>
      <w:rFonts w:cs="宋体"/>
      <w:szCs w:val="28"/>
    </w:rPr>
  </w:style>
  <w:style w:type="paragraph" w:customStyle="1" w:styleId="331">
    <w:name w:val="样式 正文缩进首行缩进两字正文（首行缩进两字） Char正文（首行缩进两字） Char Char Char正文（首行缩进..."/>
    <w:basedOn w:val="18"/>
    <w:link w:val="330"/>
    <w:qFormat/>
    <w:uiPriority w:val="0"/>
    <w:pPr>
      <w:autoSpaceDE w:val="0"/>
      <w:autoSpaceDN w:val="0"/>
      <w:spacing w:line="240" w:lineRule="auto"/>
      <w:ind w:firstLine="567"/>
    </w:pPr>
    <w:rPr>
      <w:rFonts w:cs="宋体"/>
      <w:sz w:val="20"/>
      <w:szCs w:val="28"/>
    </w:rPr>
  </w:style>
  <w:style w:type="character" w:customStyle="1" w:styleId="332">
    <w:name w:val="1Text Char Char"/>
    <w:qFormat/>
    <w:uiPriority w:val="0"/>
    <w:rPr>
      <w:rFonts w:ascii="Calibri" w:hAnsi="Calibri" w:eastAsia="宋体"/>
      <w:sz w:val="24"/>
      <w:szCs w:val="24"/>
      <w:lang w:bidi="ar-SA"/>
    </w:rPr>
  </w:style>
  <w:style w:type="character" w:customStyle="1" w:styleId="333">
    <w:name w:val="Char Char211"/>
    <w:qFormat/>
    <w:uiPriority w:val="0"/>
    <w:rPr>
      <w:rFonts w:ascii="新宋体" w:hAnsi="新宋体" w:eastAsia="仿宋_GB2312" w:cs="新宋体"/>
      <w:b/>
      <w:bCs/>
      <w:kern w:val="44"/>
      <w:sz w:val="44"/>
      <w:szCs w:val="44"/>
    </w:rPr>
  </w:style>
  <w:style w:type="character" w:customStyle="1" w:styleId="334">
    <w:name w:val="强调划线"/>
    <w:qFormat/>
    <w:uiPriority w:val="0"/>
    <w:rPr>
      <w:u w:val="single"/>
    </w:rPr>
  </w:style>
  <w:style w:type="character" w:customStyle="1" w:styleId="335">
    <w:name w:val="backtitle1"/>
    <w:qFormat/>
    <w:uiPriority w:val="0"/>
    <w:rPr>
      <w:rFonts w:eastAsia="宋体"/>
      <w:b/>
      <w:bCs/>
      <w:color w:val="000000"/>
      <w:kern w:val="2"/>
      <w:sz w:val="18"/>
      <w:szCs w:val="18"/>
      <w:lang w:val="en-US" w:eastAsia="zh-CN" w:bidi="ar-SA"/>
    </w:rPr>
  </w:style>
  <w:style w:type="character" w:customStyle="1" w:styleId="336">
    <w:name w:val="哈哈正文 Char Char"/>
    <w:qFormat/>
    <w:uiPriority w:val="0"/>
    <w:rPr>
      <w:rFonts w:ascii="宋体" w:hAnsi="宋体"/>
      <w:kern w:val="2"/>
      <w:sz w:val="24"/>
      <w:lang w:bidi="ar-SA"/>
    </w:rPr>
  </w:style>
  <w:style w:type="character" w:customStyle="1" w:styleId="337">
    <w:name w:val="正文首行缩进 2 Char"/>
    <w:qFormat/>
    <w:uiPriority w:val="0"/>
    <w:rPr>
      <w:kern w:val="2"/>
      <w:sz w:val="21"/>
      <w:szCs w:val="24"/>
    </w:rPr>
  </w:style>
  <w:style w:type="character" w:customStyle="1" w:styleId="338">
    <w:name w:val="注释题目"/>
    <w:qFormat/>
    <w:uiPriority w:val="0"/>
    <w:rPr>
      <w:rFonts w:eastAsia="黑体"/>
      <w:sz w:val="28"/>
      <w:u w:val="none"/>
    </w:rPr>
  </w:style>
  <w:style w:type="character" w:customStyle="1" w:styleId="339">
    <w:name w:val="三级标题 Char"/>
    <w:link w:val="340"/>
    <w:qFormat/>
    <w:uiPriority w:val="0"/>
    <w:rPr>
      <w:rFonts w:eastAsia="黑体"/>
      <w:b/>
      <w:kern w:val="2"/>
      <w:sz w:val="28"/>
      <w:szCs w:val="22"/>
    </w:rPr>
  </w:style>
  <w:style w:type="paragraph" w:customStyle="1" w:styleId="340">
    <w:name w:val="三级标题"/>
    <w:basedOn w:val="1"/>
    <w:link w:val="339"/>
    <w:qFormat/>
    <w:uiPriority w:val="0"/>
    <w:pPr>
      <w:tabs>
        <w:tab w:val="left" w:pos="420"/>
      </w:tabs>
      <w:spacing w:line="360" w:lineRule="auto"/>
      <w:ind w:left="420" w:firstLine="200" w:firstLineChars="200"/>
      <w:outlineLvl w:val="2"/>
    </w:pPr>
    <w:rPr>
      <w:rFonts w:eastAsia="黑体"/>
      <w:b/>
      <w:sz w:val="28"/>
      <w:szCs w:val="22"/>
    </w:rPr>
  </w:style>
  <w:style w:type="character" w:customStyle="1" w:styleId="341">
    <w:name w:val="样式 宋体"/>
    <w:qFormat/>
    <w:uiPriority w:val="0"/>
    <w:rPr>
      <w:rFonts w:ascii="仿宋_GB2312" w:hAnsi="仿宋_GB2312" w:eastAsia="仿宋_GB2312"/>
      <w:sz w:val="24"/>
      <w:szCs w:val="24"/>
    </w:rPr>
  </w:style>
  <w:style w:type="character" w:customStyle="1" w:styleId="342">
    <w:name w:val="heading 1 Char"/>
    <w:qFormat/>
    <w:uiPriority w:val="0"/>
    <w:rPr>
      <w:rFonts w:ascii="Tahoma" w:hAnsi="Tahoma" w:eastAsia="Helvetica"/>
      <w:b/>
      <w:sz w:val="36"/>
      <w:szCs w:val="36"/>
    </w:rPr>
  </w:style>
  <w:style w:type="character" w:customStyle="1" w:styleId="343">
    <w:name w:val="栏目标题 Char Char"/>
    <w:link w:val="344"/>
    <w:qFormat/>
    <w:uiPriority w:val="0"/>
    <w:rPr>
      <w:rFonts w:ascii="黑体" w:hAnsi="黑体" w:eastAsia="黑体"/>
      <w:b/>
      <w:kern w:val="2"/>
      <w:sz w:val="21"/>
      <w:szCs w:val="24"/>
    </w:rPr>
  </w:style>
  <w:style w:type="paragraph" w:customStyle="1" w:styleId="344">
    <w:name w:val="栏目标题"/>
    <w:basedOn w:val="1"/>
    <w:link w:val="343"/>
    <w:qFormat/>
    <w:uiPriority w:val="0"/>
    <w:pPr>
      <w:jc w:val="center"/>
    </w:pPr>
    <w:rPr>
      <w:rFonts w:ascii="黑体" w:hAnsi="黑体" w:eastAsia="黑体"/>
      <w:b/>
    </w:rPr>
  </w:style>
  <w:style w:type="character" w:customStyle="1" w:styleId="345">
    <w:name w:val="纯文本 字符"/>
    <w:qFormat/>
    <w:uiPriority w:val="0"/>
    <w:rPr>
      <w:rFonts w:ascii="宋体" w:hAnsi="Courier New"/>
      <w:kern w:val="2"/>
      <w:sz w:val="21"/>
    </w:rPr>
  </w:style>
  <w:style w:type="character" w:customStyle="1" w:styleId="346">
    <w:name w:val="!我的正文 Ctr+Q Char"/>
    <w:link w:val="347"/>
    <w:qFormat/>
    <w:uiPriority w:val="0"/>
    <w:rPr>
      <w:rFonts w:ascii="Arial" w:hAnsi="Arial"/>
      <w:kern w:val="2"/>
      <w:sz w:val="24"/>
      <w:szCs w:val="21"/>
    </w:rPr>
  </w:style>
  <w:style w:type="paragraph" w:customStyle="1" w:styleId="347">
    <w:name w:val="!我的正文 Ctr+Q"/>
    <w:basedOn w:val="1"/>
    <w:link w:val="346"/>
    <w:qFormat/>
    <w:uiPriority w:val="0"/>
    <w:pPr>
      <w:adjustRightInd w:val="0"/>
      <w:snapToGrid w:val="0"/>
      <w:spacing w:beforeLines="50" w:afterLines="50" w:line="360" w:lineRule="auto"/>
      <w:ind w:firstLine="480" w:firstLineChars="200"/>
      <w:jc w:val="left"/>
    </w:pPr>
    <w:rPr>
      <w:rFonts w:ascii="Arial" w:hAnsi="Arial"/>
      <w:sz w:val="24"/>
      <w:szCs w:val="21"/>
    </w:rPr>
  </w:style>
  <w:style w:type="character" w:customStyle="1" w:styleId="348">
    <w:name w:val="标题 9 字符"/>
    <w:qFormat/>
    <w:uiPriority w:val="0"/>
    <w:rPr>
      <w:rFonts w:ascii="Arial" w:hAnsi="Arial" w:eastAsia="黑体"/>
      <w:kern w:val="2"/>
      <w:sz w:val="21"/>
      <w:vertAlign w:val="superscript"/>
    </w:rPr>
  </w:style>
  <w:style w:type="character" w:customStyle="1" w:styleId="349">
    <w:name w:val="Char Char12"/>
    <w:qFormat/>
    <w:uiPriority w:val="0"/>
    <w:rPr>
      <w:rFonts w:ascii="仿宋_GB2312" w:hAnsi="Wingdings" w:eastAsia="仿宋_GB2312"/>
      <w:sz w:val="21"/>
      <w:szCs w:val="21"/>
      <w:lang w:val="en-US" w:eastAsia="zh-CN" w:bidi="ar-SA"/>
    </w:rPr>
  </w:style>
  <w:style w:type="character" w:customStyle="1" w:styleId="350">
    <w:name w:val="Char Char221"/>
    <w:qFormat/>
    <w:uiPriority w:val="0"/>
    <w:rPr>
      <w:rFonts w:ascii="Verdana" w:hAnsi="Verdana" w:eastAsia="仿宋_GB2312"/>
      <w:b/>
      <w:bCs/>
      <w:kern w:val="2"/>
      <w:sz w:val="28"/>
      <w:szCs w:val="28"/>
      <w:lang w:val="en-US" w:eastAsia="zh-CN" w:bidi="ar-SA"/>
    </w:rPr>
  </w:style>
  <w:style w:type="character" w:customStyle="1" w:styleId="351">
    <w:name w:val="Footer-Even Char1"/>
    <w:qFormat/>
    <w:uiPriority w:val="0"/>
    <w:rPr>
      <w:rFonts w:eastAsia="仿宋_GB2312"/>
      <w:kern w:val="2"/>
      <w:sz w:val="18"/>
      <w:szCs w:val="18"/>
      <w:lang w:val="en-US" w:eastAsia="zh-CN" w:bidi="ar-SA"/>
    </w:rPr>
  </w:style>
  <w:style w:type="character" w:customStyle="1" w:styleId="352">
    <w:name w:val="xl77 Char"/>
    <w:link w:val="353"/>
    <w:qFormat/>
    <w:uiPriority w:val="0"/>
    <w:rPr>
      <w:b/>
      <w:bCs/>
      <w:sz w:val="28"/>
      <w:szCs w:val="28"/>
    </w:rPr>
  </w:style>
  <w:style w:type="paragraph" w:customStyle="1" w:styleId="353">
    <w:name w:val="xl77"/>
    <w:basedOn w:val="1"/>
    <w:link w:val="352"/>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8"/>
      <w:szCs w:val="28"/>
    </w:rPr>
  </w:style>
  <w:style w:type="character" w:customStyle="1" w:styleId="354">
    <w:name w:val="正文文本缩进 3 字符"/>
    <w:qFormat/>
    <w:uiPriority w:val="0"/>
    <w:rPr>
      <w:kern w:val="2"/>
      <w:sz w:val="16"/>
      <w:szCs w:val="16"/>
    </w:rPr>
  </w:style>
  <w:style w:type="character" w:customStyle="1" w:styleId="355">
    <w:name w:val="Subtle Emphasis1"/>
    <w:qFormat/>
    <w:uiPriority w:val="0"/>
    <w:rPr>
      <w:i/>
      <w:iCs/>
      <w:color w:val="808080"/>
    </w:rPr>
  </w:style>
  <w:style w:type="character" w:customStyle="1" w:styleId="356">
    <w:name w:val="Book Title1"/>
    <w:qFormat/>
    <w:uiPriority w:val="0"/>
    <w:rPr>
      <w:b/>
      <w:bCs/>
      <w:smallCaps/>
      <w:spacing w:val="5"/>
    </w:rPr>
  </w:style>
  <w:style w:type="character" w:customStyle="1" w:styleId="357">
    <w:name w:val="目录标题 Char Char"/>
    <w:link w:val="358"/>
    <w:qFormat/>
    <w:uiPriority w:val="0"/>
    <w:rPr>
      <w:rFonts w:eastAsia="黑体"/>
      <w:b/>
      <w:bCs/>
      <w:kern w:val="2"/>
      <w:sz w:val="44"/>
      <w:szCs w:val="44"/>
    </w:rPr>
  </w:style>
  <w:style w:type="paragraph" w:customStyle="1" w:styleId="358">
    <w:name w:val="目录标题"/>
    <w:basedOn w:val="1"/>
    <w:link w:val="357"/>
    <w:qFormat/>
    <w:uiPriority w:val="0"/>
    <w:pPr>
      <w:jc w:val="center"/>
    </w:pPr>
    <w:rPr>
      <w:rFonts w:eastAsia="黑体"/>
      <w:b/>
      <w:bCs/>
      <w:sz w:val="44"/>
      <w:szCs w:val="44"/>
    </w:rPr>
  </w:style>
  <w:style w:type="character" w:customStyle="1" w:styleId="359">
    <w:name w:val="4 Char"/>
    <w:link w:val="360"/>
    <w:qFormat/>
    <w:uiPriority w:val="0"/>
    <w:rPr>
      <w:rFonts w:ascii="仿宋" w:hAnsi="仿宋" w:eastAsia="仿宋"/>
      <w:b/>
      <w:bCs/>
      <w:kern w:val="2"/>
      <w:sz w:val="24"/>
      <w:szCs w:val="24"/>
    </w:rPr>
  </w:style>
  <w:style w:type="paragraph" w:customStyle="1" w:styleId="360">
    <w:name w:val="4"/>
    <w:basedOn w:val="8"/>
    <w:link w:val="359"/>
    <w:qFormat/>
    <w:uiPriority w:val="0"/>
    <w:pPr>
      <w:spacing w:before="0" w:after="0" w:line="360" w:lineRule="auto"/>
      <w:ind w:firstLine="200" w:firstLineChars="200"/>
    </w:pPr>
    <w:rPr>
      <w:rFonts w:ascii="仿宋" w:hAnsi="仿宋" w:eastAsia="仿宋"/>
      <w:sz w:val="24"/>
      <w:szCs w:val="24"/>
    </w:rPr>
  </w:style>
  <w:style w:type="character" w:customStyle="1" w:styleId="361">
    <w:name w:val="文本正文 Char"/>
    <w:link w:val="362"/>
    <w:qFormat/>
    <w:uiPriority w:val="0"/>
    <w:rPr>
      <w:rFonts w:ascii="Calibri" w:hAnsi="Calibri" w:eastAsia="仿宋"/>
      <w:kern w:val="2"/>
      <w:sz w:val="24"/>
      <w:szCs w:val="22"/>
    </w:rPr>
  </w:style>
  <w:style w:type="paragraph" w:customStyle="1" w:styleId="362">
    <w:name w:val="文本正文"/>
    <w:basedOn w:val="1"/>
    <w:link w:val="361"/>
    <w:qFormat/>
    <w:uiPriority w:val="0"/>
    <w:pPr>
      <w:spacing w:beforeLines="50" w:afterLines="50" w:line="360" w:lineRule="auto"/>
      <w:ind w:firstLine="200" w:firstLineChars="200"/>
    </w:pPr>
    <w:rPr>
      <w:rFonts w:ascii="Calibri" w:hAnsi="Calibri" w:eastAsia="仿宋"/>
      <w:sz w:val="24"/>
      <w:szCs w:val="22"/>
    </w:rPr>
  </w:style>
  <w:style w:type="character" w:customStyle="1" w:styleId="363">
    <w:name w:val="ll"/>
    <w:qFormat/>
    <w:uiPriority w:val="0"/>
    <w:rPr>
      <w:rFonts w:eastAsia="宋体"/>
      <w:kern w:val="2"/>
      <w:sz w:val="21"/>
      <w:szCs w:val="24"/>
      <w:lang w:val="en-US" w:eastAsia="zh-CN" w:bidi="ar-SA"/>
    </w:rPr>
  </w:style>
  <w:style w:type="character" w:customStyle="1" w:styleId="364">
    <w:name w:val="五级标题 Char"/>
    <w:link w:val="365"/>
    <w:qFormat/>
    <w:uiPriority w:val="0"/>
    <w:rPr>
      <w:rFonts w:eastAsia="黑体"/>
      <w:b/>
      <w:kern w:val="2"/>
      <w:sz w:val="28"/>
      <w:szCs w:val="22"/>
    </w:rPr>
  </w:style>
  <w:style w:type="paragraph" w:customStyle="1" w:styleId="365">
    <w:name w:val="五级标题"/>
    <w:basedOn w:val="1"/>
    <w:link w:val="364"/>
    <w:qFormat/>
    <w:uiPriority w:val="0"/>
    <w:pPr>
      <w:spacing w:line="360" w:lineRule="auto"/>
      <w:ind w:left="420" w:firstLine="200" w:firstLineChars="200"/>
      <w:outlineLvl w:val="4"/>
    </w:pPr>
    <w:rPr>
      <w:rFonts w:eastAsia="黑体"/>
      <w:b/>
      <w:sz w:val="28"/>
      <w:szCs w:val="22"/>
    </w:rPr>
  </w:style>
  <w:style w:type="character" w:customStyle="1" w:styleId="366">
    <w:name w:val="正文首行缩进 Char1"/>
    <w:qFormat/>
    <w:uiPriority w:val="0"/>
    <w:rPr>
      <w:rFonts w:eastAsia="仿宋_GB2312"/>
      <w:lang w:val="en-US" w:eastAsia="zh-CN" w:bidi="ar-SA"/>
    </w:rPr>
  </w:style>
  <w:style w:type="character" w:customStyle="1" w:styleId="367">
    <w:name w:val="Char Char212"/>
    <w:qFormat/>
    <w:uiPriority w:val="0"/>
    <w:rPr>
      <w:rFonts w:eastAsia="仿宋_GB2312"/>
      <w:b/>
      <w:bCs/>
      <w:kern w:val="2"/>
      <w:sz w:val="28"/>
      <w:szCs w:val="28"/>
      <w:lang w:val="en-US" w:eastAsia="zh-CN" w:bidi="ar-SA"/>
    </w:rPr>
  </w:style>
  <w:style w:type="character" w:customStyle="1" w:styleId="368">
    <w:name w:val="PI Char"/>
    <w:qFormat/>
    <w:uiPriority w:val="0"/>
    <w:rPr>
      <w:rFonts w:ascii="仿宋_GB2312" w:hAnsi="仿宋_GB2312"/>
      <w:sz w:val="24"/>
    </w:rPr>
  </w:style>
  <w:style w:type="character" w:customStyle="1" w:styleId="369">
    <w:name w:val="表正文 Char2"/>
    <w:qFormat/>
    <w:uiPriority w:val="0"/>
    <w:rPr>
      <w:rFonts w:ascii="新宋体" w:hAnsi="新宋体" w:eastAsia="仿宋_GB2312" w:cs="新宋体"/>
      <w:szCs w:val="24"/>
    </w:rPr>
  </w:style>
  <w:style w:type="character" w:customStyle="1" w:styleId="370">
    <w:name w:val="页眉 字符"/>
    <w:link w:val="44"/>
    <w:qFormat/>
    <w:uiPriority w:val="99"/>
    <w:rPr>
      <w:kern w:val="2"/>
      <w:sz w:val="18"/>
      <w:szCs w:val="18"/>
    </w:rPr>
  </w:style>
  <w:style w:type="character" w:customStyle="1" w:styleId="371">
    <w:name w:val="大标题 Char"/>
    <w:qFormat/>
    <w:uiPriority w:val="0"/>
    <w:rPr>
      <w:rFonts w:ascii="黑体" w:hAnsi="黑体" w:eastAsia="黑体"/>
      <w:b/>
      <w:bCs/>
      <w:kern w:val="2"/>
      <w:sz w:val="72"/>
      <w:szCs w:val="72"/>
    </w:rPr>
  </w:style>
  <w:style w:type="character" w:customStyle="1" w:styleId="372">
    <w:name w:val="Char Char Char1"/>
    <w:qFormat/>
    <w:uiPriority w:val="0"/>
    <w:rPr>
      <w:rFonts w:ascii="仿宋_GB2312" w:hAnsi="Wingdings"/>
      <w:sz w:val="21"/>
      <w:szCs w:val="21"/>
    </w:rPr>
  </w:style>
  <w:style w:type="character" w:customStyle="1" w:styleId="373">
    <w:name w:val="Char Char15"/>
    <w:qFormat/>
    <w:uiPriority w:val="0"/>
    <w:rPr>
      <w:rFonts w:ascii="Tahoma" w:hAnsi="Tahoma" w:eastAsia="Helvetica"/>
      <w:sz w:val="24"/>
      <w:szCs w:val="24"/>
    </w:rPr>
  </w:style>
  <w:style w:type="character" w:customStyle="1" w:styleId="374">
    <w:name w:val="表格标题 Char Char"/>
    <w:link w:val="375"/>
    <w:qFormat/>
    <w:uiPriority w:val="0"/>
    <w:rPr>
      <w:rFonts w:ascii="黑体" w:hAnsi="黑体" w:eastAsia="黑体"/>
      <w:b/>
      <w:color w:val="FFFFFF"/>
      <w:kern w:val="2"/>
      <w:sz w:val="21"/>
      <w:szCs w:val="24"/>
    </w:rPr>
  </w:style>
  <w:style w:type="paragraph" w:customStyle="1" w:styleId="375">
    <w:name w:val="表格标题"/>
    <w:basedOn w:val="1"/>
    <w:link w:val="374"/>
    <w:qFormat/>
    <w:uiPriority w:val="0"/>
    <w:rPr>
      <w:rFonts w:ascii="黑体" w:hAnsi="黑体" w:eastAsia="黑体"/>
      <w:b/>
      <w:color w:val="FFFFFF"/>
    </w:rPr>
  </w:style>
  <w:style w:type="character" w:customStyle="1" w:styleId="376">
    <w:name w:val="Intense Reference1"/>
    <w:qFormat/>
    <w:uiPriority w:val="32"/>
    <w:rPr>
      <w:b/>
      <w:bCs/>
      <w:smallCaps/>
      <w:color w:val="C0504D"/>
      <w:spacing w:val="5"/>
      <w:u w:val="single"/>
    </w:rPr>
  </w:style>
  <w:style w:type="character" w:customStyle="1" w:styleId="377">
    <w:name w:val="gray6"/>
    <w:basedOn w:val="66"/>
    <w:qFormat/>
    <w:uiPriority w:val="0"/>
  </w:style>
  <w:style w:type="character" w:customStyle="1" w:styleId="378">
    <w:name w:val="Char Char202"/>
    <w:qFormat/>
    <w:uiPriority w:val="0"/>
    <w:rPr>
      <w:b/>
      <w:bCs/>
      <w:kern w:val="44"/>
      <w:sz w:val="44"/>
      <w:szCs w:val="44"/>
    </w:rPr>
  </w:style>
  <w:style w:type="character" w:customStyle="1" w:styleId="379">
    <w:name w:val="ändrad Char"/>
    <w:qFormat/>
    <w:uiPriority w:val="0"/>
    <w:rPr>
      <w:rFonts w:eastAsia="仿宋_GB2312"/>
      <w:kern w:val="2"/>
      <w:sz w:val="21"/>
      <w:szCs w:val="24"/>
      <w:lang w:val="en-US" w:eastAsia="zh-CN" w:bidi="ar-SA"/>
    </w:rPr>
  </w:style>
  <w:style w:type="character" w:customStyle="1" w:styleId="380">
    <w:name w:val="大标题 Char Char"/>
    <w:link w:val="381"/>
    <w:qFormat/>
    <w:uiPriority w:val="0"/>
    <w:rPr>
      <w:rFonts w:ascii="黑体" w:hAnsi="黑体" w:eastAsia="黑体"/>
      <w:b/>
      <w:bCs/>
      <w:kern w:val="2"/>
      <w:sz w:val="72"/>
      <w:szCs w:val="72"/>
    </w:rPr>
  </w:style>
  <w:style w:type="paragraph" w:customStyle="1" w:styleId="381">
    <w:name w:val="大标题"/>
    <w:basedOn w:val="1"/>
    <w:link w:val="380"/>
    <w:qFormat/>
    <w:uiPriority w:val="0"/>
    <w:pPr>
      <w:spacing w:line="40" w:lineRule="atLeast"/>
    </w:pPr>
    <w:rPr>
      <w:rFonts w:ascii="黑体" w:hAnsi="黑体" w:eastAsia="黑体"/>
      <w:b/>
      <w:bCs/>
      <w:sz w:val="72"/>
      <w:szCs w:val="72"/>
    </w:rPr>
  </w:style>
  <w:style w:type="character" w:customStyle="1" w:styleId="382">
    <w:name w:val="Ò³Ã¼ Char Char"/>
    <w:qFormat/>
    <w:uiPriority w:val="0"/>
    <w:rPr>
      <w:sz w:val="18"/>
      <w:szCs w:val="18"/>
    </w:rPr>
  </w:style>
  <w:style w:type="character" w:customStyle="1" w:styleId="383">
    <w:name w:val="Char Char161"/>
    <w:qFormat/>
    <w:uiPriority w:val="0"/>
    <w:rPr>
      <w:rFonts w:eastAsia="仿宋_GB2312"/>
      <w:sz w:val="21"/>
      <w:lang w:val="en-US" w:eastAsia="zh-CN" w:bidi="ar-SA"/>
    </w:rPr>
  </w:style>
  <w:style w:type="character" w:customStyle="1" w:styleId="384">
    <w:name w:val="style41"/>
    <w:qFormat/>
    <w:uiPriority w:val="0"/>
    <w:rPr>
      <w:color w:val="auto"/>
    </w:rPr>
  </w:style>
  <w:style w:type="character" w:customStyle="1" w:styleId="385">
    <w:name w:val="正文4 Char Char"/>
    <w:link w:val="386"/>
    <w:qFormat/>
    <w:uiPriority w:val="0"/>
    <w:rPr>
      <w:kern w:val="2"/>
      <w:sz w:val="24"/>
      <w:szCs w:val="24"/>
    </w:rPr>
  </w:style>
  <w:style w:type="paragraph" w:customStyle="1" w:styleId="386">
    <w:name w:val="正文4"/>
    <w:basedOn w:val="1"/>
    <w:link w:val="385"/>
    <w:qFormat/>
    <w:uiPriority w:val="0"/>
    <w:pPr>
      <w:tabs>
        <w:tab w:val="left" w:pos="520"/>
      </w:tabs>
      <w:spacing w:before="60" w:after="60" w:line="360" w:lineRule="auto"/>
    </w:pPr>
    <w:rPr>
      <w:sz w:val="24"/>
    </w:rPr>
  </w:style>
  <w:style w:type="character" w:customStyle="1" w:styleId="387">
    <w:name w:val="Char Char201"/>
    <w:qFormat/>
    <w:uiPriority w:val="0"/>
    <w:rPr>
      <w:rFonts w:ascii="Verdana" w:hAnsi="Verdana" w:eastAsia="仿宋_GB2312" w:cs="新宋体"/>
      <w:b/>
      <w:bCs/>
      <w:sz w:val="32"/>
      <w:szCs w:val="32"/>
    </w:rPr>
  </w:style>
  <w:style w:type="character" w:customStyle="1" w:styleId="388">
    <w:name w:val="Char Char20"/>
    <w:qFormat/>
    <w:uiPriority w:val="0"/>
    <w:rPr>
      <w:rFonts w:ascii="Tahoma" w:hAnsi="Tahoma" w:eastAsia="Helvetica"/>
      <w:sz w:val="21"/>
      <w:szCs w:val="21"/>
      <w:lang w:val="en-US" w:eastAsia="zh-CN" w:bidi="ar-SA"/>
    </w:rPr>
  </w:style>
  <w:style w:type="character" w:customStyle="1" w:styleId="389">
    <w:name w:val="Char Char10"/>
    <w:qFormat/>
    <w:uiPriority w:val="0"/>
    <w:rPr>
      <w:rFonts w:eastAsia="仿宋_GB2312"/>
      <w:b/>
      <w:bCs/>
      <w:kern w:val="2"/>
      <w:sz w:val="21"/>
      <w:szCs w:val="24"/>
      <w:lang w:val="en-US" w:eastAsia="zh-CN" w:bidi="ar-SA"/>
    </w:rPr>
  </w:style>
  <w:style w:type="character" w:customStyle="1" w:styleId="390">
    <w:name w:val="heading 9 Char1"/>
    <w:qFormat/>
    <w:uiPriority w:val="0"/>
    <w:rPr>
      <w:rFonts w:ascii="Tahoma" w:hAnsi="Tahoma" w:eastAsia="Helvetica"/>
      <w:sz w:val="21"/>
      <w:lang w:val="en-US" w:eastAsia="zh-CN" w:bidi="ar-SA"/>
    </w:rPr>
  </w:style>
  <w:style w:type="character" w:customStyle="1" w:styleId="391">
    <w:name w:val="PI Char1"/>
    <w:qFormat/>
    <w:uiPriority w:val="0"/>
    <w:rPr>
      <w:rFonts w:eastAsia="仿宋_GB2312"/>
      <w:kern w:val="2"/>
      <w:sz w:val="24"/>
      <w:szCs w:val="24"/>
      <w:lang w:val="en-US" w:eastAsia="zh-CN" w:bidi="ar-SA"/>
    </w:rPr>
  </w:style>
  <w:style w:type="character" w:customStyle="1" w:styleId="392">
    <w:name w:val="注释正文"/>
    <w:qFormat/>
    <w:uiPriority w:val="0"/>
    <w:rPr>
      <w:rFonts w:eastAsia="宋体"/>
      <w:sz w:val="28"/>
      <w:u w:val="single"/>
    </w:rPr>
  </w:style>
  <w:style w:type="character" w:customStyle="1" w:styleId="393">
    <w:name w:val="金保标题2 Char"/>
    <w:link w:val="394"/>
    <w:qFormat/>
    <w:uiPriority w:val="0"/>
    <w:rPr>
      <w:rFonts w:ascii="新宋体" w:hAnsi="新宋体" w:eastAsia="新宋体"/>
      <w:b/>
      <w:bCs/>
      <w:color w:val="000000"/>
      <w:kern w:val="2"/>
      <w:sz w:val="22"/>
      <w:szCs w:val="22"/>
      <w:lang w:val="zh-CN"/>
    </w:rPr>
  </w:style>
  <w:style w:type="paragraph" w:customStyle="1" w:styleId="394">
    <w:name w:val="金保标题2"/>
    <w:basedOn w:val="6"/>
    <w:next w:val="1"/>
    <w:link w:val="393"/>
    <w:qFormat/>
    <w:uiPriority w:val="0"/>
    <w:pPr>
      <w:widowControl/>
      <w:spacing w:before="0" w:after="0" w:line="440" w:lineRule="exact"/>
      <w:ind w:right="84" w:rightChars="40"/>
      <w:jc w:val="left"/>
    </w:pPr>
    <w:rPr>
      <w:rFonts w:ascii="新宋体" w:hAnsi="新宋体" w:eastAsia="新宋体"/>
      <w:color w:val="000000"/>
      <w:sz w:val="22"/>
      <w:szCs w:val="22"/>
      <w:lang w:val="zh-CN"/>
    </w:rPr>
  </w:style>
  <w:style w:type="character" w:customStyle="1" w:styleId="395">
    <w:name w:val="样式 标题 3 + 黑体 小四 Char"/>
    <w:link w:val="396"/>
    <w:qFormat/>
    <w:uiPriority w:val="0"/>
    <w:rPr>
      <w:rFonts w:ascii="Helvetica" w:hAnsi="Tahoma" w:eastAsia="Helvetica"/>
      <w:bCs/>
      <w:sz w:val="24"/>
      <w:szCs w:val="24"/>
    </w:rPr>
  </w:style>
  <w:style w:type="paragraph" w:customStyle="1" w:styleId="396">
    <w:name w:val="样式 标题 3 + 黑体 小四"/>
    <w:basedOn w:val="7"/>
    <w:link w:val="395"/>
    <w:qFormat/>
    <w:uiPriority w:val="0"/>
    <w:pPr>
      <w:spacing w:before="0" w:after="0" w:line="415" w:lineRule="auto"/>
    </w:pPr>
    <w:rPr>
      <w:rFonts w:ascii="Helvetica" w:hAnsi="Tahoma" w:eastAsia="Helvetica"/>
      <w:b w:val="0"/>
      <w:kern w:val="0"/>
      <w:sz w:val="24"/>
      <w:szCs w:val="24"/>
    </w:rPr>
  </w:style>
  <w:style w:type="character" w:customStyle="1" w:styleId="397">
    <w:name w:val="宏文本 Char"/>
    <w:qFormat/>
    <w:uiPriority w:val="0"/>
    <w:rPr>
      <w:rFonts w:ascii="Wingdings" w:hAnsi="Wingdings" w:eastAsia="Times New Roman"/>
      <w:kern w:val="2"/>
      <w:sz w:val="24"/>
      <w:szCs w:val="24"/>
    </w:rPr>
  </w:style>
  <w:style w:type="character" w:customStyle="1" w:styleId="398">
    <w:name w:val="Subtle Reference1"/>
    <w:qFormat/>
    <w:uiPriority w:val="0"/>
    <w:rPr>
      <w:smallCaps/>
      <w:color w:val="C0504D"/>
      <w:u w:val="single"/>
    </w:rPr>
  </w:style>
  <w:style w:type="character" w:customStyle="1" w:styleId="399">
    <w:name w:val="Char Char191"/>
    <w:qFormat/>
    <w:uiPriority w:val="0"/>
    <w:rPr>
      <w:rFonts w:ascii="Verdana" w:hAnsi="Verdana"/>
      <w:b/>
      <w:bCs/>
      <w:kern w:val="2"/>
      <w:sz w:val="32"/>
      <w:szCs w:val="32"/>
    </w:rPr>
  </w:style>
  <w:style w:type="character" w:customStyle="1" w:styleId="400">
    <w:name w:val="Char Char Char2"/>
    <w:qFormat/>
    <w:uiPriority w:val="0"/>
    <w:rPr>
      <w:rFonts w:ascii="仿宋_GB2312" w:hAnsi="Wingdings" w:eastAsia="仿宋_GB2312"/>
      <w:sz w:val="21"/>
      <w:szCs w:val="21"/>
      <w:lang w:val="en-US" w:eastAsia="zh-CN" w:bidi="ar-SA"/>
    </w:rPr>
  </w:style>
  <w:style w:type="character" w:customStyle="1" w:styleId="401">
    <w:name w:val="PI Char2"/>
    <w:qFormat/>
    <w:uiPriority w:val="0"/>
    <w:rPr>
      <w:kern w:val="2"/>
      <w:sz w:val="24"/>
      <w:szCs w:val="24"/>
    </w:rPr>
  </w:style>
  <w:style w:type="character" w:customStyle="1" w:styleId="402">
    <w:name w:val="小标题 Char Char"/>
    <w:link w:val="403"/>
    <w:qFormat/>
    <w:uiPriority w:val="0"/>
    <w:rPr>
      <w:rFonts w:ascii="黑体" w:hAnsi="黑体" w:eastAsia="黑体"/>
      <w:b/>
      <w:bCs/>
      <w:kern w:val="2"/>
      <w:sz w:val="48"/>
      <w:szCs w:val="48"/>
    </w:rPr>
  </w:style>
  <w:style w:type="paragraph" w:customStyle="1" w:styleId="403">
    <w:name w:val="小标题"/>
    <w:basedOn w:val="1"/>
    <w:link w:val="402"/>
    <w:qFormat/>
    <w:uiPriority w:val="0"/>
    <w:pPr>
      <w:spacing w:line="40" w:lineRule="atLeast"/>
    </w:pPr>
    <w:rPr>
      <w:rFonts w:ascii="黑体" w:hAnsi="黑体" w:eastAsia="黑体"/>
      <w:b/>
      <w:bCs/>
      <w:sz w:val="48"/>
      <w:szCs w:val="48"/>
    </w:rPr>
  </w:style>
  <w:style w:type="paragraph" w:customStyle="1" w:styleId="404">
    <w:name w:val="標題10.3-1"/>
    <w:basedOn w:val="405"/>
    <w:qFormat/>
    <w:uiPriority w:val="0"/>
    <w:pPr>
      <w:tabs>
        <w:tab w:val="left" w:pos="5529"/>
      </w:tabs>
      <w:adjustRightInd/>
      <w:spacing w:line="240" w:lineRule="atLeast"/>
      <w:ind w:left="993" w:hanging="284"/>
      <w:textAlignment w:val="auto"/>
    </w:pPr>
    <w:rPr>
      <w:rFonts w:ascii="Times New Roman"/>
      <w:kern w:val="2"/>
      <w:sz w:val="24"/>
      <w:szCs w:val="24"/>
    </w:rPr>
  </w:style>
  <w:style w:type="paragraph" w:customStyle="1" w:styleId="405">
    <w:name w:val="標題 (1)"/>
    <w:basedOn w:val="1"/>
    <w:qFormat/>
    <w:uiPriority w:val="0"/>
    <w:pPr>
      <w:adjustRightInd w:val="0"/>
      <w:spacing w:line="567" w:lineRule="atLeast"/>
      <w:ind w:left="1560" w:hanging="709" w:firstLineChars="200"/>
      <w:textAlignment w:val="baseline"/>
    </w:pPr>
    <w:rPr>
      <w:rFonts w:ascii="PMingLiU" w:hAnsi="等线" w:eastAsia="PMingLiU" w:cs="等线"/>
      <w:kern w:val="0"/>
      <w:sz w:val="28"/>
      <w:szCs w:val="20"/>
      <w:lang w:eastAsia="zh-TW"/>
    </w:rPr>
  </w:style>
  <w:style w:type="paragraph" w:customStyle="1" w:styleId="406">
    <w:name w:val="日期1"/>
    <w:basedOn w:val="1"/>
    <w:next w:val="1"/>
    <w:qFormat/>
    <w:uiPriority w:val="0"/>
    <w:pPr>
      <w:tabs>
        <w:tab w:val="left" w:pos="425"/>
      </w:tabs>
      <w:autoSpaceDE w:val="0"/>
      <w:autoSpaceDN w:val="0"/>
      <w:adjustRightInd w:val="0"/>
      <w:spacing w:before="60" w:after="60" w:line="312" w:lineRule="atLeast"/>
      <w:ind w:left="420" w:firstLine="200" w:firstLineChars="200"/>
      <w:jc w:val="right"/>
      <w:textAlignment w:val="baseline"/>
    </w:pPr>
    <w:rPr>
      <w:rFonts w:ascii="等线" w:hAnsi="等线" w:eastAsia="等线" w:cs="等线"/>
      <w:kern w:val="0"/>
      <w:sz w:val="44"/>
      <w:szCs w:val="20"/>
    </w:rPr>
  </w:style>
  <w:style w:type="character" w:customStyle="1" w:styleId="407">
    <w:name w:val="称呼 字符"/>
    <w:basedOn w:val="66"/>
    <w:link w:val="24"/>
    <w:qFormat/>
    <w:uiPriority w:val="0"/>
    <w:rPr>
      <w:rFonts w:ascii="等线" w:hAnsi="等线" w:eastAsia="等线" w:cs="等线"/>
      <w:sz w:val="24"/>
    </w:rPr>
  </w:style>
  <w:style w:type="paragraph" w:customStyle="1" w:styleId="408">
    <w:name w:val="Char11"/>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09">
    <w:name w:val="kpk:1级"/>
    <w:basedOn w:val="5"/>
    <w:qFormat/>
    <w:uiPriority w:val="0"/>
    <w:pPr>
      <w:keepLines/>
      <w:tabs>
        <w:tab w:val="left" w:pos="420"/>
        <w:tab w:val="left" w:pos="643"/>
      </w:tabs>
      <w:spacing w:beforeLines="120" w:afterLines="100"/>
      <w:ind w:firstLine="200" w:firstLineChars="200"/>
      <w:jc w:val="both"/>
    </w:pPr>
    <w:rPr>
      <w:rFonts w:ascii="黑体" w:hAnsi="等线" w:eastAsia="等线"/>
      <w:kern w:val="44"/>
      <w:sz w:val="30"/>
      <w:szCs w:val="32"/>
    </w:rPr>
  </w:style>
  <w:style w:type="paragraph" w:customStyle="1" w:styleId="410">
    <w:name w:val="前言、引言标题"/>
    <w:next w:val="1"/>
    <w:qFormat/>
    <w:uiPriority w:val="0"/>
    <w:pPr>
      <w:shd w:val="clear" w:color="FFFFFF" w:fill="FFFFFF"/>
      <w:spacing w:before="640" w:after="560"/>
      <w:jc w:val="center"/>
      <w:outlineLvl w:val="0"/>
    </w:pPr>
    <w:rPr>
      <w:rFonts w:ascii="Helvetica" w:hAnsi="等线" w:eastAsia="Helvetica" w:cs="等线"/>
      <w:sz w:val="32"/>
      <w:lang w:val="en-US" w:eastAsia="zh-CN" w:bidi="ar-SA"/>
    </w:rPr>
  </w:style>
  <w:style w:type="paragraph" w:customStyle="1" w:styleId="411">
    <w:name w:val="Char Char Char Char Char Char Char Char Char Char"/>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412">
    <w:name w:val="正文文字"/>
    <w:basedOn w:val="1"/>
    <w:qFormat/>
    <w:uiPriority w:val="99"/>
    <w:pPr>
      <w:spacing w:line="360" w:lineRule="auto"/>
      <w:ind w:firstLine="200" w:firstLineChars="200"/>
      <w:textAlignment w:val="top"/>
    </w:pPr>
    <w:rPr>
      <w:rFonts w:ascii="等线" w:hAnsi="等线" w:eastAsia="等线" w:cs="等线"/>
      <w:color w:val="000000"/>
      <w:kern w:val="0"/>
      <w:sz w:val="24"/>
      <w:szCs w:val="21"/>
    </w:rPr>
  </w:style>
  <w:style w:type="paragraph" w:customStyle="1" w:styleId="413">
    <w:name w:val="部分1"/>
    <w:basedOn w:val="1"/>
    <w:qFormat/>
    <w:uiPriority w:val="0"/>
    <w:pPr>
      <w:keepNext/>
      <w:pageBreakBefore/>
      <w:tabs>
        <w:tab w:val="left" w:pos="720"/>
      </w:tabs>
      <w:autoSpaceDE w:val="0"/>
      <w:autoSpaceDN w:val="0"/>
      <w:adjustRightInd w:val="0"/>
      <w:spacing w:line="360" w:lineRule="auto"/>
      <w:jc w:val="center"/>
      <w:outlineLvl w:val="0"/>
    </w:pPr>
    <w:rPr>
      <w:rFonts w:ascii="等线" w:hAnsi="等线" w:eastAsia="Helvetica" w:cs="等线"/>
      <w:b/>
      <w:kern w:val="44"/>
      <w:sz w:val="36"/>
      <w:szCs w:val="20"/>
    </w:rPr>
  </w:style>
  <w:style w:type="paragraph" w:customStyle="1" w:styleId="414">
    <w:name w:val="GP正文(首行缩进)"/>
    <w:basedOn w:val="1"/>
    <w:qFormat/>
    <w:uiPriority w:val="0"/>
    <w:pPr>
      <w:adjustRightInd w:val="0"/>
      <w:spacing w:line="360" w:lineRule="auto"/>
      <w:ind w:firstLine="200" w:firstLineChars="200"/>
      <w:jc w:val="left"/>
      <w:textAlignment w:val="baseline"/>
    </w:pPr>
    <w:rPr>
      <w:rFonts w:ascii="等线" w:hAnsi="等线" w:eastAsia="等线" w:cs="等线"/>
      <w:kern w:val="0"/>
      <w:sz w:val="24"/>
      <w:szCs w:val="20"/>
    </w:rPr>
  </w:style>
  <w:style w:type="paragraph" w:customStyle="1" w:styleId="415">
    <w:name w:val="xl9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16">
    <w:name w:val="5"/>
    <w:basedOn w:val="1"/>
    <w:qFormat/>
    <w:uiPriority w:val="0"/>
    <w:pPr>
      <w:widowControl/>
      <w:tabs>
        <w:tab w:val="left" w:pos="420"/>
        <w:tab w:val="left" w:pos="926"/>
      </w:tabs>
      <w:spacing w:after="160" w:line="240" w:lineRule="exact"/>
      <w:ind w:firstLine="200" w:firstLineChars="200"/>
      <w:jc w:val="left"/>
    </w:pPr>
    <w:rPr>
      <w:rFonts w:ascii="等线" w:hAnsi="等线" w:eastAsia="等线" w:cs="等线"/>
      <w:szCs w:val="20"/>
    </w:rPr>
  </w:style>
  <w:style w:type="paragraph" w:customStyle="1" w:styleId="417">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1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character" w:customStyle="1" w:styleId="419">
    <w:name w:val="注释标题 字符"/>
    <w:basedOn w:val="66"/>
    <w:link w:val="15"/>
    <w:qFormat/>
    <w:uiPriority w:val="0"/>
    <w:rPr>
      <w:rFonts w:ascii="DFKai-SB" w:hAnsi="DFKai-SB" w:eastAsia="DFKai-SB" w:cs="等线"/>
      <w:kern w:val="2"/>
      <w:lang w:eastAsia="zh-TW"/>
    </w:rPr>
  </w:style>
  <w:style w:type="paragraph" w:customStyle="1" w:styleId="420">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21">
    <w:name w:val="二级标题"/>
    <w:basedOn w:val="6"/>
    <w:qFormat/>
    <w:uiPriority w:val="0"/>
    <w:pPr>
      <w:ind w:left="576" w:hanging="576"/>
    </w:pPr>
    <w:rPr>
      <w:rFonts w:ascii="华文中宋" w:eastAsia="华文中宋"/>
      <w:kern w:val="0"/>
    </w:rPr>
  </w:style>
  <w:style w:type="character" w:customStyle="1" w:styleId="422">
    <w:name w:val="正文文本 3 字符"/>
    <w:basedOn w:val="66"/>
    <w:link w:val="25"/>
    <w:qFormat/>
    <w:uiPriority w:val="0"/>
    <w:rPr>
      <w:rFonts w:ascii="等线" w:hAnsi="等线" w:eastAsia="等线" w:cs="等线"/>
    </w:rPr>
  </w:style>
  <w:style w:type="paragraph" w:customStyle="1" w:styleId="423">
    <w:name w:val="数字级连标题2"/>
    <w:basedOn w:val="6"/>
    <w:next w:val="1"/>
    <w:qFormat/>
    <w:uiPriority w:val="0"/>
    <w:pPr>
      <w:tabs>
        <w:tab w:val="left" w:pos="0"/>
      </w:tabs>
      <w:spacing w:before="0" w:after="0" w:line="360" w:lineRule="auto"/>
      <w:ind w:left="567" w:hanging="567"/>
    </w:pPr>
    <w:rPr>
      <w:rFonts w:ascii="Times New Roman" w:hAnsi="Times New Roman" w:eastAsia="等线"/>
      <w:bCs w:val="0"/>
      <w:sz w:val="28"/>
      <w:szCs w:val="20"/>
      <w:lang w:eastAsia="ar-SA"/>
    </w:rPr>
  </w:style>
  <w:style w:type="paragraph" w:customStyle="1" w:styleId="424">
    <w:name w:val="四级条标题"/>
    <w:basedOn w:val="425"/>
    <w:next w:val="1"/>
    <w:qFormat/>
    <w:uiPriority w:val="0"/>
    <w:pPr>
      <w:outlineLvl w:val="5"/>
    </w:pPr>
  </w:style>
  <w:style w:type="paragraph" w:customStyle="1" w:styleId="425">
    <w:name w:val="三级条标题"/>
    <w:basedOn w:val="426"/>
    <w:next w:val="1"/>
    <w:qFormat/>
    <w:uiPriority w:val="0"/>
    <w:pPr>
      <w:outlineLvl w:val="4"/>
    </w:pPr>
  </w:style>
  <w:style w:type="paragraph" w:customStyle="1" w:styleId="426">
    <w:name w:val="二级条标题"/>
    <w:basedOn w:val="427"/>
    <w:next w:val="1"/>
    <w:qFormat/>
    <w:uiPriority w:val="0"/>
    <w:pPr>
      <w:outlineLvl w:val="3"/>
    </w:pPr>
  </w:style>
  <w:style w:type="paragraph" w:customStyle="1" w:styleId="427">
    <w:name w:val="一级条标题"/>
    <w:next w:val="1"/>
    <w:qFormat/>
    <w:uiPriority w:val="0"/>
    <w:pPr>
      <w:outlineLvl w:val="2"/>
    </w:pPr>
    <w:rPr>
      <w:rFonts w:ascii="等线" w:hAnsi="等线" w:eastAsia="Helvetica" w:cs="等线"/>
      <w:sz w:val="21"/>
      <w:lang w:val="en-US" w:eastAsia="zh-CN" w:bidi="ar-SA"/>
    </w:rPr>
  </w:style>
  <w:style w:type="character" w:customStyle="1" w:styleId="428">
    <w:name w:val="宏文本 字符"/>
    <w:basedOn w:val="66"/>
    <w:link w:val="4"/>
    <w:qFormat/>
    <w:uiPriority w:val="0"/>
    <w:rPr>
      <w:rFonts w:ascii="Courier New" w:hAnsi="Courier New" w:cs="Courier New"/>
      <w:kern w:val="2"/>
      <w:sz w:val="24"/>
      <w:szCs w:val="24"/>
    </w:rPr>
  </w:style>
  <w:style w:type="paragraph" w:customStyle="1" w:styleId="429">
    <w:name w:val="样式 标题 3 + 黑色 段前: 5 磅 段后: 5 磅 行距: 1.5 倍行距"/>
    <w:basedOn w:val="1"/>
    <w:qFormat/>
    <w:uiPriority w:val="0"/>
    <w:pPr>
      <w:ind w:left="855" w:hanging="855"/>
    </w:pPr>
    <w:rPr>
      <w:rFonts w:ascii="等线" w:hAnsi="等线" w:eastAsia="等线" w:cs="等线"/>
      <w:sz w:val="24"/>
      <w:szCs w:val="20"/>
    </w:rPr>
  </w:style>
  <w:style w:type="paragraph" w:customStyle="1" w:styleId="430">
    <w:name w:val="正文首行缩进1"/>
    <w:basedOn w:val="2"/>
    <w:qFormat/>
    <w:uiPriority w:val="0"/>
    <w:pPr>
      <w:suppressAutoHyphens/>
      <w:ind w:firstLine="420"/>
      <w:jc w:val="left"/>
    </w:pPr>
    <w:rPr>
      <w:rFonts w:ascii="等线" w:hAnsi="等线" w:cs="等线"/>
      <w:kern w:val="1"/>
      <w:sz w:val="28"/>
      <w:lang w:eastAsia="ar-SA"/>
    </w:rPr>
  </w:style>
  <w:style w:type="paragraph" w:customStyle="1" w:styleId="431">
    <w:name w:val="样式 首行缩进:  1 厘米"/>
    <w:basedOn w:val="1"/>
    <w:qFormat/>
    <w:uiPriority w:val="0"/>
    <w:pPr>
      <w:autoSpaceDE w:val="0"/>
      <w:autoSpaceDN w:val="0"/>
      <w:adjustRightInd w:val="0"/>
      <w:ind w:firstLine="567"/>
      <w:textAlignment w:val="baseline"/>
    </w:pPr>
    <w:rPr>
      <w:rFonts w:ascii="等线" w:hAnsi="等线" w:eastAsia="等线" w:cs="宋体"/>
      <w:kern w:val="0"/>
      <w:sz w:val="28"/>
      <w:szCs w:val="28"/>
    </w:rPr>
  </w:style>
  <w:style w:type="paragraph" w:customStyle="1" w:styleId="432">
    <w:name w:val="font0"/>
    <w:basedOn w:val="1"/>
    <w:qFormat/>
    <w:uiPriority w:val="0"/>
    <w:pPr>
      <w:widowControl/>
      <w:spacing w:before="100" w:beforeAutospacing="1" w:after="100" w:afterAutospacing="1"/>
      <w:jc w:val="left"/>
    </w:pPr>
    <w:rPr>
      <w:rFonts w:hint="eastAsia" w:ascii="宋体" w:hAnsi="宋体" w:eastAsia="等线" w:cs="等线"/>
      <w:kern w:val="0"/>
      <w:sz w:val="24"/>
    </w:rPr>
  </w:style>
  <w:style w:type="character" w:customStyle="1" w:styleId="433">
    <w:name w:val="正文文本 2 字符"/>
    <w:basedOn w:val="66"/>
    <w:link w:val="55"/>
    <w:qFormat/>
    <w:uiPriority w:val="0"/>
    <w:rPr>
      <w:kern w:val="2"/>
      <w:sz w:val="21"/>
      <w:szCs w:val="24"/>
    </w:rPr>
  </w:style>
  <w:style w:type="character" w:customStyle="1" w:styleId="434">
    <w:name w:val="脚注文本 字符"/>
    <w:basedOn w:val="66"/>
    <w:link w:val="50"/>
    <w:qFormat/>
    <w:uiPriority w:val="0"/>
    <w:rPr>
      <w:rFonts w:ascii="等线" w:hAnsi="等线" w:eastAsia="等线" w:cs="等线"/>
      <w:kern w:val="2"/>
      <w:sz w:val="18"/>
      <w:szCs w:val="18"/>
    </w:rPr>
  </w:style>
  <w:style w:type="character" w:customStyle="1" w:styleId="435">
    <w:name w:val="副标题 字符"/>
    <w:basedOn w:val="66"/>
    <w:link w:val="48"/>
    <w:qFormat/>
    <w:uiPriority w:val="0"/>
    <w:rPr>
      <w:rFonts w:asciiTheme="majorHAnsi" w:hAnsiTheme="majorHAnsi" w:cstheme="majorBidi"/>
      <w:b/>
      <w:bCs/>
      <w:kern w:val="28"/>
      <w:sz w:val="32"/>
      <w:szCs w:val="32"/>
    </w:rPr>
  </w:style>
  <w:style w:type="character" w:customStyle="1" w:styleId="436">
    <w:name w:val="信息标题 字符"/>
    <w:basedOn w:val="66"/>
    <w:link w:val="56"/>
    <w:qFormat/>
    <w:uiPriority w:val="0"/>
    <w:rPr>
      <w:rFonts w:asciiTheme="majorHAnsi" w:hAnsiTheme="majorHAnsi" w:eastAsiaTheme="majorEastAsia" w:cstheme="majorBidi"/>
      <w:kern w:val="2"/>
      <w:sz w:val="24"/>
      <w:szCs w:val="24"/>
      <w:shd w:val="pct20" w:color="auto" w:fill="auto"/>
    </w:rPr>
  </w:style>
  <w:style w:type="character" w:customStyle="1" w:styleId="437">
    <w:name w:val="正文文本首行缩进 2 字符"/>
    <w:basedOn w:val="89"/>
    <w:link w:val="62"/>
    <w:qFormat/>
    <w:uiPriority w:val="0"/>
    <w:rPr>
      <w:kern w:val="2"/>
      <w:sz w:val="21"/>
      <w:szCs w:val="24"/>
    </w:rPr>
  </w:style>
  <w:style w:type="character" w:customStyle="1" w:styleId="438">
    <w:name w:val="HTML 预设格式 字符"/>
    <w:basedOn w:val="66"/>
    <w:link w:val="57"/>
    <w:qFormat/>
    <w:uiPriority w:val="0"/>
    <w:rPr>
      <w:rFonts w:ascii="Courier New" w:hAnsi="Courier New" w:cs="Courier New"/>
      <w:kern w:val="2"/>
    </w:rPr>
  </w:style>
  <w:style w:type="character" w:customStyle="1" w:styleId="439">
    <w:name w:val="签名 字符"/>
    <w:basedOn w:val="66"/>
    <w:link w:val="45"/>
    <w:qFormat/>
    <w:uiPriority w:val="0"/>
    <w:rPr>
      <w:rFonts w:ascii="等线" w:hAnsi="等线" w:eastAsia="黑体" w:cs="等线"/>
      <w:sz w:val="24"/>
    </w:rPr>
  </w:style>
  <w:style w:type="paragraph" w:customStyle="1" w:styleId="440">
    <w:name w:val="正文文本缩进 21"/>
    <w:basedOn w:val="1"/>
    <w:qFormat/>
    <w:uiPriority w:val="0"/>
    <w:pPr>
      <w:adjustRightInd w:val="0"/>
      <w:spacing w:line="580" w:lineRule="atLeast"/>
      <w:ind w:right="-57" w:firstLine="570"/>
      <w:jc w:val="left"/>
      <w:textAlignment w:val="baseline"/>
    </w:pPr>
    <w:rPr>
      <w:rFonts w:ascii="楷体_GB2312" w:hAnsi="等线" w:eastAsia="楷体_GB2312" w:cs="等线"/>
      <w:sz w:val="28"/>
      <w:szCs w:val="20"/>
    </w:rPr>
  </w:style>
  <w:style w:type="paragraph" w:customStyle="1" w:styleId="441">
    <w:name w:val="1 Char"/>
    <w:basedOn w:val="18"/>
    <w:qFormat/>
    <w:uiPriority w:val="0"/>
    <w:pPr>
      <w:adjustRightInd/>
      <w:spacing w:line="360" w:lineRule="auto"/>
      <w:ind w:firstLine="200" w:firstLineChars="200"/>
      <w:textAlignment w:val="auto"/>
    </w:pPr>
    <w:rPr>
      <w:rFonts w:eastAsia="仿宋_GB2312"/>
      <w:kern w:val="2"/>
    </w:rPr>
  </w:style>
  <w:style w:type="paragraph" w:customStyle="1" w:styleId="442">
    <w:name w:val="Char1 Char Char Char Char"/>
    <w:basedOn w:val="21"/>
    <w:qFormat/>
    <w:uiPriority w:val="0"/>
    <w:rPr>
      <w:rFonts w:ascii="Tahoma" w:hAnsi="Tahoma" w:eastAsia="等线" w:cs="Tahoma"/>
      <w:kern w:val="0"/>
      <w:sz w:val="18"/>
    </w:rPr>
  </w:style>
  <w:style w:type="paragraph" w:customStyle="1" w:styleId="443">
    <w:name w:val="ÕýÎÄ"/>
    <w:qFormat/>
    <w:uiPriority w:val="0"/>
    <w:pPr>
      <w:widowControl w:val="0"/>
      <w:overflowPunct w:val="0"/>
      <w:autoSpaceDE w:val="0"/>
      <w:autoSpaceDN w:val="0"/>
      <w:adjustRightInd w:val="0"/>
      <w:textAlignment w:val="baseline"/>
    </w:pPr>
    <w:rPr>
      <w:rFonts w:ascii="等线" w:hAnsi="等线" w:eastAsia="等线" w:cs="等线"/>
      <w:lang w:val="en-US" w:eastAsia="zh-CN" w:bidi="ar-SA"/>
    </w:rPr>
  </w:style>
  <w:style w:type="paragraph" w:customStyle="1" w:styleId="44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45">
    <w:name w:val="Intense Quote1"/>
    <w:basedOn w:val="1"/>
    <w:next w:val="1"/>
    <w:qFormat/>
    <w:uiPriority w:val="0"/>
    <w:pPr>
      <w:pBdr>
        <w:bottom w:val="single" w:color="4F81BD" w:sz="4" w:space="4"/>
      </w:pBdr>
      <w:spacing w:before="200" w:after="280"/>
      <w:ind w:left="936" w:right="936"/>
    </w:pPr>
    <w:rPr>
      <w:rFonts w:ascii="Century Gothic" w:hAnsi="Century Gothic" w:eastAsia="仿宋_GB2312" w:cs="新宋体"/>
      <w:b/>
      <w:bCs/>
      <w:i/>
      <w:iCs/>
      <w:color w:val="4F81BD"/>
      <w:kern w:val="0"/>
      <w:sz w:val="20"/>
      <w:szCs w:val="20"/>
    </w:rPr>
  </w:style>
  <w:style w:type="paragraph" w:customStyle="1" w:styleId="446">
    <w:name w:val="样式 正文缩进正文（首行缩进两字）表正文正文非缩进特点段1正文不缩进标题4水上软件ALT+Z四号正文文字3..."/>
    <w:basedOn w:val="18"/>
    <w:qFormat/>
    <w:uiPriority w:val="0"/>
    <w:pPr>
      <w:adjustRightInd/>
      <w:spacing w:line="360" w:lineRule="auto"/>
      <w:ind w:firstLine="480" w:firstLineChars="200"/>
      <w:textAlignment w:val="auto"/>
    </w:pPr>
    <w:rPr>
      <w:rFonts w:ascii="Calibri" w:hAnsi="Calibri" w:eastAsia="等线" w:cs="宋体"/>
      <w:sz w:val="24"/>
    </w:rPr>
  </w:style>
  <w:style w:type="paragraph" w:customStyle="1" w:styleId="447">
    <w:name w:val="标书正文格式"/>
    <w:qFormat/>
    <w:uiPriority w:val="0"/>
    <w:pPr>
      <w:spacing w:line="360" w:lineRule="auto"/>
      <w:ind w:firstLine="200" w:firstLineChars="200"/>
    </w:pPr>
    <w:rPr>
      <w:rFonts w:ascii="等线" w:hAnsi="等线" w:eastAsia="Arial Unicode MS" w:cs="等线"/>
      <w:kern w:val="2"/>
      <w:sz w:val="24"/>
      <w:szCs w:val="24"/>
      <w:lang w:val="en-US" w:eastAsia="zh-CN" w:bidi="ar-SA"/>
    </w:rPr>
  </w:style>
  <w:style w:type="paragraph" w:customStyle="1" w:styleId="448">
    <w:name w:val="技术报告正文"/>
    <w:basedOn w:val="1"/>
    <w:qFormat/>
    <w:uiPriority w:val="0"/>
    <w:pPr>
      <w:autoSpaceDE w:val="0"/>
      <w:autoSpaceDN w:val="0"/>
      <w:adjustRightInd w:val="0"/>
      <w:spacing w:beforeLines="50" w:line="440" w:lineRule="exact"/>
      <w:ind w:firstLine="538" w:firstLineChars="192"/>
      <w:jc w:val="left"/>
    </w:pPr>
    <w:rPr>
      <w:rFonts w:ascii="等线" w:hAnsi="等线" w:eastAsia="等线" w:cs="Tahoma"/>
      <w:bCs/>
      <w:kern w:val="0"/>
      <w:sz w:val="28"/>
      <w:szCs w:val="20"/>
    </w:rPr>
  </w:style>
  <w:style w:type="paragraph" w:customStyle="1" w:styleId="449">
    <w:name w:val="无间距1"/>
    <w:basedOn w:val="1"/>
    <w:qFormat/>
    <w:uiPriority w:val="0"/>
    <w:pPr>
      <w:spacing w:line="360" w:lineRule="auto"/>
      <w:ind w:firstLine="200" w:firstLineChars="200"/>
      <w:jc w:val="center"/>
    </w:pPr>
    <w:rPr>
      <w:rFonts w:ascii="等线" w:hAnsi="等线" w:eastAsia="楷体" w:cs="黑体"/>
      <w:sz w:val="24"/>
    </w:rPr>
  </w:style>
  <w:style w:type="paragraph" w:customStyle="1" w:styleId="450">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黑体" w:hAnsi="等线" w:eastAsia="Calibri" w:cs="等线"/>
      <w:kern w:val="0"/>
      <w:sz w:val="24"/>
      <w:szCs w:val="20"/>
    </w:rPr>
  </w:style>
  <w:style w:type="paragraph" w:customStyle="1" w:styleId="451">
    <w:name w:val="注："/>
    <w:next w:val="452"/>
    <w:qFormat/>
    <w:uiPriority w:val="0"/>
    <w:pPr>
      <w:widowControl w:val="0"/>
      <w:tabs>
        <w:tab w:val="left" w:pos="420"/>
      </w:tabs>
      <w:autoSpaceDE w:val="0"/>
      <w:autoSpaceDN w:val="0"/>
      <w:ind w:left="420" w:hanging="420"/>
      <w:jc w:val="both"/>
    </w:pPr>
    <w:rPr>
      <w:rFonts w:ascii="宋体" w:hAnsi="等线" w:eastAsia="等线" w:cs="等线"/>
      <w:sz w:val="18"/>
      <w:szCs w:val="18"/>
      <w:lang w:val="en-US" w:eastAsia="zh-CN" w:bidi="ar-SA"/>
    </w:rPr>
  </w:style>
  <w:style w:type="paragraph" w:customStyle="1" w:styleId="452">
    <w:name w:val="段"/>
    <w:qFormat/>
    <w:uiPriority w:val="0"/>
    <w:pPr>
      <w:autoSpaceDE w:val="0"/>
      <w:autoSpaceDN w:val="0"/>
      <w:ind w:firstLine="200" w:firstLineChars="200"/>
      <w:jc w:val="both"/>
    </w:pPr>
    <w:rPr>
      <w:rFonts w:ascii="仿宋_GB2312" w:hAnsi="等线" w:eastAsia="等线" w:cs="等线"/>
      <w:sz w:val="21"/>
      <w:lang w:val="en-US" w:eastAsia="zh-CN" w:bidi="ar-SA"/>
    </w:rPr>
  </w:style>
  <w:style w:type="paragraph" w:customStyle="1" w:styleId="453">
    <w:name w:val="Char Char Char Char11"/>
    <w:basedOn w:val="1"/>
    <w:qFormat/>
    <w:uiPriority w:val="0"/>
    <w:pPr>
      <w:autoSpaceDE w:val="0"/>
      <w:autoSpaceDN w:val="0"/>
      <w:adjustRightInd w:val="0"/>
      <w:jc w:val="left"/>
    </w:pPr>
    <w:rPr>
      <w:rFonts w:ascii="Cambria" w:hAnsi="Cambria" w:eastAsia="等线" w:cs="等线"/>
      <w:kern w:val="0"/>
      <w:sz w:val="24"/>
      <w:szCs w:val="20"/>
    </w:rPr>
  </w:style>
  <w:style w:type="paragraph" w:customStyle="1" w:styleId="454">
    <w:name w:val="样式 标题 2 + 黑体 行距: 1.5 倍行距"/>
    <w:basedOn w:val="1"/>
    <w:qFormat/>
    <w:uiPriority w:val="0"/>
    <w:pPr>
      <w:tabs>
        <w:tab w:val="left" w:pos="360"/>
        <w:tab w:val="left" w:pos="576"/>
      </w:tabs>
      <w:spacing w:line="360" w:lineRule="auto"/>
      <w:ind w:firstLine="200" w:firstLineChars="200"/>
    </w:pPr>
    <w:rPr>
      <w:rFonts w:ascii="等线" w:hAnsi="等线" w:eastAsia="等线" w:cs="等线"/>
      <w:szCs w:val="20"/>
    </w:rPr>
  </w:style>
  <w:style w:type="paragraph" w:customStyle="1" w:styleId="455">
    <w:name w:val="內文項目之符號"/>
    <w:basedOn w:val="1"/>
    <w:qFormat/>
    <w:uiPriority w:val="0"/>
    <w:pPr>
      <w:widowControl/>
      <w:tabs>
        <w:tab w:val="left" w:pos="1080"/>
      </w:tabs>
      <w:spacing w:before="120" w:line="560" w:lineRule="exact"/>
      <w:ind w:left="1080" w:hanging="1080" w:firstLineChars="200"/>
    </w:pPr>
    <w:rPr>
      <w:rFonts w:ascii="等线" w:hAnsi="等线" w:eastAsia="DFKai-SB" w:cs="等线"/>
      <w:kern w:val="0"/>
      <w:sz w:val="28"/>
      <w:lang w:eastAsia="zh-TW"/>
    </w:rPr>
  </w:style>
  <w:style w:type="paragraph" w:customStyle="1" w:styleId="456">
    <w:name w:val="Char2"/>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457">
    <w:name w:val="Para"/>
    <w:qFormat/>
    <w:uiPriority w:val="0"/>
    <w:pPr>
      <w:spacing w:before="120"/>
    </w:pPr>
    <w:rPr>
      <w:rFonts w:ascii="等线" w:hAnsi="等线" w:eastAsia="等线" w:cs="等线"/>
      <w:sz w:val="18"/>
      <w:lang w:val="en-US" w:eastAsia="zh-CN" w:bidi="ar-SA"/>
    </w:rPr>
  </w:style>
  <w:style w:type="character" w:customStyle="1" w:styleId="458">
    <w:name w:val="引用 字符"/>
    <w:basedOn w:val="66"/>
    <w:link w:val="257"/>
    <w:semiHidden/>
    <w:qFormat/>
    <w:uiPriority w:val="99"/>
    <w:rPr>
      <w:i/>
      <w:iCs/>
      <w:color w:val="000000" w:themeColor="text1"/>
      <w:kern w:val="2"/>
      <w:sz w:val="21"/>
      <w:szCs w:val="24"/>
      <w14:textFill>
        <w14:solidFill>
          <w14:schemeClr w14:val="tx1"/>
        </w14:solidFill>
      </w14:textFill>
    </w:rPr>
  </w:style>
  <w:style w:type="paragraph" w:customStyle="1" w:styleId="459">
    <w:name w:val="标题五"/>
    <w:basedOn w:val="1"/>
    <w:qFormat/>
    <w:uiPriority w:val="0"/>
    <w:pPr>
      <w:tabs>
        <w:tab w:val="left" w:pos="1440"/>
      </w:tabs>
      <w:autoSpaceDE w:val="0"/>
      <w:autoSpaceDN w:val="0"/>
      <w:adjustRightInd w:val="0"/>
      <w:spacing w:beforeLines="50" w:line="360" w:lineRule="auto"/>
      <w:ind w:left="1440" w:hanging="420"/>
      <w:jc w:val="left"/>
    </w:pPr>
    <w:rPr>
      <w:rFonts w:ascii="等线" w:hAnsi="等线" w:eastAsia="等线" w:cs="等线"/>
      <w:b/>
      <w:kern w:val="0"/>
      <w:sz w:val="24"/>
      <w:szCs w:val="20"/>
    </w:rPr>
  </w:style>
  <w:style w:type="paragraph" w:customStyle="1" w:styleId="460">
    <w:name w:val="Char Char1"/>
    <w:basedOn w:val="1"/>
    <w:qFormat/>
    <w:uiPriority w:val="0"/>
    <w:pPr>
      <w:widowControl/>
      <w:spacing w:after="160" w:line="240" w:lineRule="exact"/>
      <w:jc w:val="left"/>
    </w:pPr>
    <w:rPr>
      <w:rFonts w:ascii="Courier New" w:hAnsi="Courier New" w:eastAsia="Arial Unicode MS" w:cs="等线"/>
      <w:b/>
      <w:i/>
      <w:iCs/>
      <w:color w:val="000000"/>
      <w:kern w:val="0"/>
      <w:sz w:val="20"/>
      <w:szCs w:val="20"/>
      <w:lang w:eastAsia="en-US"/>
    </w:rPr>
  </w:style>
  <w:style w:type="paragraph" w:customStyle="1" w:styleId="461">
    <w:name w:val="rm"/>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462">
    <w:name w:val="技术方案正文样式"/>
    <w:basedOn w:val="1"/>
    <w:qFormat/>
    <w:uiPriority w:val="0"/>
    <w:pPr>
      <w:autoSpaceDE w:val="0"/>
      <w:autoSpaceDN w:val="0"/>
      <w:adjustRightInd w:val="0"/>
      <w:spacing w:line="400" w:lineRule="exact"/>
      <w:ind w:firstLine="480" w:firstLineChars="200"/>
    </w:pPr>
    <w:rPr>
      <w:rFonts w:ascii="宋体" w:hAnsi="宋体" w:eastAsia="等线" w:cs="宋体"/>
      <w:sz w:val="24"/>
      <w:szCs w:val="21"/>
    </w:rPr>
  </w:style>
  <w:style w:type="paragraph" w:customStyle="1" w:styleId="463">
    <w:name w:val="xl42"/>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46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65">
    <w:name w:val="NICMAN Body Text"/>
    <w:basedOn w:val="1"/>
    <w:next w:val="2"/>
    <w:qFormat/>
    <w:uiPriority w:val="0"/>
    <w:pPr>
      <w:autoSpaceDE w:val="0"/>
      <w:autoSpaceDN w:val="0"/>
      <w:adjustRightInd w:val="0"/>
      <w:spacing w:after="120"/>
      <w:jc w:val="left"/>
    </w:pPr>
    <w:rPr>
      <w:rFonts w:ascii="等线" w:hAnsi="等线" w:eastAsia="等线" w:cs="等线"/>
      <w:kern w:val="0"/>
      <w:sz w:val="20"/>
      <w:szCs w:val="20"/>
    </w:rPr>
  </w:style>
  <w:style w:type="paragraph" w:customStyle="1" w:styleId="466">
    <w:name w:val="第一個訊息標題"/>
    <w:basedOn w:val="56"/>
    <w:next w:val="56"/>
    <w:qFormat/>
    <w:uiPriority w:val="0"/>
    <w:pPr>
      <w:keepLines/>
      <w:widowControl/>
      <w:pBdr>
        <w:top w:val="none" w:color="auto" w:sz="0" w:space="0"/>
        <w:left w:val="none" w:color="auto" w:sz="0" w:space="0"/>
        <w:bottom w:val="none" w:color="auto" w:sz="0" w:space="0"/>
        <w:right w:val="none" w:color="auto" w:sz="0" w:space="0"/>
      </w:pBdr>
      <w:shd w:val="clear" w:color="auto" w:fill="auto"/>
      <w:tabs>
        <w:tab w:val="left" w:pos="1560"/>
        <w:tab w:val="left" w:pos="4920"/>
        <w:tab w:val="left" w:pos="5640"/>
      </w:tabs>
      <w:overflowPunct w:val="0"/>
      <w:autoSpaceDE w:val="0"/>
      <w:autoSpaceDN w:val="0"/>
      <w:spacing w:line="533" w:lineRule="auto"/>
      <w:ind w:left="1560" w:leftChars="0" w:right="-120" w:hanging="720" w:firstLineChars="0"/>
    </w:pPr>
    <w:rPr>
      <w:rFonts w:eastAsia="MingLiU"/>
      <w:sz w:val="20"/>
      <w:szCs w:val="20"/>
    </w:rPr>
  </w:style>
  <w:style w:type="paragraph" w:customStyle="1" w:styleId="467">
    <w:name w:val="Normal_2"/>
    <w:qFormat/>
    <w:uiPriority w:val="0"/>
    <w:pPr>
      <w:spacing w:before="120" w:after="240"/>
      <w:jc w:val="both"/>
    </w:pPr>
    <w:rPr>
      <w:rFonts w:ascii="等线" w:hAnsi="等线" w:eastAsia="Times New Roman" w:cs="等线"/>
      <w:sz w:val="22"/>
      <w:szCs w:val="22"/>
      <w:lang w:val="en-US" w:eastAsia="en-US" w:bidi="ar-SA"/>
    </w:rPr>
  </w:style>
  <w:style w:type="paragraph" w:customStyle="1" w:styleId="468">
    <w:name w:val="font13"/>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469">
    <w:name w:val="xl9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0">
    <w:name w:val="font10"/>
    <w:basedOn w:val="1"/>
    <w:qFormat/>
    <w:uiPriority w:val="0"/>
    <w:pPr>
      <w:widowControl/>
      <w:spacing w:before="100" w:beforeAutospacing="1" w:after="100" w:afterAutospacing="1"/>
      <w:jc w:val="left"/>
    </w:pPr>
    <w:rPr>
      <w:rFonts w:ascii="等线" w:hAnsi="等线" w:eastAsia="等线" w:cs="等线"/>
      <w:kern w:val="0"/>
      <w:sz w:val="16"/>
      <w:szCs w:val="16"/>
    </w:rPr>
  </w:style>
  <w:style w:type="paragraph" w:customStyle="1" w:styleId="471">
    <w:name w:val="a5"/>
    <w:basedOn w:val="1"/>
    <w:qFormat/>
    <w:uiPriority w:val="0"/>
    <w:pPr>
      <w:widowControl/>
      <w:spacing w:before="100" w:beforeAutospacing="1" w:after="100" w:afterAutospacing="1"/>
      <w:jc w:val="left"/>
    </w:pPr>
    <w:rPr>
      <w:rFonts w:hint="eastAsia" w:ascii="宋体" w:hAnsi="宋体" w:eastAsia="等线" w:cs="等线"/>
      <w:kern w:val="0"/>
      <w:sz w:val="27"/>
      <w:szCs w:val="27"/>
    </w:rPr>
  </w:style>
  <w:style w:type="paragraph" w:customStyle="1" w:styleId="472">
    <w:name w:val="正文3"/>
    <w:qFormat/>
    <w:uiPriority w:val="0"/>
    <w:pPr>
      <w:jc w:val="both"/>
    </w:pPr>
    <w:rPr>
      <w:rFonts w:ascii="等线" w:hAnsi="等线" w:eastAsia="等线" w:cs="等线"/>
      <w:kern w:val="2"/>
      <w:sz w:val="21"/>
      <w:szCs w:val="21"/>
      <w:lang w:val="en-US" w:eastAsia="zh-CN" w:bidi="ar-SA"/>
    </w:rPr>
  </w:style>
  <w:style w:type="paragraph" w:customStyle="1" w:styleId="473">
    <w:name w:val="Char21"/>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7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75">
    <w:name w:val="af17cgridlangnp1033langf"/>
    <w:qFormat/>
    <w:uiPriority w:val="0"/>
    <w:pPr>
      <w:widowControl w:val="0"/>
      <w:autoSpaceDE w:val="0"/>
      <w:autoSpaceDN w:val="0"/>
      <w:adjustRightInd w:val="0"/>
      <w:spacing w:before="156" w:line="360" w:lineRule="atLeast"/>
      <w:ind w:left="567" w:firstLine="510"/>
      <w:jc w:val="both"/>
    </w:pPr>
    <w:rPr>
      <w:rFonts w:ascii="等线" w:hAnsi="等线" w:eastAsia="等线" w:cs="等线"/>
      <w:lang w:val="en-US" w:eastAsia="zh-CN" w:bidi="ar-SA"/>
    </w:rPr>
  </w:style>
  <w:style w:type="paragraph" w:customStyle="1" w:styleId="476">
    <w:name w:val="xl10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7">
    <w:name w:val="xl89"/>
    <w:basedOn w:val="1"/>
    <w:qFormat/>
    <w:uiPriority w:val="0"/>
    <w:pPr>
      <w:widowControl/>
      <w:spacing w:before="100" w:beforeAutospacing="1" w:after="100" w:afterAutospacing="1"/>
      <w:jc w:val="left"/>
    </w:pPr>
    <w:rPr>
      <w:rFonts w:ascii="仿宋_GB2312" w:hAnsi="仿宋_GB2312" w:eastAsia="等线" w:cs="仿宋_GB2312"/>
      <w:kern w:val="0"/>
      <w:sz w:val="24"/>
    </w:rPr>
  </w:style>
  <w:style w:type="paragraph" w:customStyle="1" w:styleId="478">
    <w:name w:val="Char3 Char Char Char Char Char Char"/>
    <w:basedOn w:val="1"/>
    <w:qFormat/>
    <w:uiPriority w:val="0"/>
    <w:pPr>
      <w:widowControl/>
      <w:spacing w:after="160" w:line="240" w:lineRule="exact"/>
      <w:ind w:firstLine="200" w:firstLineChars="200"/>
      <w:jc w:val="left"/>
    </w:pPr>
    <w:rPr>
      <w:rFonts w:ascii="Verdana" w:hAnsi="Verdana" w:eastAsia="等线" w:cs="等线"/>
      <w:kern w:val="0"/>
      <w:sz w:val="18"/>
      <w:szCs w:val="20"/>
      <w:lang w:eastAsia="en-US"/>
    </w:rPr>
  </w:style>
  <w:style w:type="paragraph" w:customStyle="1" w:styleId="47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80">
    <w:name w:val="德山-正文"/>
    <w:basedOn w:val="1"/>
    <w:qFormat/>
    <w:uiPriority w:val="0"/>
    <w:pPr>
      <w:spacing w:beforeLines="50" w:afterLines="50" w:line="360" w:lineRule="auto"/>
      <w:ind w:firstLine="200" w:firstLineChars="200"/>
    </w:pPr>
    <w:rPr>
      <w:rFonts w:ascii="Calibri" w:hAnsi="Calibri" w:eastAsia="等线" w:cs="等线"/>
      <w:sz w:val="24"/>
      <w:szCs w:val="21"/>
    </w:rPr>
  </w:style>
  <w:style w:type="paragraph" w:customStyle="1" w:styleId="481">
    <w:name w:val="样式7"/>
    <w:basedOn w:val="8"/>
    <w:qFormat/>
    <w:uiPriority w:val="0"/>
  </w:style>
  <w:style w:type="paragraph" w:customStyle="1" w:styleId="482">
    <w:name w:val="正文缩进3"/>
    <w:basedOn w:val="1"/>
    <w:qFormat/>
    <w:uiPriority w:val="0"/>
    <w:pPr>
      <w:spacing w:line="360" w:lineRule="auto"/>
      <w:ind w:firstLine="420" w:firstLineChars="200"/>
    </w:pPr>
    <w:rPr>
      <w:rFonts w:ascii="等线" w:hAnsi="等线" w:eastAsia="等线" w:cs="等线"/>
      <w:szCs w:val="20"/>
    </w:rPr>
  </w:style>
  <w:style w:type="paragraph" w:customStyle="1" w:styleId="483">
    <w:name w:val="xl6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84">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85">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86">
    <w:name w:val="Char1"/>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487">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0"/>
      <w:szCs w:val="20"/>
    </w:rPr>
  </w:style>
  <w:style w:type="paragraph" w:customStyle="1" w:styleId="488">
    <w:name w:val="样式 标题 3 + 黑体 小四 非加粗"/>
    <w:basedOn w:val="7"/>
    <w:qFormat/>
    <w:uiPriority w:val="0"/>
    <w:pPr>
      <w:spacing w:before="0" w:after="0" w:line="415" w:lineRule="auto"/>
    </w:pPr>
    <w:rPr>
      <w:rFonts w:ascii="Helvetica" w:hAnsi="Helvetica" w:eastAsia="Helvetica"/>
      <w:b w:val="0"/>
      <w:bCs w:val="0"/>
      <w:kern w:val="0"/>
      <w:sz w:val="24"/>
    </w:rPr>
  </w:style>
  <w:style w:type="paragraph" w:customStyle="1" w:styleId="489">
    <w:name w:val="工可正文"/>
    <w:basedOn w:val="34"/>
    <w:qFormat/>
    <w:uiPriority w:val="0"/>
    <w:pPr>
      <w:widowControl w:val="0"/>
      <w:overflowPunct/>
      <w:autoSpaceDE/>
      <w:autoSpaceDN/>
      <w:adjustRightInd/>
      <w:ind w:firstLine="560" w:firstLineChars="200"/>
      <w:jc w:val="both"/>
      <w:textAlignment w:val="auto"/>
    </w:pPr>
    <w:rPr>
      <w:rFonts w:ascii="Times New Roman" w:hAnsi="Times New Roman" w:eastAsia="等线"/>
      <w:sz w:val="28"/>
      <w:szCs w:val="20"/>
    </w:rPr>
  </w:style>
  <w:style w:type="paragraph" w:customStyle="1" w:styleId="490">
    <w:name w:val="xl57"/>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491">
    <w:name w:val="Table Contents"/>
    <w:basedOn w:val="1"/>
    <w:qFormat/>
    <w:uiPriority w:val="0"/>
    <w:pPr>
      <w:suppressAutoHyphens/>
      <w:autoSpaceDE w:val="0"/>
      <w:autoSpaceDN w:val="0"/>
      <w:adjustRightInd w:val="0"/>
      <w:spacing w:after="120"/>
      <w:jc w:val="left"/>
    </w:pPr>
    <w:rPr>
      <w:rFonts w:ascii="ˎ̥" w:hAnsi="ˎ̥" w:eastAsia="等线" w:cs="等线"/>
      <w:kern w:val="1"/>
      <w:sz w:val="20"/>
      <w:szCs w:val="20"/>
    </w:rPr>
  </w:style>
  <w:style w:type="paragraph" w:customStyle="1" w:styleId="492">
    <w:name w:val="Char3"/>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93">
    <w:name w:val="信息标题2"/>
    <w:basedOn w:val="19"/>
    <w:next w:val="19"/>
    <w:qFormat/>
    <w:uiPriority w:val="0"/>
    <w:pPr>
      <w:spacing w:beforeLines="50" w:afterLines="50" w:line="360" w:lineRule="auto"/>
      <w:ind w:left="422" w:hanging="422" w:hangingChars="200"/>
      <w:jc w:val="left"/>
    </w:pPr>
    <w:rPr>
      <w:rFonts w:ascii="Arial Black" w:hAnsi="Arial Black" w:eastAsia="宋体"/>
      <w:b/>
      <w:bCs/>
      <w:sz w:val="30"/>
    </w:rPr>
  </w:style>
  <w:style w:type="paragraph" w:customStyle="1" w:styleId="494">
    <w:name w:val="地址內名稱"/>
    <w:basedOn w:val="1"/>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49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等线" w:hAnsi="等线" w:eastAsia="等线" w:cs="等线"/>
      <w:b/>
      <w:w w:val="170"/>
      <w:sz w:val="96"/>
      <w:szCs w:val="96"/>
      <w:lang w:val="en-US" w:eastAsia="zh-CN" w:bidi="ar-SA"/>
    </w:rPr>
  </w:style>
  <w:style w:type="paragraph" w:customStyle="1" w:styleId="496">
    <w:name w:val="样式 标题 1"/>
    <w:basedOn w:val="5"/>
    <w:next w:val="1"/>
    <w:qFormat/>
    <w:uiPriority w:val="0"/>
    <w:pPr>
      <w:keepNext w:val="0"/>
      <w:pageBreakBefore/>
      <w:tabs>
        <w:tab w:val="left" w:pos="584"/>
      </w:tabs>
      <w:adjustRightInd w:val="0"/>
      <w:snapToGrid w:val="0"/>
      <w:spacing w:beforeLines="100" w:line="480" w:lineRule="exact"/>
      <w:ind w:left="360"/>
    </w:pPr>
    <w:rPr>
      <w:rFonts w:ascii="黑体" w:hAnsi="宋体" w:eastAsia="黑体" w:cs="宋体"/>
      <w:color w:val="000000"/>
      <w:sz w:val="36"/>
      <w:szCs w:val="36"/>
    </w:rPr>
  </w:style>
  <w:style w:type="paragraph" w:customStyle="1" w:styleId="497">
    <w:name w:val="样式 四号 首行缩进:  1 厘米"/>
    <w:basedOn w:val="1"/>
    <w:qFormat/>
    <w:uiPriority w:val="0"/>
    <w:pPr>
      <w:spacing w:line="440" w:lineRule="exact"/>
      <w:ind w:firstLine="567"/>
    </w:pPr>
    <w:rPr>
      <w:rFonts w:ascii="等线" w:hAnsi="等线" w:eastAsia="等线" w:cs="宋体"/>
      <w:sz w:val="28"/>
      <w:szCs w:val="20"/>
    </w:rPr>
  </w:style>
  <w:style w:type="paragraph" w:customStyle="1" w:styleId="498">
    <w:name w:val="xl76"/>
    <w:basedOn w:val="1"/>
    <w:qFormat/>
    <w:uiPriority w:val="0"/>
    <w:pPr>
      <w:widowControl/>
      <w:pBdr>
        <w:top w:val="single" w:color="auto" w:sz="4" w:space="0"/>
        <w:bottom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99">
    <w:name w:val="Item List in Table"/>
    <w:qFormat/>
    <w:uiPriority w:val="0"/>
    <w:pPr>
      <w:tabs>
        <w:tab w:val="left" w:pos="284"/>
        <w:tab w:val="left" w:pos="720"/>
      </w:tabs>
      <w:spacing w:before="40" w:after="40"/>
      <w:ind w:left="720" w:hanging="720"/>
      <w:jc w:val="both"/>
    </w:pPr>
    <w:rPr>
      <w:rFonts w:ascii="Century Gothic" w:hAnsi="Century Gothic" w:eastAsia="等线" w:cs="Tahoma"/>
      <w:kern w:val="2"/>
      <w:sz w:val="18"/>
      <w:szCs w:val="18"/>
      <w:lang w:val="en-US" w:eastAsia="zh-CN" w:bidi="ar-SA"/>
    </w:rPr>
  </w:style>
  <w:style w:type="paragraph" w:customStyle="1" w:styleId="50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01">
    <w:name w:val="Body"/>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等线" w:cs="等线"/>
      <w:color w:val="000000"/>
      <w:sz w:val="18"/>
      <w:lang w:val="en-US" w:eastAsia="en-US" w:bidi="ar-SA"/>
    </w:rPr>
  </w:style>
  <w:style w:type="paragraph" w:customStyle="1" w:styleId="502">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03">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04">
    <w:name w:val="_Style 113"/>
    <w:basedOn w:val="1"/>
    <w:qFormat/>
    <w:uiPriority w:val="0"/>
    <w:pPr>
      <w:spacing w:line="360" w:lineRule="auto"/>
      <w:ind w:firstLine="420" w:firstLineChars="200"/>
    </w:pPr>
    <w:rPr>
      <w:rFonts w:ascii="等线" w:hAnsi="等线" w:eastAsia="等线" w:cs="等线"/>
      <w:szCs w:val="20"/>
    </w:rPr>
  </w:style>
  <w:style w:type="paragraph" w:customStyle="1" w:styleId="505">
    <w:name w:val="正文段落 Char"/>
    <w:basedOn w:val="1"/>
    <w:qFormat/>
    <w:uiPriority w:val="0"/>
    <w:pPr>
      <w:spacing w:line="360" w:lineRule="auto"/>
      <w:ind w:firstLine="480" w:firstLineChars="200"/>
    </w:pPr>
    <w:rPr>
      <w:rFonts w:ascii="等线" w:hAnsi="等线" w:eastAsia="等线" w:cs="等线"/>
      <w:kern w:val="0"/>
      <w:sz w:val="24"/>
      <w:szCs w:val="20"/>
    </w:rPr>
  </w:style>
  <w:style w:type="paragraph" w:customStyle="1" w:styleId="506">
    <w:name w:val="章标题"/>
    <w:next w:val="1"/>
    <w:qFormat/>
    <w:uiPriority w:val="0"/>
    <w:pPr>
      <w:spacing w:beforeLines="50" w:afterLines="50"/>
      <w:jc w:val="both"/>
      <w:outlineLvl w:val="1"/>
    </w:pPr>
    <w:rPr>
      <w:rFonts w:ascii="Helvetica" w:hAnsi="等线" w:eastAsia="Helvetica" w:cs="等线"/>
      <w:sz w:val="21"/>
      <w:lang w:val="en-US" w:eastAsia="zh-CN" w:bidi="ar-SA"/>
    </w:rPr>
  </w:style>
  <w:style w:type="paragraph" w:customStyle="1" w:styleId="507">
    <w:name w:val="五级条标题"/>
    <w:basedOn w:val="424"/>
    <w:next w:val="1"/>
    <w:qFormat/>
    <w:uiPriority w:val="0"/>
    <w:pPr>
      <w:outlineLvl w:val="6"/>
    </w:pPr>
  </w:style>
  <w:style w:type="paragraph" w:customStyle="1" w:styleId="508">
    <w:name w:val="條文12"/>
    <w:basedOn w:val="1"/>
    <w:qFormat/>
    <w:uiPriority w:val="0"/>
    <w:pPr>
      <w:adjustRightInd w:val="0"/>
      <w:spacing w:line="400" w:lineRule="atLeast"/>
      <w:ind w:left="1186" w:hanging="284" w:firstLineChars="200"/>
      <w:jc w:val="left"/>
      <w:textAlignment w:val="baseline"/>
    </w:pPr>
    <w:rPr>
      <w:rFonts w:ascii="全真楷書" w:hAnsi="等线" w:eastAsia="全真楷書" w:cs="等线"/>
      <w:kern w:val="0"/>
      <w:sz w:val="28"/>
      <w:szCs w:val="20"/>
      <w:lang w:eastAsia="zh-TW"/>
    </w:rPr>
  </w:style>
  <w:style w:type="paragraph" w:customStyle="1" w:styleId="509">
    <w:name w:val="数字级连标题1"/>
    <w:basedOn w:val="5"/>
    <w:next w:val="1"/>
    <w:qFormat/>
    <w:uiPriority w:val="0"/>
    <w:pPr>
      <w:keepLines/>
      <w:tabs>
        <w:tab w:val="left" w:pos="390"/>
      </w:tabs>
      <w:spacing w:line="360" w:lineRule="auto"/>
      <w:ind w:left="390" w:hanging="390"/>
      <w:jc w:val="both"/>
    </w:pPr>
    <w:rPr>
      <w:rFonts w:ascii="等线" w:hAnsi="等线" w:eastAsia="等线"/>
      <w:bCs w:val="0"/>
      <w:sz w:val="28"/>
      <w:szCs w:val="20"/>
      <w:lang w:eastAsia="ar-SA"/>
    </w:rPr>
  </w:style>
  <w:style w:type="paragraph" w:customStyle="1" w:styleId="510">
    <w:name w:val="款1"/>
    <w:basedOn w:val="508"/>
    <w:qFormat/>
    <w:uiPriority w:val="0"/>
    <w:pPr>
      <w:ind w:left="1146"/>
    </w:pPr>
  </w:style>
  <w:style w:type="paragraph" w:customStyle="1" w:styleId="511">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12">
    <w:name w:val="段落正文"/>
    <w:basedOn w:val="1"/>
    <w:qFormat/>
    <w:uiPriority w:val="0"/>
    <w:pPr>
      <w:spacing w:before="140" w:after="140" w:line="401" w:lineRule="auto"/>
      <w:ind w:firstLine="200" w:firstLineChars="200"/>
    </w:pPr>
    <w:rPr>
      <w:rFonts w:ascii="宋体" w:hAnsi="宋体" w:eastAsia="等线" w:cs="等线"/>
    </w:rPr>
  </w:style>
  <w:style w:type="paragraph" w:customStyle="1" w:styleId="513">
    <w:name w:val="密级编号"/>
    <w:basedOn w:val="1"/>
    <w:qFormat/>
    <w:uiPriority w:val="0"/>
    <w:pPr>
      <w:adjustRightInd w:val="0"/>
      <w:jc w:val="center"/>
      <w:textAlignment w:val="baseline"/>
    </w:pPr>
    <w:rPr>
      <w:rFonts w:ascii="仿宋_GB2312" w:hAnsi="等线" w:eastAsia="仿宋_GB2312" w:cs="等线"/>
      <w:kern w:val="0"/>
      <w:sz w:val="24"/>
      <w:szCs w:val="20"/>
    </w:rPr>
  </w:style>
  <w:style w:type="paragraph" w:customStyle="1" w:styleId="51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51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Calibri" w:hAnsi="Calibri" w:eastAsia="Calibri" w:cs="仿宋_GB2312"/>
      <w:color w:val="000000"/>
      <w:kern w:val="0"/>
      <w:sz w:val="24"/>
    </w:rPr>
  </w:style>
  <w:style w:type="paragraph" w:customStyle="1" w:styleId="516">
    <w:name w:val="標題 (一)"/>
    <w:basedOn w:val="6"/>
    <w:qFormat/>
    <w:uiPriority w:val="0"/>
    <w:pPr>
      <w:tabs>
        <w:tab w:val="left" w:pos="709"/>
      </w:tabs>
      <w:adjustRightInd w:val="0"/>
      <w:spacing w:before="0" w:after="0" w:line="567" w:lineRule="atLeast"/>
      <w:ind w:left="709" w:hanging="567" w:firstLineChars="200"/>
      <w:textAlignment w:val="baseline"/>
      <w:outlineLvl w:val="9"/>
    </w:pPr>
    <w:rPr>
      <w:rFonts w:ascii="PMingLiU" w:hAnsi="Times New Roman" w:eastAsia="PMingLiU"/>
      <w:b w:val="0"/>
      <w:bCs w:val="0"/>
      <w:kern w:val="0"/>
      <w:sz w:val="28"/>
      <w:szCs w:val="20"/>
      <w:lang w:eastAsia="zh-TW"/>
    </w:rPr>
  </w:style>
  <w:style w:type="paragraph" w:customStyle="1" w:styleId="517">
    <w:name w:val="List Paragraph11"/>
    <w:basedOn w:val="1"/>
    <w:qFormat/>
    <w:uiPriority w:val="0"/>
    <w:pPr>
      <w:ind w:firstLine="420" w:firstLineChars="200"/>
    </w:pPr>
    <w:rPr>
      <w:rFonts w:ascii="Century Gothic" w:hAnsi="Century Gothic" w:eastAsia="仿宋_GB2312" w:cs="新宋体"/>
      <w:szCs w:val="22"/>
    </w:rPr>
  </w:style>
  <w:style w:type="paragraph" w:customStyle="1" w:styleId="518">
    <w:name w:val="正文文字 5"/>
    <w:basedOn w:val="27"/>
    <w:qFormat/>
    <w:uiPriority w:val="0"/>
    <w:pPr>
      <w:adjustRightInd w:val="0"/>
      <w:spacing w:after="120" w:line="312" w:lineRule="atLeast"/>
      <w:ind w:left="420" w:firstLine="0" w:firstLineChars="0"/>
      <w:textAlignment w:val="baseline"/>
    </w:pPr>
    <w:rPr>
      <w:rFonts w:ascii="等线" w:hAnsi="等线" w:cs="等线"/>
      <w:kern w:val="0"/>
      <w:sz w:val="21"/>
      <w:szCs w:val="20"/>
    </w:rPr>
  </w:style>
  <w:style w:type="paragraph" w:customStyle="1" w:styleId="51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2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8"/>
      <w:szCs w:val="28"/>
    </w:rPr>
  </w:style>
  <w:style w:type="paragraph" w:customStyle="1" w:styleId="521">
    <w:name w:val="xl10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522">
    <w:name w:val="七级标题"/>
    <w:basedOn w:val="11"/>
    <w:qFormat/>
    <w:uiPriority w:val="0"/>
    <w:pPr>
      <w:adjustRightInd/>
      <w:spacing w:line="320" w:lineRule="auto"/>
      <w:ind w:left="1276" w:hanging="1276"/>
      <w:textAlignment w:val="auto"/>
    </w:pPr>
    <w:rPr>
      <w:rFonts w:ascii="黑体" w:hAnsi="黑体" w:eastAsia="黑体"/>
      <w:bCs/>
      <w:kern w:val="0"/>
    </w:rPr>
  </w:style>
  <w:style w:type="paragraph" w:customStyle="1" w:styleId="523">
    <w:name w:val="样式 标题 1Level 1Level 11h1II+IHeading1H1-Heading 1Header 1..."/>
    <w:basedOn w:val="5"/>
    <w:qFormat/>
    <w:uiPriority w:val="0"/>
    <w:pPr>
      <w:keepLines/>
      <w:pageBreakBefore/>
      <w:spacing w:line="360" w:lineRule="auto"/>
      <w:ind w:left="1680" w:hanging="420"/>
      <w:jc w:val="left"/>
    </w:pPr>
    <w:rPr>
      <w:rFonts w:ascii="Tahoma" w:hAnsi="Tahoma" w:eastAsia="Helvetica" w:cs="仿宋_GB2312"/>
      <w:kern w:val="44"/>
      <w:sz w:val="44"/>
      <w:szCs w:val="20"/>
    </w:rPr>
  </w:style>
  <w:style w:type="paragraph" w:customStyle="1" w:styleId="524">
    <w:name w:val="button"/>
    <w:basedOn w:val="1"/>
    <w:qFormat/>
    <w:uiPriority w:val="0"/>
    <w:pPr>
      <w:widowControl/>
      <w:autoSpaceDE w:val="0"/>
      <w:autoSpaceDN w:val="0"/>
      <w:adjustRightInd w:val="0"/>
      <w:spacing w:before="100" w:beforeAutospacing="1" w:after="100" w:afterAutospacing="1"/>
      <w:jc w:val="left"/>
    </w:pPr>
    <w:rPr>
      <w:rFonts w:ascii="等线" w:hAnsi="等线" w:eastAsia="等线" w:cs="等线"/>
      <w:color w:val="000000"/>
      <w:kern w:val="0"/>
      <w:sz w:val="24"/>
      <w:szCs w:val="20"/>
    </w:rPr>
  </w:style>
  <w:style w:type="paragraph" w:customStyle="1" w:styleId="525">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26">
    <w:name w:val="正文样式 首行缩进:  0.74 厘米"/>
    <w:basedOn w:val="1"/>
    <w:qFormat/>
    <w:uiPriority w:val="0"/>
    <w:pPr>
      <w:autoSpaceDE w:val="0"/>
      <w:autoSpaceDN w:val="0"/>
      <w:adjustRightInd w:val="0"/>
      <w:spacing w:beforeLines="50" w:line="360" w:lineRule="auto"/>
      <w:ind w:firstLine="420"/>
      <w:jc w:val="left"/>
    </w:pPr>
    <w:rPr>
      <w:rFonts w:ascii="等线" w:hAnsi="等线" w:eastAsia="等线" w:cs="仿宋_GB2312"/>
      <w:kern w:val="0"/>
      <w:sz w:val="24"/>
      <w:szCs w:val="20"/>
    </w:rPr>
  </w:style>
  <w:style w:type="paragraph" w:customStyle="1" w:styleId="527">
    <w:name w:val="普通(Web)"/>
    <w:basedOn w:val="1"/>
    <w:qFormat/>
    <w:uiPriority w:val="0"/>
    <w:pPr>
      <w:widowControl/>
      <w:spacing w:before="100" w:beforeAutospacing="1" w:after="100" w:afterAutospacing="1" w:line="240" w:lineRule="atLeast"/>
      <w:ind w:firstLine="360" w:firstLineChars="200"/>
      <w:jc w:val="left"/>
    </w:pPr>
    <w:rPr>
      <w:rFonts w:ascii="宋体" w:hAnsi="宋体" w:eastAsia="等线" w:cs="等线"/>
      <w:kern w:val="0"/>
      <w:sz w:val="18"/>
      <w:szCs w:val="18"/>
    </w:rPr>
  </w:style>
  <w:style w:type="paragraph" w:customStyle="1" w:styleId="528">
    <w:name w:val="标题 11"/>
    <w:basedOn w:val="1"/>
    <w:next w:val="1"/>
    <w:qFormat/>
    <w:uiPriority w:val="0"/>
    <w:pPr>
      <w:tabs>
        <w:tab w:val="left" w:pos="420"/>
        <w:tab w:val="left" w:pos="568"/>
      </w:tabs>
      <w:adjustRightInd w:val="0"/>
      <w:spacing w:line="567" w:lineRule="atLeast"/>
      <w:ind w:firstLine="200" w:firstLineChars="200"/>
      <w:jc w:val="left"/>
      <w:textAlignment w:val="baseline"/>
    </w:pPr>
    <w:rPr>
      <w:rFonts w:ascii="MingLiU" w:hAnsi="等线" w:eastAsia="MingLiU" w:cs="等线"/>
      <w:b/>
      <w:kern w:val="0"/>
      <w:sz w:val="24"/>
      <w:szCs w:val="20"/>
      <w:lang w:eastAsia="zh-TW"/>
    </w:rPr>
  </w:style>
  <w:style w:type="paragraph" w:customStyle="1" w:styleId="529">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0">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1">
    <w:name w:val="Char Char Char Char Char Char Char Char Char Char Char Char1 Char"/>
    <w:basedOn w:val="1"/>
    <w:qFormat/>
    <w:uiPriority w:val="0"/>
    <w:pPr>
      <w:snapToGrid w:val="0"/>
      <w:spacing w:line="360" w:lineRule="auto"/>
      <w:ind w:firstLine="200" w:firstLineChars="200"/>
    </w:pPr>
    <w:rPr>
      <w:rFonts w:ascii="等线" w:hAnsi="等线" w:eastAsia="等线" w:cs="等线"/>
      <w:szCs w:val="20"/>
    </w:rPr>
  </w:style>
  <w:style w:type="paragraph" w:customStyle="1" w:styleId="532">
    <w:name w:val="xl43"/>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3">
    <w:name w:val="表格栏头"/>
    <w:basedOn w:val="534"/>
    <w:next w:val="534"/>
    <w:qFormat/>
    <w:uiPriority w:val="0"/>
    <w:rPr>
      <w:b/>
    </w:rPr>
  </w:style>
  <w:style w:type="paragraph" w:customStyle="1" w:styleId="534">
    <w:name w:val="表格正文"/>
    <w:basedOn w:val="1"/>
    <w:qFormat/>
    <w:uiPriority w:val="0"/>
    <w:pPr>
      <w:widowControl/>
      <w:overflowPunct w:val="0"/>
      <w:autoSpaceDE w:val="0"/>
      <w:autoSpaceDN w:val="0"/>
      <w:adjustRightInd w:val="0"/>
      <w:spacing w:before="312" w:after="312" w:line="360" w:lineRule="auto"/>
      <w:ind w:firstLine="200" w:firstLineChars="200"/>
      <w:jc w:val="left"/>
      <w:textAlignment w:val="baseline"/>
    </w:pPr>
    <w:rPr>
      <w:rFonts w:ascii="宋体" w:hAnsi="Tahoma" w:eastAsia="等线" w:cs="等线"/>
      <w:kern w:val="0"/>
      <w:sz w:val="24"/>
      <w:szCs w:val="20"/>
    </w:rPr>
  </w:style>
  <w:style w:type="paragraph" w:customStyle="1" w:styleId="535">
    <w:name w:val="Char Char Char Char Char Char Char Char Char Char Char Char Char Char Char Char Char Char Char"/>
    <w:basedOn w:val="1"/>
    <w:qFormat/>
    <w:uiPriority w:val="0"/>
    <w:rPr>
      <w:rFonts w:ascii="黑体" w:hAnsi="等线" w:eastAsia="黑体" w:cs="等线"/>
      <w:b/>
      <w:sz w:val="32"/>
      <w:szCs w:val="32"/>
    </w:rPr>
  </w:style>
  <w:style w:type="paragraph" w:customStyle="1" w:styleId="536">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38">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9">
    <w:name w:val="修订2"/>
    <w:qFormat/>
    <w:uiPriority w:val="99"/>
    <w:rPr>
      <w:rFonts w:ascii="等线" w:hAnsi="等线" w:eastAsia="等线" w:cs="等线"/>
      <w:kern w:val="2"/>
      <w:sz w:val="21"/>
      <w:szCs w:val="24"/>
      <w:lang w:val="en-US" w:eastAsia="zh-CN" w:bidi="ar-SA"/>
    </w:rPr>
  </w:style>
  <w:style w:type="paragraph" w:customStyle="1" w:styleId="540">
    <w:name w:val="Item Step in Table"/>
    <w:qFormat/>
    <w:uiPriority w:val="0"/>
    <w:pPr>
      <w:tabs>
        <w:tab w:val="left" w:pos="397"/>
      </w:tabs>
      <w:spacing w:before="40" w:after="40"/>
      <w:ind w:left="420" w:hanging="420"/>
      <w:jc w:val="both"/>
    </w:pPr>
    <w:rPr>
      <w:rFonts w:ascii="Arial" w:hAnsi="Arial" w:eastAsia="等线" w:cs="等线"/>
      <w:sz w:val="18"/>
      <w:lang w:val="en-US" w:eastAsia="zh-CN" w:bidi="ar-SA"/>
    </w:rPr>
  </w:style>
  <w:style w:type="paragraph" w:customStyle="1" w:styleId="541">
    <w:name w:val="样式 左侧:  0.85 厘米 首行缩进:  0.85 厘米"/>
    <w:basedOn w:val="1"/>
    <w:qFormat/>
    <w:uiPriority w:val="0"/>
    <w:pPr>
      <w:autoSpaceDE w:val="0"/>
      <w:autoSpaceDN w:val="0"/>
      <w:adjustRightInd w:val="0"/>
      <w:spacing w:line="360" w:lineRule="auto"/>
      <w:ind w:firstLine="482"/>
      <w:jc w:val="left"/>
    </w:pPr>
    <w:rPr>
      <w:rFonts w:ascii="等线" w:hAnsi="等线" w:eastAsia="等线" w:cs="仿宋_GB2312"/>
      <w:kern w:val="0"/>
      <w:sz w:val="24"/>
      <w:szCs w:val="20"/>
    </w:rPr>
  </w:style>
  <w:style w:type="paragraph" w:customStyle="1" w:styleId="542">
    <w:name w:val="Copyright"/>
    <w:basedOn w:val="2"/>
    <w:qFormat/>
    <w:uiPriority w:val="0"/>
    <w:pPr>
      <w:widowControl/>
      <w:spacing w:before="480" w:after="60" w:line="360" w:lineRule="auto"/>
      <w:ind w:firstLine="200" w:firstLineChars="200"/>
      <w:jc w:val="center"/>
    </w:pPr>
    <w:rPr>
      <w:rFonts w:ascii="Trebuchet MS" w:hAnsi="Trebuchet MS" w:eastAsia="等线" w:cs="Trebuchet MS"/>
      <w:b/>
      <w:color w:val="042D56"/>
      <w:kern w:val="0"/>
      <w:sz w:val="20"/>
    </w:rPr>
  </w:style>
  <w:style w:type="paragraph" w:customStyle="1" w:styleId="54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544">
    <w:name w:val="标准段落"/>
    <w:basedOn w:val="1"/>
    <w:qFormat/>
    <w:uiPriority w:val="0"/>
    <w:pPr>
      <w:spacing w:after="120" w:line="360" w:lineRule="auto"/>
      <w:ind w:firstLine="420"/>
    </w:pPr>
    <w:rPr>
      <w:rFonts w:ascii="Helvetica" w:hAnsi="仿宋_GB2312" w:eastAsia="Helvetica" w:cs="等线"/>
      <w:b/>
      <w:spacing w:val="6"/>
      <w:szCs w:val="22"/>
    </w:rPr>
  </w:style>
  <w:style w:type="paragraph" w:customStyle="1" w:styleId="545">
    <w:name w:val="features1"/>
    <w:basedOn w:val="1"/>
    <w:qFormat/>
    <w:uiPriority w:val="0"/>
    <w:pPr>
      <w:widowControl/>
      <w:spacing w:before="100" w:beforeAutospacing="1" w:after="100" w:afterAutospacing="1"/>
      <w:jc w:val="left"/>
    </w:pPr>
    <w:rPr>
      <w:rFonts w:ascii="仿宋_GB2312" w:hAnsi="仿宋_GB2312" w:eastAsia="等线" w:cs="仿宋_GB2312"/>
      <w:b/>
      <w:bCs/>
      <w:kern w:val="0"/>
      <w:sz w:val="18"/>
      <w:szCs w:val="18"/>
    </w:rPr>
  </w:style>
  <w:style w:type="paragraph" w:customStyle="1" w:styleId="546">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47">
    <w:name w:val="kpk:2级"/>
    <w:basedOn w:val="6"/>
    <w:qFormat/>
    <w:uiPriority w:val="0"/>
    <w:pPr>
      <w:keepLines w:val="0"/>
      <w:widowControl/>
      <w:tabs>
        <w:tab w:val="left" w:pos="643"/>
        <w:tab w:val="left" w:pos="1440"/>
      </w:tabs>
      <w:spacing w:before="0" w:after="0" w:line="360" w:lineRule="auto"/>
      <w:ind w:left="357" w:hanging="357" w:firstLineChars="200"/>
    </w:pPr>
    <w:rPr>
      <w:rFonts w:ascii="Arial" w:hAnsi="Arial" w:eastAsia="等线"/>
      <w:sz w:val="28"/>
      <w:szCs w:val="30"/>
    </w:rPr>
  </w:style>
  <w:style w:type="paragraph" w:customStyle="1" w:styleId="548">
    <w:name w:val="Plain Text1"/>
    <w:basedOn w:val="1"/>
    <w:qFormat/>
    <w:uiPriority w:val="0"/>
    <w:pPr>
      <w:adjustRightInd w:val="0"/>
      <w:spacing w:line="360" w:lineRule="auto"/>
      <w:ind w:firstLine="200" w:firstLineChars="200"/>
      <w:jc w:val="left"/>
      <w:textAlignment w:val="baseline"/>
    </w:pPr>
    <w:rPr>
      <w:rFonts w:ascii="MingLiU" w:hAnsi="Courier New" w:eastAsia="MingLiU" w:cs="等线"/>
      <w:sz w:val="24"/>
      <w:szCs w:val="20"/>
      <w:lang w:eastAsia="zh-TW"/>
    </w:rPr>
  </w:style>
  <w:style w:type="paragraph" w:customStyle="1" w:styleId="54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50">
    <w:name w:val="标题1"/>
    <w:basedOn w:val="60"/>
    <w:qFormat/>
    <w:uiPriority w:val="0"/>
    <w:pPr>
      <w:autoSpaceDE/>
      <w:autoSpaceDN/>
      <w:adjustRightInd/>
      <w:spacing w:after="240"/>
      <w:ind w:firstLine="200" w:firstLineChars="200"/>
    </w:pPr>
    <w:rPr>
      <w:rFonts w:ascii="Arial" w:hAnsi="Arial" w:eastAsia="宋体"/>
      <w:bCs w:val="0"/>
      <w:spacing w:val="2"/>
      <w:kern w:val="2"/>
      <w:sz w:val="44"/>
      <w:szCs w:val="20"/>
    </w:rPr>
  </w:style>
  <w:style w:type="paragraph" w:customStyle="1" w:styleId="551">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2">
    <w:name w:val="1."/>
    <w:basedOn w:val="7"/>
    <w:qFormat/>
    <w:uiPriority w:val="0"/>
    <w:pPr>
      <w:widowControl/>
      <w:autoSpaceDE w:val="0"/>
      <w:autoSpaceDN w:val="0"/>
      <w:adjustRightInd w:val="0"/>
      <w:spacing w:before="0" w:after="0" w:line="240" w:lineRule="atLeast"/>
      <w:ind w:left="360" w:hanging="284" w:firstLineChars="200"/>
      <w:textAlignment w:val="bottom"/>
      <w:outlineLvl w:val="9"/>
    </w:pPr>
    <w:rPr>
      <w:rFonts w:ascii="等线" w:hAnsi="等线" w:eastAsia="DFKai-SB"/>
      <w:b w:val="0"/>
      <w:bCs w:val="0"/>
      <w:kern w:val="0"/>
      <w:sz w:val="24"/>
      <w:szCs w:val="20"/>
      <w:lang w:eastAsia="zh-TW"/>
    </w:rPr>
  </w:style>
  <w:style w:type="paragraph" w:customStyle="1" w:styleId="553">
    <w:name w:val="文字"/>
    <w:basedOn w:val="1"/>
    <w:qFormat/>
    <w:uiPriority w:val="0"/>
    <w:pPr>
      <w:tabs>
        <w:tab w:val="left" w:pos="8520"/>
      </w:tabs>
      <w:spacing w:line="312" w:lineRule="auto"/>
      <w:ind w:right="-210" w:firstLine="556"/>
    </w:pPr>
    <w:rPr>
      <w:rFonts w:ascii="仿宋_GB2312" w:hAnsi="等线" w:eastAsia="等线" w:cs="等线"/>
      <w:sz w:val="28"/>
      <w:szCs w:val="20"/>
    </w:rPr>
  </w:style>
  <w:style w:type="paragraph" w:customStyle="1" w:styleId="554">
    <w:name w:val="版权"/>
    <w:basedOn w:val="1"/>
    <w:qFormat/>
    <w:uiPriority w:val="0"/>
    <w:pPr>
      <w:spacing w:before="312" w:after="312" w:line="360" w:lineRule="auto"/>
      <w:ind w:firstLine="480" w:firstLineChars="200"/>
      <w:jc w:val="center"/>
      <w:outlineLvl w:val="0"/>
    </w:pPr>
    <w:rPr>
      <w:rFonts w:ascii="华文中宋" w:hAnsi="华文中宋" w:eastAsia="等线" w:cs="等线"/>
      <w:b/>
      <w:sz w:val="24"/>
      <w:szCs w:val="20"/>
    </w:rPr>
  </w:style>
  <w:style w:type="paragraph" w:customStyle="1" w:styleId="555">
    <w:name w:val="greytypebeni"/>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55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等线" w:eastAsia="黑体" w:cs="等线"/>
      <w:sz w:val="52"/>
      <w:szCs w:val="22"/>
      <w:lang w:val="en-US" w:eastAsia="zh-CN" w:bidi="ar-SA"/>
    </w:rPr>
  </w:style>
  <w:style w:type="paragraph" w:customStyle="1" w:styleId="557">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8">
    <w:name w:val="Paragraf"/>
    <w:basedOn w:val="1"/>
    <w:qFormat/>
    <w:uiPriority w:val="0"/>
    <w:pPr>
      <w:widowControl/>
      <w:overflowPunct w:val="0"/>
      <w:autoSpaceDE w:val="0"/>
      <w:autoSpaceDN w:val="0"/>
      <w:adjustRightInd w:val="0"/>
      <w:spacing w:before="120" w:line="360" w:lineRule="auto"/>
      <w:ind w:left="454" w:hanging="454" w:firstLineChars="200"/>
      <w:jc w:val="left"/>
      <w:textAlignment w:val="baseline"/>
    </w:pPr>
    <w:rPr>
      <w:rFonts w:ascii="等线" w:hAnsi="等线" w:eastAsia="Times New Roman" w:cs="等线"/>
      <w:kern w:val="0"/>
      <w:sz w:val="22"/>
      <w:szCs w:val="20"/>
      <w:lang w:val="en-GB" w:eastAsia="en-US"/>
    </w:rPr>
  </w:style>
  <w:style w:type="paragraph" w:customStyle="1" w:styleId="559">
    <w:name w:val="黑列表"/>
    <w:basedOn w:val="1"/>
    <w:qFormat/>
    <w:uiPriority w:val="0"/>
    <w:pPr>
      <w:widowControl/>
      <w:tabs>
        <w:tab w:val="left" w:pos="420"/>
      </w:tabs>
      <w:adjustRightInd w:val="0"/>
      <w:spacing w:line="300" w:lineRule="auto"/>
      <w:ind w:left="300" w:leftChars="200" w:hanging="100" w:hangingChars="100"/>
      <w:jc w:val="left"/>
    </w:pPr>
    <w:rPr>
      <w:rFonts w:ascii="等线" w:hAnsi="等线" w:eastAsia="等线" w:cs="等线"/>
      <w:bCs/>
      <w:kern w:val="0"/>
      <w:sz w:val="24"/>
      <w:szCs w:val="20"/>
    </w:rPr>
  </w:style>
  <w:style w:type="paragraph" w:customStyle="1" w:styleId="560">
    <w:name w:val="xl6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61">
    <w:name w:val="正文 New New"/>
    <w:qFormat/>
    <w:uiPriority w:val="0"/>
    <w:pPr>
      <w:widowControl w:val="0"/>
      <w:jc w:val="both"/>
    </w:pPr>
    <w:rPr>
      <w:rFonts w:ascii="等线" w:hAnsi="等线" w:eastAsia="等线" w:cs="等线"/>
      <w:kern w:val="2"/>
      <w:sz w:val="21"/>
      <w:szCs w:val="24"/>
      <w:lang w:val="en-US" w:eastAsia="zh-CN" w:bidi="ar-SA"/>
    </w:rPr>
  </w:style>
  <w:style w:type="paragraph" w:customStyle="1" w:styleId="562">
    <w:name w:val="六级标题"/>
    <w:basedOn w:val="10"/>
    <w:qFormat/>
    <w:uiPriority w:val="0"/>
    <w:pPr>
      <w:ind w:left="1134" w:hanging="1134"/>
    </w:pPr>
    <w:rPr>
      <w:rFonts w:ascii="黑体" w:hAnsi="黑体" w:eastAsia="黑体"/>
      <w:kern w:val="0"/>
    </w:rPr>
  </w:style>
  <w:style w:type="paragraph" w:customStyle="1" w:styleId="563">
    <w:name w:val="Normal0"/>
    <w:qFormat/>
    <w:uiPriority w:val="0"/>
    <w:rPr>
      <w:rFonts w:ascii="等线" w:hAnsi="等线" w:eastAsia="等线" w:cs="等线"/>
      <w:lang w:val="en-US" w:eastAsia="en-US" w:bidi="ar-SA"/>
    </w:rPr>
  </w:style>
  <w:style w:type="paragraph" w:customStyle="1" w:styleId="564">
    <w:name w:val="xl22"/>
    <w:basedOn w:val="1"/>
    <w:qFormat/>
    <w:uiPriority w:val="0"/>
    <w:pPr>
      <w:widowControl/>
      <w:spacing w:before="100" w:beforeAutospacing="1" w:after="100" w:afterAutospacing="1"/>
      <w:jc w:val="center"/>
    </w:pPr>
    <w:rPr>
      <w:rFonts w:ascii="宋体" w:hAnsi="宋体" w:eastAsia="等线" w:cs="等线"/>
      <w:kern w:val="0"/>
      <w:sz w:val="24"/>
    </w:rPr>
  </w:style>
  <w:style w:type="paragraph" w:customStyle="1" w:styleId="565">
    <w:name w:val="Quote1"/>
    <w:basedOn w:val="1"/>
    <w:next w:val="1"/>
    <w:qFormat/>
    <w:uiPriority w:val="0"/>
    <w:rPr>
      <w:rFonts w:ascii="Century Gothic" w:hAnsi="Century Gothic" w:eastAsia="仿宋_GB2312" w:cs="新宋体"/>
      <w:i/>
      <w:iCs/>
      <w:color w:val="000000"/>
      <w:kern w:val="0"/>
      <w:sz w:val="20"/>
      <w:szCs w:val="20"/>
    </w:rPr>
  </w:style>
  <w:style w:type="paragraph" w:customStyle="1" w:styleId="566">
    <w:name w:val="Char Char Char Char Char Char Char Char"/>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567">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68">
    <w:name w:val="正文 New"/>
    <w:qFormat/>
    <w:uiPriority w:val="0"/>
    <w:pPr>
      <w:widowControl w:val="0"/>
      <w:jc w:val="both"/>
    </w:pPr>
    <w:rPr>
      <w:rFonts w:ascii="等线" w:hAnsi="等线" w:eastAsia="等线" w:cs="等线"/>
      <w:kern w:val="2"/>
      <w:sz w:val="21"/>
      <w:szCs w:val="24"/>
      <w:lang w:val="en-US" w:eastAsia="zh-CN" w:bidi="ar-SA"/>
    </w:rPr>
  </w:style>
  <w:style w:type="paragraph" w:customStyle="1" w:styleId="569">
    <w:name w:val="标-1"/>
    <w:basedOn w:val="5"/>
    <w:qFormat/>
    <w:uiPriority w:val="0"/>
    <w:pPr>
      <w:keepLines/>
      <w:tabs>
        <w:tab w:val="left" w:pos="360"/>
      </w:tabs>
      <w:spacing w:line="300" w:lineRule="auto"/>
      <w:ind w:firstLine="200" w:firstLineChars="200"/>
      <w:jc w:val="both"/>
    </w:pPr>
    <w:rPr>
      <w:rFonts w:ascii="Arial" w:hAnsi="Arial" w:eastAsia="黑体" w:cs="Arial"/>
      <w:bCs w:val="0"/>
      <w:color w:val="336699"/>
      <w:kern w:val="44"/>
      <w:sz w:val="32"/>
      <w:szCs w:val="28"/>
    </w:rPr>
  </w:style>
  <w:style w:type="paragraph" w:customStyle="1" w:styleId="570">
    <w:name w:val="標題 1."/>
    <w:basedOn w:val="7"/>
    <w:qFormat/>
    <w:uiPriority w:val="0"/>
    <w:pPr>
      <w:adjustRightInd w:val="0"/>
      <w:spacing w:before="0" w:after="0" w:line="567" w:lineRule="atLeast"/>
      <w:ind w:left="993" w:hanging="283" w:firstLineChars="200"/>
      <w:textAlignment w:val="baseline"/>
      <w:outlineLvl w:val="9"/>
    </w:pPr>
    <w:rPr>
      <w:rFonts w:ascii="PMingLiU" w:hAnsi="等线" w:eastAsia="PMingLiU"/>
      <w:b w:val="0"/>
      <w:bCs w:val="0"/>
      <w:kern w:val="0"/>
      <w:sz w:val="28"/>
      <w:szCs w:val="20"/>
      <w:lang w:eastAsia="zh-TW"/>
    </w:rPr>
  </w:style>
  <w:style w:type="paragraph" w:customStyle="1" w:styleId="571">
    <w:name w:val="此正文"/>
    <w:basedOn w:val="1"/>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572">
    <w:name w:val="Table Heading"/>
    <w:qFormat/>
    <w:uiPriority w:val="0"/>
    <w:pPr>
      <w:keepNext/>
      <w:snapToGrid w:val="0"/>
      <w:spacing w:before="80" w:after="80"/>
      <w:jc w:val="center"/>
    </w:pPr>
    <w:rPr>
      <w:rFonts w:ascii="Century Gothic" w:hAnsi="Century Gothic" w:eastAsia="Helvetica" w:cs="Tahoma"/>
      <w:kern w:val="2"/>
      <w:sz w:val="18"/>
      <w:szCs w:val="18"/>
      <w:lang w:val="en-US" w:eastAsia="zh-CN" w:bidi="ar-SA"/>
    </w:rPr>
  </w:style>
  <w:style w:type="paragraph" w:customStyle="1" w:styleId="573">
    <w:name w:val="Char Char2 字元 字元"/>
    <w:basedOn w:val="1"/>
    <w:qFormat/>
    <w:uiPriority w:val="0"/>
    <w:pPr>
      <w:widowControl/>
      <w:spacing w:after="160" w:line="240" w:lineRule="exact"/>
      <w:ind w:firstLine="200" w:firstLineChars="200"/>
      <w:jc w:val="left"/>
    </w:pPr>
    <w:rPr>
      <w:rFonts w:ascii="等线" w:hAnsi="等线" w:eastAsia="等线" w:cs="等线"/>
      <w:szCs w:val="20"/>
    </w:rPr>
  </w:style>
  <w:style w:type="paragraph" w:customStyle="1" w:styleId="574">
    <w:name w:val="xl2917089"/>
    <w:basedOn w:val="1"/>
    <w:qFormat/>
    <w:uiPriority w:val="0"/>
    <w:pPr>
      <w:widowControl/>
      <w:pBdr>
        <w:left w:val="single" w:color="auto" w:sz="4" w:space="1"/>
        <w:right w:val="single" w:color="auto" w:sz="4" w:space="1"/>
      </w:pBdr>
      <w:spacing w:before="100" w:beforeAutospacing="1" w:after="100" w:afterAutospacing="1"/>
      <w:jc w:val="center"/>
      <w:textAlignment w:val="center"/>
    </w:pPr>
    <w:rPr>
      <w:rFonts w:hint="eastAsia" w:ascii="宋体" w:hAnsi="宋体" w:eastAsia="等线" w:cs="等线"/>
      <w:kern w:val="0"/>
      <w:sz w:val="24"/>
    </w:rPr>
  </w:style>
  <w:style w:type="paragraph" w:customStyle="1" w:styleId="575">
    <w:name w:val="font7"/>
    <w:basedOn w:val="1"/>
    <w:qFormat/>
    <w:uiPriority w:val="0"/>
    <w:pPr>
      <w:widowControl/>
      <w:spacing w:before="100" w:beforeAutospacing="1" w:after="100" w:afterAutospacing="1"/>
      <w:jc w:val="left"/>
    </w:pPr>
    <w:rPr>
      <w:rFonts w:ascii="等线" w:hAnsi="等线" w:eastAsia="等线" w:cs="等线"/>
      <w:kern w:val="0"/>
      <w:sz w:val="20"/>
      <w:szCs w:val="20"/>
    </w:rPr>
  </w:style>
  <w:style w:type="paragraph" w:customStyle="1" w:styleId="576">
    <w:name w:val="xl34"/>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57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78">
    <w:name w:val="封面标准号2"/>
    <w:qFormat/>
    <w:uiPriority w:val="0"/>
    <w:pPr>
      <w:framePr w:w="9140" w:h="1242" w:hRule="exact" w:hSpace="284" w:wrap="around" w:vAnchor="page" w:hAnchor="page" w:x="1645" w:y="2910" w:anchorLock="1"/>
      <w:spacing w:before="357" w:line="280" w:lineRule="exact"/>
      <w:jc w:val="right"/>
    </w:pPr>
    <w:rPr>
      <w:rFonts w:ascii="黑体" w:hAnsi="等线" w:eastAsia="黑体" w:cs="等线"/>
      <w:sz w:val="28"/>
      <w:szCs w:val="28"/>
      <w:lang w:val="en-US" w:eastAsia="zh-CN" w:bidi="ar-SA"/>
    </w:rPr>
  </w:style>
  <w:style w:type="paragraph" w:customStyle="1" w:styleId="579">
    <w:name w:val="Default Text"/>
    <w:basedOn w:val="1"/>
    <w:qFormat/>
    <w:uiPriority w:val="0"/>
    <w:pPr>
      <w:autoSpaceDE w:val="0"/>
      <w:autoSpaceDN w:val="0"/>
      <w:adjustRightInd w:val="0"/>
      <w:spacing w:line="360" w:lineRule="auto"/>
      <w:ind w:firstLine="200" w:firstLineChars="200"/>
      <w:jc w:val="left"/>
    </w:pPr>
    <w:rPr>
      <w:rFonts w:ascii="等线" w:hAnsi="等线" w:eastAsia="PMingLiU" w:cs="等线"/>
      <w:kern w:val="0"/>
      <w:sz w:val="24"/>
      <w:szCs w:val="20"/>
      <w:lang w:eastAsia="zh-TW"/>
    </w:rPr>
  </w:style>
  <w:style w:type="paragraph" w:customStyle="1" w:styleId="580">
    <w:name w:val="xl1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1">
    <w:name w:val="默认段落字体 Para Char Char Char Char Char Char Char"/>
    <w:basedOn w:val="1"/>
    <w:qFormat/>
    <w:uiPriority w:val="0"/>
    <w:rPr>
      <w:rFonts w:ascii="等线" w:hAnsi="等线" w:eastAsia="黑体" w:cs="等线"/>
      <w:sz w:val="28"/>
    </w:rPr>
  </w:style>
  <w:style w:type="paragraph" w:customStyle="1" w:styleId="58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83">
    <w:name w:val="(1)"/>
    <w:basedOn w:val="1"/>
    <w:qFormat/>
    <w:uiPriority w:val="0"/>
    <w:pPr>
      <w:adjustRightInd w:val="0"/>
      <w:spacing w:line="454" w:lineRule="atLeast"/>
      <w:ind w:left="1701" w:hanging="709" w:firstLineChars="200"/>
      <w:textAlignment w:val="baseline"/>
    </w:pPr>
    <w:rPr>
      <w:rFonts w:ascii="PMingLiU" w:hAnsi="等线" w:eastAsia="PMingLiU" w:cs="等线"/>
      <w:kern w:val="0"/>
      <w:sz w:val="28"/>
      <w:szCs w:val="20"/>
      <w:lang w:eastAsia="zh-TW"/>
    </w:rPr>
  </w:style>
  <w:style w:type="paragraph" w:customStyle="1" w:styleId="584">
    <w:name w:val=".."/>
    <w:basedOn w:val="1"/>
    <w:next w:val="1"/>
    <w:qFormat/>
    <w:uiPriority w:val="0"/>
    <w:pPr>
      <w:autoSpaceDE w:val="0"/>
      <w:autoSpaceDN w:val="0"/>
      <w:adjustRightInd w:val="0"/>
      <w:spacing w:line="360" w:lineRule="auto"/>
      <w:ind w:firstLine="200" w:firstLineChars="200"/>
      <w:jc w:val="left"/>
    </w:pPr>
    <w:rPr>
      <w:rFonts w:ascii="等线" w:hAnsi="等线" w:eastAsia="等线" w:cs="等线"/>
      <w:kern w:val="0"/>
      <w:sz w:val="24"/>
    </w:rPr>
  </w:style>
  <w:style w:type="paragraph" w:customStyle="1" w:styleId="585">
    <w:name w:val="2"/>
    <w:basedOn w:val="1"/>
    <w:next w:val="27"/>
    <w:qFormat/>
    <w:uiPriority w:val="0"/>
    <w:pPr>
      <w:spacing w:line="440" w:lineRule="exact"/>
      <w:ind w:firstLine="420" w:firstLineChars="200"/>
    </w:pPr>
    <w:rPr>
      <w:rFonts w:ascii="等线" w:hAnsi="等线" w:eastAsia="等线" w:cs="等线"/>
      <w:sz w:val="28"/>
      <w:szCs w:val="20"/>
    </w:rPr>
  </w:style>
  <w:style w:type="paragraph" w:customStyle="1" w:styleId="586">
    <w:name w:val="Char Char Char Char Char Char Char Char Char Char Char Char Char Char Char Char Char Char Char1"/>
    <w:basedOn w:val="1"/>
    <w:qFormat/>
    <w:uiPriority w:val="0"/>
    <w:rPr>
      <w:rFonts w:ascii="黑体" w:hAnsi="等线" w:eastAsia="黑体" w:cs="等线"/>
      <w:b/>
      <w:sz w:val="32"/>
      <w:szCs w:val="32"/>
    </w:rPr>
  </w:style>
  <w:style w:type="paragraph" w:customStyle="1" w:styleId="58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8">
    <w:name w:val="规范正文"/>
    <w:basedOn w:val="1"/>
    <w:qFormat/>
    <w:uiPriority w:val="0"/>
    <w:pPr>
      <w:adjustRightInd w:val="0"/>
      <w:spacing w:line="360" w:lineRule="auto"/>
      <w:ind w:left="480" w:firstLine="200" w:firstLineChars="200"/>
      <w:textAlignment w:val="baseline"/>
    </w:pPr>
    <w:rPr>
      <w:rFonts w:ascii="宋体" w:hAnsi="宋体" w:eastAsia="等线" w:cs="等线"/>
      <w:kern w:val="0"/>
      <w:sz w:val="24"/>
    </w:rPr>
  </w:style>
  <w:style w:type="paragraph" w:customStyle="1" w:styleId="58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90">
    <w:name w:val="网格表 31"/>
    <w:basedOn w:val="5"/>
    <w:next w:val="1"/>
    <w:unhideWhenUsed/>
    <w:qFormat/>
    <w:uiPriority w:val="0"/>
    <w:pPr>
      <w:keepLines/>
      <w:widowControl/>
      <w:spacing w:line="259" w:lineRule="auto"/>
      <w:jc w:val="left"/>
      <w:outlineLvl w:val="9"/>
    </w:pPr>
    <w:rPr>
      <w:rFonts w:ascii="Calibri Light" w:hAnsi="Calibri Light" w:eastAsia="等线"/>
      <w:b w:val="0"/>
      <w:bCs w:val="0"/>
      <w:color w:val="2E74B5"/>
      <w:kern w:val="0"/>
      <w:sz w:val="32"/>
      <w:szCs w:val="32"/>
    </w:rPr>
  </w:style>
  <w:style w:type="paragraph" w:customStyle="1" w:styleId="591">
    <w:name w:val="font8"/>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592">
    <w:name w:val="中等深浅网格 1 - 着色 21"/>
    <w:basedOn w:val="1"/>
    <w:qFormat/>
    <w:uiPriority w:val="0"/>
    <w:pPr>
      <w:spacing w:line="360" w:lineRule="auto"/>
      <w:ind w:firstLine="200" w:firstLineChars="200"/>
    </w:pPr>
    <w:rPr>
      <w:rFonts w:ascii="Verdana" w:hAnsi="Verdana" w:eastAsia="等线" w:cs="等线"/>
      <w:sz w:val="24"/>
      <w:szCs w:val="20"/>
    </w:rPr>
  </w:style>
  <w:style w:type="character" w:customStyle="1" w:styleId="593">
    <w:name w:val="明显引用 字符"/>
    <w:basedOn w:val="66"/>
    <w:link w:val="322"/>
    <w:semiHidden/>
    <w:qFormat/>
    <w:uiPriority w:val="99"/>
    <w:rPr>
      <w:b/>
      <w:bCs/>
      <w:i/>
      <w:iCs/>
      <w:color w:val="4F81BD" w:themeColor="accent1"/>
      <w:kern w:val="2"/>
      <w:sz w:val="21"/>
      <w:szCs w:val="24"/>
      <w14:textFill>
        <w14:solidFill>
          <w14:schemeClr w14:val="accent1"/>
        </w14:solidFill>
      </w14:textFill>
    </w:rPr>
  </w:style>
  <w:style w:type="paragraph" w:customStyle="1" w:styleId="594">
    <w:name w:val="Char Char Char Char Char Char1 Char Char Char Char"/>
    <w:basedOn w:val="21"/>
    <w:qFormat/>
    <w:uiPriority w:val="0"/>
    <w:pPr>
      <w:spacing w:line="360" w:lineRule="auto"/>
      <w:ind w:firstLine="200" w:firstLineChars="200"/>
    </w:pPr>
    <w:rPr>
      <w:rFonts w:ascii="Tahoma" w:hAnsi="Tahoma" w:eastAsia="等线"/>
      <w:sz w:val="24"/>
      <w:szCs w:val="20"/>
    </w:rPr>
  </w:style>
  <w:style w:type="paragraph" w:customStyle="1" w:styleId="595">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96">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97">
    <w:name w:val="xl29"/>
    <w:basedOn w:val="1"/>
    <w:qFormat/>
    <w:uiPriority w:val="0"/>
    <w:pPr>
      <w:widowControl/>
      <w:autoSpaceDE w:val="0"/>
      <w:autoSpaceDN w:val="0"/>
      <w:adjustRightInd w:val="0"/>
      <w:spacing w:before="100" w:beforeAutospacing="1" w:after="100" w:afterAutospacing="1"/>
      <w:jc w:val="center"/>
    </w:pPr>
    <w:rPr>
      <w:rFonts w:ascii="等线" w:hAnsi="等线" w:eastAsia="Times New Roman" w:cs="等线"/>
      <w:kern w:val="0"/>
      <w:sz w:val="24"/>
      <w:szCs w:val="20"/>
    </w:rPr>
  </w:style>
  <w:style w:type="paragraph" w:customStyle="1" w:styleId="598">
    <w:name w:val="正文Y"/>
    <w:basedOn w:val="1"/>
    <w:qFormat/>
    <w:uiPriority w:val="0"/>
    <w:pPr>
      <w:spacing w:line="360" w:lineRule="auto"/>
      <w:ind w:firstLine="420" w:firstLineChars="200"/>
    </w:pPr>
    <w:rPr>
      <w:rFonts w:ascii="等线" w:hAnsi="等线" w:eastAsia="等线" w:cs="等线"/>
      <w:sz w:val="24"/>
    </w:rPr>
  </w:style>
  <w:style w:type="paragraph" w:customStyle="1" w:styleId="599">
    <w:name w:val="_Style 54"/>
    <w:basedOn w:val="1"/>
    <w:qFormat/>
    <w:uiPriority w:val="0"/>
    <w:rPr>
      <w:rFonts w:ascii="等线" w:hAnsi="等线" w:eastAsia="等线" w:cs="等线"/>
    </w:rPr>
  </w:style>
  <w:style w:type="paragraph" w:customStyle="1" w:styleId="600">
    <w:name w:val="标3"/>
    <w:basedOn w:val="7"/>
    <w:next w:val="8"/>
    <w:qFormat/>
    <w:uiPriority w:val="0"/>
    <w:pPr>
      <w:spacing w:before="240" w:after="180" w:line="360" w:lineRule="auto"/>
      <w:ind w:firstLine="576" w:firstLineChars="205"/>
    </w:pPr>
    <w:rPr>
      <w:rFonts w:ascii="等线" w:hAnsi="等线" w:eastAsia="等线"/>
      <w:bCs w:val="0"/>
      <w:sz w:val="28"/>
    </w:rPr>
  </w:style>
  <w:style w:type="paragraph" w:customStyle="1" w:styleId="601">
    <w:name w:val="纯文本1"/>
    <w:basedOn w:val="1"/>
    <w:qFormat/>
    <w:uiPriority w:val="0"/>
    <w:pPr>
      <w:adjustRightInd w:val="0"/>
      <w:jc w:val="left"/>
      <w:textAlignment w:val="baseline"/>
    </w:pPr>
    <w:rPr>
      <w:rFonts w:ascii="宋体" w:hAnsi="Courier New" w:eastAsia="等线" w:cs="等线"/>
      <w:szCs w:val="20"/>
    </w:rPr>
  </w:style>
  <w:style w:type="paragraph" w:customStyle="1" w:styleId="602">
    <w:name w:val="Char Char1 Char"/>
    <w:basedOn w:val="1"/>
    <w:qFormat/>
    <w:uiPriority w:val="0"/>
    <w:pPr>
      <w:widowControl/>
      <w:autoSpaceDE w:val="0"/>
      <w:autoSpaceDN w:val="0"/>
      <w:adjustRightInd w:val="0"/>
      <w:snapToGrid w:val="0"/>
      <w:spacing w:before="120" w:after="160" w:line="360" w:lineRule="auto"/>
      <w:ind w:right="-360"/>
      <w:jc w:val="left"/>
    </w:pPr>
    <w:rPr>
      <w:rFonts w:ascii="Tahoma" w:hAnsi="Tahoma" w:eastAsia="等线" w:cs="等线"/>
      <w:kern w:val="0"/>
      <w:sz w:val="24"/>
      <w:szCs w:val="20"/>
      <w:lang w:eastAsia="en-US"/>
    </w:rPr>
  </w:style>
  <w:style w:type="paragraph" w:customStyle="1" w:styleId="60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604">
    <w:name w:val="xl11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05">
    <w:name w:val="reader-word-layer"/>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606">
    <w:name w:val="Char Char 字元 字元 字元 Char Char Char Char"/>
    <w:basedOn w:val="1"/>
    <w:qFormat/>
    <w:uiPriority w:val="0"/>
    <w:pPr>
      <w:adjustRightInd w:val="0"/>
      <w:spacing w:line="360" w:lineRule="auto"/>
      <w:ind w:firstLine="200" w:firstLineChars="200"/>
    </w:pPr>
    <w:rPr>
      <w:rFonts w:ascii="等线" w:hAnsi="等线" w:eastAsia="等线" w:cs="等线"/>
      <w:kern w:val="0"/>
      <w:sz w:val="24"/>
      <w:szCs w:val="20"/>
    </w:rPr>
  </w:style>
  <w:style w:type="paragraph" w:customStyle="1" w:styleId="607">
    <w:name w:val="中等深浅底纹 1 - 着色 11"/>
    <w:qFormat/>
    <w:uiPriority w:val="0"/>
    <w:rPr>
      <w:rFonts w:ascii="等线" w:hAnsi="等线" w:eastAsia="等线" w:cs="等线"/>
      <w:sz w:val="22"/>
      <w:szCs w:val="22"/>
      <w:lang w:val="en-US" w:eastAsia="zh-CN" w:bidi="ar-SA"/>
    </w:rPr>
  </w:style>
  <w:style w:type="paragraph" w:customStyle="1" w:styleId="608">
    <w:name w:val="完成日期"/>
    <w:basedOn w:val="1"/>
    <w:qFormat/>
    <w:uiPriority w:val="0"/>
    <w:pPr>
      <w:adjustRightInd w:val="0"/>
      <w:spacing w:line="360" w:lineRule="auto"/>
      <w:jc w:val="center"/>
      <w:textAlignment w:val="baseline"/>
    </w:pPr>
    <w:rPr>
      <w:rFonts w:ascii="楷体_GB2312" w:hAnsi="等线" w:eastAsia="楷体_GB2312" w:cs="等线"/>
      <w:kern w:val="0"/>
      <w:sz w:val="30"/>
      <w:szCs w:val="20"/>
    </w:rPr>
  </w:style>
  <w:style w:type="paragraph" w:customStyle="1" w:styleId="60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10">
    <w:name w:val="样式5"/>
    <w:basedOn w:val="18"/>
    <w:qFormat/>
    <w:uiPriority w:val="0"/>
    <w:pPr>
      <w:adjustRightInd/>
      <w:spacing w:line="360" w:lineRule="auto"/>
      <w:ind w:firstLine="200" w:firstLineChars="200"/>
      <w:textAlignment w:val="auto"/>
    </w:pPr>
    <w:rPr>
      <w:rFonts w:eastAsia="仿宋_GB2312"/>
      <w:kern w:val="2"/>
      <w:sz w:val="28"/>
      <w:szCs w:val="21"/>
    </w:rPr>
  </w:style>
  <w:style w:type="paragraph" w:customStyle="1" w:styleId="611">
    <w:name w:val="正文 New New New New"/>
    <w:qFormat/>
    <w:uiPriority w:val="2"/>
    <w:pPr>
      <w:widowControl w:val="0"/>
      <w:jc w:val="both"/>
    </w:pPr>
    <w:rPr>
      <w:rFonts w:ascii="Calibri" w:hAnsi="Calibri" w:eastAsia="等线" w:cs="等线"/>
      <w:color w:val="000000"/>
      <w:szCs w:val="24"/>
      <w:lang w:val="en-US" w:eastAsia="zh-CN" w:bidi="ar-SA"/>
    </w:rPr>
  </w:style>
  <w:style w:type="paragraph" w:customStyle="1" w:styleId="612">
    <w:name w:val="p0"/>
    <w:basedOn w:val="1"/>
    <w:qFormat/>
    <w:uiPriority w:val="0"/>
    <w:pPr>
      <w:widowControl/>
      <w:spacing w:before="100" w:after="100" w:line="360" w:lineRule="auto"/>
      <w:ind w:firstLine="200" w:firstLineChars="200"/>
    </w:pPr>
    <w:rPr>
      <w:rFonts w:ascii="Calibri" w:hAnsi="Calibri" w:eastAsia="等线" w:cs="等线"/>
      <w:kern w:val="0"/>
      <w:sz w:val="24"/>
      <w:szCs w:val="20"/>
    </w:rPr>
  </w:style>
  <w:style w:type="paragraph" w:customStyle="1" w:styleId="613">
    <w:name w:val="正文（首行缩进）"/>
    <w:basedOn w:val="27"/>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rFonts w:ascii="等线" w:hAnsi="等线" w:eastAsia="仿宋_GB2312" w:cs="等线"/>
      <w:spacing w:val="10"/>
      <w:kern w:val="0"/>
      <w:szCs w:val="20"/>
    </w:rPr>
  </w:style>
  <w:style w:type="paragraph" w:customStyle="1" w:styleId="614">
    <w:name w:val="Char Char Char Char Char Char Char Char Char1 Char"/>
    <w:basedOn w:val="1"/>
    <w:qFormat/>
    <w:uiPriority w:val="0"/>
    <w:rPr>
      <w:rFonts w:ascii="等线" w:hAnsi="等线" w:eastAsia="等线" w:cs="等线"/>
    </w:rPr>
  </w:style>
  <w:style w:type="paragraph" w:customStyle="1" w:styleId="615">
    <w:name w:val="其他标准标志"/>
    <w:basedOn w:val="495"/>
    <w:qFormat/>
    <w:uiPriority w:val="0"/>
    <w:pPr>
      <w:framePr w:w="6101" w:vAnchor="page" w:hAnchor="page" w:x="4673" w:y="942"/>
    </w:pPr>
    <w:rPr>
      <w:w w:val="130"/>
    </w:rPr>
  </w:style>
  <w:style w:type="paragraph" w:customStyle="1" w:styleId="616">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17">
    <w:name w:val="2级"/>
    <w:basedOn w:val="6"/>
    <w:next w:val="62"/>
    <w:qFormat/>
    <w:uiPriority w:val="0"/>
    <w:pPr>
      <w:spacing w:line="415" w:lineRule="auto"/>
      <w:ind w:left="420"/>
    </w:pPr>
    <w:rPr>
      <w:rFonts w:eastAsia="黑体"/>
      <w:kern w:val="0"/>
      <w:sz w:val="30"/>
    </w:rPr>
  </w:style>
  <w:style w:type="paragraph" w:customStyle="1" w:styleId="618">
    <w:name w:val="表格文字（大）"/>
    <w:basedOn w:val="1"/>
    <w:qFormat/>
    <w:uiPriority w:val="0"/>
    <w:pPr>
      <w:autoSpaceDE w:val="0"/>
      <w:autoSpaceDN w:val="0"/>
      <w:adjustRightInd w:val="0"/>
      <w:spacing w:before="20" w:after="20"/>
      <w:jc w:val="left"/>
    </w:pPr>
    <w:rPr>
      <w:rFonts w:ascii="Arial Unicode MS" w:hAnsi="Arial Unicode MS" w:eastAsia="等线" w:cs="Arial Unicode MS"/>
      <w:kern w:val="0"/>
      <w:sz w:val="24"/>
      <w:szCs w:val="20"/>
    </w:rPr>
  </w:style>
  <w:style w:type="paragraph" w:customStyle="1" w:styleId="619">
    <w:name w:val="xl9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0">
    <w:name w:val="默认段落字体 Para Char Char Char Char"/>
    <w:basedOn w:val="1"/>
    <w:qFormat/>
    <w:uiPriority w:val="0"/>
    <w:rPr>
      <w:rFonts w:ascii="等线" w:hAnsi="等线" w:eastAsia="等线" w:cs="等线"/>
    </w:rPr>
  </w:style>
  <w:style w:type="paragraph" w:customStyle="1" w:styleId="62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22">
    <w:name w:val="A正文"/>
    <w:basedOn w:val="94"/>
    <w:qFormat/>
    <w:uiPriority w:val="0"/>
    <w:pPr>
      <w:jc w:val="left"/>
    </w:pPr>
    <w:rPr>
      <w:rFonts w:ascii="等线" w:hAnsi="等线" w:eastAsia="等线"/>
      <w:shd w:val="clear" w:color="auto" w:fill="auto"/>
    </w:rPr>
  </w:style>
  <w:style w:type="paragraph" w:customStyle="1" w:styleId="623">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4">
    <w:name w:val="14"/>
    <w:basedOn w:val="1"/>
    <w:qFormat/>
    <w:uiPriority w:val="0"/>
    <w:pPr>
      <w:snapToGrid w:val="0"/>
      <w:spacing w:beforeLines="30" w:line="288" w:lineRule="auto"/>
      <w:ind w:left="852" w:leftChars="355" w:firstLine="420" w:firstLineChars="175"/>
    </w:pPr>
    <w:rPr>
      <w:rFonts w:ascii="Calibri" w:hAnsi="Calibri" w:eastAsia="等线" w:cs="等线"/>
      <w:sz w:val="24"/>
      <w:szCs w:val="20"/>
    </w:rPr>
  </w:style>
  <w:style w:type="paragraph" w:customStyle="1" w:styleId="625">
    <w:name w:val="xl32"/>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等线" w:hAnsi="等线" w:eastAsia="等线" w:cs="等线"/>
      <w:kern w:val="0"/>
      <w:sz w:val="20"/>
      <w:szCs w:val="20"/>
    </w:rPr>
  </w:style>
  <w:style w:type="paragraph" w:customStyle="1" w:styleId="626">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27">
    <w:name w:val="Char Char1 Char Char Char"/>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628">
    <w:name w:val="项目2"/>
    <w:qFormat/>
    <w:uiPriority w:val="0"/>
    <w:pPr>
      <w:tabs>
        <w:tab w:val="left" w:pos="425"/>
      </w:tabs>
      <w:spacing w:before="120" w:after="120" w:line="360" w:lineRule="auto"/>
      <w:ind w:left="420" w:hanging="420"/>
    </w:pPr>
    <w:rPr>
      <w:rFonts w:ascii="等线" w:hAnsi="等线" w:eastAsia="仿宋_GB2312" w:cs="等线"/>
      <w:sz w:val="24"/>
      <w:lang w:val="en-US" w:eastAsia="zh-CN" w:bidi="ar-SA"/>
    </w:rPr>
  </w:style>
  <w:style w:type="paragraph" w:customStyle="1" w:styleId="629">
    <w:name w:val="Char13"/>
    <w:basedOn w:val="1"/>
    <w:qFormat/>
    <w:uiPriority w:val="0"/>
    <w:pPr>
      <w:widowControl/>
      <w:spacing w:after="160" w:line="240" w:lineRule="exact"/>
      <w:jc w:val="left"/>
    </w:pPr>
    <w:rPr>
      <w:rFonts w:ascii="Courier New" w:hAnsi="Courier New" w:eastAsia="等线" w:cs="等线"/>
      <w:kern w:val="0"/>
      <w:sz w:val="20"/>
      <w:szCs w:val="20"/>
      <w:lang w:eastAsia="en-US"/>
    </w:rPr>
  </w:style>
  <w:style w:type="paragraph" w:customStyle="1" w:styleId="630">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31">
    <w:name w:val="c"/>
    <w:qFormat/>
    <w:uiPriority w:val="0"/>
    <w:pPr>
      <w:widowControl w:val="0"/>
      <w:autoSpaceDE w:val="0"/>
      <w:autoSpaceDN w:val="0"/>
      <w:adjustRightInd w:val="0"/>
      <w:jc w:val="both"/>
    </w:pPr>
    <w:rPr>
      <w:rFonts w:ascii="Arial" w:hAnsi="Arial" w:eastAsia="等线" w:cs="等线"/>
      <w:sz w:val="24"/>
      <w:lang w:val="en-US" w:eastAsia="zh-CN" w:bidi="ar-SA"/>
    </w:rPr>
  </w:style>
  <w:style w:type="paragraph" w:customStyle="1" w:styleId="632">
    <w:name w:val="xl83"/>
    <w:basedOn w:val="1"/>
    <w:qFormat/>
    <w:uiPriority w:val="0"/>
    <w:pPr>
      <w:widowControl/>
      <w:pBdr>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33">
    <w:name w:val="font12"/>
    <w:basedOn w:val="1"/>
    <w:qFormat/>
    <w:uiPriority w:val="0"/>
    <w:pPr>
      <w:widowControl/>
      <w:spacing w:before="100" w:beforeAutospacing="1" w:after="100" w:afterAutospacing="1"/>
      <w:jc w:val="left"/>
    </w:pPr>
    <w:rPr>
      <w:rFonts w:ascii="等线" w:hAnsi="等线" w:eastAsia="等线" w:cs="等线"/>
      <w:kern w:val="0"/>
      <w:sz w:val="28"/>
      <w:szCs w:val="28"/>
    </w:rPr>
  </w:style>
  <w:style w:type="paragraph" w:customStyle="1" w:styleId="634">
    <w:name w:val="数字级连标题3"/>
    <w:basedOn w:val="7"/>
    <w:next w:val="1"/>
    <w:qFormat/>
    <w:uiPriority w:val="0"/>
    <w:pPr>
      <w:suppressAutoHyphens/>
      <w:spacing w:before="0" w:after="0" w:line="360" w:lineRule="auto"/>
    </w:pPr>
    <w:rPr>
      <w:rFonts w:ascii="等线" w:hAnsi="等线" w:eastAsia="等线"/>
      <w:bCs w:val="0"/>
      <w:sz w:val="28"/>
      <w:szCs w:val="20"/>
      <w:lang w:eastAsia="ar-SA"/>
    </w:rPr>
  </w:style>
  <w:style w:type="paragraph" w:customStyle="1" w:styleId="635">
    <w:name w:val="Item List"/>
    <w:qFormat/>
    <w:uiPriority w:val="0"/>
    <w:pPr>
      <w:spacing w:line="300" w:lineRule="auto"/>
      <w:ind w:left="1701"/>
      <w:jc w:val="both"/>
    </w:pPr>
    <w:rPr>
      <w:rFonts w:ascii="Arial" w:hAnsi="Arial" w:eastAsia="等线" w:cs="等线"/>
      <w:sz w:val="21"/>
      <w:lang w:val="en-US" w:eastAsia="zh-CN" w:bidi="ar-SA"/>
    </w:rPr>
  </w:style>
  <w:style w:type="paragraph" w:customStyle="1" w:styleId="636">
    <w:name w:val="font5"/>
    <w:basedOn w:val="1"/>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37">
    <w:name w:val="样式3"/>
    <w:basedOn w:val="5"/>
    <w:qFormat/>
    <w:uiPriority w:val="0"/>
    <w:pPr>
      <w:keepNext w:val="0"/>
      <w:autoSpaceDE w:val="0"/>
      <w:autoSpaceDN w:val="0"/>
      <w:adjustRightInd w:val="0"/>
      <w:spacing w:before="560" w:after="280"/>
      <w:jc w:val="left"/>
      <w:textAlignment w:val="baseline"/>
    </w:pPr>
    <w:rPr>
      <w:rFonts w:ascii="等线" w:hAnsi="等线" w:eastAsia="黑体"/>
      <w:b w:val="0"/>
      <w:bCs w:val="0"/>
      <w:kern w:val="0"/>
      <w:sz w:val="44"/>
      <w:szCs w:val="20"/>
    </w:rPr>
  </w:style>
  <w:style w:type="paragraph" w:customStyle="1" w:styleId="63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639">
    <w:name w:val="Char"/>
    <w:basedOn w:val="1"/>
    <w:qFormat/>
    <w:uiPriority w:val="0"/>
    <w:pPr>
      <w:widowControl/>
      <w:spacing w:line="400" w:lineRule="exact"/>
      <w:jc w:val="center"/>
    </w:pPr>
    <w:rPr>
      <w:rFonts w:ascii="Courier New" w:hAnsi="Courier New" w:eastAsia="等线" w:cs="等线"/>
      <w:kern w:val="0"/>
      <w:szCs w:val="20"/>
      <w:lang w:eastAsia="en-US"/>
    </w:rPr>
  </w:style>
  <w:style w:type="paragraph" w:customStyle="1" w:styleId="640">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41">
    <w:name w:val="默认段落字体 Para Char Char Char Char Char Char Char Char Char Char"/>
    <w:basedOn w:val="1"/>
    <w:qFormat/>
    <w:uiPriority w:val="0"/>
    <w:pPr>
      <w:widowControl/>
      <w:spacing w:after="200"/>
      <w:jc w:val="left"/>
    </w:pPr>
    <w:rPr>
      <w:rFonts w:ascii="Tahoma" w:hAnsi="Tahoma" w:eastAsia="等线" w:cs="等线"/>
      <w:kern w:val="0"/>
      <w:sz w:val="22"/>
      <w:szCs w:val="20"/>
      <w:lang w:eastAsia="en-US" w:bidi="en-US"/>
    </w:rPr>
  </w:style>
  <w:style w:type="paragraph" w:customStyle="1" w:styleId="642">
    <w:name w:val="标书正文带编号"/>
    <w:basedOn w:val="1"/>
    <w:qFormat/>
    <w:uiPriority w:val="0"/>
    <w:pPr>
      <w:tabs>
        <w:tab w:val="left" w:pos="397"/>
      </w:tabs>
      <w:autoSpaceDE w:val="0"/>
      <w:autoSpaceDN w:val="0"/>
      <w:adjustRightInd w:val="0"/>
      <w:ind w:firstLine="397"/>
      <w:jc w:val="left"/>
    </w:pPr>
    <w:rPr>
      <w:rFonts w:ascii="等线" w:hAnsi="等线" w:eastAsia="等线" w:cs="仿宋_GB2312"/>
      <w:kern w:val="0"/>
      <w:sz w:val="20"/>
      <w:szCs w:val="21"/>
    </w:rPr>
  </w:style>
  <w:style w:type="paragraph" w:customStyle="1" w:styleId="643">
    <w:name w:val="样式 首行缩进:  2 字符"/>
    <w:basedOn w:val="1"/>
    <w:qFormat/>
    <w:uiPriority w:val="0"/>
    <w:pPr>
      <w:widowControl/>
      <w:tabs>
        <w:tab w:val="left" w:pos="420"/>
      </w:tabs>
      <w:ind w:left="420" w:hanging="420"/>
    </w:pPr>
    <w:rPr>
      <w:rFonts w:ascii="宋体" w:hAnsi="宋体" w:eastAsia="等线" w:cs="宋体"/>
      <w:bCs/>
      <w:color w:val="000000"/>
      <w:kern w:val="0"/>
      <w:sz w:val="24"/>
    </w:rPr>
  </w:style>
  <w:style w:type="paragraph" w:customStyle="1" w:styleId="644">
    <w:name w:val="标题小四"/>
    <w:basedOn w:val="6"/>
    <w:qFormat/>
    <w:uiPriority w:val="0"/>
    <w:pPr>
      <w:keepNext w:val="0"/>
      <w:keepLines w:val="0"/>
      <w:spacing w:before="0" w:after="0" w:line="360" w:lineRule="auto"/>
      <w:ind w:right="90"/>
      <w:outlineLvl w:val="9"/>
    </w:pPr>
    <w:rPr>
      <w:rFonts w:ascii="仿宋_GB2312" w:hAnsi="宋体" w:eastAsia="仿宋_GB2312" w:cs="Arial Unicode MS"/>
      <w:b w:val="0"/>
      <w:bCs w:val="0"/>
      <w:color w:val="000000"/>
      <w:sz w:val="21"/>
      <w:szCs w:val="21"/>
    </w:rPr>
  </w:style>
  <w:style w:type="paragraph" w:customStyle="1" w:styleId="645">
    <w:name w:val="彩色底纹 - 强调文字颜色 11"/>
    <w:semiHidden/>
    <w:qFormat/>
    <w:uiPriority w:val="99"/>
    <w:rPr>
      <w:rFonts w:ascii="等线" w:hAnsi="等线" w:eastAsia="等线" w:cs="等线"/>
      <w:kern w:val="2"/>
      <w:sz w:val="21"/>
      <w:szCs w:val="24"/>
      <w:lang w:val="en-US" w:eastAsia="zh-CN" w:bidi="ar-SA"/>
    </w:rPr>
  </w:style>
  <w:style w:type="paragraph" w:customStyle="1" w:styleId="646">
    <w:name w:val="_Style 3"/>
    <w:qFormat/>
    <w:uiPriority w:val="0"/>
    <w:rPr>
      <w:rFonts w:ascii="Calibri" w:hAnsi="Calibri" w:eastAsia="等线" w:cs="等线"/>
      <w:sz w:val="22"/>
      <w:szCs w:val="22"/>
      <w:lang w:val="en-US" w:eastAsia="zh-CN" w:bidi="ar-SA"/>
    </w:rPr>
  </w:style>
  <w:style w:type="paragraph" w:customStyle="1" w:styleId="647">
    <w:name w:val="xl10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48">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49">
    <w:name w:val="xl33"/>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5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等线"/>
      <w:spacing w:val="-40"/>
      <w:sz w:val="48"/>
      <w:szCs w:val="52"/>
      <w:lang w:val="en-US" w:eastAsia="zh-CN" w:bidi="ar-SA"/>
    </w:rPr>
  </w:style>
  <w:style w:type="paragraph" w:customStyle="1" w:styleId="65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2">
    <w:name w:val="font15"/>
    <w:basedOn w:val="1"/>
    <w:qFormat/>
    <w:uiPriority w:val="0"/>
    <w:pPr>
      <w:widowControl/>
      <w:spacing w:before="100" w:beforeAutospacing="1" w:after="100" w:afterAutospacing="1"/>
      <w:jc w:val="left"/>
    </w:pPr>
    <w:rPr>
      <w:rFonts w:hint="eastAsia" w:ascii="宋体" w:hAnsi="宋体" w:eastAsia="等线" w:cs="等线"/>
      <w:b/>
      <w:bCs/>
      <w:color w:val="000000"/>
      <w:kern w:val="0"/>
      <w:sz w:val="16"/>
      <w:szCs w:val="16"/>
    </w:rPr>
  </w:style>
  <w:style w:type="paragraph" w:customStyle="1" w:styleId="653">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54">
    <w:name w:val="样式 标题 5 + 段前: 5 磅 段后: 5 磅 行距: 单倍行距"/>
    <w:basedOn w:val="9"/>
    <w:qFormat/>
    <w:uiPriority w:val="0"/>
    <w:pPr>
      <w:tabs>
        <w:tab w:val="left" w:pos="2100"/>
      </w:tabs>
      <w:adjustRightInd w:val="0"/>
      <w:spacing w:before="100" w:after="100" w:line="240" w:lineRule="auto"/>
      <w:ind w:left="2100" w:hanging="420" w:firstLineChars="200"/>
      <w:jc w:val="left"/>
      <w:textAlignment w:val="baseline"/>
    </w:pPr>
    <w:rPr>
      <w:bCs w:val="0"/>
      <w:kern w:val="0"/>
      <w:szCs w:val="20"/>
    </w:rPr>
  </w:style>
  <w:style w:type="paragraph" w:customStyle="1" w:styleId="655">
    <w:name w:val="列出段落3"/>
    <w:basedOn w:val="1"/>
    <w:qFormat/>
    <w:uiPriority w:val="0"/>
    <w:pPr>
      <w:ind w:firstLine="420" w:firstLineChars="200"/>
    </w:pPr>
    <w:rPr>
      <w:rFonts w:ascii="Calibri" w:hAnsi="Calibri" w:eastAsia="等线" w:cs="等线"/>
      <w:szCs w:val="22"/>
    </w:rPr>
  </w:style>
  <w:style w:type="paragraph" w:customStyle="1" w:styleId="656">
    <w:name w:val="标准小四"/>
    <w:basedOn w:val="1"/>
    <w:qFormat/>
    <w:uiPriority w:val="0"/>
    <w:pPr>
      <w:autoSpaceDE w:val="0"/>
      <w:autoSpaceDN w:val="0"/>
      <w:adjustRightInd w:val="0"/>
      <w:spacing w:line="360" w:lineRule="auto"/>
      <w:ind w:firstLine="480" w:firstLineChars="200"/>
      <w:jc w:val="left"/>
    </w:pPr>
    <w:rPr>
      <w:rFonts w:ascii="Tahoma" w:hAnsi="Tahoma" w:eastAsia="等线" w:cs="等线"/>
      <w:kern w:val="0"/>
      <w:sz w:val="24"/>
      <w:szCs w:val="21"/>
    </w:rPr>
  </w:style>
  <w:style w:type="paragraph" w:customStyle="1" w:styleId="657">
    <w:name w:val="排列"/>
    <w:basedOn w:val="1"/>
    <w:qFormat/>
    <w:uiPriority w:val="0"/>
    <w:pPr>
      <w:widowControl/>
      <w:autoSpaceDE w:val="0"/>
      <w:autoSpaceDN w:val="0"/>
      <w:adjustRightInd w:val="0"/>
      <w:spacing w:line="360" w:lineRule="auto"/>
      <w:jc w:val="left"/>
    </w:pPr>
    <w:rPr>
      <w:rFonts w:ascii="仿宋_GB2312" w:hAnsi="仿宋_GB2312" w:eastAsia="等线" w:cs="等线"/>
      <w:kern w:val="0"/>
      <w:sz w:val="20"/>
      <w:szCs w:val="20"/>
      <w:lang w:val="zh-CN"/>
    </w:rPr>
  </w:style>
  <w:style w:type="paragraph" w:customStyle="1" w:styleId="6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paragraph" w:customStyle="1" w:styleId="659">
    <w:name w:val="標題 2..."/>
    <w:basedOn w:val="1"/>
    <w:qFormat/>
    <w:uiPriority w:val="0"/>
    <w:pPr>
      <w:spacing w:line="360" w:lineRule="auto"/>
      <w:ind w:left="568" w:firstLine="567" w:firstLineChars="200"/>
    </w:pPr>
    <w:rPr>
      <w:rFonts w:ascii="等线" w:hAnsi="等线" w:eastAsia="PMingLiU" w:cs="等线"/>
      <w:sz w:val="24"/>
      <w:lang w:eastAsia="zh-TW"/>
    </w:rPr>
  </w:style>
  <w:style w:type="paragraph" w:customStyle="1" w:styleId="660">
    <w:name w:val="TOC 标题1"/>
    <w:basedOn w:val="5"/>
    <w:next w:val="1"/>
    <w:qFormat/>
    <w:uiPriority w:val="39"/>
    <w:pPr>
      <w:keepLines/>
      <w:spacing w:beforeLines="50" w:afterLines="50" w:line="578" w:lineRule="auto"/>
      <w:jc w:val="both"/>
      <w:outlineLvl w:val="9"/>
    </w:pPr>
    <w:rPr>
      <w:rFonts w:ascii="等线" w:hAnsi="等线" w:eastAsia="等线"/>
      <w:kern w:val="44"/>
      <w:sz w:val="44"/>
      <w:szCs w:val="44"/>
    </w:rPr>
  </w:style>
  <w:style w:type="paragraph" w:customStyle="1" w:styleId="661">
    <w:name w:val="正文 首行缩进:  2 字符 Char"/>
    <w:basedOn w:val="1"/>
    <w:qFormat/>
    <w:uiPriority w:val="0"/>
    <w:pPr>
      <w:spacing w:line="360" w:lineRule="auto"/>
      <w:ind w:firstLine="480"/>
    </w:pPr>
    <w:rPr>
      <w:rFonts w:ascii="等线" w:hAnsi="等线" w:eastAsia="等线" w:cs="仿宋_GB2312"/>
      <w:sz w:val="24"/>
      <w:szCs w:val="20"/>
    </w:rPr>
  </w:style>
  <w:style w:type="paragraph" w:customStyle="1" w:styleId="662">
    <w:name w:val="font6"/>
    <w:basedOn w:val="1"/>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63">
    <w:name w:val="列表内容"/>
    <w:basedOn w:val="1"/>
    <w:next w:val="1"/>
    <w:qFormat/>
    <w:uiPriority w:val="0"/>
    <w:pPr>
      <w:widowControl/>
      <w:autoSpaceDE w:val="0"/>
      <w:autoSpaceDN w:val="0"/>
      <w:adjustRightInd w:val="0"/>
      <w:ind w:firstLine="200"/>
      <w:jc w:val="left"/>
    </w:pPr>
    <w:rPr>
      <w:rFonts w:ascii="等线" w:hAnsi="等线" w:eastAsia="等线" w:cs="等线"/>
      <w:kern w:val="0"/>
      <w:sz w:val="18"/>
      <w:szCs w:val="20"/>
    </w:rPr>
  </w:style>
  <w:style w:type="paragraph" w:customStyle="1" w:styleId="664">
    <w:name w:val="附录表标题"/>
    <w:basedOn w:val="1"/>
    <w:next w:val="452"/>
    <w:qFormat/>
    <w:uiPriority w:val="0"/>
    <w:pPr>
      <w:tabs>
        <w:tab w:val="left" w:pos="180"/>
        <w:tab w:val="left" w:pos="992"/>
      </w:tabs>
      <w:autoSpaceDE w:val="0"/>
      <w:autoSpaceDN w:val="0"/>
      <w:adjustRightInd w:val="0"/>
      <w:spacing w:beforeLines="50" w:afterLines="50"/>
      <w:jc w:val="center"/>
      <w:textAlignment w:val="baseline"/>
    </w:pPr>
    <w:rPr>
      <w:rFonts w:ascii="黑体" w:hAnsi="等线" w:eastAsia="黑体" w:cs="等线"/>
      <w:kern w:val="0"/>
      <w:sz w:val="28"/>
      <w:szCs w:val="21"/>
    </w:rPr>
  </w:style>
  <w:style w:type="paragraph" w:customStyle="1" w:styleId="66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66">
    <w:name w:val="WW-正文文字缩进 2"/>
    <w:basedOn w:val="1"/>
    <w:qFormat/>
    <w:uiPriority w:val="0"/>
    <w:pPr>
      <w:suppressAutoHyphens/>
      <w:autoSpaceDE w:val="0"/>
      <w:autoSpaceDN w:val="0"/>
      <w:adjustRightInd w:val="0"/>
      <w:ind w:firstLine="420"/>
      <w:jc w:val="left"/>
    </w:pPr>
    <w:rPr>
      <w:rFonts w:ascii="等线" w:hAnsi="等线" w:eastAsia="等线" w:cs="等线"/>
      <w:kern w:val="1"/>
      <w:sz w:val="20"/>
      <w:szCs w:val="20"/>
    </w:rPr>
  </w:style>
  <w:style w:type="paragraph" w:customStyle="1" w:styleId="667">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rFonts w:ascii="等线" w:hAnsi="等线" w:eastAsia="等线" w:cs="等线"/>
      <w:kern w:val="0"/>
      <w:sz w:val="20"/>
      <w:szCs w:val="20"/>
    </w:rPr>
  </w:style>
  <w:style w:type="paragraph" w:customStyle="1" w:styleId="668">
    <w:name w:val="xl10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69">
    <w:name w:val="PP Line"/>
    <w:basedOn w:val="45"/>
    <w:qFormat/>
    <w:uiPriority w:val="0"/>
    <w:pPr>
      <w:autoSpaceDE/>
      <w:autoSpaceDN/>
      <w:spacing w:after="0" w:line="360" w:lineRule="atLeast"/>
      <w:ind w:left="100" w:leftChars="1800" w:firstLine="200" w:firstLineChars="200"/>
      <w:jc w:val="left"/>
    </w:pPr>
    <w:rPr>
      <w:rFonts w:eastAsia="PMingLiU"/>
      <w:lang w:eastAsia="zh-TW"/>
    </w:rPr>
  </w:style>
  <w:style w:type="paragraph" w:customStyle="1" w:styleId="670">
    <w:name w:val="正文文本 21"/>
    <w:basedOn w:val="1"/>
    <w:qFormat/>
    <w:uiPriority w:val="0"/>
    <w:pPr>
      <w:widowControl/>
      <w:overflowPunct w:val="0"/>
      <w:autoSpaceDE w:val="0"/>
      <w:autoSpaceDN w:val="0"/>
      <w:adjustRightInd w:val="0"/>
      <w:ind w:left="720" w:hanging="720"/>
      <w:jc w:val="left"/>
      <w:textAlignment w:val="baseline"/>
    </w:pPr>
    <w:rPr>
      <w:rFonts w:ascii="等线" w:hAnsi="等线" w:eastAsia="等线" w:cs="等线"/>
      <w:kern w:val="0"/>
      <w:sz w:val="24"/>
      <w:szCs w:val="20"/>
      <w:lang w:val="en-GB"/>
    </w:rPr>
  </w:style>
  <w:style w:type="paragraph" w:customStyle="1" w:styleId="671">
    <w:name w:val="样式 普通(网站) + 仿宋_GB2312 段前: 自动 段后: 自动 行距: 1.5 倍行距1"/>
    <w:basedOn w:val="1"/>
    <w:qFormat/>
    <w:uiPriority w:val="0"/>
    <w:pPr>
      <w:widowControl/>
      <w:tabs>
        <w:tab w:val="left" w:pos="1134"/>
      </w:tabs>
      <w:spacing w:after="120" w:line="360" w:lineRule="auto"/>
      <w:ind w:left="1134" w:hanging="294" w:firstLineChars="200"/>
      <w:jc w:val="left"/>
    </w:pPr>
    <w:rPr>
      <w:rFonts w:ascii="Arial" w:hAnsi="Arial" w:eastAsia="等线" w:cs="等线"/>
      <w:kern w:val="0"/>
      <w:sz w:val="20"/>
      <w:szCs w:val="20"/>
    </w:rPr>
  </w:style>
  <w:style w:type="paragraph" w:customStyle="1" w:styleId="672">
    <w:name w:val="_Style 125"/>
    <w:basedOn w:val="1"/>
    <w:qFormat/>
    <w:uiPriority w:val="0"/>
    <w:rPr>
      <w:rFonts w:ascii="等线" w:hAnsi="等线" w:eastAsia="等线" w:cs="等线"/>
    </w:rPr>
  </w:style>
  <w:style w:type="paragraph" w:customStyle="1" w:styleId="673">
    <w:name w:val="封面标准代替信息"/>
    <w:qFormat/>
    <w:uiPriority w:val="0"/>
    <w:pPr>
      <w:framePr w:w="9140" w:h="1242" w:hRule="exact" w:hSpace="284" w:wrap="around" w:vAnchor="page" w:hAnchor="page" w:x="1645" w:y="2910" w:anchorLock="1"/>
      <w:spacing w:before="57" w:line="280" w:lineRule="exact"/>
      <w:jc w:val="right"/>
    </w:pPr>
    <w:rPr>
      <w:rFonts w:ascii="宋体" w:hAnsi="等线" w:eastAsia="等线" w:cs="等线"/>
      <w:sz w:val="21"/>
      <w:szCs w:val="21"/>
      <w:lang w:val="en-US" w:eastAsia="zh-CN" w:bidi="ar-SA"/>
    </w:rPr>
  </w:style>
  <w:style w:type="paragraph" w:customStyle="1" w:styleId="674">
    <w:name w:val="彩色列表 - 着色 11"/>
    <w:basedOn w:val="1"/>
    <w:qFormat/>
    <w:uiPriority w:val="0"/>
    <w:pPr>
      <w:spacing w:line="360" w:lineRule="auto"/>
      <w:ind w:firstLine="420" w:firstLineChars="200"/>
    </w:pPr>
    <w:rPr>
      <w:rFonts w:ascii="Calibri" w:hAnsi="Calibri" w:eastAsia="等线" w:cs="等线"/>
      <w:szCs w:val="20"/>
    </w:rPr>
  </w:style>
  <w:style w:type="paragraph" w:customStyle="1" w:styleId="675">
    <w:name w:val="my正文"/>
    <w:basedOn w:val="1"/>
    <w:qFormat/>
    <w:uiPriority w:val="0"/>
    <w:pPr>
      <w:spacing w:line="360" w:lineRule="auto"/>
      <w:ind w:firstLine="480" w:firstLineChars="200"/>
    </w:pPr>
    <w:rPr>
      <w:rFonts w:ascii="Tahoma" w:hAnsi="Tahoma" w:eastAsia="等线" w:cs="等线"/>
      <w:sz w:val="24"/>
    </w:rPr>
  </w:style>
  <w:style w:type="paragraph" w:customStyle="1" w:styleId="676">
    <w:name w:val="寄件者簡短地址"/>
    <w:basedOn w:val="1"/>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677">
    <w:name w:val="context-item"/>
    <w:basedOn w:val="678"/>
    <w:qFormat/>
    <w:uiPriority w:val="0"/>
    <w:pPr>
      <w:ind w:left="1418" w:hanging="284"/>
    </w:pPr>
  </w:style>
  <w:style w:type="paragraph" w:customStyle="1" w:styleId="678">
    <w:name w:val="context"/>
    <w:basedOn w:val="1"/>
    <w:qFormat/>
    <w:uiPriority w:val="0"/>
    <w:pPr>
      <w:adjustRightInd w:val="0"/>
      <w:spacing w:before="60" w:line="240" w:lineRule="atLeast"/>
      <w:ind w:left="567" w:firstLine="567" w:firstLineChars="200"/>
      <w:textAlignment w:val="baseline"/>
    </w:pPr>
    <w:rPr>
      <w:rFonts w:ascii="全真楷書" w:hAnsi="等线" w:eastAsia="全真楷書" w:cs="等线"/>
      <w:kern w:val="0"/>
      <w:sz w:val="24"/>
      <w:szCs w:val="20"/>
      <w:lang w:eastAsia="zh-TW"/>
    </w:rPr>
  </w:style>
  <w:style w:type="paragraph" w:customStyle="1" w:styleId="679">
    <w:name w:val="_Style 5"/>
    <w:basedOn w:val="21"/>
    <w:qFormat/>
    <w:uiPriority w:val="0"/>
    <w:rPr>
      <w:rFonts w:eastAsia="等线"/>
    </w:rPr>
  </w:style>
  <w:style w:type="paragraph" w:customStyle="1" w:styleId="680">
    <w:name w:val="xl24"/>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681">
    <w:name w:val="表头"/>
    <w:basedOn w:val="1"/>
    <w:qFormat/>
    <w:uiPriority w:val="0"/>
    <w:pPr>
      <w:spacing w:before="120" w:after="120" w:line="480" w:lineRule="exact"/>
      <w:jc w:val="center"/>
    </w:pPr>
    <w:rPr>
      <w:rFonts w:ascii="黑体" w:hAnsi="等线" w:eastAsia="黑体" w:cs="等线"/>
      <w:sz w:val="24"/>
      <w:szCs w:val="20"/>
    </w:rPr>
  </w:style>
  <w:style w:type="paragraph" w:customStyle="1" w:styleId="682">
    <w:name w:val="正文文本缩进 31"/>
    <w:basedOn w:val="1"/>
    <w:qFormat/>
    <w:uiPriority w:val="0"/>
    <w:pPr>
      <w:autoSpaceDE w:val="0"/>
      <w:autoSpaceDN w:val="0"/>
      <w:adjustRightInd w:val="0"/>
      <w:spacing w:line="360" w:lineRule="auto"/>
      <w:ind w:firstLine="567"/>
      <w:jc w:val="left"/>
      <w:textAlignment w:val="baseline"/>
    </w:pPr>
    <w:rPr>
      <w:rFonts w:ascii="宋体" w:hAnsi="等线" w:eastAsia="等线" w:cs="等线"/>
      <w:kern w:val="0"/>
      <w:sz w:val="28"/>
      <w:szCs w:val="20"/>
    </w:rPr>
  </w:style>
  <w:style w:type="paragraph" w:customStyle="1" w:styleId="683">
    <w:name w:val="List Paragraph1"/>
    <w:basedOn w:val="1"/>
    <w:qFormat/>
    <w:uiPriority w:val="0"/>
    <w:pPr>
      <w:spacing w:line="360" w:lineRule="auto"/>
      <w:ind w:firstLine="420" w:firstLineChars="200"/>
    </w:pPr>
    <w:rPr>
      <w:rFonts w:ascii="等线" w:hAnsi="等线" w:eastAsia="等线" w:cs="等线"/>
      <w:szCs w:val="20"/>
    </w:rPr>
  </w:style>
  <w:style w:type="paragraph" w:customStyle="1" w:styleId="684">
    <w:name w:val="aspnumfaautoadjustrightr"/>
    <w:qFormat/>
    <w:uiPriority w:val="0"/>
    <w:pPr>
      <w:widowControl w:val="0"/>
      <w:autoSpaceDE w:val="0"/>
      <w:autoSpaceDN w:val="0"/>
      <w:adjustRightInd w:val="0"/>
      <w:ind w:firstLine="720"/>
      <w:jc w:val="both"/>
    </w:pPr>
    <w:rPr>
      <w:rFonts w:ascii="等线" w:hAnsi="等线" w:eastAsia="等线" w:cs="等线"/>
      <w:lang w:val="en-US" w:eastAsia="zh-CN" w:bidi="ar-SA"/>
    </w:rPr>
  </w:style>
  <w:style w:type="paragraph" w:customStyle="1" w:styleId="685">
    <w:name w:val="Test2"/>
    <w:basedOn w:val="6"/>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hAnsi="Tahoma" w:eastAsia="仿宋_GB2312"/>
      <w:b w:val="0"/>
      <w:bCs w:val="0"/>
      <w:snapToGrid w:val="0"/>
      <w:kern w:val="0"/>
      <w:sz w:val="28"/>
    </w:rPr>
  </w:style>
  <w:style w:type="paragraph" w:customStyle="1" w:styleId="686">
    <w:name w:val="No Spacing1"/>
    <w:qFormat/>
    <w:uiPriority w:val="0"/>
    <w:rPr>
      <w:rFonts w:ascii="Century Gothic" w:hAnsi="Century Gothic" w:eastAsia="仿宋_GB2312" w:cs="新宋体"/>
      <w:sz w:val="22"/>
      <w:szCs w:val="22"/>
      <w:lang w:val="en-US" w:eastAsia="zh-CN" w:bidi="ar-SA"/>
    </w:rPr>
  </w:style>
  <w:style w:type="paragraph" w:customStyle="1" w:styleId="687">
    <w:name w:val="正文字缩2字"/>
    <w:basedOn w:val="1"/>
    <w:qFormat/>
    <w:uiPriority w:val="0"/>
    <w:pPr>
      <w:spacing w:before="60" w:after="60" w:line="360" w:lineRule="auto"/>
      <w:ind w:left="200" w:leftChars="200" w:firstLine="200" w:firstLineChars="200"/>
    </w:pPr>
    <w:rPr>
      <w:rFonts w:ascii="等线" w:hAnsi="等线" w:eastAsia="等线" w:cs="等线"/>
      <w:sz w:val="24"/>
    </w:rPr>
  </w:style>
  <w:style w:type="paragraph" w:customStyle="1" w:styleId="688">
    <w:name w:val="xl41"/>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89">
    <w:name w:val="题目副题"/>
    <w:basedOn w:val="48"/>
    <w:qFormat/>
    <w:uiPriority w:val="0"/>
    <w:pPr>
      <w:spacing w:before="0" w:after="312"/>
      <w:ind w:left="240" w:firstLine="600" w:firstLineChars="200"/>
      <w:jc w:val="left"/>
      <w:outlineLvl w:val="9"/>
    </w:pPr>
    <w:rPr>
      <w:rFonts w:ascii="宋体" w:hAnsi="宋体" w:eastAsia="宋体"/>
      <w:bCs w:val="0"/>
      <w:sz w:val="30"/>
      <w:szCs w:val="20"/>
    </w:rPr>
  </w:style>
  <w:style w:type="paragraph" w:customStyle="1" w:styleId="690">
    <w:name w:val="xl53"/>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91">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ascii="等线" w:hAnsi="等线" w:eastAsia="新宋体" w:cs="等线"/>
      <w:kern w:val="0"/>
      <w:sz w:val="20"/>
      <w:szCs w:val="20"/>
    </w:rPr>
  </w:style>
  <w:style w:type="paragraph" w:customStyle="1" w:styleId="69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693">
    <w:name w:val="Char Char Char2 Char"/>
    <w:basedOn w:val="1"/>
    <w:qFormat/>
    <w:uiPriority w:val="0"/>
    <w:pPr>
      <w:tabs>
        <w:tab w:val="left" w:pos="360"/>
        <w:tab w:val="left" w:pos="420"/>
      </w:tabs>
      <w:ind w:left="360" w:hanging="360"/>
    </w:pPr>
    <w:rPr>
      <w:rFonts w:ascii="等线" w:hAnsi="等线" w:eastAsia="等线" w:cs="等线"/>
    </w:rPr>
  </w:style>
  <w:style w:type="paragraph" w:customStyle="1" w:styleId="694">
    <w:name w:val="Char2 Char Char"/>
    <w:basedOn w:val="1"/>
    <w:qFormat/>
    <w:uiPriority w:val="0"/>
    <w:pPr>
      <w:spacing w:line="360" w:lineRule="auto"/>
      <w:ind w:firstLine="200" w:firstLineChars="200"/>
    </w:pPr>
    <w:rPr>
      <w:rFonts w:ascii="Tahoma" w:hAnsi="Tahoma" w:eastAsia="等线" w:cs="等线"/>
      <w:sz w:val="24"/>
      <w:szCs w:val="20"/>
    </w:rPr>
  </w:style>
  <w:style w:type="paragraph" w:customStyle="1" w:styleId="695">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96">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97">
    <w:name w:val="font9"/>
    <w:basedOn w:val="1"/>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698">
    <w:name w:val="Char Char Char Char Char Char"/>
    <w:basedOn w:val="1"/>
    <w:qFormat/>
    <w:uiPriority w:val="0"/>
    <w:rPr>
      <w:rFonts w:ascii="Tahoma" w:hAnsi="Tahoma" w:eastAsia="等线" w:cs="等线"/>
      <w:sz w:val="24"/>
      <w:szCs w:val="20"/>
    </w:rPr>
  </w:style>
  <w:style w:type="paragraph" w:customStyle="1" w:styleId="699">
    <w:name w:val="font1"/>
    <w:basedOn w:val="1"/>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700">
    <w:name w:val="xl2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01">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Arial Unicode MS" w:hAnsi="仿宋_GB2312" w:eastAsia="Arial Unicode MS" w:cs="等线"/>
      <w:kern w:val="0"/>
      <w:sz w:val="24"/>
      <w:szCs w:val="20"/>
    </w:rPr>
  </w:style>
  <w:style w:type="paragraph" w:customStyle="1" w:styleId="702">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703">
    <w:name w:val="style1"/>
    <w:basedOn w:val="1"/>
    <w:qFormat/>
    <w:uiPriority w:val="0"/>
    <w:pPr>
      <w:widowControl/>
      <w:spacing w:before="100" w:beforeAutospacing="1" w:after="100" w:afterAutospacing="1" w:line="360" w:lineRule="auto"/>
      <w:ind w:firstLine="200" w:firstLineChars="200"/>
      <w:jc w:val="left"/>
    </w:pPr>
    <w:rPr>
      <w:rFonts w:ascii="宋体" w:hAnsi="宋体" w:eastAsia="等线" w:cs="宋体"/>
      <w:b/>
      <w:bCs/>
      <w:color w:val="FF0000"/>
      <w:kern w:val="0"/>
      <w:sz w:val="28"/>
      <w:szCs w:val="28"/>
    </w:rPr>
  </w:style>
  <w:style w:type="paragraph" w:customStyle="1" w:styleId="704">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705">
    <w:name w:val="TOC Heading1"/>
    <w:basedOn w:val="5"/>
    <w:next w:val="1"/>
    <w:qFormat/>
    <w:uiPriority w:val="0"/>
    <w:pPr>
      <w:keepLines/>
      <w:widowControl/>
      <w:spacing w:before="480" w:line="276" w:lineRule="auto"/>
      <w:jc w:val="left"/>
      <w:outlineLvl w:val="9"/>
    </w:pPr>
    <w:rPr>
      <w:rFonts w:ascii="Verdana" w:hAnsi="Verdana" w:eastAsia="仿宋_GB2312" w:cs="新宋体"/>
      <w:color w:val="365F91"/>
      <w:kern w:val="0"/>
      <w:sz w:val="28"/>
      <w:szCs w:val="28"/>
    </w:rPr>
  </w:style>
  <w:style w:type="paragraph" w:customStyle="1" w:styleId="706">
    <w:name w:val="正文文字表格居中"/>
    <w:basedOn w:val="1"/>
    <w:next w:val="55"/>
    <w:qFormat/>
    <w:uiPriority w:val="0"/>
    <w:pPr>
      <w:autoSpaceDE w:val="0"/>
      <w:autoSpaceDN w:val="0"/>
      <w:adjustRightInd w:val="0"/>
      <w:snapToGrid w:val="0"/>
      <w:spacing w:line="360" w:lineRule="auto"/>
      <w:jc w:val="left"/>
    </w:pPr>
    <w:rPr>
      <w:rFonts w:ascii="仿宋_GB2312" w:hAnsi="等线" w:eastAsia="等线" w:cs="等线"/>
      <w:b/>
      <w:kern w:val="0"/>
      <w:sz w:val="24"/>
      <w:szCs w:val="20"/>
    </w:rPr>
  </w:style>
  <w:style w:type="paragraph" w:customStyle="1" w:styleId="707">
    <w:name w:val="普通 (Web)"/>
    <w:basedOn w:val="1"/>
    <w:qFormat/>
    <w:uiPriority w:val="0"/>
    <w:pPr>
      <w:widowControl/>
      <w:spacing w:before="100" w:after="100"/>
      <w:jc w:val="left"/>
    </w:pPr>
    <w:rPr>
      <w:rFonts w:ascii="宋体" w:hAnsi="宋体" w:eastAsia="等线" w:cs="等线"/>
      <w:kern w:val="0"/>
      <w:sz w:val="24"/>
      <w:szCs w:val="20"/>
    </w:rPr>
  </w:style>
  <w:style w:type="paragraph" w:customStyle="1" w:styleId="70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color w:val="000000"/>
      <w:kern w:val="0"/>
      <w:sz w:val="24"/>
    </w:rPr>
  </w:style>
  <w:style w:type="paragraph" w:customStyle="1" w:styleId="709">
    <w:name w:val="列出段落2"/>
    <w:basedOn w:val="1"/>
    <w:qFormat/>
    <w:uiPriority w:val="0"/>
    <w:pPr>
      <w:spacing w:line="360" w:lineRule="auto"/>
      <w:ind w:firstLine="420" w:firstLineChars="200"/>
    </w:pPr>
    <w:rPr>
      <w:rFonts w:ascii="等线" w:hAnsi="等线" w:eastAsia="等线" w:cs="等线"/>
      <w:szCs w:val="20"/>
    </w:rPr>
  </w:style>
  <w:style w:type="paragraph" w:customStyle="1" w:styleId="710">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等线" w:cs="等线"/>
      <w:kern w:val="0"/>
      <w:sz w:val="20"/>
      <w:szCs w:val="20"/>
    </w:rPr>
  </w:style>
  <w:style w:type="paragraph" w:customStyle="1" w:styleId="711">
    <w:name w:val="Char Char1 Char Char"/>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712">
    <w:name w:val="xl11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1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714">
    <w:name w:val="1、"/>
    <w:basedOn w:val="1"/>
    <w:qFormat/>
    <w:uiPriority w:val="0"/>
    <w:pPr>
      <w:adjustRightInd w:val="0"/>
      <w:spacing w:line="454" w:lineRule="atLeast"/>
      <w:ind w:left="1276" w:hanging="426" w:firstLineChars="200"/>
      <w:textAlignment w:val="baseline"/>
    </w:pPr>
    <w:rPr>
      <w:rFonts w:ascii="PMingLiU" w:hAnsi="等线" w:eastAsia="PMingLiU" w:cs="等线"/>
      <w:kern w:val="0"/>
      <w:sz w:val="28"/>
      <w:szCs w:val="20"/>
      <w:lang w:eastAsia="zh-TW"/>
    </w:rPr>
  </w:style>
  <w:style w:type="paragraph" w:customStyle="1" w:styleId="71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Times New Roman" w:cs="等线"/>
      <w:kern w:val="0"/>
      <w:szCs w:val="22"/>
    </w:rPr>
  </w:style>
  <w:style w:type="paragraph" w:customStyle="1" w:styleId="71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717">
    <w:name w:val="正文缩进HS-正文1"/>
    <w:basedOn w:val="1"/>
    <w:qFormat/>
    <w:uiPriority w:val="0"/>
    <w:pPr>
      <w:jc w:val="center"/>
    </w:pPr>
    <w:rPr>
      <w:rFonts w:ascii="宋体" w:hAnsi="宋体" w:eastAsia="等线" w:cs="等线"/>
      <w:color w:val="000000"/>
      <w:szCs w:val="21"/>
    </w:rPr>
  </w:style>
  <w:style w:type="paragraph" w:customStyle="1" w:styleId="718">
    <w:name w:val="列项——（一级）"/>
    <w:qFormat/>
    <w:uiPriority w:val="0"/>
    <w:pPr>
      <w:widowControl w:val="0"/>
      <w:tabs>
        <w:tab w:val="left" w:pos="854"/>
        <w:tab w:val="left" w:pos="1260"/>
      </w:tabs>
      <w:ind w:left="1260" w:hanging="420"/>
      <w:jc w:val="both"/>
    </w:pPr>
    <w:rPr>
      <w:rFonts w:ascii="仿宋_GB2312" w:hAnsi="等线" w:eastAsia="等线" w:cs="等线"/>
      <w:sz w:val="21"/>
      <w:lang w:val="en-US" w:eastAsia="zh-CN" w:bidi="ar-SA"/>
    </w:rPr>
  </w:style>
  <w:style w:type="paragraph" w:customStyle="1" w:styleId="719">
    <w:name w:val="缺省文本"/>
    <w:basedOn w:val="1"/>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720">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721">
    <w:name w:val="6"/>
    <w:basedOn w:val="1"/>
    <w:qFormat/>
    <w:uiPriority w:val="0"/>
    <w:pPr>
      <w:tabs>
        <w:tab w:val="left" w:pos="360"/>
      </w:tabs>
    </w:pPr>
    <w:rPr>
      <w:rFonts w:ascii="等线" w:hAnsi="等线" w:eastAsia="等线" w:cs="等线"/>
      <w:szCs w:val="20"/>
    </w:rPr>
  </w:style>
  <w:style w:type="paragraph" w:customStyle="1" w:styleId="72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200" w:firstLineChars="200"/>
      <w:jc w:val="left"/>
    </w:pPr>
    <w:rPr>
      <w:rFonts w:ascii="Courier New" w:hAnsi="Courier New" w:eastAsia="等线" w:cs="等线"/>
      <w:kern w:val="0"/>
      <w:sz w:val="20"/>
      <w:szCs w:val="20"/>
    </w:rPr>
  </w:style>
  <w:style w:type="paragraph" w:customStyle="1" w:styleId="723">
    <w:name w:val="Char Char Char Char Char Char Char Char Char"/>
    <w:basedOn w:val="1"/>
    <w:qFormat/>
    <w:uiPriority w:val="0"/>
    <w:pPr>
      <w:widowControl/>
      <w:spacing w:before="100" w:beforeAutospacing="1" w:after="100" w:afterAutospacing="1" w:line="360" w:lineRule="auto"/>
      <w:ind w:left="357"/>
      <w:jc w:val="left"/>
    </w:pPr>
    <w:rPr>
      <w:rFonts w:ascii="ˎ̥" w:hAnsi="ˎ̥" w:eastAsia="等线" w:cs="宋体"/>
      <w:color w:val="51585D"/>
      <w:kern w:val="0"/>
      <w:sz w:val="24"/>
      <w:szCs w:val="18"/>
    </w:rPr>
  </w:style>
  <w:style w:type="paragraph" w:customStyle="1" w:styleId="724">
    <w:name w:val="xl6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25">
    <w:name w:val="Char Char Char Char Char Char Char Char Char Char1"/>
    <w:basedOn w:val="1"/>
    <w:qFormat/>
    <w:uiPriority w:val="0"/>
    <w:pPr>
      <w:widowControl/>
      <w:spacing w:after="160" w:line="240" w:lineRule="exact"/>
      <w:ind w:firstLine="200" w:firstLineChars="200"/>
      <w:jc w:val="left"/>
    </w:pPr>
    <w:rPr>
      <w:rFonts w:ascii="Verdana" w:hAnsi="Verdana" w:eastAsia="仿宋_GB2312" w:cs="等线"/>
      <w:kern w:val="0"/>
      <w:sz w:val="24"/>
      <w:szCs w:val="20"/>
      <w:lang w:eastAsia="en-US"/>
    </w:rPr>
  </w:style>
  <w:style w:type="paragraph" w:customStyle="1" w:styleId="72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727">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Calibri" w:hAnsi="Calibri" w:eastAsia="Calibri" w:cs="仿宋_GB2312"/>
      <w:b/>
      <w:bCs/>
      <w:color w:val="FF0000"/>
      <w:kern w:val="0"/>
      <w:sz w:val="24"/>
    </w:rPr>
  </w:style>
  <w:style w:type="paragraph" w:customStyle="1" w:styleId="728">
    <w:name w:val="font14"/>
    <w:basedOn w:val="1"/>
    <w:qFormat/>
    <w:uiPriority w:val="0"/>
    <w:pPr>
      <w:widowControl/>
      <w:spacing w:before="100" w:beforeAutospacing="1" w:after="100" w:afterAutospacing="1"/>
      <w:jc w:val="left"/>
    </w:pPr>
    <w:rPr>
      <w:rFonts w:hint="eastAsia" w:ascii="黑体" w:hAnsi="宋体" w:eastAsia="黑体" w:cs="等线"/>
      <w:kern w:val="0"/>
      <w:sz w:val="18"/>
      <w:szCs w:val="18"/>
    </w:rPr>
  </w:style>
  <w:style w:type="paragraph" w:customStyle="1" w:styleId="729">
    <w:name w:val="正文列表"/>
    <w:basedOn w:val="1"/>
    <w:qFormat/>
    <w:uiPriority w:val="0"/>
    <w:pPr>
      <w:autoSpaceDE w:val="0"/>
      <w:autoSpaceDN w:val="0"/>
      <w:adjustRightInd w:val="0"/>
      <w:spacing w:line="360" w:lineRule="auto"/>
      <w:ind w:firstLine="200" w:firstLineChars="200"/>
      <w:jc w:val="center"/>
      <w:textAlignment w:val="baseline"/>
    </w:pPr>
    <w:rPr>
      <w:rFonts w:ascii="宋体" w:hAnsi="宋体" w:eastAsia="等线" w:cs="等线"/>
      <w:kern w:val="0"/>
      <w:sz w:val="24"/>
      <w:szCs w:val="20"/>
    </w:rPr>
  </w:style>
  <w:style w:type="paragraph" w:customStyle="1" w:styleId="730">
    <w:name w:val="普通(网站)1"/>
    <w:basedOn w:val="1"/>
    <w:qFormat/>
    <w:uiPriority w:val="0"/>
    <w:pPr>
      <w:widowControl/>
      <w:spacing w:before="100" w:beforeAutospacing="1" w:after="100" w:afterAutospacing="1" w:line="360" w:lineRule="auto"/>
      <w:ind w:firstLine="200" w:firstLineChars="200"/>
      <w:jc w:val="left"/>
    </w:pPr>
    <w:rPr>
      <w:rFonts w:ascii="宋体" w:hAnsi="宋体" w:eastAsia="等线" w:cs="等线"/>
      <w:color w:val="000000"/>
      <w:kern w:val="0"/>
      <w:sz w:val="24"/>
      <w:szCs w:val="20"/>
    </w:rPr>
  </w:style>
  <w:style w:type="paragraph" w:customStyle="1" w:styleId="731">
    <w:name w:val="p16"/>
    <w:basedOn w:val="1"/>
    <w:qFormat/>
    <w:uiPriority w:val="0"/>
    <w:pPr>
      <w:widowControl/>
      <w:spacing w:before="100" w:after="100" w:line="360" w:lineRule="auto"/>
      <w:ind w:firstLine="420" w:firstLineChars="200"/>
    </w:pPr>
    <w:rPr>
      <w:rFonts w:ascii="Calibri" w:hAnsi="Calibri" w:eastAsia="等线" w:cs="等线"/>
      <w:kern w:val="0"/>
      <w:sz w:val="24"/>
      <w:szCs w:val="20"/>
    </w:rPr>
  </w:style>
  <w:style w:type="paragraph" w:customStyle="1" w:styleId="732">
    <w:name w:val="Char Char Char1 Char Char Char Char"/>
    <w:basedOn w:val="1"/>
    <w:qFormat/>
    <w:uiPriority w:val="0"/>
    <w:pPr>
      <w:spacing w:line="360" w:lineRule="auto"/>
      <w:ind w:firstLine="200" w:firstLineChars="200"/>
    </w:pPr>
    <w:rPr>
      <w:rFonts w:ascii="Tahoma" w:hAnsi="Tahoma" w:eastAsia="等线" w:cs="等线"/>
      <w:sz w:val="24"/>
      <w:szCs w:val="20"/>
    </w:rPr>
  </w:style>
  <w:style w:type="paragraph" w:customStyle="1" w:styleId="733">
    <w:name w:val="text1"/>
    <w:qFormat/>
    <w:uiPriority w:val="0"/>
    <w:rPr>
      <w:rFonts w:ascii="等线" w:hAnsi="等线" w:eastAsia="DFKai-SB" w:cs="等线"/>
      <w:sz w:val="28"/>
      <w:lang w:val="en-US" w:eastAsia="zh-TW" w:bidi="ar-SA"/>
    </w:rPr>
  </w:style>
  <w:style w:type="table" w:customStyle="1" w:styleId="734">
    <w:name w:val="网格表 1 浅色 - 着色 41"/>
    <w:basedOn w:val="63"/>
    <w:qFormat/>
    <w:uiPriority w:val="46"/>
    <w:rPr>
      <w:rFonts w:hint="eastAsia" w:ascii="等线" w:hAnsi="等线" w:eastAsia="等线" w:cs="等线"/>
    </w:rPr>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Pr>
    <w:tblStylePr w:type="firstRow">
      <w:rPr>
        <w:b/>
        <w:bCs/>
      </w:rPr>
      <w:tcPr>
        <w:tcBorders>
          <w:top w:val="nil"/>
          <w:left w:val="nil"/>
          <w:bottom w:val="single" w:color="FFD966" w:sz="12" w:space="0"/>
          <w:right w:val="nil"/>
          <w:insideH w:val="nil"/>
          <w:insideV w:val="nil"/>
          <w:tl2br w:val="nil"/>
          <w:tr2bl w:val="nil"/>
        </w:tcBorders>
      </w:tcPr>
    </w:tblStylePr>
    <w:tblStylePr w:type="lastRow">
      <w:rPr>
        <w:b/>
        <w:bCs/>
      </w:rPr>
      <w:tcPr>
        <w:tcBorders>
          <w:top w:val="double" w:color="FFD9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735">
    <w:name w:val="网格表 5 深色 - 着色 11"/>
    <w:basedOn w:val="63"/>
    <w:qFormat/>
    <w:uiPriority w:val="50"/>
    <w:rPr>
      <w:rFonts w:hint="eastAsia" w:ascii="等线" w:hAnsi="等线" w:eastAsia="等线" w:cs="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736">
    <w:name w:val="网格型浅色1"/>
    <w:basedOn w:val="63"/>
    <w:qFormat/>
    <w:uiPriority w:val="40"/>
    <w:rPr>
      <w:rFonts w:hint="eastAsia" w:ascii="等线" w:hAnsi="等线" w:eastAsia="等线" w:cs="等线"/>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37">
    <w:name w:val="网格表 1 浅色 - 着色 31"/>
    <w:basedOn w:val="63"/>
    <w:qFormat/>
    <w:uiPriority w:val="46"/>
    <w:rPr>
      <w:rFonts w:hint="eastAsia" w:ascii="等线" w:hAnsi="等线" w:eastAsia="等线" w:cs="等线"/>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top w:val="nil"/>
          <w:left w:val="nil"/>
          <w:bottom w:val="single" w:color="C9C9C9" w:sz="12" w:space="0"/>
          <w:right w:val="nil"/>
          <w:insideH w:val="nil"/>
          <w:insideV w:val="nil"/>
          <w:tl2br w:val="nil"/>
          <w:tr2bl w:val="nil"/>
        </w:tcBorders>
      </w:tcPr>
    </w:tblStylePr>
    <w:tblStylePr w:type="lastRow">
      <w:rPr>
        <w:b/>
        <w:bCs/>
      </w:rPr>
      <w:tcPr>
        <w:tcBorders>
          <w:top w:val="double" w:color="C9C9C9"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738">
    <w:name w:val="表格 Char"/>
    <w:qFormat/>
    <w:uiPriority w:val="99"/>
    <w:rPr>
      <w:kern w:val="2"/>
      <w:sz w:val="24"/>
    </w:rPr>
  </w:style>
  <w:style w:type="character" w:customStyle="1" w:styleId="739">
    <w:name w:val="font51"/>
    <w:qFormat/>
    <w:uiPriority w:val="0"/>
    <w:rPr>
      <w:rFonts w:hint="eastAsia" w:ascii="宋体" w:hAnsi="宋体" w:eastAsia="宋体" w:cs="宋体"/>
      <w:color w:val="000000"/>
      <w:sz w:val="24"/>
      <w:szCs w:val="24"/>
      <w:u w:val="none"/>
    </w:rPr>
  </w:style>
  <w:style w:type="character" w:customStyle="1" w:styleId="740">
    <w:name w:val="fontstyle31"/>
    <w:qFormat/>
    <w:uiPriority w:val="0"/>
    <w:rPr>
      <w:rFonts w:ascii="TimesNewRomanPSMT" w:hAnsi="TimesNewRomanPSMT" w:eastAsia="TimesNewRomanPSMT" w:cs="TimesNewRomanPSMT"/>
      <w:color w:val="000000"/>
      <w:sz w:val="22"/>
      <w:szCs w:val="22"/>
    </w:rPr>
  </w:style>
  <w:style w:type="character" w:customStyle="1" w:styleId="741">
    <w:name w:val="尾注文本 Char"/>
    <w:qFormat/>
    <w:uiPriority w:val="1"/>
    <w:rPr>
      <w:kern w:val="2"/>
      <w:sz w:val="28"/>
      <w:szCs w:val="24"/>
    </w:rPr>
  </w:style>
  <w:style w:type="character" w:customStyle="1" w:styleId="742">
    <w:name w:val="font81"/>
    <w:qFormat/>
    <w:uiPriority w:val="0"/>
    <w:rPr>
      <w:rFonts w:hint="eastAsia" w:ascii="宋体" w:hAnsi="宋体" w:eastAsia="宋体" w:cs="宋体"/>
      <w:color w:val="000000"/>
      <w:sz w:val="20"/>
      <w:szCs w:val="20"/>
      <w:u w:val="none"/>
    </w:rPr>
  </w:style>
  <w:style w:type="character" w:customStyle="1" w:styleId="743">
    <w:name w:val="font101"/>
    <w:qFormat/>
    <w:uiPriority w:val="0"/>
    <w:rPr>
      <w:rFonts w:hint="eastAsia" w:ascii="宋体" w:hAnsi="宋体" w:eastAsia="宋体" w:cs="宋体"/>
      <w:b/>
      <w:color w:val="000000"/>
      <w:sz w:val="24"/>
      <w:szCs w:val="24"/>
      <w:u w:val="none"/>
    </w:rPr>
  </w:style>
  <w:style w:type="character" w:customStyle="1" w:styleId="744">
    <w:name w:val="表头编号 Char"/>
    <w:link w:val="745"/>
    <w:qFormat/>
    <w:uiPriority w:val="0"/>
    <w:rPr>
      <w:rFonts w:eastAsia="黑体"/>
      <w:sz w:val="24"/>
      <w:szCs w:val="24"/>
    </w:rPr>
  </w:style>
  <w:style w:type="paragraph" w:customStyle="1" w:styleId="745">
    <w:name w:val="表头编号"/>
    <w:basedOn w:val="1"/>
    <w:next w:val="746"/>
    <w:link w:val="744"/>
    <w:qFormat/>
    <w:uiPriority w:val="0"/>
    <w:pPr>
      <w:adjustRightInd w:val="0"/>
      <w:snapToGrid w:val="0"/>
      <w:spacing w:line="360" w:lineRule="auto"/>
      <w:jc w:val="left"/>
    </w:pPr>
    <w:rPr>
      <w:rFonts w:eastAsia="黑体"/>
      <w:kern w:val="0"/>
      <w:sz w:val="24"/>
    </w:rPr>
  </w:style>
  <w:style w:type="paragraph" w:customStyle="1" w:styleId="746">
    <w:name w:val="表格文本"/>
    <w:basedOn w:val="1"/>
    <w:next w:val="1"/>
    <w:link w:val="808"/>
    <w:qFormat/>
    <w:uiPriority w:val="0"/>
    <w:pPr>
      <w:adjustRightInd w:val="0"/>
      <w:snapToGrid w:val="0"/>
      <w:jc w:val="center"/>
    </w:pPr>
    <w:rPr>
      <w:color w:val="000000"/>
      <w:kern w:val="0"/>
      <w:sz w:val="24"/>
      <w:szCs w:val="21"/>
    </w:rPr>
  </w:style>
  <w:style w:type="character" w:customStyle="1" w:styleId="747">
    <w:name w:val="表格文字 Char"/>
    <w:link w:val="748"/>
    <w:qFormat/>
    <w:uiPriority w:val="0"/>
    <w:rPr>
      <w:kern w:val="2"/>
      <w:sz w:val="21"/>
      <w:szCs w:val="21"/>
    </w:rPr>
  </w:style>
  <w:style w:type="paragraph" w:customStyle="1" w:styleId="748">
    <w:name w:val="表格文字"/>
    <w:basedOn w:val="264"/>
    <w:next w:val="2"/>
    <w:link w:val="747"/>
    <w:qFormat/>
    <w:uiPriority w:val="0"/>
    <w:pPr>
      <w:autoSpaceDE/>
      <w:autoSpaceDN/>
      <w:spacing w:beforeLines="25" w:afterLines="25"/>
      <w:ind w:firstLine="0" w:firstLineChars="0"/>
      <w:jc w:val="center"/>
    </w:pPr>
    <w:rPr>
      <w:rFonts w:ascii="Times New Roman" w:hAnsi="Times New Roman" w:eastAsia="宋体"/>
      <w:kern w:val="2"/>
      <w:sz w:val="21"/>
      <w:szCs w:val="21"/>
    </w:rPr>
  </w:style>
  <w:style w:type="character" w:customStyle="1" w:styleId="749">
    <w:name w:val="font71"/>
    <w:qFormat/>
    <w:uiPriority w:val="0"/>
    <w:rPr>
      <w:rFonts w:hint="eastAsia" w:ascii="宋体" w:hAnsi="宋体" w:eastAsia="宋体" w:cs="宋体"/>
      <w:color w:val="000000"/>
      <w:sz w:val="24"/>
      <w:szCs w:val="24"/>
      <w:u w:val="none"/>
    </w:rPr>
  </w:style>
  <w:style w:type="character" w:customStyle="1" w:styleId="750">
    <w:name w:val="表格标题/图片标题/日期格式/图片居中 Char"/>
    <w:link w:val="751"/>
    <w:qFormat/>
    <w:uiPriority w:val="0"/>
    <w:rPr>
      <w:b/>
      <w:kern w:val="2"/>
      <w:sz w:val="28"/>
      <w:szCs w:val="24"/>
    </w:rPr>
  </w:style>
  <w:style w:type="paragraph" w:customStyle="1" w:styleId="751">
    <w:name w:val="表格标题/图片标题/日期格式/图片居中"/>
    <w:link w:val="750"/>
    <w:qFormat/>
    <w:uiPriority w:val="0"/>
    <w:pPr>
      <w:jc w:val="center"/>
    </w:pPr>
    <w:rPr>
      <w:rFonts w:ascii="Times New Roman" w:hAnsi="Times New Roman" w:eastAsia="宋体" w:cs="Times New Roman"/>
      <w:b/>
      <w:kern w:val="2"/>
      <w:sz w:val="28"/>
      <w:szCs w:val="24"/>
      <w:lang w:val="en-US" w:eastAsia="zh-CN" w:bidi="ar-SA"/>
    </w:rPr>
  </w:style>
  <w:style w:type="character" w:customStyle="1" w:styleId="752">
    <w:name w:val="font61"/>
    <w:qFormat/>
    <w:uiPriority w:val="0"/>
    <w:rPr>
      <w:rFonts w:hint="eastAsia" w:ascii="宋体" w:hAnsi="宋体" w:eastAsia="宋体" w:cs="宋体"/>
      <w:b/>
      <w:color w:val="000000"/>
      <w:sz w:val="24"/>
      <w:szCs w:val="24"/>
      <w:u w:val="none"/>
    </w:rPr>
  </w:style>
  <w:style w:type="character" w:customStyle="1" w:styleId="753">
    <w:name w:val="font41"/>
    <w:qFormat/>
    <w:uiPriority w:val="0"/>
    <w:rPr>
      <w:rFonts w:hint="default" w:ascii="Times New Roman" w:hAnsi="Times New Roman" w:cs="Times New Roman"/>
      <w:color w:val="000000"/>
      <w:sz w:val="20"/>
      <w:szCs w:val="20"/>
      <w:u w:val="none"/>
    </w:rPr>
  </w:style>
  <w:style w:type="character" w:customStyle="1" w:styleId="754">
    <w:name w:val="fontstyle21"/>
    <w:qFormat/>
    <w:uiPriority w:val="0"/>
    <w:rPr>
      <w:rFonts w:ascii="宋体" w:hAnsi="宋体" w:eastAsia="宋体" w:cs="宋体"/>
      <w:color w:val="000000"/>
      <w:sz w:val="22"/>
      <w:szCs w:val="22"/>
    </w:rPr>
  </w:style>
  <w:style w:type="character" w:customStyle="1" w:styleId="755">
    <w:name w:val="font201"/>
    <w:qFormat/>
    <w:uiPriority w:val="0"/>
    <w:rPr>
      <w:rFonts w:hint="eastAsia" w:ascii="宋体" w:hAnsi="宋体" w:eastAsia="宋体" w:cs="宋体"/>
      <w:b/>
      <w:color w:val="000000"/>
      <w:sz w:val="24"/>
      <w:szCs w:val="24"/>
      <w:u w:val="none"/>
    </w:rPr>
  </w:style>
  <w:style w:type="character" w:customStyle="1" w:styleId="756">
    <w:name w:val="font221"/>
    <w:qFormat/>
    <w:uiPriority w:val="0"/>
    <w:rPr>
      <w:rFonts w:hint="eastAsia" w:ascii="宋体" w:hAnsi="宋体" w:eastAsia="宋体" w:cs="宋体"/>
      <w:color w:val="000000"/>
      <w:sz w:val="24"/>
      <w:szCs w:val="24"/>
      <w:u w:val="none"/>
    </w:rPr>
  </w:style>
  <w:style w:type="character" w:customStyle="1" w:styleId="757">
    <w:name w:val="尾注文本 字符"/>
    <w:basedOn w:val="66"/>
    <w:link w:val="40"/>
    <w:qFormat/>
    <w:uiPriority w:val="99"/>
    <w:rPr>
      <w:kern w:val="2"/>
      <w:sz w:val="21"/>
      <w:szCs w:val="24"/>
    </w:rPr>
  </w:style>
  <w:style w:type="paragraph" w:customStyle="1" w:styleId="758">
    <w:name w:val="[Normal]"/>
    <w:qFormat/>
    <w:uiPriority w:val="0"/>
    <w:rPr>
      <w:rFonts w:ascii="宋体" w:hAnsi="宋体" w:eastAsia="宋体" w:cs="Times New Roman"/>
      <w:sz w:val="24"/>
      <w:szCs w:val="22"/>
      <w:lang w:val="zh-CN" w:eastAsia="zh-CN" w:bidi="ar-SA"/>
    </w:rPr>
  </w:style>
  <w:style w:type="paragraph" w:customStyle="1" w:styleId="759">
    <w:name w:val="表格文字（居中）"/>
    <w:basedOn w:val="1"/>
    <w:qFormat/>
    <w:uiPriority w:val="0"/>
    <w:pPr>
      <w:spacing w:line="360" w:lineRule="auto"/>
      <w:ind w:firstLine="200" w:firstLineChars="200"/>
      <w:jc w:val="center"/>
    </w:pPr>
    <w:rPr>
      <w:sz w:val="28"/>
    </w:rPr>
  </w:style>
  <w:style w:type="paragraph" w:customStyle="1" w:styleId="760">
    <w:name w:val="文章正文"/>
    <w:basedOn w:val="1"/>
    <w:qFormat/>
    <w:uiPriority w:val="0"/>
    <w:pPr>
      <w:spacing w:line="360" w:lineRule="auto"/>
      <w:ind w:firstLine="200" w:firstLineChars="200"/>
    </w:pPr>
    <w:rPr>
      <w:kern w:val="0"/>
      <w:sz w:val="28"/>
      <w:szCs w:val="22"/>
    </w:rPr>
  </w:style>
  <w:style w:type="paragraph" w:customStyle="1" w:styleId="761">
    <w:name w:val="表格内容"/>
    <w:basedOn w:val="1"/>
    <w:qFormat/>
    <w:uiPriority w:val="0"/>
    <w:pPr>
      <w:jc w:val="center"/>
    </w:pPr>
    <w:rPr>
      <w:sz w:val="24"/>
      <w:szCs w:val="21"/>
    </w:rPr>
  </w:style>
  <w:style w:type="paragraph" w:customStyle="1" w:styleId="762">
    <w:name w:val="图名"/>
    <w:basedOn w:val="1"/>
    <w:next w:val="1"/>
    <w:qFormat/>
    <w:uiPriority w:val="1"/>
    <w:pPr>
      <w:spacing w:line="360" w:lineRule="auto"/>
      <w:jc w:val="center"/>
    </w:pPr>
    <w:rPr>
      <w:rFonts w:eastAsia="Times New Roman"/>
      <w:b/>
      <w:color w:val="000000"/>
      <w:sz w:val="28"/>
    </w:rPr>
  </w:style>
  <w:style w:type="paragraph" w:customStyle="1" w:styleId="763">
    <w:name w:val="08-123456789"/>
    <w:basedOn w:val="1"/>
    <w:qFormat/>
    <w:uiPriority w:val="0"/>
    <w:pPr>
      <w:ind w:firstLine="553" w:firstLineChars="200"/>
    </w:pPr>
    <w:rPr>
      <w:rFonts w:cs="宋体"/>
      <w:sz w:val="26"/>
      <w:szCs w:val="26"/>
    </w:rPr>
  </w:style>
  <w:style w:type="paragraph" w:customStyle="1" w:styleId="764">
    <w:name w:val="封面文字"/>
    <w:basedOn w:val="1"/>
    <w:qFormat/>
    <w:uiPriority w:val="0"/>
    <w:pPr>
      <w:spacing w:line="360" w:lineRule="auto"/>
      <w:jc w:val="center"/>
    </w:pPr>
    <w:rPr>
      <w:rFonts w:hAnsi="宋体" w:eastAsia="黑体"/>
      <w:sz w:val="48"/>
    </w:rPr>
  </w:style>
  <w:style w:type="paragraph" w:customStyle="1" w:styleId="765">
    <w:name w:val="表头、图名"/>
    <w:basedOn w:val="1"/>
    <w:link w:val="807"/>
    <w:qFormat/>
    <w:uiPriority w:val="0"/>
    <w:pPr>
      <w:spacing w:line="360" w:lineRule="auto"/>
      <w:ind w:firstLine="200" w:firstLineChars="200"/>
      <w:jc w:val="center"/>
    </w:pPr>
    <w:rPr>
      <w:b/>
      <w:sz w:val="28"/>
      <w:szCs w:val="20"/>
    </w:rPr>
  </w:style>
  <w:style w:type="paragraph" w:customStyle="1" w:styleId="766">
    <w:name w:val="表头2"/>
    <w:basedOn w:val="375"/>
    <w:qFormat/>
    <w:uiPriority w:val="0"/>
    <w:pPr>
      <w:spacing w:line="520" w:lineRule="exact"/>
      <w:jc w:val="left"/>
    </w:pPr>
    <w:rPr>
      <w:rFonts w:ascii="Calibri" w:hAnsi="Calibri" w:eastAsia="宋体"/>
      <w:color w:val="auto"/>
      <w:szCs w:val="28"/>
    </w:rPr>
  </w:style>
  <w:style w:type="paragraph" w:customStyle="1" w:styleId="767">
    <w:name w:val="WPSOffice手动目录 1"/>
    <w:qFormat/>
    <w:uiPriority w:val="0"/>
    <w:rPr>
      <w:rFonts w:ascii="Times New Roman" w:hAnsi="Times New Roman" w:eastAsia="宋体" w:cs="Times New Roman"/>
      <w:lang w:val="en-US" w:eastAsia="zh-CN" w:bidi="ar-SA"/>
    </w:rPr>
  </w:style>
  <w:style w:type="paragraph" w:customStyle="1" w:styleId="768">
    <w:name w:val="表格备注"/>
    <w:basedOn w:val="1"/>
    <w:next w:val="1"/>
    <w:qFormat/>
    <w:uiPriority w:val="2"/>
    <w:pPr>
      <w:spacing w:afterLines="50"/>
    </w:pPr>
  </w:style>
  <w:style w:type="paragraph" w:customStyle="1" w:styleId="769">
    <w:name w:val="目  录"/>
    <w:basedOn w:val="1"/>
    <w:qFormat/>
    <w:uiPriority w:val="0"/>
    <w:pPr>
      <w:spacing w:line="360" w:lineRule="auto"/>
      <w:jc w:val="center"/>
    </w:pPr>
    <w:rPr>
      <w:rFonts w:hAnsi="宋体" w:eastAsia="黑体"/>
      <w:sz w:val="44"/>
    </w:rPr>
  </w:style>
  <w:style w:type="paragraph" w:customStyle="1" w:styleId="770">
    <w:name w:val="表格样式"/>
    <w:basedOn w:val="1"/>
    <w:qFormat/>
    <w:uiPriority w:val="0"/>
    <w:pPr>
      <w:widowControl/>
      <w:jc w:val="center"/>
    </w:pPr>
    <w:rPr>
      <w:bCs/>
      <w:kern w:val="0"/>
      <w:sz w:val="24"/>
    </w:rPr>
  </w:style>
  <w:style w:type="paragraph" w:customStyle="1" w:styleId="771">
    <w:name w:val="正文 1.5 倍行距"/>
    <w:basedOn w:val="1"/>
    <w:qFormat/>
    <w:uiPriority w:val="0"/>
    <w:pPr>
      <w:autoSpaceDE w:val="0"/>
      <w:autoSpaceDN w:val="0"/>
      <w:adjustRightInd w:val="0"/>
      <w:spacing w:line="360" w:lineRule="auto"/>
      <w:ind w:firstLine="480" w:firstLineChars="200"/>
      <w:textAlignment w:val="baseline"/>
    </w:pPr>
    <w:rPr>
      <w:kern w:val="0"/>
      <w:sz w:val="24"/>
      <w:szCs w:val="20"/>
    </w:rPr>
  </w:style>
  <w:style w:type="paragraph" w:customStyle="1" w:styleId="772">
    <w:name w:val="表图内容"/>
    <w:basedOn w:val="1"/>
    <w:qFormat/>
    <w:uiPriority w:val="0"/>
    <w:pPr>
      <w:spacing w:line="360" w:lineRule="auto"/>
      <w:ind w:firstLine="200" w:firstLineChars="200"/>
      <w:jc w:val="center"/>
    </w:pPr>
    <w:rPr>
      <w:sz w:val="24"/>
      <w:szCs w:val="21"/>
    </w:rPr>
  </w:style>
  <w:style w:type="paragraph" w:customStyle="1" w:styleId="77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7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75">
    <w:name w:val="图片"/>
    <w:basedOn w:val="1"/>
    <w:qFormat/>
    <w:uiPriority w:val="0"/>
    <w:pPr>
      <w:jc w:val="center"/>
    </w:pPr>
    <w:rPr>
      <w:sz w:val="28"/>
    </w:rPr>
  </w:style>
  <w:style w:type="character" w:customStyle="1" w:styleId="776">
    <w:name w:val="招标正文 字符"/>
    <w:link w:val="777"/>
    <w:qFormat/>
    <w:uiPriority w:val="0"/>
    <w:rPr>
      <w:rFonts w:ascii="宋体" w:hAnsi="宋体"/>
      <w:color w:val="000000"/>
      <w:sz w:val="24"/>
      <w:szCs w:val="21"/>
    </w:rPr>
  </w:style>
  <w:style w:type="paragraph" w:customStyle="1" w:styleId="777">
    <w:name w:val="招标正文"/>
    <w:basedOn w:val="1"/>
    <w:link w:val="776"/>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778">
    <w:name w:val="招标-标题1 字符"/>
    <w:link w:val="779"/>
    <w:qFormat/>
    <w:uiPriority w:val="0"/>
    <w:rPr>
      <w:rFonts w:ascii="宋体" w:hAnsi="宋体"/>
      <w:b/>
      <w:bCs/>
      <w:sz w:val="28"/>
      <w:szCs w:val="21"/>
    </w:rPr>
  </w:style>
  <w:style w:type="paragraph" w:customStyle="1" w:styleId="779">
    <w:name w:val="招标-标题1"/>
    <w:basedOn w:val="1"/>
    <w:link w:val="778"/>
    <w:qFormat/>
    <w:uiPriority w:val="0"/>
    <w:pPr>
      <w:spacing w:line="300" w:lineRule="auto"/>
      <w:ind w:left="560" w:firstLine="200" w:firstLineChars="200"/>
    </w:pPr>
    <w:rPr>
      <w:rFonts w:ascii="宋体" w:hAnsi="宋体"/>
      <w:b/>
      <w:bCs/>
      <w:kern w:val="0"/>
      <w:sz w:val="28"/>
      <w:szCs w:val="21"/>
    </w:rPr>
  </w:style>
  <w:style w:type="character" w:customStyle="1" w:styleId="780">
    <w:name w:val="招标-主标题 字符"/>
    <w:link w:val="781"/>
    <w:qFormat/>
    <w:uiPriority w:val="0"/>
    <w:rPr>
      <w:rFonts w:ascii="宋体" w:hAnsi="宋体"/>
      <w:b/>
      <w:sz w:val="32"/>
    </w:rPr>
  </w:style>
  <w:style w:type="paragraph" w:customStyle="1" w:styleId="781">
    <w:name w:val="招标-主标题"/>
    <w:basedOn w:val="1"/>
    <w:link w:val="780"/>
    <w:qFormat/>
    <w:uiPriority w:val="0"/>
    <w:pPr>
      <w:tabs>
        <w:tab w:val="left" w:pos="1620"/>
        <w:tab w:val="left" w:pos="1800"/>
        <w:tab w:val="left" w:pos="1980"/>
      </w:tabs>
      <w:spacing w:line="768" w:lineRule="auto"/>
      <w:ind w:firstLine="200" w:firstLineChars="200"/>
      <w:jc w:val="center"/>
    </w:pPr>
    <w:rPr>
      <w:rFonts w:ascii="宋体" w:hAnsi="宋体"/>
      <w:b/>
      <w:kern w:val="0"/>
      <w:sz w:val="32"/>
      <w:szCs w:val="20"/>
    </w:rPr>
  </w:style>
  <w:style w:type="character" w:customStyle="1" w:styleId="782">
    <w:name w:val="标题 Char1"/>
    <w:basedOn w:val="66"/>
    <w:qFormat/>
    <w:uiPriority w:val="10"/>
    <w:rPr>
      <w:rFonts w:eastAsia="宋体" w:asciiTheme="majorHAnsi" w:hAnsiTheme="majorHAnsi" w:cstheme="majorBidi"/>
      <w:b/>
      <w:bCs/>
      <w:sz w:val="32"/>
      <w:szCs w:val="32"/>
    </w:rPr>
  </w:style>
  <w:style w:type="paragraph" w:customStyle="1" w:styleId="783">
    <w:name w:val="Char Char Char Char Char Char1"/>
    <w:basedOn w:val="1"/>
    <w:semiHidden/>
    <w:qFormat/>
    <w:uiPriority w:val="0"/>
    <w:pPr>
      <w:adjustRightInd w:val="0"/>
      <w:spacing w:line="360" w:lineRule="atLeast"/>
      <w:ind w:firstLine="200" w:firstLineChars="200"/>
      <w:textAlignment w:val="baseline"/>
    </w:pPr>
    <w:rPr>
      <w:rFonts w:ascii="仿宋_GB2312" w:eastAsia="仿宋_GB2312"/>
      <w:sz w:val="28"/>
      <w:szCs w:val="28"/>
    </w:rPr>
  </w:style>
  <w:style w:type="paragraph" w:customStyle="1" w:styleId="784">
    <w:name w:val="表名"/>
    <w:basedOn w:val="1"/>
    <w:qFormat/>
    <w:uiPriority w:val="0"/>
    <w:pPr>
      <w:spacing w:after="60" w:line="560" w:lineRule="exact"/>
      <w:ind w:firstLine="100" w:firstLineChars="100"/>
    </w:pPr>
    <w:rPr>
      <w:rFonts w:ascii="黑体" w:eastAsia="黑体"/>
      <w:sz w:val="24"/>
    </w:rPr>
  </w:style>
  <w:style w:type="paragraph" w:customStyle="1" w:styleId="785">
    <w:name w:val="标1 Char Char Char Char Char Char Char"/>
    <w:basedOn w:val="1"/>
    <w:semiHidden/>
    <w:qFormat/>
    <w:uiPriority w:val="0"/>
    <w:pPr>
      <w:adjustRightInd w:val="0"/>
      <w:spacing w:line="360" w:lineRule="atLeast"/>
      <w:ind w:firstLine="200" w:firstLineChars="200"/>
    </w:pPr>
    <w:rPr>
      <w:szCs w:val="28"/>
    </w:rPr>
  </w:style>
  <w:style w:type="paragraph" w:customStyle="1" w:styleId="786">
    <w:name w:val="样式 仿宋_GB2312 小三 黑色"/>
    <w:basedOn w:val="1"/>
    <w:qFormat/>
    <w:uiPriority w:val="0"/>
    <w:pPr>
      <w:autoSpaceDE w:val="0"/>
      <w:autoSpaceDN w:val="0"/>
      <w:adjustRightInd w:val="0"/>
      <w:spacing w:line="520" w:lineRule="exact"/>
      <w:ind w:firstLine="560" w:firstLineChars="200"/>
    </w:pPr>
    <w:rPr>
      <w:rFonts w:ascii="仿宋_GB2312" w:eastAsia="仿宋_GB2312" w:cs="仿宋_GB2312"/>
      <w:sz w:val="30"/>
      <w:szCs w:val="30"/>
      <w:lang w:val="zh-CN"/>
    </w:rPr>
  </w:style>
  <w:style w:type="character" w:customStyle="1" w:styleId="787">
    <w:name w:val="样式 仿宋_GB2312 小三 黑色 Char"/>
    <w:qFormat/>
    <w:uiPriority w:val="0"/>
    <w:rPr>
      <w:rFonts w:ascii="仿宋_GB2312" w:eastAsia="仿宋_GB2312" w:cs="仿宋_GB2312"/>
      <w:kern w:val="2"/>
      <w:sz w:val="30"/>
      <w:szCs w:val="30"/>
      <w:lang w:val="zh-CN" w:eastAsia="zh-CN" w:bidi="ar-SA"/>
    </w:rPr>
  </w:style>
  <w:style w:type="paragraph" w:customStyle="1" w:styleId="788">
    <w:name w:val="样式 仿宋_GB2312 小三"/>
    <w:basedOn w:val="1"/>
    <w:qFormat/>
    <w:uiPriority w:val="0"/>
    <w:pPr>
      <w:autoSpaceDE w:val="0"/>
      <w:autoSpaceDN w:val="0"/>
      <w:adjustRightInd w:val="0"/>
      <w:spacing w:line="520" w:lineRule="exact"/>
      <w:ind w:firstLine="600" w:firstLineChars="200"/>
    </w:pPr>
    <w:rPr>
      <w:rFonts w:ascii="仿宋_GB2312" w:eastAsia="仿宋_GB2312" w:cs="仿宋_GB2312"/>
      <w:sz w:val="30"/>
      <w:szCs w:val="30"/>
      <w:lang w:val="zh-CN"/>
    </w:rPr>
  </w:style>
  <w:style w:type="character" w:customStyle="1" w:styleId="789">
    <w:name w:val="样式 仿宋_GB2312 小三 Char"/>
    <w:qFormat/>
    <w:uiPriority w:val="0"/>
    <w:rPr>
      <w:rFonts w:ascii="仿宋_GB2312" w:eastAsia="仿宋_GB2312" w:cs="仿宋_GB2312"/>
      <w:kern w:val="2"/>
      <w:sz w:val="30"/>
      <w:szCs w:val="30"/>
      <w:lang w:val="zh-CN" w:eastAsia="zh-CN" w:bidi="ar-SA"/>
    </w:rPr>
  </w:style>
  <w:style w:type="paragraph" w:customStyle="1" w:styleId="790">
    <w:name w:val="样式4"/>
    <w:basedOn w:val="1"/>
    <w:qFormat/>
    <w:uiPriority w:val="0"/>
    <w:pPr>
      <w:spacing w:line="360" w:lineRule="auto"/>
      <w:ind w:firstLine="200" w:firstLineChars="200"/>
    </w:pPr>
    <w:rPr>
      <w:sz w:val="28"/>
      <w:szCs w:val="21"/>
    </w:rPr>
  </w:style>
  <w:style w:type="paragraph" w:customStyle="1" w:styleId="791">
    <w:name w:val="图中文字"/>
    <w:qFormat/>
    <w:uiPriority w:val="0"/>
    <w:pPr>
      <w:adjustRightInd w:val="0"/>
      <w:snapToGrid w:val="0"/>
      <w:jc w:val="both"/>
    </w:pPr>
    <w:rPr>
      <w:rFonts w:ascii="宋体" w:hAnsi="Times New Roman" w:eastAsia="宋体" w:cs="Times New Roman"/>
      <w:kern w:val="2"/>
      <w:sz w:val="21"/>
      <w:lang w:val="en-US" w:eastAsia="zh-CN" w:bidi="ar-SA"/>
    </w:rPr>
  </w:style>
  <w:style w:type="paragraph" w:customStyle="1" w:styleId="792">
    <w:name w:val="Xie图文中"/>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paragraph" w:customStyle="1" w:styleId="793">
    <w:name w:val="瑞安正文"/>
    <w:basedOn w:val="1"/>
    <w:qFormat/>
    <w:uiPriority w:val="0"/>
    <w:pPr>
      <w:adjustRightInd w:val="0"/>
      <w:snapToGrid w:val="0"/>
      <w:spacing w:afterLines="50" w:line="300" w:lineRule="auto"/>
      <w:ind w:firstLine="200" w:firstLineChars="200"/>
    </w:pPr>
    <w:rPr>
      <w:sz w:val="24"/>
    </w:rPr>
  </w:style>
  <w:style w:type="paragraph" w:customStyle="1" w:styleId="794">
    <w:name w:val="样式 图文仿宋四号 + (西文) 宋体 (中文) 宋体"/>
    <w:basedOn w:val="1"/>
    <w:link w:val="795"/>
    <w:qFormat/>
    <w:uiPriority w:val="0"/>
    <w:pPr>
      <w:adjustRightInd w:val="0"/>
      <w:spacing w:line="360" w:lineRule="auto"/>
      <w:ind w:firstLine="640" w:firstLineChars="200"/>
      <w:jc w:val="left"/>
    </w:pPr>
    <w:rPr>
      <w:rFonts w:ascii="仿宋_GB2312" w:eastAsia="仿宋_GB2312"/>
      <w:sz w:val="32"/>
      <w:szCs w:val="32"/>
      <w:lang w:val="zh-CN"/>
    </w:rPr>
  </w:style>
  <w:style w:type="character" w:customStyle="1" w:styleId="795">
    <w:name w:val="样式 图文仿宋四号 + (西文) 宋体 (中文) 宋体 Char"/>
    <w:link w:val="794"/>
    <w:qFormat/>
    <w:uiPriority w:val="0"/>
    <w:rPr>
      <w:rFonts w:ascii="仿宋_GB2312" w:eastAsia="仿宋_GB2312"/>
      <w:kern w:val="2"/>
      <w:sz w:val="32"/>
      <w:szCs w:val="32"/>
      <w:lang w:val="zh-CN"/>
    </w:rPr>
  </w:style>
  <w:style w:type="paragraph" w:customStyle="1" w:styleId="796">
    <w:name w:val="para_small"/>
    <w:basedOn w:val="1"/>
    <w:semiHidden/>
    <w:qFormat/>
    <w:uiPriority w:val="0"/>
    <w:pPr>
      <w:widowControl/>
      <w:spacing w:before="100" w:beforeAutospacing="1" w:after="100" w:afterAutospacing="1" w:line="360" w:lineRule="auto"/>
      <w:ind w:firstLine="200" w:firstLineChars="200"/>
      <w:jc w:val="left"/>
    </w:pPr>
    <w:rPr>
      <w:rFonts w:ascii="Arial Unicode MS" w:hAnsi="Arial Unicode MS" w:eastAsia="Arial Unicode MS" w:cs="Arial Unicode MS"/>
      <w:color w:val="000000"/>
      <w:kern w:val="0"/>
      <w:sz w:val="24"/>
    </w:rPr>
  </w:style>
  <w:style w:type="paragraph" w:customStyle="1" w:styleId="797">
    <w:name w:val="temp标题1"/>
    <w:basedOn w:val="5"/>
    <w:next w:val="5"/>
    <w:qFormat/>
    <w:uiPriority w:val="0"/>
    <w:pPr>
      <w:keepLines/>
      <w:spacing w:beforeLines="150" w:afterLines="50" w:line="360" w:lineRule="auto"/>
      <w:ind w:firstLine="200" w:firstLineChars="200"/>
    </w:pPr>
    <w:rPr>
      <w:rFonts w:ascii="Times New Roman" w:eastAsia="黑体"/>
      <w:kern w:val="0"/>
      <w:sz w:val="32"/>
      <w:szCs w:val="32"/>
      <w:lang w:val="zh-CN"/>
    </w:rPr>
  </w:style>
  <w:style w:type="paragraph" w:customStyle="1" w:styleId="798">
    <w:name w:val="temp标题2"/>
    <w:basedOn w:val="6"/>
    <w:next w:val="1"/>
    <w:qFormat/>
    <w:uiPriority w:val="0"/>
    <w:pPr>
      <w:adjustRightInd w:val="0"/>
      <w:spacing w:beforeLines="100" w:after="0" w:line="360" w:lineRule="auto"/>
      <w:ind w:firstLine="200" w:firstLineChars="200"/>
      <w:jc w:val="left"/>
    </w:pPr>
    <w:rPr>
      <w:rFonts w:ascii="Times New Roman" w:hAnsi="Times New Roman" w:eastAsia="楷体_GB2312"/>
      <w:kern w:val="0"/>
      <w:sz w:val="30"/>
      <w:szCs w:val="30"/>
      <w:lang w:val="zh-CN"/>
    </w:rPr>
  </w:style>
  <w:style w:type="paragraph" w:customStyle="1" w:styleId="799">
    <w:name w:val="temp标题3"/>
    <w:basedOn w:val="7"/>
    <w:qFormat/>
    <w:uiPriority w:val="0"/>
    <w:pPr>
      <w:spacing w:beforeLines="50" w:after="0" w:line="360" w:lineRule="auto"/>
      <w:ind w:firstLine="200" w:firstLineChars="200"/>
      <w:jc w:val="left"/>
    </w:pPr>
    <w:rPr>
      <w:rFonts w:eastAsia="楷体_GB2312"/>
      <w:b w:val="0"/>
      <w:kern w:val="0"/>
      <w:sz w:val="28"/>
      <w:szCs w:val="28"/>
    </w:rPr>
  </w:style>
  <w:style w:type="paragraph" w:customStyle="1" w:styleId="800">
    <w:name w:val="样式 temp标题1 + 段前: 0.5 行"/>
    <w:basedOn w:val="797"/>
    <w:qFormat/>
    <w:uiPriority w:val="0"/>
    <w:pPr>
      <w:spacing w:beforeLines="100"/>
    </w:pPr>
    <w:rPr>
      <w:rFonts w:cs="宋体"/>
      <w:bCs w:val="0"/>
      <w:szCs w:val="20"/>
    </w:rPr>
  </w:style>
  <w:style w:type="paragraph" w:customStyle="1" w:styleId="801">
    <w:name w:val="样式 Times New Roman 加粗 首行缩进:  2 字符 行距: 1.5 倍行距"/>
    <w:basedOn w:val="1"/>
    <w:qFormat/>
    <w:uiPriority w:val="0"/>
    <w:pPr>
      <w:spacing w:line="360" w:lineRule="auto"/>
      <w:ind w:firstLine="562" w:firstLineChars="200"/>
    </w:pPr>
    <w:rPr>
      <w:rFonts w:eastAsia="楷体_GB2312" w:cs="宋体"/>
      <w:bCs/>
      <w:sz w:val="28"/>
      <w:szCs w:val="20"/>
    </w:rPr>
  </w:style>
  <w:style w:type="paragraph" w:customStyle="1" w:styleId="802">
    <w:name w:val="页码1"/>
    <w:basedOn w:val="1"/>
    <w:next w:val="1"/>
    <w:qFormat/>
    <w:uiPriority w:val="0"/>
    <w:pPr>
      <w:widowControl/>
      <w:spacing w:line="360" w:lineRule="auto"/>
      <w:ind w:firstLine="200" w:firstLineChars="200"/>
    </w:pPr>
    <w:rPr>
      <w:color w:val="000000"/>
      <w:sz w:val="28"/>
      <w:szCs w:val="28"/>
    </w:rPr>
  </w:style>
  <w:style w:type="paragraph" w:customStyle="1" w:styleId="803">
    <w:name w:val="附图表"/>
    <w:basedOn w:val="1"/>
    <w:link w:val="804"/>
    <w:qFormat/>
    <w:uiPriority w:val="0"/>
    <w:pPr>
      <w:widowControl/>
      <w:spacing w:line="360" w:lineRule="auto"/>
      <w:ind w:firstLine="200" w:firstLineChars="200"/>
      <w:jc w:val="left"/>
      <w:outlineLvl w:val="4"/>
    </w:pPr>
    <w:rPr>
      <w:rFonts w:ascii="黑体" w:hAnsi="黑体" w:eastAsia="黑体"/>
      <w:color w:val="000000"/>
      <w:kern w:val="0"/>
      <w:sz w:val="28"/>
      <w:szCs w:val="30"/>
      <w:lang w:val="zh-CN"/>
    </w:rPr>
  </w:style>
  <w:style w:type="character" w:customStyle="1" w:styleId="804">
    <w:name w:val="附图表 Char"/>
    <w:link w:val="803"/>
    <w:qFormat/>
    <w:uiPriority w:val="0"/>
    <w:rPr>
      <w:rFonts w:ascii="黑体" w:hAnsi="黑体" w:eastAsia="黑体"/>
      <w:color w:val="000000"/>
      <w:sz w:val="28"/>
      <w:szCs w:val="30"/>
      <w:lang w:val="zh-CN"/>
    </w:rPr>
  </w:style>
  <w:style w:type="character" w:customStyle="1" w:styleId="805">
    <w:name w:val="Char Char7"/>
    <w:qFormat/>
    <w:uiPriority w:val="0"/>
    <w:rPr>
      <w:rFonts w:hAnsi="宋体" w:eastAsia="宋体"/>
      <w:kern w:val="2"/>
      <w:sz w:val="18"/>
      <w:szCs w:val="18"/>
      <w:lang w:val="zh-CN" w:eastAsia="zh-CN" w:bidi="ar-SA"/>
    </w:rPr>
  </w:style>
  <w:style w:type="character" w:customStyle="1" w:styleId="806">
    <w:name w:val="content1"/>
    <w:qFormat/>
    <w:uiPriority w:val="0"/>
    <w:rPr>
      <w:sz w:val="22"/>
      <w:szCs w:val="22"/>
    </w:rPr>
  </w:style>
  <w:style w:type="character" w:customStyle="1" w:styleId="807">
    <w:name w:val="表头 Char"/>
    <w:link w:val="765"/>
    <w:qFormat/>
    <w:uiPriority w:val="0"/>
    <w:rPr>
      <w:b/>
      <w:kern w:val="2"/>
      <w:sz w:val="28"/>
    </w:rPr>
  </w:style>
  <w:style w:type="character" w:customStyle="1" w:styleId="808">
    <w:name w:val="表格文本 Char"/>
    <w:link w:val="746"/>
    <w:qFormat/>
    <w:uiPriority w:val="0"/>
    <w:rPr>
      <w:color w:val="000000"/>
      <w:sz w:val="24"/>
      <w:szCs w:val="21"/>
    </w:rPr>
  </w:style>
  <w:style w:type="character" w:customStyle="1" w:styleId="809">
    <w:name w:val="批注主题 Char1"/>
    <w:basedOn w:val="112"/>
    <w:semiHidden/>
    <w:qFormat/>
    <w:uiPriority w:val="99"/>
    <w:rPr>
      <w:rFonts w:ascii="Calibri" w:hAnsi="Calibri" w:eastAsia="仿宋" w:cs="Times New Roman"/>
      <w:b/>
      <w:bCs/>
      <w:kern w:val="2"/>
      <w:sz w:val="28"/>
      <w:szCs w:val="22"/>
    </w:rPr>
  </w:style>
  <w:style w:type="paragraph" w:customStyle="1" w:styleId="810">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11">
    <w:name w:val="纯文本2"/>
    <w:basedOn w:val="810"/>
    <w:qFormat/>
    <w:uiPriority w:val="0"/>
    <w:pPr>
      <w:widowControl/>
      <w:jc w:val="left"/>
    </w:pPr>
    <w:rPr>
      <w:rFonts w:ascii="宋体" w:hAnsi="Courier New"/>
    </w:rPr>
  </w:style>
  <w:style w:type="paragraph" w:customStyle="1" w:styleId="812">
    <w:name w:val="二级无"/>
    <w:basedOn w:val="426"/>
    <w:qFormat/>
    <w:uiPriority w:val="0"/>
    <w:pPr>
      <w:ind w:left="735"/>
    </w:pPr>
    <w:rPr>
      <w:rFonts w:ascii="宋体" w:hAnsi="Calibri" w:eastAsia="宋体" w:cs="Times New Roman"/>
      <w:szCs w:val="21"/>
    </w:rPr>
  </w:style>
  <w:style w:type="paragraph" w:customStyle="1" w:styleId="813">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814">
    <w:name w:val="area_1"/>
    <w:qFormat/>
    <w:uiPriority w:val="0"/>
    <w:rPr>
      <w:rFonts w:ascii="宋体" w:hAnsi="宋体"/>
      <w:sz w:val="24"/>
    </w:rPr>
  </w:style>
  <w:style w:type="table" w:customStyle="1" w:styleId="815">
    <w:name w:val="Table Normal"/>
    <w:semiHidden/>
    <w:unhideWhenUsed/>
    <w:qFormat/>
    <w:uiPriority w:val="0"/>
    <w:tblPr>
      <w:tblCellMar>
        <w:top w:w="0" w:type="dxa"/>
        <w:left w:w="0" w:type="dxa"/>
        <w:bottom w:w="0" w:type="dxa"/>
        <w:right w:w="0" w:type="dxa"/>
      </w:tblCellMar>
    </w:tblPr>
  </w:style>
  <w:style w:type="paragraph" w:customStyle="1" w:styleId="816">
    <w:name w:val="列表段落1"/>
    <w:basedOn w:val="1"/>
    <w:qFormat/>
    <w:uiPriority w:val="0"/>
    <w:pPr>
      <w:ind w:firstLine="420" w:firstLineChars="200"/>
    </w:pPr>
    <w:rPr>
      <w:szCs w:val="21"/>
    </w:rPr>
  </w:style>
  <w:style w:type="paragraph" w:customStyle="1" w:styleId="817">
    <w:name w:val="列表段落2"/>
    <w:basedOn w:val="1"/>
    <w:qFormat/>
    <w:uiPriority w:val="0"/>
    <w:pPr>
      <w:ind w:firstLine="420" w:firstLineChars="200"/>
    </w:pPr>
    <w:rPr>
      <w:szCs w:val="21"/>
    </w:rPr>
  </w:style>
  <w:style w:type="paragraph" w:customStyle="1" w:styleId="818">
    <w:name w:val="可研正文"/>
    <w:basedOn w:val="1"/>
    <w:qFormat/>
    <w:uiPriority w:val="0"/>
    <w:pPr>
      <w:ind w:firstLine="200"/>
    </w:pPr>
    <w:rPr>
      <w:rFonts w:ascii="仿宋" w:hAnsi="仿宋" w:eastAsia="仿宋_GB2312"/>
      <w:kern w:val="0"/>
      <w:szCs w:val="28"/>
    </w:rPr>
  </w:style>
  <w:style w:type="paragraph" w:customStyle="1" w:styleId="819">
    <w:name w:val="A正文小四"/>
    <w:basedOn w:val="1"/>
    <w:qFormat/>
    <w:uiPriority w:val="0"/>
    <w:pPr>
      <w:ind w:firstLine="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Words>33091</Words>
  <Characters>34520</Characters>
  <Lines>286</Lines>
  <Paragraphs>80</Paragraphs>
  <TotalTime>13</TotalTime>
  <ScaleCrop>false</ScaleCrop>
  <LinksUpToDate>false</LinksUpToDate>
  <CharactersWithSpaces>36624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2022-01-05T07:18:00Z</dcterms:created>
  <dc:creator>LCMZX</dc:creator>
  <cp:lastModifiedBy>吴秉泽</cp:lastModifiedBy>
  <cp:lastPrinted>2019-02-14T08:52:00Z</cp:lastPrinted>
  <dcterms:modified xsi:type="dcterms:W3CDTF">2022-09-08T11:05:59Z</dcterms:modified>
  <dc:title>温州市政府采购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DB5712BEB4134C9593893368B31F2872</vt:lpwstr>
  </property>
  <property fmtid="{D5CDD505-2E9C-101B-9397-08002B2CF9AE}" pid="4" name="commondata">
    <vt:lpwstr>eyJoZGlkIjoiZDRhNzcwYWMxNDc0YjRjN2UxZDk1NTg4ZWEwNTIzZDUifQ==</vt:lpwstr>
  </property>
  <property fmtid="{D5CDD505-2E9C-101B-9397-08002B2CF9AE}" pid="5" name="woTemplateTypoMode" linkTarget="0">
    <vt:lpwstr>web</vt:lpwstr>
  </property>
  <property fmtid="{D5CDD505-2E9C-101B-9397-08002B2CF9AE}" pid="6" name="woTemplate" linkTarget="0">
    <vt:i4>1</vt:i4>
  </property>
</Properties>
</file>