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500" w:lineRule="atLeast"/>
        <w:jc w:val="distribute"/>
        <w:textAlignment w:val="bottom"/>
        <w:rPr>
          <w:rFonts w:ascii="宋体" w:hAnsi="宋体"/>
          <w:b/>
          <w:bCs/>
          <w:color w:val="auto"/>
          <w:sz w:val="72"/>
          <w:szCs w:val="72"/>
          <w:highlight w:val="none"/>
        </w:rPr>
      </w:pPr>
    </w:p>
    <w:p>
      <w:pPr>
        <w:autoSpaceDE w:val="0"/>
        <w:autoSpaceDN w:val="0"/>
        <w:spacing w:line="500" w:lineRule="atLeast"/>
        <w:jc w:val="distribute"/>
        <w:textAlignment w:val="bottom"/>
        <w:rPr>
          <w:rFonts w:ascii="宋体" w:hAnsi="宋体"/>
          <w:bCs/>
          <w:color w:val="auto"/>
          <w:sz w:val="72"/>
          <w:szCs w:val="72"/>
          <w:highlight w:val="none"/>
        </w:rPr>
      </w:pPr>
      <w:r>
        <w:rPr>
          <w:rFonts w:hint="eastAsia" w:ascii="宋体" w:hAnsi="宋体"/>
          <w:b/>
          <w:bCs/>
          <w:color w:val="auto"/>
          <w:sz w:val="72"/>
          <w:szCs w:val="72"/>
          <w:highlight w:val="none"/>
          <w:lang w:val="en-US" w:eastAsia="zh-CN"/>
        </w:rPr>
        <w:t>瓯海区</w:t>
      </w:r>
      <w:r>
        <w:rPr>
          <w:rFonts w:hint="eastAsia" w:ascii="宋体" w:hAnsi="宋体"/>
          <w:b/>
          <w:bCs/>
          <w:color w:val="auto"/>
          <w:sz w:val="72"/>
          <w:szCs w:val="72"/>
          <w:highlight w:val="none"/>
        </w:rPr>
        <w:t>政府采购</w:t>
      </w:r>
    </w:p>
    <w:p>
      <w:pPr>
        <w:spacing w:line="400" w:lineRule="atLeast"/>
        <w:jc w:val="center"/>
        <w:rPr>
          <w:rFonts w:ascii="宋体" w:hAnsi="宋体"/>
          <w:b/>
          <w:color w:val="auto"/>
          <w:sz w:val="52"/>
          <w:highlight w:val="none"/>
        </w:rPr>
      </w:pPr>
    </w:p>
    <w:p>
      <w:pPr>
        <w:spacing w:line="400" w:lineRule="atLeast"/>
        <w:jc w:val="center"/>
        <w:rPr>
          <w:rFonts w:ascii="宋体" w:hAnsi="宋体"/>
          <w:b/>
          <w:color w:val="auto"/>
          <w:sz w:val="52"/>
          <w:highlight w:val="none"/>
        </w:rPr>
      </w:pPr>
    </w:p>
    <w:p>
      <w:pPr>
        <w:spacing w:line="400" w:lineRule="atLeast"/>
        <w:jc w:val="center"/>
        <w:rPr>
          <w:rFonts w:ascii="宋体" w:hAnsi="宋体"/>
          <w:b/>
          <w:color w:val="auto"/>
          <w:sz w:val="52"/>
          <w:highlight w:val="none"/>
        </w:rPr>
      </w:pPr>
    </w:p>
    <w:p>
      <w:pPr>
        <w:autoSpaceDE w:val="0"/>
        <w:autoSpaceDN w:val="0"/>
        <w:spacing w:line="500" w:lineRule="atLeast"/>
        <w:jc w:val="center"/>
        <w:textAlignment w:val="bottom"/>
        <w:rPr>
          <w:rFonts w:ascii="宋体" w:hAnsi="宋体"/>
          <w:b/>
          <w:color w:val="auto"/>
          <w:sz w:val="72"/>
          <w:szCs w:val="72"/>
          <w:highlight w:val="none"/>
        </w:rPr>
      </w:pPr>
      <w:r>
        <w:rPr>
          <w:rFonts w:hint="eastAsia" w:ascii="宋体" w:hAnsi="宋体"/>
          <w:b/>
          <w:bCs/>
          <w:color w:val="auto"/>
          <w:sz w:val="72"/>
          <w:szCs w:val="72"/>
          <w:highlight w:val="none"/>
        </w:rPr>
        <w:t>招 标 文 件</w:t>
      </w:r>
    </w:p>
    <w:p>
      <w:pPr>
        <w:spacing w:line="400" w:lineRule="atLeast"/>
        <w:jc w:val="center"/>
        <w:rPr>
          <w:rFonts w:ascii="宋体" w:hAnsi="宋体"/>
          <w:b/>
          <w:color w:val="auto"/>
          <w:sz w:val="32"/>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tabs>
          <w:tab w:val="left" w:pos="4860"/>
        </w:tabs>
        <w:spacing w:line="600" w:lineRule="exact"/>
        <w:ind w:left="0" w:leftChars="0" w:right="1143" w:firstLine="1483" w:firstLineChars="389"/>
        <w:jc w:val="left"/>
        <w:rPr>
          <w:rFonts w:hint="eastAsia" w:ascii="宋体" w:hAnsi="宋体" w:eastAsia="宋体"/>
          <w:b/>
          <w:color w:val="auto"/>
          <w:sz w:val="30"/>
          <w:szCs w:val="30"/>
          <w:highlight w:val="none"/>
          <w:lang w:eastAsia="zh-CN"/>
        </w:rPr>
      </w:pPr>
      <w:r>
        <w:rPr>
          <w:rFonts w:hint="eastAsia" w:ascii="宋体" w:hAnsi="宋体"/>
          <w:b/>
          <w:color w:val="auto"/>
          <w:spacing w:val="40"/>
          <w:sz w:val="30"/>
          <w:szCs w:val="30"/>
          <w:highlight w:val="none"/>
        </w:rPr>
        <w:t xml:space="preserve">招 标 编 </w:t>
      </w:r>
      <w:r>
        <w:rPr>
          <w:rFonts w:hint="eastAsia" w:ascii="宋体" w:hAnsi="宋体" w:cs="Arial"/>
          <w:b/>
          <w:color w:val="auto"/>
          <w:spacing w:val="40"/>
          <w:sz w:val="30"/>
          <w:szCs w:val="30"/>
          <w:highlight w:val="none"/>
        </w:rPr>
        <w:t>号</w:t>
      </w:r>
      <w:r>
        <w:rPr>
          <w:rFonts w:hint="eastAsia" w:ascii="宋体" w:hAnsi="宋体"/>
          <w:b/>
          <w:color w:val="auto"/>
          <w:sz w:val="30"/>
          <w:szCs w:val="30"/>
          <w:highlight w:val="none"/>
        </w:rPr>
        <w:t>：</w:t>
      </w:r>
      <w:r>
        <w:rPr>
          <w:rFonts w:hint="eastAsia" w:ascii="宋体" w:hAnsi="宋体"/>
          <w:b/>
          <w:color w:val="auto"/>
          <w:sz w:val="30"/>
          <w:szCs w:val="30"/>
          <w:highlight w:val="none"/>
          <w:lang w:eastAsia="zh-CN"/>
        </w:rPr>
        <w:t>WZYX-W2021080201</w:t>
      </w:r>
    </w:p>
    <w:p>
      <w:pPr>
        <w:tabs>
          <w:tab w:val="left" w:pos="5245"/>
          <w:tab w:val="left" w:pos="9660"/>
        </w:tabs>
        <w:spacing w:line="600" w:lineRule="exact"/>
        <w:ind w:left="0" w:leftChars="0" w:right="-22" w:firstLine="1483" w:firstLineChars="389"/>
        <w:jc w:val="left"/>
        <w:rPr>
          <w:rFonts w:hint="eastAsia" w:ascii="宋体" w:hAnsi="宋体" w:eastAsia="宋体"/>
          <w:b/>
          <w:color w:val="auto"/>
          <w:sz w:val="30"/>
          <w:szCs w:val="30"/>
          <w:highlight w:val="none"/>
          <w:lang w:eastAsia="zh-CN"/>
        </w:rPr>
      </w:pPr>
      <w:r>
        <w:rPr>
          <w:rFonts w:hint="eastAsia" w:ascii="宋体" w:hAnsi="宋体"/>
          <w:b/>
          <w:color w:val="auto"/>
          <w:spacing w:val="40"/>
          <w:sz w:val="30"/>
          <w:szCs w:val="30"/>
          <w:highlight w:val="none"/>
        </w:rPr>
        <w:t>招 标 项 目</w:t>
      </w:r>
      <w:r>
        <w:rPr>
          <w:rFonts w:hint="eastAsia" w:ascii="宋体" w:hAnsi="宋体"/>
          <w:b/>
          <w:color w:val="auto"/>
          <w:sz w:val="30"/>
          <w:szCs w:val="30"/>
          <w:highlight w:val="none"/>
        </w:rPr>
        <w:t>：</w:t>
      </w:r>
      <w:r>
        <w:rPr>
          <w:rFonts w:hint="eastAsia" w:ascii="宋体" w:hAnsi="宋体"/>
          <w:b/>
          <w:color w:val="auto"/>
          <w:sz w:val="30"/>
          <w:szCs w:val="30"/>
          <w:highlight w:val="none"/>
          <w:lang w:eastAsia="zh-CN"/>
        </w:rPr>
        <w:t>2021年度瓯海区分局警用装备采购</w:t>
      </w:r>
    </w:p>
    <w:p>
      <w:pPr>
        <w:tabs>
          <w:tab w:val="left" w:pos="4860"/>
        </w:tabs>
        <w:spacing w:line="600" w:lineRule="exact"/>
        <w:ind w:left="0" w:leftChars="0" w:right="1143" w:firstLine="1483" w:firstLineChars="389"/>
        <w:jc w:val="left"/>
        <w:rPr>
          <w:rFonts w:ascii="宋体" w:hAnsi="宋体"/>
          <w:b/>
          <w:color w:val="auto"/>
          <w:spacing w:val="40"/>
          <w:sz w:val="30"/>
          <w:szCs w:val="30"/>
          <w:highlight w:val="none"/>
        </w:rPr>
      </w:pPr>
      <w:r>
        <w:rPr>
          <w:rFonts w:hint="eastAsia" w:ascii="宋体" w:hAnsi="宋体"/>
          <w:b/>
          <w:color w:val="auto"/>
          <w:spacing w:val="40"/>
          <w:sz w:val="30"/>
          <w:szCs w:val="30"/>
          <w:highlight w:val="none"/>
        </w:rPr>
        <w:t>招 标 方 式</w:t>
      </w:r>
      <w:r>
        <w:rPr>
          <w:rFonts w:hint="eastAsia" w:ascii="宋体" w:hAnsi="宋体"/>
          <w:b/>
          <w:color w:val="auto"/>
          <w:sz w:val="30"/>
          <w:szCs w:val="30"/>
          <w:highlight w:val="none"/>
        </w:rPr>
        <w:t>：公 开 招 标</w:t>
      </w: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spacing w:line="600" w:lineRule="exact"/>
        <w:ind w:left="2124" w:leftChars="1000" w:hanging="24" w:hangingChars="8"/>
        <w:rPr>
          <w:rFonts w:hint="eastAsia" w:ascii="宋体" w:hAnsi="宋体" w:eastAsia="宋体"/>
          <w:b/>
          <w:color w:val="auto"/>
          <w:sz w:val="30"/>
          <w:szCs w:val="30"/>
          <w:highlight w:val="none"/>
          <w:lang w:eastAsia="zh-CN"/>
        </w:rPr>
      </w:pPr>
      <w:r>
        <w:rPr>
          <w:rFonts w:hint="eastAsia" w:ascii="宋体" w:hAnsi="宋体"/>
          <w:b/>
          <w:color w:val="auto"/>
          <w:sz w:val="30"/>
          <w:szCs w:val="30"/>
          <w:highlight w:val="none"/>
        </w:rPr>
        <w:t>招  标  人：</w:t>
      </w:r>
      <w:r>
        <w:rPr>
          <w:rFonts w:hint="eastAsia" w:ascii="宋体" w:hAnsi="宋体"/>
          <w:b/>
          <w:bCs/>
          <w:color w:val="auto"/>
          <w:sz w:val="30"/>
          <w:szCs w:val="30"/>
          <w:highlight w:val="none"/>
          <w:lang w:eastAsia="zh-CN"/>
        </w:rPr>
        <w:t>温州市公安局瓯海区分局</w:t>
      </w:r>
    </w:p>
    <w:p>
      <w:pPr>
        <w:spacing w:line="600" w:lineRule="exact"/>
        <w:ind w:left="2130" w:leftChars="1000" w:hanging="30" w:hangingChars="8"/>
        <w:rPr>
          <w:rFonts w:ascii="宋体" w:hAnsi="宋体"/>
          <w:b/>
          <w:color w:val="auto"/>
          <w:spacing w:val="12"/>
          <w:sz w:val="30"/>
          <w:szCs w:val="30"/>
          <w:highlight w:val="none"/>
        </w:rPr>
      </w:pPr>
      <w:r>
        <w:rPr>
          <w:rFonts w:hint="eastAsia" w:ascii="宋体" w:hAnsi="宋体"/>
          <w:b/>
          <w:color w:val="auto"/>
          <w:spacing w:val="40"/>
          <w:sz w:val="30"/>
          <w:szCs w:val="30"/>
          <w:highlight w:val="none"/>
        </w:rPr>
        <w:t>招标代理</w:t>
      </w:r>
      <w:r>
        <w:rPr>
          <w:rFonts w:hint="eastAsia" w:ascii="宋体" w:hAnsi="宋体"/>
          <w:b/>
          <w:color w:val="auto"/>
          <w:sz w:val="30"/>
          <w:szCs w:val="30"/>
          <w:highlight w:val="none"/>
        </w:rPr>
        <w:t>：</w:t>
      </w:r>
      <w:r>
        <w:rPr>
          <w:rFonts w:hint="eastAsia" w:ascii="宋体" w:hAnsi="宋体"/>
          <w:b/>
          <w:color w:val="auto"/>
          <w:spacing w:val="12"/>
          <w:sz w:val="30"/>
          <w:szCs w:val="30"/>
          <w:highlight w:val="none"/>
        </w:rPr>
        <w:t>温州元信工程项目管理有限公司</w:t>
      </w:r>
    </w:p>
    <w:p>
      <w:pPr>
        <w:spacing w:line="600" w:lineRule="exact"/>
        <w:ind w:left="2130" w:leftChars="1000" w:hanging="30" w:hangingChars="8"/>
        <w:rPr>
          <w:rFonts w:ascii="宋体" w:hAnsi="宋体"/>
          <w:b/>
          <w:color w:val="auto"/>
          <w:spacing w:val="40"/>
          <w:sz w:val="30"/>
          <w:szCs w:val="30"/>
          <w:highlight w:val="none"/>
        </w:rPr>
      </w:pPr>
    </w:p>
    <w:p>
      <w:pPr>
        <w:spacing w:line="600" w:lineRule="exact"/>
        <w:jc w:val="center"/>
        <w:rPr>
          <w:rFonts w:ascii="宋体" w:hAnsi="宋体"/>
          <w:b/>
          <w:color w:val="auto"/>
          <w:spacing w:val="40"/>
          <w:sz w:val="30"/>
          <w:szCs w:val="30"/>
          <w:highlight w:val="none"/>
        </w:rPr>
      </w:pPr>
      <w:r>
        <w:rPr>
          <w:rFonts w:hint="eastAsia" w:ascii="宋体" w:hAnsi="宋体"/>
          <w:b/>
          <w:color w:val="auto"/>
          <w:spacing w:val="40"/>
          <w:sz w:val="30"/>
          <w:szCs w:val="30"/>
          <w:highlight w:val="none"/>
        </w:rPr>
        <w:t>二</w:t>
      </w:r>
      <w:r>
        <w:rPr>
          <w:rFonts w:hint="eastAsia" w:ascii="宋体" w:hAnsi="宋体" w:cs="宋体"/>
          <w:b/>
          <w:color w:val="auto"/>
          <w:spacing w:val="40"/>
          <w:sz w:val="30"/>
          <w:szCs w:val="30"/>
          <w:highlight w:val="none"/>
        </w:rPr>
        <w:t>〇</w:t>
      </w:r>
      <w:r>
        <w:rPr>
          <w:rFonts w:hint="eastAsia" w:ascii="宋体" w:hAnsi="宋体"/>
          <w:b/>
          <w:color w:val="auto"/>
          <w:spacing w:val="40"/>
          <w:sz w:val="30"/>
          <w:szCs w:val="30"/>
          <w:highlight w:val="none"/>
        </w:rPr>
        <w:t>二</w:t>
      </w:r>
      <w:r>
        <w:rPr>
          <w:rFonts w:hint="eastAsia" w:ascii="宋体" w:hAnsi="宋体" w:cs="宋体"/>
          <w:b/>
          <w:color w:val="auto"/>
          <w:spacing w:val="40"/>
          <w:sz w:val="30"/>
          <w:szCs w:val="30"/>
          <w:highlight w:val="none"/>
        </w:rPr>
        <w:t>一</w:t>
      </w:r>
      <w:r>
        <w:rPr>
          <w:rFonts w:hint="eastAsia" w:ascii="宋体" w:hAnsi="宋体" w:cs="仿宋_GB2312"/>
          <w:b/>
          <w:color w:val="auto"/>
          <w:spacing w:val="40"/>
          <w:sz w:val="30"/>
          <w:szCs w:val="30"/>
          <w:highlight w:val="none"/>
        </w:rPr>
        <w:t>年</w:t>
      </w:r>
      <w:r>
        <w:rPr>
          <w:rFonts w:hint="eastAsia" w:ascii="宋体" w:hAnsi="宋体" w:cs="仿宋_GB2312"/>
          <w:b/>
          <w:color w:val="auto"/>
          <w:spacing w:val="40"/>
          <w:sz w:val="30"/>
          <w:szCs w:val="30"/>
          <w:highlight w:val="none"/>
          <w:lang w:val="en-US" w:eastAsia="zh-CN"/>
        </w:rPr>
        <w:t>八</w:t>
      </w:r>
      <w:r>
        <w:rPr>
          <w:rFonts w:hint="eastAsia" w:ascii="宋体" w:hAnsi="宋体" w:cs="仿宋_GB2312"/>
          <w:b/>
          <w:color w:val="auto"/>
          <w:spacing w:val="40"/>
          <w:sz w:val="30"/>
          <w:szCs w:val="30"/>
          <w:highlight w:val="none"/>
        </w:rPr>
        <w:t>月</w:t>
      </w:r>
    </w:p>
    <w:p>
      <w:pPr>
        <w:spacing w:line="600" w:lineRule="exact"/>
        <w:jc w:val="center"/>
        <w:rPr>
          <w:rFonts w:ascii="宋体" w:hAnsi="宋体"/>
          <w:b/>
          <w:bCs/>
          <w:color w:val="auto"/>
          <w:sz w:val="32"/>
          <w:szCs w:val="32"/>
          <w:highlight w:val="none"/>
        </w:rPr>
      </w:pPr>
      <w:r>
        <w:rPr>
          <w:rFonts w:hint="eastAsia" w:ascii="宋体" w:hAnsi="宋体"/>
          <w:color w:val="auto"/>
          <w:spacing w:val="40"/>
          <w:sz w:val="30"/>
          <w:szCs w:val="30"/>
          <w:highlight w:val="none"/>
        </w:rPr>
        <w:br w:type="page"/>
      </w:r>
      <w:r>
        <w:rPr>
          <w:rFonts w:hint="eastAsia" w:ascii="宋体" w:hAnsi="宋体"/>
          <w:b/>
          <w:bCs/>
          <w:color w:val="auto"/>
          <w:sz w:val="32"/>
          <w:szCs w:val="32"/>
          <w:highlight w:val="none"/>
        </w:rPr>
        <w:t>目    录</w:t>
      </w:r>
    </w:p>
    <w:p>
      <w:pPr>
        <w:spacing w:line="600" w:lineRule="exact"/>
        <w:jc w:val="center"/>
        <w:rPr>
          <w:rFonts w:ascii="宋体" w:hAnsi="宋体"/>
          <w:b/>
          <w:bCs/>
          <w:color w:val="auto"/>
          <w:sz w:val="24"/>
          <w:highlight w:val="none"/>
        </w:rPr>
      </w:pPr>
    </w:p>
    <w:p>
      <w:pPr>
        <w:pStyle w:val="45"/>
        <w:rPr>
          <w:rFonts w:ascii="Calibri" w:hAnsi="Calibri" w:eastAsia="宋体" w:cs="Times New Roman"/>
          <w:bCs w:val="0"/>
          <w:color w:val="auto"/>
          <w:sz w:val="24"/>
          <w:szCs w:val="24"/>
          <w:highlight w:val="none"/>
        </w:rPr>
      </w:pPr>
      <w:r>
        <w:rPr>
          <w:rFonts w:hint="eastAsia" w:ascii="宋体" w:hAnsi="宋体" w:eastAsia="宋体"/>
          <w:b/>
          <w:bCs w:val="0"/>
          <w:color w:val="auto"/>
          <w:sz w:val="24"/>
          <w:szCs w:val="24"/>
          <w:highlight w:val="none"/>
        </w:rPr>
        <w:fldChar w:fldCharType="begin"/>
      </w:r>
      <w:r>
        <w:rPr>
          <w:rFonts w:hint="eastAsia" w:ascii="宋体" w:hAnsi="宋体" w:eastAsia="宋体"/>
          <w:b/>
          <w:bCs w:val="0"/>
          <w:color w:val="auto"/>
          <w:sz w:val="24"/>
          <w:szCs w:val="24"/>
          <w:highlight w:val="none"/>
        </w:rPr>
        <w:instrText xml:space="preserve"> TOC \o "1-3" \h \z \u </w:instrText>
      </w:r>
      <w:r>
        <w:rPr>
          <w:rFonts w:hint="eastAsia" w:ascii="宋体" w:hAnsi="宋体" w:eastAsia="宋体"/>
          <w:b/>
          <w:bCs w:val="0"/>
          <w:color w:val="auto"/>
          <w:sz w:val="24"/>
          <w:szCs w:val="24"/>
          <w:highlight w:val="none"/>
        </w:rPr>
        <w:fldChar w:fldCharType="separate"/>
      </w:r>
      <w:r>
        <w:rPr>
          <w:color w:val="auto"/>
          <w:sz w:val="24"/>
          <w:szCs w:val="24"/>
          <w:highlight w:val="none"/>
        </w:rPr>
        <w:fldChar w:fldCharType="begin"/>
      </w:r>
      <w:r>
        <w:rPr>
          <w:color w:val="auto"/>
          <w:sz w:val="24"/>
          <w:szCs w:val="24"/>
          <w:highlight w:val="none"/>
        </w:rPr>
        <w:instrText xml:space="preserve"> HYPERLINK \l "_Toc15938915" </w:instrText>
      </w:r>
      <w:r>
        <w:rPr>
          <w:color w:val="auto"/>
          <w:sz w:val="24"/>
          <w:szCs w:val="24"/>
          <w:highlight w:val="none"/>
        </w:rPr>
        <w:fldChar w:fldCharType="separate"/>
      </w:r>
      <w:r>
        <w:rPr>
          <w:rStyle w:val="77"/>
          <w:rFonts w:hint="eastAsia" w:ascii="宋体" w:hAnsi="宋体" w:eastAsia="宋体"/>
          <w:color w:val="auto"/>
          <w:sz w:val="24"/>
          <w:szCs w:val="24"/>
          <w:highlight w:val="none"/>
        </w:rPr>
        <w:t>温州元信工程项目管理有限公司关于</w:t>
      </w:r>
      <w:r>
        <w:rPr>
          <w:rStyle w:val="77"/>
          <w:rFonts w:hint="eastAsia" w:ascii="宋体" w:hAnsi="宋体" w:eastAsia="宋体"/>
          <w:color w:val="auto"/>
          <w:sz w:val="24"/>
          <w:szCs w:val="24"/>
          <w:highlight w:val="none"/>
          <w:lang w:eastAsia="zh-CN"/>
        </w:rPr>
        <w:t>2021年度瓯海区分局警用装备采购</w:t>
      </w:r>
      <w:r>
        <w:rPr>
          <w:rStyle w:val="77"/>
          <w:rFonts w:hint="eastAsia" w:ascii="宋体" w:hAnsi="宋体" w:eastAsia="宋体"/>
          <w:color w:val="auto"/>
          <w:sz w:val="24"/>
          <w:szCs w:val="24"/>
          <w:highlight w:val="none"/>
        </w:rPr>
        <w:t>项目的公开招标公告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_Toc15938915 \h </w:instrText>
      </w:r>
      <w:r>
        <w:rPr>
          <w:color w:val="auto"/>
          <w:sz w:val="24"/>
          <w:szCs w:val="24"/>
          <w:highlight w:val="none"/>
        </w:rPr>
        <w:fldChar w:fldCharType="separate"/>
      </w:r>
      <w:r>
        <w:rPr>
          <w:color w:val="auto"/>
          <w:sz w:val="24"/>
          <w:szCs w:val="24"/>
          <w:highlight w:val="none"/>
        </w:rPr>
        <w:t>3</w:t>
      </w:r>
      <w:r>
        <w:rPr>
          <w:color w:val="auto"/>
          <w:sz w:val="24"/>
          <w:szCs w:val="24"/>
          <w:highlight w:val="none"/>
        </w:rPr>
        <w:fldChar w:fldCharType="end"/>
      </w:r>
      <w:r>
        <w:rPr>
          <w:color w:val="auto"/>
          <w:sz w:val="24"/>
          <w:szCs w:val="24"/>
          <w:highlight w:val="none"/>
        </w:rPr>
        <w:fldChar w:fldCharType="end"/>
      </w:r>
    </w:p>
    <w:p>
      <w:pPr>
        <w:pStyle w:val="45"/>
        <w:rPr>
          <w:rFonts w:ascii="Calibri" w:hAnsi="Calibri" w:eastAsia="宋体" w:cs="Times New Roman"/>
          <w:bCs w:val="0"/>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"_Toc15938917" </w:instrText>
      </w:r>
      <w:r>
        <w:rPr>
          <w:color w:val="auto"/>
          <w:sz w:val="24"/>
          <w:szCs w:val="24"/>
          <w:highlight w:val="none"/>
        </w:rPr>
        <w:fldChar w:fldCharType="separate"/>
      </w:r>
      <w:r>
        <w:rPr>
          <w:rStyle w:val="77"/>
          <w:rFonts w:hint="eastAsia" w:ascii="宋体" w:hAnsi="宋体" w:eastAsia="宋体" w:cs="hakuyoxingshu7000"/>
          <w:color w:val="auto"/>
          <w:sz w:val="24"/>
          <w:szCs w:val="24"/>
          <w:highlight w:val="none"/>
        </w:rPr>
        <w:t>政府采购政策功能相关说明</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_Toc15938917 \h </w:instrText>
      </w:r>
      <w:r>
        <w:rPr>
          <w:color w:val="auto"/>
          <w:sz w:val="24"/>
          <w:szCs w:val="24"/>
          <w:highlight w:val="none"/>
        </w:rPr>
        <w:fldChar w:fldCharType="separate"/>
      </w:r>
      <w:r>
        <w:rPr>
          <w:color w:val="auto"/>
          <w:sz w:val="24"/>
          <w:szCs w:val="24"/>
          <w:highlight w:val="none"/>
        </w:rPr>
        <w:t>6</w:t>
      </w:r>
      <w:r>
        <w:rPr>
          <w:color w:val="auto"/>
          <w:sz w:val="24"/>
          <w:szCs w:val="24"/>
          <w:highlight w:val="none"/>
        </w:rPr>
        <w:fldChar w:fldCharType="end"/>
      </w:r>
      <w:r>
        <w:rPr>
          <w:color w:val="auto"/>
          <w:sz w:val="24"/>
          <w:szCs w:val="24"/>
          <w:highlight w:val="none"/>
        </w:rPr>
        <w:fldChar w:fldCharType="end"/>
      </w:r>
    </w:p>
    <w:p>
      <w:pPr>
        <w:pStyle w:val="45"/>
        <w:rPr>
          <w:rFonts w:ascii="Calibri" w:hAnsi="Calibri" w:eastAsia="宋体" w:cs="Times New Roman"/>
          <w:bCs w:val="0"/>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"_Toc15938918" </w:instrText>
      </w:r>
      <w:r>
        <w:rPr>
          <w:color w:val="auto"/>
          <w:sz w:val="24"/>
          <w:szCs w:val="24"/>
          <w:highlight w:val="none"/>
        </w:rPr>
        <w:fldChar w:fldCharType="separate"/>
      </w:r>
      <w:r>
        <w:rPr>
          <w:rStyle w:val="77"/>
          <w:rFonts w:hint="eastAsia" w:ascii="宋体" w:hAnsi="宋体" w:eastAsia="宋体"/>
          <w:color w:val="auto"/>
          <w:sz w:val="24"/>
          <w:szCs w:val="24"/>
          <w:highlight w:val="none"/>
        </w:rPr>
        <w:t>第一部分投标人须知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_Toc15938918 \h </w:instrText>
      </w:r>
      <w:r>
        <w:rPr>
          <w:color w:val="auto"/>
          <w:sz w:val="24"/>
          <w:szCs w:val="24"/>
          <w:highlight w:val="none"/>
        </w:rPr>
        <w:fldChar w:fldCharType="separate"/>
      </w:r>
      <w:r>
        <w:rPr>
          <w:color w:val="auto"/>
          <w:sz w:val="24"/>
          <w:szCs w:val="24"/>
          <w:highlight w:val="none"/>
        </w:rPr>
        <w:t>7</w:t>
      </w:r>
      <w:r>
        <w:rPr>
          <w:color w:val="auto"/>
          <w:sz w:val="24"/>
          <w:szCs w:val="24"/>
          <w:highlight w:val="none"/>
        </w:rPr>
        <w:fldChar w:fldCharType="end"/>
      </w:r>
      <w:r>
        <w:rPr>
          <w:color w:val="auto"/>
          <w:sz w:val="24"/>
          <w:szCs w:val="24"/>
          <w:highlight w:val="none"/>
        </w:rPr>
        <w:fldChar w:fldCharType="end"/>
      </w:r>
    </w:p>
    <w:p>
      <w:pPr>
        <w:pStyle w:val="45"/>
        <w:rPr>
          <w:rFonts w:ascii="Calibri" w:hAnsi="Calibri" w:eastAsia="宋体" w:cs="Times New Roman"/>
          <w:bCs w:val="0"/>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"_Toc15938919" </w:instrText>
      </w:r>
      <w:r>
        <w:rPr>
          <w:color w:val="auto"/>
          <w:sz w:val="24"/>
          <w:szCs w:val="24"/>
          <w:highlight w:val="none"/>
        </w:rPr>
        <w:fldChar w:fldCharType="separate"/>
      </w:r>
      <w:r>
        <w:rPr>
          <w:rStyle w:val="77"/>
          <w:rFonts w:hint="eastAsia" w:ascii="宋体" w:hAnsi="宋体"/>
          <w:b/>
          <w:color w:val="auto"/>
          <w:sz w:val="24"/>
          <w:szCs w:val="24"/>
          <w:highlight w:val="none"/>
        </w:rPr>
        <w:t>一、说明</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_Toc15938919 \h </w:instrText>
      </w:r>
      <w:r>
        <w:rPr>
          <w:color w:val="auto"/>
          <w:sz w:val="24"/>
          <w:szCs w:val="24"/>
          <w:highlight w:val="none"/>
        </w:rPr>
        <w:fldChar w:fldCharType="separate"/>
      </w:r>
      <w:r>
        <w:rPr>
          <w:color w:val="auto"/>
          <w:sz w:val="24"/>
          <w:szCs w:val="24"/>
          <w:highlight w:val="none"/>
        </w:rPr>
        <w:t>7</w:t>
      </w:r>
      <w:r>
        <w:rPr>
          <w:color w:val="auto"/>
          <w:sz w:val="24"/>
          <w:szCs w:val="24"/>
          <w:highlight w:val="none"/>
        </w:rPr>
        <w:fldChar w:fldCharType="end"/>
      </w:r>
      <w:r>
        <w:rPr>
          <w:color w:val="auto"/>
          <w:sz w:val="24"/>
          <w:szCs w:val="24"/>
          <w:highlight w:val="none"/>
        </w:rPr>
        <w:fldChar w:fldCharType="end"/>
      </w:r>
    </w:p>
    <w:p>
      <w:pPr>
        <w:pStyle w:val="45"/>
        <w:rPr>
          <w:rFonts w:ascii="Calibri" w:hAnsi="Calibri" w:eastAsia="宋体" w:cs="Times New Roman"/>
          <w:bCs w:val="0"/>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"_Toc15938920" </w:instrText>
      </w:r>
      <w:r>
        <w:rPr>
          <w:color w:val="auto"/>
          <w:sz w:val="24"/>
          <w:szCs w:val="24"/>
          <w:highlight w:val="none"/>
        </w:rPr>
        <w:fldChar w:fldCharType="separate"/>
      </w:r>
      <w:r>
        <w:rPr>
          <w:rStyle w:val="77"/>
          <w:rFonts w:hint="eastAsia" w:ascii="宋体" w:hAnsi="宋体"/>
          <w:b/>
          <w:color w:val="auto"/>
          <w:sz w:val="24"/>
          <w:szCs w:val="24"/>
          <w:highlight w:val="none"/>
        </w:rPr>
        <w:t>二、招标文件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_Toc15938920 \h </w:instrText>
      </w:r>
      <w:r>
        <w:rPr>
          <w:color w:val="auto"/>
          <w:sz w:val="24"/>
          <w:szCs w:val="24"/>
          <w:highlight w:val="none"/>
        </w:rPr>
        <w:fldChar w:fldCharType="separate"/>
      </w:r>
      <w:r>
        <w:rPr>
          <w:color w:val="auto"/>
          <w:sz w:val="24"/>
          <w:szCs w:val="24"/>
          <w:highlight w:val="none"/>
        </w:rPr>
        <w:t>7</w:t>
      </w:r>
      <w:r>
        <w:rPr>
          <w:color w:val="auto"/>
          <w:sz w:val="24"/>
          <w:szCs w:val="24"/>
          <w:highlight w:val="none"/>
        </w:rPr>
        <w:fldChar w:fldCharType="end"/>
      </w:r>
      <w:r>
        <w:rPr>
          <w:color w:val="auto"/>
          <w:sz w:val="24"/>
          <w:szCs w:val="24"/>
          <w:highlight w:val="none"/>
        </w:rPr>
        <w:fldChar w:fldCharType="end"/>
      </w:r>
    </w:p>
    <w:p>
      <w:pPr>
        <w:pStyle w:val="45"/>
        <w:rPr>
          <w:rFonts w:ascii="Calibri" w:hAnsi="Calibri" w:eastAsia="宋体" w:cs="Times New Roman"/>
          <w:bCs w:val="0"/>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"_Toc15938921" </w:instrText>
      </w:r>
      <w:r>
        <w:rPr>
          <w:color w:val="auto"/>
          <w:sz w:val="24"/>
          <w:szCs w:val="24"/>
          <w:highlight w:val="none"/>
        </w:rPr>
        <w:fldChar w:fldCharType="separate"/>
      </w:r>
      <w:r>
        <w:rPr>
          <w:rStyle w:val="77"/>
          <w:rFonts w:hint="eastAsia" w:ascii="宋体" w:hAnsi="宋体"/>
          <w:b/>
          <w:color w:val="auto"/>
          <w:sz w:val="24"/>
          <w:szCs w:val="24"/>
          <w:highlight w:val="none"/>
        </w:rPr>
        <w:t>三、投标文件的编制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_Toc15938921 \h </w:instrText>
      </w:r>
      <w:r>
        <w:rPr>
          <w:color w:val="auto"/>
          <w:sz w:val="24"/>
          <w:szCs w:val="24"/>
          <w:highlight w:val="none"/>
        </w:rPr>
        <w:fldChar w:fldCharType="separate"/>
      </w:r>
      <w:r>
        <w:rPr>
          <w:color w:val="auto"/>
          <w:sz w:val="24"/>
          <w:szCs w:val="24"/>
          <w:highlight w:val="none"/>
        </w:rPr>
        <w:t>8</w:t>
      </w:r>
      <w:r>
        <w:rPr>
          <w:color w:val="auto"/>
          <w:sz w:val="24"/>
          <w:szCs w:val="24"/>
          <w:highlight w:val="none"/>
        </w:rPr>
        <w:fldChar w:fldCharType="end"/>
      </w:r>
      <w:r>
        <w:rPr>
          <w:color w:val="auto"/>
          <w:sz w:val="24"/>
          <w:szCs w:val="24"/>
          <w:highlight w:val="none"/>
        </w:rPr>
        <w:fldChar w:fldCharType="end"/>
      </w:r>
    </w:p>
    <w:p>
      <w:pPr>
        <w:pStyle w:val="45"/>
        <w:rPr>
          <w:rFonts w:ascii="Calibri" w:hAnsi="Calibri" w:eastAsia="宋体" w:cs="Times New Roman"/>
          <w:bCs w:val="0"/>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"_Toc15938922" </w:instrText>
      </w:r>
      <w:r>
        <w:rPr>
          <w:color w:val="auto"/>
          <w:sz w:val="24"/>
          <w:szCs w:val="24"/>
          <w:highlight w:val="none"/>
        </w:rPr>
        <w:fldChar w:fldCharType="separate"/>
      </w:r>
      <w:r>
        <w:rPr>
          <w:rStyle w:val="77"/>
          <w:rFonts w:hint="eastAsia" w:ascii="宋体" w:hAnsi="宋体"/>
          <w:b/>
          <w:color w:val="auto"/>
          <w:sz w:val="24"/>
          <w:szCs w:val="24"/>
          <w:highlight w:val="none"/>
        </w:rPr>
        <w:t>四、投标文件的递交</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_Toc15938922 \h </w:instrText>
      </w:r>
      <w:r>
        <w:rPr>
          <w:color w:val="auto"/>
          <w:sz w:val="24"/>
          <w:szCs w:val="24"/>
          <w:highlight w:val="none"/>
        </w:rPr>
        <w:fldChar w:fldCharType="separate"/>
      </w:r>
      <w:r>
        <w:rPr>
          <w:color w:val="auto"/>
          <w:sz w:val="24"/>
          <w:szCs w:val="24"/>
          <w:highlight w:val="none"/>
        </w:rPr>
        <w:t>11</w:t>
      </w:r>
      <w:r>
        <w:rPr>
          <w:color w:val="auto"/>
          <w:sz w:val="24"/>
          <w:szCs w:val="24"/>
          <w:highlight w:val="none"/>
        </w:rPr>
        <w:fldChar w:fldCharType="end"/>
      </w:r>
      <w:r>
        <w:rPr>
          <w:color w:val="auto"/>
          <w:sz w:val="24"/>
          <w:szCs w:val="24"/>
          <w:highlight w:val="none"/>
        </w:rPr>
        <w:fldChar w:fldCharType="end"/>
      </w:r>
    </w:p>
    <w:p>
      <w:pPr>
        <w:pStyle w:val="45"/>
        <w:rPr>
          <w:rFonts w:ascii="Calibri" w:hAnsi="Calibri" w:eastAsia="宋体" w:cs="Times New Roman"/>
          <w:bCs w:val="0"/>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"_Toc15938923" </w:instrText>
      </w:r>
      <w:r>
        <w:rPr>
          <w:color w:val="auto"/>
          <w:sz w:val="24"/>
          <w:szCs w:val="24"/>
          <w:highlight w:val="none"/>
        </w:rPr>
        <w:fldChar w:fldCharType="separate"/>
      </w:r>
      <w:r>
        <w:rPr>
          <w:rStyle w:val="77"/>
          <w:rFonts w:hint="eastAsia" w:ascii="宋体" w:hAnsi="宋体"/>
          <w:b/>
          <w:color w:val="auto"/>
          <w:sz w:val="24"/>
          <w:szCs w:val="24"/>
          <w:highlight w:val="none"/>
        </w:rPr>
        <w:t>五、开标和评标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_Toc15938923 \h </w:instrText>
      </w:r>
      <w:r>
        <w:rPr>
          <w:color w:val="auto"/>
          <w:sz w:val="24"/>
          <w:szCs w:val="24"/>
          <w:highlight w:val="none"/>
        </w:rPr>
        <w:fldChar w:fldCharType="separate"/>
      </w:r>
      <w:r>
        <w:rPr>
          <w:color w:val="auto"/>
          <w:sz w:val="24"/>
          <w:szCs w:val="24"/>
          <w:highlight w:val="none"/>
        </w:rPr>
        <w:t>12</w:t>
      </w:r>
      <w:r>
        <w:rPr>
          <w:color w:val="auto"/>
          <w:sz w:val="24"/>
          <w:szCs w:val="24"/>
          <w:highlight w:val="none"/>
        </w:rPr>
        <w:fldChar w:fldCharType="end"/>
      </w:r>
      <w:r>
        <w:rPr>
          <w:color w:val="auto"/>
          <w:sz w:val="24"/>
          <w:szCs w:val="24"/>
          <w:highlight w:val="none"/>
        </w:rPr>
        <w:fldChar w:fldCharType="end"/>
      </w:r>
    </w:p>
    <w:p>
      <w:pPr>
        <w:pStyle w:val="45"/>
        <w:rPr>
          <w:rFonts w:ascii="Calibri" w:hAnsi="Calibri" w:eastAsia="宋体" w:cs="Times New Roman"/>
          <w:bCs w:val="0"/>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"_Toc15938924" </w:instrText>
      </w:r>
      <w:r>
        <w:rPr>
          <w:color w:val="auto"/>
          <w:sz w:val="24"/>
          <w:szCs w:val="24"/>
          <w:highlight w:val="none"/>
        </w:rPr>
        <w:fldChar w:fldCharType="separate"/>
      </w:r>
      <w:r>
        <w:rPr>
          <w:rStyle w:val="77"/>
          <w:rFonts w:hint="eastAsia" w:ascii="宋体" w:hAnsi="宋体"/>
          <w:b/>
          <w:color w:val="auto"/>
          <w:sz w:val="24"/>
          <w:szCs w:val="24"/>
          <w:highlight w:val="none"/>
        </w:rPr>
        <w:t>六、授予合同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_Toc15938924 \h </w:instrText>
      </w:r>
      <w:r>
        <w:rPr>
          <w:color w:val="auto"/>
          <w:sz w:val="24"/>
          <w:szCs w:val="24"/>
          <w:highlight w:val="none"/>
        </w:rPr>
        <w:fldChar w:fldCharType="separate"/>
      </w:r>
      <w:r>
        <w:rPr>
          <w:color w:val="auto"/>
          <w:sz w:val="24"/>
          <w:szCs w:val="24"/>
          <w:highlight w:val="none"/>
        </w:rPr>
        <w:t>16</w:t>
      </w:r>
      <w:r>
        <w:rPr>
          <w:color w:val="auto"/>
          <w:sz w:val="24"/>
          <w:szCs w:val="24"/>
          <w:highlight w:val="none"/>
        </w:rPr>
        <w:fldChar w:fldCharType="end"/>
      </w:r>
      <w:r>
        <w:rPr>
          <w:color w:val="auto"/>
          <w:sz w:val="24"/>
          <w:szCs w:val="24"/>
          <w:highlight w:val="none"/>
        </w:rPr>
        <w:fldChar w:fldCharType="end"/>
      </w:r>
    </w:p>
    <w:p>
      <w:pPr>
        <w:pStyle w:val="45"/>
        <w:rPr>
          <w:rFonts w:ascii="Calibri" w:hAnsi="Calibri" w:eastAsia="宋体" w:cs="Times New Roman"/>
          <w:bCs w:val="0"/>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"_Toc15938925" </w:instrText>
      </w:r>
      <w:r>
        <w:rPr>
          <w:color w:val="auto"/>
          <w:sz w:val="24"/>
          <w:szCs w:val="24"/>
          <w:highlight w:val="none"/>
        </w:rPr>
        <w:fldChar w:fldCharType="separate"/>
      </w:r>
      <w:r>
        <w:rPr>
          <w:rStyle w:val="77"/>
          <w:rFonts w:hint="eastAsia" w:ascii="宋体" w:hAnsi="宋体" w:eastAsia="宋体"/>
          <w:color w:val="auto"/>
          <w:sz w:val="24"/>
          <w:szCs w:val="24"/>
          <w:highlight w:val="none"/>
        </w:rPr>
        <w:t>第二部分合同主要条款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_Toc15938925 \h </w:instrText>
      </w:r>
      <w:r>
        <w:rPr>
          <w:color w:val="auto"/>
          <w:sz w:val="24"/>
          <w:szCs w:val="24"/>
          <w:highlight w:val="none"/>
        </w:rPr>
        <w:fldChar w:fldCharType="separate"/>
      </w:r>
      <w:r>
        <w:rPr>
          <w:color w:val="auto"/>
          <w:sz w:val="24"/>
          <w:szCs w:val="24"/>
          <w:highlight w:val="none"/>
        </w:rPr>
        <w:t>18</w:t>
      </w:r>
      <w:r>
        <w:rPr>
          <w:color w:val="auto"/>
          <w:sz w:val="24"/>
          <w:szCs w:val="24"/>
          <w:highlight w:val="none"/>
        </w:rPr>
        <w:fldChar w:fldCharType="end"/>
      </w:r>
      <w:r>
        <w:rPr>
          <w:color w:val="auto"/>
          <w:sz w:val="24"/>
          <w:szCs w:val="24"/>
          <w:highlight w:val="none"/>
        </w:rPr>
        <w:fldChar w:fldCharType="end"/>
      </w:r>
    </w:p>
    <w:p>
      <w:pPr>
        <w:pStyle w:val="45"/>
        <w:rPr>
          <w:rFonts w:ascii="Calibri" w:hAnsi="Calibri" w:eastAsia="宋体" w:cs="Times New Roman"/>
          <w:bCs w:val="0"/>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"_Toc15938932" </w:instrText>
      </w:r>
      <w:r>
        <w:rPr>
          <w:color w:val="auto"/>
          <w:sz w:val="24"/>
          <w:szCs w:val="24"/>
          <w:highlight w:val="none"/>
        </w:rPr>
        <w:fldChar w:fldCharType="separate"/>
      </w:r>
      <w:r>
        <w:rPr>
          <w:rStyle w:val="77"/>
          <w:rFonts w:hint="eastAsia" w:ascii="宋体" w:hAnsi="宋体" w:eastAsia="宋体"/>
          <w:color w:val="auto"/>
          <w:sz w:val="24"/>
          <w:szCs w:val="24"/>
          <w:highlight w:val="none"/>
        </w:rPr>
        <w:t>第三部分附件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_Toc15938932 \h </w:instrText>
      </w:r>
      <w:r>
        <w:rPr>
          <w:color w:val="auto"/>
          <w:sz w:val="24"/>
          <w:szCs w:val="24"/>
          <w:highlight w:val="none"/>
        </w:rPr>
        <w:fldChar w:fldCharType="separate"/>
      </w:r>
      <w:r>
        <w:rPr>
          <w:color w:val="auto"/>
          <w:sz w:val="24"/>
          <w:szCs w:val="24"/>
          <w:highlight w:val="none"/>
        </w:rPr>
        <w:t>26</w:t>
      </w:r>
      <w:r>
        <w:rPr>
          <w:color w:val="auto"/>
          <w:sz w:val="24"/>
          <w:szCs w:val="24"/>
          <w:highlight w:val="none"/>
        </w:rPr>
        <w:fldChar w:fldCharType="end"/>
      </w:r>
      <w:r>
        <w:rPr>
          <w:color w:val="auto"/>
          <w:sz w:val="24"/>
          <w:szCs w:val="24"/>
          <w:highlight w:val="none"/>
        </w:rPr>
        <w:fldChar w:fldCharType="end"/>
      </w:r>
    </w:p>
    <w:p>
      <w:pPr>
        <w:pStyle w:val="45"/>
        <w:rPr>
          <w:rFonts w:ascii="Calibri" w:hAnsi="Calibri" w:eastAsia="宋体" w:cs="Times New Roman"/>
          <w:bCs w:val="0"/>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"_Toc15938933" </w:instrText>
      </w:r>
      <w:r>
        <w:rPr>
          <w:color w:val="auto"/>
          <w:sz w:val="24"/>
          <w:szCs w:val="24"/>
          <w:highlight w:val="none"/>
        </w:rPr>
        <w:fldChar w:fldCharType="separate"/>
      </w:r>
      <w:r>
        <w:rPr>
          <w:rStyle w:val="77"/>
          <w:rFonts w:hint="eastAsia" w:ascii="宋体" w:hAnsi="宋体" w:eastAsia="宋体"/>
          <w:color w:val="auto"/>
          <w:sz w:val="24"/>
          <w:szCs w:val="24"/>
          <w:highlight w:val="none"/>
        </w:rPr>
        <w:t>第四部分招标内容及要求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_Toc15938933 \h </w:instrText>
      </w:r>
      <w:r>
        <w:rPr>
          <w:color w:val="auto"/>
          <w:sz w:val="24"/>
          <w:szCs w:val="24"/>
          <w:highlight w:val="none"/>
        </w:rPr>
        <w:fldChar w:fldCharType="separate"/>
      </w:r>
      <w:r>
        <w:rPr>
          <w:color w:val="auto"/>
          <w:sz w:val="24"/>
          <w:szCs w:val="24"/>
          <w:highlight w:val="none"/>
        </w:rPr>
        <w:t>42</w:t>
      </w:r>
      <w:r>
        <w:rPr>
          <w:color w:val="auto"/>
          <w:sz w:val="24"/>
          <w:szCs w:val="24"/>
          <w:highlight w:val="none"/>
        </w:rPr>
        <w:fldChar w:fldCharType="end"/>
      </w:r>
      <w:r>
        <w:rPr>
          <w:color w:val="auto"/>
          <w:sz w:val="24"/>
          <w:szCs w:val="24"/>
          <w:highlight w:val="none"/>
        </w:rPr>
        <w:fldChar w:fldCharType="end"/>
      </w:r>
    </w:p>
    <w:p>
      <w:pPr>
        <w:pStyle w:val="45"/>
        <w:rPr>
          <w:rFonts w:ascii="Calibri" w:hAnsi="Calibri" w:eastAsia="宋体" w:cs="Times New Roman"/>
          <w:bCs w:val="0"/>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"_Toc15938934" </w:instrText>
      </w:r>
      <w:r>
        <w:rPr>
          <w:color w:val="auto"/>
          <w:sz w:val="24"/>
          <w:szCs w:val="24"/>
          <w:highlight w:val="none"/>
        </w:rPr>
        <w:fldChar w:fldCharType="separate"/>
      </w:r>
      <w:r>
        <w:rPr>
          <w:rStyle w:val="77"/>
          <w:rFonts w:hint="eastAsia" w:ascii="宋体" w:hAnsi="宋体" w:eastAsia="宋体"/>
          <w:color w:val="auto"/>
          <w:sz w:val="24"/>
          <w:szCs w:val="24"/>
          <w:highlight w:val="none"/>
        </w:rPr>
        <w:t>第五部分评标原则及方法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_Toc15938934 \h </w:instrText>
      </w:r>
      <w:r>
        <w:rPr>
          <w:color w:val="auto"/>
          <w:sz w:val="24"/>
          <w:szCs w:val="24"/>
          <w:highlight w:val="none"/>
        </w:rPr>
        <w:fldChar w:fldCharType="separate"/>
      </w:r>
      <w:r>
        <w:rPr>
          <w:color w:val="auto"/>
          <w:sz w:val="24"/>
          <w:szCs w:val="24"/>
          <w:highlight w:val="none"/>
        </w:rPr>
        <w:t>78</w:t>
      </w:r>
      <w:r>
        <w:rPr>
          <w:color w:val="auto"/>
          <w:sz w:val="24"/>
          <w:szCs w:val="24"/>
          <w:highlight w:val="none"/>
        </w:rPr>
        <w:fldChar w:fldCharType="end"/>
      </w:r>
      <w:r>
        <w:rPr>
          <w:color w:val="auto"/>
          <w:sz w:val="24"/>
          <w:szCs w:val="24"/>
          <w:highlight w:val="none"/>
        </w:rPr>
        <w:fldChar w:fldCharType="end"/>
      </w:r>
    </w:p>
    <w:p>
      <w:pPr>
        <w:spacing w:line="480" w:lineRule="auto"/>
        <w:rPr>
          <w:rFonts w:ascii="宋体" w:hAnsi="宋体"/>
          <w:b/>
          <w:bCs/>
          <w:color w:val="auto"/>
          <w:sz w:val="22"/>
          <w:szCs w:val="22"/>
          <w:highlight w:val="none"/>
        </w:rPr>
      </w:pPr>
      <w:r>
        <w:rPr>
          <w:rFonts w:hint="eastAsia" w:ascii="宋体" w:hAnsi="宋体"/>
          <w:b/>
          <w:bCs/>
          <w:color w:val="auto"/>
          <w:sz w:val="24"/>
          <w:szCs w:val="24"/>
          <w:highlight w:val="none"/>
        </w:rPr>
        <w:fldChar w:fldCharType="end"/>
      </w:r>
    </w:p>
    <w:p>
      <w:pPr>
        <w:spacing w:line="560" w:lineRule="exact"/>
        <w:rPr>
          <w:rFonts w:ascii="宋体" w:hAnsi="宋体"/>
          <w:b/>
          <w:bCs/>
          <w:color w:val="auto"/>
          <w:sz w:val="22"/>
          <w:szCs w:val="22"/>
          <w:highlight w:val="none"/>
        </w:rPr>
      </w:pPr>
      <w:r>
        <w:rPr>
          <w:rFonts w:hint="eastAsia" w:ascii="宋体" w:hAnsi="宋体"/>
          <w:b/>
          <w:bCs/>
          <w:color w:val="auto"/>
          <w:sz w:val="22"/>
          <w:szCs w:val="22"/>
          <w:highlight w:val="none"/>
        </w:rPr>
        <w:t>注：</w:t>
      </w:r>
      <w:r>
        <w:rPr>
          <w:rFonts w:hint="eastAsia" w:ascii="宋体" w:hAnsi="宋体"/>
          <w:b/>
          <w:bCs/>
          <w:color w:val="auto"/>
          <w:sz w:val="24"/>
          <w:highlight w:val="none"/>
          <w:u w:val="single"/>
        </w:rPr>
        <w:t>招标文件中部分加“▲”且加下划线的条款，为招标的实质性要求和条件，着重提醒各投标人注意，并认真查看招标文件中的每一个条款及要求，因误读招标文件而造成的后果，招标人概不负责。</w:t>
      </w:r>
    </w:p>
    <w:p>
      <w:pPr>
        <w:widowControl/>
        <w:jc w:val="left"/>
        <w:rPr>
          <w:rFonts w:ascii="宋体" w:hAnsi="宋体"/>
          <w:b/>
          <w:bCs/>
          <w:color w:val="auto"/>
          <w:highlight w:val="none"/>
        </w:rPr>
      </w:pPr>
      <w:r>
        <w:rPr>
          <w:rFonts w:ascii="宋体" w:hAnsi="宋体"/>
          <w:color w:val="auto"/>
          <w:highlight w:val="none"/>
        </w:rPr>
        <w:br w:type="page"/>
      </w:r>
    </w:p>
    <w:p>
      <w:pPr>
        <w:pStyle w:val="4"/>
        <w:rPr>
          <w:rFonts w:ascii="宋体" w:hAnsi="宋体" w:eastAsia="宋体" w:cs="Arial"/>
          <w:b w:val="0"/>
          <w:bCs w:val="0"/>
          <w:color w:val="auto"/>
          <w:kern w:val="0"/>
          <w:sz w:val="30"/>
          <w:szCs w:val="30"/>
          <w:highlight w:val="none"/>
        </w:rPr>
      </w:pPr>
      <w:bookmarkStart w:id="0" w:name="_Toc398293639"/>
      <w:bookmarkStart w:id="1" w:name="_Toc492496682"/>
      <w:bookmarkStart w:id="2" w:name="_Toc15938915"/>
      <w:bookmarkStart w:id="3" w:name="_Toc262105498"/>
      <w:bookmarkStart w:id="4" w:name="_Toc221356881"/>
      <w:bookmarkStart w:id="5" w:name="_Toc245722276"/>
      <w:bookmarkStart w:id="6" w:name="_Toc221374621"/>
      <w:bookmarkStart w:id="7" w:name="_Toc221356880"/>
      <w:bookmarkStart w:id="8" w:name="_Toc221356946"/>
      <w:bookmarkStart w:id="9" w:name="_Toc245191309"/>
      <w:bookmarkStart w:id="10" w:name="_Toc337660883"/>
      <w:bookmarkStart w:id="11" w:name="_Toc246261260"/>
      <w:bookmarkStart w:id="12" w:name="_Toc262049413"/>
      <w:bookmarkStart w:id="13" w:name="_Toc221374620"/>
      <w:bookmarkStart w:id="14" w:name="_Toc221356945"/>
      <w:bookmarkStart w:id="15" w:name="_Toc222114873"/>
      <w:bookmarkStart w:id="16" w:name="_Toc249758707"/>
      <w:bookmarkStart w:id="17" w:name="_Toc223715992"/>
      <w:bookmarkStart w:id="18" w:name="_Toc348800908"/>
      <w:bookmarkStart w:id="19" w:name="_Toc241404197"/>
      <w:bookmarkStart w:id="20" w:name="_Toc223715993"/>
      <w:bookmarkStart w:id="21" w:name="_Toc221423613"/>
      <w:bookmarkStart w:id="22" w:name="_Toc249758859"/>
      <w:bookmarkStart w:id="23" w:name="_Toc239145349"/>
      <w:bookmarkStart w:id="24" w:name="_Toc222114874"/>
      <w:bookmarkStart w:id="25" w:name="_Toc221423614"/>
      <w:r>
        <w:rPr>
          <w:rFonts w:hint="eastAsia" w:ascii="宋体" w:hAnsi="宋体" w:eastAsia="宋体" w:cs="Arial"/>
          <w:color w:val="auto"/>
          <w:sz w:val="30"/>
          <w:szCs w:val="30"/>
          <w:highlight w:val="none"/>
        </w:rPr>
        <w:t>温州元信工程项目管理有限公司关于</w:t>
      </w:r>
      <w:r>
        <w:rPr>
          <w:rFonts w:hint="eastAsia" w:ascii="宋体" w:hAnsi="宋体" w:eastAsia="宋体" w:cs="Arial"/>
          <w:color w:val="auto"/>
          <w:sz w:val="30"/>
          <w:szCs w:val="30"/>
          <w:highlight w:val="none"/>
          <w:lang w:eastAsia="zh-CN"/>
        </w:rPr>
        <w:t>2021年度瓯海区分局警用装备采购</w:t>
      </w:r>
      <w:r>
        <w:rPr>
          <w:rFonts w:hint="eastAsia" w:ascii="宋体" w:hAnsi="宋体" w:eastAsia="宋体" w:cs="Arial"/>
          <w:color w:val="auto"/>
          <w:sz w:val="30"/>
          <w:szCs w:val="30"/>
          <w:highlight w:val="none"/>
        </w:rPr>
        <w:t>项目的公开招标公告</w:t>
      </w:r>
      <w:bookmarkEnd w:id="0"/>
      <w:bookmarkEnd w:id="1"/>
      <w:bookmarkEnd w:id="2"/>
    </w:p>
    <w:p>
      <w:pPr>
        <w:pBdr>
          <w:top w:val="single" w:color="auto" w:sz="4" w:space="1"/>
          <w:left w:val="single" w:color="auto" w:sz="4" w:space="4"/>
          <w:bottom w:val="single" w:color="auto" w:sz="4" w:space="1"/>
          <w:right w:val="single" w:color="auto" w:sz="4" w:space="4"/>
        </w:pBdr>
        <w:ind w:firstLine="440" w:firstLineChars="200"/>
        <w:rPr>
          <w:rFonts w:ascii="宋体"/>
          <w:color w:val="auto"/>
          <w:sz w:val="22"/>
          <w:szCs w:val="22"/>
          <w:highlight w:val="none"/>
        </w:rPr>
      </w:pPr>
      <w:r>
        <w:rPr>
          <w:rFonts w:hint="eastAsia" w:ascii="宋体" w:hAnsi="宋体"/>
          <w:color w:val="auto"/>
          <w:sz w:val="22"/>
          <w:szCs w:val="22"/>
          <w:highlight w:val="none"/>
        </w:rPr>
        <w:t>项目概况</w:t>
      </w:r>
    </w:p>
    <w:p>
      <w:pPr>
        <w:pBdr>
          <w:top w:val="single" w:color="auto" w:sz="4" w:space="1"/>
          <w:left w:val="single" w:color="auto" w:sz="4" w:space="4"/>
          <w:bottom w:val="single" w:color="auto" w:sz="4" w:space="1"/>
          <w:right w:val="single" w:color="auto" w:sz="4" w:space="4"/>
        </w:pBdr>
        <w:ind w:firstLine="440" w:firstLineChars="200"/>
        <w:rPr>
          <w:rFonts w:ascii="宋体" w:hAnsi="宋体"/>
          <w:color w:val="auto"/>
          <w:sz w:val="22"/>
          <w:szCs w:val="22"/>
          <w:highlight w:val="none"/>
        </w:rPr>
      </w:pPr>
      <w:r>
        <w:rPr>
          <w:rFonts w:ascii="宋体" w:hAnsi="宋体"/>
          <w:color w:val="auto"/>
          <w:sz w:val="22"/>
          <w:szCs w:val="22"/>
          <w:highlight w:val="none"/>
          <w:u w:val="single"/>
        </w:rPr>
        <w:t xml:space="preserve"> </w:t>
      </w:r>
      <w:r>
        <w:rPr>
          <w:rFonts w:hint="eastAsia" w:ascii="宋体" w:hAnsi="宋体"/>
          <w:color w:val="auto"/>
          <w:sz w:val="22"/>
          <w:szCs w:val="22"/>
          <w:highlight w:val="none"/>
          <w:u w:val="single"/>
          <w:lang w:eastAsia="zh-CN"/>
        </w:rPr>
        <w:t>2021年度瓯海区分局警用装备采购</w:t>
      </w:r>
      <w:r>
        <w:rPr>
          <w:rFonts w:hint="eastAsia" w:ascii="宋体" w:hAnsi="宋体"/>
          <w:color w:val="auto"/>
          <w:sz w:val="22"/>
          <w:szCs w:val="22"/>
          <w:highlight w:val="none"/>
          <w:u w:val="single"/>
        </w:rPr>
        <w:t>项目的潜在投标人应在政采云平台（www.zcygov.cn）获取（下载）采购文件，并于2021年</w:t>
      </w:r>
      <w:r>
        <w:rPr>
          <w:rFonts w:hint="eastAsia" w:ascii="宋体" w:hAnsi="宋体"/>
          <w:color w:val="auto"/>
          <w:sz w:val="22"/>
          <w:szCs w:val="22"/>
          <w:highlight w:val="none"/>
          <w:u w:val="single"/>
          <w:lang w:val="en-US" w:eastAsia="zh-CN"/>
        </w:rPr>
        <w:t>9</w:t>
      </w:r>
      <w:r>
        <w:rPr>
          <w:rFonts w:hint="eastAsia" w:ascii="宋体" w:hAnsi="宋体"/>
          <w:color w:val="auto"/>
          <w:sz w:val="22"/>
          <w:szCs w:val="22"/>
          <w:highlight w:val="none"/>
          <w:u w:val="single"/>
        </w:rPr>
        <w:t>月</w:t>
      </w:r>
      <w:r>
        <w:rPr>
          <w:rFonts w:hint="eastAsia" w:ascii="宋体" w:hAnsi="宋体"/>
          <w:color w:val="auto"/>
          <w:sz w:val="22"/>
          <w:szCs w:val="22"/>
          <w:highlight w:val="none"/>
          <w:u w:val="single"/>
          <w:lang w:val="en-US" w:eastAsia="zh-CN"/>
        </w:rPr>
        <w:t>9</w:t>
      </w:r>
      <w:r>
        <w:rPr>
          <w:rFonts w:hint="eastAsia" w:ascii="宋体" w:hAnsi="宋体"/>
          <w:color w:val="auto"/>
          <w:sz w:val="22"/>
          <w:szCs w:val="22"/>
          <w:highlight w:val="none"/>
          <w:u w:val="single"/>
        </w:rPr>
        <w:t>日 09:30（北京时间）前提交（上传）响应文件。</w:t>
      </w:r>
    </w:p>
    <w:p>
      <w:pPr>
        <w:widowControl/>
        <w:spacing w:before="60" w:after="60" w:line="360" w:lineRule="exact"/>
        <w:ind w:left="60" w:right="60"/>
        <w:jc w:val="left"/>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一、项目基本情况</w:t>
      </w:r>
    </w:p>
    <w:p>
      <w:pPr>
        <w:widowControl/>
        <w:spacing w:before="60" w:after="60" w:line="36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项目编号：</w:t>
      </w:r>
      <w:r>
        <w:rPr>
          <w:rFonts w:hint="eastAsia" w:ascii="宋体" w:hAnsi="宋体" w:cs="宋体"/>
          <w:bCs/>
          <w:color w:val="auto"/>
          <w:kern w:val="0"/>
          <w:sz w:val="22"/>
          <w:szCs w:val="22"/>
          <w:highlight w:val="none"/>
          <w:lang w:eastAsia="zh-CN"/>
        </w:rPr>
        <w:t>WZYX-W2021080201</w:t>
      </w:r>
      <w:r>
        <w:rPr>
          <w:rFonts w:hint="eastAsia" w:ascii="宋体" w:hAnsi="宋体" w:cs="宋体"/>
          <w:bCs/>
          <w:color w:val="auto"/>
          <w:kern w:val="0"/>
          <w:sz w:val="22"/>
          <w:szCs w:val="22"/>
          <w:highlight w:val="none"/>
        </w:rPr>
        <w:t xml:space="preserve"> </w:t>
      </w:r>
    </w:p>
    <w:p>
      <w:pPr>
        <w:widowControl/>
        <w:spacing w:before="60" w:after="60" w:line="36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项目名称：</w:t>
      </w:r>
      <w:r>
        <w:rPr>
          <w:rFonts w:hint="eastAsia" w:ascii="宋体" w:hAnsi="宋体" w:cs="宋体"/>
          <w:bCs/>
          <w:color w:val="auto"/>
          <w:kern w:val="0"/>
          <w:sz w:val="22"/>
          <w:szCs w:val="22"/>
          <w:highlight w:val="none"/>
          <w:lang w:eastAsia="zh-CN"/>
        </w:rPr>
        <w:t>2021年度瓯海区分局警用装备采购</w:t>
      </w:r>
      <w:r>
        <w:rPr>
          <w:rFonts w:hint="eastAsia" w:ascii="宋体" w:hAnsi="宋体" w:cs="宋体"/>
          <w:bCs/>
          <w:color w:val="auto"/>
          <w:kern w:val="0"/>
          <w:sz w:val="22"/>
          <w:szCs w:val="22"/>
          <w:highlight w:val="none"/>
        </w:rPr>
        <w:t xml:space="preserve"> </w:t>
      </w:r>
    </w:p>
    <w:p>
      <w:pPr>
        <w:widowControl/>
        <w:spacing w:before="60" w:after="60" w:line="36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 xml:space="preserve">采购方式：公开招标 </w:t>
      </w:r>
    </w:p>
    <w:p>
      <w:pPr>
        <w:widowControl/>
        <w:spacing w:before="60" w:after="60" w:line="360" w:lineRule="exact"/>
        <w:ind w:right="60" w:firstLine="418" w:firstLineChars="190"/>
        <w:jc w:val="left"/>
        <w:rPr>
          <w:rFonts w:hint="eastAsia" w:ascii="宋体" w:hAnsi="宋体" w:cs="宋体"/>
          <w:bCs/>
          <w:color w:val="auto"/>
          <w:kern w:val="0"/>
          <w:sz w:val="22"/>
          <w:szCs w:val="22"/>
          <w:highlight w:val="none"/>
        </w:rPr>
      </w:pPr>
      <w:r>
        <w:rPr>
          <w:rFonts w:hint="eastAsia" w:ascii="宋体" w:hAnsi="宋体" w:cs="宋体"/>
          <w:bCs/>
          <w:color w:val="auto"/>
          <w:kern w:val="0"/>
          <w:sz w:val="22"/>
          <w:szCs w:val="22"/>
          <w:highlight w:val="none"/>
        </w:rPr>
        <w:t>预算金额（元）：1358680</w:t>
      </w:r>
    </w:p>
    <w:p>
      <w:pPr>
        <w:widowControl/>
        <w:spacing w:before="60" w:after="60" w:line="360" w:lineRule="exact"/>
        <w:ind w:right="60" w:firstLine="418" w:firstLineChars="190"/>
        <w:jc w:val="left"/>
        <w:rPr>
          <w:rFonts w:hint="eastAsia" w:ascii="宋体" w:hAnsi="宋体" w:cs="宋体"/>
          <w:bCs/>
          <w:color w:val="auto"/>
          <w:kern w:val="0"/>
          <w:sz w:val="22"/>
          <w:szCs w:val="22"/>
          <w:highlight w:val="none"/>
        </w:rPr>
      </w:pPr>
      <w:r>
        <w:rPr>
          <w:rFonts w:hint="eastAsia" w:ascii="宋体" w:hAnsi="宋体" w:cs="宋体"/>
          <w:bCs/>
          <w:color w:val="auto"/>
          <w:kern w:val="0"/>
          <w:sz w:val="22"/>
          <w:szCs w:val="22"/>
          <w:highlight w:val="none"/>
          <w:lang w:val="en-US" w:eastAsia="zh-CN"/>
        </w:rPr>
        <w:t>最高限价</w:t>
      </w:r>
      <w:r>
        <w:rPr>
          <w:rFonts w:hint="eastAsia" w:ascii="宋体" w:hAnsi="宋体" w:cs="宋体"/>
          <w:bCs/>
          <w:color w:val="auto"/>
          <w:kern w:val="0"/>
          <w:sz w:val="22"/>
          <w:szCs w:val="22"/>
          <w:highlight w:val="none"/>
        </w:rPr>
        <w:t>（元）</w:t>
      </w:r>
      <w:r>
        <w:rPr>
          <w:rFonts w:hint="eastAsia" w:ascii="宋体" w:hAnsi="宋体" w:cs="宋体"/>
          <w:bCs/>
          <w:color w:val="auto"/>
          <w:kern w:val="0"/>
          <w:sz w:val="22"/>
          <w:szCs w:val="22"/>
          <w:highlight w:val="none"/>
          <w:lang w:val="en-US" w:eastAsia="zh-CN"/>
        </w:rPr>
        <w:t>：</w:t>
      </w:r>
      <w:r>
        <w:rPr>
          <w:rFonts w:hint="eastAsia" w:ascii="宋体" w:hAnsi="宋体" w:cs="宋体"/>
          <w:bCs/>
          <w:color w:val="auto"/>
          <w:kern w:val="0"/>
          <w:sz w:val="22"/>
          <w:szCs w:val="22"/>
          <w:highlight w:val="none"/>
        </w:rPr>
        <w:t>1242210</w:t>
      </w:r>
    </w:p>
    <w:p>
      <w:pPr>
        <w:widowControl/>
        <w:spacing w:before="60" w:after="60" w:line="36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简要规格描述：</w:t>
      </w:r>
      <w:r>
        <w:rPr>
          <w:rFonts w:hint="eastAsia" w:ascii="宋体" w:hAnsi="宋体" w:cs="宋体"/>
          <w:bCs/>
          <w:color w:val="auto"/>
          <w:kern w:val="0"/>
          <w:sz w:val="22"/>
          <w:szCs w:val="22"/>
          <w:highlight w:val="none"/>
          <w:lang w:eastAsia="zh-CN"/>
        </w:rPr>
        <w:t>2021年度瓯海区分局警用装备采购</w:t>
      </w:r>
      <w:r>
        <w:rPr>
          <w:rFonts w:hint="eastAsia" w:ascii="宋体" w:hAnsi="宋体" w:cs="宋体"/>
          <w:bCs/>
          <w:color w:val="auto"/>
          <w:kern w:val="0"/>
          <w:sz w:val="22"/>
          <w:szCs w:val="22"/>
          <w:highlight w:val="none"/>
        </w:rPr>
        <w:t xml:space="preserve">采购，具体采购内容及要求详见招标文件相关部分 </w:t>
      </w:r>
    </w:p>
    <w:p>
      <w:pPr>
        <w:widowControl/>
        <w:spacing w:before="60" w:after="60" w:line="360" w:lineRule="exact"/>
        <w:ind w:right="60" w:firstLine="418" w:firstLineChars="190"/>
        <w:jc w:val="left"/>
        <w:rPr>
          <w:rFonts w:hint="eastAsia" w:ascii="宋体" w:hAnsi="宋体" w:cs="宋体"/>
          <w:b w:val="0"/>
          <w:bCs w:val="0"/>
          <w:color w:val="auto"/>
          <w:kern w:val="0"/>
          <w:sz w:val="22"/>
          <w:szCs w:val="22"/>
          <w:highlight w:val="none"/>
        </w:rPr>
      </w:pPr>
      <w:r>
        <w:rPr>
          <w:rFonts w:hint="eastAsia" w:ascii="宋体" w:hAnsi="宋体" w:cs="宋体"/>
          <w:bCs/>
          <w:color w:val="auto"/>
          <w:kern w:val="0"/>
          <w:sz w:val="22"/>
          <w:szCs w:val="22"/>
          <w:highlight w:val="none"/>
        </w:rPr>
        <w:t>合同履约期限：</w:t>
      </w:r>
      <w:r>
        <w:rPr>
          <w:rFonts w:hint="eastAsia" w:ascii="宋体" w:hAnsi="宋体" w:cs="宋体"/>
          <w:bCs/>
          <w:color w:val="auto"/>
          <w:kern w:val="0"/>
          <w:sz w:val="22"/>
          <w:szCs w:val="22"/>
          <w:highlight w:val="none"/>
          <w:lang w:val="en-US" w:eastAsia="zh-CN"/>
        </w:rPr>
        <w:t>一年</w:t>
      </w:r>
      <w:r>
        <w:rPr>
          <w:rFonts w:hint="eastAsia" w:ascii="宋体" w:hAnsi="宋体" w:cs="宋体"/>
          <w:bCs/>
          <w:color w:val="auto"/>
          <w:kern w:val="0"/>
          <w:sz w:val="22"/>
          <w:szCs w:val="22"/>
          <w:highlight w:val="none"/>
        </w:rPr>
        <w:t>。</w:t>
      </w:r>
      <w:r>
        <w:rPr>
          <w:rFonts w:hint="eastAsia" w:ascii="宋体" w:hAnsi="宋体" w:cs="Arial"/>
          <w:b w:val="0"/>
          <w:bCs w:val="0"/>
          <w:color w:val="auto"/>
          <w:sz w:val="22"/>
          <w:szCs w:val="22"/>
          <w:highlight w:val="none"/>
        </w:rPr>
        <w:t>分批次供货。在</w:t>
      </w:r>
      <w:r>
        <w:rPr>
          <w:rFonts w:hint="eastAsia" w:ascii="宋体" w:hAnsi="宋体" w:cs="Arial"/>
          <w:b w:val="0"/>
          <w:bCs w:val="0"/>
          <w:color w:val="auto"/>
          <w:sz w:val="22"/>
          <w:szCs w:val="22"/>
          <w:highlight w:val="none"/>
          <w:lang w:val="en-US" w:eastAsia="zh-CN"/>
        </w:rPr>
        <w:t>招标人</w:t>
      </w:r>
      <w:r>
        <w:rPr>
          <w:rFonts w:hint="eastAsia" w:ascii="宋体" w:hAnsi="宋体" w:cs="Arial"/>
          <w:b w:val="0"/>
          <w:bCs w:val="0"/>
          <w:color w:val="auto"/>
          <w:sz w:val="22"/>
          <w:szCs w:val="22"/>
          <w:highlight w:val="none"/>
        </w:rPr>
        <w:t>下达供货通知书后，按供货通知书要求准备相应数量及种类的服装，于</w:t>
      </w:r>
      <w:r>
        <w:rPr>
          <w:rFonts w:hint="eastAsia" w:ascii="宋体" w:hAnsi="宋体" w:cs="Arial"/>
          <w:b w:val="0"/>
          <w:bCs w:val="0"/>
          <w:color w:val="auto"/>
          <w:sz w:val="22"/>
          <w:szCs w:val="22"/>
          <w:highlight w:val="none"/>
          <w:lang w:val="en-US" w:eastAsia="zh-CN"/>
        </w:rPr>
        <w:t>7</w:t>
      </w:r>
      <w:r>
        <w:rPr>
          <w:rFonts w:hint="eastAsia" w:ascii="宋体" w:hAnsi="宋体" w:cs="Arial"/>
          <w:b w:val="0"/>
          <w:bCs w:val="0"/>
          <w:color w:val="auto"/>
          <w:sz w:val="22"/>
          <w:szCs w:val="22"/>
          <w:highlight w:val="none"/>
        </w:rPr>
        <w:t>天内完成供货。</w:t>
      </w:r>
      <w:r>
        <w:rPr>
          <w:rFonts w:hint="eastAsia" w:ascii="宋体" w:hAnsi="宋体" w:cs="宋体"/>
          <w:b w:val="0"/>
          <w:bCs w:val="0"/>
          <w:color w:val="auto"/>
          <w:kern w:val="0"/>
          <w:sz w:val="22"/>
          <w:szCs w:val="22"/>
          <w:highlight w:val="none"/>
        </w:rPr>
        <w:t xml:space="preserve"> </w:t>
      </w:r>
    </w:p>
    <w:p>
      <w:pPr>
        <w:widowControl/>
        <w:spacing w:before="60" w:after="60" w:line="360" w:lineRule="exact"/>
        <w:ind w:right="60" w:firstLine="418" w:firstLineChars="190"/>
        <w:jc w:val="left"/>
        <w:rPr>
          <w:rFonts w:hint="eastAsia" w:ascii="宋体" w:hAnsi="宋体" w:eastAsia="宋体" w:cs="宋体"/>
          <w:bCs/>
          <w:color w:val="auto"/>
          <w:kern w:val="0"/>
          <w:sz w:val="22"/>
          <w:szCs w:val="22"/>
          <w:highlight w:val="none"/>
          <w:lang w:eastAsia="zh-CN"/>
        </w:rPr>
      </w:pPr>
      <w:r>
        <w:rPr>
          <w:rFonts w:hint="eastAsia" w:ascii="宋体" w:hAnsi="宋体" w:cs="宋体"/>
          <w:b w:val="0"/>
          <w:bCs w:val="0"/>
          <w:color w:val="auto"/>
          <w:kern w:val="0"/>
          <w:sz w:val="22"/>
          <w:szCs w:val="22"/>
          <w:highlight w:val="none"/>
        </w:rPr>
        <w:t xml:space="preserve">本项目（否）接受联合体投标 </w:t>
      </w:r>
      <w:r>
        <w:rPr>
          <w:rFonts w:hint="eastAsia" w:ascii="宋体" w:hAnsi="宋体" w:cs="宋体"/>
          <w:b w:val="0"/>
          <w:bCs w:val="0"/>
          <w:color w:val="auto"/>
          <w:kern w:val="0"/>
          <w:sz w:val="22"/>
          <w:szCs w:val="22"/>
          <w:highlight w:val="none"/>
          <w:lang w:eastAsia="zh-CN"/>
        </w:rPr>
        <w:t>。</w:t>
      </w:r>
    </w:p>
    <w:p>
      <w:pPr>
        <w:widowControl/>
        <w:spacing w:before="60" w:after="60" w:line="360" w:lineRule="exact"/>
        <w:ind w:left="60" w:right="60"/>
        <w:jc w:val="left"/>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二、申请人的资格要求</w:t>
      </w:r>
    </w:p>
    <w:p>
      <w:pPr>
        <w:widowControl/>
        <w:spacing w:before="60" w:after="60" w:line="360" w:lineRule="exact"/>
        <w:ind w:left="708" w:leftChars="285" w:right="60" w:hanging="110" w:hangingChars="50"/>
        <w:jc w:val="left"/>
        <w:rPr>
          <w:rFonts w:hint="eastAsia" w:ascii="宋体" w:hAnsi="宋体" w:eastAsia="宋体" w:cs="hakuyoxingshu7000"/>
          <w:bCs/>
          <w:color w:val="auto"/>
          <w:kern w:val="0"/>
          <w:sz w:val="22"/>
          <w:szCs w:val="22"/>
          <w:highlight w:val="none"/>
          <w:lang w:eastAsia="zh-CN"/>
        </w:rPr>
      </w:pPr>
      <w:r>
        <w:rPr>
          <w:rFonts w:hint="eastAsia" w:ascii="宋体" w:hAnsi="宋体" w:cs="hakuyoxingshu7000"/>
          <w:bCs/>
          <w:color w:val="auto"/>
          <w:kern w:val="0"/>
          <w:sz w:val="22"/>
          <w:szCs w:val="22"/>
          <w:highlight w:val="none"/>
        </w:rPr>
        <w:t>1.满足《中华人民共和国政府采购法》第二十二条的规定；未被“信用中国”（www.creditchina.gov.cn)、中国政府采购网（www.ccgp.gov.cn）列入失信被执行人、重大税收违法案件当事人名单、政府采购严重违法失信行为记录名单</w:t>
      </w:r>
      <w:r>
        <w:rPr>
          <w:rFonts w:hint="eastAsia" w:ascii="宋体" w:hAnsi="宋体" w:cs="hakuyoxingshu7000"/>
          <w:bCs/>
          <w:color w:val="auto"/>
          <w:kern w:val="0"/>
          <w:sz w:val="22"/>
          <w:szCs w:val="22"/>
          <w:highlight w:val="none"/>
          <w:lang w:eastAsia="zh-CN"/>
        </w:rPr>
        <w:t>。</w:t>
      </w:r>
    </w:p>
    <w:p>
      <w:pPr>
        <w:widowControl/>
        <w:spacing w:before="60" w:after="60" w:line="360" w:lineRule="exact"/>
        <w:ind w:left="708" w:leftChars="285" w:right="60" w:hanging="110" w:hangingChars="50"/>
        <w:jc w:val="left"/>
        <w:rPr>
          <w:rFonts w:ascii="宋体" w:hAnsi="宋体" w:cs="新宋体"/>
          <w:bCs/>
          <w:color w:val="auto"/>
          <w:sz w:val="22"/>
          <w:highlight w:val="none"/>
        </w:rPr>
      </w:pPr>
      <w:r>
        <w:rPr>
          <w:rFonts w:hint="eastAsia" w:ascii="宋体" w:hAnsi="宋体" w:cs="hakuyoxingshu7000"/>
          <w:bCs/>
          <w:color w:val="auto"/>
          <w:kern w:val="0"/>
          <w:sz w:val="22"/>
          <w:szCs w:val="22"/>
          <w:highlight w:val="none"/>
        </w:rPr>
        <w:t xml:space="preserve">2.落实政府采购政策需满足的资格要求： </w:t>
      </w:r>
      <w:r>
        <w:rPr>
          <w:rFonts w:hint="eastAsia" w:ascii="宋体" w:hAnsi="宋体" w:cs="Arial"/>
          <w:color w:val="auto"/>
          <w:kern w:val="0"/>
          <w:sz w:val="22"/>
          <w:szCs w:val="22"/>
          <w:highlight w:val="none"/>
        </w:rPr>
        <w:t>本项目为专门面向中小企业采购的项目，供应商为中小企业/小微企业或监狱企业或残疾人福利企业</w:t>
      </w:r>
      <w:r>
        <w:rPr>
          <w:rFonts w:hint="eastAsia" w:ascii="宋体" w:hAnsi="宋体" w:cs="hakuyoxingshu7000"/>
          <w:bCs/>
          <w:color w:val="auto"/>
          <w:kern w:val="0"/>
          <w:sz w:val="22"/>
          <w:szCs w:val="22"/>
          <w:highlight w:val="none"/>
        </w:rPr>
        <w:t>；</w:t>
      </w:r>
    </w:p>
    <w:p>
      <w:pPr>
        <w:widowControl/>
        <w:spacing w:before="60" w:after="60" w:line="360" w:lineRule="exact"/>
        <w:ind w:left="708" w:leftChars="285" w:right="60" w:hanging="110" w:hangingChars="50"/>
        <w:jc w:val="left"/>
        <w:rPr>
          <w:rFonts w:ascii="宋体" w:hAnsi="宋体" w:cs="hakuyoxingshu7000"/>
          <w:bCs/>
          <w:color w:val="auto"/>
          <w:kern w:val="0"/>
          <w:sz w:val="22"/>
          <w:szCs w:val="22"/>
          <w:highlight w:val="none"/>
        </w:rPr>
      </w:pPr>
      <w:r>
        <w:rPr>
          <w:rFonts w:hint="eastAsia" w:ascii="宋体" w:hAnsi="宋体" w:cs="hakuyoxingshu7000"/>
          <w:bCs/>
          <w:color w:val="auto"/>
          <w:kern w:val="0"/>
          <w:sz w:val="22"/>
          <w:szCs w:val="22"/>
          <w:highlight w:val="none"/>
        </w:rPr>
        <w:t xml:space="preserve">3.本项目的特定资格要求： </w:t>
      </w:r>
      <w:bookmarkStart w:id="214" w:name="_GoBack"/>
      <w:bookmarkEnd w:id="214"/>
      <w:r>
        <w:rPr>
          <w:rFonts w:hint="eastAsia" w:ascii="宋体" w:hAnsi="宋体" w:cs="hakuyoxingshu7000"/>
          <w:bCs/>
          <w:color w:val="auto"/>
          <w:kern w:val="0"/>
          <w:sz w:val="22"/>
          <w:szCs w:val="22"/>
          <w:highlight w:val="none"/>
          <w:lang w:val="en-US" w:eastAsia="zh-CN"/>
        </w:rPr>
        <w:t>无</w:t>
      </w:r>
      <w:r>
        <w:rPr>
          <w:rFonts w:hint="eastAsia" w:ascii="宋体" w:hAnsi="宋体" w:cs="hakuyoxingshu7000"/>
          <w:bCs/>
          <w:color w:val="auto"/>
          <w:kern w:val="0"/>
          <w:sz w:val="22"/>
          <w:szCs w:val="22"/>
          <w:highlight w:val="none"/>
        </w:rPr>
        <w:t>。</w:t>
      </w:r>
    </w:p>
    <w:p>
      <w:pPr>
        <w:widowControl/>
        <w:spacing w:before="60" w:after="60" w:line="360" w:lineRule="exact"/>
        <w:ind w:left="60" w:right="60"/>
        <w:jc w:val="left"/>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三、获取招标文件</w:t>
      </w:r>
    </w:p>
    <w:p>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1.时间：公告发布之日起至至2021年09月09日 ，每天上午00:00至12:00 ，下午12:00至23:59（北京时间，线上获取法定节假日均可，线下获取文件法定节假日除外）。</w:t>
      </w:r>
    </w:p>
    <w:p>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2.地点：</w:t>
      </w:r>
      <w:r>
        <w:rPr>
          <w:rFonts w:hint="eastAsia" w:ascii="宋体" w:hAnsi="宋体" w:cs="hakuyoxingshu7000"/>
          <w:color w:val="auto"/>
          <w:kern w:val="0"/>
          <w:sz w:val="22"/>
          <w:szCs w:val="22"/>
          <w:highlight w:val="none"/>
        </w:rPr>
        <w:t>在政采云平台（www.zcygov.cn）。</w:t>
      </w:r>
    </w:p>
    <w:p>
      <w:pPr>
        <w:widowControl/>
        <w:spacing w:before="60" w:after="60" w:line="360" w:lineRule="exact"/>
        <w:ind w:right="60" w:firstLine="440"/>
        <w:jc w:val="left"/>
        <w:rPr>
          <w:rFonts w:ascii="宋体" w:hAnsi="宋体"/>
          <w:color w:val="auto"/>
          <w:sz w:val="22"/>
          <w:szCs w:val="22"/>
          <w:highlight w:val="none"/>
        </w:rPr>
      </w:pPr>
      <w:r>
        <w:rPr>
          <w:rFonts w:hint="eastAsia" w:ascii="宋体" w:hAnsi="宋体" w:cs="宋体"/>
          <w:color w:val="auto"/>
          <w:kern w:val="0"/>
          <w:sz w:val="22"/>
          <w:szCs w:val="22"/>
          <w:highlight w:val="none"/>
        </w:rPr>
        <w:t>3.方式：</w:t>
      </w:r>
      <w:r>
        <w:rPr>
          <w:rFonts w:ascii="宋体" w:hAnsi="宋体"/>
          <w:color w:val="auto"/>
          <w:sz w:val="22"/>
          <w:szCs w:val="22"/>
          <w:highlight w:val="none"/>
        </w:rPr>
        <w:t>潜在投标人登陆政采云平台</w:t>
      </w:r>
      <w:r>
        <w:rPr>
          <w:rFonts w:hint="eastAsia" w:ascii="宋体" w:hAnsi="宋体" w:cs="hakuyoxingshu7000"/>
          <w:color w:val="auto"/>
          <w:kern w:val="0"/>
          <w:sz w:val="22"/>
          <w:szCs w:val="22"/>
          <w:highlight w:val="none"/>
        </w:rPr>
        <w:t>（www.zcygov.cn）</w:t>
      </w:r>
      <w:r>
        <w:rPr>
          <w:rFonts w:ascii="宋体" w:hAnsi="宋体"/>
          <w:color w:val="auto"/>
          <w:sz w:val="22"/>
          <w:szCs w:val="22"/>
          <w:highlight w:val="none"/>
        </w:rPr>
        <w:t>，在线申请获取</w:t>
      </w:r>
      <w:r>
        <w:rPr>
          <w:rFonts w:hint="eastAsia" w:ascii="宋体" w:hAnsi="宋体"/>
          <w:color w:val="auto"/>
          <w:sz w:val="22"/>
          <w:szCs w:val="22"/>
          <w:highlight w:val="none"/>
        </w:rPr>
        <w:t>采购文件</w:t>
      </w:r>
      <w:r>
        <w:rPr>
          <w:rFonts w:ascii="宋体" w:hAnsi="宋体"/>
          <w:color w:val="auto"/>
          <w:sz w:val="22"/>
          <w:szCs w:val="22"/>
          <w:highlight w:val="none"/>
        </w:rPr>
        <w:t>（</w:t>
      </w:r>
      <w:r>
        <w:rPr>
          <w:rFonts w:hint="eastAsia" w:ascii="宋体" w:hAnsi="宋体"/>
          <w:color w:val="auto"/>
          <w:sz w:val="22"/>
          <w:szCs w:val="22"/>
          <w:highlight w:val="none"/>
        </w:rPr>
        <w:t>进入</w:t>
      </w:r>
      <w:r>
        <w:rPr>
          <w:rFonts w:hint="eastAsia" w:ascii="宋体"/>
          <w:color w:val="auto"/>
          <w:sz w:val="22"/>
          <w:szCs w:val="22"/>
          <w:highlight w:val="none"/>
        </w:rPr>
        <w:t>“</w:t>
      </w:r>
      <w:r>
        <w:rPr>
          <w:rFonts w:hint="eastAsia" w:ascii="宋体" w:hAnsi="宋体"/>
          <w:color w:val="auto"/>
          <w:sz w:val="22"/>
          <w:szCs w:val="22"/>
          <w:highlight w:val="none"/>
        </w:rPr>
        <w:t>项目采购</w:t>
      </w:r>
      <w:r>
        <w:rPr>
          <w:rFonts w:hint="eastAsia" w:ascii="宋体"/>
          <w:color w:val="auto"/>
          <w:sz w:val="22"/>
          <w:szCs w:val="22"/>
          <w:highlight w:val="none"/>
        </w:rPr>
        <w:t>”</w:t>
      </w:r>
      <w:r>
        <w:rPr>
          <w:rFonts w:hint="eastAsia" w:ascii="宋体" w:hAnsi="宋体"/>
          <w:color w:val="auto"/>
          <w:sz w:val="22"/>
          <w:szCs w:val="22"/>
          <w:highlight w:val="none"/>
        </w:rPr>
        <w:t>应用，在获取</w:t>
      </w:r>
      <w:r>
        <w:rPr>
          <w:rFonts w:hint="eastAsia" w:ascii="宋体" w:hAnsi="宋体"/>
          <w:color w:val="auto"/>
          <w:sz w:val="22"/>
          <w:szCs w:val="22"/>
          <w:highlight w:val="none"/>
          <w:lang w:val="en-US" w:eastAsia="zh-CN"/>
        </w:rPr>
        <w:t>采购</w:t>
      </w:r>
      <w:r>
        <w:rPr>
          <w:rFonts w:hint="eastAsia" w:ascii="宋体" w:hAnsi="宋体"/>
          <w:color w:val="auto"/>
          <w:sz w:val="22"/>
          <w:szCs w:val="22"/>
          <w:highlight w:val="none"/>
          <w:lang w:eastAsia="zh-CN"/>
        </w:rPr>
        <w:t>文件</w:t>
      </w:r>
      <w:r>
        <w:rPr>
          <w:rFonts w:hint="eastAsia" w:ascii="宋体" w:hAnsi="宋体"/>
          <w:color w:val="auto"/>
          <w:sz w:val="22"/>
          <w:szCs w:val="22"/>
          <w:highlight w:val="none"/>
        </w:rPr>
        <w:t>菜单中选择项目，申请获取</w:t>
      </w:r>
      <w:r>
        <w:rPr>
          <w:rFonts w:hint="eastAsia" w:ascii="宋体" w:hAnsi="宋体"/>
          <w:color w:val="auto"/>
          <w:sz w:val="22"/>
          <w:szCs w:val="22"/>
          <w:highlight w:val="none"/>
          <w:lang w:val="en-US" w:eastAsia="zh-CN"/>
        </w:rPr>
        <w:t>采购</w:t>
      </w:r>
      <w:r>
        <w:rPr>
          <w:rFonts w:hint="eastAsia" w:ascii="宋体" w:hAnsi="宋体"/>
          <w:color w:val="auto"/>
          <w:sz w:val="22"/>
          <w:szCs w:val="22"/>
          <w:highlight w:val="none"/>
          <w:lang w:eastAsia="zh-CN"/>
        </w:rPr>
        <w:t>文件</w:t>
      </w:r>
      <w:r>
        <w:rPr>
          <w:rFonts w:hint="eastAsia" w:ascii="宋体" w:hAnsi="宋体"/>
          <w:color w:val="auto"/>
          <w:sz w:val="22"/>
          <w:szCs w:val="22"/>
          <w:highlight w:val="none"/>
        </w:rPr>
        <w:t>；仅需浏览</w:t>
      </w:r>
      <w:r>
        <w:rPr>
          <w:rFonts w:hint="eastAsia" w:ascii="宋体" w:hAnsi="宋体"/>
          <w:color w:val="auto"/>
          <w:sz w:val="22"/>
          <w:szCs w:val="22"/>
          <w:highlight w:val="none"/>
          <w:lang w:val="en-US" w:eastAsia="zh-CN"/>
        </w:rPr>
        <w:t>采购</w:t>
      </w:r>
      <w:r>
        <w:rPr>
          <w:rFonts w:hint="eastAsia" w:ascii="宋体" w:hAnsi="宋体"/>
          <w:color w:val="auto"/>
          <w:sz w:val="22"/>
          <w:szCs w:val="22"/>
          <w:highlight w:val="none"/>
          <w:lang w:eastAsia="zh-CN"/>
        </w:rPr>
        <w:t>文件</w:t>
      </w:r>
      <w:r>
        <w:rPr>
          <w:rFonts w:hint="eastAsia" w:ascii="宋体" w:hAnsi="宋体"/>
          <w:color w:val="auto"/>
          <w:sz w:val="22"/>
          <w:szCs w:val="22"/>
          <w:highlight w:val="none"/>
        </w:rPr>
        <w:t>的供应商可点击</w:t>
      </w:r>
      <w:r>
        <w:rPr>
          <w:rFonts w:hint="eastAsia" w:ascii="宋体"/>
          <w:color w:val="auto"/>
          <w:sz w:val="22"/>
          <w:szCs w:val="22"/>
          <w:highlight w:val="none"/>
        </w:rPr>
        <w:t>“</w:t>
      </w:r>
      <w:r>
        <w:rPr>
          <w:rFonts w:hint="eastAsia" w:ascii="宋体" w:hAnsi="宋体"/>
          <w:color w:val="auto"/>
          <w:sz w:val="22"/>
          <w:szCs w:val="22"/>
          <w:highlight w:val="none"/>
        </w:rPr>
        <w:t>游客，浏览</w:t>
      </w:r>
      <w:r>
        <w:rPr>
          <w:rFonts w:hint="eastAsia" w:ascii="宋体" w:hAnsi="宋体"/>
          <w:color w:val="auto"/>
          <w:sz w:val="22"/>
          <w:szCs w:val="22"/>
          <w:highlight w:val="none"/>
          <w:lang w:val="en-US" w:eastAsia="zh-CN"/>
        </w:rPr>
        <w:t>采购</w:t>
      </w:r>
      <w:r>
        <w:rPr>
          <w:rFonts w:hint="eastAsia" w:ascii="宋体" w:hAnsi="宋体"/>
          <w:color w:val="auto"/>
          <w:sz w:val="22"/>
          <w:szCs w:val="22"/>
          <w:highlight w:val="none"/>
          <w:lang w:eastAsia="zh-CN"/>
        </w:rPr>
        <w:t>文件</w:t>
      </w:r>
      <w:r>
        <w:rPr>
          <w:rFonts w:hint="eastAsia" w:ascii="宋体"/>
          <w:color w:val="auto"/>
          <w:sz w:val="22"/>
          <w:szCs w:val="22"/>
          <w:highlight w:val="none"/>
        </w:rPr>
        <w:t>”</w:t>
      </w:r>
      <w:r>
        <w:rPr>
          <w:rFonts w:hint="eastAsia" w:ascii="宋体" w:hAnsi="宋体"/>
          <w:color w:val="auto"/>
          <w:sz w:val="22"/>
          <w:szCs w:val="22"/>
          <w:highlight w:val="none"/>
        </w:rPr>
        <w:t>直接下载</w:t>
      </w:r>
      <w:r>
        <w:rPr>
          <w:rFonts w:hint="eastAsia" w:ascii="宋体" w:hAnsi="宋体"/>
          <w:color w:val="auto"/>
          <w:sz w:val="22"/>
          <w:szCs w:val="22"/>
          <w:highlight w:val="none"/>
          <w:lang w:val="en-US" w:eastAsia="zh-CN"/>
        </w:rPr>
        <w:t>采购</w:t>
      </w:r>
      <w:r>
        <w:rPr>
          <w:rFonts w:hint="eastAsia" w:ascii="宋体" w:hAnsi="宋体"/>
          <w:color w:val="auto"/>
          <w:sz w:val="22"/>
          <w:szCs w:val="22"/>
          <w:highlight w:val="none"/>
          <w:lang w:eastAsia="zh-CN"/>
        </w:rPr>
        <w:t>文件</w:t>
      </w:r>
      <w:r>
        <w:rPr>
          <w:rFonts w:hint="eastAsia" w:ascii="宋体" w:hAnsi="宋体"/>
          <w:color w:val="auto"/>
          <w:sz w:val="22"/>
          <w:szCs w:val="22"/>
          <w:highlight w:val="none"/>
        </w:rPr>
        <w:t>浏览</w:t>
      </w:r>
      <w:r>
        <w:rPr>
          <w:rFonts w:ascii="宋体" w:hAnsi="宋体"/>
          <w:color w:val="auto"/>
          <w:sz w:val="22"/>
          <w:szCs w:val="22"/>
          <w:highlight w:val="none"/>
        </w:rPr>
        <w:t>）。</w:t>
      </w:r>
    </w:p>
    <w:p>
      <w:pPr>
        <w:widowControl/>
        <w:spacing w:before="60" w:after="60" w:line="360" w:lineRule="exact"/>
        <w:ind w:right="60" w:firstLine="440"/>
        <w:jc w:val="left"/>
        <w:rPr>
          <w:rFonts w:ascii="宋体"/>
          <w:color w:val="auto"/>
          <w:sz w:val="22"/>
          <w:szCs w:val="22"/>
          <w:highlight w:val="none"/>
        </w:rPr>
      </w:pPr>
      <w:r>
        <w:rPr>
          <w:rFonts w:hint="eastAsia" w:ascii="宋体" w:hAnsi="宋体" w:cs="宋体"/>
          <w:b/>
          <w:color w:val="auto"/>
          <w:kern w:val="0"/>
          <w:sz w:val="22"/>
          <w:szCs w:val="22"/>
          <w:highlight w:val="none"/>
        </w:rPr>
        <w:t>供应商只有在“政采云平台”完成获取</w:t>
      </w:r>
      <w:r>
        <w:rPr>
          <w:rFonts w:hint="eastAsia" w:ascii="宋体" w:hAnsi="宋体" w:cs="宋体"/>
          <w:b/>
          <w:color w:val="auto"/>
          <w:kern w:val="0"/>
          <w:sz w:val="22"/>
          <w:szCs w:val="22"/>
          <w:highlight w:val="none"/>
          <w:lang w:val="en-US" w:eastAsia="zh-CN"/>
        </w:rPr>
        <w:t>采购</w:t>
      </w:r>
      <w:r>
        <w:rPr>
          <w:rFonts w:hint="eastAsia" w:ascii="宋体" w:hAnsi="宋体" w:cs="宋体"/>
          <w:b/>
          <w:color w:val="auto"/>
          <w:kern w:val="0"/>
          <w:sz w:val="22"/>
          <w:szCs w:val="22"/>
          <w:highlight w:val="none"/>
          <w:lang w:eastAsia="zh-CN"/>
        </w:rPr>
        <w:t>文件</w:t>
      </w:r>
      <w:r>
        <w:rPr>
          <w:rFonts w:hint="eastAsia" w:ascii="宋体" w:hAnsi="宋体" w:cs="宋体"/>
          <w:b/>
          <w:color w:val="auto"/>
          <w:kern w:val="0"/>
          <w:sz w:val="22"/>
          <w:szCs w:val="22"/>
          <w:highlight w:val="none"/>
        </w:rPr>
        <w:t>申请并下载了</w:t>
      </w:r>
      <w:r>
        <w:rPr>
          <w:rFonts w:hint="eastAsia" w:ascii="宋体" w:hAnsi="宋体" w:cs="宋体"/>
          <w:b/>
          <w:color w:val="auto"/>
          <w:kern w:val="0"/>
          <w:sz w:val="22"/>
          <w:szCs w:val="22"/>
          <w:highlight w:val="none"/>
          <w:lang w:val="en-US" w:eastAsia="zh-CN"/>
        </w:rPr>
        <w:t>采购</w:t>
      </w:r>
      <w:r>
        <w:rPr>
          <w:rFonts w:hint="eastAsia" w:ascii="宋体" w:hAnsi="宋体" w:cs="宋体"/>
          <w:b/>
          <w:color w:val="auto"/>
          <w:kern w:val="0"/>
          <w:sz w:val="22"/>
          <w:szCs w:val="22"/>
          <w:highlight w:val="none"/>
          <w:lang w:eastAsia="zh-CN"/>
        </w:rPr>
        <w:t>文件</w:t>
      </w:r>
      <w:r>
        <w:rPr>
          <w:rFonts w:hint="eastAsia" w:ascii="宋体" w:hAnsi="宋体" w:cs="宋体"/>
          <w:b/>
          <w:color w:val="auto"/>
          <w:kern w:val="0"/>
          <w:sz w:val="22"/>
          <w:szCs w:val="22"/>
          <w:highlight w:val="none"/>
        </w:rPr>
        <w:t>后才视作依法获取</w:t>
      </w:r>
      <w:r>
        <w:rPr>
          <w:rFonts w:hint="eastAsia" w:ascii="宋体" w:hAnsi="宋体" w:cs="宋体"/>
          <w:b/>
          <w:color w:val="auto"/>
          <w:kern w:val="0"/>
          <w:sz w:val="22"/>
          <w:szCs w:val="22"/>
          <w:highlight w:val="none"/>
          <w:lang w:val="en-US" w:eastAsia="zh-CN"/>
        </w:rPr>
        <w:t>采购</w:t>
      </w:r>
      <w:r>
        <w:rPr>
          <w:rFonts w:hint="eastAsia" w:ascii="宋体" w:hAnsi="宋体" w:cs="宋体"/>
          <w:b/>
          <w:color w:val="auto"/>
          <w:kern w:val="0"/>
          <w:sz w:val="22"/>
          <w:szCs w:val="22"/>
          <w:highlight w:val="none"/>
          <w:lang w:eastAsia="zh-CN"/>
        </w:rPr>
        <w:t>文件</w:t>
      </w:r>
      <w:r>
        <w:rPr>
          <w:rFonts w:hint="eastAsia" w:ascii="宋体" w:hAnsi="宋体" w:cs="宋体"/>
          <w:b/>
          <w:color w:val="auto"/>
          <w:kern w:val="0"/>
          <w:sz w:val="22"/>
          <w:szCs w:val="22"/>
          <w:highlight w:val="none"/>
        </w:rPr>
        <w:t>（法律法规所指的供应商获取</w:t>
      </w:r>
      <w:r>
        <w:rPr>
          <w:rFonts w:hint="eastAsia" w:ascii="宋体" w:hAnsi="宋体" w:cs="宋体"/>
          <w:b/>
          <w:color w:val="auto"/>
          <w:kern w:val="0"/>
          <w:sz w:val="22"/>
          <w:szCs w:val="22"/>
          <w:highlight w:val="none"/>
          <w:lang w:val="en-US" w:eastAsia="zh-CN"/>
        </w:rPr>
        <w:t>采购</w:t>
      </w:r>
      <w:r>
        <w:rPr>
          <w:rFonts w:hint="eastAsia" w:ascii="宋体" w:hAnsi="宋体" w:cs="宋体"/>
          <w:b/>
          <w:color w:val="auto"/>
          <w:kern w:val="0"/>
          <w:sz w:val="22"/>
          <w:szCs w:val="22"/>
          <w:highlight w:val="none"/>
          <w:lang w:eastAsia="zh-CN"/>
        </w:rPr>
        <w:t>文件</w:t>
      </w:r>
      <w:r>
        <w:rPr>
          <w:rFonts w:hint="eastAsia" w:ascii="宋体" w:hAnsi="宋体" w:cs="宋体"/>
          <w:b/>
          <w:color w:val="auto"/>
          <w:kern w:val="0"/>
          <w:sz w:val="22"/>
          <w:szCs w:val="22"/>
          <w:highlight w:val="none"/>
        </w:rPr>
        <w:t>时间以供应商完成获取</w:t>
      </w:r>
      <w:r>
        <w:rPr>
          <w:rFonts w:hint="eastAsia" w:ascii="宋体" w:hAnsi="宋体" w:cs="宋体"/>
          <w:b/>
          <w:color w:val="auto"/>
          <w:kern w:val="0"/>
          <w:sz w:val="22"/>
          <w:szCs w:val="22"/>
          <w:highlight w:val="none"/>
          <w:lang w:val="en-US" w:eastAsia="zh-CN"/>
        </w:rPr>
        <w:t>采购</w:t>
      </w:r>
      <w:r>
        <w:rPr>
          <w:rFonts w:hint="eastAsia" w:ascii="宋体" w:hAnsi="宋体" w:cs="宋体"/>
          <w:b/>
          <w:color w:val="auto"/>
          <w:kern w:val="0"/>
          <w:sz w:val="22"/>
          <w:szCs w:val="22"/>
          <w:highlight w:val="none"/>
          <w:lang w:eastAsia="zh-CN"/>
        </w:rPr>
        <w:t>文件</w:t>
      </w:r>
      <w:r>
        <w:rPr>
          <w:rFonts w:hint="eastAsia" w:ascii="宋体" w:hAnsi="宋体" w:cs="宋体"/>
          <w:b/>
          <w:color w:val="auto"/>
          <w:kern w:val="0"/>
          <w:sz w:val="22"/>
          <w:szCs w:val="22"/>
          <w:highlight w:val="none"/>
        </w:rPr>
        <w:t>申请后下载</w:t>
      </w:r>
      <w:r>
        <w:rPr>
          <w:rFonts w:hint="eastAsia" w:ascii="宋体" w:hAnsi="宋体" w:cs="宋体"/>
          <w:b/>
          <w:color w:val="auto"/>
          <w:kern w:val="0"/>
          <w:sz w:val="22"/>
          <w:szCs w:val="22"/>
          <w:highlight w:val="none"/>
          <w:lang w:val="en-US" w:eastAsia="zh-CN"/>
        </w:rPr>
        <w:t>采购</w:t>
      </w:r>
      <w:r>
        <w:rPr>
          <w:rFonts w:hint="eastAsia" w:ascii="宋体" w:hAnsi="宋体" w:cs="宋体"/>
          <w:b/>
          <w:color w:val="auto"/>
          <w:kern w:val="0"/>
          <w:sz w:val="22"/>
          <w:szCs w:val="22"/>
          <w:highlight w:val="none"/>
          <w:lang w:eastAsia="zh-CN"/>
        </w:rPr>
        <w:t>文件</w:t>
      </w:r>
      <w:r>
        <w:rPr>
          <w:rFonts w:hint="eastAsia" w:ascii="宋体" w:hAnsi="宋体" w:cs="宋体"/>
          <w:b/>
          <w:color w:val="auto"/>
          <w:kern w:val="0"/>
          <w:sz w:val="22"/>
          <w:szCs w:val="22"/>
          <w:highlight w:val="none"/>
        </w:rPr>
        <w:t>的时间为准）。未依法获取</w:t>
      </w:r>
      <w:r>
        <w:rPr>
          <w:rFonts w:hint="eastAsia" w:ascii="宋体" w:hAnsi="宋体" w:cs="宋体"/>
          <w:b/>
          <w:color w:val="auto"/>
          <w:kern w:val="0"/>
          <w:sz w:val="22"/>
          <w:szCs w:val="22"/>
          <w:highlight w:val="none"/>
          <w:lang w:val="en-US" w:eastAsia="zh-CN"/>
        </w:rPr>
        <w:t>采购</w:t>
      </w:r>
      <w:r>
        <w:rPr>
          <w:rFonts w:hint="eastAsia" w:ascii="宋体" w:hAnsi="宋体" w:cs="宋体"/>
          <w:b/>
          <w:color w:val="auto"/>
          <w:kern w:val="0"/>
          <w:sz w:val="22"/>
          <w:szCs w:val="22"/>
          <w:highlight w:val="none"/>
          <w:lang w:eastAsia="zh-CN"/>
        </w:rPr>
        <w:t>文件</w:t>
      </w:r>
      <w:r>
        <w:rPr>
          <w:rFonts w:hint="eastAsia" w:ascii="宋体" w:hAnsi="宋体" w:cs="宋体"/>
          <w:b/>
          <w:color w:val="auto"/>
          <w:kern w:val="0"/>
          <w:sz w:val="22"/>
          <w:szCs w:val="22"/>
          <w:highlight w:val="none"/>
        </w:rPr>
        <w:t>的潜在供应商对</w:t>
      </w:r>
      <w:r>
        <w:rPr>
          <w:rFonts w:hint="eastAsia" w:ascii="宋体" w:hAnsi="宋体" w:cs="宋体"/>
          <w:b/>
          <w:color w:val="auto"/>
          <w:kern w:val="0"/>
          <w:sz w:val="22"/>
          <w:szCs w:val="22"/>
          <w:highlight w:val="none"/>
          <w:lang w:val="en-US" w:eastAsia="zh-CN"/>
        </w:rPr>
        <w:t>采购</w:t>
      </w:r>
      <w:r>
        <w:rPr>
          <w:rFonts w:hint="eastAsia" w:ascii="宋体" w:hAnsi="宋体" w:cs="宋体"/>
          <w:b/>
          <w:color w:val="auto"/>
          <w:kern w:val="0"/>
          <w:sz w:val="22"/>
          <w:szCs w:val="22"/>
          <w:highlight w:val="none"/>
          <w:lang w:eastAsia="zh-CN"/>
        </w:rPr>
        <w:t>文件</w:t>
      </w:r>
      <w:r>
        <w:rPr>
          <w:rFonts w:hint="eastAsia" w:ascii="宋体" w:hAnsi="宋体" w:cs="宋体"/>
          <w:b/>
          <w:color w:val="auto"/>
          <w:kern w:val="0"/>
          <w:sz w:val="22"/>
          <w:szCs w:val="22"/>
          <w:highlight w:val="none"/>
        </w:rPr>
        <w:t>提起质疑投诉，不予受理。</w:t>
      </w:r>
    </w:p>
    <w:p>
      <w:pPr>
        <w:widowControl/>
        <w:spacing w:before="60" w:after="60" w:line="360" w:lineRule="exact"/>
        <w:ind w:right="60" w:firstLine="440"/>
        <w:jc w:val="left"/>
        <w:rPr>
          <w:rFonts w:ascii="宋体" w:cs="宋体"/>
          <w:b/>
          <w:color w:val="auto"/>
          <w:kern w:val="0"/>
          <w:sz w:val="22"/>
          <w:szCs w:val="22"/>
          <w:highlight w:val="none"/>
        </w:rPr>
      </w:pPr>
      <w:r>
        <w:rPr>
          <w:rFonts w:ascii="宋体" w:hAnsi="宋体" w:cs="宋体"/>
          <w:color w:val="auto"/>
          <w:kern w:val="0"/>
          <w:sz w:val="22"/>
          <w:szCs w:val="22"/>
          <w:highlight w:val="none"/>
        </w:rPr>
        <w:t>4</w:t>
      </w:r>
      <w:r>
        <w:rPr>
          <w:rFonts w:hint="eastAsia" w:ascii="宋体" w:hAnsi="宋体" w:cs="宋体"/>
          <w:color w:val="auto"/>
          <w:kern w:val="0"/>
          <w:sz w:val="22"/>
          <w:szCs w:val="22"/>
          <w:highlight w:val="none"/>
        </w:rPr>
        <w:t>．售价（元）：0</w:t>
      </w:r>
    </w:p>
    <w:p>
      <w:pPr>
        <w:widowControl/>
        <w:spacing w:before="60" w:after="60" w:line="360" w:lineRule="exact"/>
        <w:ind w:left="60" w:right="60"/>
        <w:jc w:val="left"/>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四、提交投标文件截止时间、开标时间和地点</w:t>
      </w:r>
    </w:p>
    <w:p>
      <w:pPr>
        <w:widowControl/>
        <w:spacing w:before="60" w:after="60" w:line="360" w:lineRule="exact"/>
        <w:ind w:left="61" w:leftChars="29" w:right="60" w:firstLine="433" w:firstLineChars="196"/>
        <w:jc w:val="left"/>
        <w:rPr>
          <w:rFonts w:hint="eastAsia" w:ascii="宋体" w:hAnsi="宋体" w:cs="宋体"/>
          <w:b/>
          <w:bCs/>
          <w:color w:val="auto"/>
          <w:kern w:val="0"/>
          <w:sz w:val="22"/>
          <w:szCs w:val="22"/>
          <w:highlight w:val="none"/>
          <w:u w:val="none"/>
        </w:rPr>
      </w:pPr>
      <w:r>
        <w:rPr>
          <w:rFonts w:hint="eastAsia" w:ascii="宋体" w:hAnsi="宋体" w:cs="宋体"/>
          <w:b/>
          <w:bCs/>
          <w:color w:val="auto"/>
          <w:kern w:val="0"/>
          <w:sz w:val="22"/>
          <w:szCs w:val="22"/>
          <w:highlight w:val="none"/>
          <w:u w:val="none"/>
        </w:rPr>
        <w:t>提交投标文件截止时间：2021年</w:t>
      </w:r>
      <w:r>
        <w:rPr>
          <w:rFonts w:hint="eastAsia" w:ascii="宋体" w:hAnsi="宋体" w:cs="宋体"/>
          <w:b/>
          <w:bCs/>
          <w:color w:val="auto"/>
          <w:kern w:val="0"/>
          <w:sz w:val="22"/>
          <w:szCs w:val="22"/>
          <w:highlight w:val="none"/>
          <w:u w:val="none"/>
          <w:lang w:val="en-US" w:eastAsia="zh-CN"/>
        </w:rPr>
        <w:t>9</w:t>
      </w:r>
      <w:r>
        <w:rPr>
          <w:rFonts w:hint="eastAsia" w:ascii="宋体" w:hAnsi="宋体" w:cs="宋体"/>
          <w:b/>
          <w:bCs/>
          <w:color w:val="auto"/>
          <w:kern w:val="0"/>
          <w:sz w:val="22"/>
          <w:szCs w:val="22"/>
          <w:highlight w:val="none"/>
          <w:u w:val="none"/>
        </w:rPr>
        <w:t>月</w:t>
      </w:r>
      <w:r>
        <w:rPr>
          <w:rFonts w:hint="eastAsia" w:ascii="宋体" w:hAnsi="宋体" w:cs="宋体"/>
          <w:b/>
          <w:bCs/>
          <w:color w:val="auto"/>
          <w:kern w:val="0"/>
          <w:sz w:val="22"/>
          <w:szCs w:val="22"/>
          <w:highlight w:val="none"/>
          <w:u w:val="none"/>
          <w:lang w:val="en-US" w:eastAsia="zh-CN"/>
        </w:rPr>
        <w:t>9</w:t>
      </w:r>
      <w:r>
        <w:rPr>
          <w:rFonts w:hint="eastAsia" w:ascii="宋体" w:hAnsi="宋体" w:cs="宋体"/>
          <w:b/>
          <w:bCs/>
          <w:color w:val="auto"/>
          <w:kern w:val="0"/>
          <w:sz w:val="22"/>
          <w:szCs w:val="22"/>
          <w:highlight w:val="none"/>
          <w:u w:val="none"/>
        </w:rPr>
        <w:t>日</w:t>
      </w:r>
      <w:r>
        <w:rPr>
          <w:rFonts w:hint="eastAsia" w:ascii="宋体" w:hAnsi="宋体" w:cs="宋体"/>
          <w:b/>
          <w:bCs/>
          <w:color w:val="auto"/>
          <w:kern w:val="0"/>
          <w:sz w:val="22"/>
          <w:szCs w:val="22"/>
          <w:highlight w:val="none"/>
          <w:u w:val="none"/>
          <w:lang w:val="en-US" w:eastAsia="zh-CN"/>
        </w:rPr>
        <w:t>09</w:t>
      </w:r>
      <w:r>
        <w:rPr>
          <w:rFonts w:hint="eastAsia" w:ascii="宋体" w:hAnsi="宋体" w:cs="宋体"/>
          <w:b/>
          <w:bCs/>
          <w:color w:val="auto"/>
          <w:kern w:val="0"/>
          <w:sz w:val="22"/>
          <w:szCs w:val="22"/>
          <w:highlight w:val="none"/>
          <w:u w:val="none"/>
        </w:rPr>
        <w:t>:30（北京时间）</w:t>
      </w:r>
    </w:p>
    <w:p>
      <w:pPr>
        <w:widowControl/>
        <w:spacing w:before="60" w:after="60" w:line="360" w:lineRule="exact"/>
        <w:ind w:left="61" w:leftChars="29" w:right="60" w:firstLine="433" w:firstLineChars="196"/>
        <w:jc w:val="left"/>
        <w:rPr>
          <w:rFonts w:hint="eastAsia" w:ascii="宋体" w:hAnsi="宋体" w:cs="宋体"/>
          <w:b/>
          <w:bCs/>
          <w:color w:val="auto"/>
          <w:kern w:val="0"/>
          <w:sz w:val="22"/>
          <w:szCs w:val="22"/>
          <w:highlight w:val="none"/>
          <w:u w:val="none"/>
        </w:rPr>
      </w:pPr>
      <w:r>
        <w:rPr>
          <w:rFonts w:hint="eastAsia" w:ascii="宋体" w:hAnsi="宋体" w:cs="宋体"/>
          <w:b/>
          <w:bCs/>
          <w:color w:val="auto"/>
          <w:kern w:val="0"/>
          <w:sz w:val="22"/>
          <w:szCs w:val="22"/>
          <w:highlight w:val="none"/>
          <w:u w:val="none"/>
        </w:rPr>
        <w:t xml:space="preserve">投标地点（网址）：政府采购云平台（www.zcygov.cn） </w:t>
      </w:r>
    </w:p>
    <w:p>
      <w:pPr>
        <w:widowControl/>
        <w:spacing w:before="60" w:after="60" w:line="360" w:lineRule="exact"/>
        <w:ind w:left="61" w:leftChars="29" w:right="60" w:firstLine="433" w:firstLineChars="196"/>
        <w:jc w:val="left"/>
        <w:rPr>
          <w:rFonts w:ascii="宋体" w:hAnsi="宋体" w:cs="宋体"/>
          <w:b/>
          <w:bCs/>
          <w:color w:val="auto"/>
          <w:kern w:val="0"/>
          <w:sz w:val="22"/>
          <w:szCs w:val="22"/>
          <w:highlight w:val="none"/>
          <w:u w:val="none"/>
        </w:rPr>
      </w:pPr>
      <w:r>
        <w:rPr>
          <w:rFonts w:hint="eastAsia" w:ascii="宋体" w:hAnsi="宋体" w:cs="宋体"/>
          <w:b/>
          <w:bCs/>
          <w:color w:val="auto"/>
          <w:kern w:val="0"/>
          <w:sz w:val="22"/>
          <w:szCs w:val="22"/>
          <w:highlight w:val="none"/>
          <w:u w:val="none"/>
        </w:rPr>
        <w:t>开标时间：2021年</w:t>
      </w:r>
      <w:r>
        <w:rPr>
          <w:rFonts w:hint="eastAsia" w:ascii="宋体" w:hAnsi="宋体" w:cs="宋体"/>
          <w:b/>
          <w:bCs/>
          <w:color w:val="auto"/>
          <w:kern w:val="0"/>
          <w:sz w:val="22"/>
          <w:szCs w:val="22"/>
          <w:highlight w:val="none"/>
          <w:u w:val="none"/>
          <w:lang w:val="en-US" w:eastAsia="zh-CN"/>
        </w:rPr>
        <w:t>9</w:t>
      </w:r>
      <w:r>
        <w:rPr>
          <w:rFonts w:hint="eastAsia" w:ascii="宋体" w:hAnsi="宋体" w:cs="宋体"/>
          <w:b/>
          <w:bCs/>
          <w:color w:val="auto"/>
          <w:kern w:val="0"/>
          <w:sz w:val="22"/>
          <w:szCs w:val="22"/>
          <w:highlight w:val="none"/>
          <w:u w:val="none"/>
        </w:rPr>
        <w:t>月</w:t>
      </w:r>
      <w:r>
        <w:rPr>
          <w:rFonts w:hint="eastAsia" w:ascii="宋体" w:hAnsi="宋体" w:cs="宋体"/>
          <w:b/>
          <w:bCs/>
          <w:color w:val="auto"/>
          <w:kern w:val="0"/>
          <w:sz w:val="22"/>
          <w:szCs w:val="22"/>
          <w:highlight w:val="none"/>
          <w:u w:val="none"/>
          <w:lang w:val="en-US" w:eastAsia="zh-CN"/>
        </w:rPr>
        <w:t>9</w:t>
      </w:r>
      <w:r>
        <w:rPr>
          <w:rFonts w:hint="eastAsia" w:ascii="宋体" w:hAnsi="宋体" w:cs="宋体"/>
          <w:b/>
          <w:bCs/>
          <w:color w:val="auto"/>
          <w:kern w:val="0"/>
          <w:sz w:val="22"/>
          <w:szCs w:val="22"/>
          <w:highlight w:val="none"/>
          <w:u w:val="none"/>
        </w:rPr>
        <w:t>日</w:t>
      </w:r>
      <w:r>
        <w:rPr>
          <w:rFonts w:hint="eastAsia" w:ascii="宋体" w:hAnsi="宋体" w:cs="宋体"/>
          <w:b/>
          <w:bCs/>
          <w:color w:val="auto"/>
          <w:kern w:val="0"/>
          <w:sz w:val="22"/>
          <w:szCs w:val="22"/>
          <w:highlight w:val="none"/>
          <w:u w:val="none"/>
          <w:lang w:val="en-US" w:eastAsia="zh-CN"/>
        </w:rPr>
        <w:t>09</w:t>
      </w:r>
      <w:r>
        <w:rPr>
          <w:rFonts w:hint="eastAsia" w:ascii="宋体" w:hAnsi="宋体" w:cs="宋体"/>
          <w:b/>
          <w:bCs/>
          <w:color w:val="auto"/>
          <w:kern w:val="0"/>
          <w:sz w:val="22"/>
          <w:szCs w:val="22"/>
          <w:highlight w:val="none"/>
          <w:u w:val="none"/>
        </w:rPr>
        <w:t>:30</w:t>
      </w:r>
    </w:p>
    <w:p>
      <w:pPr>
        <w:widowControl/>
        <w:spacing w:before="60" w:after="60" w:line="360" w:lineRule="exact"/>
        <w:ind w:left="61" w:leftChars="29" w:right="60" w:firstLine="433" w:firstLineChars="196"/>
        <w:jc w:val="left"/>
        <w:rPr>
          <w:rFonts w:ascii="宋体" w:hAnsi="宋体" w:cs="宋体"/>
          <w:bCs/>
          <w:color w:val="auto"/>
          <w:kern w:val="0"/>
          <w:sz w:val="22"/>
          <w:szCs w:val="22"/>
          <w:highlight w:val="none"/>
          <w:u w:val="none"/>
        </w:rPr>
      </w:pPr>
      <w:r>
        <w:rPr>
          <w:rFonts w:hint="eastAsia" w:ascii="宋体" w:hAnsi="宋体" w:cs="宋体"/>
          <w:b/>
          <w:bCs/>
          <w:color w:val="auto"/>
          <w:kern w:val="0"/>
          <w:sz w:val="22"/>
          <w:szCs w:val="22"/>
          <w:highlight w:val="none"/>
          <w:u w:val="none"/>
        </w:rPr>
        <w:t>开标地点（网址）：政府采购云平台（</w:t>
      </w:r>
      <w:r>
        <w:rPr>
          <w:rFonts w:ascii="宋体" w:hAnsi="宋体" w:cs="宋体"/>
          <w:b/>
          <w:bCs/>
          <w:color w:val="auto"/>
          <w:kern w:val="0"/>
          <w:sz w:val="22"/>
          <w:szCs w:val="22"/>
          <w:highlight w:val="none"/>
          <w:u w:val="none"/>
        </w:rPr>
        <w:t>www.zcygov.cn</w:t>
      </w:r>
      <w:r>
        <w:rPr>
          <w:rFonts w:hint="eastAsia" w:ascii="宋体" w:hAnsi="宋体" w:cs="宋体"/>
          <w:b/>
          <w:bCs/>
          <w:color w:val="auto"/>
          <w:kern w:val="0"/>
          <w:sz w:val="22"/>
          <w:szCs w:val="22"/>
          <w:highlight w:val="none"/>
          <w:u w:val="none"/>
        </w:rPr>
        <w:t>）</w:t>
      </w:r>
      <w:r>
        <w:rPr>
          <w:rFonts w:ascii="宋体" w:hAnsi="宋体" w:cs="宋体"/>
          <w:b/>
          <w:bCs/>
          <w:color w:val="auto"/>
          <w:kern w:val="0"/>
          <w:sz w:val="22"/>
          <w:szCs w:val="22"/>
          <w:highlight w:val="none"/>
          <w:u w:val="none"/>
        </w:rPr>
        <w:t>/</w:t>
      </w:r>
      <w:r>
        <w:rPr>
          <w:rFonts w:hint="eastAsia" w:ascii="宋体" w:hAnsi="宋体" w:cs="宋体"/>
          <w:b/>
          <w:bCs/>
          <w:color w:val="auto"/>
          <w:kern w:val="0"/>
          <w:sz w:val="22"/>
          <w:szCs w:val="22"/>
          <w:highlight w:val="none"/>
          <w:u w:val="none"/>
        </w:rPr>
        <w:t>温州元信工程项目管理有限公司会议室 (温州市车站大道时代广场南幢5楼05C1室)</w:t>
      </w:r>
      <w:r>
        <w:rPr>
          <w:rFonts w:hint="eastAsia" w:ascii="宋体" w:hAnsi="宋体" w:cs="宋体"/>
          <w:bCs/>
          <w:color w:val="auto"/>
          <w:kern w:val="0"/>
          <w:sz w:val="22"/>
          <w:szCs w:val="22"/>
          <w:highlight w:val="none"/>
          <w:u w:val="none"/>
        </w:rPr>
        <w:t>。</w:t>
      </w:r>
    </w:p>
    <w:p>
      <w:pPr>
        <w:widowControl/>
        <w:spacing w:before="60" w:after="60" w:line="360" w:lineRule="exact"/>
        <w:ind w:left="60" w:right="60"/>
        <w:jc w:val="left"/>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五、公告期限</w:t>
      </w:r>
    </w:p>
    <w:p>
      <w:pPr>
        <w:widowControl/>
        <w:spacing w:before="60" w:after="60" w:line="360" w:lineRule="exact"/>
        <w:ind w:left="61" w:leftChars="29" w:right="60" w:firstLine="323" w:firstLineChars="147"/>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自本公告发布之日起5个工作日。</w:t>
      </w:r>
    </w:p>
    <w:p>
      <w:pPr>
        <w:widowControl/>
        <w:spacing w:before="60" w:after="60" w:line="360" w:lineRule="exact"/>
        <w:ind w:left="60" w:right="60"/>
        <w:jc w:val="left"/>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六、其他补充事宜</w:t>
      </w:r>
    </w:p>
    <w:p>
      <w:pPr>
        <w:widowControl/>
        <w:spacing w:line="360" w:lineRule="exact"/>
        <w:ind w:firstLine="440" w:firstLineChars="200"/>
        <w:jc w:val="left"/>
        <w:rPr>
          <w:rFonts w:ascii="宋体"/>
          <w:color w:val="auto"/>
          <w:sz w:val="22"/>
          <w:szCs w:val="22"/>
          <w:highlight w:val="none"/>
        </w:rPr>
      </w:pPr>
      <w:r>
        <w:rPr>
          <w:rFonts w:ascii="宋体" w:hAnsi="宋体" w:cs="宋体"/>
          <w:bCs/>
          <w:color w:val="auto"/>
          <w:kern w:val="0"/>
          <w:sz w:val="22"/>
          <w:szCs w:val="22"/>
          <w:highlight w:val="none"/>
        </w:rPr>
        <w:t>1</w:t>
      </w:r>
      <w:r>
        <w:rPr>
          <w:rFonts w:hint="eastAsia" w:ascii="宋体" w:hAnsi="宋体" w:cs="宋体"/>
          <w:bCs/>
          <w:color w:val="auto"/>
          <w:kern w:val="0"/>
          <w:sz w:val="22"/>
          <w:szCs w:val="22"/>
          <w:highlight w:val="none"/>
        </w:rPr>
        <w:t>．</w:t>
      </w:r>
      <w:r>
        <w:rPr>
          <w:rFonts w:hint="eastAsia" w:ascii="宋体" w:hAnsi="宋体"/>
          <w:color w:val="auto"/>
          <w:sz w:val="22"/>
          <w:szCs w:val="22"/>
          <w:highlight w:val="none"/>
        </w:rPr>
        <w:t>投标人认为采购文件使自己的权益受到损害的，可以自收到招标文件之日（发售截止日之后收到招标文件的，以发售截止日为准）或者招标文件公告期限届满之日（采购公告为公告发布后至第</w:t>
      </w:r>
      <w:r>
        <w:rPr>
          <w:rFonts w:ascii="宋体" w:hAnsi="宋体"/>
          <w:color w:val="auto"/>
          <w:sz w:val="22"/>
          <w:szCs w:val="22"/>
          <w:highlight w:val="none"/>
        </w:rPr>
        <w:t>6</w:t>
      </w:r>
      <w:r>
        <w:rPr>
          <w:rFonts w:hint="eastAsia" w:ascii="宋体" w:hAnsi="宋体"/>
          <w:color w:val="auto"/>
          <w:sz w:val="22"/>
          <w:szCs w:val="22"/>
          <w:highlight w:val="none"/>
        </w:rPr>
        <w:t>个工作日）起</w:t>
      </w:r>
      <w:r>
        <w:rPr>
          <w:rFonts w:ascii="宋体" w:hAnsi="宋体"/>
          <w:color w:val="auto"/>
          <w:sz w:val="22"/>
          <w:szCs w:val="22"/>
          <w:highlight w:val="none"/>
        </w:rPr>
        <w:t>7</w:t>
      </w:r>
      <w:r>
        <w:rPr>
          <w:rFonts w:hint="eastAsia" w:ascii="宋体" w:hAnsi="宋体"/>
          <w:color w:val="auto"/>
          <w:sz w:val="22"/>
          <w:szCs w:val="22"/>
          <w:highlight w:val="none"/>
        </w:rPr>
        <w:t>个工作日内，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可在浙江政府采购网下载专区下载。</w:t>
      </w:r>
    </w:p>
    <w:p>
      <w:pPr>
        <w:widowControl/>
        <w:spacing w:before="60" w:after="60" w:line="360" w:lineRule="exact"/>
        <w:ind w:left="61" w:leftChars="29" w:right="60" w:firstLine="323" w:firstLineChars="147"/>
        <w:jc w:val="left"/>
        <w:rPr>
          <w:rFonts w:hint="eastAsia" w:ascii="宋体" w:hAnsi="宋体" w:eastAsia="宋体" w:cs="Arial"/>
          <w:color w:val="auto"/>
          <w:kern w:val="0"/>
          <w:sz w:val="22"/>
          <w:szCs w:val="22"/>
          <w:highlight w:val="none"/>
          <w:lang w:eastAsia="zh-CN"/>
        </w:rPr>
      </w:pPr>
      <w:r>
        <w:rPr>
          <w:rFonts w:hint="eastAsia" w:ascii="宋体" w:hAnsi="宋体" w:cs="Arial"/>
          <w:color w:val="auto"/>
          <w:kern w:val="0"/>
          <w:sz w:val="22"/>
          <w:szCs w:val="22"/>
          <w:highlight w:val="none"/>
        </w:rPr>
        <w:t xml:space="preserve"> 2.其他事项</w:t>
      </w:r>
      <w:r>
        <w:rPr>
          <w:rFonts w:hint="eastAsia" w:ascii="宋体" w:hAnsi="宋体" w:cs="Arial"/>
          <w:color w:val="auto"/>
          <w:kern w:val="0"/>
          <w:sz w:val="22"/>
          <w:szCs w:val="22"/>
          <w:highlight w:val="none"/>
          <w:lang w:eastAsia="zh-CN"/>
        </w:rPr>
        <w:t>：</w:t>
      </w:r>
    </w:p>
    <w:p>
      <w:pPr>
        <w:widowControl/>
        <w:numPr>
          <w:ilvl w:val="0"/>
          <w:numId w:val="1"/>
        </w:numPr>
        <w:spacing w:before="60" w:after="60" w:line="360" w:lineRule="exact"/>
        <w:ind w:left="425" w:leftChars="0" w:right="60" w:hanging="425" w:firstLineChars="0"/>
        <w:jc w:val="left"/>
        <w:rPr>
          <w:rFonts w:ascii="宋体" w:cs="宋体"/>
          <w:b w:val="0"/>
          <w:bCs/>
          <w:color w:val="auto"/>
          <w:kern w:val="0"/>
          <w:sz w:val="22"/>
          <w:szCs w:val="22"/>
          <w:highlight w:val="none"/>
        </w:rPr>
      </w:pPr>
      <w:r>
        <w:rPr>
          <w:rFonts w:hint="eastAsia" w:ascii="宋体" w:hAnsi="宋体" w:cs="宋体"/>
          <w:b w:val="0"/>
          <w:bCs/>
          <w:color w:val="auto"/>
          <w:kern w:val="0"/>
          <w:sz w:val="22"/>
          <w:szCs w:val="22"/>
          <w:highlight w:val="none"/>
        </w:rPr>
        <w:t>电子投标说明</w:t>
      </w:r>
    </w:p>
    <w:p>
      <w:pPr>
        <w:widowControl/>
        <w:numPr>
          <w:ilvl w:val="0"/>
          <w:numId w:val="2"/>
        </w:numPr>
        <w:spacing w:before="60" w:after="60" w:line="360" w:lineRule="exact"/>
        <w:ind w:left="0" w:leftChars="0" w:right="60" w:firstLine="400" w:firstLineChars="0"/>
        <w:jc w:val="left"/>
        <w:rPr>
          <w:rFonts w:hint="eastAsia" w:ascii="宋体" w:hAnsi="宋体" w:cs="Arial"/>
          <w:color w:val="auto"/>
          <w:kern w:val="0"/>
          <w:sz w:val="22"/>
          <w:szCs w:val="22"/>
          <w:highlight w:val="none"/>
        </w:rPr>
      </w:pPr>
      <w:r>
        <w:rPr>
          <w:rFonts w:hint="eastAsia" w:ascii="宋体" w:hAnsi="宋体" w:cs="Arial"/>
          <w:color w:val="auto"/>
          <w:kern w:val="0"/>
          <w:sz w:val="22"/>
          <w:szCs w:val="22"/>
          <w:highlight w:val="none"/>
        </w:rPr>
        <w:t>本项目通过“政采云平台（www.zcygov.cn）”实行在线投标响应（电子投标），供应商应先安装“政采云电子交易客户端”，并按照本</w:t>
      </w:r>
      <w:r>
        <w:rPr>
          <w:rFonts w:hint="eastAsia" w:ascii="宋体" w:hAnsi="宋体" w:cs="Arial"/>
          <w:color w:val="auto"/>
          <w:kern w:val="0"/>
          <w:sz w:val="22"/>
          <w:szCs w:val="22"/>
          <w:highlight w:val="none"/>
          <w:lang w:eastAsia="zh-CN"/>
        </w:rPr>
        <w:t>采购文件</w:t>
      </w:r>
      <w:r>
        <w:rPr>
          <w:rFonts w:hint="eastAsia" w:ascii="宋体" w:hAnsi="宋体" w:cs="Arial"/>
          <w:color w:val="auto"/>
          <w:kern w:val="0"/>
          <w:sz w:val="22"/>
          <w:szCs w:val="22"/>
          <w:highlight w:val="none"/>
        </w:rPr>
        <w:t>和“政采云平台”的要求，通过“政采云电子交易客户端”编制并加密投标文件。供应商未按规定加密的投标文件，“政采云平台”将予以拒收。</w:t>
      </w:r>
    </w:p>
    <w:p>
      <w:pPr>
        <w:widowControl/>
        <w:numPr>
          <w:ilvl w:val="0"/>
          <w:numId w:val="2"/>
        </w:numPr>
        <w:spacing w:before="60" w:after="60" w:line="360" w:lineRule="exact"/>
        <w:ind w:left="0" w:leftChars="0" w:right="60" w:firstLine="400" w:firstLineChars="0"/>
        <w:jc w:val="left"/>
        <w:rPr>
          <w:rFonts w:hint="eastAsia" w:ascii="宋体" w:hAnsi="宋体" w:cs="Arial"/>
          <w:color w:val="auto"/>
          <w:kern w:val="0"/>
          <w:sz w:val="22"/>
          <w:szCs w:val="22"/>
          <w:highlight w:val="none"/>
        </w:rPr>
      </w:pPr>
      <w:r>
        <w:rPr>
          <w:rFonts w:hint="eastAsia" w:ascii="宋体" w:hAnsi="宋体" w:cs="Arial"/>
          <w:color w:val="auto"/>
          <w:kern w:val="0"/>
          <w:sz w:val="22"/>
          <w:szCs w:val="22"/>
          <w:highlight w:val="none"/>
        </w:rPr>
        <w:t>“政采云电子交易客户端”请自行前往“浙江政府采购网-下载专区-电子交易客户端”进行下载；电子投标具体操作流程详见本公告附件《供应商项目采购-电子招投标操作指南》；通过“政采云平台”参与在线投标时如遇平台技术问题详询400-881-7190。</w:t>
      </w:r>
    </w:p>
    <w:p>
      <w:pPr>
        <w:widowControl/>
        <w:numPr>
          <w:ilvl w:val="0"/>
          <w:numId w:val="1"/>
        </w:numPr>
        <w:spacing w:before="60" w:after="60" w:line="360" w:lineRule="exact"/>
        <w:ind w:left="5" w:leftChars="0" w:right="60" w:hanging="5" w:firstLineChars="0"/>
        <w:jc w:val="left"/>
        <w:rPr>
          <w:rFonts w:hint="eastAsia" w:ascii="宋体" w:hAnsi="宋体" w:cs="宋体"/>
          <w:b w:val="0"/>
          <w:bCs/>
          <w:color w:val="auto"/>
          <w:kern w:val="0"/>
          <w:sz w:val="22"/>
          <w:szCs w:val="22"/>
          <w:highlight w:val="none"/>
        </w:rPr>
      </w:pPr>
      <w:r>
        <w:rPr>
          <w:rFonts w:hint="eastAsia" w:ascii="宋体" w:hAnsi="宋体" w:cs="宋体"/>
          <w:b w:val="0"/>
          <w:bCs/>
          <w:color w:val="auto"/>
          <w:kern w:val="0"/>
          <w:sz w:val="22"/>
          <w:szCs w:val="22"/>
          <w:highlight w:val="none"/>
        </w:rPr>
        <w:t>本项目执行《浙江省财政厅关于坚决打赢疫情防控阻击战进一步做好政府采购资金支持企业发展工作的通知》（浙财采监[2021]3号）优化政府采购金融服务（政采贷、履约保函等政府采购金融服务），详见公告附件。</w:t>
      </w:r>
    </w:p>
    <w:p>
      <w:pPr>
        <w:widowControl/>
        <w:numPr>
          <w:ilvl w:val="0"/>
          <w:numId w:val="1"/>
        </w:numPr>
        <w:spacing w:before="60" w:after="60" w:line="360" w:lineRule="exact"/>
        <w:ind w:left="5" w:leftChars="0" w:right="60" w:hanging="5" w:firstLineChars="0"/>
        <w:jc w:val="left"/>
        <w:rPr>
          <w:rFonts w:hint="eastAsia" w:ascii="宋体" w:hAnsi="宋体" w:cs="宋体"/>
          <w:b w:val="0"/>
          <w:bCs/>
          <w:color w:val="auto"/>
          <w:kern w:val="0"/>
          <w:sz w:val="22"/>
          <w:szCs w:val="22"/>
          <w:highlight w:val="none"/>
        </w:rPr>
      </w:pPr>
      <w:r>
        <w:rPr>
          <w:rFonts w:hint="eastAsia" w:ascii="宋体" w:hAnsi="宋体" w:cs="宋体"/>
          <w:b w:val="0"/>
          <w:bCs/>
          <w:color w:val="auto"/>
          <w:kern w:val="0"/>
          <w:sz w:val="22"/>
          <w:szCs w:val="22"/>
          <w:highlight w:val="none"/>
        </w:rPr>
        <w:t>《关于温州市政府采购支持中小企业信用融资的通知》各位供应商：为了进一步扶持中小企业优化温州营商环境，根据《温州市财政局关于温州市政府采购支持中小企业信用融资的通知》要求，温州政府采购项目现已开通支持中小企业信用融资合作银行活动，有意向供应商根据文件要求提交《温州市政府采购信用融资意向银行选择表》。详细操作及流程请点击：https://ggzy.wzzbtb.com/wzcms/ggtz/50415.htm。</w:t>
      </w:r>
    </w:p>
    <w:p>
      <w:pPr>
        <w:widowControl/>
        <w:spacing w:before="60" w:after="60" w:line="360" w:lineRule="exact"/>
        <w:ind w:left="60" w:right="60"/>
        <w:jc w:val="left"/>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七、</w:t>
      </w:r>
      <w:r>
        <w:rPr>
          <w:rFonts w:ascii="宋体" w:hAnsi="宋体" w:cs="宋体"/>
          <w:b/>
          <w:bCs/>
          <w:color w:val="auto"/>
          <w:kern w:val="0"/>
          <w:sz w:val="22"/>
          <w:szCs w:val="22"/>
          <w:highlight w:val="none"/>
        </w:rPr>
        <w:t>对本次招标提出询问、质疑、投诉，请按以下方式联系</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1. 采购人：温州市公安局瓯海区分局</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地址：温州市瓯海区瓯海</w:t>
      </w:r>
      <w:r>
        <w:rPr>
          <w:rFonts w:hint="eastAsia" w:ascii="宋体" w:hAnsi="宋体" w:cs="宋体"/>
          <w:color w:val="auto"/>
          <w:kern w:val="0"/>
          <w:sz w:val="22"/>
          <w:szCs w:val="22"/>
          <w:highlight w:val="none"/>
          <w:lang w:eastAsia="zh-CN"/>
        </w:rPr>
        <w:t>大道</w:t>
      </w:r>
      <w:r>
        <w:rPr>
          <w:rFonts w:hint="eastAsia" w:ascii="宋体" w:hAnsi="宋体" w:eastAsia="宋体" w:cs="hakuyoxingshu7000"/>
          <w:color w:val="auto"/>
          <w:kern w:val="0"/>
          <w:sz w:val="22"/>
          <w:szCs w:val="22"/>
          <w:highlight w:val="none"/>
          <w:lang w:eastAsia="zh-CN"/>
        </w:rPr>
        <w:t>1166号</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联系人：</w:t>
      </w:r>
      <w:r>
        <w:rPr>
          <w:rFonts w:hint="eastAsia" w:ascii="宋体" w:hAnsi="宋体" w:cs="hakuyoxingshu7000"/>
          <w:color w:val="auto"/>
          <w:kern w:val="0"/>
          <w:sz w:val="22"/>
          <w:szCs w:val="22"/>
          <w:highlight w:val="none"/>
          <w:lang w:val="en-US" w:eastAsia="zh-CN"/>
        </w:rPr>
        <w:t>祁先生</w:t>
      </w:r>
      <w:r>
        <w:rPr>
          <w:rFonts w:hint="eastAsia" w:ascii="宋体" w:hAnsi="宋体" w:eastAsia="宋体" w:cs="hakuyoxingshu7000"/>
          <w:color w:val="auto"/>
          <w:kern w:val="0"/>
          <w:sz w:val="22"/>
          <w:szCs w:val="22"/>
          <w:highlight w:val="none"/>
          <w:lang w:eastAsia="zh-CN"/>
        </w:rPr>
        <w:t xml:space="preserve"> </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电话 / 传真：0577-88527108</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cs="hakuyoxingshu7000"/>
          <w:color w:val="auto"/>
          <w:kern w:val="0"/>
          <w:sz w:val="22"/>
          <w:szCs w:val="22"/>
          <w:highlight w:val="none"/>
          <w:lang w:val="en-US" w:eastAsia="zh-CN"/>
        </w:rPr>
      </w:pPr>
      <w:r>
        <w:rPr>
          <w:rFonts w:hint="eastAsia" w:ascii="宋体" w:hAnsi="宋体" w:eastAsia="宋体" w:cs="hakuyoxingshu7000"/>
          <w:color w:val="auto"/>
          <w:kern w:val="0"/>
          <w:sz w:val="22"/>
          <w:szCs w:val="22"/>
          <w:highlight w:val="none"/>
          <w:lang w:eastAsia="zh-CN"/>
        </w:rPr>
        <w:t>质疑联系人：</w:t>
      </w:r>
      <w:r>
        <w:rPr>
          <w:rFonts w:hint="eastAsia" w:ascii="宋体" w:hAnsi="宋体" w:cs="hakuyoxingshu7000"/>
          <w:color w:val="auto"/>
          <w:kern w:val="0"/>
          <w:sz w:val="22"/>
          <w:szCs w:val="22"/>
          <w:highlight w:val="none"/>
          <w:lang w:val="en-US" w:eastAsia="zh-CN"/>
        </w:rPr>
        <w:t>赵先生</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质疑联系方式：0577-88588050</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2.采购代理机构：温州元信工程项目管理有限公司</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地址：温州市车站大道时代广场南幢5楼05C1室</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联系人：吴先生</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联系电话：0577-88557963、15158572233</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传真：0577-88557963</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质疑联系人：胡先生 </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质疑联系方式：15858758581</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3. 同级政府采购监管部门：温州市瓯海区财政局</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地址：温州市瓯海区洲洋路6号瓯海区行政管理中心1号楼</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联系人：徐先生</w:t>
      </w:r>
    </w:p>
    <w:p>
      <w:pPr>
        <w:keepNext w:val="0"/>
        <w:keepLines w:val="0"/>
        <w:pageBreakBefore w:val="0"/>
        <w:widowControl/>
        <w:kinsoku/>
        <w:wordWrap/>
        <w:overflowPunct/>
        <w:topLinePunct w:val="0"/>
        <w:bidi w:val="0"/>
        <w:adjustRightInd/>
        <w:snapToGrid/>
        <w:spacing w:line="360" w:lineRule="exact"/>
        <w:ind w:left="1539" w:leftChars="209" w:hanging="1100" w:hangingChars="500"/>
        <w:jc w:val="left"/>
        <w:rPr>
          <w:rFonts w:hint="eastAsia" w:ascii="宋体" w:hAnsi="宋体" w:eastAsia="宋体" w:cs="hakuyoxingshu7000"/>
          <w:color w:val="auto"/>
          <w:kern w:val="0"/>
          <w:sz w:val="22"/>
          <w:szCs w:val="22"/>
          <w:highlight w:val="none"/>
          <w:lang w:eastAsia="zh-CN"/>
        </w:rPr>
      </w:pPr>
      <w:r>
        <w:rPr>
          <w:rFonts w:hint="eastAsia" w:ascii="宋体" w:hAnsi="宋体" w:eastAsia="宋体" w:cs="hakuyoxingshu7000"/>
          <w:color w:val="auto"/>
          <w:kern w:val="0"/>
          <w:sz w:val="22"/>
          <w:szCs w:val="22"/>
          <w:highlight w:val="none"/>
          <w:lang w:eastAsia="zh-CN"/>
        </w:rPr>
        <w:t>联系电话：0577-88534479</w:t>
      </w:r>
    </w:p>
    <w:p>
      <w:pPr>
        <w:spacing w:line="400" w:lineRule="exact"/>
        <w:ind w:right="110"/>
        <w:jc w:val="center"/>
        <w:rPr>
          <w:rFonts w:ascii="宋体" w:hAnsi="宋体" w:cs="Arial"/>
          <w:b/>
          <w:bCs/>
          <w:color w:val="auto"/>
          <w:sz w:val="36"/>
          <w:szCs w:val="36"/>
          <w:highlight w:val="none"/>
        </w:rPr>
      </w:pPr>
    </w:p>
    <w:p>
      <w:pPr>
        <w:widowControl/>
        <w:jc w:val="left"/>
        <w:rPr>
          <w:rFonts w:ascii="宋体" w:hAnsi="宋体" w:cs="Arial"/>
          <w:color w:val="auto"/>
          <w:kern w:val="0"/>
          <w:sz w:val="22"/>
          <w:szCs w:val="22"/>
          <w:highlight w:val="none"/>
        </w:rPr>
      </w:pPr>
      <w:r>
        <w:rPr>
          <w:rFonts w:hint="eastAsia" w:ascii="宋体" w:hAnsi="宋体" w:cs="Arial"/>
          <w:color w:val="auto"/>
          <w:kern w:val="0"/>
          <w:sz w:val="22"/>
          <w:szCs w:val="22"/>
          <w:highlight w:val="none"/>
        </w:rPr>
        <w:t>若对项目采购电子交易系统操作有疑问，可登录政采云（https://www.zcygov.cn/），点击右侧咨询小采，获取采小蜜智能服务管家帮助，或拨打政采云服务热线400-881-7190获取热线服务帮助。</w:t>
      </w:r>
      <w:r>
        <w:rPr>
          <w:rFonts w:ascii="宋体" w:hAnsi="宋体" w:cs="Calibri"/>
          <w:color w:val="auto"/>
          <w:kern w:val="0"/>
          <w:sz w:val="22"/>
          <w:szCs w:val="22"/>
          <w:highlight w:val="none"/>
        </w:rPr>
        <w:t> </w:t>
      </w:r>
      <w:r>
        <w:rPr>
          <w:rFonts w:hint="eastAsia" w:ascii="宋体" w:hAnsi="宋体" w:cs="Arial"/>
          <w:color w:val="auto"/>
          <w:kern w:val="0"/>
          <w:sz w:val="22"/>
          <w:szCs w:val="22"/>
          <w:highlight w:val="none"/>
        </w:rPr>
        <w:t xml:space="preserve"> </w:t>
      </w:r>
      <w:r>
        <w:rPr>
          <w:rFonts w:ascii="宋体" w:hAnsi="宋体" w:cs="Calibri"/>
          <w:color w:val="auto"/>
          <w:kern w:val="0"/>
          <w:sz w:val="22"/>
          <w:szCs w:val="22"/>
          <w:highlight w:val="none"/>
        </w:rPr>
        <w:t> </w:t>
      </w:r>
      <w:r>
        <w:rPr>
          <w:rFonts w:hint="eastAsia" w:ascii="宋体" w:hAnsi="宋体" w:cs="Arial"/>
          <w:color w:val="auto"/>
          <w:kern w:val="0"/>
          <w:sz w:val="22"/>
          <w:szCs w:val="22"/>
          <w:highlight w:val="none"/>
        </w:rPr>
        <w:t xml:space="preserve"> </w:t>
      </w:r>
      <w:r>
        <w:rPr>
          <w:rFonts w:ascii="宋体" w:hAnsi="宋体" w:cs="Calibri"/>
          <w:color w:val="auto"/>
          <w:kern w:val="0"/>
          <w:sz w:val="22"/>
          <w:szCs w:val="22"/>
          <w:highlight w:val="none"/>
        </w:rPr>
        <w:t> </w:t>
      </w:r>
      <w:r>
        <w:rPr>
          <w:rFonts w:hint="eastAsia" w:ascii="宋体" w:hAnsi="宋体" w:cs="Arial"/>
          <w:color w:val="auto"/>
          <w:kern w:val="0"/>
          <w:sz w:val="22"/>
          <w:szCs w:val="22"/>
          <w:highlight w:val="none"/>
        </w:rPr>
        <w:t xml:space="preserve"> </w:t>
      </w:r>
      <w:r>
        <w:rPr>
          <w:rFonts w:ascii="宋体" w:hAnsi="宋体" w:cs="Calibri"/>
          <w:color w:val="auto"/>
          <w:kern w:val="0"/>
          <w:sz w:val="22"/>
          <w:szCs w:val="22"/>
          <w:highlight w:val="none"/>
        </w:rPr>
        <w:t> </w:t>
      </w:r>
    </w:p>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CA问题联系电话（人工）：汇信CA 400-888-4636；天谷CA 400-087-8198。</w:t>
      </w:r>
    </w:p>
    <w:p>
      <w:pPr>
        <w:pStyle w:val="4"/>
        <w:spacing w:before="120" w:after="120"/>
        <w:rPr>
          <w:rFonts w:ascii="宋体" w:hAnsi="宋体" w:eastAsia="宋体" w:cs="hakuyoxingshu7000"/>
          <w:color w:val="auto"/>
          <w:sz w:val="36"/>
          <w:szCs w:val="36"/>
          <w:highlight w:val="none"/>
        </w:rPr>
      </w:pPr>
      <w:r>
        <w:rPr>
          <w:rFonts w:ascii="宋体" w:hAnsi="宋体" w:eastAsia="宋体" w:cs="Arial"/>
          <w:b w:val="0"/>
          <w:bCs w:val="0"/>
          <w:color w:val="auto"/>
          <w:sz w:val="36"/>
          <w:szCs w:val="36"/>
          <w:highlight w:val="none"/>
        </w:rPr>
        <w:br w:type="page"/>
      </w:r>
      <w:bookmarkStart w:id="26" w:name="_Toc15938917"/>
      <w:r>
        <w:rPr>
          <w:rFonts w:hint="eastAsia" w:ascii="宋体" w:hAnsi="宋体" w:eastAsia="宋体" w:cs="hakuyoxingshu7000"/>
          <w:color w:val="auto"/>
          <w:sz w:val="36"/>
          <w:szCs w:val="36"/>
          <w:highlight w:val="none"/>
        </w:rPr>
        <w:t>政府采购政策功能相关说明</w:t>
      </w:r>
      <w:bookmarkEnd w:id="26"/>
    </w:p>
    <w:p>
      <w:pPr>
        <w:jc w:val="left"/>
        <w:rPr>
          <w:rFonts w:ascii="宋体" w:hAnsi="宋体" w:cs="新宋体"/>
          <w:b/>
          <w:color w:val="auto"/>
          <w:sz w:val="22"/>
          <w:highlight w:val="none"/>
        </w:rPr>
      </w:pPr>
    </w:p>
    <w:p>
      <w:pPr>
        <w:spacing w:line="400" w:lineRule="exact"/>
        <w:jc w:val="left"/>
        <w:rPr>
          <w:rFonts w:ascii="宋体" w:cs="新宋体"/>
          <w:b/>
          <w:bCs/>
          <w:color w:val="auto"/>
          <w:sz w:val="22"/>
          <w:highlight w:val="none"/>
        </w:rPr>
      </w:pPr>
      <w:r>
        <w:rPr>
          <w:rFonts w:hint="eastAsia" w:ascii="宋体" w:hAnsi="宋体" w:cs="新宋体"/>
          <w:bCs/>
          <w:color w:val="auto"/>
          <w:sz w:val="22"/>
          <w:highlight w:val="none"/>
        </w:rPr>
        <w:t>一、</w:t>
      </w:r>
      <w:r>
        <w:rPr>
          <w:rFonts w:hint="eastAsia" w:ascii="宋体" w:hAnsi="宋体" w:cs="新宋体"/>
          <w:b/>
          <w:bCs/>
          <w:color w:val="auto"/>
          <w:sz w:val="22"/>
          <w:highlight w:val="none"/>
        </w:rPr>
        <w:t>节能产品</w:t>
      </w:r>
      <w:r>
        <w:rPr>
          <w:rFonts w:ascii="宋体" w:hAnsi="宋体" w:cs="新宋体"/>
          <w:b/>
          <w:bCs/>
          <w:color w:val="auto"/>
          <w:sz w:val="22"/>
          <w:highlight w:val="none"/>
        </w:rPr>
        <w:t xml:space="preserve"> </w:t>
      </w:r>
      <w:r>
        <w:rPr>
          <w:rFonts w:hint="eastAsia" w:ascii="宋体" w:hAnsi="宋体" w:cs="新宋体"/>
          <w:b/>
          <w:bCs/>
          <w:color w:val="auto"/>
          <w:sz w:val="22"/>
          <w:highlight w:val="none"/>
        </w:rPr>
        <w:t>、环境标志产品扶持政策说明</w:t>
      </w:r>
    </w:p>
    <w:p>
      <w:pPr>
        <w:spacing w:line="400" w:lineRule="exact"/>
        <w:jc w:val="left"/>
        <w:rPr>
          <w:rFonts w:ascii="宋体" w:cs="新宋体"/>
          <w:b/>
          <w:bCs/>
          <w:color w:val="auto"/>
          <w:sz w:val="22"/>
          <w:highlight w:val="none"/>
        </w:rPr>
      </w:pPr>
      <w:r>
        <w:rPr>
          <w:rFonts w:hint="eastAsia" w:ascii="宋体" w:hAnsi="宋体" w:cs="新宋体"/>
          <w:b/>
          <w:bCs/>
          <w:color w:val="auto"/>
          <w:sz w:val="22"/>
          <w:highlight w:val="none"/>
        </w:rPr>
        <w:t>供应商所投产品属于节能产品或环境标志产品，给予适当加分。</w:t>
      </w:r>
    </w:p>
    <w:p>
      <w:pPr>
        <w:numPr>
          <w:ilvl w:val="0"/>
          <w:numId w:val="3"/>
        </w:numPr>
        <w:spacing w:line="400" w:lineRule="exact"/>
        <w:jc w:val="left"/>
        <w:rPr>
          <w:rFonts w:ascii="宋体" w:cs="新宋体"/>
          <w:b/>
          <w:bCs/>
          <w:color w:val="auto"/>
          <w:sz w:val="22"/>
          <w:highlight w:val="none"/>
        </w:rPr>
      </w:pPr>
      <w:r>
        <w:rPr>
          <w:rFonts w:hint="eastAsia" w:ascii="宋体" w:hAnsi="宋体" w:cs="新宋体"/>
          <w:b/>
          <w:bCs/>
          <w:color w:val="auto"/>
          <w:sz w:val="22"/>
          <w:highlight w:val="none"/>
        </w:rPr>
        <w:t>节能产品应提供以下证明材料（磋商响应文件中，不提供的不享受加分）：</w:t>
      </w:r>
    </w:p>
    <w:p>
      <w:pPr>
        <w:spacing w:line="400" w:lineRule="exact"/>
        <w:ind w:right="110"/>
        <w:jc w:val="left"/>
        <w:rPr>
          <w:rFonts w:ascii="宋体" w:cs="Arial"/>
          <w:color w:val="auto"/>
          <w:sz w:val="22"/>
          <w:szCs w:val="22"/>
          <w:highlight w:val="none"/>
        </w:rPr>
      </w:pPr>
      <w:r>
        <w:rPr>
          <w:rFonts w:hint="eastAsia" w:ascii="宋体" w:hAnsi="宋体" w:cs="Arial"/>
          <w:color w:val="auto"/>
          <w:sz w:val="22"/>
          <w:szCs w:val="22"/>
          <w:highlight w:val="none"/>
        </w:rPr>
        <w:t>（</w:t>
      </w:r>
      <w:r>
        <w:rPr>
          <w:rFonts w:ascii="宋体" w:hAnsi="宋体" w:cs="Arial"/>
          <w:color w:val="auto"/>
          <w:sz w:val="22"/>
          <w:szCs w:val="22"/>
          <w:highlight w:val="none"/>
        </w:rPr>
        <w:t>1</w:t>
      </w:r>
      <w:r>
        <w:rPr>
          <w:rFonts w:hint="eastAsia" w:ascii="宋体" w:hAnsi="宋体" w:cs="Arial"/>
          <w:color w:val="auto"/>
          <w:sz w:val="22"/>
          <w:szCs w:val="22"/>
          <w:highlight w:val="none"/>
        </w:rPr>
        <w:t>）产品属于节能产品政府采购品目清单内的，提供品目清单核对，以《关于印发节能产品政府采购品目清单的通知》财库〔</w:t>
      </w:r>
      <w:r>
        <w:rPr>
          <w:rFonts w:ascii="宋体" w:hAnsi="宋体" w:cs="Arial"/>
          <w:color w:val="auto"/>
          <w:sz w:val="22"/>
          <w:szCs w:val="22"/>
          <w:highlight w:val="none"/>
        </w:rPr>
        <w:t>2019</w:t>
      </w:r>
      <w:r>
        <w:rPr>
          <w:rFonts w:hint="eastAsia" w:ascii="宋体" w:hAnsi="宋体" w:cs="Arial"/>
          <w:color w:val="auto"/>
          <w:sz w:val="22"/>
          <w:szCs w:val="22"/>
          <w:highlight w:val="none"/>
        </w:rPr>
        <w:t>〕</w:t>
      </w:r>
      <w:r>
        <w:rPr>
          <w:rFonts w:ascii="宋体" w:hAnsi="宋体" w:cs="Arial"/>
          <w:color w:val="auto"/>
          <w:sz w:val="22"/>
          <w:szCs w:val="22"/>
          <w:highlight w:val="none"/>
        </w:rPr>
        <w:t>19</w:t>
      </w:r>
      <w:r>
        <w:rPr>
          <w:rFonts w:hint="eastAsia" w:ascii="宋体" w:hAnsi="宋体" w:cs="Arial"/>
          <w:color w:val="auto"/>
          <w:sz w:val="22"/>
          <w:szCs w:val="22"/>
          <w:highlight w:val="none"/>
        </w:rPr>
        <w:t>号为准；</w:t>
      </w:r>
    </w:p>
    <w:p>
      <w:pPr>
        <w:spacing w:line="400" w:lineRule="exact"/>
        <w:jc w:val="left"/>
        <w:rPr>
          <w:rFonts w:ascii="宋体" w:cs="Arial"/>
          <w:color w:val="auto"/>
          <w:sz w:val="22"/>
          <w:szCs w:val="22"/>
          <w:highlight w:val="none"/>
        </w:rPr>
      </w:pPr>
      <w:r>
        <w:rPr>
          <w:rFonts w:hint="eastAsia" w:ascii="宋体" w:hAnsi="宋体" w:cs="hakuyoxingshu7000"/>
          <w:color w:val="auto"/>
          <w:sz w:val="22"/>
          <w:szCs w:val="22"/>
          <w:highlight w:val="none"/>
        </w:rPr>
        <w:t>（</w:t>
      </w:r>
      <w:r>
        <w:rPr>
          <w:rFonts w:ascii="宋体" w:hAnsi="宋体" w:cs="hakuyoxingshu7000"/>
          <w:color w:val="auto"/>
          <w:sz w:val="22"/>
          <w:szCs w:val="22"/>
          <w:highlight w:val="none"/>
        </w:rPr>
        <w:t>2</w:t>
      </w:r>
      <w:r>
        <w:rPr>
          <w:rFonts w:hint="eastAsia" w:ascii="宋体" w:hAnsi="宋体" w:cs="hakuyoxingshu7000"/>
          <w:color w:val="auto"/>
          <w:sz w:val="22"/>
          <w:szCs w:val="22"/>
          <w:highlight w:val="none"/>
        </w:rPr>
        <w:t>）</w:t>
      </w:r>
      <w:r>
        <w:rPr>
          <w:rFonts w:hint="eastAsia" w:ascii="宋体" w:hAnsi="宋体" w:cs="Arial"/>
          <w:color w:val="auto"/>
          <w:sz w:val="22"/>
          <w:szCs w:val="22"/>
          <w:highlight w:val="none"/>
        </w:rPr>
        <w:t>《参与实施政府采购节能产品认证机构名录》内认证机构出具的有效期之内的节能产品认证证书（复印件加盖公章）</w:t>
      </w:r>
    </w:p>
    <w:p>
      <w:pPr>
        <w:numPr>
          <w:ilvl w:val="0"/>
          <w:numId w:val="3"/>
        </w:numPr>
        <w:spacing w:line="400" w:lineRule="exact"/>
        <w:jc w:val="left"/>
        <w:rPr>
          <w:rFonts w:ascii="宋体" w:cs="新宋体"/>
          <w:b/>
          <w:bCs/>
          <w:color w:val="auto"/>
          <w:sz w:val="22"/>
          <w:highlight w:val="none"/>
        </w:rPr>
      </w:pPr>
      <w:r>
        <w:rPr>
          <w:rFonts w:hint="eastAsia" w:ascii="宋体" w:hAnsi="宋体" w:cs="新宋体"/>
          <w:b/>
          <w:bCs/>
          <w:color w:val="auto"/>
          <w:sz w:val="22"/>
          <w:highlight w:val="none"/>
        </w:rPr>
        <w:t>环境标志产品应提供以下证明材料（磋商响应文件中，不提供的不享受加分）：</w:t>
      </w:r>
    </w:p>
    <w:p>
      <w:pPr>
        <w:spacing w:line="400" w:lineRule="exact"/>
        <w:jc w:val="left"/>
        <w:rPr>
          <w:rFonts w:ascii="宋体" w:cs="Arial"/>
          <w:color w:val="auto"/>
          <w:sz w:val="22"/>
          <w:szCs w:val="22"/>
          <w:highlight w:val="none"/>
        </w:rPr>
      </w:pPr>
      <w:r>
        <w:rPr>
          <w:rFonts w:hint="eastAsia" w:ascii="宋体" w:hAnsi="宋体" w:cs="Arial"/>
          <w:color w:val="auto"/>
          <w:sz w:val="22"/>
          <w:szCs w:val="22"/>
          <w:highlight w:val="none"/>
        </w:rPr>
        <w:t>（</w:t>
      </w:r>
      <w:r>
        <w:rPr>
          <w:rFonts w:ascii="宋体" w:hAnsi="宋体" w:cs="Arial"/>
          <w:color w:val="auto"/>
          <w:sz w:val="22"/>
          <w:szCs w:val="22"/>
          <w:highlight w:val="none"/>
        </w:rPr>
        <w:t>1</w:t>
      </w:r>
      <w:r>
        <w:rPr>
          <w:rFonts w:hint="eastAsia" w:ascii="宋体" w:hAnsi="宋体" w:cs="Arial"/>
          <w:color w:val="auto"/>
          <w:sz w:val="22"/>
          <w:szCs w:val="22"/>
          <w:highlight w:val="none"/>
        </w:rPr>
        <w:t>）产品属于环境标志产品政府采购品目清单内的，提供品目清单核对，以《关于印发环境标志产品政府采购品目清单的通知》财库〔</w:t>
      </w:r>
      <w:r>
        <w:rPr>
          <w:rFonts w:ascii="宋体" w:hAnsi="宋体" w:cs="Arial"/>
          <w:color w:val="auto"/>
          <w:sz w:val="22"/>
          <w:szCs w:val="22"/>
          <w:highlight w:val="none"/>
        </w:rPr>
        <w:t>2019</w:t>
      </w:r>
      <w:r>
        <w:rPr>
          <w:rFonts w:hint="eastAsia" w:ascii="宋体" w:hAnsi="宋体" w:cs="Arial"/>
          <w:color w:val="auto"/>
          <w:sz w:val="22"/>
          <w:szCs w:val="22"/>
          <w:highlight w:val="none"/>
        </w:rPr>
        <w:t>〕</w:t>
      </w:r>
      <w:r>
        <w:rPr>
          <w:rFonts w:ascii="宋体" w:hAnsi="宋体" w:cs="Arial"/>
          <w:color w:val="auto"/>
          <w:sz w:val="22"/>
          <w:szCs w:val="22"/>
          <w:highlight w:val="none"/>
        </w:rPr>
        <w:t>18</w:t>
      </w:r>
      <w:r>
        <w:rPr>
          <w:rFonts w:hint="eastAsia" w:ascii="宋体" w:hAnsi="宋体" w:cs="Arial"/>
          <w:color w:val="auto"/>
          <w:sz w:val="22"/>
          <w:szCs w:val="22"/>
          <w:highlight w:val="none"/>
        </w:rPr>
        <w:t>号为准；</w:t>
      </w:r>
    </w:p>
    <w:p>
      <w:pPr>
        <w:spacing w:line="400" w:lineRule="exact"/>
        <w:jc w:val="left"/>
        <w:rPr>
          <w:rFonts w:ascii="宋体" w:hAnsi="宋体" w:cs="Arial"/>
          <w:color w:val="auto"/>
          <w:sz w:val="22"/>
          <w:szCs w:val="22"/>
          <w:highlight w:val="none"/>
        </w:rPr>
      </w:pPr>
      <w:r>
        <w:rPr>
          <w:rFonts w:hint="eastAsia" w:ascii="宋体" w:hAnsi="宋体" w:cs="hakuyoxingshu7000"/>
          <w:color w:val="auto"/>
          <w:sz w:val="22"/>
          <w:szCs w:val="22"/>
          <w:highlight w:val="none"/>
        </w:rPr>
        <w:t>（</w:t>
      </w:r>
      <w:r>
        <w:rPr>
          <w:rFonts w:ascii="宋体" w:hAnsi="宋体" w:cs="hakuyoxingshu7000"/>
          <w:color w:val="auto"/>
          <w:sz w:val="22"/>
          <w:szCs w:val="22"/>
          <w:highlight w:val="none"/>
        </w:rPr>
        <w:t>2</w:t>
      </w:r>
      <w:r>
        <w:rPr>
          <w:rFonts w:hint="eastAsia" w:ascii="宋体" w:hAnsi="宋体" w:cs="hakuyoxingshu7000"/>
          <w:color w:val="auto"/>
          <w:sz w:val="22"/>
          <w:szCs w:val="22"/>
          <w:highlight w:val="none"/>
        </w:rPr>
        <w:t>）</w:t>
      </w:r>
      <w:r>
        <w:rPr>
          <w:rFonts w:hint="eastAsia" w:ascii="宋体" w:hAnsi="宋体" w:cs="Arial"/>
          <w:color w:val="auto"/>
          <w:sz w:val="22"/>
          <w:szCs w:val="22"/>
          <w:highlight w:val="none"/>
        </w:rPr>
        <w:t>《参与实施政府采购环境标志产品认证机构名录》内认证机构出具的有效期之内的环境标志产品认证证书（复印件加盖公章）</w:t>
      </w:r>
    </w:p>
    <w:p>
      <w:pPr>
        <w:spacing w:line="440" w:lineRule="exact"/>
        <w:jc w:val="left"/>
        <w:rPr>
          <w:rFonts w:ascii="宋体" w:hAnsi="宋体" w:cs="新宋体"/>
          <w:b/>
          <w:bCs/>
          <w:color w:val="auto"/>
          <w:sz w:val="22"/>
          <w:highlight w:val="none"/>
        </w:rPr>
      </w:pPr>
    </w:p>
    <w:p>
      <w:pPr>
        <w:spacing w:line="440" w:lineRule="exact"/>
        <w:jc w:val="left"/>
        <w:rPr>
          <w:rFonts w:ascii="宋体" w:hAnsi="宋体" w:cs="新宋体"/>
          <w:bCs/>
          <w:color w:val="auto"/>
          <w:sz w:val="22"/>
          <w:highlight w:val="none"/>
        </w:rPr>
      </w:pPr>
      <w:r>
        <w:rPr>
          <w:rFonts w:hint="eastAsia" w:ascii="宋体" w:hAnsi="宋体" w:cs="新宋体"/>
          <w:b/>
          <w:bCs/>
          <w:color w:val="auto"/>
          <w:sz w:val="22"/>
          <w:highlight w:val="none"/>
          <w:lang w:val="en-US" w:eastAsia="zh-CN"/>
        </w:rPr>
        <w:t>二</w:t>
      </w:r>
      <w:r>
        <w:rPr>
          <w:rFonts w:hint="eastAsia" w:ascii="宋体" w:hAnsi="宋体" w:cs="新宋体"/>
          <w:b/>
          <w:bCs/>
          <w:color w:val="auto"/>
          <w:sz w:val="22"/>
          <w:highlight w:val="none"/>
        </w:rPr>
        <w:t>、政府采购金融服务相关信息告知函</w:t>
      </w:r>
    </w:p>
    <w:p>
      <w:pPr>
        <w:spacing w:line="440" w:lineRule="exact"/>
        <w:ind w:firstLine="440" w:firstLineChars="200"/>
        <w:jc w:val="left"/>
        <w:rPr>
          <w:rFonts w:ascii="宋体" w:hAnsi="宋体" w:cs="Arial"/>
          <w:color w:val="auto"/>
          <w:sz w:val="22"/>
          <w:szCs w:val="22"/>
          <w:highlight w:val="none"/>
        </w:rPr>
      </w:pPr>
      <w:r>
        <w:rPr>
          <w:rFonts w:hint="eastAsia" w:ascii="宋体" w:hAnsi="宋体" w:cs="Arial"/>
          <w:color w:val="auto"/>
          <w:sz w:val="22"/>
          <w:szCs w:val="22"/>
          <w:highlight w:val="none"/>
        </w:rPr>
        <w:t>为优化政府采购营商环境，缓解供应商资金难题，助力打赢疫情防控阻击战，根据浙江省财政厅印发《关于坚决打赢疫情防控阻击战进一步做好政府采购资金支持企业发展工作的通知（浙财采监【2020】3号）》文件的精神，现将政府采购金融服务相关信息予以告知。</w:t>
      </w:r>
    </w:p>
    <w:p>
      <w:pPr>
        <w:spacing w:line="440" w:lineRule="exact"/>
        <w:ind w:firstLine="440" w:firstLineChars="200"/>
        <w:jc w:val="left"/>
        <w:rPr>
          <w:rFonts w:ascii="宋体" w:hAnsi="宋体" w:cs="Arial"/>
          <w:color w:val="auto"/>
          <w:sz w:val="22"/>
          <w:szCs w:val="22"/>
          <w:highlight w:val="none"/>
        </w:rPr>
      </w:pPr>
      <w:r>
        <w:rPr>
          <w:rFonts w:hint="eastAsia" w:ascii="宋体" w:hAnsi="宋体" w:cs="Arial"/>
          <w:color w:val="auto"/>
          <w:sz w:val="22"/>
          <w:szCs w:val="22"/>
          <w:highlight w:val="none"/>
        </w:rPr>
        <w:t>各级财政部门要深入实施政府采购支持融资畅通工程，积极协同相关部门加快推广政采贷、履约保函等政府采购金融服务，创新优化金融服务模式，引入更多金融机构参与，做到线上与线下并举，实现全省全覆盖；各地搭建的政府采购相关金融服务平台应逐步与政采云金融服务平台进行整合，做到金融机构统一接入，供应商统一入口，数据统一标准，构建政府采购金融服务全省互联互通共享机制，实现全省一盘棋，切实缓解供应商资金难题。</w:t>
      </w:r>
    </w:p>
    <w:p>
      <w:pPr>
        <w:spacing w:line="440" w:lineRule="exact"/>
        <w:ind w:firstLine="440" w:firstLineChars="200"/>
        <w:jc w:val="left"/>
        <w:rPr>
          <w:rFonts w:ascii="宋体" w:hAnsi="宋体" w:cs="Arial"/>
          <w:color w:val="auto"/>
          <w:sz w:val="22"/>
          <w:szCs w:val="22"/>
          <w:highlight w:val="none"/>
        </w:rPr>
      </w:pPr>
      <w:r>
        <w:rPr>
          <w:rFonts w:hint="eastAsia" w:ascii="宋体" w:hAnsi="宋体" w:cs="Arial"/>
          <w:color w:val="auto"/>
          <w:sz w:val="22"/>
          <w:szCs w:val="22"/>
          <w:highlight w:val="none"/>
        </w:rPr>
        <w:t>鼓励各金融机构与政采云平台合作，利用平台的业务协同和数据集合优势，积极开展政采贷、履约保函等金融服务。政采云平台应向金融机构提供有效增值服务，赋能金融机构推进线上普惠金融服务工作。鼓励金融机构推出有针对性的政府采购金融服务产品和优惠举措，满足供应商个性化金融服务需求。鼓励财政部门在进行财政专户资金竞争性存放和采购单位在进行公款竞争性存放中，将银行推进政采贷工作成效纳入综合评分指标体系。供应商申请政采贷，需要将采购合同收款变更开户行的，财政部门和采购单位应予以支持。供应商以银行、保险公司出具保函形式提交履约保证金的，采购单位不得拒收。疫情期间，鼓励金融机构按照相关要求，优化政采贷服务条件，有效满足企业流动性需求。</w:t>
      </w:r>
    </w:p>
    <w:p>
      <w:pPr>
        <w:widowControl/>
        <w:jc w:val="left"/>
        <w:rPr>
          <w:rFonts w:ascii="宋体" w:hAnsi="宋体" w:cs="Arial"/>
          <w:b/>
          <w:bCs/>
          <w:color w:val="auto"/>
          <w:sz w:val="36"/>
          <w:szCs w:val="36"/>
          <w:highlight w:val="none"/>
        </w:rPr>
      </w:pPr>
      <w:r>
        <w:rPr>
          <w:rFonts w:ascii="宋体" w:hAnsi="宋体" w:cs="Arial"/>
          <w:b/>
          <w:bCs/>
          <w:color w:val="auto"/>
          <w:sz w:val="36"/>
          <w:szCs w:val="36"/>
          <w:highlight w:val="none"/>
        </w:rPr>
        <w:br w:type="page"/>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Pr>
        <w:pStyle w:val="4"/>
        <w:rPr>
          <w:rFonts w:ascii="宋体" w:hAnsi="宋体" w:eastAsia="宋体" w:cs="Arial"/>
          <w:color w:val="auto"/>
          <w:sz w:val="36"/>
          <w:szCs w:val="36"/>
          <w:highlight w:val="none"/>
        </w:rPr>
      </w:pPr>
      <w:bookmarkStart w:id="27" w:name="_Toc245722277"/>
      <w:bookmarkStart w:id="28" w:name="_Toc223715994"/>
      <w:bookmarkStart w:id="29" w:name="_Toc15938918"/>
      <w:bookmarkStart w:id="30" w:name="_Toc221356882"/>
      <w:bookmarkStart w:id="31" w:name="_Toc262049414"/>
      <w:bookmarkStart w:id="32" w:name="_Toc245191310"/>
      <w:bookmarkStart w:id="33" w:name="_Toc262105499"/>
      <w:bookmarkStart w:id="34" w:name="_Toc222114875"/>
      <w:bookmarkStart w:id="35" w:name="_Toc246261261"/>
      <w:bookmarkStart w:id="36" w:name="_Toc221356947"/>
      <w:bookmarkStart w:id="37" w:name="_Toc241404198"/>
      <w:bookmarkStart w:id="38" w:name="_Toc249758860"/>
      <w:bookmarkStart w:id="39" w:name="_Toc249758708"/>
      <w:bookmarkStart w:id="40" w:name="_Toc221423615"/>
      <w:bookmarkStart w:id="41" w:name="_Toc239145350"/>
      <w:bookmarkStart w:id="42" w:name="_Toc221374622"/>
      <w:r>
        <w:rPr>
          <w:rFonts w:hint="eastAsia" w:ascii="宋体" w:hAnsi="宋体" w:eastAsia="宋体" w:cs="Arial"/>
          <w:color w:val="auto"/>
          <w:sz w:val="36"/>
          <w:szCs w:val="36"/>
          <w:highlight w:val="none"/>
        </w:rPr>
        <w:t>第一部分    投标人须知</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pPr>
        <w:spacing w:before="100" w:beforeAutospacing="1" w:after="100" w:afterAutospacing="1" w:line="440" w:lineRule="exact"/>
        <w:jc w:val="center"/>
        <w:outlineLvl w:val="0"/>
        <w:rPr>
          <w:rFonts w:ascii="宋体" w:hAnsi="宋体"/>
          <w:b/>
          <w:bCs/>
          <w:color w:val="auto"/>
          <w:sz w:val="26"/>
          <w:szCs w:val="26"/>
          <w:highlight w:val="none"/>
        </w:rPr>
      </w:pPr>
      <w:bookmarkStart w:id="43" w:name="_Toc249758861"/>
      <w:bookmarkStart w:id="44" w:name="_Toc221374623"/>
      <w:bookmarkStart w:id="45" w:name="_Toc249758709"/>
      <w:bookmarkStart w:id="46" w:name="_Toc222114876"/>
      <w:bookmarkStart w:id="47" w:name="_Toc239145351"/>
      <w:bookmarkStart w:id="48" w:name="_Toc241404199"/>
      <w:bookmarkStart w:id="49" w:name="_Toc245722278"/>
      <w:bookmarkStart w:id="50" w:name="_Toc246261262"/>
      <w:bookmarkStart w:id="51" w:name="_Toc221423616"/>
      <w:bookmarkStart w:id="52" w:name="_Toc221356948"/>
      <w:bookmarkStart w:id="53" w:name="_Toc223715995"/>
      <w:bookmarkStart w:id="54" w:name="_Toc262105500"/>
      <w:bookmarkStart w:id="55" w:name="_Toc262049415"/>
      <w:bookmarkStart w:id="56" w:name="_Toc15938919"/>
      <w:bookmarkStart w:id="57" w:name="_Toc245191311"/>
      <w:bookmarkStart w:id="58" w:name="_Toc221356883"/>
      <w:r>
        <w:rPr>
          <w:rFonts w:hint="eastAsia" w:ascii="宋体" w:hAnsi="宋体"/>
          <w:b/>
          <w:bCs/>
          <w:color w:val="auto"/>
          <w:sz w:val="26"/>
          <w:szCs w:val="26"/>
          <w:highlight w:val="none"/>
        </w:rPr>
        <w:t>一、  说明</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numPr>
          <w:ilvl w:val="0"/>
          <w:numId w:val="4"/>
        </w:numPr>
        <w:tabs>
          <w:tab w:val="left" w:pos="540"/>
          <w:tab w:val="left" w:pos="900"/>
          <w:tab w:val="clear" w:pos="420"/>
        </w:tabs>
        <w:spacing w:line="460" w:lineRule="exact"/>
        <w:ind w:left="540" w:hanging="540"/>
        <w:rPr>
          <w:rFonts w:ascii="宋体" w:hAnsi="宋体" w:cs="Arial"/>
          <w:color w:val="auto"/>
          <w:sz w:val="22"/>
          <w:szCs w:val="22"/>
          <w:highlight w:val="none"/>
        </w:rPr>
      </w:pPr>
      <w:r>
        <w:rPr>
          <w:rFonts w:hint="eastAsia" w:ascii="宋体" w:hAnsi="宋体" w:cs="Arial"/>
          <w:color w:val="auto"/>
          <w:sz w:val="22"/>
          <w:szCs w:val="22"/>
          <w:highlight w:val="none"/>
        </w:rPr>
        <w:t>本次招标是按照</w:t>
      </w:r>
      <w:r>
        <w:rPr>
          <w:rFonts w:hint="eastAsia" w:ascii="宋体" w:hAnsi="宋体" w:cs="hakuyoxingshu7000"/>
          <w:color w:val="auto"/>
          <w:sz w:val="22"/>
          <w:szCs w:val="22"/>
          <w:highlight w:val="none"/>
        </w:rPr>
        <w:t>《中华人民共和国政府采购法》、</w:t>
      </w:r>
      <w:r>
        <w:rPr>
          <w:rFonts w:hint="eastAsia" w:ascii="宋体" w:hAnsi="宋体" w:cs="hakuyoxingshu7000"/>
          <w:color w:val="auto"/>
          <w:kern w:val="0"/>
          <w:sz w:val="22"/>
          <w:szCs w:val="22"/>
          <w:highlight w:val="none"/>
        </w:rPr>
        <w:t>《中华人民共和国政府采购法实施条例》、</w:t>
      </w:r>
      <w:r>
        <w:rPr>
          <w:rFonts w:hint="eastAsia" w:ascii="宋体" w:hAnsi="宋体" w:cs="hakuyoxingshu7000"/>
          <w:color w:val="auto"/>
          <w:sz w:val="22"/>
          <w:szCs w:val="22"/>
          <w:highlight w:val="none"/>
        </w:rPr>
        <w:t>《政府采购货物和服务招标投标管理办法》（财政部87号令）</w:t>
      </w:r>
      <w:r>
        <w:rPr>
          <w:rFonts w:hint="eastAsia" w:ascii="宋体" w:hAnsi="宋体" w:cs="Arial"/>
          <w:color w:val="auto"/>
          <w:sz w:val="22"/>
          <w:szCs w:val="22"/>
          <w:highlight w:val="none"/>
        </w:rPr>
        <w:t>和《关于进一步规范政府采购活动的若干意见》等法律及有关法规组织和实施的。</w:t>
      </w:r>
    </w:p>
    <w:p>
      <w:pPr>
        <w:numPr>
          <w:ilvl w:val="0"/>
          <w:numId w:val="4"/>
        </w:numPr>
        <w:tabs>
          <w:tab w:val="left" w:pos="540"/>
          <w:tab w:val="left" w:pos="900"/>
        </w:tabs>
        <w:spacing w:line="460" w:lineRule="exact"/>
        <w:rPr>
          <w:rFonts w:ascii="宋体" w:hAnsi="宋体" w:cs="hakuyoxingshu7000"/>
          <w:b/>
          <w:color w:val="auto"/>
          <w:sz w:val="22"/>
          <w:szCs w:val="22"/>
          <w:highlight w:val="none"/>
        </w:rPr>
      </w:pPr>
      <w:bookmarkStart w:id="59" w:name="_Toc249758710"/>
      <w:bookmarkStart w:id="60" w:name="_Toc222114877"/>
      <w:bookmarkStart w:id="61" w:name="_Toc221356884"/>
      <w:bookmarkStart w:id="62" w:name="_Toc221423617"/>
      <w:bookmarkStart w:id="63" w:name="_Toc221356949"/>
      <w:bookmarkStart w:id="64" w:name="_Toc249758862"/>
      <w:bookmarkStart w:id="65" w:name="_Toc262105501"/>
      <w:bookmarkStart w:id="66" w:name="_Toc262049416"/>
      <w:bookmarkStart w:id="67" w:name="_Toc239145352"/>
      <w:bookmarkStart w:id="68" w:name="_Toc241404200"/>
      <w:bookmarkStart w:id="69" w:name="_Toc245191312"/>
      <w:bookmarkStart w:id="70" w:name="_Toc245722279"/>
      <w:bookmarkStart w:id="71" w:name="_Toc246261263"/>
      <w:bookmarkStart w:id="72" w:name="_Toc221374624"/>
      <w:bookmarkStart w:id="73" w:name="_Toc223715996"/>
      <w:r>
        <w:rPr>
          <w:rFonts w:hint="eastAsia" w:ascii="宋体" w:hAnsi="宋体" w:cs="hakuyoxingshu7000"/>
          <w:b/>
          <w:color w:val="auto"/>
          <w:sz w:val="22"/>
          <w:szCs w:val="22"/>
          <w:highlight w:val="none"/>
        </w:rPr>
        <w:t>合格投标人要求以招标公告表对投标人资格条件要求的表述为准。</w:t>
      </w:r>
    </w:p>
    <w:p>
      <w:pPr>
        <w:numPr>
          <w:ilvl w:val="0"/>
          <w:numId w:val="4"/>
        </w:numPr>
        <w:tabs>
          <w:tab w:val="left" w:pos="540"/>
          <w:tab w:val="left" w:pos="900"/>
        </w:tabs>
        <w:spacing w:line="460" w:lineRule="exact"/>
        <w:rPr>
          <w:rFonts w:ascii="宋体" w:hAnsi="宋体" w:cs="hakuyoxingshu7000"/>
          <w:color w:val="auto"/>
          <w:sz w:val="22"/>
          <w:szCs w:val="22"/>
          <w:highlight w:val="none"/>
        </w:rPr>
      </w:pPr>
      <w:r>
        <w:rPr>
          <w:rFonts w:hint="eastAsia" w:ascii="宋体" w:hAnsi="宋体" w:cs="hakuyoxingshu7000"/>
          <w:color w:val="auto"/>
          <w:sz w:val="22"/>
          <w:szCs w:val="22"/>
          <w:highlight w:val="none"/>
        </w:rPr>
        <w:t>投标人代表</w:t>
      </w:r>
    </w:p>
    <w:p>
      <w:pPr>
        <w:spacing w:line="460" w:lineRule="exact"/>
        <w:ind w:left="538" w:leftChars="256"/>
        <w:rPr>
          <w:rFonts w:ascii="宋体" w:hAnsi="宋体" w:cs="hakuyoxingshu7000"/>
          <w:color w:val="auto"/>
          <w:sz w:val="22"/>
          <w:szCs w:val="22"/>
          <w:highlight w:val="none"/>
        </w:rPr>
      </w:pPr>
      <w:r>
        <w:rPr>
          <w:rFonts w:hint="eastAsia" w:ascii="宋体" w:hAnsi="宋体" w:cs="hakuyoxingshu7000"/>
          <w:color w:val="auto"/>
          <w:sz w:val="22"/>
          <w:szCs w:val="22"/>
          <w:highlight w:val="none"/>
        </w:rPr>
        <w:t>指全权代表投标人参加投标活动并签署投标文件的人。如果投标人代表不是法定代表人，须持有《法定代表人授权书》。</w:t>
      </w:r>
    </w:p>
    <w:p>
      <w:pPr>
        <w:numPr>
          <w:ilvl w:val="0"/>
          <w:numId w:val="4"/>
        </w:numPr>
        <w:tabs>
          <w:tab w:val="left" w:pos="540"/>
          <w:tab w:val="left" w:pos="900"/>
        </w:tabs>
        <w:spacing w:line="460" w:lineRule="exact"/>
        <w:rPr>
          <w:rFonts w:ascii="宋体" w:hAnsi="宋体" w:cs="hakuyoxingshu7000"/>
          <w:color w:val="auto"/>
          <w:sz w:val="22"/>
          <w:szCs w:val="22"/>
          <w:highlight w:val="none"/>
        </w:rPr>
      </w:pPr>
      <w:r>
        <w:rPr>
          <w:rFonts w:hint="eastAsia" w:ascii="宋体" w:hAnsi="宋体" w:cs="hakuyoxingshu7000"/>
          <w:color w:val="auto"/>
          <w:sz w:val="22"/>
          <w:szCs w:val="22"/>
          <w:highlight w:val="none"/>
        </w:rPr>
        <w:t>投标费用</w:t>
      </w:r>
    </w:p>
    <w:p>
      <w:pPr>
        <w:spacing w:line="460" w:lineRule="exact"/>
        <w:ind w:left="538" w:leftChars="256"/>
        <w:rPr>
          <w:rFonts w:ascii="宋体" w:hAnsi="宋体" w:cs="hakuyoxingshu7000"/>
          <w:color w:val="auto"/>
          <w:sz w:val="22"/>
          <w:szCs w:val="22"/>
          <w:highlight w:val="none"/>
        </w:rPr>
      </w:pPr>
      <w:r>
        <w:rPr>
          <w:rFonts w:hint="eastAsia" w:ascii="宋体" w:hAnsi="宋体" w:cs="hakuyoxingshu7000"/>
          <w:color w:val="auto"/>
          <w:sz w:val="22"/>
          <w:szCs w:val="22"/>
          <w:highlight w:val="none"/>
        </w:rPr>
        <w:t>投标人应承担所有与准备和参加投标有关费用，不论投标的结果如何，招标人和招标代理机构均无义务和责任承担这些费用。</w:t>
      </w:r>
    </w:p>
    <w:p>
      <w:pPr>
        <w:numPr>
          <w:ilvl w:val="0"/>
          <w:numId w:val="4"/>
        </w:numPr>
        <w:tabs>
          <w:tab w:val="left" w:pos="540"/>
          <w:tab w:val="left" w:pos="900"/>
          <w:tab w:val="clear" w:pos="420"/>
        </w:tabs>
        <w:spacing w:line="460" w:lineRule="exact"/>
        <w:rPr>
          <w:rFonts w:ascii="宋体" w:hAnsi="宋体" w:cs="hakuyoxingshu7000"/>
          <w:color w:val="auto"/>
          <w:sz w:val="22"/>
          <w:szCs w:val="22"/>
          <w:highlight w:val="none"/>
        </w:rPr>
      </w:pPr>
      <w:r>
        <w:rPr>
          <w:rFonts w:hint="eastAsia" w:ascii="宋体" w:hAnsi="宋体" w:cs="hakuyoxingshu7000"/>
          <w:color w:val="auto"/>
          <w:sz w:val="22"/>
          <w:szCs w:val="22"/>
          <w:highlight w:val="none"/>
        </w:rPr>
        <w:t>投标人信用查询</w:t>
      </w:r>
    </w:p>
    <w:p>
      <w:pPr>
        <w:spacing w:line="460" w:lineRule="exact"/>
        <w:ind w:left="538" w:leftChars="256"/>
        <w:rPr>
          <w:rFonts w:ascii="宋体" w:hAnsi="宋体" w:cs="hakuyoxingshu7000"/>
          <w:color w:val="auto"/>
          <w:sz w:val="22"/>
          <w:szCs w:val="22"/>
          <w:highlight w:val="none"/>
        </w:rPr>
      </w:pPr>
      <w:r>
        <w:rPr>
          <w:rFonts w:hint="eastAsia" w:ascii="宋体" w:hAnsi="宋体" w:cs="hakuyoxingshu7000"/>
          <w:color w:val="auto"/>
          <w:sz w:val="22"/>
          <w:szCs w:val="22"/>
          <w:highlight w:val="none"/>
        </w:rPr>
        <w:t>1）采购人或采购代理机构将对本项目投标人的信用信息进行资料核验。对列入失信被执行人、重大税收违法案件当事人名单、政府采购严重违法失信行为记录名单及其他不符合《中华人民共和国政府采购法》第二十二条规定条件的投标人，将拒绝其参与本次政府采购活动。</w:t>
      </w:r>
    </w:p>
    <w:p>
      <w:pPr>
        <w:spacing w:line="460" w:lineRule="exact"/>
        <w:ind w:left="538" w:leftChars="256"/>
        <w:rPr>
          <w:rFonts w:ascii="宋体" w:hAnsi="宋体" w:cs="hakuyoxingshu7000"/>
          <w:color w:val="auto"/>
          <w:sz w:val="22"/>
          <w:szCs w:val="22"/>
          <w:highlight w:val="none"/>
        </w:rPr>
      </w:pPr>
      <w:r>
        <w:rPr>
          <w:rFonts w:hint="eastAsia" w:ascii="宋体" w:hAnsi="宋体" w:cs="hakuyoxingshu7000"/>
          <w:color w:val="auto"/>
          <w:sz w:val="22"/>
          <w:szCs w:val="22"/>
          <w:highlight w:val="none"/>
        </w:rPr>
        <w:t>2）查询渠道为</w:t>
      </w:r>
      <w:r>
        <w:rPr>
          <w:rFonts w:hint="eastAsia" w:ascii="宋体" w:hAnsi="宋体" w:cs="hakuyoxingshu7000"/>
          <w:b/>
          <w:color w:val="auto"/>
          <w:sz w:val="22"/>
          <w:szCs w:val="22"/>
          <w:highlight w:val="none"/>
          <w:u w:val="single"/>
        </w:rPr>
        <w:t>信用中国网站（www.creditchina.gov.cn）、中国政府采购网（</w:t>
      </w:r>
      <w:r>
        <w:rPr>
          <w:rFonts w:hint="eastAsia"/>
          <w:color w:val="auto"/>
          <w:highlight w:val="none"/>
        </w:rPr>
        <w:fldChar w:fldCharType="begin"/>
      </w:r>
      <w:r>
        <w:rPr>
          <w:color w:val="auto"/>
          <w:highlight w:val="none"/>
        </w:rPr>
        <w:instrText xml:space="preserve"> HYPERLINK "http://www.ccgp.gov.cn" </w:instrText>
      </w:r>
      <w:r>
        <w:rPr>
          <w:rFonts w:hint="eastAsia"/>
          <w:color w:val="auto"/>
          <w:highlight w:val="none"/>
        </w:rPr>
        <w:fldChar w:fldCharType="separate"/>
      </w:r>
      <w:r>
        <w:rPr>
          <w:rFonts w:hint="eastAsia" w:ascii="宋体" w:hAnsi="宋体" w:cs="hakuyoxingshu7000"/>
          <w:b/>
          <w:color w:val="auto"/>
          <w:highlight w:val="none"/>
          <w:u w:val="single"/>
        </w:rPr>
        <w:t>www.ccgp.gov.cn</w:t>
      </w:r>
      <w:r>
        <w:rPr>
          <w:rFonts w:hint="eastAsia" w:ascii="宋体" w:hAnsi="宋体" w:cs="hakuyoxingshu7000"/>
          <w:b/>
          <w:color w:val="auto"/>
          <w:highlight w:val="none"/>
          <w:u w:val="single"/>
        </w:rPr>
        <w:fldChar w:fldCharType="end"/>
      </w:r>
      <w:r>
        <w:rPr>
          <w:rFonts w:hint="eastAsia" w:ascii="宋体" w:hAnsi="宋体" w:cs="hakuyoxingshu7000"/>
          <w:b/>
          <w:color w:val="auto"/>
          <w:sz w:val="22"/>
          <w:szCs w:val="22"/>
          <w:highlight w:val="none"/>
          <w:u w:val="single"/>
        </w:rPr>
        <w:t>）</w:t>
      </w:r>
      <w:r>
        <w:rPr>
          <w:rFonts w:hint="eastAsia" w:ascii="宋体" w:hAnsi="宋体" w:cs="hakuyoxingshu7000"/>
          <w:color w:val="auto"/>
          <w:sz w:val="22"/>
          <w:szCs w:val="22"/>
          <w:highlight w:val="none"/>
        </w:rPr>
        <w:t>。</w:t>
      </w:r>
    </w:p>
    <w:p>
      <w:pPr>
        <w:spacing w:line="460" w:lineRule="exact"/>
        <w:ind w:left="538" w:leftChars="256"/>
        <w:rPr>
          <w:rFonts w:ascii="宋体" w:hAnsi="宋体" w:cs="hakuyoxingshu7000"/>
          <w:color w:val="auto"/>
          <w:sz w:val="22"/>
          <w:szCs w:val="22"/>
          <w:highlight w:val="none"/>
        </w:rPr>
      </w:pPr>
      <w:r>
        <w:rPr>
          <w:rFonts w:hint="eastAsia" w:ascii="宋体" w:hAnsi="宋体" w:cs="hakuyoxingshu7000"/>
          <w:color w:val="auto"/>
          <w:sz w:val="22"/>
          <w:szCs w:val="22"/>
          <w:highlight w:val="none"/>
        </w:rPr>
        <w:t>3）投标截止日当日网站显示的信用信息将作为资格审查的依据。</w:t>
      </w:r>
    </w:p>
    <w:p>
      <w:pPr>
        <w:spacing w:line="460" w:lineRule="exact"/>
        <w:ind w:left="538" w:leftChars="256"/>
        <w:rPr>
          <w:rFonts w:ascii="宋体" w:hAnsi="宋体" w:cs="hakuyoxingshu7000"/>
          <w:color w:val="auto"/>
          <w:sz w:val="22"/>
          <w:szCs w:val="22"/>
          <w:highlight w:val="none"/>
        </w:rPr>
      </w:pPr>
      <w:r>
        <w:rPr>
          <w:rFonts w:hint="eastAsia" w:ascii="宋体" w:hAnsi="宋体" w:cs="hakuyoxingshu7000"/>
          <w:color w:val="auto"/>
          <w:sz w:val="22"/>
          <w:szCs w:val="22"/>
          <w:highlight w:val="none"/>
        </w:rPr>
        <w:t>4）联合体成员存在上述不良信用记录的，视同联合体存在不良信用记录(此款适用于接受联合体投标的项目)。</w:t>
      </w:r>
    </w:p>
    <w:p>
      <w:pPr>
        <w:spacing w:line="460" w:lineRule="exact"/>
        <w:ind w:left="538" w:leftChars="256"/>
        <w:rPr>
          <w:rFonts w:ascii="宋体" w:hAnsi="宋体" w:cs="hakuyoxingshu7000"/>
          <w:color w:val="auto"/>
          <w:sz w:val="22"/>
          <w:szCs w:val="22"/>
          <w:highlight w:val="none"/>
        </w:rPr>
      </w:pPr>
      <w:r>
        <w:rPr>
          <w:rFonts w:hint="eastAsia" w:ascii="宋体" w:hAnsi="宋体" w:cs="hakuyoxingshu7000"/>
          <w:color w:val="auto"/>
          <w:sz w:val="22"/>
          <w:szCs w:val="22"/>
          <w:highlight w:val="none"/>
        </w:rPr>
        <w:t>5）信用信息截止时点为投标文件递交截止日当天。</w:t>
      </w:r>
    </w:p>
    <w:p>
      <w:pPr>
        <w:spacing w:before="100" w:beforeAutospacing="1" w:after="100" w:afterAutospacing="1" w:line="440" w:lineRule="exact"/>
        <w:jc w:val="center"/>
        <w:outlineLvl w:val="0"/>
        <w:rPr>
          <w:rFonts w:ascii="宋体" w:hAnsi="宋体"/>
          <w:b/>
          <w:bCs/>
          <w:color w:val="auto"/>
          <w:sz w:val="26"/>
          <w:szCs w:val="26"/>
          <w:highlight w:val="none"/>
        </w:rPr>
      </w:pPr>
      <w:bookmarkStart w:id="74" w:name="_Toc15938920"/>
      <w:r>
        <w:rPr>
          <w:rFonts w:hint="eastAsia" w:ascii="宋体" w:hAnsi="宋体"/>
          <w:b/>
          <w:bCs/>
          <w:color w:val="auto"/>
          <w:sz w:val="26"/>
          <w:szCs w:val="26"/>
          <w:highlight w:val="none"/>
        </w:rPr>
        <w:t>二、 招标文件</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numPr>
          <w:ilvl w:val="0"/>
          <w:numId w:val="5"/>
        </w:numPr>
        <w:tabs>
          <w:tab w:val="left" w:pos="540"/>
          <w:tab w:val="clear" w:pos="420"/>
        </w:tabs>
        <w:spacing w:line="460" w:lineRule="exact"/>
        <w:ind w:left="540" w:hanging="540"/>
        <w:rPr>
          <w:rFonts w:ascii="宋体" w:hAnsi="宋体" w:cs="Arial"/>
          <w:color w:val="auto"/>
          <w:sz w:val="22"/>
          <w:szCs w:val="22"/>
          <w:highlight w:val="none"/>
        </w:rPr>
      </w:pPr>
      <w:r>
        <w:rPr>
          <w:rFonts w:hint="eastAsia" w:ascii="宋体" w:hAnsi="宋体" w:cs="Arial"/>
          <w:color w:val="auto"/>
          <w:sz w:val="22"/>
          <w:szCs w:val="22"/>
          <w:highlight w:val="none"/>
        </w:rPr>
        <w:t>招标文件由招标文件目录所列内容及相关资料组成。</w:t>
      </w:r>
    </w:p>
    <w:p>
      <w:pPr>
        <w:numPr>
          <w:ilvl w:val="0"/>
          <w:numId w:val="5"/>
        </w:numPr>
        <w:tabs>
          <w:tab w:val="left" w:pos="540"/>
          <w:tab w:val="clear" w:pos="420"/>
        </w:tabs>
        <w:spacing w:line="460" w:lineRule="exact"/>
        <w:ind w:left="540" w:hanging="540"/>
        <w:rPr>
          <w:rFonts w:ascii="宋体" w:hAnsi="宋体" w:cs="Arial"/>
          <w:color w:val="auto"/>
          <w:sz w:val="22"/>
          <w:szCs w:val="22"/>
          <w:highlight w:val="none"/>
        </w:rPr>
      </w:pPr>
      <w:r>
        <w:rPr>
          <w:rFonts w:hint="eastAsia" w:ascii="宋体" w:hAnsi="宋体" w:cs="Arial"/>
          <w:color w:val="auto"/>
          <w:sz w:val="22"/>
          <w:szCs w:val="22"/>
          <w:highlight w:val="none"/>
        </w:rPr>
        <w:t>招标文件的澄清</w:t>
      </w:r>
    </w:p>
    <w:p>
      <w:pPr>
        <w:tabs>
          <w:tab w:val="left" w:pos="540"/>
        </w:tabs>
        <w:spacing w:line="460" w:lineRule="exact"/>
        <w:ind w:left="420"/>
        <w:rPr>
          <w:rFonts w:ascii="宋体" w:hAnsi="宋体" w:cs="hakuyoxingshu7000"/>
          <w:color w:val="auto"/>
          <w:sz w:val="22"/>
          <w:szCs w:val="22"/>
          <w:highlight w:val="none"/>
        </w:rPr>
      </w:pPr>
      <w:r>
        <w:rPr>
          <w:rFonts w:hint="eastAsia" w:ascii="宋体" w:hAnsi="宋体" w:cs="hakuyoxingshu7000"/>
          <w:color w:val="auto"/>
          <w:sz w:val="22"/>
          <w:szCs w:val="22"/>
          <w:highlight w:val="none"/>
        </w:rPr>
        <w:t>投标人对招标文件如有疑点或未尽事宜要求澄清，或认为有必要进行说明或交流，投标人可以以书面形式（包括信函、传真、下同）向招标人提出质疑，招标人将用书面形式予以答复。如有必要，可将不说明问题来源的答复发给各有关投标人或召开答疑会。如果标书答疑期内未收到有关疑问，视为投标人完全同意招标文件所有条款，且对于招标文件相关表述以及未尽事宜如有争议，以招标人解释为准。</w:t>
      </w:r>
    </w:p>
    <w:p>
      <w:pPr>
        <w:numPr>
          <w:ilvl w:val="0"/>
          <w:numId w:val="5"/>
        </w:numPr>
        <w:tabs>
          <w:tab w:val="left" w:pos="540"/>
          <w:tab w:val="clear" w:pos="420"/>
        </w:tabs>
        <w:spacing w:line="460" w:lineRule="exact"/>
        <w:ind w:left="540" w:hanging="540"/>
        <w:rPr>
          <w:rFonts w:ascii="宋体" w:hAnsi="宋体" w:cs="Arial"/>
          <w:color w:val="auto"/>
          <w:sz w:val="22"/>
          <w:szCs w:val="22"/>
          <w:highlight w:val="none"/>
        </w:rPr>
      </w:pPr>
      <w:r>
        <w:rPr>
          <w:rFonts w:hint="eastAsia" w:ascii="宋体" w:hAnsi="宋体" w:cs="Arial"/>
          <w:color w:val="auto"/>
          <w:sz w:val="22"/>
          <w:szCs w:val="22"/>
          <w:highlight w:val="none"/>
        </w:rPr>
        <w:t>招标文件的修改</w:t>
      </w:r>
    </w:p>
    <w:p>
      <w:pPr>
        <w:numPr>
          <w:ilvl w:val="1"/>
          <w:numId w:val="6"/>
        </w:numPr>
        <w:tabs>
          <w:tab w:val="left" w:pos="360"/>
          <w:tab w:val="clear" w:pos="992"/>
        </w:tabs>
        <w:spacing w:line="460" w:lineRule="exact"/>
        <w:ind w:left="360" w:hanging="360"/>
        <w:rPr>
          <w:rFonts w:ascii="宋体" w:hAnsi="宋体" w:cs="Arial"/>
          <w:color w:val="auto"/>
          <w:sz w:val="22"/>
          <w:szCs w:val="22"/>
          <w:highlight w:val="none"/>
        </w:rPr>
      </w:pPr>
      <w:r>
        <w:rPr>
          <w:rFonts w:hint="eastAsia" w:ascii="宋体" w:hAnsi="宋体" w:cs="Arial"/>
          <w:color w:val="auto"/>
          <w:sz w:val="22"/>
          <w:szCs w:val="22"/>
          <w:highlight w:val="none"/>
        </w:rPr>
        <w:t>在投标截止期十五天前，招标人无论是出于何种原因，均可对招标文件用补充文件的方式进行修改，并在财政部门指定的政府采购信息媒体上发布更正公告。澄清或者修改的内容可能影响投标文件编制的，招标人及采购代理机构将以书面形式通知所有获取招标文件的潜在投标人。该澄清和修改的内容为招标文件的组成部分。不足15日的，招标人将顺延提交投标文件的截止时间。</w:t>
      </w:r>
    </w:p>
    <w:p>
      <w:pPr>
        <w:numPr>
          <w:ilvl w:val="1"/>
          <w:numId w:val="6"/>
        </w:numPr>
        <w:tabs>
          <w:tab w:val="left" w:pos="360"/>
          <w:tab w:val="clear" w:pos="992"/>
        </w:tabs>
        <w:spacing w:line="460" w:lineRule="exact"/>
        <w:ind w:left="360" w:hanging="360"/>
        <w:rPr>
          <w:rFonts w:ascii="宋体" w:hAnsi="宋体" w:cs="Arial"/>
          <w:color w:val="auto"/>
          <w:sz w:val="22"/>
          <w:szCs w:val="22"/>
          <w:highlight w:val="none"/>
        </w:rPr>
      </w:pPr>
      <w:r>
        <w:rPr>
          <w:rFonts w:hint="eastAsia" w:ascii="新宋体" w:hAnsi="新宋体" w:eastAsia="新宋体" w:cs="新宋体"/>
          <w:bCs/>
          <w:color w:val="auto"/>
          <w:sz w:val="22"/>
          <w:szCs w:val="22"/>
          <w:highlight w:val="none"/>
        </w:rPr>
        <w:t>招标文件如有补充更正均见浙江政府采购网（http://www.zjzfcg.gov.cn/）。投标人须自行查看是否有补充更正文件，并按补充更正文件要求投标，否则责任自负</w:t>
      </w:r>
      <w:r>
        <w:rPr>
          <w:rFonts w:hint="eastAsia" w:ascii="宋体" w:hAnsi="宋体" w:cs="Arial"/>
          <w:color w:val="auto"/>
          <w:sz w:val="22"/>
          <w:szCs w:val="22"/>
          <w:highlight w:val="none"/>
        </w:rPr>
        <w:t>。</w:t>
      </w:r>
    </w:p>
    <w:p>
      <w:pPr>
        <w:spacing w:before="100" w:beforeAutospacing="1" w:after="100" w:afterAutospacing="1" w:line="440" w:lineRule="exact"/>
        <w:jc w:val="center"/>
        <w:outlineLvl w:val="0"/>
        <w:rPr>
          <w:rFonts w:ascii="宋体" w:hAnsi="宋体"/>
          <w:b/>
          <w:bCs/>
          <w:color w:val="auto"/>
          <w:sz w:val="26"/>
          <w:szCs w:val="26"/>
          <w:highlight w:val="none"/>
        </w:rPr>
      </w:pPr>
      <w:bookmarkStart w:id="75" w:name="_Toc245722280"/>
      <w:bookmarkStart w:id="76" w:name="_Toc245191313"/>
      <w:bookmarkStart w:id="77" w:name="_Toc262105502"/>
      <w:bookmarkStart w:id="78" w:name="_Toc249758711"/>
      <w:bookmarkStart w:id="79" w:name="_Toc221423618"/>
      <w:bookmarkStart w:id="80" w:name="_Toc221356950"/>
      <w:bookmarkStart w:id="81" w:name="_Toc221356885"/>
      <w:bookmarkStart w:id="82" w:name="_Toc223715997"/>
      <w:bookmarkStart w:id="83" w:name="_Toc246261264"/>
      <w:bookmarkStart w:id="84" w:name="_Toc222114878"/>
      <w:bookmarkStart w:id="85" w:name="_Toc241404201"/>
      <w:bookmarkStart w:id="86" w:name="_Toc15938921"/>
      <w:bookmarkStart w:id="87" w:name="_Toc249758863"/>
      <w:bookmarkStart w:id="88" w:name="_Toc262049417"/>
      <w:bookmarkStart w:id="89" w:name="_Toc239145353"/>
      <w:bookmarkStart w:id="90" w:name="_Toc221374625"/>
      <w:r>
        <w:rPr>
          <w:rFonts w:hint="eastAsia" w:ascii="宋体" w:hAnsi="宋体"/>
          <w:b/>
          <w:bCs/>
          <w:color w:val="auto"/>
          <w:sz w:val="26"/>
          <w:szCs w:val="26"/>
          <w:highlight w:val="none"/>
        </w:rPr>
        <w:t>三、 投标文件的编制</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numPr>
          <w:ilvl w:val="0"/>
          <w:numId w:val="7"/>
        </w:numPr>
        <w:tabs>
          <w:tab w:val="left" w:pos="540"/>
          <w:tab w:val="clear" w:pos="420"/>
        </w:tabs>
        <w:spacing w:line="460" w:lineRule="exact"/>
        <w:ind w:left="540" w:hanging="540"/>
        <w:rPr>
          <w:rFonts w:ascii="宋体" w:hAnsi="宋体"/>
          <w:color w:val="auto"/>
          <w:sz w:val="22"/>
          <w:szCs w:val="22"/>
          <w:highlight w:val="none"/>
        </w:rPr>
      </w:pPr>
      <w:r>
        <w:rPr>
          <w:rFonts w:hint="eastAsia" w:ascii="宋体" w:hAnsi="宋体" w:cs="Arial"/>
          <w:color w:val="auto"/>
          <w:sz w:val="22"/>
          <w:szCs w:val="22"/>
          <w:highlight w:val="none"/>
        </w:rPr>
        <w:t>投标人应认真阅读招标文件中所有事项格式、条款和技术规范等。</w:t>
      </w:r>
      <w:r>
        <w:rPr>
          <w:rFonts w:hint="eastAsia" w:ascii="宋体" w:hAnsi="宋体" w:cs="Arial"/>
          <w:b/>
          <w:color w:val="auto"/>
          <w:sz w:val="22"/>
          <w:szCs w:val="22"/>
          <w:highlight w:val="none"/>
        </w:rPr>
        <w:t>投标人没有按照招标文件要求提交全部资料，或者没有对招标文件各个方面做出实质性响应，导致投标被拒绝的风险由投标人自行承担。</w:t>
      </w:r>
    </w:p>
    <w:p>
      <w:pPr>
        <w:numPr>
          <w:ilvl w:val="0"/>
          <w:numId w:val="7"/>
        </w:numPr>
        <w:tabs>
          <w:tab w:val="left" w:pos="540"/>
          <w:tab w:val="clear" w:pos="420"/>
        </w:tabs>
        <w:spacing w:line="460" w:lineRule="exact"/>
        <w:ind w:left="540" w:hanging="540"/>
        <w:rPr>
          <w:rFonts w:ascii="宋体" w:hAnsi="宋体" w:cs="Arial"/>
          <w:bCs/>
          <w:color w:val="auto"/>
          <w:sz w:val="22"/>
          <w:szCs w:val="22"/>
          <w:highlight w:val="none"/>
        </w:rPr>
      </w:pPr>
      <w:r>
        <w:rPr>
          <w:rFonts w:hint="eastAsia" w:ascii="宋体" w:hAnsi="宋体" w:cs="Arial"/>
          <w:bCs/>
          <w:color w:val="auto"/>
          <w:sz w:val="22"/>
          <w:szCs w:val="22"/>
          <w:highlight w:val="none"/>
        </w:rPr>
        <w:t>投标人法律责任</w:t>
      </w:r>
    </w:p>
    <w:p>
      <w:pPr>
        <w:numPr>
          <w:ilvl w:val="1"/>
          <w:numId w:val="8"/>
        </w:numPr>
        <w:tabs>
          <w:tab w:val="left" w:pos="540"/>
          <w:tab w:val="clear" w:pos="992"/>
        </w:tabs>
        <w:spacing w:line="460" w:lineRule="exact"/>
        <w:ind w:left="540" w:hanging="540"/>
        <w:rPr>
          <w:rFonts w:ascii="宋体" w:hAnsi="宋体" w:cs="Arial"/>
          <w:b/>
          <w:color w:val="auto"/>
          <w:sz w:val="22"/>
          <w:szCs w:val="22"/>
          <w:highlight w:val="none"/>
          <w:u w:val="single"/>
        </w:rPr>
      </w:pPr>
      <w:r>
        <w:rPr>
          <w:rFonts w:hint="eastAsia" w:ascii="宋体" w:hAnsi="宋体" w:cs="Arial"/>
          <w:b/>
          <w:color w:val="auto"/>
          <w:sz w:val="22"/>
          <w:szCs w:val="22"/>
          <w:highlight w:val="none"/>
          <w:u w:val="single"/>
        </w:rPr>
        <w:t>▲投标人应保证所提供文件资料的真实性，所有文件资料必须是针对本次投标的。如发现投标人提供了虚假文件资料，其投标将被拒绝，并自行承担相应的法律责任。</w:t>
      </w:r>
    </w:p>
    <w:p>
      <w:pPr>
        <w:numPr>
          <w:ilvl w:val="0"/>
          <w:numId w:val="7"/>
        </w:numPr>
        <w:tabs>
          <w:tab w:val="left" w:pos="540"/>
          <w:tab w:val="clear" w:pos="420"/>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投标文件的构成</w:t>
      </w:r>
    </w:p>
    <w:p>
      <w:pPr>
        <w:numPr>
          <w:ilvl w:val="1"/>
          <w:numId w:val="9"/>
        </w:numPr>
        <w:tabs>
          <w:tab w:val="left" w:pos="360"/>
        </w:tabs>
        <w:spacing w:line="460" w:lineRule="exact"/>
        <w:ind w:left="360" w:hanging="360"/>
        <w:rPr>
          <w:rFonts w:ascii="宋体" w:hAnsi="宋体" w:cs="Arial"/>
          <w:b/>
          <w:color w:val="auto"/>
          <w:sz w:val="22"/>
          <w:szCs w:val="22"/>
          <w:highlight w:val="none"/>
        </w:rPr>
      </w:pPr>
      <w:r>
        <w:rPr>
          <w:rFonts w:hint="eastAsia" w:ascii="宋体" w:hAnsi="宋体" w:cs="Arial"/>
          <w:b/>
          <w:color w:val="auto"/>
          <w:sz w:val="22"/>
          <w:szCs w:val="22"/>
          <w:highlight w:val="none"/>
        </w:rPr>
        <w:t xml:space="preserve">  投标文件由资格文件、商务技术文件、报价文件三部分构成：</w:t>
      </w:r>
    </w:p>
    <w:p>
      <w:pPr>
        <w:spacing w:line="430" w:lineRule="exact"/>
        <w:ind w:left="187" w:leftChars="85" w:hanging="9" w:hangingChars="4"/>
        <w:rPr>
          <w:rFonts w:ascii="宋体" w:hAnsi="宋体" w:cs="hakuyoxingshu7000"/>
          <w:b/>
          <w:color w:val="auto"/>
          <w:sz w:val="22"/>
          <w:szCs w:val="22"/>
          <w:highlight w:val="none"/>
        </w:rPr>
      </w:pPr>
      <w:r>
        <w:rPr>
          <w:rFonts w:hint="eastAsia" w:ascii="宋体" w:hAnsi="宋体" w:cs="hakuyoxingshu7000"/>
          <w:b/>
          <w:color w:val="auto"/>
          <w:sz w:val="22"/>
          <w:szCs w:val="22"/>
          <w:highlight w:val="none"/>
        </w:rPr>
        <w:t>（1）资格文件</w:t>
      </w:r>
    </w:p>
    <w:tbl>
      <w:tblPr>
        <w:tblStyle w:val="67"/>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514"/>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宋体" w:hAnsi="宋体" w:cs="新宋体"/>
                <w:b/>
                <w:color w:val="auto"/>
                <w:sz w:val="22"/>
                <w:szCs w:val="22"/>
                <w:highlight w:val="none"/>
              </w:rPr>
            </w:pPr>
            <w:r>
              <w:rPr>
                <w:rFonts w:hint="eastAsia" w:ascii="宋体" w:hAnsi="宋体" w:cs="新宋体"/>
                <w:b/>
                <w:color w:val="auto"/>
                <w:sz w:val="22"/>
                <w:szCs w:val="22"/>
                <w:highlight w:val="none"/>
              </w:rPr>
              <w:t>序号</w:t>
            </w:r>
          </w:p>
        </w:tc>
        <w:tc>
          <w:tcPr>
            <w:tcW w:w="7514" w:type="dxa"/>
            <w:vAlign w:val="center"/>
          </w:tcPr>
          <w:p>
            <w:pPr>
              <w:overflowPunct w:val="0"/>
              <w:spacing w:line="430" w:lineRule="exact"/>
              <w:jc w:val="center"/>
              <w:rPr>
                <w:rFonts w:ascii="宋体" w:hAnsi="宋体" w:cs="新宋体"/>
                <w:b/>
                <w:color w:val="auto"/>
                <w:sz w:val="22"/>
                <w:szCs w:val="22"/>
                <w:highlight w:val="none"/>
              </w:rPr>
            </w:pPr>
            <w:r>
              <w:rPr>
                <w:rFonts w:hint="eastAsia" w:ascii="宋体" w:hAnsi="宋体" w:cs="新宋体"/>
                <w:b/>
                <w:color w:val="auto"/>
                <w:sz w:val="22"/>
                <w:szCs w:val="22"/>
                <w:highlight w:val="none"/>
              </w:rPr>
              <w:t>内 容</w:t>
            </w:r>
          </w:p>
        </w:tc>
        <w:tc>
          <w:tcPr>
            <w:tcW w:w="1523" w:type="dxa"/>
            <w:vAlign w:val="center"/>
          </w:tcPr>
          <w:p>
            <w:pPr>
              <w:overflowPunct w:val="0"/>
              <w:spacing w:line="430" w:lineRule="exact"/>
              <w:jc w:val="center"/>
              <w:rPr>
                <w:rFonts w:ascii="宋体" w:hAnsi="宋体" w:cs="新宋体"/>
                <w:b/>
                <w:color w:val="auto"/>
                <w:sz w:val="22"/>
                <w:szCs w:val="22"/>
                <w:highlight w:val="none"/>
              </w:rPr>
            </w:pPr>
            <w:r>
              <w:rPr>
                <w:rFonts w:hint="eastAsia" w:ascii="宋体" w:hAnsi="宋体" w:cs="新宋体"/>
                <w:b/>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宋体" w:hAnsi="宋体" w:cs="新宋体"/>
                <w:bCs/>
                <w:color w:val="auto"/>
                <w:sz w:val="22"/>
                <w:szCs w:val="22"/>
                <w:highlight w:val="none"/>
              </w:rPr>
            </w:pPr>
            <w:r>
              <w:rPr>
                <w:rFonts w:hint="eastAsia" w:ascii="宋体" w:hAnsi="宋体" w:cs="新宋体"/>
                <w:bCs/>
                <w:color w:val="auto"/>
                <w:sz w:val="22"/>
                <w:szCs w:val="22"/>
                <w:highlight w:val="none"/>
              </w:rPr>
              <w:t>1</w:t>
            </w:r>
          </w:p>
        </w:tc>
        <w:tc>
          <w:tcPr>
            <w:tcW w:w="7514" w:type="dxa"/>
            <w:vAlign w:val="center"/>
          </w:tcPr>
          <w:p>
            <w:pPr>
              <w:rPr>
                <w:rFonts w:ascii="宋体" w:hAnsi="宋体" w:cs="新宋体"/>
                <w:bCs/>
                <w:color w:val="auto"/>
                <w:sz w:val="22"/>
                <w:szCs w:val="22"/>
                <w:highlight w:val="none"/>
              </w:rPr>
            </w:pPr>
            <w:r>
              <w:rPr>
                <w:rFonts w:hint="eastAsia" w:ascii="宋体" w:hAnsi="宋体"/>
                <w:color w:val="auto"/>
                <w:sz w:val="22"/>
                <w:szCs w:val="22"/>
                <w:highlight w:val="none"/>
              </w:rPr>
              <w:t>营业执照(或事业法人登记证书或其它工商等登记证明材料；自然人参与政府采购，提供身份证)复印件、税务登记证(或其它缴纳证明材料)复印件、社保登记证（或其它缴纳证明材料）复印件；实施“五证合一、一照一码”登记制度改革的，只需提供改革后取得的营业执照复印件；</w:t>
            </w:r>
          </w:p>
        </w:tc>
        <w:tc>
          <w:tcPr>
            <w:tcW w:w="1523" w:type="dxa"/>
            <w:vAlign w:val="center"/>
          </w:tcPr>
          <w:p>
            <w:pPr>
              <w:overflowPunct w:val="0"/>
              <w:spacing w:line="430" w:lineRule="exact"/>
              <w:jc w:val="center"/>
              <w:rPr>
                <w:rFonts w:ascii="宋体" w:hAnsi="宋体" w:cs="新宋体"/>
                <w:b/>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宋体" w:hAnsi="宋体" w:cs="新宋体"/>
                <w:bCs/>
                <w:color w:val="auto"/>
                <w:sz w:val="22"/>
                <w:szCs w:val="22"/>
                <w:highlight w:val="none"/>
              </w:rPr>
            </w:pPr>
            <w:r>
              <w:rPr>
                <w:rFonts w:hint="eastAsia" w:ascii="宋体" w:hAnsi="宋体" w:cs="新宋体"/>
                <w:bCs/>
                <w:color w:val="auto"/>
                <w:sz w:val="22"/>
                <w:szCs w:val="22"/>
                <w:highlight w:val="none"/>
              </w:rPr>
              <w:t>2</w:t>
            </w:r>
          </w:p>
        </w:tc>
        <w:tc>
          <w:tcPr>
            <w:tcW w:w="7514" w:type="dxa"/>
            <w:vAlign w:val="center"/>
          </w:tcPr>
          <w:p>
            <w:pPr>
              <w:rPr>
                <w:rFonts w:ascii="宋体" w:hAnsi="宋体" w:cs="新宋体"/>
                <w:bCs/>
                <w:color w:val="auto"/>
                <w:sz w:val="22"/>
                <w:szCs w:val="22"/>
                <w:highlight w:val="none"/>
              </w:rPr>
            </w:pPr>
            <w:r>
              <w:rPr>
                <w:rFonts w:hint="eastAsia" w:ascii="宋体" w:cs="新宋体"/>
                <w:bCs/>
                <w:color w:val="auto"/>
                <w:sz w:val="22"/>
                <w:szCs w:val="22"/>
                <w:highlight w:val="none"/>
              </w:rPr>
              <w:t>法定代表人声明书或法定代表人授权书</w:t>
            </w:r>
          </w:p>
        </w:tc>
        <w:tc>
          <w:tcPr>
            <w:tcW w:w="1523" w:type="dxa"/>
            <w:vMerge w:val="restart"/>
            <w:vAlign w:val="center"/>
          </w:tcPr>
          <w:p>
            <w:pPr>
              <w:jc w:val="center"/>
              <w:rPr>
                <w:rFonts w:ascii="宋体" w:hAnsi="宋体" w:cs="新宋体"/>
                <w:bCs/>
                <w:color w:val="auto"/>
                <w:sz w:val="22"/>
                <w:szCs w:val="22"/>
                <w:highlight w:val="none"/>
              </w:rPr>
            </w:pPr>
            <w:r>
              <w:rPr>
                <w:rFonts w:hint="eastAsia" w:ascii="宋体" w:hAnsi="宋体" w:cs="新宋体"/>
                <w:bCs/>
                <w:color w:val="auto"/>
                <w:sz w:val="22"/>
                <w:szCs w:val="22"/>
                <w:highlight w:val="none"/>
              </w:rPr>
              <w:t>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宋体" w:hAnsi="宋体" w:cs="新宋体"/>
                <w:bCs/>
                <w:color w:val="auto"/>
                <w:sz w:val="22"/>
                <w:szCs w:val="22"/>
                <w:highlight w:val="none"/>
              </w:rPr>
            </w:pPr>
            <w:r>
              <w:rPr>
                <w:rFonts w:hint="eastAsia" w:ascii="宋体" w:hAnsi="宋体" w:cs="新宋体"/>
                <w:bCs/>
                <w:color w:val="auto"/>
                <w:sz w:val="22"/>
                <w:szCs w:val="22"/>
                <w:highlight w:val="none"/>
              </w:rPr>
              <w:t>3</w:t>
            </w:r>
          </w:p>
        </w:tc>
        <w:tc>
          <w:tcPr>
            <w:tcW w:w="7514" w:type="dxa"/>
            <w:vAlign w:val="center"/>
          </w:tcPr>
          <w:p>
            <w:pPr>
              <w:rPr>
                <w:rFonts w:ascii="宋体" w:hAnsi="宋体" w:cs="新宋体"/>
                <w:bCs/>
                <w:color w:val="auto"/>
                <w:sz w:val="22"/>
                <w:szCs w:val="22"/>
                <w:highlight w:val="none"/>
              </w:rPr>
            </w:pPr>
            <w:r>
              <w:rPr>
                <w:rFonts w:hint="eastAsia" w:ascii="宋体" w:cs="新宋体"/>
                <w:bCs/>
                <w:color w:val="auto"/>
                <w:sz w:val="22"/>
                <w:szCs w:val="22"/>
                <w:highlight w:val="none"/>
              </w:rPr>
              <w:t>投标供应商参与政府采购活动投标资格声明函</w:t>
            </w:r>
          </w:p>
        </w:tc>
        <w:tc>
          <w:tcPr>
            <w:tcW w:w="1523" w:type="dxa"/>
            <w:vMerge w:val="continue"/>
            <w:vAlign w:val="center"/>
          </w:tcPr>
          <w:p>
            <w:pPr>
              <w:spacing w:line="40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817" w:type="dxa"/>
            <w:vAlign w:val="center"/>
          </w:tcPr>
          <w:p>
            <w:pPr>
              <w:overflowPunct w:val="0"/>
              <w:spacing w:line="430" w:lineRule="exact"/>
              <w:jc w:val="center"/>
              <w:rPr>
                <w:rFonts w:ascii="宋体" w:hAnsi="宋体" w:cs="新宋体"/>
                <w:bCs/>
                <w:color w:val="auto"/>
                <w:sz w:val="22"/>
                <w:szCs w:val="22"/>
                <w:highlight w:val="none"/>
              </w:rPr>
            </w:pPr>
            <w:r>
              <w:rPr>
                <w:rFonts w:hint="eastAsia" w:ascii="宋体" w:hAnsi="宋体" w:cs="新宋体"/>
                <w:bCs/>
                <w:color w:val="auto"/>
                <w:sz w:val="22"/>
                <w:szCs w:val="22"/>
                <w:highlight w:val="none"/>
              </w:rPr>
              <w:t>4</w:t>
            </w:r>
          </w:p>
        </w:tc>
        <w:tc>
          <w:tcPr>
            <w:tcW w:w="7514" w:type="dxa"/>
            <w:vAlign w:val="center"/>
          </w:tcPr>
          <w:p>
            <w:pPr>
              <w:rPr>
                <w:rFonts w:ascii="宋体" w:hAnsi="宋体" w:cs="新宋体"/>
                <w:bCs/>
                <w:color w:val="auto"/>
                <w:sz w:val="22"/>
                <w:szCs w:val="22"/>
                <w:highlight w:val="none"/>
              </w:rPr>
            </w:pPr>
            <w:r>
              <w:rPr>
                <w:rFonts w:hint="eastAsia" w:ascii="宋体" w:cs="新宋体"/>
                <w:bCs/>
                <w:color w:val="auto"/>
                <w:sz w:val="22"/>
                <w:szCs w:val="22"/>
                <w:highlight w:val="none"/>
              </w:rPr>
              <w:t>诚信投标承诺书</w:t>
            </w:r>
          </w:p>
        </w:tc>
        <w:tc>
          <w:tcPr>
            <w:tcW w:w="1523" w:type="dxa"/>
            <w:vMerge w:val="continue"/>
            <w:vAlign w:val="center"/>
          </w:tcPr>
          <w:p>
            <w:pPr>
              <w:spacing w:line="40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817" w:type="dxa"/>
            <w:vAlign w:val="center"/>
          </w:tcPr>
          <w:p>
            <w:pPr>
              <w:overflowPunct w:val="0"/>
              <w:spacing w:line="430" w:lineRule="exact"/>
              <w:jc w:val="center"/>
              <w:rPr>
                <w:rFonts w:ascii="宋体" w:hAnsi="宋体" w:cs="新宋体"/>
                <w:bCs/>
                <w:color w:val="auto"/>
                <w:sz w:val="22"/>
                <w:szCs w:val="22"/>
                <w:highlight w:val="none"/>
              </w:rPr>
            </w:pPr>
            <w:r>
              <w:rPr>
                <w:rFonts w:hint="eastAsia" w:ascii="宋体" w:hAnsi="宋体" w:cs="新宋体"/>
                <w:bCs/>
                <w:color w:val="auto"/>
                <w:sz w:val="22"/>
                <w:szCs w:val="22"/>
                <w:highlight w:val="none"/>
              </w:rPr>
              <w:t>5</w:t>
            </w:r>
          </w:p>
        </w:tc>
        <w:tc>
          <w:tcPr>
            <w:tcW w:w="7514" w:type="dxa"/>
            <w:vAlign w:val="center"/>
          </w:tcPr>
          <w:p>
            <w:pPr>
              <w:rPr>
                <w:rFonts w:ascii="宋体" w:hAnsi="宋体" w:cs="新宋体"/>
                <w:bCs/>
                <w:color w:val="auto"/>
                <w:sz w:val="22"/>
                <w:szCs w:val="22"/>
                <w:highlight w:val="none"/>
              </w:rPr>
            </w:pPr>
            <w:r>
              <w:rPr>
                <w:rFonts w:hint="eastAsia" w:ascii="宋体" w:cs="新宋体"/>
                <w:bCs/>
                <w:color w:val="auto"/>
                <w:sz w:val="22"/>
                <w:szCs w:val="22"/>
                <w:highlight w:val="none"/>
              </w:rPr>
              <w:t>小、微企业（或监狱企业、残疾人福利单位）</w:t>
            </w:r>
            <w:r>
              <w:rPr>
                <w:rFonts w:hint="eastAsia" w:ascii="宋体" w:cs="新宋体"/>
                <w:bCs/>
                <w:color w:val="auto"/>
                <w:sz w:val="22"/>
                <w:szCs w:val="22"/>
                <w:highlight w:val="none"/>
                <w:lang w:val="en-US" w:eastAsia="zh-CN"/>
              </w:rPr>
              <w:t>声明函</w:t>
            </w:r>
          </w:p>
        </w:tc>
        <w:tc>
          <w:tcPr>
            <w:tcW w:w="1523" w:type="dxa"/>
            <w:vMerge w:val="continue"/>
            <w:vAlign w:val="center"/>
          </w:tcPr>
          <w:p>
            <w:pPr>
              <w:spacing w:line="40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宋体" w:hAnsi="宋体" w:cs="新宋体"/>
                <w:bCs/>
                <w:color w:val="auto"/>
                <w:sz w:val="22"/>
                <w:szCs w:val="22"/>
                <w:highlight w:val="none"/>
              </w:rPr>
            </w:pPr>
            <w:r>
              <w:rPr>
                <w:rFonts w:hint="eastAsia" w:ascii="宋体" w:hAnsi="宋体" w:cs="新宋体"/>
                <w:bCs/>
                <w:color w:val="auto"/>
                <w:sz w:val="22"/>
                <w:szCs w:val="22"/>
                <w:highlight w:val="none"/>
              </w:rPr>
              <w:t>6</w:t>
            </w:r>
          </w:p>
        </w:tc>
        <w:tc>
          <w:tcPr>
            <w:tcW w:w="7514" w:type="dxa"/>
            <w:vAlign w:val="center"/>
          </w:tcPr>
          <w:p>
            <w:pPr>
              <w:rPr>
                <w:rFonts w:ascii="宋体" w:hAnsi="宋体" w:cs="新宋体"/>
                <w:bCs/>
                <w:color w:val="auto"/>
                <w:sz w:val="22"/>
                <w:szCs w:val="22"/>
                <w:highlight w:val="none"/>
              </w:rPr>
            </w:pPr>
            <w:r>
              <w:rPr>
                <w:rFonts w:hint="eastAsia" w:ascii="宋体" w:hAnsi="宋体" w:cs="新宋体"/>
                <w:bCs/>
                <w:color w:val="auto"/>
                <w:sz w:val="22"/>
                <w:szCs w:val="22"/>
                <w:highlight w:val="none"/>
              </w:rPr>
              <w:t>投标人“信用中国”(www.creditchina.gov.cn)；“中国政府采购网”（http://www.ccgp.gov.cn/）信用记录网页截图（招标公告发布之日至投标截止时间前）；</w:t>
            </w:r>
          </w:p>
        </w:tc>
        <w:tc>
          <w:tcPr>
            <w:tcW w:w="1523" w:type="dxa"/>
            <w:vAlign w:val="center"/>
          </w:tcPr>
          <w:p>
            <w:pPr>
              <w:jc w:val="center"/>
              <w:rPr>
                <w:rFonts w:ascii="宋体" w:hAnsi="宋体" w:cs="新宋体"/>
                <w:bCs/>
                <w:color w:val="auto"/>
                <w:sz w:val="22"/>
                <w:szCs w:val="22"/>
                <w:highlight w:val="none"/>
              </w:rPr>
            </w:pPr>
          </w:p>
        </w:tc>
      </w:tr>
    </w:tbl>
    <w:p>
      <w:pPr>
        <w:spacing w:line="430" w:lineRule="exact"/>
        <w:ind w:left="187" w:leftChars="85" w:hanging="9" w:hangingChars="4"/>
        <w:rPr>
          <w:rFonts w:ascii="宋体" w:hAnsi="宋体" w:cs="楷体"/>
          <w:b/>
          <w:color w:val="auto"/>
          <w:sz w:val="22"/>
          <w:szCs w:val="22"/>
          <w:highlight w:val="none"/>
        </w:rPr>
      </w:pPr>
      <w:r>
        <w:rPr>
          <w:rFonts w:hint="eastAsia" w:ascii="宋体" w:hAnsi="宋体" w:cs="楷体"/>
          <w:b/>
          <w:color w:val="auto"/>
          <w:sz w:val="22"/>
          <w:szCs w:val="22"/>
          <w:highlight w:val="none"/>
        </w:rPr>
        <w:t>备注：</w:t>
      </w:r>
    </w:p>
    <w:p>
      <w:pPr>
        <w:numPr>
          <w:ilvl w:val="0"/>
          <w:numId w:val="10"/>
        </w:numPr>
        <w:spacing w:line="430" w:lineRule="exact"/>
        <w:rPr>
          <w:rFonts w:ascii="宋体" w:hAnsi="宋体" w:cs="楷体"/>
          <w:b/>
          <w:color w:val="auto"/>
          <w:sz w:val="22"/>
          <w:szCs w:val="22"/>
          <w:highlight w:val="none"/>
        </w:rPr>
      </w:pPr>
      <w:r>
        <w:rPr>
          <w:rFonts w:hint="eastAsia" w:ascii="宋体" w:hAnsi="宋体" w:cs="新宋体"/>
          <w:color w:val="auto"/>
          <w:sz w:val="22"/>
          <w:szCs w:val="2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pacing w:line="430" w:lineRule="exact"/>
        <w:ind w:left="187" w:leftChars="85" w:hanging="9" w:hangingChars="4"/>
        <w:rPr>
          <w:rFonts w:ascii="宋体" w:hAnsi="宋体" w:cs="hakuyoxingshu7000"/>
          <w:b/>
          <w:color w:val="auto"/>
          <w:sz w:val="22"/>
          <w:szCs w:val="22"/>
          <w:highlight w:val="none"/>
        </w:rPr>
      </w:pPr>
      <w:r>
        <w:rPr>
          <w:rFonts w:hint="eastAsia" w:ascii="宋体" w:hAnsi="宋体" w:cs="hakuyoxingshu7000"/>
          <w:b/>
          <w:color w:val="auto"/>
          <w:sz w:val="22"/>
          <w:szCs w:val="22"/>
          <w:highlight w:val="none"/>
        </w:rPr>
        <w:t>（2）商务技术文件</w:t>
      </w:r>
    </w:p>
    <w:tbl>
      <w:tblPr>
        <w:tblStyle w:val="67"/>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7954"/>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b/>
                <w:color w:val="auto"/>
                <w:sz w:val="22"/>
                <w:szCs w:val="22"/>
                <w:highlight w:val="none"/>
              </w:rPr>
            </w:pPr>
            <w:r>
              <w:rPr>
                <w:rFonts w:hint="eastAsia" w:ascii="宋体" w:hAnsi="宋体" w:cs="仿宋"/>
                <w:b/>
                <w:color w:val="auto"/>
                <w:sz w:val="22"/>
                <w:szCs w:val="22"/>
                <w:highlight w:val="none"/>
              </w:rPr>
              <w:t>序号</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ascii="宋体" w:hAnsi="宋体" w:cs="仿宋"/>
                <w:b/>
                <w:color w:val="auto"/>
                <w:sz w:val="22"/>
                <w:szCs w:val="22"/>
                <w:highlight w:val="none"/>
              </w:rPr>
            </w:pPr>
            <w:r>
              <w:rPr>
                <w:rFonts w:hint="eastAsia" w:ascii="宋体" w:hAnsi="宋体" w:cs="仿宋"/>
                <w:b/>
                <w:color w:val="auto"/>
                <w:sz w:val="22"/>
                <w:szCs w:val="22"/>
                <w:highlight w:val="none"/>
              </w:rPr>
              <w:t>内容</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b/>
                <w:color w:val="auto"/>
                <w:sz w:val="22"/>
                <w:szCs w:val="22"/>
                <w:highlight w:val="none"/>
              </w:rPr>
            </w:pPr>
            <w:r>
              <w:rPr>
                <w:rFonts w:hint="eastAsia" w:ascii="宋体" w:hAnsi="宋体" w:cs="仿宋"/>
                <w:b/>
                <w:color w:val="auto"/>
                <w:sz w:val="22"/>
                <w:szCs w:val="22"/>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r>
              <w:rPr>
                <w:rFonts w:hint="eastAsia" w:ascii="宋体" w:hAnsi="宋体" w:cs="仿宋"/>
                <w:color w:val="auto"/>
                <w:sz w:val="22"/>
                <w:szCs w:val="22"/>
                <w:highlight w:val="none"/>
              </w:rPr>
              <w:t>1）</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ascii="宋体" w:hAnsi="宋体" w:cs="仿宋"/>
                <w:color w:val="auto"/>
                <w:sz w:val="22"/>
                <w:szCs w:val="22"/>
                <w:highlight w:val="none"/>
              </w:rPr>
            </w:pPr>
            <w:r>
              <w:rPr>
                <w:rFonts w:hint="eastAsia" w:ascii="宋体" w:hAnsi="宋体" w:cs="仿宋"/>
                <w:color w:val="auto"/>
                <w:sz w:val="22"/>
                <w:szCs w:val="22"/>
                <w:highlight w:val="none"/>
              </w:rPr>
              <w:t>投标函</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r>
              <w:rPr>
                <w:rFonts w:hint="eastAsia" w:ascii="宋体" w:hAnsi="宋体" w:cs="仿宋"/>
                <w:color w:val="auto"/>
                <w:sz w:val="22"/>
                <w:szCs w:val="22"/>
                <w:highlight w:val="none"/>
              </w:rPr>
              <w:t>附件四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r>
              <w:rPr>
                <w:rFonts w:hint="eastAsia" w:ascii="宋体" w:hAnsi="宋体" w:cs="仿宋"/>
                <w:color w:val="auto"/>
                <w:sz w:val="22"/>
                <w:szCs w:val="22"/>
                <w:highlight w:val="none"/>
              </w:rPr>
              <w:t>2）</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ascii="宋体" w:hAnsi="宋体" w:cs="仿宋"/>
                <w:color w:val="auto"/>
                <w:sz w:val="22"/>
                <w:szCs w:val="22"/>
                <w:highlight w:val="none"/>
              </w:rPr>
            </w:pPr>
            <w:r>
              <w:rPr>
                <w:rFonts w:hint="eastAsia" w:ascii="宋体" w:hAnsi="宋体" w:cs="仿宋"/>
                <w:color w:val="auto"/>
                <w:sz w:val="22"/>
                <w:szCs w:val="22"/>
                <w:highlight w:val="none"/>
              </w:rPr>
              <w:t>技术规格、商务条款偏离表</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r>
              <w:rPr>
                <w:rFonts w:hint="eastAsia" w:ascii="宋体" w:hAnsi="宋体" w:cs="仿宋"/>
                <w:color w:val="auto"/>
                <w:sz w:val="22"/>
                <w:szCs w:val="22"/>
                <w:highlight w:val="none"/>
              </w:rPr>
              <w:t>附件五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r>
              <w:rPr>
                <w:rFonts w:hint="eastAsia" w:ascii="宋体" w:hAnsi="宋体" w:cs="仿宋"/>
                <w:color w:val="auto"/>
                <w:sz w:val="22"/>
                <w:szCs w:val="22"/>
                <w:highlight w:val="none"/>
              </w:rPr>
              <w:t>3）</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ascii="宋体" w:hAnsi="宋体" w:cs="仿宋"/>
                <w:color w:val="auto"/>
                <w:sz w:val="22"/>
                <w:szCs w:val="22"/>
                <w:highlight w:val="none"/>
              </w:rPr>
            </w:pPr>
            <w:r>
              <w:rPr>
                <w:rFonts w:hint="eastAsia" w:ascii="宋体" w:hAnsi="宋体" w:cs="仿宋"/>
                <w:color w:val="auto"/>
                <w:sz w:val="22"/>
                <w:szCs w:val="22"/>
                <w:highlight w:val="none"/>
              </w:rPr>
              <w:t>资信证明文件（本部分为技术资信评分内容，投标人根据自身实际情况提供）</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4）</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ascii="宋体" w:hAnsi="宋体" w:cs="宋体"/>
                <w:color w:val="auto"/>
                <w:sz w:val="22"/>
                <w:szCs w:val="22"/>
                <w:highlight w:val="none"/>
              </w:rPr>
            </w:pPr>
            <w:r>
              <w:rPr>
                <w:rFonts w:hint="eastAsia" w:ascii="宋体" w:hAnsi="宋体" w:cs="宋体"/>
                <w:color w:val="auto"/>
                <w:sz w:val="22"/>
                <w:szCs w:val="22"/>
                <w:highlight w:val="none"/>
              </w:rPr>
              <w:t>项目案例业绩</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附件六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r>
              <w:rPr>
                <w:rFonts w:hint="eastAsia" w:ascii="宋体" w:hAnsi="宋体" w:cs="仿宋"/>
                <w:color w:val="auto"/>
                <w:sz w:val="22"/>
                <w:szCs w:val="22"/>
                <w:highlight w:val="none"/>
              </w:rPr>
              <w:t>a</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ascii="宋体" w:hAnsi="宋体" w:cs="宋体"/>
                <w:color w:val="auto"/>
                <w:sz w:val="22"/>
                <w:szCs w:val="22"/>
                <w:highlight w:val="none"/>
              </w:rPr>
            </w:pPr>
            <w:r>
              <w:rPr>
                <w:rFonts w:hint="eastAsia" w:ascii="宋体" w:hAnsi="宋体" w:cs="宋体"/>
                <w:color w:val="auto"/>
                <w:sz w:val="22"/>
                <w:szCs w:val="22"/>
                <w:highlight w:val="none"/>
              </w:rPr>
              <w:t>业绩证明材料</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b/>
                <w:color w:val="auto"/>
                <w:sz w:val="22"/>
                <w:szCs w:val="22"/>
                <w:highlight w:val="none"/>
              </w:rPr>
            </w:pPr>
            <w:r>
              <w:rPr>
                <w:rFonts w:hint="eastAsia" w:ascii="宋体" w:hAnsi="宋体" w:cs="仿宋"/>
                <w:b/>
                <w:color w:val="auto"/>
                <w:sz w:val="22"/>
                <w:szCs w:val="22"/>
                <w:highlight w:val="none"/>
              </w:rPr>
              <w:t>5)</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ascii="宋体" w:hAnsi="宋体" w:cs="宋体"/>
                <w:b/>
                <w:color w:val="auto"/>
                <w:sz w:val="22"/>
                <w:szCs w:val="22"/>
                <w:highlight w:val="none"/>
              </w:rPr>
            </w:pPr>
            <w:r>
              <w:rPr>
                <w:rFonts w:hint="eastAsia" w:ascii="宋体" w:hAnsi="宋体" w:cs="宋体"/>
                <w:b/>
                <w:color w:val="auto"/>
                <w:sz w:val="22"/>
                <w:szCs w:val="22"/>
                <w:highlight w:val="none"/>
              </w:rPr>
              <w:t>供货范围详细清单</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r>
              <w:rPr>
                <w:rFonts w:hint="eastAsia" w:ascii="宋体" w:hAnsi="宋体" w:cs="仿宋"/>
                <w:color w:val="auto"/>
                <w:sz w:val="22"/>
                <w:szCs w:val="22"/>
                <w:highlight w:val="none"/>
              </w:rPr>
              <w:t>附件七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b/>
                <w:color w:val="auto"/>
                <w:sz w:val="22"/>
                <w:szCs w:val="22"/>
                <w:highlight w:val="none"/>
              </w:rPr>
            </w:pPr>
            <w:r>
              <w:rPr>
                <w:rFonts w:hint="eastAsia" w:ascii="宋体" w:hAnsi="宋体" w:cs="仿宋"/>
                <w:b/>
                <w:color w:val="auto"/>
                <w:sz w:val="22"/>
                <w:szCs w:val="22"/>
                <w:highlight w:val="none"/>
              </w:rPr>
              <w:t>a</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ascii="宋体" w:hAnsi="宋体" w:cs="宋体"/>
                <w:b/>
                <w:color w:val="auto"/>
                <w:sz w:val="22"/>
                <w:szCs w:val="22"/>
                <w:highlight w:val="none"/>
              </w:rPr>
            </w:pPr>
            <w:r>
              <w:rPr>
                <w:rFonts w:hint="eastAsia" w:ascii="宋体" w:hAnsi="宋体" w:cs="宋体"/>
                <w:b/>
                <w:color w:val="auto"/>
                <w:sz w:val="22"/>
                <w:szCs w:val="22"/>
                <w:highlight w:val="none"/>
              </w:rPr>
              <w:t>详细技术参数及信息</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58"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b/>
                <w:color w:val="auto"/>
                <w:sz w:val="22"/>
                <w:szCs w:val="22"/>
                <w:highlight w:val="none"/>
              </w:rPr>
            </w:pPr>
            <w:r>
              <w:rPr>
                <w:rFonts w:hint="eastAsia" w:ascii="宋体" w:hAnsi="宋体" w:cs="仿宋"/>
                <w:b/>
                <w:color w:val="auto"/>
                <w:sz w:val="22"/>
                <w:szCs w:val="22"/>
                <w:highlight w:val="none"/>
              </w:rPr>
              <w:t>b</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ascii="宋体" w:hAnsi="宋体" w:cs="宋体"/>
                <w:b/>
                <w:color w:val="auto"/>
                <w:sz w:val="22"/>
                <w:szCs w:val="22"/>
                <w:highlight w:val="none"/>
              </w:rPr>
            </w:pPr>
            <w:r>
              <w:rPr>
                <w:rFonts w:hint="eastAsia" w:ascii="宋体" w:hAnsi="宋体" w:cs="宋体"/>
                <w:b/>
                <w:color w:val="auto"/>
                <w:sz w:val="22"/>
                <w:szCs w:val="22"/>
                <w:highlight w:val="none"/>
              </w:rPr>
              <w:t>相关质量检测报告（如有）</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658"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hint="eastAsia" w:ascii="宋体" w:hAnsi="宋体" w:eastAsia="宋体" w:cs="仿宋"/>
                <w:color w:val="auto"/>
                <w:kern w:val="2"/>
                <w:sz w:val="22"/>
                <w:szCs w:val="22"/>
                <w:highlight w:val="none"/>
                <w:lang w:val="en-US" w:eastAsia="zh-CN" w:bidi="ar-SA"/>
              </w:rPr>
            </w:pPr>
            <w:r>
              <w:rPr>
                <w:rFonts w:hint="eastAsia" w:ascii="宋体" w:hAnsi="宋体" w:cs="仿宋"/>
                <w:color w:val="auto"/>
                <w:sz w:val="22"/>
                <w:szCs w:val="22"/>
                <w:highlight w:val="none"/>
              </w:rPr>
              <w:t>6)</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hint="eastAsia" w:ascii="宋体" w:hAnsi="宋体" w:eastAsia="宋体" w:cs="宋体"/>
                <w:b/>
                <w:color w:val="auto"/>
                <w:kern w:val="2"/>
                <w:sz w:val="22"/>
                <w:szCs w:val="22"/>
                <w:highlight w:val="none"/>
                <w:lang w:val="en-US" w:eastAsia="zh-CN" w:bidi="ar-SA"/>
              </w:rPr>
            </w:pPr>
            <w:r>
              <w:rPr>
                <w:rFonts w:hint="eastAsia" w:ascii="宋体" w:hAnsi="宋体" w:cs="Arial"/>
                <w:b/>
                <w:color w:val="auto"/>
                <w:sz w:val="22"/>
                <w:szCs w:val="22"/>
                <w:highlight w:val="none"/>
                <w:u w:val="single"/>
              </w:rPr>
              <w:t>▲</w:t>
            </w:r>
            <w:r>
              <w:rPr>
                <w:rFonts w:hint="eastAsia" w:ascii="宋体" w:hAnsi="宋体"/>
                <w:b/>
                <w:color w:val="auto"/>
                <w:spacing w:val="6"/>
                <w:sz w:val="22"/>
                <w:szCs w:val="22"/>
                <w:highlight w:val="none"/>
                <w:u w:val="single"/>
                <w:lang w:val="en-US" w:eastAsia="zh-CN"/>
              </w:rPr>
              <w:t>检测报告承诺函</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hint="eastAsia" w:ascii="宋体" w:hAnsi="宋体" w:eastAsia="宋体" w:cs="仿宋"/>
                <w:color w:val="auto"/>
                <w:kern w:val="2"/>
                <w:sz w:val="22"/>
                <w:szCs w:val="22"/>
                <w:highlight w:val="none"/>
                <w:lang w:val="en-US" w:eastAsia="zh-CN" w:bidi="ar-SA"/>
              </w:rPr>
            </w:pPr>
            <w:r>
              <w:rPr>
                <w:rFonts w:hint="eastAsia" w:ascii="宋体" w:hAnsi="宋体" w:cs="仿宋"/>
                <w:color w:val="auto"/>
                <w:sz w:val="22"/>
                <w:szCs w:val="22"/>
                <w:highlight w:val="none"/>
              </w:rPr>
              <w:t>附件</w:t>
            </w:r>
            <w:r>
              <w:rPr>
                <w:rFonts w:hint="eastAsia" w:ascii="宋体" w:hAnsi="宋体" w:cs="仿宋"/>
                <w:color w:val="auto"/>
                <w:sz w:val="22"/>
                <w:szCs w:val="22"/>
                <w:highlight w:val="none"/>
                <w:lang w:val="en-US" w:eastAsia="zh-CN"/>
              </w:rPr>
              <w:t>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58"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hint="eastAsia" w:ascii="宋体" w:hAnsi="宋体" w:eastAsia="宋体" w:cs="仿宋"/>
                <w:color w:val="auto"/>
                <w:kern w:val="2"/>
                <w:sz w:val="22"/>
                <w:szCs w:val="22"/>
                <w:highlight w:val="none"/>
                <w:lang w:val="en-US" w:eastAsia="zh-CN" w:bidi="ar-SA"/>
              </w:rPr>
            </w:pPr>
            <w:r>
              <w:rPr>
                <w:rFonts w:ascii="宋体" w:hAnsi="宋体" w:cs="仿宋"/>
                <w:color w:val="auto"/>
                <w:sz w:val="22"/>
                <w:szCs w:val="22"/>
                <w:highlight w:val="none"/>
              </w:rPr>
              <w:t>7)</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项目实施方案</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hint="eastAsia" w:ascii="宋体" w:hAnsi="宋体" w:eastAsia="宋体" w:cs="仿宋"/>
                <w:color w:val="auto"/>
                <w:kern w:val="2"/>
                <w:sz w:val="22"/>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eastAsia="宋体" w:cs="仿宋"/>
                <w:color w:val="auto"/>
                <w:kern w:val="2"/>
                <w:sz w:val="22"/>
                <w:szCs w:val="22"/>
                <w:highlight w:val="none"/>
                <w:lang w:val="en-US" w:eastAsia="zh-CN" w:bidi="ar-SA"/>
              </w:rPr>
            </w:pPr>
            <w:r>
              <w:rPr>
                <w:rFonts w:ascii="宋体" w:hAnsi="宋体" w:cs="仿宋"/>
                <w:color w:val="auto"/>
                <w:sz w:val="22"/>
                <w:szCs w:val="22"/>
                <w:highlight w:val="none"/>
              </w:rPr>
              <w:t>8)</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售后服务方案</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58" w:type="dxa"/>
            <w:tcBorders>
              <w:top w:val="single" w:color="auto" w:sz="4" w:space="0"/>
              <w:left w:val="single" w:color="auto" w:sz="4" w:space="0"/>
              <w:bottom w:val="single" w:color="auto" w:sz="4" w:space="0"/>
              <w:right w:val="single" w:color="auto" w:sz="4" w:space="0"/>
            </w:tcBorders>
            <w:vAlign w:val="top"/>
          </w:tcPr>
          <w:p>
            <w:pPr>
              <w:spacing w:line="430" w:lineRule="exact"/>
              <w:jc w:val="center"/>
              <w:rPr>
                <w:rFonts w:ascii="宋体" w:hAnsi="宋体" w:eastAsia="宋体" w:cs="仿宋"/>
                <w:color w:val="auto"/>
                <w:kern w:val="2"/>
                <w:sz w:val="22"/>
                <w:szCs w:val="22"/>
                <w:highlight w:val="none"/>
                <w:lang w:val="en-US" w:eastAsia="zh-CN" w:bidi="ar-SA"/>
              </w:rPr>
            </w:pPr>
            <w:r>
              <w:rPr>
                <w:rFonts w:ascii="宋体" w:hAnsi="宋体" w:cs="仿宋"/>
                <w:color w:val="auto"/>
                <w:sz w:val="22"/>
                <w:szCs w:val="22"/>
                <w:highlight w:val="none"/>
              </w:rPr>
              <w:t>9)</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拟投入人员力量</w:t>
            </w:r>
          </w:p>
        </w:tc>
        <w:tc>
          <w:tcPr>
            <w:tcW w:w="1242" w:type="dxa"/>
            <w:tcBorders>
              <w:top w:val="single" w:color="auto" w:sz="4" w:space="0"/>
              <w:left w:val="single" w:color="auto" w:sz="4" w:space="0"/>
              <w:bottom w:val="single" w:color="auto" w:sz="4" w:space="0"/>
              <w:right w:val="single" w:color="auto" w:sz="4" w:space="0"/>
            </w:tcBorders>
            <w:vAlign w:val="center"/>
          </w:tcPr>
          <w:p>
            <w:pPr>
              <w:rPr>
                <w:rFonts w:ascii="宋体" w:hAnsi="宋体" w:cs="仿宋"/>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 w:type="dxa"/>
            <w:tcBorders>
              <w:top w:val="single" w:color="auto" w:sz="4" w:space="0"/>
              <w:left w:val="single" w:color="auto" w:sz="4" w:space="0"/>
              <w:bottom w:val="single" w:color="auto" w:sz="4" w:space="0"/>
              <w:right w:val="single" w:color="auto" w:sz="4" w:space="0"/>
            </w:tcBorders>
            <w:vAlign w:val="top"/>
          </w:tcPr>
          <w:p>
            <w:pPr>
              <w:spacing w:line="430" w:lineRule="exact"/>
              <w:jc w:val="center"/>
              <w:rPr>
                <w:rFonts w:ascii="宋体" w:hAnsi="宋体" w:eastAsia="宋体" w:cs="仿宋"/>
                <w:color w:val="auto"/>
                <w:kern w:val="2"/>
                <w:sz w:val="22"/>
                <w:szCs w:val="22"/>
                <w:highlight w:val="none"/>
                <w:lang w:val="en-US" w:eastAsia="zh-CN" w:bidi="ar-SA"/>
              </w:rPr>
            </w:pPr>
            <w:r>
              <w:rPr>
                <w:rFonts w:ascii="宋体" w:hAnsi="宋体" w:cs="仿宋"/>
                <w:color w:val="auto"/>
                <w:sz w:val="22"/>
                <w:szCs w:val="22"/>
                <w:highlight w:val="none"/>
              </w:rPr>
              <w:t>10)</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ascii="宋体" w:hAnsi="宋体" w:eastAsia="宋体" w:cs="仿宋"/>
                <w:color w:val="auto"/>
                <w:kern w:val="2"/>
                <w:sz w:val="22"/>
                <w:szCs w:val="22"/>
                <w:highlight w:val="none"/>
                <w:lang w:val="en-US" w:eastAsia="zh-CN" w:bidi="ar-SA"/>
              </w:rPr>
            </w:pPr>
            <w:r>
              <w:rPr>
                <w:rFonts w:hint="eastAsia" w:ascii="宋体" w:hAnsi="宋体" w:cs="仿宋"/>
                <w:color w:val="auto"/>
                <w:sz w:val="22"/>
                <w:szCs w:val="22"/>
                <w:highlight w:val="none"/>
              </w:rPr>
              <w:t>节能环保证明</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8" w:type="dxa"/>
            <w:tcBorders>
              <w:top w:val="single" w:color="auto" w:sz="4" w:space="0"/>
              <w:left w:val="single" w:color="auto" w:sz="4" w:space="0"/>
              <w:bottom w:val="single" w:color="auto" w:sz="4" w:space="0"/>
              <w:right w:val="single" w:color="auto" w:sz="4" w:space="0"/>
            </w:tcBorders>
            <w:vAlign w:val="top"/>
          </w:tcPr>
          <w:p>
            <w:pPr>
              <w:spacing w:line="430" w:lineRule="exact"/>
              <w:jc w:val="center"/>
              <w:rPr>
                <w:rFonts w:ascii="宋体" w:hAnsi="宋体" w:eastAsia="宋体" w:cs="仿宋"/>
                <w:color w:val="auto"/>
                <w:kern w:val="2"/>
                <w:sz w:val="22"/>
                <w:szCs w:val="22"/>
                <w:highlight w:val="none"/>
                <w:lang w:val="en-US" w:eastAsia="zh-CN" w:bidi="ar-SA"/>
              </w:rPr>
            </w:pPr>
            <w:r>
              <w:rPr>
                <w:rFonts w:ascii="宋体" w:hAnsi="宋体" w:cs="仿宋"/>
                <w:color w:val="auto"/>
                <w:sz w:val="22"/>
                <w:szCs w:val="22"/>
                <w:highlight w:val="none"/>
              </w:rPr>
              <w:t>1</w:t>
            </w:r>
            <w:r>
              <w:rPr>
                <w:rFonts w:hint="eastAsia" w:ascii="宋体" w:hAnsi="宋体" w:cs="仿宋"/>
                <w:color w:val="auto"/>
                <w:sz w:val="22"/>
                <w:szCs w:val="22"/>
                <w:highlight w:val="none"/>
                <w:lang w:val="en-US" w:eastAsia="zh-CN"/>
              </w:rPr>
              <w:t>1</w:t>
            </w:r>
            <w:r>
              <w:rPr>
                <w:rFonts w:ascii="宋体" w:hAnsi="宋体" w:cs="仿宋"/>
                <w:color w:val="auto"/>
                <w:sz w:val="22"/>
                <w:szCs w:val="22"/>
                <w:highlight w:val="none"/>
              </w:rPr>
              <w:t>)</w:t>
            </w:r>
          </w:p>
        </w:tc>
        <w:tc>
          <w:tcPr>
            <w:tcW w:w="7954" w:type="dxa"/>
            <w:tcBorders>
              <w:top w:val="single" w:color="auto" w:sz="4" w:space="0"/>
              <w:left w:val="single" w:color="auto" w:sz="4" w:space="0"/>
              <w:bottom w:val="single" w:color="auto" w:sz="4" w:space="0"/>
              <w:right w:val="single" w:color="auto" w:sz="4" w:space="0"/>
            </w:tcBorders>
            <w:vAlign w:val="center"/>
          </w:tcPr>
          <w:p>
            <w:pPr>
              <w:spacing w:line="430" w:lineRule="exact"/>
              <w:rPr>
                <w:rFonts w:ascii="宋体" w:hAnsi="宋体" w:eastAsia="宋体" w:cs="仿宋"/>
                <w:color w:val="auto"/>
                <w:kern w:val="2"/>
                <w:sz w:val="22"/>
                <w:szCs w:val="22"/>
                <w:highlight w:val="none"/>
                <w:lang w:val="en-US" w:eastAsia="zh-CN" w:bidi="ar-SA"/>
              </w:rPr>
            </w:pPr>
            <w:r>
              <w:rPr>
                <w:rFonts w:hint="eastAsia" w:ascii="宋体" w:hAnsi="宋体" w:cs="仿宋"/>
                <w:color w:val="auto"/>
                <w:sz w:val="22"/>
                <w:szCs w:val="22"/>
                <w:highlight w:val="none"/>
              </w:rPr>
              <w:t>结合招标文件评分细则投标人认为需要提供的其他技术资料</w:t>
            </w:r>
          </w:p>
        </w:tc>
        <w:tc>
          <w:tcPr>
            <w:tcW w:w="1242" w:type="dxa"/>
            <w:tcBorders>
              <w:top w:val="single" w:color="auto" w:sz="4" w:space="0"/>
              <w:left w:val="single" w:color="auto" w:sz="4" w:space="0"/>
              <w:bottom w:val="single" w:color="auto" w:sz="4" w:space="0"/>
              <w:right w:val="single" w:color="auto" w:sz="4" w:space="0"/>
            </w:tcBorders>
            <w:vAlign w:val="center"/>
          </w:tcPr>
          <w:p>
            <w:pPr>
              <w:spacing w:line="430" w:lineRule="exact"/>
              <w:jc w:val="center"/>
              <w:rPr>
                <w:rFonts w:ascii="宋体" w:hAnsi="宋体" w:cs="仿宋"/>
                <w:color w:val="auto"/>
                <w:sz w:val="22"/>
                <w:szCs w:val="22"/>
                <w:highlight w:val="none"/>
              </w:rPr>
            </w:pPr>
          </w:p>
        </w:tc>
      </w:tr>
    </w:tbl>
    <w:p>
      <w:pPr>
        <w:spacing w:line="430" w:lineRule="exact"/>
        <w:ind w:left="187" w:leftChars="85" w:hanging="9" w:hangingChars="4"/>
        <w:rPr>
          <w:rFonts w:ascii="宋体" w:hAnsi="宋体" w:cs="hakuyoxingshu7000"/>
          <w:bCs/>
          <w:color w:val="auto"/>
          <w:sz w:val="22"/>
          <w:szCs w:val="22"/>
          <w:highlight w:val="none"/>
        </w:rPr>
      </w:pPr>
      <w:r>
        <w:rPr>
          <w:rFonts w:hint="eastAsia" w:ascii="宋体" w:hAnsi="宋体" w:cs="hakuyoxingshu7000"/>
          <w:b/>
          <w:color w:val="auto"/>
          <w:sz w:val="22"/>
          <w:szCs w:val="22"/>
          <w:highlight w:val="none"/>
        </w:rPr>
        <w:t>说明：</w:t>
      </w:r>
    </w:p>
    <w:p>
      <w:pPr>
        <w:numPr>
          <w:ilvl w:val="0"/>
          <w:numId w:val="11"/>
        </w:numPr>
        <w:tabs>
          <w:tab w:val="left" w:pos="5355"/>
        </w:tabs>
        <w:spacing w:line="430" w:lineRule="exact"/>
        <w:rPr>
          <w:rFonts w:ascii="宋体" w:hAnsi="宋体"/>
          <w:color w:val="auto"/>
          <w:sz w:val="22"/>
          <w:szCs w:val="22"/>
          <w:highlight w:val="none"/>
        </w:rPr>
      </w:pPr>
      <w:r>
        <w:rPr>
          <w:rFonts w:hint="eastAsia" w:ascii="宋体" w:hAnsi="宋体"/>
          <w:color w:val="auto"/>
          <w:sz w:val="22"/>
          <w:szCs w:val="22"/>
          <w:highlight w:val="none"/>
        </w:rPr>
        <w:t>投标人可根据招标文件中的技术规格书以及技术资信评分表，提供投标人认为需要提供的文件和资料。</w:t>
      </w:r>
    </w:p>
    <w:p>
      <w:pPr>
        <w:numPr>
          <w:ilvl w:val="0"/>
          <w:numId w:val="11"/>
        </w:numPr>
        <w:tabs>
          <w:tab w:val="left" w:pos="5355"/>
        </w:tabs>
        <w:spacing w:line="430" w:lineRule="exact"/>
        <w:rPr>
          <w:rFonts w:ascii="宋体" w:hAnsi="宋体"/>
          <w:color w:val="auto"/>
          <w:sz w:val="22"/>
          <w:szCs w:val="22"/>
          <w:highlight w:val="none"/>
        </w:rPr>
      </w:pPr>
      <w:r>
        <w:rPr>
          <w:rFonts w:hint="eastAsia" w:ascii="宋体" w:hAnsi="宋体"/>
          <w:color w:val="auto"/>
          <w:sz w:val="22"/>
          <w:szCs w:val="22"/>
          <w:highlight w:val="none"/>
        </w:rPr>
        <w:t>投标人可在投标文件中对招标文件中的技术要求选用替代标准、补充或更改，但这些替代标准及补充更改必须相当于或优于招标文件中提出的相应技术要求，并使招标人满意。同时在技术偏离表中作出详细说明。</w:t>
      </w:r>
    </w:p>
    <w:p>
      <w:pPr>
        <w:spacing w:line="430" w:lineRule="exact"/>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（3） 报价文件</w:t>
      </w:r>
    </w:p>
    <w:tbl>
      <w:tblPr>
        <w:tblStyle w:val="67"/>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6787"/>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430" w:lineRule="exact"/>
              <w:jc w:val="center"/>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序号</w:t>
            </w:r>
          </w:p>
        </w:tc>
        <w:tc>
          <w:tcPr>
            <w:tcW w:w="6787" w:type="dxa"/>
            <w:vAlign w:val="center"/>
          </w:tcPr>
          <w:p>
            <w:pPr>
              <w:spacing w:line="430" w:lineRule="exact"/>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内容</w:t>
            </w:r>
          </w:p>
        </w:tc>
        <w:tc>
          <w:tcPr>
            <w:tcW w:w="1683" w:type="dxa"/>
            <w:vAlign w:val="center"/>
          </w:tcPr>
          <w:p>
            <w:pPr>
              <w:spacing w:line="430" w:lineRule="exact"/>
              <w:jc w:val="center"/>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430" w:lineRule="exact"/>
              <w:jc w:val="center"/>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1)</w:t>
            </w:r>
          </w:p>
        </w:tc>
        <w:tc>
          <w:tcPr>
            <w:tcW w:w="6787" w:type="dxa"/>
            <w:vAlign w:val="center"/>
          </w:tcPr>
          <w:p>
            <w:pPr>
              <w:spacing w:line="430" w:lineRule="exact"/>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开标一览表</w:t>
            </w:r>
          </w:p>
        </w:tc>
        <w:tc>
          <w:tcPr>
            <w:tcW w:w="1683" w:type="dxa"/>
            <w:vAlign w:val="center"/>
          </w:tcPr>
          <w:p>
            <w:pPr>
              <w:spacing w:line="430" w:lineRule="exact"/>
              <w:jc w:val="center"/>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附件二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430" w:lineRule="exact"/>
              <w:jc w:val="center"/>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2）</w:t>
            </w:r>
          </w:p>
        </w:tc>
        <w:tc>
          <w:tcPr>
            <w:tcW w:w="6787" w:type="dxa"/>
            <w:vAlign w:val="center"/>
          </w:tcPr>
          <w:p>
            <w:pPr>
              <w:spacing w:line="430" w:lineRule="exact"/>
              <w:jc w:val="left"/>
              <w:rPr>
                <w:rFonts w:ascii="宋体" w:hAnsi="宋体" w:cs="hakuyoxingshu7000"/>
                <w:color w:val="auto"/>
                <w:kern w:val="0"/>
                <w:sz w:val="22"/>
                <w:szCs w:val="22"/>
                <w:highlight w:val="none"/>
              </w:rPr>
            </w:pPr>
            <w:r>
              <w:rPr>
                <w:rFonts w:ascii="宋体" w:hAnsi="宋体" w:cs="hakuyoxingshu7000"/>
                <w:color w:val="auto"/>
                <w:kern w:val="0"/>
                <w:sz w:val="22"/>
                <w:szCs w:val="22"/>
                <w:highlight w:val="none"/>
              </w:rPr>
              <w:t>投标分项报价表</w:t>
            </w:r>
          </w:p>
        </w:tc>
        <w:tc>
          <w:tcPr>
            <w:tcW w:w="1683" w:type="dxa"/>
            <w:vAlign w:val="center"/>
          </w:tcPr>
          <w:p>
            <w:pPr>
              <w:spacing w:line="430" w:lineRule="exact"/>
              <w:jc w:val="center"/>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附件三</w:t>
            </w:r>
          </w:p>
        </w:tc>
      </w:tr>
    </w:tbl>
    <w:p>
      <w:pPr>
        <w:numPr>
          <w:ilvl w:val="1"/>
          <w:numId w:val="9"/>
        </w:numPr>
        <w:tabs>
          <w:tab w:val="left" w:pos="360"/>
        </w:tabs>
        <w:spacing w:line="460" w:lineRule="exact"/>
        <w:ind w:left="360" w:hanging="360"/>
        <w:rPr>
          <w:rFonts w:ascii="宋体" w:hAnsi="宋体" w:cs="Arial"/>
          <w:b/>
          <w:color w:val="auto"/>
          <w:sz w:val="22"/>
          <w:szCs w:val="22"/>
          <w:highlight w:val="none"/>
        </w:rPr>
      </w:pPr>
      <w:r>
        <w:rPr>
          <w:rFonts w:hint="eastAsia" w:ascii="宋体" w:hAnsi="宋体" w:cs="Arial"/>
          <w:b/>
          <w:color w:val="auto"/>
          <w:sz w:val="22"/>
          <w:szCs w:val="22"/>
          <w:highlight w:val="none"/>
        </w:rPr>
        <w:t xml:space="preserve">  投标产品样品：</w:t>
      </w:r>
    </w:p>
    <w:p>
      <w:pPr>
        <w:numPr>
          <w:ilvl w:val="0"/>
          <w:numId w:val="12"/>
        </w:numPr>
        <w:tabs>
          <w:tab w:val="left" w:pos="530"/>
          <w:tab w:val="left" w:pos="5355"/>
        </w:tabs>
        <w:spacing w:line="430" w:lineRule="exact"/>
        <w:ind w:hanging="273"/>
        <w:rPr>
          <w:rFonts w:ascii="宋体" w:hAnsi="宋体"/>
          <w:color w:val="auto"/>
          <w:sz w:val="22"/>
          <w:szCs w:val="22"/>
          <w:highlight w:val="none"/>
        </w:rPr>
      </w:pPr>
      <w:r>
        <w:rPr>
          <w:rFonts w:hint="eastAsia" w:ascii="宋体" w:hAnsi="宋体"/>
          <w:color w:val="auto"/>
          <w:sz w:val="22"/>
          <w:szCs w:val="22"/>
          <w:highlight w:val="none"/>
        </w:rPr>
        <w:t>投标人须按照招标文件要求准备投标样品；</w:t>
      </w:r>
    </w:p>
    <w:p>
      <w:pPr>
        <w:numPr>
          <w:ilvl w:val="0"/>
          <w:numId w:val="12"/>
        </w:numPr>
        <w:tabs>
          <w:tab w:val="left" w:pos="530"/>
          <w:tab w:val="left" w:pos="5355"/>
        </w:tabs>
        <w:spacing w:line="430" w:lineRule="exact"/>
        <w:ind w:hanging="273"/>
        <w:rPr>
          <w:rFonts w:ascii="宋体" w:hAnsi="宋体"/>
          <w:color w:val="auto"/>
          <w:sz w:val="22"/>
          <w:szCs w:val="22"/>
          <w:highlight w:val="none"/>
        </w:rPr>
      </w:pPr>
      <w:r>
        <w:rPr>
          <w:rFonts w:hint="eastAsia" w:ascii="宋体" w:hAnsi="宋体"/>
          <w:color w:val="auto"/>
          <w:sz w:val="22"/>
          <w:szCs w:val="22"/>
          <w:highlight w:val="none"/>
        </w:rPr>
        <w:t>投标样品在投标文件提交截止前向招标代理机构提交；</w:t>
      </w:r>
    </w:p>
    <w:p>
      <w:pPr>
        <w:numPr>
          <w:ilvl w:val="0"/>
          <w:numId w:val="12"/>
        </w:numPr>
        <w:tabs>
          <w:tab w:val="left" w:pos="530"/>
          <w:tab w:val="left" w:pos="5355"/>
        </w:tabs>
        <w:spacing w:line="430" w:lineRule="exact"/>
        <w:ind w:left="780" w:hanging="273"/>
        <w:rPr>
          <w:rFonts w:ascii="宋体" w:hAnsi="宋体"/>
          <w:color w:val="auto"/>
          <w:sz w:val="22"/>
          <w:szCs w:val="22"/>
          <w:highlight w:val="none"/>
        </w:rPr>
      </w:pPr>
      <w:r>
        <w:rPr>
          <w:rFonts w:hint="eastAsia" w:ascii="宋体" w:hAnsi="宋体"/>
          <w:color w:val="auto"/>
          <w:sz w:val="22"/>
          <w:szCs w:val="22"/>
          <w:highlight w:val="none"/>
        </w:rPr>
        <w:t>未提供投标样品或未按招标文件要求提供投标样品，评标委员会可能对其作出不利评判。</w:t>
      </w:r>
    </w:p>
    <w:p>
      <w:pPr>
        <w:numPr>
          <w:ilvl w:val="1"/>
          <w:numId w:val="9"/>
        </w:numPr>
        <w:tabs>
          <w:tab w:val="left" w:pos="360"/>
        </w:tabs>
        <w:spacing w:line="460" w:lineRule="exact"/>
        <w:ind w:left="360" w:hanging="360"/>
        <w:rPr>
          <w:rFonts w:ascii="宋体" w:hAnsi="宋体" w:cs="Arial"/>
          <w:b/>
          <w:color w:val="auto"/>
          <w:sz w:val="22"/>
          <w:szCs w:val="22"/>
          <w:highlight w:val="none"/>
        </w:rPr>
      </w:pPr>
      <w:r>
        <w:rPr>
          <w:rFonts w:hint="eastAsia" w:ascii="宋体" w:hAnsi="宋体" w:cs="Arial"/>
          <w:b/>
          <w:color w:val="auto"/>
          <w:sz w:val="22"/>
          <w:szCs w:val="22"/>
          <w:highlight w:val="none"/>
        </w:rPr>
        <w:t>电子投标文件形式</w:t>
      </w:r>
    </w:p>
    <w:p>
      <w:pPr>
        <w:numPr>
          <w:ilvl w:val="0"/>
          <w:numId w:val="13"/>
        </w:numPr>
        <w:tabs>
          <w:tab w:val="left" w:pos="900"/>
          <w:tab w:val="clear" w:pos="530"/>
        </w:tabs>
        <w:spacing w:line="430" w:lineRule="exact"/>
        <w:ind w:left="900" w:hanging="540"/>
        <w:rPr>
          <w:rFonts w:ascii="宋体" w:hAnsi="宋体" w:cs="Arial"/>
          <w:b/>
          <w:color w:val="auto"/>
          <w:sz w:val="22"/>
          <w:szCs w:val="22"/>
          <w:highlight w:val="none"/>
        </w:rPr>
      </w:pPr>
      <w:r>
        <w:rPr>
          <w:rFonts w:hint="eastAsia" w:ascii="宋体" w:hAnsi="宋体" w:cs="Arial"/>
          <w:b/>
          <w:color w:val="auto"/>
          <w:sz w:val="22"/>
          <w:szCs w:val="22"/>
          <w:highlight w:val="none"/>
        </w:rPr>
        <w:t>投标文件为电子投标文件。投标文件均由资格文件、商务技术文件、报价文件组成。投标人应通过“政采云电子交易客户端”，并按“政采云投标人项目采购-电子招投标操作指南”及本招标文件要求制作、加密并递交。</w:t>
      </w:r>
    </w:p>
    <w:p>
      <w:pPr>
        <w:numPr>
          <w:ilvl w:val="0"/>
          <w:numId w:val="13"/>
        </w:numPr>
        <w:tabs>
          <w:tab w:val="left" w:pos="900"/>
          <w:tab w:val="clear" w:pos="530"/>
        </w:tabs>
        <w:spacing w:line="430" w:lineRule="exact"/>
        <w:ind w:left="900" w:hanging="540"/>
        <w:rPr>
          <w:rFonts w:ascii="宋体" w:hAnsi="宋体" w:cs="Arial"/>
          <w:color w:val="auto"/>
          <w:sz w:val="22"/>
          <w:szCs w:val="22"/>
          <w:highlight w:val="none"/>
        </w:rPr>
      </w:pPr>
      <w:r>
        <w:rPr>
          <w:rFonts w:hint="eastAsia" w:ascii="宋体" w:hAnsi="宋体" w:cs="Arial"/>
          <w:color w:val="auto"/>
          <w:sz w:val="22"/>
          <w:szCs w:val="22"/>
          <w:highlight w:val="none"/>
        </w:rPr>
        <w:t>“电子投标文件”是指通过“政采云电子交易客户端”完成投标文件编制后生成并加密的数据电文形式的加密标书,加密标书文件后缀格式为.jmbs；</w:t>
      </w:r>
    </w:p>
    <w:p>
      <w:pPr>
        <w:numPr>
          <w:ilvl w:val="0"/>
          <w:numId w:val="13"/>
        </w:numPr>
        <w:tabs>
          <w:tab w:val="left" w:pos="900"/>
          <w:tab w:val="clear" w:pos="530"/>
        </w:tabs>
        <w:spacing w:line="430" w:lineRule="exact"/>
        <w:ind w:left="900" w:hanging="540"/>
        <w:rPr>
          <w:rFonts w:ascii="宋体" w:hAnsi="宋体" w:cs="Arial"/>
          <w:color w:val="auto"/>
          <w:sz w:val="22"/>
          <w:szCs w:val="22"/>
          <w:highlight w:val="none"/>
        </w:rPr>
      </w:pPr>
      <w:r>
        <w:rPr>
          <w:rFonts w:hint="eastAsia" w:ascii="宋体" w:hAnsi="宋体" w:cs="Arial"/>
          <w:color w:val="auto"/>
          <w:sz w:val="22"/>
          <w:szCs w:val="22"/>
          <w:highlight w:val="none"/>
        </w:rPr>
        <w:t>“备份投标文件”是指与“加密标书”同时生成的数据电文形式的电子文件（备份标书），备份标书文件后缀格式为.bfbs,其他方式编制的备份响应文件视为无效备份响应文件。；</w:t>
      </w:r>
    </w:p>
    <w:p>
      <w:pPr>
        <w:numPr>
          <w:ilvl w:val="0"/>
          <w:numId w:val="13"/>
        </w:numPr>
        <w:tabs>
          <w:tab w:val="left" w:pos="900"/>
          <w:tab w:val="clear" w:pos="530"/>
        </w:tabs>
        <w:spacing w:line="430" w:lineRule="exact"/>
        <w:ind w:left="900" w:hanging="540"/>
        <w:rPr>
          <w:rFonts w:ascii="宋体" w:hAnsi="宋体" w:cs="Arial"/>
          <w:b/>
          <w:color w:val="auto"/>
          <w:sz w:val="22"/>
          <w:szCs w:val="22"/>
          <w:highlight w:val="none"/>
        </w:rPr>
      </w:pPr>
      <w:r>
        <w:rPr>
          <w:rFonts w:hint="eastAsia" w:ascii="宋体" w:hAnsi="宋体" w:cs="Arial"/>
          <w:b/>
          <w:color w:val="auto"/>
          <w:sz w:val="22"/>
          <w:szCs w:val="22"/>
          <w:highlight w:val="none"/>
        </w:rPr>
        <w:t>公章签署的规定：电子投标文件中所须加盖公章部分均采用CA电子签章。</w:t>
      </w:r>
      <w:r>
        <w:rPr>
          <w:rFonts w:hint="eastAsia" w:ascii="宋体" w:hAnsi="宋体" w:cs="Arial"/>
          <w:b/>
          <w:bCs/>
          <w:color w:val="auto"/>
          <w:sz w:val="22"/>
          <w:szCs w:val="22"/>
          <w:highlight w:val="none"/>
        </w:rPr>
        <w:t>电子签章操作指南详见《政府采购项目电子交易管理操作指南-投标人》。</w:t>
      </w:r>
    </w:p>
    <w:p>
      <w:pPr>
        <w:numPr>
          <w:ilvl w:val="0"/>
          <w:numId w:val="13"/>
        </w:numPr>
        <w:tabs>
          <w:tab w:val="left" w:pos="900"/>
          <w:tab w:val="clear" w:pos="530"/>
        </w:tabs>
        <w:spacing w:line="430" w:lineRule="exact"/>
        <w:ind w:left="900" w:hanging="540"/>
        <w:rPr>
          <w:rFonts w:ascii="宋体" w:hAnsi="宋体" w:cs="Arial"/>
          <w:b/>
          <w:color w:val="auto"/>
          <w:sz w:val="22"/>
          <w:szCs w:val="22"/>
          <w:highlight w:val="none"/>
        </w:rPr>
      </w:pPr>
      <w:r>
        <w:rPr>
          <w:rFonts w:hint="eastAsia" w:ascii="宋体" w:hAnsi="宋体" w:cs="Arial"/>
          <w:b/>
          <w:color w:val="auto"/>
          <w:sz w:val="22"/>
          <w:szCs w:val="22"/>
          <w:highlight w:val="none"/>
        </w:rPr>
        <w:t>法定代表人签署的规定：</w:t>
      </w:r>
    </w:p>
    <w:p>
      <w:pPr>
        <w:tabs>
          <w:tab w:val="left" w:pos="900"/>
        </w:tabs>
        <w:spacing w:line="430" w:lineRule="exact"/>
        <w:ind w:left="851"/>
        <w:rPr>
          <w:rFonts w:ascii="宋体" w:hAnsi="宋体" w:cs="Arial"/>
          <w:b/>
          <w:color w:val="auto"/>
          <w:sz w:val="22"/>
          <w:szCs w:val="22"/>
          <w:highlight w:val="none"/>
        </w:rPr>
      </w:pPr>
      <w:r>
        <w:rPr>
          <w:rFonts w:hint="eastAsia" w:ascii="宋体" w:hAnsi="宋体" w:cs="Arial"/>
          <w:b/>
          <w:color w:val="auto"/>
          <w:sz w:val="22"/>
          <w:szCs w:val="22"/>
          <w:highlight w:val="none"/>
        </w:rPr>
        <w:t>①　如投标人已办理法人CA电子签章的，则法定代表人签署的地方可用CA电子签章进行签署；</w:t>
      </w:r>
    </w:p>
    <w:p>
      <w:pPr>
        <w:tabs>
          <w:tab w:val="left" w:pos="900"/>
        </w:tabs>
        <w:spacing w:line="430" w:lineRule="exact"/>
        <w:ind w:left="851"/>
        <w:rPr>
          <w:rFonts w:ascii="宋体" w:hAnsi="宋体" w:cs="Arial"/>
          <w:b/>
          <w:color w:val="auto"/>
          <w:sz w:val="22"/>
          <w:szCs w:val="22"/>
          <w:highlight w:val="none"/>
        </w:rPr>
      </w:pPr>
      <w:r>
        <w:rPr>
          <w:rFonts w:hint="eastAsia" w:ascii="宋体" w:hAnsi="宋体" w:cs="Arial"/>
          <w:b/>
          <w:color w:val="auto"/>
          <w:sz w:val="22"/>
          <w:szCs w:val="22"/>
          <w:highlight w:val="none"/>
        </w:rPr>
        <w:t>②　如投标人未办理法人CA电子签章的，投标文件中要求投标人法定代表人签署的地方，须投标人制作成word版本先打印出来，由法定代表人签署后再上传PDF.</w:t>
      </w:r>
    </w:p>
    <w:p>
      <w:pPr>
        <w:numPr>
          <w:ilvl w:val="0"/>
          <w:numId w:val="13"/>
        </w:numPr>
        <w:tabs>
          <w:tab w:val="left" w:pos="900"/>
          <w:tab w:val="clear" w:pos="530"/>
        </w:tabs>
        <w:spacing w:line="430" w:lineRule="exact"/>
        <w:ind w:left="900" w:hanging="540"/>
        <w:rPr>
          <w:rFonts w:ascii="宋体" w:hAnsi="宋体" w:cs="Arial"/>
          <w:b/>
          <w:color w:val="auto"/>
          <w:sz w:val="22"/>
          <w:szCs w:val="22"/>
          <w:highlight w:val="none"/>
        </w:rPr>
      </w:pPr>
      <w:r>
        <w:rPr>
          <w:rFonts w:hint="eastAsia" w:ascii="宋体" w:hAnsi="宋体" w:cs="Arial"/>
          <w:b/>
          <w:color w:val="auto"/>
          <w:sz w:val="22"/>
          <w:szCs w:val="22"/>
          <w:highlight w:val="none"/>
        </w:rPr>
        <w:t>授权代表签署的规定：投标文件中要求投标人授权代表签署的地方，须投标人制作成word版本先打印出来，由授权代表签署后再上传PDF.</w:t>
      </w:r>
    </w:p>
    <w:p>
      <w:pPr>
        <w:numPr>
          <w:ilvl w:val="1"/>
          <w:numId w:val="9"/>
        </w:numPr>
        <w:tabs>
          <w:tab w:val="left" w:pos="360"/>
        </w:tabs>
        <w:spacing w:line="460" w:lineRule="exact"/>
        <w:ind w:left="360" w:hanging="360"/>
        <w:rPr>
          <w:rFonts w:ascii="宋体" w:hAnsi="宋体" w:cs="Arial"/>
          <w:b/>
          <w:color w:val="auto"/>
          <w:sz w:val="22"/>
          <w:szCs w:val="22"/>
          <w:highlight w:val="none"/>
        </w:rPr>
      </w:pPr>
      <w:r>
        <w:rPr>
          <w:rFonts w:hint="eastAsia" w:ascii="宋体" w:hAnsi="宋体" w:cs="Arial"/>
          <w:b/>
          <w:color w:val="auto"/>
          <w:sz w:val="22"/>
          <w:szCs w:val="22"/>
          <w:highlight w:val="none"/>
        </w:rPr>
        <w:t xml:space="preserve">  备份投标文件</w:t>
      </w:r>
    </w:p>
    <w:p>
      <w:pPr>
        <w:numPr>
          <w:ilvl w:val="0"/>
          <w:numId w:val="14"/>
        </w:numPr>
        <w:tabs>
          <w:tab w:val="left" w:pos="530"/>
          <w:tab w:val="left" w:pos="709"/>
          <w:tab w:val="left" w:pos="900"/>
          <w:tab w:val="clear" w:pos="425"/>
        </w:tabs>
        <w:spacing w:line="430" w:lineRule="exact"/>
        <w:ind w:firstLine="1"/>
        <w:rPr>
          <w:rStyle w:val="77"/>
          <w:rFonts w:ascii="宋体" w:hAnsi="宋体"/>
          <w:bCs/>
          <w:color w:val="auto"/>
          <w:sz w:val="22"/>
          <w:szCs w:val="22"/>
          <w:highlight w:val="none"/>
        </w:rPr>
      </w:pPr>
      <w:r>
        <w:rPr>
          <w:color w:val="auto"/>
          <w:highlight w:val="none"/>
        </w:rPr>
        <w:fldChar w:fldCharType="begin"/>
      </w:r>
      <w:r>
        <w:rPr>
          <w:color w:val="auto"/>
          <w:highlight w:val="none"/>
        </w:rPr>
        <w:instrText xml:space="preserve"> HYPERLINK "mailto:供应商在制作电子标书时，标书生成后有两份，一份为加密标书（用于供应商投标上传），一份为备份标书，其中加密标书文件后缀格式为.jmbs；备份标书文件后缀格式为.bfbs；供应商在系统里上传好加密标书后，应在投标截止时间前将备份标书发送至代理机构邮箱471870577@qq.com。" </w:instrText>
      </w:r>
      <w:r>
        <w:rPr>
          <w:color w:val="auto"/>
          <w:highlight w:val="none"/>
        </w:rPr>
        <w:fldChar w:fldCharType="separate"/>
      </w:r>
      <w:r>
        <w:rPr>
          <w:rStyle w:val="77"/>
          <w:rFonts w:hint="eastAsia" w:ascii="宋体" w:hAnsi="宋体" w:cs="Arial"/>
          <w:bCs/>
          <w:color w:val="auto"/>
          <w:sz w:val="22"/>
          <w:szCs w:val="22"/>
          <w:highlight w:val="none"/>
        </w:rPr>
        <w:t>投标人在系统里上传好加密标书后，可以（建议）在投标文件递交截止时间前将系统生成的备份标书（后缀格式为.bfbs）以电子邮件形式传送至采购代理机构邮箱Yxgcxmgl@126.com。</w:t>
      </w:r>
      <w:r>
        <w:rPr>
          <w:rStyle w:val="77"/>
          <w:rFonts w:hint="eastAsia" w:ascii="宋体" w:hAnsi="宋体" w:cs="Arial"/>
          <w:bCs/>
          <w:color w:val="auto"/>
          <w:sz w:val="22"/>
          <w:szCs w:val="22"/>
          <w:highlight w:val="none"/>
        </w:rPr>
        <w:fldChar w:fldCharType="end"/>
      </w:r>
      <w:r>
        <w:rPr>
          <w:rStyle w:val="77"/>
          <w:rFonts w:hint="eastAsia" w:ascii="宋体" w:hAnsi="宋体"/>
          <w:color w:val="auto"/>
          <w:sz w:val="22"/>
          <w:szCs w:val="22"/>
          <w:highlight w:val="none"/>
        </w:rPr>
        <w:t>传送的备份标书需打包压缩并加密，加密密码由投标人自行保管；</w:t>
      </w:r>
    </w:p>
    <w:p>
      <w:pPr>
        <w:numPr>
          <w:ilvl w:val="0"/>
          <w:numId w:val="14"/>
        </w:numPr>
        <w:tabs>
          <w:tab w:val="left" w:pos="530"/>
          <w:tab w:val="left" w:pos="709"/>
          <w:tab w:val="left" w:pos="900"/>
          <w:tab w:val="clear" w:pos="425"/>
        </w:tabs>
        <w:spacing w:line="430" w:lineRule="exact"/>
        <w:ind w:firstLine="1"/>
        <w:rPr>
          <w:rStyle w:val="77"/>
          <w:rFonts w:ascii="宋体" w:hAnsi="宋体" w:cs="Arial"/>
          <w:color w:val="auto"/>
          <w:sz w:val="22"/>
          <w:szCs w:val="22"/>
          <w:highlight w:val="none"/>
        </w:rPr>
      </w:pPr>
      <w:r>
        <w:rPr>
          <w:rStyle w:val="77"/>
          <w:rFonts w:hint="eastAsia" w:ascii="宋体" w:hAnsi="宋体" w:cs="Arial"/>
          <w:color w:val="auto"/>
          <w:sz w:val="22"/>
          <w:szCs w:val="22"/>
          <w:highlight w:val="none"/>
        </w:rPr>
        <w:t>当通过“政府采购云平台”上传递交的“电子投标文件”无法按时解密且投标人递交了“备份投标文件”时，投标人可提供加密密码，由招标代理机构对压缩文件进行解压后，将备份投标文件为依据上传至政采云系统。 当通过“政府采购云平台”上传递交的“电子投标应文件”已按时解密的，“备份投标文件”自动失效。</w:t>
      </w:r>
      <w:r>
        <w:rPr>
          <w:rStyle w:val="77"/>
          <w:rFonts w:hint="eastAsia" w:ascii="宋体" w:hAnsi="宋体" w:cs="Arial"/>
          <w:b/>
          <w:color w:val="auto"/>
          <w:sz w:val="22"/>
          <w:szCs w:val="22"/>
          <w:highlight w:val="none"/>
        </w:rPr>
        <w:t>投标人仅递交备份投标文件的，投标无效。</w:t>
      </w:r>
    </w:p>
    <w:p>
      <w:pPr>
        <w:numPr>
          <w:ilvl w:val="0"/>
          <w:numId w:val="14"/>
        </w:numPr>
        <w:tabs>
          <w:tab w:val="left" w:pos="530"/>
          <w:tab w:val="left" w:pos="709"/>
          <w:tab w:val="left" w:pos="900"/>
          <w:tab w:val="clear" w:pos="425"/>
        </w:tabs>
        <w:spacing w:line="430" w:lineRule="exact"/>
        <w:ind w:firstLine="1"/>
        <w:rPr>
          <w:rStyle w:val="77"/>
          <w:rFonts w:ascii="宋体" w:hAnsi="宋体"/>
          <w:bCs/>
          <w:color w:val="auto"/>
          <w:sz w:val="22"/>
          <w:szCs w:val="22"/>
          <w:highlight w:val="none"/>
        </w:rPr>
      </w:pPr>
      <w:r>
        <w:rPr>
          <w:rStyle w:val="77"/>
          <w:rFonts w:hint="eastAsia" w:ascii="宋体" w:hAnsi="宋体" w:cs="Arial"/>
          <w:color w:val="auto"/>
          <w:sz w:val="22"/>
          <w:szCs w:val="22"/>
          <w:highlight w:val="none"/>
        </w:rPr>
        <w:t>投标人需保证上传的电子响应文件与提交的备份响应文件必须同时生成且内容完全一致；</w:t>
      </w:r>
    </w:p>
    <w:p>
      <w:pPr>
        <w:numPr>
          <w:ilvl w:val="1"/>
          <w:numId w:val="9"/>
        </w:numPr>
        <w:tabs>
          <w:tab w:val="left" w:pos="360"/>
        </w:tabs>
        <w:spacing w:line="460" w:lineRule="exact"/>
        <w:ind w:left="360" w:hanging="360"/>
        <w:rPr>
          <w:rFonts w:ascii="宋体" w:hAnsi="宋体" w:cs="Arial"/>
          <w:b/>
          <w:color w:val="auto"/>
          <w:sz w:val="22"/>
          <w:szCs w:val="22"/>
          <w:highlight w:val="none"/>
          <w:u w:val="single"/>
        </w:rPr>
      </w:pPr>
      <w:r>
        <w:rPr>
          <w:rFonts w:hint="eastAsia" w:ascii="宋体" w:hAnsi="宋体" w:cs="Arial"/>
          <w:color w:val="auto"/>
          <w:sz w:val="22"/>
          <w:szCs w:val="22"/>
          <w:highlight w:val="none"/>
        </w:rPr>
        <w:t>投标人应当在投标截止时间前完成电子投标文件的传输递交，并可以补充、修改或者撤回电子投标文件。补充或者修改电子投标文件的，应当先行撤回原文件，补充、修改后重新传输递交。</w:t>
      </w:r>
    </w:p>
    <w:p>
      <w:pPr>
        <w:numPr>
          <w:ilvl w:val="1"/>
          <w:numId w:val="9"/>
        </w:numPr>
        <w:tabs>
          <w:tab w:val="left" w:pos="360"/>
        </w:tabs>
        <w:spacing w:line="460" w:lineRule="exact"/>
        <w:ind w:left="360" w:hanging="360"/>
        <w:rPr>
          <w:rFonts w:ascii="宋体" w:hAnsi="宋体" w:cs="Arial"/>
          <w:b/>
          <w:color w:val="auto"/>
          <w:sz w:val="22"/>
          <w:szCs w:val="22"/>
          <w:highlight w:val="none"/>
          <w:u w:val="single"/>
        </w:rPr>
      </w:pPr>
      <w:r>
        <w:rPr>
          <w:rFonts w:hint="eastAsia" w:ascii="宋体" w:hAnsi="宋体" w:cs="Arial"/>
          <w:b/>
          <w:color w:val="auto"/>
          <w:sz w:val="22"/>
          <w:szCs w:val="22"/>
          <w:highlight w:val="none"/>
          <w:u w:val="single"/>
        </w:rPr>
        <w:t>▲投标截止时间前未完成传输的，视为撤回投标文件。投标、响应截止时间后送达的投标、响应文件，将被政采云平台拒收。</w:t>
      </w:r>
    </w:p>
    <w:p>
      <w:pPr>
        <w:numPr>
          <w:ilvl w:val="1"/>
          <w:numId w:val="9"/>
        </w:numPr>
        <w:tabs>
          <w:tab w:val="left" w:pos="360"/>
        </w:tabs>
        <w:spacing w:line="460" w:lineRule="exact"/>
        <w:ind w:left="360" w:hanging="360"/>
        <w:rPr>
          <w:rFonts w:ascii="宋体" w:hAnsi="宋体" w:cs="Arial"/>
          <w:b/>
          <w:color w:val="auto"/>
          <w:sz w:val="22"/>
          <w:szCs w:val="22"/>
          <w:highlight w:val="none"/>
        </w:rPr>
      </w:pPr>
      <w:r>
        <w:rPr>
          <w:rFonts w:hint="eastAsia" w:ascii="宋体" w:hAnsi="宋体"/>
          <w:b/>
          <w:bCs/>
          <w:color w:val="auto"/>
          <w:sz w:val="24"/>
          <w:highlight w:val="none"/>
        </w:rPr>
        <w:t>▲</w:t>
      </w:r>
      <w:r>
        <w:rPr>
          <w:rFonts w:hint="eastAsia" w:ascii="宋体" w:hAnsi="宋体" w:cs="Arial"/>
          <w:b/>
          <w:color w:val="auto"/>
          <w:sz w:val="22"/>
          <w:szCs w:val="22"/>
          <w:highlight w:val="none"/>
          <w:u w:val="single"/>
        </w:rPr>
        <w:t>投标人务必按时自行解密，规定时间内解密失败且经异常处理但政采云电子交易系统仍未能识别备份投标文件的投标文件作无效响应处理。</w:t>
      </w:r>
    </w:p>
    <w:p>
      <w:pPr>
        <w:numPr>
          <w:ilvl w:val="1"/>
          <w:numId w:val="9"/>
        </w:numPr>
        <w:tabs>
          <w:tab w:val="left" w:pos="360"/>
        </w:tabs>
        <w:spacing w:line="460" w:lineRule="exact"/>
        <w:ind w:left="360" w:hanging="360"/>
        <w:rPr>
          <w:rFonts w:ascii="宋体" w:hAnsi="宋体" w:cs="Arial"/>
          <w:b/>
          <w:color w:val="auto"/>
          <w:sz w:val="22"/>
          <w:szCs w:val="22"/>
          <w:highlight w:val="none"/>
          <w:u w:val="single"/>
        </w:rPr>
      </w:pPr>
      <w:r>
        <w:rPr>
          <w:rFonts w:hint="eastAsia" w:ascii="宋体" w:hAnsi="宋体" w:cs="新宋体"/>
          <w:b/>
          <w:color w:val="auto"/>
          <w:kern w:val="0"/>
          <w:sz w:val="22"/>
          <w:szCs w:val="22"/>
          <w:highlight w:val="none"/>
          <w:u w:val="single"/>
        </w:rPr>
        <w:t>▲</w:t>
      </w:r>
      <w:r>
        <w:rPr>
          <w:rFonts w:hint="eastAsia" w:ascii="宋体" w:hAnsi="宋体" w:cs="Arial"/>
          <w:b/>
          <w:color w:val="auto"/>
          <w:sz w:val="22"/>
          <w:szCs w:val="22"/>
          <w:highlight w:val="none"/>
          <w:u w:val="single"/>
        </w:rPr>
        <w:t>本项目要求投标人提供的联系方式（手机号码、联系邮箱、联系地址），均以法定代表人声明书或法定代表人授权委托书上注明的联系方式为准，投标人必须保障其联系方式保持畅通。否则由此造成的后果均有投标人自行承担。</w:t>
      </w:r>
    </w:p>
    <w:p>
      <w:pPr>
        <w:numPr>
          <w:ilvl w:val="0"/>
          <w:numId w:val="7"/>
        </w:numPr>
        <w:tabs>
          <w:tab w:val="left" w:pos="540"/>
          <w:tab w:val="clear" w:pos="420"/>
        </w:tabs>
        <w:spacing w:line="460" w:lineRule="exact"/>
        <w:ind w:left="540" w:hanging="540"/>
        <w:rPr>
          <w:rFonts w:ascii="宋体" w:hAnsi="宋体"/>
          <w:color w:val="auto"/>
          <w:sz w:val="22"/>
          <w:szCs w:val="22"/>
          <w:highlight w:val="none"/>
        </w:rPr>
      </w:pPr>
      <w:r>
        <w:rPr>
          <w:rFonts w:hint="eastAsia" w:ascii="宋体" w:hAnsi="宋体"/>
          <w:bCs/>
          <w:color w:val="auto"/>
          <w:sz w:val="22"/>
          <w:szCs w:val="22"/>
          <w:highlight w:val="none"/>
        </w:rPr>
        <w:t>投标报价</w:t>
      </w:r>
    </w:p>
    <w:p>
      <w:pPr>
        <w:numPr>
          <w:ilvl w:val="1"/>
          <w:numId w:val="15"/>
        </w:numPr>
        <w:tabs>
          <w:tab w:val="left" w:pos="540"/>
          <w:tab w:val="clear" w:pos="992"/>
        </w:tabs>
        <w:spacing w:line="460" w:lineRule="exact"/>
        <w:ind w:left="540" w:hanging="540"/>
        <w:rPr>
          <w:rFonts w:ascii="宋体" w:hAnsi="宋体"/>
          <w:b/>
          <w:color w:val="auto"/>
          <w:sz w:val="22"/>
          <w:szCs w:val="22"/>
          <w:highlight w:val="none"/>
        </w:rPr>
      </w:pPr>
      <w:r>
        <w:rPr>
          <w:rFonts w:hint="eastAsia" w:ascii="宋体" w:hAnsi="宋体"/>
          <w:b/>
          <w:color w:val="auto"/>
          <w:sz w:val="22"/>
          <w:szCs w:val="22"/>
          <w:highlight w:val="none"/>
          <w:u w:val="single"/>
        </w:rPr>
        <w:t>投标报价</w:t>
      </w:r>
      <w:r>
        <w:rPr>
          <w:rFonts w:hint="eastAsia" w:ascii="宋体" w:hAnsi="宋体"/>
          <w:b/>
          <w:bCs/>
          <w:color w:val="auto"/>
          <w:sz w:val="22"/>
          <w:szCs w:val="22"/>
          <w:highlight w:val="none"/>
          <w:u w:val="single"/>
        </w:rPr>
        <w:t>是指中标人在正确地完全履行合同义务后</w:t>
      </w:r>
      <w:r>
        <w:rPr>
          <w:rFonts w:hint="eastAsia" w:ascii="宋体" w:hAnsi="宋体"/>
          <w:b/>
          <w:bCs/>
          <w:color w:val="auto"/>
          <w:sz w:val="22"/>
          <w:szCs w:val="22"/>
          <w:highlight w:val="none"/>
          <w:u w:val="single"/>
          <w:lang w:val="en-US" w:eastAsia="zh-CN"/>
        </w:rPr>
        <w:t>招标人</w:t>
      </w:r>
      <w:r>
        <w:rPr>
          <w:rFonts w:hint="eastAsia" w:ascii="宋体" w:hAnsi="宋体"/>
          <w:b/>
          <w:bCs/>
          <w:color w:val="auto"/>
          <w:sz w:val="22"/>
          <w:szCs w:val="22"/>
          <w:highlight w:val="none"/>
          <w:u w:val="single"/>
        </w:rPr>
        <w:t>应支付给</w:t>
      </w:r>
      <w:r>
        <w:rPr>
          <w:rFonts w:hint="eastAsia" w:ascii="宋体" w:hAnsi="宋体"/>
          <w:b/>
          <w:bCs/>
          <w:color w:val="auto"/>
          <w:sz w:val="22"/>
          <w:szCs w:val="22"/>
          <w:highlight w:val="none"/>
          <w:u w:val="single"/>
          <w:lang w:val="en-US" w:eastAsia="zh-CN"/>
        </w:rPr>
        <w:t>中标人</w:t>
      </w:r>
      <w:r>
        <w:rPr>
          <w:rFonts w:hint="eastAsia" w:ascii="宋体" w:hAnsi="宋体"/>
          <w:b/>
          <w:bCs/>
          <w:color w:val="auto"/>
          <w:sz w:val="22"/>
          <w:szCs w:val="22"/>
          <w:highlight w:val="none"/>
          <w:u w:val="single"/>
        </w:rPr>
        <w:t>合同价款，即货物的供货、税金、包装、运输、装卸、验收（含第三方验收）、培训、技术服务、售后服务、材料、第三方保险等全部费用，实行固定费用总包干，投标人应根据上述因素自行考虑含入投标总价</w:t>
      </w:r>
      <w:r>
        <w:rPr>
          <w:rFonts w:hint="eastAsia" w:ascii="宋体" w:hAnsi="宋体"/>
          <w:b/>
          <w:color w:val="auto"/>
          <w:sz w:val="22"/>
          <w:highlight w:val="none"/>
          <w:u w:val="single"/>
        </w:rPr>
        <w:t>。</w:t>
      </w:r>
      <w:r>
        <w:rPr>
          <w:rFonts w:hint="eastAsia" w:ascii="宋体" w:hAnsi="宋体" w:cs="hakuyoxingshu7000"/>
          <w:b/>
          <w:bCs/>
          <w:color w:val="auto"/>
          <w:sz w:val="22"/>
          <w:szCs w:val="22"/>
          <w:highlight w:val="none"/>
          <w:u w:val="single"/>
        </w:rPr>
        <w:t>投标人应根据上述因素自行考虑含入投标总价。</w:t>
      </w:r>
    </w:p>
    <w:p>
      <w:pPr>
        <w:numPr>
          <w:ilvl w:val="1"/>
          <w:numId w:val="15"/>
        </w:numPr>
        <w:tabs>
          <w:tab w:val="left" w:pos="540"/>
          <w:tab w:val="clear" w:pos="992"/>
        </w:tabs>
        <w:spacing w:line="460" w:lineRule="exact"/>
        <w:ind w:left="540" w:hanging="540"/>
        <w:rPr>
          <w:rFonts w:ascii="宋体" w:hAnsi="宋体"/>
          <w:color w:val="auto"/>
          <w:sz w:val="22"/>
          <w:szCs w:val="22"/>
          <w:highlight w:val="none"/>
        </w:rPr>
      </w:pPr>
      <w:r>
        <w:rPr>
          <w:rFonts w:hint="eastAsia" w:ascii="宋体" w:hAnsi="宋体"/>
          <w:color w:val="auto"/>
          <w:sz w:val="22"/>
          <w:szCs w:val="22"/>
          <w:highlight w:val="none"/>
        </w:rPr>
        <w:t>投标人必须按第三部分附件的开标一览表、投标分项报价表（统一格式）的内容填写服投标报价及其他事项，并由法定代表人或授权代表签署。</w:t>
      </w:r>
    </w:p>
    <w:p>
      <w:pPr>
        <w:numPr>
          <w:ilvl w:val="1"/>
          <w:numId w:val="15"/>
        </w:numPr>
        <w:tabs>
          <w:tab w:val="left" w:pos="540"/>
          <w:tab w:val="clear" w:pos="992"/>
        </w:tabs>
        <w:spacing w:line="460" w:lineRule="exact"/>
        <w:ind w:left="540" w:hanging="540"/>
        <w:rPr>
          <w:rFonts w:ascii="宋体" w:hAnsi="宋体"/>
          <w:b/>
          <w:color w:val="auto"/>
          <w:sz w:val="22"/>
          <w:szCs w:val="22"/>
          <w:highlight w:val="none"/>
        </w:rPr>
      </w:pPr>
      <w:r>
        <w:rPr>
          <w:rFonts w:hint="eastAsia" w:ascii="宋体" w:hAnsi="宋体"/>
          <w:color w:val="auto"/>
          <w:sz w:val="22"/>
          <w:szCs w:val="22"/>
          <w:highlight w:val="none"/>
        </w:rPr>
        <w:t>所有投标均以人民币报价。</w:t>
      </w:r>
    </w:p>
    <w:p>
      <w:pPr>
        <w:numPr>
          <w:ilvl w:val="1"/>
          <w:numId w:val="15"/>
        </w:numPr>
        <w:tabs>
          <w:tab w:val="left" w:pos="540"/>
          <w:tab w:val="clear" w:pos="992"/>
        </w:tabs>
        <w:spacing w:line="460" w:lineRule="exact"/>
        <w:ind w:left="540" w:hanging="540"/>
        <w:rPr>
          <w:rFonts w:ascii="宋体" w:hAnsi="宋体"/>
          <w:color w:val="auto"/>
          <w:sz w:val="22"/>
          <w:szCs w:val="22"/>
          <w:highlight w:val="none"/>
        </w:rPr>
      </w:pPr>
      <w:r>
        <w:rPr>
          <w:rFonts w:hint="eastAsia" w:ascii="宋体" w:hAnsi="宋体"/>
          <w:b/>
          <w:color w:val="auto"/>
          <w:sz w:val="22"/>
          <w:szCs w:val="22"/>
          <w:highlight w:val="none"/>
        </w:rPr>
        <w:t>招标人不接受任何选择报价，对每一项货物/服务只允许一个报价。</w:t>
      </w:r>
    </w:p>
    <w:p>
      <w:pPr>
        <w:numPr>
          <w:ilvl w:val="1"/>
          <w:numId w:val="15"/>
        </w:numPr>
        <w:tabs>
          <w:tab w:val="left" w:pos="540"/>
          <w:tab w:val="clear" w:pos="992"/>
        </w:tabs>
        <w:spacing w:line="460" w:lineRule="exact"/>
        <w:ind w:left="540" w:hanging="540"/>
        <w:rPr>
          <w:rFonts w:ascii="宋体" w:hAnsi="宋体"/>
          <w:b/>
          <w:color w:val="auto"/>
          <w:sz w:val="22"/>
          <w:szCs w:val="22"/>
          <w:highlight w:val="none"/>
        </w:rPr>
      </w:pPr>
      <w:r>
        <w:rPr>
          <w:rFonts w:hint="eastAsia" w:ascii="宋体" w:hAnsi="宋体"/>
          <w:color w:val="auto"/>
          <w:sz w:val="22"/>
          <w:szCs w:val="22"/>
          <w:highlight w:val="none"/>
        </w:rPr>
        <w:t>招标人要求分类报价是为了方便评标，但在任何情况下不限制招标人以其认为最合适的条款、条件签订合同的权利。</w:t>
      </w:r>
    </w:p>
    <w:p>
      <w:pPr>
        <w:numPr>
          <w:ilvl w:val="1"/>
          <w:numId w:val="15"/>
        </w:numPr>
        <w:tabs>
          <w:tab w:val="left" w:pos="540"/>
          <w:tab w:val="clear" w:pos="992"/>
        </w:tabs>
        <w:spacing w:line="46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投标人所报的投标总价在合同执行过程中是固定不变的，不得以任何理由予以变更。任何包含投标总价调整的要求，将被认为是非实质性响应投标而予以拒绝。</w:t>
      </w:r>
    </w:p>
    <w:p>
      <w:pPr>
        <w:numPr>
          <w:ilvl w:val="1"/>
          <w:numId w:val="15"/>
        </w:numPr>
        <w:tabs>
          <w:tab w:val="left" w:pos="540"/>
          <w:tab w:val="clear" w:pos="992"/>
        </w:tabs>
        <w:spacing w:line="46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最低报价不能作为中标的保证。</w:t>
      </w:r>
    </w:p>
    <w:p>
      <w:pPr>
        <w:numPr>
          <w:ilvl w:val="0"/>
          <w:numId w:val="7"/>
        </w:numPr>
        <w:tabs>
          <w:tab w:val="left" w:pos="540"/>
          <w:tab w:val="clear" w:pos="420"/>
        </w:tabs>
        <w:spacing w:line="460" w:lineRule="exact"/>
        <w:ind w:left="540" w:hanging="540"/>
        <w:rPr>
          <w:rFonts w:ascii="宋体" w:hAnsi="宋体"/>
          <w:color w:val="auto"/>
          <w:sz w:val="22"/>
          <w:szCs w:val="22"/>
          <w:highlight w:val="none"/>
        </w:rPr>
      </w:pPr>
      <w:r>
        <w:rPr>
          <w:rFonts w:hint="eastAsia" w:ascii="宋体" w:hAnsi="宋体"/>
          <w:bCs/>
          <w:color w:val="auto"/>
          <w:sz w:val="22"/>
          <w:szCs w:val="22"/>
          <w:highlight w:val="none"/>
        </w:rPr>
        <w:t>投标保证金</w:t>
      </w:r>
    </w:p>
    <w:p>
      <w:pPr>
        <w:tabs>
          <w:tab w:val="left" w:pos="360"/>
        </w:tabs>
        <w:spacing w:line="430" w:lineRule="exact"/>
        <w:ind w:left="720"/>
        <w:rPr>
          <w:rFonts w:ascii="宋体" w:hAnsi="宋体" w:cs="hakuyoxingshu7000"/>
          <w:b/>
          <w:color w:val="auto"/>
          <w:kern w:val="0"/>
          <w:sz w:val="22"/>
          <w:szCs w:val="22"/>
          <w:highlight w:val="none"/>
          <w:u w:val="single"/>
        </w:rPr>
      </w:pPr>
      <w:r>
        <w:rPr>
          <w:rFonts w:hint="eastAsia" w:ascii="宋体" w:hAnsi="宋体" w:cs="hakuyoxingshu7000"/>
          <w:b/>
          <w:color w:val="auto"/>
          <w:kern w:val="0"/>
          <w:sz w:val="22"/>
          <w:szCs w:val="22"/>
          <w:highlight w:val="none"/>
          <w:u w:val="single"/>
        </w:rPr>
        <w:t>本项目无须缴纳投标保证金。</w:t>
      </w:r>
    </w:p>
    <w:p>
      <w:pPr>
        <w:numPr>
          <w:ilvl w:val="0"/>
          <w:numId w:val="7"/>
        </w:numPr>
        <w:tabs>
          <w:tab w:val="left" w:pos="540"/>
          <w:tab w:val="clear" w:pos="420"/>
        </w:tabs>
        <w:spacing w:line="460" w:lineRule="exact"/>
        <w:ind w:left="540" w:hanging="540"/>
        <w:rPr>
          <w:rFonts w:ascii="宋体" w:hAnsi="宋体"/>
          <w:b/>
          <w:color w:val="auto"/>
          <w:sz w:val="22"/>
          <w:szCs w:val="22"/>
          <w:highlight w:val="none"/>
        </w:rPr>
      </w:pPr>
      <w:r>
        <w:rPr>
          <w:rFonts w:hint="eastAsia" w:ascii="宋体" w:hAnsi="宋体"/>
          <w:bCs/>
          <w:color w:val="auto"/>
          <w:sz w:val="22"/>
          <w:szCs w:val="22"/>
          <w:highlight w:val="none"/>
        </w:rPr>
        <w:t>投标有效期</w:t>
      </w:r>
    </w:p>
    <w:p>
      <w:pPr>
        <w:numPr>
          <w:ilvl w:val="1"/>
          <w:numId w:val="16"/>
        </w:numPr>
        <w:tabs>
          <w:tab w:val="left" w:pos="540"/>
          <w:tab w:val="clear" w:pos="992"/>
        </w:tabs>
        <w:spacing w:line="460" w:lineRule="exact"/>
        <w:ind w:left="540" w:hanging="540"/>
        <w:rPr>
          <w:rFonts w:ascii="宋体" w:hAnsi="宋体"/>
          <w:color w:val="auto"/>
          <w:sz w:val="22"/>
          <w:szCs w:val="22"/>
          <w:highlight w:val="none"/>
        </w:rPr>
      </w:pPr>
      <w:r>
        <w:rPr>
          <w:rFonts w:hint="eastAsia" w:ascii="宋体" w:hAnsi="宋体"/>
          <w:b/>
          <w:color w:val="auto"/>
          <w:sz w:val="22"/>
          <w:szCs w:val="22"/>
          <w:highlight w:val="none"/>
        </w:rPr>
        <w:t>自开标之日起</w:t>
      </w:r>
      <w:r>
        <w:rPr>
          <w:rFonts w:hint="eastAsia" w:ascii="宋体" w:hAnsi="宋体"/>
          <w:b/>
          <w:color w:val="auto"/>
          <w:sz w:val="22"/>
          <w:szCs w:val="22"/>
          <w:highlight w:val="none"/>
          <w:u w:val="single"/>
        </w:rPr>
        <w:t xml:space="preserve"> 90</w:t>
      </w:r>
      <w:r>
        <w:rPr>
          <w:rFonts w:hint="eastAsia" w:ascii="宋体" w:hAnsi="宋体"/>
          <w:b/>
          <w:color w:val="auto"/>
          <w:sz w:val="22"/>
          <w:szCs w:val="22"/>
          <w:highlight w:val="none"/>
        </w:rPr>
        <w:t>天内投标应保持有效。投标有效期短于这个规定期限的投标将视为非响应性投标而予以拒绝。</w:t>
      </w:r>
    </w:p>
    <w:p>
      <w:pPr>
        <w:numPr>
          <w:ilvl w:val="1"/>
          <w:numId w:val="16"/>
        </w:numPr>
        <w:tabs>
          <w:tab w:val="left" w:pos="540"/>
          <w:tab w:val="clear" w:pos="992"/>
        </w:tabs>
        <w:spacing w:line="460" w:lineRule="exact"/>
        <w:ind w:left="540" w:hanging="540"/>
        <w:rPr>
          <w:rFonts w:ascii="宋体" w:hAnsi="宋体"/>
          <w:color w:val="auto"/>
          <w:sz w:val="22"/>
          <w:szCs w:val="22"/>
          <w:highlight w:val="none"/>
        </w:rPr>
      </w:pPr>
      <w:r>
        <w:rPr>
          <w:rFonts w:hint="eastAsia" w:ascii="宋体" w:hAnsi="宋体"/>
          <w:color w:val="auto"/>
          <w:sz w:val="22"/>
          <w:szCs w:val="22"/>
          <w:highlight w:val="none"/>
        </w:rPr>
        <w:t>特殊情况下，在原投标有效期截止前，招标人可与投标人协商延长投标有效期，这种要求和答复均以书面形式进行。投标人可拒绝接受延期要求。同意延长投标有效期的投标人不得修改投标文件。</w:t>
      </w:r>
    </w:p>
    <w:p>
      <w:pPr>
        <w:spacing w:before="100" w:beforeAutospacing="1" w:after="100" w:afterAutospacing="1" w:line="440" w:lineRule="exact"/>
        <w:ind w:left="783" w:hanging="783" w:hangingChars="300"/>
        <w:jc w:val="center"/>
        <w:outlineLvl w:val="0"/>
        <w:rPr>
          <w:rFonts w:ascii="宋体" w:hAnsi="宋体"/>
          <w:color w:val="auto"/>
          <w:sz w:val="22"/>
          <w:szCs w:val="22"/>
          <w:highlight w:val="none"/>
        </w:rPr>
      </w:pPr>
      <w:bookmarkStart w:id="91" w:name="_Toc241404202"/>
      <w:bookmarkStart w:id="92" w:name="_Toc223715998"/>
      <w:bookmarkStart w:id="93" w:name="_Toc239145354"/>
      <w:bookmarkStart w:id="94" w:name="_Toc222114879"/>
      <w:bookmarkStart w:id="95" w:name="_Toc262049418"/>
      <w:bookmarkStart w:id="96" w:name="_Toc15938922"/>
      <w:bookmarkStart w:id="97" w:name="_Toc262105503"/>
      <w:bookmarkStart w:id="98" w:name="_Toc221374626"/>
      <w:bookmarkStart w:id="99" w:name="_Toc221423619"/>
      <w:bookmarkStart w:id="100" w:name="_Toc221356887"/>
      <w:bookmarkStart w:id="101" w:name="_Toc249758712"/>
      <w:bookmarkStart w:id="102" w:name="_Toc221356951"/>
      <w:bookmarkStart w:id="103" w:name="_Toc249758864"/>
      <w:bookmarkStart w:id="104" w:name="_Toc246261265"/>
      <w:bookmarkStart w:id="105" w:name="_Toc245722281"/>
      <w:bookmarkStart w:id="106" w:name="_Toc245191314"/>
      <w:r>
        <w:rPr>
          <w:rFonts w:hint="eastAsia" w:ascii="宋体" w:hAnsi="宋体"/>
          <w:b/>
          <w:bCs/>
          <w:color w:val="auto"/>
          <w:sz w:val="26"/>
          <w:szCs w:val="26"/>
          <w:highlight w:val="none"/>
        </w:rPr>
        <w:t>四、 投标文件的递交</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numPr>
          <w:ilvl w:val="0"/>
          <w:numId w:val="17"/>
        </w:numPr>
        <w:tabs>
          <w:tab w:val="left" w:pos="540"/>
          <w:tab w:val="clear" w:pos="420"/>
        </w:tabs>
        <w:spacing w:line="460" w:lineRule="exact"/>
        <w:rPr>
          <w:rFonts w:ascii="宋体" w:hAnsi="宋体" w:cs="Arial"/>
          <w:b/>
          <w:color w:val="auto"/>
          <w:sz w:val="22"/>
          <w:szCs w:val="22"/>
          <w:highlight w:val="none"/>
        </w:rPr>
      </w:pPr>
      <w:r>
        <w:rPr>
          <w:rFonts w:hint="eastAsia" w:ascii="宋体" w:hAnsi="宋体" w:cs="Arial"/>
          <w:bCs/>
          <w:color w:val="auto"/>
          <w:sz w:val="22"/>
          <w:szCs w:val="22"/>
          <w:highlight w:val="none"/>
        </w:rPr>
        <w:t>投标文件的递交</w:t>
      </w:r>
    </w:p>
    <w:p>
      <w:pPr>
        <w:numPr>
          <w:ilvl w:val="1"/>
          <w:numId w:val="18"/>
        </w:numPr>
        <w:tabs>
          <w:tab w:val="left" w:pos="360"/>
          <w:tab w:val="left" w:pos="540"/>
          <w:tab w:val="clear" w:pos="992"/>
        </w:tabs>
        <w:spacing w:line="460" w:lineRule="exact"/>
        <w:ind w:left="540" w:hanging="540"/>
        <w:rPr>
          <w:rFonts w:ascii="宋体" w:hAnsi="宋体" w:cs="Arial"/>
          <w:b/>
          <w:color w:val="auto"/>
          <w:sz w:val="22"/>
          <w:szCs w:val="22"/>
          <w:highlight w:val="none"/>
          <w:u w:val="single"/>
        </w:rPr>
      </w:pPr>
      <w:r>
        <w:rPr>
          <w:rFonts w:hint="eastAsia" w:ascii="宋体" w:hAnsi="宋体" w:cs="Arial"/>
          <w:color w:val="auto"/>
          <w:sz w:val="22"/>
          <w:szCs w:val="22"/>
          <w:highlight w:val="none"/>
        </w:rPr>
        <w:t xml:space="preserve"> 本项目实行网上投标。投标人应准备电子投标文件投标文件：电子投标文件按政采云平台项目采购-电子招投标操作指南及本招标文件要求递交。投标文件均由资格文件、商务技术文件、报价文件组成。</w:t>
      </w:r>
    </w:p>
    <w:p>
      <w:pPr>
        <w:numPr>
          <w:ilvl w:val="1"/>
          <w:numId w:val="18"/>
        </w:numPr>
        <w:tabs>
          <w:tab w:val="left" w:pos="360"/>
          <w:tab w:val="left" w:pos="540"/>
          <w:tab w:val="clear" w:pos="992"/>
        </w:tabs>
        <w:spacing w:line="460" w:lineRule="exact"/>
        <w:ind w:left="540" w:hanging="540"/>
        <w:rPr>
          <w:rFonts w:ascii="宋体" w:hAnsi="宋体" w:cs="Arial"/>
          <w:b/>
          <w:color w:val="auto"/>
          <w:sz w:val="22"/>
          <w:szCs w:val="22"/>
          <w:highlight w:val="none"/>
          <w:u w:val="single"/>
        </w:rPr>
      </w:pPr>
      <w:r>
        <w:rPr>
          <w:rFonts w:hint="eastAsia" w:ascii="宋体" w:hAnsi="宋体" w:cs="Arial"/>
          <w:b/>
          <w:color w:val="auto"/>
          <w:sz w:val="22"/>
          <w:szCs w:val="22"/>
          <w:highlight w:val="none"/>
          <w:u w:val="single"/>
        </w:rPr>
        <w:t xml:space="preserve">▲投标人务必按时自行解密，规定时间内解密失败且经异常处理但政采云电子交易系统仍未能识别备份投标文件的投标文件作无效响应处理。 </w:t>
      </w:r>
    </w:p>
    <w:p>
      <w:pPr>
        <w:numPr>
          <w:ilvl w:val="1"/>
          <w:numId w:val="18"/>
        </w:numPr>
        <w:tabs>
          <w:tab w:val="left" w:pos="360"/>
          <w:tab w:val="left" w:pos="540"/>
          <w:tab w:val="clear" w:pos="992"/>
        </w:tabs>
        <w:spacing w:line="460" w:lineRule="exact"/>
        <w:ind w:left="540" w:hanging="540"/>
        <w:rPr>
          <w:rFonts w:ascii="宋体" w:hAnsi="宋体" w:cs="Arial"/>
          <w:b/>
          <w:color w:val="auto"/>
          <w:sz w:val="22"/>
          <w:szCs w:val="22"/>
          <w:highlight w:val="none"/>
          <w:u w:val="single"/>
        </w:rPr>
      </w:pPr>
      <w:r>
        <w:rPr>
          <w:rFonts w:hint="eastAsia" w:ascii="宋体" w:hAnsi="宋体" w:cs="Arial"/>
          <w:b/>
          <w:color w:val="auto"/>
          <w:sz w:val="22"/>
          <w:szCs w:val="22"/>
          <w:highlight w:val="none"/>
          <w:u w:val="single"/>
        </w:rPr>
        <w:t xml:space="preserve"> 投标人需按招标文件要求提供投标原件（如有）。如未按招标文件要求提供投标原件，评标委员会可能对其作出不利评判。投标原件在评审结束后会通知各个投标人取回投标原件。</w:t>
      </w:r>
    </w:p>
    <w:p>
      <w:pPr>
        <w:numPr>
          <w:ilvl w:val="0"/>
          <w:numId w:val="17"/>
        </w:numPr>
        <w:tabs>
          <w:tab w:val="left" w:pos="540"/>
          <w:tab w:val="clear" w:pos="420"/>
        </w:tabs>
        <w:spacing w:line="460" w:lineRule="exact"/>
        <w:rPr>
          <w:rFonts w:ascii="宋体" w:hAnsi="宋体"/>
          <w:bCs/>
          <w:color w:val="auto"/>
          <w:sz w:val="22"/>
          <w:szCs w:val="22"/>
          <w:highlight w:val="none"/>
        </w:rPr>
      </w:pPr>
      <w:r>
        <w:rPr>
          <w:rFonts w:hint="eastAsia" w:ascii="宋体" w:hAnsi="宋体" w:cs="Arial"/>
          <w:bCs/>
          <w:color w:val="auto"/>
          <w:sz w:val="22"/>
          <w:szCs w:val="22"/>
          <w:highlight w:val="none"/>
        </w:rPr>
        <w:t>投标文件的修改和撤回</w:t>
      </w:r>
    </w:p>
    <w:p>
      <w:pPr>
        <w:numPr>
          <w:ilvl w:val="1"/>
          <w:numId w:val="19"/>
        </w:numPr>
        <w:tabs>
          <w:tab w:val="left" w:pos="540"/>
          <w:tab w:val="clear" w:pos="992"/>
        </w:tabs>
        <w:spacing w:line="460" w:lineRule="exact"/>
        <w:ind w:left="540" w:hanging="540"/>
        <w:rPr>
          <w:rFonts w:ascii="宋体" w:hAnsi="宋体"/>
          <w:color w:val="auto"/>
          <w:sz w:val="22"/>
          <w:szCs w:val="22"/>
          <w:highlight w:val="none"/>
        </w:rPr>
      </w:pPr>
      <w:r>
        <w:rPr>
          <w:rFonts w:hint="eastAsia" w:ascii="宋体" w:hAnsi="宋体"/>
          <w:color w:val="auto"/>
          <w:sz w:val="22"/>
          <w:szCs w:val="22"/>
          <w:highlight w:val="none"/>
        </w:rPr>
        <w:t>投标人应当在投标截止时间前完成电子投标文件的传输递交，并可以补充、修改或者撤回电子投标文件。补充或者修改电子投标文件的，应当先行撤回原文件，补充、修改后重新传输递交。</w:t>
      </w:r>
    </w:p>
    <w:p>
      <w:pPr>
        <w:numPr>
          <w:ilvl w:val="1"/>
          <w:numId w:val="19"/>
        </w:numPr>
        <w:tabs>
          <w:tab w:val="left" w:pos="540"/>
          <w:tab w:val="clear" w:pos="992"/>
        </w:tabs>
        <w:spacing w:line="460" w:lineRule="exact"/>
        <w:ind w:left="540" w:hanging="540"/>
        <w:rPr>
          <w:rFonts w:ascii="宋体" w:hAnsi="宋体"/>
          <w:color w:val="auto"/>
          <w:sz w:val="22"/>
          <w:szCs w:val="22"/>
          <w:highlight w:val="none"/>
        </w:rPr>
      </w:pPr>
      <w:r>
        <w:rPr>
          <w:rFonts w:hint="eastAsia" w:ascii="宋体" w:hAnsi="宋体"/>
          <w:b/>
          <w:color w:val="auto"/>
          <w:sz w:val="22"/>
          <w:szCs w:val="22"/>
          <w:highlight w:val="none"/>
          <w:u w:val="single"/>
        </w:rPr>
        <w:t>▲投标截止时间前未完成传输的，视为撤回投标文件。投标、响应截止时间后送达的投标、响应文件，将被政采云平台拒收。</w:t>
      </w:r>
    </w:p>
    <w:p>
      <w:pPr>
        <w:numPr>
          <w:ilvl w:val="0"/>
          <w:numId w:val="17"/>
        </w:numPr>
        <w:tabs>
          <w:tab w:val="left" w:pos="540"/>
          <w:tab w:val="clear" w:pos="420"/>
        </w:tabs>
        <w:spacing w:line="460" w:lineRule="exact"/>
        <w:rPr>
          <w:rFonts w:ascii="宋体" w:hAnsi="宋体"/>
          <w:b/>
          <w:color w:val="auto"/>
          <w:sz w:val="22"/>
          <w:szCs w:val="22"/>
          <w:highlight w:val="none"/>
        </w:rPr>
      </w:pPr>
      <w:r>
        <w:rPr>
          <w:rFonts w:hint="eastAsia" w:ascii="宋体" w:hAnsi="宋体" w:cs="Arial"/>
          <w:b/>
          <w:color w:val="auto"/>
          <w:sz w:val="22"/>
          <w:szCs w:val="22"/>
          <w:highlight w:val="none"/>
          <w:u w:val="single"/>
        </w:rPr>
        <w:t>▲</w:t>
      </w:r>
      <w:r>
        <w:rPr>
          <w:rFonts w:hint="eastAsia" w:ascii="宋体" w:hAnsi="宋体" w:cs="Arial"/>
          <w:b/>
          <w:bCs/>
          <w:color w:val="auto"/>
          <w:sz w:val="22"/>
          <w:szCs w:val="22"/>
          <w:highlight w:val="none"/>
          <w:u w:val="single"/>
        </w:rPr>
        <w:t>发生下列情况之一的投标文件将不予受理</w:t>
      </w:r>
      <w:r>
        <w:rPr>
          <w:rFonts w:hint="eastAsia" w:ascii="宋体" w:hAnsi="宋体" w:cs="Arial"/>
          <w:bCs/>
          <w:color w:val="auto"/>
          <w:sz w:val="22"/>
          <w:szCs w:val="22"/>
          <w:highlight w:val="none"/>
        </w:rPr>
        <w:t>：</w:t>
      </w:r>
    </w:p>
    <w:p>
      <w:pPr>
        <w:numPr>
          <w:ilvl w:val="1"/>
          <w:numId w:val="20"/>
        </w:numPr>
        <w:tabs>
          <w:tab w:val="left" w:pos="540"/>
          <w:tab w:val="clear" w:pos="992"/>
        </w:tabs>
        <w:spacing w:line="460" w:lineRule="exact"/>
        <w:ind w:left="540" w:hanging="540"/>
        <w:rPr>
          <w:rFonts w:ascii="宋体" w:hAnsi="宋体"/>
          <w:b/>
          <w:color w:val="auto"/>
          <w:sz w:val="22"/>
          <w:szCs w:val="22"/>
          <w:highlight w:val="none"/>
          <w:u w:val="single"/>
        </w:rPr>
      </w:pPr>
      <w:r>
        <w:rPr>
          <w:rFonts w:hint="eastAsia" w:ascii="宋体" w:hAnsi="宋体"/>
          <w:b/>
          <w:color w:val="auto"/>
          <w:sz w:val="22"/>
          <w:szCs w:val="22"/>
          <w:highlight w:val="none"/>
          <w:u w:val="single"/>
        </w:rPr>
        <w:t>在投标截止时间以后上传的投标文件；</w:t>
      </w:r>
    </w:p>
    <w:p>
      <w:pPr>
        <w:numPr>
          <w:ilvl w:val="1"/>
          <w:numId w:val="20"/>
        </w:numPr>
        <w:tabs>
          <w:tab w:val="left" w:pos="540"/>
          <w:tab w:val="left" w:pos="840"/>
          <w:tab w:val="clear" w:pos="992"/>
        </w:tabs>
        <w:spacing w:line="460" w:lineRule="exact"/>
        <w:ind w:left="540" w:hanging="540"/>
        <w:rPr>
          <w:rFonts w:ascii="宋体" w:hAnsi="宋体"/>
          <w:b/>
          <w:color w:val="auto"/>
          <w:sz w:val="22"/>
          <w:szCs w:val="22"/>
          <w:highlight w:val="none"/>
          <w:u w:val="single"/>
        </w:rPr>
      </w:pPr>
      <w:r>
        <w:rPr>
          <w:rFonts w:hint="eastAsia" w:ascii="宋体" w:hAnsi="宋体"/>
          <w:b/>
          <w:color w:val="auto"/>
          <w:sz w:val="22"/>
          <w:szCs w:val="22"/>
          <w:highlight w:val="none"/>
          <w:u w:val="single"/>
        </w:rPr>
        <w:t>仅递交了“备份投标文件”而未将电子加密投标文件上传至“政府采购云平台”的；</w:t>
      </w:r>
    </w:p>
    <w:p>
      <w:pPr>
        <w:numPr>
          <w:ilvl w:val="1"/>
          <w:numId w:val="20"/>
        </w:numPr>
        <w:tabs>
          <w:tab w:val="left" w:pos="540"/>
          <w:tab w:val="clear" w:pos="992"/>
        </w:tabs>
        <w:spacing w:line="460" w:lineRule="exact"/>
        <w:ind w:left="540" w:hanging="540"/>
        <w:rPr>
          <w:rFonts w:ascii="宋体" w:hAnsi="宋体"/>
          <w:b/>
          <w:color w:val="auto"/>
          <w:sz w:val="22"/>
          <w:szCs w:val="22"/>
          <w:highlight w:val="none"/>
          <w:u w:val="single"/>
        </w:rPr>
      </w:pPr>
      <w:r>
        <w:rPr>
          <w:rFonts w:hint="eastAsia" w:ascii="宋体" w:hAnsi="宋体"/>
          <w:b/>
          <w:color w:val="auto"/>
          <w:sz w:val="22"/>
          <w:szCs w:val="22"/>
          <w:highlight w:val="none"/>
          <w:u w:val="single"/>
        </w:rPr>
        <w:t xml:space="preserve">未在规定时间解密，或者，解密失败且经异常处理政采云系统仍未能识别的； </w:t>
      </w:r>
    </w:p>
    <w:p>
      <w:pPr>
        <w:numPr>
          <w:ilvl w:val="1"/>
          <w:numId w:val="20"/>
        </w:numPr>
        <w:tabs>
          <w:tab w:val="left" w:pos="540"/>
          <w:tab w:val="clear" w:pos="992"/>
        </w:tabs>
        <w:spacing w:line="460" w:lineRule="exact"/>
        <w:ind w:left="540" w:hanging="540"/>
        <w:rPr>
          <w:rFonts w:ascii="宋体" w:hAnsi="宋体"/>
          <w:b/>
          <w:color w:val="auto"/>
          <w:sz w:val="22"/>
          <w:szCs w:val="22"/>
          <w:highlight w:val="none"/>
          <w:u w:val="single"/>
        </w:rPr>
      </w:pPr>
      <w:r>
        <w:rPr>
          <w:rFonts w:hint="eastAsia" w:ascii="宋体" w:hAnsi="宋体"/>
          <w:b/>
          <w:color w:val="auto"/>
          <w:sz w:val="22"/>
          <w:szCs w:val="22"/>
          <w:highlight w:val="none"/>
          <w:u w:val="single"/>
        </w:rPr>
        <w:t>以纸质形式提交的；</w:t>
      </w:r>
    </w:p>
    <w:p>
      <w:pPr>
        <w:tabs>
          <w:tab w:val="left" w:pos="360"/>
          <w:tab w:val="left" w:pos="540"/>
          <w:tab w:val="left" w:pos="1260"/>
        </w:tabs>
        <w:spacing w:before="100" w:beforeAutospacing="1" w:after="100" w:afterAutospacing="1" w:line="440" w:lineRule="exact"/>
        <w:ind w:left="919" w:hanging="919" w:hangingChars="352"/>
        <w:jc w:val="center"/>
        <w:outlineLvl w:val="0"/>
        <w:rPr>
          <w:rFonts w:ascii="宋体" w:hAnsi="宋体"/>
          <w:color w:val="auto"/>
          <w:sz w:val="22"/>
          <w:szCs w:val="22"/>
          <w:highlight w:val="none"/>
        </w:rPr>
      </w:pPr>
      <w:bookmarkStart w:id="107" w:name="_Toc221374627"/>
      <w:bookmarkStart w:id="108" w:name="_Toc241404203"/>
      <w:bookmarkStart w:id="109" w:name="_Toc262049419"/>
      <w:bookmarkStart w:id="110" w:name="_Toc245191315"/>
      <w:bookmarkStart w:id="111" w:name="_Toc239145355"/>
      <w:bookmarkStart w:id="112" w:name="_Toc249758713"/>
      <w:bookmarkStart w:id="113" w:name="_Toc246261266"/>
      <w:bookmarkStart w:id="114" w:name="_Toc221356888"/>
      <w:bookmarkStart w:id="115" w:name="_Toc221423620"/>
      <w:bookmarkStart w:id="116" w:name="_Toc249758865"/>
      <w:bookmarkStart w:id="117" w:name="_Toc222114880"/>
      <w:bookmarkStart w:id="118" w:name="_Toc15938923"/>
      <w:bookmarkStart w:id="119" w:name="_Toc262105504"/>
      <w:bookmarkStart w:id="120" w:name="_Toc221356952"/>
      <w:bookmarkStart w:id="121" w:name="_Toc223715999"/>
      <w:bookmarkStart w:id="122" w:name="_Toc245722282"/>
      <w:r>
        <w:rPr>
          <w:rFonts w:hint="eastAsia" w:ascii="宋体" w:hAnsi="宋体"/>
          <w:b/>
          <w:bCs/>
          <w:color w:val="auto"/>
          <w:sz w:val="26"/>
          <w:szCs w:val="26"/>
          <w:highlight w:val="none"/>
        </w:rPr>
        <w:t>五、 开标和评标</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pPr>
        <w:numPr>
          <w:ilvl w:val="0"/>
          <w:numId w:val="21"/>
        </w:numPr>
        <w:tabs>
          <w:tab w:val="left" w:pos="540"/>
          <w:tab w:val="clear" w:pos="420"/>
        </w:tabs>
        <w:spacing w:line="440" w:lineRule="exact"/>
        <w:rPr>
          <w:rFonts w:ascii="宋体" w:hAnsi="宋体" w:cs="Arial"/>
          <w:bCs/>
          <w:color w:val="auto"/>
          <w:sz w:val="22"/>
          <w:szCs w:val="22"/>
          <w:highlight w:val="none"/>
        </w:rPr>
      </w:pPr>
      <w:r>
        <w:rPr>
          <w:rFonts w:hint="eastAsia" w:ascii="宋体" w:hAnsi="宋体" w:cs="Arial"/>
          <w:bCs/>
          <w:color w:val="auto"/>
          <w:sz w:val="22"/>
          <w:szCs w:val="22"/>
          <w:highlight w:val="none"/>
        </w:rPr>
        <w:t>评标委员会</w:t>
      </w:r>
    </w:p>
    <w:p>
      <w:pPr>
        <w:tabs>
          <w:tab w:val="left" w:pos="540"/>
        </w:tabs>
        <w:spacing w:line="440" w:lineRule="exact"/>
        <w:ind w:left="420"/>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招标人按照《中华人民共和国政府采购法》等有关法律、法规的规定组建评标委员会，评标委员会成员由采购人代表和有关技术、经济等方面的专家组成，成员人数为5人（含）以上单数，除采购人代表外的专家将在评标专家库中随机抽取产生。</w:t>
      </w:r>
    </w:p>
    <w:p>
      <w:pPr>
        <w:numPr>
          <w:ilvl w:val="0"/>
          <w:numId w:val="21"/>
        </w:numPr>
        <w:tabs>
          <w:tab w:val="left" w:pos="540"/>
          <w:tab w:val="clear" w:pos="420"/>
        </w:tabs>
        <w:spacing w:line="440" w:lineRule="exact"/>
        <w:rPr>
          <w:rFonts w:ascii="宋体" w:hAnsi="宋体" w:cs="Arial"/>
          <w:bCs/>
          <w:color w:val="auto"/>
          <w:sz w:val="22"/>
          <w:szCs w:val="22"/>
          <w:highlight w:val="none"/>
        </w:rPr>
      </w:pPr>
      <w:r>
        <w:rPr>
          <w:rFonts w:hint="eastAsia" w:ascii="宋体" w:hAnsi="宋体" w:cs="Arial"/>
          <w:bCs/>
          <w:color w:val="auto"/>
          <w:sz w:val="22"/>
          <w:szCs w:val="22"/>
          <w:highlight w:val="none"/>
        </w:rPr>
        <w:t>评标过程的保密性</w:t>
      </w:r>
    </w:p>
    <w:p>
      <w:pPr>
        <w:spacing w:line="440" w:lineRule="exact"/>
        <w:ind w:left="540" w:leftChars="257"/>
        <w:rPr>
          <w:rFonts w:ascii="宋体" w:hAnsi="宋体"/>
          <w:b/>
          <w:bCs/>
          <w:color w:val="auto"/>
          <w:sz w:val="22"/>
          <w:szCs w:val="22"/>
          <w:highlight w:val="none"/>
        </w:rPr>
      </w:pPr>
      <w:r>
        <w:rPr>
          <w:rFonts w:hint="eastAsia" w:ascii="宋体" w:hAnsi="宋体"/>
          <w:b/>
          <w:bCs/>
          <w:color w:val="auto"/>
          <w:sz w:val="22"/>
          <w:szCs w:val="22"/>
          <w:highlight w:val="none"/>
        </w:rPr>
        <w:t>开标后直至向中标人授予合同时止，凡与评审有关的资料均不得向投标人及与评标无关人员透露。如果投标人在评标过程中试图向招标人和评标委员会施加影响，其投标将被拒绝。</w:t>
      </w:r>
    </w:p>
    <w:p>
      <w:pPr>
        <w:numPr>
          <w:ilvl w:val="0"/>
          <w:numId w:val="21"/>
        </w:numPr>
        <w:tabs>
          <w:tab w:val="left" w:pos="540"/>
          <w:tab w:val="clear" w:pos="420"/>
        </w:tabs>
        <w:spacing w:line="440" w:lineRule="exact"/>
        <w:rPr>
          <w:rFonts w:ascii="宋体" w:hAnsi="宋体"/>
          <w:b/>
          <w:bCs/>
          <w:color w:val="auto"/>
          <w:sz w:val="22"/>
          <w:szCs w:val="22"/>
          <w:highlight w:val="none"/>
        </w:rPr>
      </w:pPr>
      <w:r>
        <w:rPr>
          <w:rFonts w:hint="eastAsia" w:ascii="宋体" w:hAnsi="宋体" w:cs="Arial"/>
          <w:bCs/>
          <w:color w:val="auto"/>
          <w:sz w:val="22"/>
          <w:szCs w:val="22"/>
          <w:highlight w:val="none"/>
        </w:rPr>
        <w:t>开标、评标</w:t>
      </w:r>
    </w:p>
    <w:p>
      <w:pPr>
        <w:numPr>
          <w:ilvl w:val="1"/>
          <w:numId w:val="22"/>
        </w:numPr>
        <w:tabs>
          <w:tab w:val="left" w:pos="540"/>
          <w:tab w:val="clear" w:pos="992"/>
        </w:tabs>
        <w:spacing w:line="440" w:lineRule="exact"/>
        <w:ind w:left="540" w:hanging="540"/>
        <w:rPr>
          <w:rFonts w:ascii="宋体" w:hAnsi="宋体"/>
          <w:bCs/>
          <w:color w:val="auto"/>
          <w:sz w:val="22"/>
          <w:szCs w:val="22"/>
          <w:highlight w:val="none"/>
        </w:rPr>
      </w:pPr>
      <w:r>
        <w:rPr>
          <w:rFonts w:hint="eastAsia" w:ascii="宋体" w:hAnsi="宋体" w:cs="hakuyoxingshu7000"/>
          <w:color w:val="auto"/>
          <w:kern w:val="0"/>
          <w:sz w:val="22"/>
          <w:szCs w:val="22"/>
          <w:highlight w:val="none"/>
        </w:rPr>
        <w:t>按招标文件规定的时间、地点开启各投标人的投标文件。</w:t>
      </w:r>
      <w:r>
        <w:rPr>
          <w:rFonts w:hint="eastAsia" w:ascii="宋体" w:hAnsi="宋体" w:cs="hakuyoxingshu7000"/>
          <w:bCs/>
          <w:color w:val="auto"/>
          <w:kern w:val="0"/>
          <w:sz w:val="22"/>
          <w:szCs w:val="22"/>
          <w:highlight w:val="none"/>
        </w:rPr>
        <w:t>各投标人无须参加现场开标会议，请自行登录政采云平台关注开标信息</w:t>
      </w:r>
      <w:r>
        <w:rPr>
          <w:rFonts w:hint="eastAsia" w:ascii="宋体" w:hAnsi="宋体"/>
          <w:bCs/>
          <w:color w:val="auto"/>
          <w:sz w:val="22"/>
          <w:szCs w:val="22"/>
          <w:highlight w:val="none"/>
        </w:rPr>
        <w:t>。</w:t>
      </w:r>
    </w:p>
    <w:p>
      <w:pPr>
        <w:numPr>
          <w:ilvl w:val="1"/>
          <w:numId w:val="22"/>
        </w:numPr>
        <w:tabs>
          <w:tab w:val="left" w:pos="535"/>
          <w:tab w:val="clear" w:pos="992"/>
        </w:tabs>
        <w:overflowPunct w:val="0"/>
        <w:spacing w:line="440" w:lineRule="exact"/>
        <w:ind w:left="535" w:hanging="535"/>
        <w:rPr>
          <w:rFonts w:ascii="宋体" w:hAnsi="宋体"/>
          <w:bCs/>
          <w:color w:val="auto"/>
          <w:sz w:val="22"/>
          <w:szCs w:val="22"/>
          <w:highlight w:val="none"/>
        </w:rPr>
      </w:pPr>
      <w:r>
        <w:rPr>
          <w:rFonts w:hint="eastAsia" w:ascii="宋体" w:hAnsi="宋体"/>
          <w:b/>
          <w:bCs/>
          <w:color w:val="auto"/>
          <w:sz w:val="22"/>
          <w:szCs w:val="22"/>
          <w:highlight w:val="none"/>
        </w:rPr>
        <w:t>电子招投标开标及评审程序</w:t>
      </w:r>
    </w:p>
    <w:p>
      <w:pPr>
        <w:numPr>
          <w:ilvl w:val="0"/>
          <w:numId w:val="23"/>
        </w:numPr>
        <w:overflowPunct w:val="0"/>
        <w:spacing w:line="440" w:lineRule="exact"/>
        <w:rPr>
          <w:rFonts w:ascii="宋体" w:hAnsi="宋体"/>
          <w:bCs/>
          <w:color w:val="auto"/>
          <w:sz w:val="22"/>
          <w:szCs w:val="22"/>
          <w:highlight w:val="none"/>
        </w:rPr>
      </w:pPr>
      <w:r>
        <w:rPr>
          <w:rFonts w:ascii="宋体" w:hAnsi="宋体"/>
          <w:bCs/>
          <w:color w:val="auto"/>
          <w:sz w:val="22"/>
          <w:szCs w:val="22"/>
          <w:highlight w:val="none"/>
        </w:rPr>
        <w:t>投标截止时间后</w:t>
      </w:r>
      <w:r>
        <w:rPr>
          <w:rFonts w:hint="eastAsia" w:ascii="宋体" w:hAnsi="宋体"/>
          <w:bCs/>
          <w:color w:val="auto"/>
          <w:sz w:val="22"/>
          <w:szCs w:val="22"/>
          <w:highlight w:val="none"/>
        </w:rPr>
        <w:t>，投标人</w:t>
      </w:r>
      <w:r>
        <w:rPr>
          <w:rFonts w:ascii="宋体" w:hAnsi="宋体"/>
          <w:bCs/>
          <w:color w:val="auto"/>
          <w:sz w:val="22"/>
          <w:szCs w:val="22"/>
          <w:highlight w:val="none"/>
        </w:rPr>
        <w:t>登录</w:t>
      </w:r>
      <w:r>
        <w:rPr>
          <w:rFonts w:hint="eastAsia" w:ascii="宋体" w:hAnsi="宋体"/>
          <w:bCs/>
          <w:color w:val="auto"/>
          <w:sz w:val="22"/>
          <w:szCs w:val="22"/>
          <w:highlight w:val="none"/>
        </w:rPr>
        <w:t>政采云平台</w:t>
      </w:r>
      <w:r>
        <w:rPr>
          <w:rFonts w:ascii="宋体" w:hAnsi="宋体"/>
          <w:bCs/>
          <w:color w:val="auto"/>
          <w:sz w:val="22"/>
          <w:szCs w:val="22"/>
          <w:highlight w:val="none"/>
        </w:rPr>
        <w:t>，用“</w:t>
      </w:r>
      <w:r>
        <w:rPr>
          <w:rFonts w:hint="eastAsia" w:ascii="宋体" w:hAnsi="宋体"/>
          <w:bCs/>
          <w:color w:val="auto"/>
          <w:sz w:val="22"/>
          <w:szCs w:val="22"/>
          <w:highlight w:val="none"/>
        </w:rPr>
        <w:t>项目采购-开标评标</w:t>
      </w:r>
      <w:r>
        <w:rPr>
          <w:rFonts w:ascii="宋体" w:hAnsi="宋体"/>
          <w:bCs/>
          <w:color w:val="auto"/>
          <w:sz w:val="22"/>
          <w:szCs w:val="22"/>
          <w:highlight w:val="none"/>
        </w:rPr>
        <w:t>”功能</w:t>
      </w:r>
      <w:r>
        <w:rPr>
          <w:rFonts w:hint="eastAsia" w:ascii="宋体" w:hAnsi="宋体"/>
          <w:bCs/>
          <w:color w:val="auto"/>
          <w:sz w:val="22"/>
          <w:szCs w:val="22"/>
          <w:highlight w:val="none"/>
        </w:rPr>
        <w:t>对电子投标文件进行在线解密</w:t>
      </w:r>
      <w:r>
        <w:rPr>
          <w:rFonts w:ascii="宋体" w:hAnsi="宋体"/>
          <w:bCs/>
          <w:color w:val="auto"/>
          <w:sz w:val="22"/>
          <w:szCs w:val="22"/>
          <w:highlight w:val="none"/>
        </w:rPr>
        <w:t>。</w:t>
      </w:r>
      <w:r>
        <w:rPr>
          <w:rFonts w:hint="eastAsia" w:ascii="宋体" w:hAnsi="宋体"/>
          <w:bCs/>
          <w:color w:val="auto"/>
          <w:sz w:val="22"/>
          <w:szCs w:val="22"/>
          <w:highlight w:val="none"/>
        </w:rPr>
        <w:t>在线解密电子投标文件时间为开标时间起60分钟内。</w:t>
      </w:r>
    </w:p>
    <w:p>
      <w:pPr>
        <w:numPr>
          <w:ilvl w:val="0"/>
          <w:numId w:val="23"/>
        </w:numPr>
        <w:overflowPunct w:val="0"/>
        <w:spacing w:line="440" w:lineRule="exact"/>
        <w:rPr>
          <w:rFonts w:ascii="宋体" w:hAnsi="宋体"/>
          <w:bCs/>
          <w:color w:val="auto"/>
          <w:sz w:val="22"/>
          <w:szCs w:val="22"/>
          <w:highlight w:val="none"/>
        </w:rPr>
      </w:pPr>
      <w:r>
        <w:rPr>
          <w:rFonts w:hint="eastAsia" w:ascii="宋体" w:hAnsi="宋体"/>
          <w:bCs/>
          <w:color w:val="auto"/>
          <w:sz w:val="22"/>
          <w:szCs w:val="22"/>
          <w:highlight w:val="none"/>
        </w:rPr>
        <w:t>评标委员会对资格和商务技术响应文件进行评审；</w:t>
      </w:r>
    </w:p>
    <w:p>
      <w:pPr>
        <w:numPr>
          <w:ilvl w:val="0"/>
          <w:numId w:val="23"/>
        </w:numPr>
        <w:overflowPunct w:val="0"/>
        <w:spacing w:line="440" w:lineRule="exact"/>
        <w:rPr>
          <w:rFonts w:ascii="宋体" w:hAnsi="宋体"/>
          <w:bCs/>
          <w:color w:val="auto"/>
          <w:sz w:val="22"/>
          <w:szCs w:val="22"/>
          <w:highlight w:val="none"/>
        </w:rPr>
      </w:pPr>
      <w:r>
        <w:rPr>
          <w:rFonts w:hint="eastAsia" w:ascii="宋体" w:hAnsi="宋体"/>
          <w:bCs/>
          <w:color w:val="auto"/>
          <w:sz w:val="22"/>
          <w:szCs w:val="22"/>
          <w:highlight w:val="none"/>
        </w:rPr>
        <w:t>在系统上公开资格和商务技术评审结果；</w:t>
      </w:r>
    </w:p>
    <w:p>
      <w:pPr>
        <w:numPr>
          <w:ilvl w:val="0"/>
          <w:numId w:val="23"/>
        </w:numPr>
        <w:overflowPunct w:val="0"/>
        <w:spacing w:line="440" w:lineRule="exact"/>
        <w:rPr>
          <w:rFonts w:ascii="宋体" w:hAnsi="宋体"/>
          <w:bCs/>
          <w:color w:val="auto"/>
          <w:sz w:val="22"/>
          <w:szCs w:val="22"/>
          <w:highlight w:val="none"/>
        </w:rPr>
      </w:pPr>
      <w:r>
        <w:rPr>
          <w:rFonts w:hint="eastAsia" w:ascii="宋体" w:hAnsi="宋体"/>
          <w:bCs/>
          <w:color w:val="auto"/>
          <w:sz w:val="22"/>
          <w:szCs w:val="22"/>
          <w:highlight w:val="none"/>
        </w:rPr>
        <w:t>在系统上公开报价开标情况；</w:t>
      </w:r>
    </w:p>
    <w:p>
      <w:pPr>
        <w:numPr>
          <w:ilvl w:val="0"/>
          <w:numId w:val="23"/>
        </w:numPr>
        <w:overflowPunct w:val="0"/>
        <w:spacing w:line="440" w:lineRule="exact"/>
        <w:rPr>
          <w:rFonts w:ascii="宋体" w:hAnsi="宋体"/>
          <w:bCs/>
          <w:color w:val="auto"/>
          <w:sz w:val="22"/>
          <w:szCs w:val="22"/>
          <w:highlight w:val="none"/>
        </w:rPr>
      </w:pPr>
      <w:r>
        <w:rPr>
          <w:rFonts w:hint="eastAsia" w:ascii="宋体" w:hAnsi="宋体"/>
          <w:bCs/>
          <w:color w:val="auto"/>
          <w:sz w:val="22"/>
          <w:szCs w:val="22"/>
          <w:highlight w:val="none"/>
        </w:rPr>
        <w:t>评标委员会对报价情况进行评审；</w:t>
      </w:r>
    </w:p>
    <w:p>
      <w:pPr>
        <w:numPr>
          <w:ilvl w:val="0"/>
          <w:numId w:val="23"/>
        </w:numPr>
        <w:overflowPunct w:val="0"/>
        <w:spacing w:line="440" w:lineRule="exact"/>
        <w:rPr>
          <w:rFonts w:ascii="宋体" w:hAnsi="宋体"/>
          <w:bCs/>
          <w:color w:val="auto"/>
          <w:sz w:val="22"/>
          <w:szCs w:val="22"/>
          <w:highlight w:val="none"/>
        </w:rPr>
      </w:pPr>
      <w:r>
        <w:rPr>
          <w:rFonts w:hint="eastAsia" w:ascii="宋体" w:hAnsi="宋体"/>
          <w:bCs/>
          <w:color w:val="auto"/>
          <w:sz w:val="22"/>
          <w:szCs w:val="22"/>
          <w:highlight w:val="none"/>
        </w:rPr>
        <w:t>在系统上公布评审结果。</w:t>
      </w:r>
    </w:p>
    <w:p>
      <w:pPr>
        <w:overflowPunct w:val="0"/>
        <w:spacing w:line="440" w:lineRule="exact"/>
        <w:ind w:left="110"/>
        <w:rPr>
          <w:rFonts w:ascii="宋体" w:hAnsi="宋体"/>
          <w:b/>
          <w:bCs/>
          <w:color w:val="auto"/>
          <w:sz w:val="22"/>
          <w:szCs w:val="22"/>
          <w:highlight w:val="none"/>
        </w:rPr>
      </w:pPr>
      <w:r>
        <w:rPr>
          <w:rFonts w:hint="eastAsia" w:ascii="宋体" w:hAnsi="宋体"/>
          <w:b/>
          <w:bCs/>
          <w:color w:val="auto"/>
          <w:sz w:val="22"/>
          <w:szCs w:val="22"/>
          <w:highlight w:val="none"/>
        </w:rPr>
        <w:t>特别说明：1、政采云公司如对电子化开标及评审程序有调整的，按调整后的程序操作。</w:t>
      </w:r>
    </w:p>
    <w:p>
      <w:pPr>
        <w:overflowPunct w:val="0"/>
        <w:spacing w:line="440" w:lineRule="exact"/>
        <w:ind w:firstLine="1281" w:firstLineChars="580"/>
        <w:rPr>
          <w:rFonts w:ascii="宋体" w:hAnsi="宋体"/>
          <w:b/>
          <w:bCs/>
          <w:color w:val="auto"/>
          <w:sz w:val="22"/>
          <w:szCs w:val="22"/>
          <w:highlight w:val="none"/>
        </w:rPr>
      </w:pPr>
      <w:r>
        <w:rPr>
          <w:rFonts w:hint="eastAsia" w:ascii="宋体" w:hAnsi="宋体"/>
          <w:b/>
          <w:bCs/>
          <w:color w:val="auto"/>
          <w:sz w:val="22"/>
          <w:szCs w:val="22"/>
          <w:highlight w:val="none"/>
        </w:rPr>
        <w:t>2、目前政府采购全流程电子化交易，投标人须在规定时间内自行解密。</w:t>
      </w:r>
    </w:p>
    <w:p>
      <w:pPr>
        <w:numPr>
          <w:ilvl w:val="1"/>
          <w:numId w:val="22"/>
        </w:numPr>
        <w:tabs>
          <w:tab w:val="left" w:pos="535"/>
          <w:tab w:val="clear" w:pos="992"/>
        </w:tabs>
        <w:overflowPunct w:val="0"/>
        <w:spacing w:line="440" w:lineRule="exact"/>
        <w:ind w:left="535" w:hanging="535"/>
        <w:rPr>
          <w:rFonts w:ascii="宋体" w:hAnsi="宋体"/>
          <w:bCs/>
          <w:color w:val="auto"/>
          <w:sz w:val="22"/>
          <w:szCs w:val="22"/>
          <w:highlight w:val="none"/>
        </w:rPr>
      </w:pPr>
      <w:r>
        <w:rPr>
          <w:rFonts w:hint="eastAsia" w:ascii="宋体" w:hAnsi="宋体"/>
          <w:b/>
          <w:bCs/>
          <w:color w:val="auto"/>
          <w:sz w:val="22"/>
          <w:szCs w:val="22"/>
          <w:highlight w:val="none"/>
        </w:rPr>
        <w:t>电子响应文件解密结束后，各投标人签署《政府采购活动现场确认声明书》（见附件）后将扫描件发送至采购代理机构邮箱Yxgcxmgl@126.com。</w:t>
      </w:r>
    </w:p>
    <w:p>
      <w:pPr>
        <w:numPr>
          <w:ilvl w:val="1"/>
          <w:numId w:val="22"/>
        </w:numPr>
        <w:tabs>
          <w:tab w:val="left" w:pos="535"/>
          <w:tab w:val="clear" w:pos="992"/>
        </w:tabs>
        <w:overflowPunct w:val="0"/>
        <w:spacing w:line="440" w:lineRule="exact"/>
        <w:ind w:left="535" w:hanging="535"/>
        <w:rPr>
          <w:rFonts w:ascii="宋体" w:hAnsi="宋体"/>
          <w:bCs/>
          <w:color w:val="auto"/>
          <w:sz w:val="22"/>
          <w:szCs w:val="22"/>
          <w:highlight w:val="none"/>
        </w:rPr>
      </w:pPr>
      <w:r>
        <w:rPr>
          <w:rFonts w:hint="eastAsia" w:ascii="宋体" w:hAnsi="宋体"/>
          <w:bCs/>
          <w:color w:val="auto"/>
          <w:sz w:val="22"/>
          <w:szCs w:val="22"/>
          <w:highlight w:val="none"/>
        </w:rPr>
        <w:t>投标文件的初审。初审分为资格性审查和符合性检查。</w:t>
      </w:r>
    </w:p>
    <w:p>
      <w:pPr>
        <w:overflowPunct w:val="0"/>
        <w:spacing w:line="440" w:lineRule="exact"/>
        <w:ind w:firstLine="110" w:firstLineChars="50"/>
        <w:rPr>
          <w:rFonts w:ascii="宋体" w:hAnsi="宋体"/>
          <w:bCs/>
          <w:color w:val="auto"/>
          <w:sz w:val="22"/>
          <w:szCs w:val="22"/>
          <w:highlight w:val="none"/>
        </w:rPr>
      </w:pPr>
      <w:r>
        <w:rPr>
          <w:rFonts w:hint="eastAsia" w:ascii="宋体" w:hAnsi="宋体"/>
          <w:bCs/>
          <w:color w:val="auto"/>
          <w:sz w:val="22"/>
          <w:szCs w:val="22"/>
          <w:highlight w:val="none"/>
        </w:rPr>
        <w:t>1)</w:t>
      </w:r>
      <w:r>
        <w:rPr>
          <w:rFonts w:hint="eastAsia" w:ascii="宋体" w:hAnsi="宋体"/>
          <w:bCs/>
          <w:color w:val="auto"/>
          <w:sz w:val="22"/>
          <w:szCs w:val="22"/>
          <w:highlight w:val="none"/>
        </w:rPr>
        <w:tab/>
      </w:r>
      <w:r>
        <w:rPr>
          <w:rFonts w:hint="eastAsia" w:ascii="宋体" w:hAnsi="宋体"/>
          <w:bCs/>
          <w:color w:val="auto"/>
          <w:sz w:val="22"/>
          <w:szCs w:val="22"/>
          <w:highlight w:val="none"/>
        </w:rPr>
        <w:t>资格性审查。</w:t>
      </w:r>
    </w:p>
    <w:p>
      <w:pPr>
        <w:pStyle w:val="125"/>
        <w:numPr>
          <w:ilvl w:val="0"/>
          <w:numId w:val="24"/>
        </w:numPr>
        <w:tabs>
          <w:tab w:val="left" w:pos="425"/>
        </w:tabs>
        <w:overflowPunct w:val="0"/>
        <w:spacing w:line="440" w:lineRule="exact"/>
        <w:ind w:hanging="136" w:firstLineChars="0"/>
        <w:rPr>
          <w:rFonts w:ascii="宋体" w:hAnsi="宋体"/>
          <w:bCs/>
          <w:color w:val="auto"/>
          <w:sz w:val="22"/>
          <w:szCs w:val="22"/>
          <w:highlight w:val="none"/>
        </w:rPr>
      </w:pPr>
      <w:r>
        <w:rPr>
          <w:rFonts w:hint="eastAsia" w:ascii="宋体" w:hAnsi="宋体"/>
          <w:bCs/>
          <w:color w:val="auto"/>
          <w:sz w:val="22"/>
          <w:szCs w:val="22"/>
          <w:highlight w:val="none"/>
        </w:rPr>
        <w:t>依据法律、法规和采购文件的规定，采购人或采购代理机构在开启各投标人资格证明文件后，对各投标人进行投标资格审查，审查内容包括但不仅限于投标文件所提交证明材料是否能证明符合本项目对合格投标人的实质性要求。采购人或采购代理机构对投标人所提供的资格证明材料仅负审核的责任。如发现投标人所提供的资格证明材料不合法或不真实，采购人可取消其中标资格并追究法律责任。通过资格审查视作具备投标资格，审查不合格的投标文件将不进入后续详细评审。</w:t>
      </w:r>
    </w:p>
    <w:p>
      <w:pPr>
        <w:pStyle w:val="125"/>
        <w:numPr>
          <w:ilvl w:val="0"/>
          <w:numId w:val="24"/>
        </w:numPr>
        <w:tabs>
          <w:tab w:val="left" w:pos="425"/>
        </w:tabs>
        <w:overflowPunct w:val="0"/>
        <w:spacing w:line="440" w:lineRule="exact"/>
        <w:ind w:hanging="136" w:firstLineChars="0"/>
        <w:rPr>
          <w:rFonts w:ascii="宋体" w:hAnsi="宋体"/>
          <w:b/>
          <w:bCs/>
          <w:color w:val="auto"/>
          <w:sz w:val="22"/>
          <w:szCs w:val="22"/>
          <w:highlight w:val="none"/>
        </w:rPr>
      </w:pPr>
      <w:r>
        <w:rPr>
          <w:rFonts w:hint="eastAsia" w:ascii="宋体" w:hAnsi="宋体"/>
          <w:b/>
          <w:bCs/>
          <w:color w:val="auto"/>
          <w:sz w:val="22"/>
          <w:szCs w:val="22"/>
          <w:highlight w:val="none"/>
        </w:rPr>
        <w:t>在资格审查过程中，若对投标人的资格审查文件有疑问，采购组织机构将在系统上向投标人发起询标函</w:t>
      </w:r>
    </w:p>
    <w:p>
      <w:pPr>
        <w:overflowPunct w:val="0"/>
        <w:spacing w:line="440" w:lineRule="exact"/>
        <w:rPr>
          <w:rFonts w:ascii="宋体" w:hAnsi="宋体"/>
          <w:bCs/>
          <w:color w:val="auto"/>
          <w:sz w:val="22"/>
          <w:szCs w:val="22"/>
          <w:highlight w:val="none"/>
        </w:rPr>
      </w:pPr>
      <w:r>
        <w:rPr>
          <w:rFonts w:hint="eastAsia" w:ascii="宋体" w:hAnsi="宋体"/>
          <w:bCs/>
          <w:color w:val="auto"/>
          <w:sz w:val="22"/>
          <w:szCs w:val="22"/>
          <w:highlight w:val="none"/>
        </w:rPr>
        <w:t>2)</w:t>
      </w:r>
      <w:r>
        <w:rPr>
          <w:rFonts w:hint="eastAsia" w:ascii="宋体" w:hAnsi="宋体"/>
          <w:bCs/>
          <w:color w:val="auto"/>
          <w:sz w:val="22"/>
          <w:szCs w:val="22"/>
          <w:highlight w:val="none"/>
        </w:rPr>
        <w:tab/>
      </w:r>
      <w:r>
        <w:rPr>
          <w:rFonts w:hint="eastAsia" w:ascii="宋体" w:hAnsi="宋体"/>
          <w:bCs/>
          <w:color w:val="auto"/>
          <w:sz w:val="22"/>
          <w:szCs w:val="22"/>
          <w:highlight w:val="none"/>
        </w:rPr>
        <w:t>符合性检查。依据招标文件的规定，从投标文件中的有效性、完整性和对招标文件的响应程度进行审查，并在“政采云系统-符合性评审”中录入投标人的符合性审查情况。</w:t>
      </w:r>
    </w:p>
    <w:p>
      <w:pPr>
        <w:overflowPunct w:val="0"/>
        <w:spacing w:line="440" w:lineRule="exact"/>
        <w:rPr>
          <w:rFonts w:ascii="宋体" w:hAnsi="宋体"/>
          <w:bCs/>
          <w:color w:val="auto"/>
          <w:sz w:val="22"/>
          <w:szCs w:val="22"/>
          <w:highlight w:val="none"/>
        </w:rPr>
      </w:pPr>
      <w:r>
        <w:rPr>
          <w:rFonts w:hint="eastAsia" w:ascii="宋体" w:hAnsi="宋体" w:cs="hakuyoxingshu7000"/>
          <w:b/>
          <w:color w:val="auto"/>
          <w:kern w:val="0"/>
          <w:sz w:val="22"/>
          <w:szCs w:val="22"/>
          <w:highlight w:val="none"/>
        </w:rPr>
        <w:t>（3）▲</w:t>
      </w:r>
      <w:r>
        <w:rPr>
          <w:rFonts w:hint="eastAsia" w:ascii="宋体" w:hAnsi="宋体"/>
          <w:b/>
          <w:bCs/>
          <w:color w:val="auto"/>
          <w:sz w:val="22"/>
          <w:szCs w:val="22"/>
          <w:highlight w:val="none"/>
          <w:u w:val="single"/>
        </w:rPr>
        <w:t>通过资格性审查与符合性审查的商务技术文件由评委进行综合评审，审查确认未通过的商务技术文件不予评审。</w:t>
      </w:r>
    </w:p>
    <w:p>
      <w:pPr>
        <w:numPr>
          <w:ilvl w:val="1"/>
          <w:numId w:val="22"/>
        </w:numPr>
        <w:tabs>
          <w:tab w:val="left" w:pos="540"/>
          <w:tab w:val="clear" w:pos="992"/>
        </w:tabs>
        <w:spacing w:line="440" w:lineRule="exact"/>
        <w:ind w:left="540" w:hanging="540"/>
        <w:rPr>
          <w:rFonts w:ascii="宋体" w:hAnsi="宋体" w:cs="Arial"/>
          <w:b/>
          <w:bCs/>
          <w:color w:val="auto"/>
          <w:sz w:val="22"/>
          <w:szCs w:val="22"/>
          <w:highlight w:val="none"/>
        </w:rPr>
      </w:pPr>
      <w:r>
        <w:rPr>
          <w:rFonts w:hint="eastAsia" w:ascii="宋体" w:hAnsi="宋体" w:cs="Arial"/>
          <w:b/>
          <w:bCs/>
          <w:color w:val="auto"/>
          <w:sz w:val="22"/>
          <w:szCs w:val="22"/>
          <w:highlight w:val="none"/>
        </w:rPr>
        <w:t>▲</w:t>
      </w:r>
      <w:r>
        <w:rPr>
          <w:rFonts w:hint="eastAsia" w:ascii="宋体" w:hAnsi="宋体" w:cs="Arial"/>
          <w:b/>
          <w:bCs/>
          <w:color w:val="auto"/>
          <w:sz w:val="22"/>
          <w:szCs w:val="22"/>
          <w:highlight w:val="none"/>
          <w:u w:val="single"/>
        </w:rPr>
        <w:t>在对各投标人的投标文件进行综合评审时，投标文件有下列情况之一的，经评标委员会认定后按无效标处理</w:t>
      </w:r>
      <w:r>
        <w:rPr>
          <w:rFonts w:hint="eastAsia" w:ascii="宋体" w:hAnsi="宋体" w:cs="Arial"/>
          <w:b/>
          <w:bCs/>
          <w:color w:val="auto"/>
          <w:sz w:val="22"/>
          <w:szCs w:val="22"/>
          <w:highlight w:val="none"/>
        </w:rPr>
        <w:t>：</w:t>
      </w:r>
    </w:p>
    <w:p>
      <w:pPr>
        <w:numPr>
          <w:ilvl w:val="0"/>
          <w:numId w:val="25"/>
        </w:numPr>
        <w:spacing w:line="440" w:lineRule="exact"/>
        <w:rPr>
          <w:rFonts w:ascii="宋体" w:hAnsi="宋体" w:cs="hakuyoxingshu7000"/>
          <w:b/>
          <w:color w:val="auto"/>
          <w:kern w:val="0"/>
          <w:sz w:val="22"/>
          <w:szCs w:val="22"/>
          <w:highlight w:val="none"/>
          <w:u w:val="single"/>
        </w:rPr>
      </w:pPr>
      <w:r>
        <w:rPr>
          <w:rFonts w:hint="eastAsia" w:ascii="宋体" w:hAnsi="宋体" w:cs="hakuyoxingshu7000"/>
          <w:b/>
          <w:color w:val="auto"/>
          <w:kern w:val="0"/>
          <w:sz w:val="22"/>
          <w:szCs w:val="22"/>
          <w:highlight w:val="none"/>
          <w:u w:val="single"/>
        </w:rPr>
        <w:t>电子投标文件未按规定进行CA签章；</w:t>
      </w:r>
    </w:p>
    <w:p>
      <w:pPr>
        <w:numPr>
          <w:ilvl w:val="0"/>
          <w:numId w:val="25"/>
        </w:numPr>
        <w:spacing w:line="440" w:lineRule="exact"/>
        <w:rPr>
          <w:rFonts w:ascii="宋体" w:hAnsi="宋体" w:cs="hakuyoxingshu7000"/>
          <w:b/>
          <w:color w:val="auto"/>
          <w:kern w:val="0"/>
          <w:sz w:val="22"/>
          <w:szCs w:val="22"/>
          <w:highlight w:val="none"/>
          <w:u w:val="single"/>
        </w:rPr>
      </w:pPr>
      <w:r>
        <w:rPr>
          <w:rFonts w:hint="eastAsia" w:ascii="宋体" w:hAnsi="宋体" w:cs="hakuyoxingshu7000"/>
          <w:b/>
          <w:color w:val="auto"/>
          <w:kern w:val="0"/>
          <w:sz w:val="22"/>
          <w:szCs w:val="22"/>
          <w:highlight w:val="none"/>
          <w:u w:val="single"/>
        </w:rPr>
        <w:t>投标文件中要求投标人法定代表人或授权代表签字的地方无法定代表人签字或其授权代表签字的；</w:t>
      </w:r>
    </w:p>
    <w:p>
      <w:pPr>
        <w:numPr>
          <w:ilvl w:val="0"/>
          <w:numId w:val="25"/>
        </w:numPr>
        <w:spacing w:line="440" w:lineRule="exact"/>
        <w:rPr>
          <w:rFonts w:ascii="宋体" w:hAnsi="宋体" w:cs="hakuyoxingshu7000"/>
          <w:b/>
          <w:color w:val="auto"/>
          <w:kern w:val="0"/>
          <w:sz w:val="22"/>
          <w:szCs w:val="22"/>
          <w:highlight w:val="none"/>
          <w:u w:val="single"/>
        </w:rPr>
      </w:pPr>
      <w:r>
        <w:rPr>
          <w:rFonts w:hint="eastAsia" w:ascii="宋体" w:hAnsi="宋体" w:cs="hakuyoxingshu7000"/>
          <w:b/>
          <w:color w:val="auto"/>
          <w:kern w:val="0"/>
          <w:sz w:val="22"/>
          <w:szCs w:val="22"/>
          <w:highlight w:val="none"/>
          <w:u w:val="single"/>
        </w:rPr>
        <w:t>不具备招标文件中规定的资格要求的；</w:t>
      </w:r>
    </w:p>
    <w:p>
      <w:pPr>
        <w:numPr>
          <w:ilvl w:val="0"/>
          <w:numId w:val="25"/>
        </w:numPr>
        <w:spacing w:line="440" w:lineRule="exact"/>
        <w:rPr>
          <w:rFonts w:ascii="宋体" w:hAnsi="宋体" w:cs="hakuyoxingshu7000"/>
          <w:b/>
          <w:color w:val="auto"/>
          <w:kern w:val="0"/>
          <w:sz w:val="22"/>
          <w:szCs w:val="22"/>
          <w:highlight w:val="none"/>
          <w:u w:val="single"/>
        </w:rPr>
      </w:pPr>
      <w:r>
        <w:rPr>
          <w:rFonts w:hint="eastAsia" w:ascii="宋体" w:hAnsi="宋体" w:cs="hakuyoxingshu7000"/>
          <w:b/>
          <w:color w:val="auto"/>
          <w:kern w:val="0"/>
          <w:sz w:val="22"/>
          <w:szCs w:val="22"/>
          <w:highlight w:val="none"/>
          <w:u w:val="single"/>
        </w:rPr>
        <w:t>报价超过招标文件中规定的预算金额或者最高限价的；</w:t>
      </w:r>
    </w:p>
    <w:p>
      <w:pPr>
        <w:numPr>
          <w:ilvl w:val="0"/>
          <w:numId w:val="25"/>
        </w:numPr>
        <w:spacing w:line="440" w:lineRule="exact"/>
        <w:rPr>
          <w:rFonts w:ascii="宋体" w:hAnsi="宋体" w:cs="hakuyoxingshu7000"/>
          <w:b/>
          <w:color w:val="auto"/>
          <w:kern w:val="0"/>
          <w:sz w:val="22"/>
          <w:szCs w:val="22"/>
          <w:highlight w:val="none"/>
          <w:u w:val="single"/>
        </w:rPr>
      </w:pPr>
      <w:r>
        <w:rPr>
          <w:rFonts w:hint="eastAsia" w:ascii="宋体" w:hAnsi="宋体" w:cs="hakuyoxingshu7000"/>
          <w:b/>
          <w:color w:val="auto"/>
          <w:kern w:val="0"/>
          <w:sz w:val="22"/>
          <w:szCs w:val="22"/>
          <w:highlight w:val="none"/>
          <w:u w:val="single"/>
        </w:rPr>
        <w:t>投标文件含有采购人不能接受的附加条件的；</w:t>
      </w:r>
    </w:p>
    <w:p>
      <w:pPr>
        <w:numPr>
          <w:ilvl w:val="0"/>
          <w:numId w:val="25"/>
        </w:numPr>
        <w:spacing w:line="440" w:lineRule="exact"/>
        <w:rPr>
          <w:rFonts w:ascii="宋体" w:hAnsi="宋体" w:cs="hakuyoxingshu7000"/>
          <w:b/>
          <w:color w:val="auto"/>
          <w:kern w:val="0"/>
          <w:sz w:val="22"/>
          <w:szCs w:val="22"/>
          <w:highlight w:val="none"/>
          <w:u w:val="single"/>
        </w:rPr>
      </w:pPr>
      <w:r>
        <w:rPr>
          <w:rFonts w:hint="eastAsia" w:ascii="宋体" w:hAnsi="宋体" w:cs="hakuyoxingshu7000"/>
          <w:b/>
          <w:color w:val="auto"/>
          <w:kern w:val="0"/>
          <w:sz w:val="22"/>
          <w:szCs w:val="22"/>
          <w:highlight w:val="none"/>
          <w:u w:val="single"/>
        </w:rPr>
        <w:t>经评标委员会认定投标人串通投标的；</w:t>
      </w:r>
    </w:p>
    <w:p>
      <w:pPr>
        <w:numPr>
          <w:ilvl w:val="0"/>
          <w:numId w:val="25"/>
        </w:numPr>
        <w:spacing w:line="440" w:lineRule="exact"/>
        <w:rPr>
          <w:rFonts w:ascii="宋体" w:hAnsi="宋体" w:cs="hakuyoxingshu7000"/>
          <w:b/>
          <w:color w:val="auto"/>
          <w:kern w:val="0"/>
          <w:sz w:val="22"/>
          <w:szCs w:val="22"/>
          <w:highlight w:val="none"/>
          <w:u w:val="single"/>
        </w:rPr>
      </w:pPr>
      <w:r>
        <w:rPr>
          <w:rFonts w:hint="eastAsia" w:ascii="宋体" w:hAnsi="宋体" w:cs="hakuyoxingshu7000"/>
          <w:b/>
          <w:color w:val="auto"/>
          <w:kern w:val="0"/>
          <w:sz w:val="22"/>
          <w:szCs w:val="22"/>
          <w:highlight w:val="none"/>
          <w:u w:val="single"/>
        </w:rPr>
        <w:t>同时出现两种及以上不一致价格且修正后投标人不确认报价的；</w:t>
      </w:r>
    </w:p>
    <w:p>
      <w:pPr>
        <w:numPr>
          <w:ilvl w:val="0"/>
          <w:numId w:val="25"/>
        </w:numPr>
        <w:spacing w:line="440" w:lineRule="exact"/>
        <w:rPr>
          <w:rFonts w:ascii="宋体" w:hAnsi="宋体" w:cs="hakuyoxingshu7000"/>
          <w:b/>
          <w:color w:val="auto"/>
          <w:kern w:val="0"/>
          <w:sz w:val="22"/>
          <w:szCs w:val="22"/>
          <w:highlight w:val="none"/>
          <w:u w:val="single"/>
        </w:rPr>
      </w:pPr>
      <w:r>
        <w:rPr>
          <w:rFonts w:hint="eastAsia" w:ascii="宋体" w:hAnsi="宋体" w:cs="hakuyoxingshu7000"/>
          <w:b/>
          <w:color w:val="auto"/>
          <w:kern w:val="0"/>
          <w:sz w:val="22"/>
          <w:szCs w:val="22"/>
          <w:highlight w:val="none"/>
          <w:u w:val="single"/>
        </w:rPr>
        <w:t>报价明显低于其他通过符合性审查投标人的报价，且在评标现场合理的时间内不能证明其报价合理性的；</w:t>
      </w:r>
    </w:p>
    <w:p>
      <w:pPr>
        <w:numPr>
          <w:ilvl w:val="0"/>
          <w:numId w:val="25"/>
        </w:numPr>
        <w:spacing w:line="440" w:lineRule="exact"/>
        <w:rPr>
          <w:rFonts w:ascii="宋体" w:hAnsi="宋体" w:cs="hakuyoxingshu7000"/>
          <w:b/>
          <w:color w:val="auto"/>
          <w:kern w:val="0"/>
          <w:sz w:val="22"/>
          <w:szCs w:val="22"/>
          <w:highlight w:val="none"/>
          <w:u w:val="single"/>
        </w:rPr>
      </w:pPr>
      <w:r>
        <w:rPr>
          <w:rFonts w:hint="eastAsia" w:ascii="宋体" w:hAnsi="宋体" w:cs="hakuyoxingshu7000"/>
          <w:b/>
          <w:bCs/>
          <w:color w:val="auto"/>
          <w:kern w:val="0"/>
          <w:sz w:val="22"/>
          <w:szCs w:val="22"/>
          <w:highlight w:val="none"/>
          <w:u w:val="single"/>
        </w:rPr>
        <w:t>授权代表</w:t>
      </w:r>
      <w:r>
        <w:rPr>
          <w:rFonts w:hint="eastAsia" w:ascii="宋体" w:hAnsi="宋体" w:cs="hakuyoxingshu7000"/>
          <w:b/>
          <w:color w:val="auto"/>
          <w:kern w:val="0"/>
          <w:sz w:val="22"/>
          <w:szCs w:val="22"/>
          <w:highlight w:val="none"/>
          <w:u w:val="single"/>
        </w:rPr>
        <w:t>无法定代表人合法、有效委托的；</w:t>
      </w:r>
    </w:p>
    <w:p>
      <w:pPr>
        <w:numPr>
          <w:ilvl w:val="0"/>
          <w:numId w:val="25"/>
        </w:numPr>
        <w:spacing w:line="440" w:lineRule="exact"/>
        <w:rPr>
          <w:rFonts w:ascii="宋体" w:hAnsi="宋体" w:cs="hakuyoxingshu7000"/>
          <w:b/>
          <w:color w:val="auto"/>
          <w:kern w:val="0"/>
          <w:sz w:val="22"/>
          <w:szCs w:val="22"/>
          <w:highlight w:val="none"/>
          <w:u w:val="single"/>
        </w:rPr>
      </w:pPr>
      <w:r>
        <w:rPr>
          <w:rFonts w:hint="eastAsia" w:ascii="宋体" w:hAnsi="宋体" w:cs="Arial"/>
          <w:b/>
          <w:color w:val="auto"/>
          <w:sz w:val="22"/>
          <w:szCs w:val="22"/>
          <w:highlight w:val="none"/>
          <w:u w:val="single"/>
        </w:rPr>
        <w:t>规定时间内解密失败且经异常处理但政采云电子交易系统仍未能识别备份投标文件的；</w:t>
      </w:r>
    </w:p>
    <w:p>
      <w:pPr>
        <w:numPr>
          <w:ilvl w:val="0"/>
          <w:numId w:val="25"/>
        </w:numPr>
        <w:spacing w:line="440" w:lineRule="exact"/>
        <w:rPr>
          <w:rFonts w:ascii="宋体" w:hAnsi="宋体" w:cs="hakuyoxingshu7000"/>
          <w:b/>
          <w:color w:val="auto"/>
          <w:kern w:val="0"/>
          <w:sz w:val="22"/>
          <w:szCs w:val="22"/>
          <w:highlight w:val="none"/>
          <w:u w:val="single"/>
        </w:rPr>
      </w:pPr>
      <w:r>
        <w:rPr>
          <w:rFonts w:hint="eastAsia" w:ascii="宋体" w:hAnsi="宋体" w:cs="hakuyoxingshu7000"/>
          <w:b/>
          <w:color w:val="auto"/>
          <w:kern w:val="0"/>
          <w:sz w:val="22"/>
          <w:szCs w:val="22"/>
          <w:highlight w:val="none"/>
          <w:u w:val="single"/>
        </w:rPr>
        <w:t>评标委员会认定不符合法律、法规和招标文件中规定的其他实质性要求的。</w:t>
      </w:r>
    </w:p>
    <w:p>
      <w:pPr>
        <w:numPr>
          <w:ilvl w:val="1"/>
          <w:numId w:val="22"/>
        </w:numPr>
        <w:tabs>
          <w:tab w:val="left" w:pos="540"/>
          <w:tab w:val="clear" w:pos="992"/>
        </w:tabs>
        <w:spacing w:line="440" w:lineRule="exact"/>
        <w:ind w:left="540" w:hanging="540"/>
        <w:rPr>
          <w:rFonts w:ascii="宋体" w:hAnsi="宋体" w:cs="Arial"/>
          <w:b/>
          <w:bCs/>
          <w:color w:val="auto"/>
          <w:sz w:val="22"/>
          <w:szCs w:val="22"/>
          <w:highlight w:val="none"/>
          <w:u w:val="single"/>
        </w:rPr>
      </w:pPr>
      <w:r>
        <w:rPr>
          <w:rFonts w:hint="eastAsia" w:ascii="宋体" w:hAnsi="宋体" w:cs="Arial"/>
          <w:b/>
          <w:bCs/>
          <w:color w:val="auto"/>
          <w:sz w:val="22"/>
          <w:szCs w:val="22"/>
          <w:highlight w:val="none"/>
        </w:rPr>
        <w:t xml:space="preserve"> ▲</w:t>
      </w:r>
      <w:r>
        <w:rPr>
          <w:rFonts w:hint="eastAsia" w:ascii="宋体" w:hAnsi="宋体" w:cs="Arial"/>
          <w:b/>
          <w:bCs/>
          <w:color w:val="auto"/>
          <w:sz w:val="22"/>
          <w:szCs w:val="22"/>
          <w:highlight w:val="none"/>
          <w:u w:val="single"/>
        </w:rPr>
        <w:t>有下列情形之一的，视为投标人串通投标，其投标无效：</w:t>
      </w:r>
    </w:p>
    <w:p>
      <w:pPr>
        <w:pStyle w:val="125"/>
        <w:spacing w:line="440" w:lineRule="exact"/>
        <w:ind w:left="425" w:firstLine="0" w:firstLineChars="0"/>
        <w:rPr>
          <w:rFonts w:ascii="宋体" w:hAnsi="宋体" w:cs="新宋体"/>
          <w:b/>
          <w:color w:val="auto"/>
          <w:kern w:val="0"/>
          <w:sz w:val="22"/>
          <w:szCs w:val="22"/>
          <w:highlight w:val="none"/>
          <w:u w:val="single"/>
        </w:rPr>
      </w:pPr>
      <w:r>
        <w:rPr>
          <w:rFonts w:hint="eastAsia" w:ascii="宋体" w:hAnsi="宋体" w:cs="新宋体"/>
          <w:b/>
          <w:color w:val="auto"/>
          <w:kern w:val="0"/>
          <w:sz w:val="22"/>
          <w:szCs w:val="22"/>
          <w:highlight w:val="none"/>
          <w:u w:val="single"/>
        </w:rPr>
        <w:t>1)不同投标人的投标文件由同一单位或者个人编制；</w:t>
      </w:r>
    </w:p>
    <w:p>
      <w:pPr>
        <w:pStyle w:val="125"/>
        <w:spacing w:line="440" w:lineRule="exact"/>
        <w:ind w:left="425" w:firstLine="0" w:firstLineChars="0"/>
        <w:rPr>
          <w:rFonts w:ascii="宋体" w:hAnsi="宋体" w:cs="新宋体"/>
          <w:b/>
          <w:color w:val="auto"/>
          <w:kern w:val="0"/>
          <w:sz w:val="22"/>
          <w:szCs w:val="22"/>
          <w:highlight w:val="none"/>
          <w:u w:val="single"/>
        </w:rPr>
      </w:pPr>
      <w:r>
        <w:rPr>
          <w:rFonts w:hint="eastAsia" w:ascii="宋体" w:hAnsi="宋体" w:cs="新宋体"/>
          <w:b/>
          <w:color w:val="auto"/>
          <w:kern w:val="0"/>
          <w:sz w:val="22"/>
          <w:szCs w:val="22"/>
          <w:highlight w:val="none"/>
          <w:u w:val="single"/>
        </w:rPr>
        <w:t>2)不同投标人委托同一单位或者个人办理投标事宜；</w:t>
      </w:r>
    </w:p>
    <w:p>
      <w:pPr>
        <w:pStyle w:val="125"/>
        <w:spacing w:line="440" w:lineRule="exact"/>
        <w:ind w:left="425" w:firstLine="0" w:firstLineChars="0"/>
        <w:rPr>
          <w:rFonts w:ascii="宋体" w:hAnsi="宋体" w:cs="新宋体"/>
          <w:b/>
          <w:color w:val="auto"/>
          <w:kern w:val="0"/>
          <w:sz w:val="22"/>
          <w:szCs w:val="22"/>
          <w:highlight w:val="none"/>
          <w:u w:val="single"/>
        </w:rPr>
      </w:pPr>
      <w:r>
        <w:rPr>
          <w:rFonts w:hint="eastAsia" w:ascii="宋体" w:hAnsi="宋体" w:cs="新宋体"/>
          <w:b/>
          <w:color w:val="auto"/>
          <w:kern w:val="0"/>
          <w:sz w:val="22"/>
          <w:szCs w:val="22"/>
          <w:highlight w:val="none"/>
          <w:u w:val="single"/>
        </w:rPr>
        <w:t>3)不同投标人的投标文件载明的项目管理成员或者联系人员为同一人；</w:t>
      </w:r>
    </w:p>
    <w:p>
      <w:pPr>
        <w:pStyle w:val="125"/>
        <w:spacing w:line="440" w:lineRule="exact"/>
        <w:ind w:left="425" w:firstLine="0" w:firstLineChars="0"/>
        <w:rPr>
          <w:rFonts w:ascii="宋体" w:hAnsi="宋体" w:cs="新宋体"/>
          <w:b/>
          <w:color w:val="auto"/>
          <w:kern w:val="0"/>
          <w:sz w:val="22"/>
          <w:szCs w:val="22"/>
          <w:highlight w:val="none"/>
          <w:u w:val="single"/>
        </w:rPr>
      </w:pPr>
      <w:r>
        <w:rPr>
          <w:rFonts w:hint="eastAsia" w:ascii="宋体" w:hAnsi="宋体" w:cs="新宋体"/>
          <w:b/>
          <w:color w:val="auto"/>
          <w:kern w:val="0"/>
          <w:sz w:val="22"/>
          <w:szCs w:val="22"/>
          <w:highlight w:val="none"/>
          <w:u w:val="single"/>
        </w:rPr>
        <w:t>4）不同投标人的投标文件异常一致或者投标报价呈规律性差异；</w:t>
      </w:r>
    </w:p>
    <w:p>
      <w:pPr>
        <w:pStyle w:val="125"/>
        <w:spacing w:line="440" w:lineRule="exact"/>
        <w:ind w:left="425" w:firstLine="0" w:firstLineChars="0"/>
        <w:rPr>
          <w:rFonts w:ascii="宋体" w:hAnsi="宋体" w:cs="新宋体"/>
          <w:b/>
          <w:color w:val="auto"/>
          <w:kern w:val="0"/>
          <w:sz w:val="22"/>
          <w:szCs w:val="22"/>
          <w:highlight w:val="none"/>
          <w:u w:val="single"/>
        </w:rPr>
      </w:pPr>
      <w:r>
        <w:rPr>
          <w:rFonts w:hint="eastAsia" w:ascii="宋体" w:hAnsi="宋体" w:cs="新宋体"/>
          <w:b/>
          <w:color w:val="auto"/>
          <w:kern w:val="0"/>
          <w:sz w:val="22"/>
          <w:szCs w:val="22"/>
          <w:highlight w:val="none"/>
          <w:u w:val="single"/>
        </w:rPr>
        <w:t>5）不同投标人的投标文件相互混装；</w:t>
      </w:r>
    </w:p>
    <w:p>
      <w:pPr>
        <w:numPr>
          <w:ilvl w:val="1"/>
          <w:numId w:val="22"/>
        </w:numPr>
        <w:tabs>
          <w:tab w:val="left" w:pos="540"/>
          <w:tab w:val="clear" w:pos="992"/>
        </w:tabs>
        <w:spacing w:line="440" w:lineRule="exact"/>
        <w:ind w:left="540" w:hanging="540"/>
        <w:rPr>
          <w:rFonts w:ascii="宋体" w:hAnsi="宋体" w:cs="Arial"/>
          <w:bCs/>
          <w:color w:val="auto"/>
          <w:sz w:val="22"/>
          <w:szCs w:val="22"/>
          <w:highlight w:val="none"/>
        </w:rPr>
      </w:pPr>
      <w:r>
        <w:rPr>
          <w:rFonts w:hint="eastAsia" w:ascii="宋体" w:hAnsi="宋体" w:cs="Arial"/>
          <w:bCs/>
          <w:color w:val="auto"/>
          <w:sz w:val="22"/>
          <w:szCs w:val="22"/>
          <w:highlight w:val="none"/>
        </w:rPr>
        <w:t xml:space="preserve"> “报价文件”开启后，由评标委员会对各投标人的商务报价进行核查，核查时发现投标报价内容不清楚可要求投标人书面澄清，计算上的错误，可按下面方法修正：</w:t>
      </w:r>
    </w:p>
    <w:p>
      <w:pPr>
        <w:numPr>
          <w:ilvl w:val="0"/>
          <w:numId w:val="26"/>
        </w:numPr>
        <w:tabs>
          <w:tab w:val="left" w:pos="720"/>
          <w:tab w:val="clear" w:pos="420"/>
        </w:tabs>
        <w:spacing w:line="440" w:lineRule="exact"/>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投标文件中上传的价格和系统中报价一览表里填写的价格不一致的，以投标人上传的报价文件为准；投标文件中开标一览表内容与投标文件中相应内容不一致的，以开标一览表为准；投标文件的大写金额和小写金额不一致的，以大写金额为准；单价金额小数点或者百分比有明显错位的，以开标一览表的总价为准，并修改单价；总价金额与按单价汇总金额不一致的，以单价金额计算结果为准。</w:t>
      </w:r>
    </w:p>
    <w:p>
      <w:pPr>
        <w:numPr>
          <w:ilvl w:val="0"/>
          <w:numId w:val="26"/>
        </w:numPr>
        <w:tabs>
          <w:tab w:val="left" w:pos="720"/>
          <w:tab w:val="clear" w:pos="420"/>
        </w:tabs>
        <w:spacing w:line="440" w:lineRule="exact"/>
        <w:rPr>
          <w:rFonts w:ascii="宋体" w:hAnsi="宋体" w:cs="hakuyoxingshu7000"/>
          <w:b/>
          <w:color w:val="auto"/>
          <w:kern w:val="0"/>
          <w:sz w:val="22"/>
          <w:szCs w:val="22"/>
          <w:highlight w:val="none"/>
        </w:rPr>
      </w:pPr>
      <w:r>
        <w:rPr>
          <w:rFonts w:hint="eastAsia" w:ascii="宋体" w:hAnsi="宋体" w:cs="hakuyoxingshu7000"/>
          <w:b/>
          <w:color w:val="auto"/>
          <w:kern w:val="0"/>
          <w:sz w:val="22"/>
          <w:szCs w:val="22"/>
          <w:highlight w:val="none"/>
        </w:rPr>
        <w:t>如果投标人不接受对其价格错误进行修正，其投标无效。</w:t>
      </w:r>
    </w:p>
    <w:p>
      <w:pPr>
        <w:numPr>
          <w:ilvl w:val="0"/>
          <w:numId w:val="26"/>
        </w:numPr>
        <w:tabs>
          <w:tab w:val="left" w:pos="720"/>
          <w:tab w:val="clear" w:pos="420"/>
        </w:tabs>
        <w:spacing w:line="440" w:lineRule="exact"/>
        <w:rPr>
          <w:rFonts w:ascii="宋体" w:hAnsi="宋体" w:cs="hakuyoxingshu7000"/>
          <w:b/>
          <w:color w:val="auto"/>
          <w:kern w:val="0"/>
          <w:sz w:val="22"/>
          <w:szCs w:val="22"/>
          <w:highlight w:val="none"/>
        </w:rPr>
      </w:pPr>
      <w:r>
        <w:rPr>
          <w:rFonts w:hint="eastAsia" w:ascii="宋体" w:hAnsi="宋体" w:cs="hakuyoxingshu7000"/>
          <w:b/>
          <w:color w:val="auto"/>
          <w:kern w:val="0"/>
          <w:sz w:val="22"/>
          <w:szCs w:val="22"/>
          <w:highlight w:val="none"/>
        </w:rPr>
        <w:t>如投标人为小微企业或监狱企业，享受政策支持的，则采购机构将在政采云系统-政策价格认定中对其进行修正（未按规定递交相关证明材料或经磋商小组认定其不具备享受政策支持资格的，不予修正）</w:t>
      </w:r>
    </w:p>
    <w:p>
      <w:pPr>
        <w:numPr>
          <w:ilvl w:val="1"/>
          <w:numId w:val="22"/>
        </w:numPr>
        <w:tabs>
          <w:tab w:val="left" w:pos="540"/>
          <w:tab w:val="clear" w:pos="992"/>
        </w:tabs>
        <w:spacing w:line="440" w:lineRule="exact"/>
        <w:ind w:left="540" w:hanging="540"/>
        <w:rPr>
          <w:rFonts w:ascii="宋体" w:hAnsi="宋体" w:cs="Arial"/>
          <w:bCs/>
          <w:color w:val="auto"/>
          <w:sz w:val="22"/>
          <w:szCs w:val="22"/>
          <w:highlight w:val="none"/>
        </w:rPr>
      </w:pPr>
      <w:r>
        <w:rPr>
          <w:rFonts w:hint="eastAsia" w:ascii="宋体" w:hAnsi="宋体" w:cs="Arial"/>
          <w:bCs/>
          <w:color w:val="auto"/>
          <w:sz w:val="22"/>
          <w:szCs w:val="22"/>
          <w:highlight w:val="none"/>
        </w:rPr>
        <w:t>在详细评标之前，评标委员会要审查每份投标文件是否实质上响应了招标文件的要求。实质上响应的投标应该是与招标文件要求的全部条款、条件和规格基本相符。没有重大偏离。</w:t>
      </w:r>
      <w:r>
        <w:rPr>
          <w:rFonts w:hint="eastAsia" w:ascii="宋体" w:hAnsi="宋体" w:cs="Arial"/>
          <w:b/>
          <w:bCs/>
          <w:color w:val="auto"/>
          <w:sz w:val="22"/>
          <w:szCs w:val="22"/>
          <w:highlight w:val="none"/>
        </w:rPr>
        <w:t>评标委员会决定投标的响应性只根据投标文件本身的内容，而不寻求外部的证据。</w:t>
      </w:r>
    </w:p>
    <w:p>
      <w:pPr>
        <w:numPr>
          <w:ilvl w:val="1"/>
          <w:numId w:val="22"/>
        </w:numPr>
        <w:tabs>
          <w:tab w:val="left" w:pos="540"/>
          <w:tab w:val="clear" w:pos="992"/>
        </w:tabs>
        <w:spacing w:line="440" w:lineRule="exact"/>
        <w:ind w:left="540" w:hanging="540"/>
        <w:rPr>
          <w:rFonts w:ascii="宋体" w:hAnsi="宋体" w:cs="Arial"/>
          <w:bCs/>
          <w:color w:val="auto"/>
          <w:sz w:val="22"/>
          <w:szCs w:val="22"/>
          <w:highlight w:val="none"/>
        </w:rPr>
      </w:pPr>
      <w:r>
        <w:rPr>
          <w:rFonts w:hint="eastAsia" w:ascii="宋体" w:hAnsi="宋体" w:cs="Arial"/>
          <w:b/>
          <w:bCs/>
          <w:color w:val="auto"/>
          <w:sz w:val="22"/>
          <w:szCs w:val="22"/>
          <w:highlight w:val="none"/>
        </w:rPr>
        <w:t>实质上没有响应招标文件要求的投标将被拒绝，</w:t>
      </w:r>
      <w:r>
        <w:rPr>
          <w:rFonts w:hint="eastAsia" w:ascii="宋体" w:hAnsi="宋体" w:cs="Arial"/>
          <w:bCs/>
          <w:color w:val="auto"/>
          <w:sz w:val="22"/>
          <w:szCs w:val="22"/>
          <w:highlight w:val="none"/>
        </w:rPr>
        <w:t>投标人不得通过修正或撤消不合要求的偏离或保留从而使其投标成为实质上响应的投标。</w:t>
      </w:r>
    </w:p>
    <w:p>
      <w:pPr>
        <w:numPr>
          <w:ilvl w:val="1"/>
          <w:numId w:val="22"/>
        </w:numPr>
        <w:tabs>
          <w:tab w:val="left" w:pos="540"/>
          <w:tab w:val="clear" w:pos="992"/>
        </w:tabs>
        <w:spacing w:line="440" w:lineRule="exact"/>
        <w:ind w:left="540" w:hanging="540"/>
        <w:rPr>
          <w:rFonts w:ascii="宋体" w:hAnsi="宋体" w:cs="Arial"/>
          <w:bCs/>
          <w:color w:val="auto"/>
          <w:sz w:val="22"/>
          <w:szCs w:val="22"/>
          <w:highlight w:val="none"/>
        </w:rPr>
      </w:pPr>
      <w:r>
        <w:rPr>
          <w:rFonts w:hint="eastAsia" w:ascii="宋体" w:hAnsi="宋体" w:cs="Arial"/>
          <w:bCs/>
          <w:color w:val="auto"/>
          <w:sz w:val="22"/>
          <w:szCs w:val="22"/>
          <w:highlight w:val="none"/>
        </w:rPr>
        <w:t>评标委员会对审查合格的投标文件按照招标文件中制订的评标方法进行综合评定打分。</w:t>
      </w:r>
    </w:p>
    <w:p>
      <w:pPr>
        <w:numPr>
          <w:ilvl w:val="1"/>
          <w:numId w:val="22"/>
        </w:numPr>
        <w:tabs>
          <w:tab w:val="left" w:pos="540"/>
          <w:tab w:val="left" w:pos="709"/>
          <w:tab w:val="clear" w:pos="992"/>
        </w:tabs>
        <w:spacing w:line="440" w:lineRule="exact"/>
        <w:ind w:left="567"/>
        <w:rPr>
          <w:rFonts w:ascii="宋体" w:hAnsi="宋体" w:cs="hakuyoxingshu7000"/>
          <w:color w:val="auto"/>
          <w:kern w:val="0"/>
          <w:sz w:val="22"/>
          <w:szCs w:val="22"/>
          <w:highlight w:val="none"/>
        </w:rPr>
      </w:pPr>
      <w:r>
        <w:rPr>
          <w:rFonts w:hint="eastAsia" w:ascii="宋体" w:hAnsi="宋体" w:cs="新宋体"/>
          <w:color w:val="auto"/>
          <w:kern w:val="0"/>
          <w:sz w:val="22"/>
          <w:szCs w:val="22"/>
          <w:highlight w:val="none"/>
        </w:rPr>
        <w:t>▲</w:t>
      </w:r>
      <w:r>
        <w:rPr>
          <w:rFonts w:hint="eastAsia" w:ascii="宋体" w:hAnsi="宋体" w:cs="新宋体"/>
          <w:b/>
          <w:bCs/>
          <w:color w:val="auto"/>
          <w:kern w:val="0"/>
          <w:sz w:val="22"/>
          <w:szCs w:val="22"/>
          <w:highlight w:val="none"/>
          <w:u w:val="singl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cs="hakuyoxingshu7000"/>
          <w:color w:val="auto"/>
          <w:kern w:val="0"/>
          <w:sz w:val="22"/>
          <w:szCs w:val="22"/>
          <w:highlight w:val="none"/>
        </w:rPr>
        <w:t>。</w:t>
      </w:r>
    </w:p>
    <w:p>
      <w:pPr>
        <w:numPr>
          <w:ilvl w:val="1"/>
          <w:numId w:val="22"/>
        </w:numPr>
        <w:tabs>
          <w:tab w:val="left" w:pos="540"/>
          <w:tab w:val="left" w:pos="709"/>
          <w:tab w:val="clear" w:pos="992"/>
        </w:tabs>
        <w:spacing w:line="440" w:lineRule="exact"/>
        <w:ind w:left="567"/>
        <w:rPr>
          <w:rFonts w:ascii="宋体" w:hAnsi="宋体" w:cs="新宋体"/>
          <w:b/>
          <w:color w:val="auto"/>
          <w:kern w:val="0"/>
          <w:sz w:val="22"/>
          <w:szCs w:val="22"/>
          <w:highlight w:val="none"/>
          <w:u w:val="single"/>
        </w:rPr>
      </w:pPr>
      <w:r>
        <w:rPr>
          <w:rFonts w:hint="eastAsia" w:ascii="宋体" w:hAnsi="宋体" w:cs="新宋体"/>
          <w:b/>
          <w:color w:val="auto"/>
          <w:kern w:val="0"/>
          <w:sz w:val="22"/>
          <w:szCs w:val="22"/>
          <w:highlight w:val="none"/>
        </w:rPr>
        <w:t>▲</w:t>
      </w:r>
      <w:r>
        <w:rPr>
          <w:rFonts w:hint="eastAsia" w:ascii="宋体" w:hAnsi="宋体" w:cs="新宋体"/>
          <w:b/>
          <w:color w:val="auto"/>
          <w:kern w:val="0"/>
          <w:sz w:val="22"/>
          <w:szCs w:val="22"/>
          <w:highlight w:val="none"/>
          <w:u w:val="single"/>
        </w:rPr>
        <w:t>不同投标人提供同品牌产品参与投标的，按一家投标人计算。评审后得分最高的同品牌投标人获得中标人推荐资格；评审得分相同的，由采购人或采购人委托评标委员会随机抽取确认。其他同品牌投标人不作为中标候选人。非单一产品采购项目，根据核心产品品牌确定。</w:t>
      </w:r>
    </w:p>
    <w:p>
      <w:pPr>
        <w:numPr>
          <w:ilvl w:val="1"/>
          <w:numId w:val="22"/>
        </w:numPr>
        <w:tabs>
          <w:tab w:val="left" w:pos="540"/>
          <w:tab w:val="clear" w:pos="992"/>
        </w:tabs>
        <w:spacing w:line="440" w:lineRule="exact"/>
        <w:ind w:left="540" w:hanging="540"/>
        <w:rPr>
          <w:rFonts w:ascii="宋体" w:hAnsi="宋体" w:cs="Arial"/>
          <w:b/>
          <w:bCs/>
          <w:color w:val="auto"/>
          <w:sz w:val="22"/>
          <w:szCs w:val="22"/>
          <w:highlight w:val="none"/>
          <w:u w:val="single"/>
        </w:rPr>
      </w:pPr>
      <w:r>
        <w:rPr>
          <w:rFonts w:hint="eastAsia" w:ascii="宋体" w:hAnsi="宋体" w:cs="新宋体"/>
          <w:b/>
          <w:color w:val="auto"/>
          <w:kern w:val="0"/>
          <w:sz w:val="22"/>
          <w:szCs w:val="22"/>
          <w:highlight w:val="none"/>
          <w:u w:val="single"/>
        </w:rPr>
        <w:t>▲</w:t>
      </w:r>
      <w:r>
        <w:rPr>
          <w:rFonts w:hint="eastAsia" w:ascii="宋体" w:hAnsi="宋体"/>
          <w:b/>
          <w:bCs/>
          <w:color w:val="auto"/>
          <w:sz w:val="24"/>
          <w:highlight w:val="none"/>
          <w:u w:val="single"/>
        </w:rPr>
        <w:t>本项目采用政采云电子招投标开标及评审程序，如有以下情形之一的，按以下情况处理：</w:t>
      </w:r>
    </w:p>
    <w:p>
      <w:pPr>
        <w:numPr>
          <w:ilvl w:val="0"/>
          <w:numId w:val="27"/>
        </w:numPr>
        <w:spacing w:line="360" w:lineRule="auto"/>
        <w:rPr>
          <w:rFonts w:ascii="宋体" w:hAnsi="宋体" w:cs="Arial"/>
          <w:b/>
          <w:bCs/>
          <w:color w:val="auto"/>
          <w:sz w:val="22"/>
          <w:szCs w:val="22"/>
          <w:highlight w:val="none"/>
          <w:u w:val="single"/>
        </w:rPr>
      </w:pPr>
      <w:r>
        <w:rPr>
          <w:rFonts w:hint="eastAsia" w:ascii="宋体" w:hAnsi="宋体" w:cs="Arial"/>
          <w:b/>
          <w:bCs/>
          <w:color w:val="auto"/>
          <w:sz w:val="22"/>
          <w:szCs w:val="22"/>
          <w:highlight w:val="none"/>
          <w:u w:val="single"/>
        </w:rPr>
        <w:t>投标人在规定时间内无法解密或解密失败的作无效投标处理。解密成功的投标人不足三家的，本项目流标重新组织采购活动。</w:t>
      </w:r>
    </w:p>
    <w:p>
      <w:pPr>
        <w:numPr>
          <w:ilvl w:val="0"/>
          <w:numId w:val="27"/>
        </w:numPr>
        <w:spacing w:line="360" w:lineRule="auto"/>
        <w:rPr>
          <w:rFonts w:ascii="宋体" w:hAnsi="宋体" w:cs="Arial"/>
          <w:b/>
          <w:bCs/>
          <w:color w:val="auto"/>
          <w:sz w:val="22"/>
          <w:szCs w:val="22"/>
          <w:highlight w:val="none"/>
          <w:u w:val="single"/>
        </w:rPr>
      </w:pPr>
      <w:r>
        <w:rPr>
          <w:rFonts w:hint="eastAsia" w:ascii="宋体" w:hAnsi="宋体" w:cs="Arial"/>
          <w:b/>
          <w:bCs/>
          <w:color w:val="auto"/>
          <w:sz w:val="22"/>
          <w:szCs w:val="22"/>
          <w:highlight w:val="none"/>
          <w:u w:val="single"/>
        </w:rPr>
        <w:t>因政采云平台原因无法读取或</w:t>
      </w:r>
      <w:r>
        <w:rPr>
          <w:rFonts w:ascii="宋体" w:hAnsi="宋体" w:cs="Arial"/>
          <w:b/>
          <w:bCs/>
          <w:color w:val="auto"/>
          <w:sz w:val="22"/>
          <w:szCs w:val="22"/>
          <w:highlight w:val="none"/>
          <w:u w:val="single"/>
        </w:rPr>
        <w:t>电子</w:t>
      </w:r>
      <w:r>
        <w:rPr>
          <w:rFonts w:hint="eastAsia" w:ascii="宋体" w:hAnsi="宋体" w:cs="Arial"/>
          <w:b/>
          <w:bCs/>
          <w:color w:val="auto"/>
          <w:sz w:val="22"/>
          <w:szCs w:val="22"/>
          <w:highlight w:val="none"/>
          <w:u w:val="single"/>
        </w:rPr>
        <w:t>开</w:t>
      </w:r>
      <w:r>
        <w:rPr>
          <w:rFonts w:ascii="宋体" w:hAnsi="宋体" w:cs="Arial"/>
          <w:b/>
          <w:bCs/>
          <w:color w:val="auto"/>
          <w:sz w:val="22"/>
          <w:szCs w:val="22"/>
          <w:highlight w:val="none"/>
          <w:u w:val="single"/>
        </w:rPr>
        <w:t>评标无法正常进行</w:t>
      </w:r>
      <w:r>
        <w:rPr>
          <w:rFonts w:hint="eastAsia" w:ascii="宋体" w:hAnsi="宋体" w:cs="Arial"/>
          <w:b/>
          <w:bCs/>
          <w:color w:val="auto"/>
          <w:sz w:val="22"/>
          <w:szCs w:val="22"/>
          <w:highlight w:val="none"/>
          <w:u w:val="single"/>
        </w:rPr>
        <w:t>，采购机构将情况上报行业监管部门同意后，重新组织采购活动。</w:t>
      </w:r>
    </w:p>
    <w:p>
      <w:pPr>
        <w:numPr>
          <w:ilvl w:val="0"/>
          <w:numId w:val="27"/>
        </w:numPr>
        <w:spacing w:line="360" w:lineRule="auto"/>
        <w:rPr>
          <w:rFonts w:ascii="宋体" w:hAnsi="宋体" w:cs="Arial"/>
          <w:b/>
          <w:bCs/>
          <w:color w:val="auto"/>
          <w:sz w:val="22"/>
          <w:szCs w:val="22"/>
          <w:highlight w:val="none"/>
          <w:u w:val="single"/>
        </w:rPr>
      </w:pPr>
      <w:r>
        <w:rPr>
          <w:rFonts w:hint="eastAsia" w:ascii="宋体" w:hAnsi="宋体" w:cs="Arial"/>
          <w:b/>
          <w:bCs/>
          <w:color w:val="auto"/>
          <w:sz w:val="22"/>
          <w:szCs w:val="22"/>
          <w:highlight w:val="none"/>
          <w:u w:val="single"/>
        </w:rPr>
        <w:t>评审期间，出现有效投标人不足3家的，本次招标按流（废）标处理，重新组织招标。</w:t>
      </w:r>
    </w:p>
    <w:p>
      <w:pPr>
        <w:numPr>
          <w:ilvl w:val="0"/>
          <w:numId w:val="21"/>
        </w:numPr>
        <w:tabs>
          <w:tab w:val="left" w:pos="540"/>
          <w:tab w:val="clear" w:pos="420"/>
        </w:tabs>
        <w:spacing w:line="440" w:lineRule="exact"/>
        <w:rPr>
          <w:rFonts w:ascii="宋体" w:hAnsi="宋体" w:cs="Arial"/>
          <w:bCs/>
          <w:color w:val="auto"/>
          <w:sz w:val="22"/>
          <w:szCs w:val="22"/>
          <w:highlight w:val="none"/>
        </w:rPr>
      </w:pPr>
      <w:r>
        <w:rPr>
          <w:rFonts w:hint="eastAsia" w:ascii="宋体" w:hAnsi="宋体" w:cs="Arial"/>
          <w:bCs/>
          <w:color w:val="auto"/>
          <w:sz w:val="22"/>
          <w:szCs w:val="22"/>
          <w:highlight w:val="none"/>
        </w:rPr>
        <w:t>投标文件的澄清</w:t>
      </w:r>
    </w:p>
    <w:p>
      <w:pPr>
        <w:numPr>
          <w:ilvl w:val="1"/>
          <w:numId w:val="28"/>
        </w:numPr>
        <w:tabs>
          <w:tab w:val="left" w:pos="540"/>
          <w:tab w:val="clear" w:pos="992"/>
        </w:tabs>
        <w:spacing w:line="440" w:lineRule="exact"/>
        <w:ind w:left="540" w:hanging="540"/>
        <w:rPr>
          <w:rFonts w:ascii="宋体" w:hAnsi="宋体"/>
          <w:b/>
          <w:color w:val="auto"/>
          <w:sz w:val="22"/>
          <w:szCs w:val="22"/>
          <w:highlight w:val="none"/>
        </w:rPr>
      </w:pPr>
      <w:r>
        <w:rPr>
          <w:rFonts w:hint="eastAsia" w:ascii="宋体" w:hAnsi="宋体" w:cs="Arial"/>
          <w:bCs/>
          <w:color w:val="auto"/>
          <w:sz w:val="22"/>
          <w:szCs w:val="22"/>
          <w:highlight w:val="none"/>
        </w:rPr>
        <w:t>在评标期间，评标委员会可以对投标文件中含义不明确、对同类问题表述不一致或者有明显文字和计算错误的内容作必要的澄清、说明或补正。澄清、说明或补将采用在政采云系统上向投标人发起询标函的方式进行。投标人须在“截止时间”内登录政采云系统（路径：用户中心—项目采购—询标澄清）根据标项回复询标函，具体操作流程详见《政府采购项目电子交易管理操作指南-投标人》。澄清内容不得超出投标文件的范围或者改变投标文件的实质性内容。拒不按要求对其投标文件进行澄清，说明或补正的投标人，评标委员会可以否决其投标。</w:t>
      </w:r>
    </w:p>
    <w:p>
      <w:pPr>
        <w:numPr>
          <w:ilvl w:val="1"/>
          <w:numId w:val="28"/>
        </w:numPr>
        <w:tabs>
          <w:tab w:val="left" w:pos="540"/>
          <w:tab w:val="clear" w:pos="992"/>
        </w:tabs>
        <w:spacing w:line="440" w:lineRule="exact"/>
        <w:ind w:left="540" w:hanging="540"/>
        <w:rPr>
          <w:rFonts w:ascii="宋体" w:hAnsi="宋体"/>
          <w:color w:val="auto"/>
          <w:sz w:val="22"/>
          <w:szCs w:val="22"/>
          <w:highlight w:val="none"/>
        </w:rPr>
      </w:pPr>
      <w:r>
        <w:rPr>
          <w:rFonts w:hint="eastAsia" w:ascii="宋体" w:hAnsi="宋体"/>
          <w:color w:val="auto"/>
          <w:sz w:val="22"/>
          <w:szCs w:val="22"/>
          <w:highlight w:val="none"/>
        </w:rPr>
        <w:t>各投标人应代表须在电脑前及时在线关注评审动态，并确保其在联系方式无误且保持畅通，因投标人自身原因没有及时关注评审动态或其联系方式错误或无法接通，导致其未能在规定时间内完成询标澄清事宜的，由此造成的后果由投标人自行承担。</w:t>
      </w:r>
    </w:p>
    <w:p>
      <w:pPr>
        <w:numPr>
          <w:ilvl w:val="1"/>
          <w:numId w:val="28"/>
        </w:numPr>
        <w:tabs>
          <w:tab w:val="left" w:pos="540"/>
          <w:tab w:val="clear" w:pos="992"/>
        </w:tabs>
        <w:spacing w:line="440" w:lineRule="exact"/>
        <w:ind w:left="540" w:hanging="540"/>
        <w:rPr>
          <w:rFonts w:ascii="宋体" w:hAnsi="宋体"/>
          <w:color w:val="auto"/>
          <w:sz w:val="22"/>
          <w:szCs w:val="22"/>
          <w:highlight w:val="none"/>
        </w:rPr>
      </w:pPr>
      <w:r>
        <w:rPr>
          <w:rFonts w:hint="eastAsia" w:ascii="宋体" w:hAnsi="宋体"/>
          <w:b/>
          <w:bCs/>
          <w:color w:val="auto"/>
          <w:sz w:val="22"/>
          <w:szCs w:val="22"/>
          <w:highlight w:val="none"/>
        </w:rPr>
        <w:t>若投标人在询标澄清环节，由于CA等原因无法进行线上操作时，应在规定时限内由授权代表将线下材料通过其在投标文件中预留的邮箱（</w:t>
      </w:r>
      <w:r>
        <w:rPr>
          <w:rFonts w:hint="eastAsia" w:ascii="宋体" w:hAnsi="宋体" w:cs="新宋体"/>
          <w:b/>
          <w:color w:val="auto"/>
          <w:kern w:val="0"/>
          <w:sz w:val="22"/>
          <w:szCs w:val="22"/>
          <w:highlight w:val="none"/>
          <w:u w:val="single"/>
        </w:rPr>
        <w:t>▲</w:t>
      </w:r>
      <w:r>
        <w:rPr>
          <w:rFonts w:hint="eastAsia" w:ascii="宋体" w:hAnsi="宋体"/>
          <w:b/>
          <w:bCs/>
          <w:color w:val="auto"/>
          <w:sz w:val="22"/>
          <w:szCs w:val="22"/>
          <w:highlight w:val="none"/>
          <w:u w:val="single"/>
        </w:rPr>
        <w:t>必须由指定预留邮箱发送，否则澄清邮件不予认可</w:t>
      </w:r>
      <w:r>
        <w:rPr>
          <w:rFonts w:hint="eastAsia" w:ascii="宋体" w:hAnsi="宋体"/>
          <w:b/>
          <w:bCs/>
          <w:color w:val="auto"/>
          <w:sz w:val="22"/>
          <w:szCs w:val="22"/>
          <w:highlight w:val="none"/>
        </w:rPr>
        <w:t>）传送至代理机构邮箱Yxgcxmgl@126.com。</w:t>
      </w:r>
    </w:p>
    <w:p>
      <w:pPr>
        <w:numPr>
          <w:ilvl w:val="1"/>
          <w:numId w:val="28"/>
        </w:numPr>
        <w:tabs>
          <w:tab w:val="left" w:pos="540"/>
          <w:tab w:val="clear" w:pos="992"/>
        </w:tabs>
        <w:spacing w:line="440" w:lineRule="exact"/>
        <w:ind w:left="540" w:hanging="540"/>
        <w:rPr>
          <w:rFonts w:ascii="宋体" w:hAnsi="宋体"/>
          <w:b/>
          <w:color w:val="auto"/>
          <w:sz w:val="22"/>
          <w:szCs w:val="22"/>
          <w:highlight w:val="none"/>
          <w:u w:val="single"/>
        </w:rPr>
      </w:pPr>
      <w:r>
        <w:rPr>
          <w:rFonts w:hint="eastAsia" w:ascii="宋体" w:hAnsi="宋体" w:cs="新宋体"/>
          <w:b/>
          <w:color w:val="auto"/>
          <w:kern w:val="0"/>
          <w:sz w:val="22"/>
          <w:szCs w:val="22"/>
          <w:highlight w:val="none"/>
          <w:u w:val="single"/>
        </w:rPr>
        <w:t>▲</w:t>
      </w:r>
      <w:r>
        <w:rPr>
          <w:rFonts w:hint="eastAsia" w:ascii="宋体" w:hAnsi="宋体"/>
          <w:b/>
          <w:color w:val="auto"/>
          <w:sz w:val="22"/>
          <w:szCs w:val="22"/>
          <w:highlight w:val="none"/>
          <w:u w:val="single"/>
        </w:rPr>
        <w:t>经澄清后，若偏差仍存在，且不可接受，投标人则被认为是“没有实质性响应招标文件要求”，其投标不进入下一步评审。</w:t>
      </w:r>
    </w:p>
    <w:p>
      <w:pPr>
        <w:numPr>
          <w:ilvl w:val="0"/>
          <w:numId w:val="21"/>
        </w:numPr>
        <w:tabs>
          <w:tab w:val="left" w:pos="540"/>
          <w:tab w:val="clear" w:pos="420"/>
        </w:tabs>
        <w:spacing w:line="440" w:lineRule="exact"/>
        <w:rPr>
          <w:rFonts w:ascii="宋体" w:hAnsi="宋体"/>
          <w:color w:val="auto"/>
          <w:sz w:val="22"/>
          <w:szCs w:val="22"/>
          <w:highlight w:val="none"/>
        </w:rPr>
      </w:pPr>
      <w:r>
        <w:rPr>
          <w:rFonts w:hint="eastAsia" w:ascii="宋体" w:hAnsi="宋体" w:cs="Arial"/>
          <w:bCs/>
          <w:color w:val="auto"/>
          <w:sz w:val="22"/>
          <w:szCs w:val="22"/>
          <w:highlight w:val="none"/>
        </w:rPr>
        <w:t>确定中标候选人</w:t>
      </w:r>
    </w:p>
    <w:p>
      <w:pPr>
        <w:numPr>
          <w:ilvl w:val="1"/>
          <w:numId w:val="29"/>
        </w:numPr>
        <w:tabs>
          <w:tab w:val="left" w:pos="540"/>
          <w:tab w:val="clear" w:pos="992"/>
        </w:tabs>
        <w:spacing w:line="440" w:lineRule="exact"/>
        <w:ind w:left="540" w:hanging="540"/>
        <w:rPr>
          <w:rFonts w:ascii="宋体" w:hAnsi="宋体"/>
          <w:color w:val="auto"/>
          <w:sz w:val="22"/>
          <w:szCs w:val="22"/>
          <w:highlight w:val="none"/>
        </w:rPr>
      </w:pPr>
      <w:r>
        <w:rPr>
          <w:rFonts w:hint="eastAsia" w:ascii="宋体" w:hAnsi="宋体"/>
          <w:b/>
          <w:color w:val="auto"/>
          <w:sz w:val="22"/>
          <w:szCs w:val="22"/>
          <w:highlight w:val="none"/>
        </w:rPr>
        <w:t>本次招标由评标委员会推荐中标候选人。</w:t>
      </w:r>
    </w:p>
    <w:p>
      <w:pPr>
        <w:numPr>
          <w:ilvl w:val="1"/>
          <w:numId w:val="29"/>
        </w:numPr>
        <w:tabs>
          <w:tab w:val="left" w:pos="540"/>
          <w:tab w:val="clear" w:pos="992"/>
        </w:tabs>
        <w:spacing w:line="440" w:lineRule="exact"/>
        <w:ind w:left="540" w:hanging="540"/>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评标委员会依据法律、法规及招标文件有关规定在有效标中按投标人的综合得分（即技术资信分与商务分之和）高低进行排序，综合得分前二名的投标人推荐为第一和第二中标候选人（综合</w:t>
      </w:r>
      <w:r>
        <w:rPr>
          <w:rFonts w:hint="eastAsia" w:ascii="宋体" w:hAnsi="宋体" w:cs="hakuyoxingshu7000"/>
          <w:color w:val="auto"/>
          <w:sz w:val="22"/>
          <w:szCs w:val="22"/>
          <w:highlight w:val="none"/>
        </w:rPr>
        <w:t>得分相同的，按商务分由高到底顺序排列。综合得分且商务分相同的，由评标委员会随机抽取决定排名顺序。</w:t>
      </w:r>
      <w:r>
        <w:rPr>
          <w:rFonts w:hint="eastAsia" w:ascii="宋体" w:hAnsi="宋体" w:cs="hakuyoxingshu7000"/>
          <w:color w:val="auto"/>
          <w:kern w:val="0"/>
          <w:sz w:val="22"/>
          <w:szCs w:val="22"/>
          <w:highlight w:val="none"/>
        </w:rPr>
        <w:t>）</w:t>
      </w:r>
    </w:p>
    <w:p>
      <w:pPr>
        <w:numPr>
          <w:ilvl w:val="1"/>
          <w:numId w:val="29"/>
        </w:numPr>
        <w:tabs>
          <w:tab w:val="left" w:pos="540"/>
          <w:tab w:val="clear" w:pos="992"/>
        </w:tabs>
        <w:spacing w:line="440" w:lineRule="exact"/>
        <w:ind w:left="540" w:hanging="540"/>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排名第一的中标候选人放弃中标；因不可抗力提出不能履行合同；或者招标文件规定应当提交履约保证金而在规定的期限内未能提交的；或未能在规定时间内与采购单位签订合同的；或者经质疑，招标人审查后，确因排名第一的候选人在本次采购活动中存在违法违规行为或其他原因使质疑成立的，招标人可视具体情况确定是否由排名第二的中标候选人为中标人。</w:t>
      </w:r>
    </w:p>
    <w:p>
      <w:pPr>
        <w:numPr>
          <w:ilvl w:val="1"/>
          <w:numId w:val="29"/>
        </w:numPr>
        <w:tabs>
          <w:tab w:val="left" w:pos="540"/>
          <w:tab w:val="clear" w:pos="992"/>
        </w:tabs>
        <w:spacing w:line="44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招标人对决标结果不做任何解释，也不保证最低报价中标。</w:t>
      </w:r>
    </w:p>
    <w:p>
      <w:pPr>
        <w:numPr>
          <w:ilvl w:val="1"/>
          <w:numId w:val="29"/>
        </w:numPr>
        <w:tabs>
          <w:tab w:val="left" w:pos="540"/>
          <w:tab w:val="clear" w:pos="992"/>
        </w:tabs>
        <w:spacing w:line="44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中标人在中标后提供纸质投标文件一式两份，电子投标文件（PDF格式）一份，作为备案存档资料邮寄至代理公司。</w:t>
      </w:r>
    </w:p>
    <w:p>
      <w:pPr>
        <w:numPr>
          <w:ilvl w:val="0"/>
          <w:numId w:val="21"/>
        </w:numPr>
        <w:tabs>
          <w:tab w:val="left" w:pos="540"/>
          <w:tab w:val="clear" w:pos="420"/>
        </w:tabs>
        <w:spacing w:line="400" w:lineRule="exact"/>
        <w:rPr>
          <w:rFonts w:ascii="宋体" w:hAnsi="宋体" w:cs="Arial"/>
          <w:bCs/>
          <w:color w:val="auto"/>
          <w:sz w:val="22"/>
          <w:szCs w:val="22"/>
          <w:highlight w:val="none"/>
        </w:rPr>
      </w:pPr>
      <w:r>
        <w:rPr>
          <w:rFonts w:hint="eastAsia" w:ascii="宋体" w:hAnsi="宋体" w:cs="Arial"/>
          <w:bCs/>
          <w:color w:val="auto"/>
          <w:sz w:val="22"/>
          <w:szCs w:val="22"/>
          <w:highlight w:val="none"/>
        </w:rPr>
        <w:t>可中止电子交易活动的情形</w:t>
      </w:r>
    </w:p>
    <w:p>
      <w:pPr>
        <w:spacing w:line="400" w:lineRule="exact"/>
        <w:ind w:firstLine="420"/>
        <w:rPr>
          <w:rFonts w:ascii="宋体" w:hAnsi="宋体" w:cs="Arial"/>
          <w:b/>
          <w:bCs/>
          <w:color w:val="auto"/>
          <w:sz w:val="22"/>
          <w:szCs w:val="22"/>
          <w:highlight w:val="none"/>
          <w:u w:val="single"/>
        </w:rPr>
      </w:pPr>
      <w:r>
        <w:rPr>
          <w:rFonts w:hint="eastAsia" w:ascii="宋体" w:hAnsi="宋体" w:cs="新宋体"/>
          <w:color w:val="auto"/>
          <w:kern w:val="0"/>
          <w:sz w:val="22"/>
          <w:szCs w:val="22"/>
          <w:highlight w:val="none"/>
        </w:rPr>
        <w:t>▲</w:t>
      </w:r>
      <w:r>
        <w:rPr>
          <w:rFonts w:hint="eastAsia" w:ascii="宋体" w:hAnsi="宋体" w:cs="Arial"/>
          <w:b/>
          <w:bCs/>
          <w:color w:val="auto"/>
          <w:sz w:val="22"/>
          <w:szCs w:val="22"/>
          <w:highlight w:val="none"/>
          <w:u w:val="single"/>
        </w:rPr>
        <w:t>采购过程中出现以下情形，导致电子交易平台无法正常运行，或者无法保证电子交易的公平、公正和安全时，采购组织机构可中止电子交易活动：</w:t>
      </w:r>
    </w:p>
    <w:p>
      <w:pPr>
        <w:pStyle w:val="125"/>
        <w:numPr>
          <w:ilvl w:val="0"/>
          <w:numId w:val="30"/>
        </w:numPr>
        <w:spacing w:line="400" w:lineRule="exact"/>
        <w:ind w:firstLineChars="0"/>
        <w:rPr>
          <w:rFonts w:ascii="宋体" w:hAnsi="宋体" w:cs="Arial"/>
          <w:bCs/>
          <w:color w:val="auto"/>
          <w:sz w:val="22"/>
          <w:szCs w:val="22"/>
          <w:highlight w:val="none"/>
        </w:rPr>
      </w:pPr>
      <w:r>
        <w:rPr>
          <w:rFonts w:hint="eastAsia" w:ascii="宋体" w:hAnsi="宋体" w:cs="Arial"/>
          <w:bCs/>
          <w:color w:val="auto"/>
          <w:sz w:val="22"/>
          <w:szCs w:val="22"/>
          <w:highlight w:val="none"/>
        </w:rPr>
        <w:t>电子交易平台发生故障而无法登录访问的；</w:t>
      </w:r>
    </w:p>
    <w:p>
      <w:pPr>
        <w:pStyle w:val="125"/>
        <w:numPr>
          <w:ilvl w:val="0"/>
          <w:numId w:val="30"/>
        </w:numPr>
        <w:spacing w:line="400" w:lineRule="exact"/>
        <w:ind w:firstLineChars="0"/>
        <w:rPr>
          <w:rFonts w:ascii="宋体" w:hAnsi="宋体" w:cs="Arial"/>
          <w:bCs/>
          <w:color w:val="auto"/>
          <w:sz w:val="22"/>
          <w:szCs w:val="22"/>
          <w:highlight w:val="none"/>
        </w:rPr>
      </w:pPr>
      <w:r>
        <w:rPr>
          <w:rFonts w:hint="eastAsia" w:ascii="宋体" w:hAnsi="宋体" w:cs="Arial"/>
          <w:bCs/>
          <w:color w:val="auto"/>
          <w:sz w:val="22"/>
          <w:szCs w:val="22"/>
          <w:highlight w:val="none"/>
        </w:rPr>
        <w:t>电子交易平台应用或数据库出现错误，不能进行正常操作的；</w:t>
      </w:r>
    </w:p>
    <w:p>
      <w:pPr>
        <w:pStyle w:val="125"/>
        <w:numPr>
          <w:ilvl w:val="0"/>
          <w:numId w:val="30"/>
        </w:numPr>
        <w:spacing w:line="400" w:lineRule="exact"/>
        <w:ind w:firstLineChars="0"/>
        <w:rPr>
          <w:rFonts w:ascii="宋体" w:hAnsi="宋体" w:cs="Arial"/>
          <w:bCs/>
          <w:color w:val="auto"/>
          <w:sz w:val="22"/>
          <w:szCs w:val="22"/>
          <w:highlight w:val="none"/>
        </w:rPr>
      </w:pPr>
      <w:r>
        <w:rPr>
          <w:rFonts w:hint="eastAsia" w:ascii="宋体" w:hAnsi="宋体" w:cs="Arial"/>
          <w:bCs/>
          <w:color w:val="auto"/>
          <w:sz w:val="22"/>
          <w:szCs w:val="22"/>
          <w:highlight w:val="none"/>
        </w:rPr>
        <w:t>电子交易平台发现严重安全漏洞，有潜在泄密危险的；</w:t>
      </w:r>
    </w:p>
    <w:p>
      <w:pPr>
        <w:pStyle w:val="125"/>
        <w:numPr>
          <w:ilvl w:val="0"/>
          <w:numId w:val="30"/>
        </w:numPr>
        <w:spacing w:line="400" w:lineRule="exact"/>
        <w:ind w:firstLineChars="0"/>
        <w:rPr>
          <w:rFonts w:ascii="宋体" w:hAnsi="宋体" w:cs="Arial"/>
          <w:bCs/>
          <w:color w:val="auto"/>
          <w:sz w:val="22"/>
          <w:szCs w:val="22"/>
          <w:highlight w:val="none"/>
        </w:rPr>
      </w:pPr>
      <w:r>
        <w:rPr>
          <w:rFonts w:hint="eastAsia" w:ascii="宋体" w:hAnsi="宋体" w:cs="Arial"/>
          <w:bCs/>
          <w:color w:val="auto"/>
          <w:sz w:val="22"/>
          <w:szCs w:val="22"/>
          <w:highlight w:val="none"/>
        </w:rPr>
        <w:t>病毒发作导致不能进行正常操作的；</w:t>
      </w:r>
    </w:p>
    <w:p>
      <w:pPr>
        <w:pStyle w:val="125"/>
        <w:numPr>
          <w:ilvl w:val="0"/>
          <w:numId w:val="30"/>
        </w:numPr>
        <w:spacing w:line="400" w:lineRule="exact"/>
        <w:ind w:firstLineChars="0"/>
        <w:rPr>
          <w:rFonts w:ascii="宋体" w:hAnsi="宋体" w:cs="Arial"/>
          <w:bCs/>
          <w:color w:val="auto"/>
          <w:sz w:val="22"/>
          <w:szCs w:val="22"/>
          <w:highlight w:val="none"/>
        </w:rPr>
      </w:pPr>
      <w:r>
        <w:rPr>
          <w:rFonts w:hint="eastAsia" w:ascii="宋体" w:hAnsi="宋体" w:cs="Arial"/>
          <w:bCs/>
          <w:color w:val="auto"/>
          <w:sz w:val="22"/>
          <w:szCs w:val="22"/>
          <w:highlight w:val="none"/>
        </w:rPr>
        <w:t>其他无法保证电子交易的公平、公正和安全的情况。</w:t>
      </w:r>
    </w:p>
    <w:p>
      <w:pPr>
        <w:spacing w:line="400" w:lineRule="exact"/>
        <w:ind w:firstLine="420"/>
        <w:rPr>
          <w:rFonts w:ascii="宋体" w:hAnsi="宋体" w:cs="Arial"/>
          <w:bCs/>
          <w:color w:val="auto"/>
          <w:sz w:val="22"/>
          <w:szCs w:val="22"/>
          <w:highlight w:val="none"/>
        </w:rPr>
      </w:pPr>
      <w:r>
        <w:rPr>
          <w:rFonts w:hint="eastAsia" w:ascii="宋体" w:hAnsi="宋体" w:cs="Arial"/>
          <w:bCs/>
          <w:color w:val="auto"/>
          <w:sz w:val="22"/>
          <w:szCs w:val="22"/>
          <w:highlight w:val="none"/>
        </w:rPr>
        <w:t>出现前款规定情形，不影响采购公平、公正性的，采购组织机构可以待上述情形消除后继续组织电子交易活动；影响或可能影响采购公平、公正性的，应当重新采购未详尽事宜，遵照有关法律法规执行。</w:t>
      </w:r>
    </w:p>
    <w:p>
      <w:pPr>
        <w:numPr>
          <w:ilvl w:val="0"/>
          <w:numId w:val="21"/>
        </w:numPr>
        <w:tabs>
          <w:tab w:val="left" w:pos="540"/>
          <w:tab w:val="clear" w:pos="420"/>
        </w:tabs>
        <w:spacing w:line="440" w:lineRule="exact"/>
        <w:rPr>
          <w:rFonts w:ascii="宋体" w:hAnsi="宋体" w:cs="Arial"/>
          <w:bCs/>
          <w:color w:val="auto"/>
          <w:sz w:val="22"/>
          <w:szCs w:val="22"/>
          <w:highlight w:val="none"/>
        </w:rPr>
      </w:pPr>
      <w:r>
        <w:rPr>
          <w:rFonts w:hint="eastAsia" w:ascii="宋体" w:hAnsi="宋体" w:cs="Arial"/>
          <w:bCs/>
          <w:color w:val="auto"/>
          <w:sz w:val="22"/>
          <w:szCs w:val="22"/>
          <w:highlight w:val="none"/>
        </w:rPr>
        <w:t>评标细则详见“评标原则及方法”。</w:t>
      </w:r>
    </w:p>
    <w:p>
      <w:pPr>
        <w:spacing w:before="100" w:beforeAutospacing="1" w:after="100" w:afterAutospacing="1" w:line="440" w:lineRule="exact"/>
        <w:ind w:left="-6"/>
        <w:jc w:val="center"/>
        <w:outlineLvl w:val="0"/>
        <w:rPr>
          <w:rFonts w:ascii="宋体" w:hAnsi="宋体"/>
          <w:b/>
          <w:bCs/>
          <w:color w:val="auto"/>
          <w:sz w:val="26"/>
          <w:szCs w:val="26"/>
          <w:highlight w:val="none"/>
        </w:rPr>
      </w:pPr>
      <w:bookmarkStart w:id="123" w:name="_Toc245191316"/>
      <w:bookmarkStart w:id="124" w:name="_Toc241404204"/>
      <w:bookmarkStart w:id="125" w:name="_Toc262105505"/>
      <w:bookmarkStart w:id="126" w:name="_Toc249758866"/>
      <w:bookmarkStart w:id="127" w:name="_Toc245722283"/>
      <w:bookmarkStart w:id="128" w:name="_Toc221356889"/>
      <w:bookmarkStart w:id="129" w:name="_Toc221374628"/>
      <w:bookmarkStart w:id="130" w:name="_Toc249758714"/>
      <w:bookmarkStart w:id="131" w:name="_Toc262049420"/>
      <w:bookmarkStart w:id="132" w:name="_Toc222114881"/>
      <w:bookmarkStart w:id="133" w:name="_Toc223716000"/>
      <w:bookmarkStart w:id="134" w:name="_Toc15938924"/>
      <w:bookmarkStart w:id="135" w:name="_Toc221423621"/>
      <w:bookmarkStart w:id="136" w:name="_Toc239145356"/>
      <w:bookmarkStart w:id="137" w:name="_Toc221356953"/>
      <w:bookmarkStart w:id="138" w:name="_Toc246261267"/>
      <w:r>
        <w:rPr>
          <w:rFonts w:hint="eastAsia" w:ascii="宋体" w:hAnsi="宋体"/>
          <w:b/>
          <w:bCs/>
          <w:color w:val="auto"/>
          <w:sz w:val="26"/>
          <w:szCs w:val="26"/>
          <w:highlight w:val="none"/>
        </w:rPr>
        <w:t>六、 授予合同</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numPr>
          <w:ilvl w:val="0"/>
          <w:numId w:val="31"/>
        </w:numPr>
        <w:spacing w:line="400" w:lineRule="exact"/>
        <w:rPr>
          <w:rFonts w:ascii="宋体" w:hAnsi="宋体"/>
          <w:bCs/>
          <w:color w:val="auto"/>
          <w:sz w:val="22"/>
          <w:szCs w:val="22"/>
          <w:highlight w:val="none"/>
        </w:rPr>
      </w:pPr>
      <w:r>
        <w:rPr>
          <w:rFonts w:hint="eastAsia" w:ascii="宋体" w:hAnsi="宋体" w:cs="Arial"/>
          <w:bCs/>
          <w:color w:val="auto"/>
          <w:sz w:val="22"/>
          <w:szCs w:val="22"/>
          <w:highlight w:val="none"/>
        </w:rPr>
        <w:t xml:space="preserve"> 结果公示</w:t>
      </w:r>
    </w:p>
    <w:p>
      <w:pPr>
        <w:numPr>
          <w:ilvl w:val="1"/>
          <w:numId w:val="32"/>
        </w:numPr>
        <w:tabs>
          <w:tab w:val="left" w:pos="540"/>
          <w:tab w:val="clear" w:pos="992"/>
        </w:tabs>
        <w:spacing w:line="400" w:lineRule="exact"/>
        <w:ind w:left="540" w:hanging="540"/>
        <w:rPr>
          <w:rFonts w:ascii="宋体" w:hAnsi="宋体"/>
          <w:bCs/>
          <w:color w:val="auto"/>
          <w:sz w:val="22"/>
          <w:szCs w:val="22"/>
          <w:highlight w:val="none"/>
        </w:rPr>
      </w:pPr>
      <w:r>
        <w:rPr>
          <w:rFonts w:hint="eastAsia" w:ascii="宋体" w:hAnsi="宋体" w:cs="hakuyoxingshu7000"/>
          <w:color w:val="auto"/>
          <w:kern w:val="0"/>
          <w:sz w:val="22"/>
          <w:szCs w:val="22"/>
          <w:highlight w:val="none"/>
        </w:rPr>
        <w:t>评标委员会推荐的中标候选人经招标人确认后在浙江政府采购网上公示，各投标人对评标结果如有异议，可在规定时间内以书面形式向招标人进行署名投诉或提出质疑，但需对投诉或质疑内容的真实性承担法律责任。中标公告期限为1个工作日，公示期结束后，招标人将根据评标委员会提交的书面评标报告和评审结果最后确定中标人</w:t>
      </w:r>
      <w:r>
        <w:rPr>
          <w:rFonts w:hint="eastAsia" w:ascii="宋体" w:hAnsi="宋体"/>
          <w:bCs/>
          <w:color w:val="auto"/>
          <w:sz w:val="22"/>
          <w:szCs w:val="22"/>
          <w:highlight w:val="none"/>
        </w:rPr>
        <w:t>。</w:t>
      </w:r>
    </w:p>
    <w:p>
      <w:pPr>
        <w:numPr>
          <w:ilvl w:val="0"/>
          <w:numId w:val="31"/>
        </w:numPr>
        <w:spacing w:line="400" w:lineRule="exact"/>
        <w:rPr>
          <w:rFonts w:ascii="宋体" w:hAnsi="宋体" w:cs="Arial"/>
          <w:bCs/>
          <w:color w:val="auto"/>
          <w:sz w:val="22"/>
          <w:szCs w:val="22"/>
          <w:highlight w:val="none"/>
        </w:rPr>
      </w:pPr>
      <w:r>
        <w:rPr>
          <w:rFonts w:hint="eastAsia" w:ascii="宋体" w:hAnsi="宋体" w:cs="Arial"/>
          <w:bCs/>
          <w:color w:val="auto"/>
          <w:sz w:val="22"/>
          <w:szCs w:val="22"/>
          <w:highlight w:val="none"/>
        </w:rPr>
        <w:t>中标通知书</w:t>
      </w:r>
    </w:p>
    <w:p>
      <w:pPr>
        <w:numPr>
          <w:ilvl w:val="1"/>
          <w:numId w:val="33"/>
        </w:numPr>
        <w:tabs>
          <w:tab w:val="left" w:pos="540"/>
          <w:tab w:val="clear" w:pos="992"/>
        </w:tabs>
        <w:spacing w:line="400" w:lineRule="exact"/>
        <w:ind w:hanging="992"/>
        <w:rPr>
          <w:rFonts w:ascii="宋体" w:hAnsi="宋体"/>
          <w:color w:val="auto"/>
          <w:sz w:val="22"/>
          <w:szCs w:val="22"/>
          <w:highlight w:val="none"/>
        </w:rPr>
      </w:pPr>
      <w:r>
        <w:rPr>
          <w:rFonts w:hint="eastAsia" w:ascii="宋体" w:hAnsi="宋体"/>
          <w:bCs/>
          <w:color w:val="auto"/>
          <w:sz w:val="22"/>
          <w:szCs w:val="22"/>
          <w:highlight w:val="none"/>
        </w:rPr>
        <w:t xml:space="preserve">中标人确定后，招标人将向中标人发出中标通知书。 </w:t>
      </w:r>
    </w:p>
    <w:p>
      <w:pPr>
        <w:numPr>
          <w:ilvl w:val="1"/>
          <w:numId w:val="33"/>
        </w:numPr>
        <w:tabs>
          <w:tab w:val="left" w:pos="540"/>
          <w:tab w:val="clear" w:pos="992"/>
        </w:tabs>
        <w:spacing w:line="400" w:lineRule="exact"/>
        <w:ind w:hanging="992"/>
        <w:rPr>
          <w:rFonts w:ascii="宋体" w:hAnsi="宋体"/>
          <w:color w:val="auto"/>
          <w:sz w:val="22"/>
          <w:szCs w:val="22"/>
          <w:highlight w:val="none"/>
        </w:rPr>
      </w:pPr>
      <w:r>
        <w:rPr>
          <w:rFonts w:hint="eastAsia" w:ascii="宋体" w:hAnsi="宋体"/>
          <w:color w:val="auto"/>
          <w:sz w:val="22"/>
          <w:szCs w:val="22"/>
          <w:highlight w:val="none"/>
        </w:rPr>
        <w:t>中标通知书是合同的一个组成部分,对招标人和中标人均具有同等法律效力。</w:t>
      </w:r>
    </w:p>
    <w:p>
      <w:pPr>
        <w:numPr>
          <w:ilvl w:val="0"/>
          <w:numId w:val="31"/>
        </w:numPr>
        <w:spacing w:line="400" w:lineRule="exact"/>
        <w:rPr>
          <w:rFonts w:ascii="宋体" w:hAnsi="宋体"/>
          <w:color w:val="auto"/>
          <w:sz w:val="22"/>
          <w:szCs w:val="22"/>
          <w:highlight w:val="none"/>
        </w:rPr>
      </w:pPr>
      <w:r>
        <w:rPr>
          <w:rFonts w:hint="eastAsia" w:ascii="宋体" w:hAnsi="宋体" w:cs="Arial"/>
          <w:bCs/>
          <w:color w:val="auto"/>
          <w:sz w:val="22"/>
          <w:szCs w:val="22"/>
          <w:highlight w:val="none"/>
        </w:rPr>
        <w:t>签订合同</w:t>
      </w:r>
    </w:p>
    <w:p>
      <w:pPr>
        <w:numPr>
          <w:ilvl w:val="1"/>
          <w:numId w:val="34"/>
        </w:numPr>
        <w:tabs>
          <w:tab w:val="clear" w:pos="992"/>
        </w:tabs>
        <w:spacing w:line="400" w:lineRule="exact"/>
        <w:ind w:left="540"/>
        <w:rPr>
          <w:rFonts w:ascii="宋体" w:hAnsi="宋体"/>
          <w:b/>
          <w:color w:val="auto"/>
          <w:spacing w:val="6"/>
          <w:sz w:val="22"/>
          <w:szCs w:val="22"/>
          <w:highlight w:val="none"/>
        </w:rPr>
      </w:pPr>
      <w:r>
        <w:rPr>
          <w:rFonts w:hint="eastAsia" w:ascii="宋体" w:hAnsi="宋体"/>
          <w:color w:val="auto"/>
          <w:sz w:val="22"/>
          <w:szCs w:val="22"/>
          <w:highlight w:val="none"/>
        </w:rPr>
        <w:t xml:space="preserve"> 中标人应按中标通知书规定的时间、地点与招标人签订合同。</w:t>
      </w:r>
    </w:p>
    <w:p>
      <w:pPr>
        <w:numPr>
          <w:ilvl w:val="1"/>
          <w:numId w:val="34"/>
        </w:numPr>
        <w:tabs>
          <w:tab w:val="left" w:pos="540"/>
          <w:tab w:val="clear" w:pos="992"/>
        </w:tabs>
        <w:spacing w:line="400" w:lineRule="exact"/>
        <w:ind w:left="540" w:hanging="540"/>
        <w:rPr>
          <w:rFonts w:ascii="宋体" w:hAnsi="宋体"/>
          <w:color w:val="auto"/>
          <w:sz w:val="22"/>
          <w:szCs w:val="22"/>
          <w:highlight w:val="none"/>
        </w:rPr>
      </w:pPr>
      <w:r>
        <w:rPr>
          <w:rFonts w:hint="eastAsia" w:ascii="宋体" w:hAnsi="宋体"/>
          <w:b/>
          <w:color w:val="auto"/>
          <w:spacing w:val="6"/>
          <w:sz w:val="22"/>
          <w:szCs w:val="22"/>
          <w:highlight w:val="none"/>
        </w:rPr>
        <w:t>在签订合同前，招标人有权在中标总价不变的前提下要求中标人对商务报价中的不平衡报价和缺漏项进行调整，如果中标人无合理理由拒绝调整，其中标资格将被取消，且将导致其它进一步的赔偿和处罚。中标人因不可抗力或自身原因不能履行采购合同的，招标人可以与排位在中标人之后的第一位的中标候选人签订政府采购合同。</w:t>
      </w:r>
    </w:p>
    <w:p>
      <w:pPr>
        <w:numPr>
          <w:ilvl w:val="1"/>
          <w:numId w:val="34"/>
        </w:numPr>
        <w:tabs>
          <w:tab w:val="left" w:pos="540"/>
          <w:tab w:val="clear" w:pos="992"/>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招标文件、中标人的投标文件、投标修改文件、评标过程中有关澄清文件及经投标人和评委双方签字的询标纪要和中标通知书均作为合同附件。</w:t>
      </w:r>
    </w:p>
    <w:p>
      <w:pPr>
        <w:numPr>
          <w:ilvl w:val="1"/>
          <w:numId w:val="34"/>
        </w:numPr>
        <w:tabs>
          <w:tab w:val="left" w:pos="540"/>
          <w:tab w:val="clear" w:pos="992"/>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拒签合同的违约责任</w:t>
      </w:r>
    </w:p>
    <w:p>
      <w:pPr>
        <w:spacing w:line="400" w:lineRule="exact"/>
        <w:ind w:left="538" w:leftChars="256"/>
        <w:rPr>
          <w:rFonts w:ascii="宋体" w:hAnsi="宋体"/>
          <w:b/>
          <w:bCs/>
          <w:color w:val="auto"/>
          <w:sz w:val="22"/>
          <w:szCs w:val="22"/>
          <w:highlight w:val="none"/>
        </w:rPr>
      </w:pPr>
      <w:r>
        <w:rPr>
          <w:rFonts w:hint="eastAsia" w:ascii="宋体" w:hAnsi="宋体"/>
          <w:b/>
          <w:bCs/>
          <w:color w:val="auto"/>
          <w:sz w:val="22"/>
          <w:szCs w:val="22"/>
          <w:highlight w:val="none"/>
        </w:rPr>
        <w:t>中标人接到中标通知书后，在规定时间内借故否认已经承诺的条件而拒签合同的，以违约处理。</w:t>
      </w:r>
    </w:p>
    <w:p>
      <w:pPr>
        <w:numPr>
          <w:ilvl w:val="1"/>
          <w:numId w:val="34"/>
        </w:numPr>
        <w:tabs>
          <w:tab w:val="left" w:pos="540"/>
          <w:tab w:val="clear" w:pos="992"/>
        </w:tabs>
        <w:spacing w:line="400" w:lineRule="exact"/>
        <w:ind w:left="540" w:hanging="540"/>
        <w:rPr>
          <w:rFonts w:ascii="宋体" w:hAnsi="宋体"/>
          <w:b/>
          <w:color w:val="auto"/>
          <w:sz w:val="22"/>
          <w:szCs w:val="22"/>
          <w:highlight w:val="none"/>
          <w:u w:val="single"/>
        </w:rPr>
      </w:pPr>
      <w:r>
        <w:rPr>
          <w:rFonts w:hint="eastAsia" w:ascii="宋体" w:hAnsi="宋体" w:cs="新宋体"/>
          <w:color w:val="auto"/>
          <w:kern w:val="0"/>
          <w:sz w:val="22"/>
          <w:szCs w:val="22"/>
          <w:highlight w:val="none"/>
        </w:rPr>
        <w:t>▲</w:t>
      </w:r>
      <w:r>
        <w:rPr>
          <w:rFonts w:hint="eastAsia" w:ascii="宋体" w:hAnsi="宋体"/>
          <w:b/>
          <w:color w:val="auto"/>
          <w:sz w:val="22"/>
          <w:szCs w:val="22"/>
          <w:highlight w:val="none"/>
          <w:u w:val="single"/>
        </w:rPr>
        <w:t>中标投标人应在合同签订后五个工作日内提交一份合同文本扫描件报招标代理机构备案。</w:t>
      </w:r>
    </w:p>
    <w:p>
      <w:pPr>
        <w:numPr>
          <w:ilvl w:val="0"/>
          <w:numId w:val="31"/>
        </w:numPr>
        <w:spacing w:line="400" w:lineRule="exact"/>
        <w:rPr>
          <w:rFonts w:ascii="宋体" w:hAnsi="宋体"/>
          <w:color w:val="auto"/>
          <w:spacing w:val="6"/>
          <w:sz w:val="22"/>
          <w:szCs w:val="22"/>
          <w:highlight w:val="none"/>
        </w:rPr>
      </w:pPr>
      <w:r>
        <w:rPr>
          <w:rFonts w:hint="eastAsia" w:ascii="宋体" w:hAnsi="宋体" w:cs="Arial"/>
          <w:bCs/>
          <w:color w:val="auto"/>
          <w:sz w:val="22"/>
          <w:szCs w:val="22"/>
          <w:highlight w:val="none"/>
        </w:rPr>
        <w:t xml:space="preserve"> 履约保证金</w:t>
      </w:r>
    </w:p>
    <w:p>
      <w:pPr>
        <w:numPr>
          <w:ilvl w:val="1"/>
          <w:numId w:val="35"/>
        </w:numPr>
        <w:tabs>
          <w:tab w:val="left" w:pos="540"/>
          <w:tab w:val="clear" w:pos="992"/>
        </w:tabs>
        <w:spacing w:line="400" w:lineRule="exact"/>
        <w:ind w:left="540"/>
        <w:rPr>
          <w:rFonts w:ascii="宋体" w:hAnsi="宋体"/>
          <w:color w:val="auto"/>
          <w:sz w:val="22"/>
          <w:szCs w:val="22"/>
          <w:highlight w:val="none"/>
        </w:rPr>
      </w:pPr>
      <w:r>
        <w:rPr>
          <w:rFonts w:hint="eastAsia" w:ascii="宋体" w:hAnsi="宋体"/>
          <w:color w:val="auto"/>
          <w:sz w:val="22"/>
          <w:szCs w:val="22"/>
          <w:highlight w:val="none"/>
        </w:rPr>
        <w:t>中标人签订合同时向</w:t>
      </w:r>
      <w:r>
        <w:rPr>
          <w:rFonts w:hint="eastAsia" w:ascii="宋体" w:hAnsi="宋体" w:cs="hakuyoxingshu7000"/>
          <w:color w:val="auto"/>
          <w:kern w:val="0"/>
          <w:sz w:val="22"/>
          <w:szCs w:val="22"/>
          <w:highlight w:val="none"/>
        </w:rPr>
        <w:t>招标人提交履约保证金，履约保证金的形式可以为银行转账或保函（金融机构、担保机构出具）</w:t>
      </w:r>
      <w:r>
        <w:rPr>
          <w:rFonts w:hint="eastAsia" w:ascii="宋体" w:hAnsi="宋体"/>
          <w:color w:val="auto"/>
          <w:sz w:val="22"/>
          <w:szCs w:val="22"/>
          <w:highlight w:val="none"/>
        </w:rPr>
        <w:t>。</w:t>
      </w:r>
    </w:p>
    <w:p>
      <w:pPr>
        <w:numPr>
          <w:ilvl w:val="1"/>
          <w:numId w:val="35"/>
        </w:numPr>
        <w:tabs>
          <w:tab w:val="left" w:pos="540"/>
          <w:tab w:val="clear" w:pos="992"/>
        </w:tabs>
        <w:spacing w:line="400" w:lineRule="exact"/>
        <w:ind w:left="540" w:hanging="540"/>
        <w:rPr>
          <w:rFonts w:ascii="宋体" w:hAnsi="宋体"/>
          <w:color w:val="auto"/>
          <w:spacing w:val="6"/>
          <w:sz w:val="22"/>
          <w:szCs w:val="22"/>
          <w:highlight w:val="none"/>
        </w:rPr>
      </w:pPr>
      <w:r>
        <w:rPr>
          <w:rFonts w:hint="eastAsia" w:ascii="宋体" w:hAnsi="宋体"/>
          <w:color w:val="auto"/>
          <w:spacing w:val="6"/>
          <w:sz w:val="22"/>
          <w:szCs w:val="22"/>
          <w:highlight w:val="none"/>
        </w:rPr>
        <w:t>履约保证金用于补偿招标人因中标人不能完成其合同义务而蒙受的损失。</w:t>
      </w:r>
    </w:p>
    <w:p>
      <w:pPr>
        <w:numPr>
          <w:ilvl w:val="1"/>
          <w:numId w:val="35"/>
        </w:numPr>
        <w:tabs>
          <w:tab w:val="left" w:pos="540"/>
          <w:tab w:val="clear" w:pos="992"/>
        </w:tabs>
        <w:spacing w:line="400" w:lineRule="exact"/>
        <w:ind w:left="540" w:hanging="540"/>
        <w:rPr>
          <w:rFonts w:ascii="宋体" w:hAnsi="宋体"/>
          <w:color w:val="auto"/>
          <w:spacing w:val="6"/>
          <w:sz w:val="22"/>
          <w:szCs w:val="22"/>
          <w:highlight w:val="none"/>
        </w:rPr>
      </w:pPr>
      <w:r>
        <w:rPr>
          <w:rFonts w:hint="eastAsia" w:ascii="宋体" w:hAnsi="宋体"/>
          <w:color w:val="auto"/>
          <w:spacing w:val="6"/>
          <w:sz w:val="22"/>
          <w:szCs w:val="22"/>
          <w:highlight w:val="none"/>
        </w:rPr>
        <w:t>履约保证金自合同签订之日起至完成合同内容之日止有效。有效期满后，招标人应及时将履约保证金无息退还给中标人。</w:t>
      </w:r>
    </w:p>
    <w:p>
      <w:pPr>
        <w:numPr>
          <w:ilvl w:val="0"/>
          <w:numId w:val="31"/>
        </w:numPr>
        <w:spacing w:line="400" w:lineRule="exact"/>
        <w:rPr>
          <w:rFonts w:ascii="宋体" w:hAnsi="宋体" w:cs="Arial"/>
          <w:bCs/>
          <w:color w:val="auto"/>
          <w:sz w:val="22"/>
          <w:szCs w:val="22"/>
          <w:highlight w:val="none"/>
        </w:rPr>
      </w:pPr>
      <w:r>
        <w:rPr>
          <w:rFonts w:hint="eastAsia" w:ascii="宋体" w:hAnsi="宋体" w:cs="Arial"/>
          <w:bCs/>
          <w:color w:val="auto"/>
          <w:sz w:val="22"/>
          <w:szCs w:val="22"/>
          <w:highlight w:val="none"/>
        </w:rPr>
        <w:t xml:space="preserve"> 采购代理服务费</w:t>
      </w:r>
    </w:p>
    <w:p>
      <w:pPr>
        <w:tabs>
          <w:tab w:val="left" w:pos="540"/>
        </w:tabs>
        <w:spacing w:line="400" w:lineRule="exact"/>
        <w:ind w:left="425"/>
        <w:rPr>
          <w:rFonts w:ascii="宋体" w:hAnsi="宋体" w:cs="hakuyoxingshu7000"/>
          <w:color w:val="auto"/>
          <w:spacing w:val="6"/>
          <w:sz w:val="22"/>
          <w:szCs w:val="22"/>
          <w:highlight w:val="none"/>
        </w:rPr>
      </w:pPr>
      <w:r>
        <w:rPr>
          <w:rFonts w:hint="eastAsia" w:ascii="宋体" w:hAnsi="宋体" w:cs="hakuyoxingshu7000"/>
          <w:b/>
          <w:color w:val="auto"/>
          <w:kern w:val="0"/>
          <w:sz w:val="22"/>
          <w:szCs w:val="22"/>
          <w:highlight w:val="none"/>
        </w:rPr>
        <w:t>本次采购代理服务费按</w:t>
      </w:r>
      <w:r>
        <w:rPr>
          <w:rFonts w:hint="eastAsia" w:ascii="宋体" w:hAnsi="宋体" w:cs="hakuyoxingshu7000"/>
          <w:b/>
          <w:color w:val="auto"/>
          <w:kern w:val="0"/>
          <w:sz w:val="22"/>
          <w:szCs w:val="22"/>
          <w:highlight w:val="none"/>
          <w:lang w:val="en-US" w:eastAsia="zh-CN"/>
        </w:rPr>
        <w:t>固定</w:t>
      </w:r>
      <w:r>
        <w:rPr>
          <w:rFonts w:hint="eastAsia" w:ascii="宋体" w:hAnsi="宋体" w:cs="hakuyoxingshu7000"/>
          <w:b/>
          <w:color w:val="auto"/>
          <w:kern w:val="0"/>
          <w:sz w:val="22"/>
          <w:szCs w:val="22"/>
          <w:highlight w:val="none"/>
        </w:rPr>
        <w:t>收费</w:t>
      </w:r>
      <w:r>
        <w:rPr>
          <w:rFonts w:hint="eastAsia" w:ascii="宋体" w:hAnsi="宋体" w:cs="hakuyoxingshu7000"/>
          <w:b/>
          <w:color w:val="auto"/>
          <w:kern w:val="0"/>
          <w:sz w:val="22"/>
          <w:szCs w:val="22"/>
          <w:highlight w:val="none"/>
          <w:lang w:val="en-US" w:eastAsia="zh-CN"/>
        </w:rPr>
        <w:t>贰万元整</w:t>
      </w:r>
      <w:r>
        <w:rPr>
          <w:rFonts w:hint="eastAsia" w:ascii="宋体" w:hAnsi="宋体" w:cs="hakuyoxingshu7000"/>
          <w:b/>
          <w:color w:val="auto"/>
          <w:kern w:val="0"/>
          <w:sz w:val="22"/>
          <w:szCs w:val="22"/>
          <w:highlight w:val="none"/>
        </w:rPr>
        <w:t>向中标人收取；中标人在领取中标通知书之前支付给招标代理机构。</w:t>
      </w:r>
      <w:r>
        <w:rPr>
          <w:rFonts w:hint="eastAsia" w:ascii="宋体" w:hAnsi="宋体" w:cs="hakuyoxingshu7000"/>
          <w:color w:val="auto"/>
          <w:spacing w:val="6"/>
          <w:sz w:val="22"/>
          <w:szCs w:val="22"/>
          <w:highlight w:val="none"/>
        </w:rPr>
        <w:t>采购代理服务费可以是现金、支票或汇票。</w:t>
      </w:r>
    </w:p>
    <w:p>
      <w:pPr>
        <w:tabs>
          <w:tab w:val="left" w:pos="540"/>
        </w:tabs>
        <w:spacing w:line="400" w:lineRule="exact"/>
        <w:ind w:left="540"/>
        <w:rPr>
          <w:rFonts w:ascii="宋体" w:hAnsi="宋体" w:cs="hakuyoxingshu7000"/>
          <w:b/>
          <w:color w:val="auto"/>
          <w:kern w:val="0"/>
          <w:sz w:val="22"/>
          <w:szCs w:val="22"/>
          <w:highlight w:val="none"/>
        </w:rPr>
      </w:pPr>
      <w:r>
        <w:rPr>
          <w:rFonts w:hint="eastAsia" w:ascii="宋体" w:hAnsi="宋体" w:cs="hakuyoxingshu7000"/>
          <w:b/>
          <w:color w:val="auto"/>
          <w:kern w:val="0"/>
          <w:sz w:val="22"/>
          <w:szCs w:val="22"/>
          <w:highlight w:val="none"/>
        </w:rPr>
        <w:t>银行帐户：</w:t>
      </w:r>
    </w:p>
    <w:p>
      <w:pPr>
        <w:widowControl/>
        <w:spacing w:before="60" w:after="60" w:line="400" w:lineRule="exact"/>
        <w:ind w:left="424" w:leftChars="202" w:right="60" w:firstLine="440" w:firstLineChars="200"/>
        <w:jc w:val="left"/>
        <w:rPr>
          <w:rFonts w:ascii="宋体" w:hAnsi="宋体"/>
          <w:color w:val="auto"/>
          <w:sz w:val="22"/>
          <w:szCs w:val="22"/>
          <w:highlight w:val="none"/>
        </w:rPr>
      </w:pPr>
      <w:r>
        <w:rPr>
          <w:rFonts w:hint="eastAsia" w:ascii="宋体" w:hAnsi="宋体"/>
          <w:color w:val="auto"/>
          <w:sz w:val="22"/>
          <w:szCs w:val="22"/>
          <w:highlight w:val="none"/>
        </w:rPr>
        <w:t>户  名：温州元信工程项目管理有限公司</w:t>
      </w:r>
    </w:p>
    <w:p>
      <w:pPr>
        <w:widowControl/>
        <w:spacing w:before="60" w:after="60" w:line="400" w:lineRule="exact"/>
        <w:ind w:left="424" w:leftChars="202" w:right="60" w:firstLine="440" w:firstLineChars="200"/>
        <w:jc w:val="left"/>
        <w:rPr>
          <w:rFonts w:ascii="宋体" w:hAnsi="宋体"/>
          <w:color w:val="auto"/>
          <w:sz w:val="22"/>
          <w:szCs w:val="22"/>
          <w:highlight w:val="none"/>
        </w:rPr>
      </w:pPr>
      <w:r>
        <w:rPr>
          <w:rFonts w:hint="eastAsia" w:ascii="宋体" w:hAnsi="宋体"/>
          <w:color w:val="auto"/>
          <w:sz w:val="22"/>
          <w:szCs w:val="22"/>
          <w:highlight w:val="none"/>
        </w:rPr>
        <w:t>开户行：招商银行股份有限公司温州国鼎支行</w:t>
      </w:r>
    </w:p>
    <w:p>
      <w:pPr>
        <w:widowControl/>
        <w:spacing w:before="60" w:after="60" w:line="400" w:lineRule="exact"/>
        <w:ind w:left="424" w:leftChars="202" w:right="60" w:firstLine="440" w:firstLineChars="200"/>
        <w:jc w:val="left"/>
        <w:rPr>
          <w:rFonts w:hint="eastAsia" w:ascii="宋体" w:hAnsi="宋体"/>
          <w:color w:val="auto"/>
          <w:sz w:val="22"/>
          <w:szCs w:val="22"/>
          <w:highlight w:val="none"/>
        </w:rPr>
      </w:pPr>
      <w:r>
        <w:rPr>
          <w:rFonts w:hint="eastAsia" w:ascii="宋体" w:hAnsi="宋体"/>
          <w:color w:val="auto"/>
          <w:sz w:val="22"/>
          <w:szCs w:val="22"/>
          <w:highlight w:val="none"/>
        </w:rPr>
        <w:t>账  号：577905395310101</w:t>
      </w:r>
    </w:p>
    <w:p>
      <w:pPr>
        <w:pStyle w:val="2"/>
        <w:rPr>
          <w:rFonts w:hint="eastAsia" w:ascii="宋体" w:hAnsi="宋体"/>
          <w:color w:val="auto"/>
          <w:sz w:val="22"/>
          <w:szCs w:val="22"/>
          <w:highlight w:val="none"/>
        </w:rPr>
      </w:pPr>
    </w:p>
    <w:p>
      <w:pPr>
        <w:pStyle w:val="2"/>
        <w:rPr>
          <w:rFonts w:hint="eastAsia" w:ascii="宋体" w:hAnsi="宋体"/>
          <w:color w:val="auto"/>
          <w:sz w:val="22"/>
          <w:szCs w:val="22"/>
          <w:highlight w:val="none"/>
        </w:rPr>
      </w:pPr>
    </w:p>
    <w:p>
      <w:pPr>
        <w:widowControl/>
        <w:spacing w:before="60" w:after="60" w:line="400" w:lineRule="exact"/>
        <w:ind w:left="424" w:leftChars="202" w:right="60" w:firstLine="440" w:firstLineChars="200"/>
        <w:jc w:val="center"/>
        <w:rPr>
          <w:rFonts w:hint="eastAsia" w:ascii="宋体" w:hAnsi="宋体"/>
          <w:color w:val="auto"/>
          <w:sz w:val="22"/>
          <w:szCs w:val="22"/>
          <w:highlight w:val="none"/>
        </w:rPr>
      </w:pPr>
    </w:p>
    <w:p>
      <w:pPr>
        <w:widowControl/>
        <w:spacing w:before="60" w:after="60" w:line="400" w:lineRule="exact"/>
        <w:ind w:left="424" w:leftChars="202" w:right="60" w:firstLine="440" w:firstLineChars="200"/>
        <w:jc w:val="center"/>
        <w:rPr>
          <w:rFonts w:ascii="宋体" w:hAnsi="宋体" w:cs="Arial"/>
          <w:color w:val="auto"/>
          <w:sz w:val="36"/>
          <w:szCs w:val="36"/>
          <w:highlight w:val="none"/>
        </w:rPr>
      </w:pPr>
      <w:r>
        <w:rPr>
          <w:rFonts w:hint="eastAsia" w:ascii="宋体" w:hAnsi="宋体"/>
          <w:color w:val="auto"/>
          <w:sz w:val="22"/>
          <w:szCs w:val="22"/>
          <w:highlight w:val="none"/>
        </w:rPr>
        <w:br w:type="page"/>
      </w:r>
      <w:bookmarkStart w:id="139" w:name="_Toc222114882"/>
      <w:bookmarkStart w:id="140" w:name="_Toc241404205"/>
      <w:bookmarkStart w:id="141" w:name="_Toc223716001"/>
      <w:bookmarkStart w:id="142" w:name="_Toc221356890"/>
      <w:bookmarkStart w:id="143" w:name="_Toc249758867"/>
      <w:bookmarkStart w:id="144" w:name="_Toc239145357"/>
      <w:bookmarkStart w:id="145" w:name="_Toc262105506"/>
      <w:bookmarkStart w:id="146" w:name="_Toc246261268"/>
      <w:bookmarkStart w:id="147" w:name="_Toc262049421"/>
      <w:bookmarkStart w:id="148" w:name="_Toc221356954"/>
      <w:bookmarkStart w:id="149" w:name="_Toc221423622"/>
      <w:bookmarkStart w:id="150" w:name="_Toc249758715"/>
      <w:bookmarkStart w:id="151" w:name="_Toc245191317"/>
      <w:bookmarkStart w:id="152" w:name="_Toc245722284"/>
      <w:bookmarkStart w:id="153" w:name="_Toc15938925"/>
      <w:bookmarkStart w:id="154" w:name="_Toc221374629"/>
      <w:r>
        <w:rPr>
          <w:rFonts w:hint="eastAsia" w:ascii="宋体" w:hAnsi="宋体" w:cs="Arial"/>
          <w:color w:val="auto"/>
          <w:sz w:val="36"/>
          <w:szCs w:val="36"/>
          <w:highlight w:val="none"/>
        </w:rPr>
        <w:t>第二部分   合同主要条款</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pPr>
        <w:rPr>
          <w:color w:val="auto"/>
          <w:highlight w:val="none"/>
        </w:rPr>
      </w:pPr>
    </w:p>
    <w:p>
      <w:pPr>
        <w:spacing w:line="400" w:lineRule="exact"/>
        <w:ind w:firstLine="440" w:firstLineChars="200"/>
        <w:rPr>
          <w:rFonts w:hint="eastAsia" w:ascii="宋体" w:hAnsi="宋体" w:cs="Arial"/>
          <w:color w:val="auto"/>
          <w:sz w:val="22"/>
          <w:szCs w:val="22"/>
          <w:highlight w:val="none"/>
        </w:rPr>
      </w:pPr>
      <w:bookmarkStart w:id="155" w:name="_Toc221356956"/>
      <w:bookmarkStart w:id="156" w:name="_Toc262105509"/>
      <w:bookmarkStart w:id="157" w:name="_Toc223716003"/>
      <w:bookmarkStart w:id="158" w:name="_Toc241404207"/>
      <w:bookmarkStart w:id="159" w:name="_Toc245722286"/>
      <w:bookmarkStart w:id="160" w:name="_Toc249758870"/>
      <w:bookmarkStart w:id="161" w:name="_Toc246261270"/>
      <w:bookmarkStart w:id="162" w:name="_Toc221423624"/>
      <w:bookmarkStart w:id="163" w:name="_Toc239145359"/>
      <w:bookmarkStart w:id="164" w:name="_Toc249758718"/>
      <w:bookmarkStart w:id="165" w:name="_Toc221374631"/>
      <w:bookmarkStart w:id="166" w:name="_Toc249758719"/>
      <w:bookmarkStart w:id="167" w:name="_Toc262049424"/>
      <w:bookmarkStart w:id="168" w:name="_Toc245191319"/>
      <w:bookmarkStart w:id="169" w:name="_Toc222114884"/>
      <w:bookmarkStart w:id="170" w:name="_Toc221356892"/>
      <w:r>
        <w:rPr>
          <w:rFonts w:hint="eastAsia" w:ascii="宋体" w:hAnsi="宋体" w:cs="Arial"/>
          <w:color w:val="auto"/>
          <w:sz w:val="22"/>
          <w:szCs w:val="22"/>
          <w:highlight w:val="none"/>
        </w:rPr>
        <w:t>本条款为甲乙双方必须遵守的基本条款，买卖双方也可根据实际情况另签合同条款，正式合同以双方签字盖章的文本为准。</w:t>
      </w:r>
    </w:p>
    <w:p>
      <w:pPr>
        <w:pStyle w:val="2"/>
        <w:rPr>
          <w:rFonts w:hint="eastAsia" w:ascii="宋体" w:hAnsi="宋体" w:cs="Arial"/>
          <w:color w:val="auto"/>
          <w:sz w:val="22"/>
          <w:szCs w:val="22"/>
          <w:highlight w:val="none"/>
        </w:rPr>
      </w:pPr>
    </w:p>
    <w:p>
      <w:pPr>
        <w:numPr>
          <w:ilvl w:val="0"/>
          <w:numId w:val="36"/>
        </w:numPr>
        <w:tabs>
          <w:tab w:val="left" w:pos="425"/>
        </w:tabs>
        <w:spacing w:line="400" w:lineRule="exact"/>
        <w:ind w:left="780" w:leftChars="0" w:hanging="420" w:firstLineChars="0"/>
        <w:rPr>
          <w:rFonts w:ascii="宋体" w:hAnsi="宋体"/>
          <w:b/>
          <w:bCs/>
          <w:color w:val="auto"/>
          <w:sz w:val="22"/>
          <w:szCs w:val="22"/>
          <w:highlight w:val="none"/>
        </w:rPr>
      </w:pPr>
      <w:r>
        <w:rPr>
          <w:rFonts w:hint="eastAsia" w:ascii="宋体" w:hAnsi="宋体"/>
          <w:b/>
          <w:bCs/>
          <w:color w:val="auto"/>
          <w:sz w:val="22"/>
          <w:szCs w:val="22"/>
          <w:highlight w:val="none"/>
        </w:rPr>
        <w:t>定义：</w:t>
      </w:r>
    </w:p>
    <w:p>
      <w:pPr>
        <w:spacing w:line="40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本合同下列述语应解释为：</w:t>
      </w:r>
    </w:p>
    <w:p>
      <w:pPr>
        <w:numPr>
          <w:ilvl w:val="1"/>
          <w:numId w:val="36"/>
        </w:numPr>
        <w:tabs>
          <w:tab w:val="left" w:pos="540"/>
        </w:tabs>
        <w:spacing w:line="400" w:lineRule="exact"/>
        <w:ind w:left="840" w:leftChars="0" w:hanging="420" w:firstLineChars="0"/>
        <w:rPr>
          <w:rFonts w:ascii="宋体" w:hAnsi="宋体"/>
          <w:b/>
          <w:bCs/>
          <w:color w:val="auto"/>
          <w:sz w:val="22"/>
          <w:szCs w:val="22"/>
          <w:highlight w:val="none"/>
        </w:rPr>
      </w:pPr>
      <w:r>
        <w:rPr>
          <w:rFonts w:hint="eastAsia" w:ascii="宋体" w:hAnsi="宋体"/>
          <w:color w:val="auto"/>
          <w:spacing w:val="6"/>
          <w:sz w:val="22"/>
          <w:szCs w:val="22"/>
          <w:highlight w:val="none"/>
        </w:rPr>
        <w:t>“合同”系指买卖双方签署的，合同格式中载明的买卖双方所达成的协议，包括所有的附件和</w:t>
      </w:r>
      <w:r>
        <w:rPr>
          <w:rFonts w:hint="eastAsia" w:ascii="宋体" w:hAnsi="宋体"/>
          <w:color w:val="auto"/>
          <w:sz w:val="22"/>
          <w:szCs w:val="22"/>
          <w:highlight w:val="none"/>
        </w:rPr>
        <w:t>构成合同的其它文件。</w:t>
      </w:r>
    </w:p>
    <w:p>
      <w:pPr>
        <w:numPr>
          <w:ilvl w:val="1"/>
          <w:numId w:val="36"/>
        </w:numPr>
        <w:tabs>
          <w:tab w:val="left" w:pos="540"/>
        </w:tabs>
        <w:spacing w:line="400" w:lineRule="exact"/>
        <w:ind w:left="840" w:leftChars="0" w:hanging="420" w:firstLineChars="0"/>
        <w:rPr>
          <w:rFonts w:ascii="宋体" w:hAnsi="宋体"/>
          <w:color w:val="auto"/>
          <w:sz w:val="22"/>
          <w:szCs w:val="22"/>
          <w:highlight w:val="none"/>
        </w:rPr>
      </w:pPr>
      <w:r>
        <w:rPr>
          <w:rFonts w:hint="eastAsia" w:ascii="宋体" w:hAnsi="宋体"/>
          <w:b/>
          <w:bCs/>
          <w:color w:val="auto"/>
          <w:sz w:val="22"/>
          <w:szCs w:val="22"/>
          <w:highlight w:val="none"/>
        </w:rPr>
        <w:t>“合同价”是指根据本合同规定，乙方在正确地完全履行合同义务后甲方应支付给乙方的价款（工地价）。即：货物的供货、税金、包装、运输、保险、装卸、安装调试、检验、配合验收、技术服务、售后服务、质保期保障、材料等全部费用、实行固定费用总包干。</w:t>
      </w:r>
    </w:p>
    <w:p>
      <w:pPr>
        <w:numPr>
          <w:ilvl w:val="1"/>
          <w:numId w:val="36"/>
        </w:numPr>
        <w:tabs>
          <w:tab w:val="left" w:pos="540"/>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“货物”是指根据合同规定须向甲方提供的一切设备、机械和其它材料。</w:t>
      </w:r>
    </w:p>
    <w:p>
      <w:pPr>
        <w:numPr>
          <w:ilvl w:val="1"/>
          <w:numId w:val="36"/>
        </w:numPr>
        <w:tabs>
          <w:tab w:val="left" w:pos="540"/>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“服务”是指根据合同规定乙方承担与供货有关的辅助服务，如运输、保险以及其它的伴随服务，例如安装、调试、提供技术协助、培训和合同中规定乙方应承担的其它义务。</w:t>
      </w:r>
    </w:p>
    <w:p>
      <w:pPr>
        <w:numPr>
          <w:ilvl w:val="1"/>
          <w:numId w:val="36"/>
        </w:numPr>
        <w:tabs>
          <w:tab w:val="left" w:pos="540"/>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“现场”是指合同项下货物将要进行安装运行的地点。</w:t>
      </w:r>
    </w:p>
    <w:p>
      <w:pPr>
        <w:numPr>
          <w:ilvl w:val="1"/>
          <w:numId w:val="36"/>
        </w:numPr>
        <w:tabs>
          <w:tab w:val="left" w:pos="540"/>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“验收”是指合同双方依据规定的程序和条件确认合同项下的货物符合技术规范的要求。</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bCs/>
          <w:color w:val="auto"/>
          <w:sz w:val="22"/>
          <w:szCs w:val="22"/>
          <w:highlight w:val="none"/>
        </w:rPr>
        <w:t>标准</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本合同项下交付的货物应符合技术规格所述的标准。如在招标文件中无相应说明，则以国家颁布的最新版本标准或行业（部）标准或相应的国际标准执行，没有国家或行业（部）标准的则按企业标准执行。</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除非技术规格中另有规定，计量单位均采用中华人民共和国法定计量单位。</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bCs/>
          <w:color w:val="auto"/>
          <w:sz w:val="22"/>
          <w:szCs w:val="22"/>
          <w:highlight w:val="none"/>
        </w:rPr>
        <w:t>专利权</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乙方应保证，甲方在使用该货物或货物的任何一部分时，免受第三方提出的侵犯其专利权、商标权、著作权或其它知识产权的起诉。乙方应承担由此可能产生的一切法律责任和费用。</w:t>
      </w:r>
    </w:p>
    <w:p>
      <w:pPr>
        <w:numPr>
          <w:ilvl w:val="0"/>
          <w:numId w:val="36"/>
        </w:numPr>
        <w:spacing w:line="400" w:lineRule="exact"/>
        <w:ind w:left="780" w:leftChars="0" w:hanging="420" w:firstLineChars="0"/>
        <w:rPr>
          <w:rFonts w:ascii="宋体" w:hAnsi="宋体"/>
          <w:b/>
          <w:color w:val="auto"/>
          <w:sz w:val="22"/>
          <w:szCs w:val="22"/>
          <w:highlight w:val="none"/>
        </w:rPr>
      </w:pPr>
      <w:r>
        <w:rPr>
          <w:rFonts w:hint="eastAsia" w:ascii="宋体" w:hAnsi="宋体"/>
          <w:b/>
          <w:color w:val="auto"/>
          <w:sz w:val="22"/>
          <w:szCs w:val="22"/>
          <w:highlight w:val="none"/>
        </w:rPr>
        <w:t>包装要求</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除合同另有规定外，乙方应提供货物运至合同规定的最终目的地所需要的包装，以防止货物在转运中损坏或变质。这类包装应采取防潮、防晒、防锈、防腐蚀、防震动及防止其他损坏的必要保护措施，从而保护货物能够经受多次搬运、装卸储存等并充分考虑到运输途中的各种复杂情况（例如恶劣天气）和温州地区气候特点、以及露天存放问题。乙方应承担由于其包装或其防护措施不妥而引起货物锈蚀、损坏和丢失的任何损失的责任或费用。</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每一包装箱内必须附有装箱清单、合格证和齐全的技术资料等。</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color w:val="auto"/>
          <w:sz w:val="22"/>
          <w:szCs w:val="22"/>
          <w:highlight w:val="none"/>
        </w:rPr>
        <w:t>装运标记</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乙方应在每一包装箱相邻的四侧用不可擦除的油漆以醒目的中文字样标注下列标记：</w:t>
      </w:r>
    </w:p>
    <w:p>
      <w:pPr>
        <w:spacing w:line="400" w:lineRule="exact"/>
        <w:ind w:left="-1" w:firstLine="539" w:firstLineChars="245"/>
        <w:rPr>
          <w:rFonts w:ascii="宋体" w:hAnsi="宋体"/>
          <w:color w:val="auto"/>
          <w:sz w:val="22"/>
          <w:szCs w:val="22"/>
          <w:highlight w:val="none"/>
        </w:rPr>
      </w:pPr>
      <w:r>
        <w:rPr>
          <w:rFonts w:hint="eastAsia" w:ascii="宋体" w:hAnsi="宋体"/>
          <w:color w:val="auto"/>
          <w:sz w:val="22"/>
          <w:szCs w:val="22"/>
          <w:highlight w:val="none"/>
        </w:rPr>
        <w:t>1）   收货人</w:t>
      </w:r>
      <w:r>
        <w:rPr>
          <w:rFonts w:hint="eastAsia" w:ascii="宋体" w:hAnsi="宋体"/>
          <w:color w:val="auto"/>
          <w:sz w:val="22"/>
          <w:szCs w:val="22"/>
          <w:highlight w:val="none"/>
          <w:u w:val="single"/>
        </w:rPr>
        <w:t xml:space="preserve">                                            </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2）   货物名称和箱号</w:t>
      </w:r>
      <w:r>
        <w:rPr>
          <w:rFonts w:hint="eastAsia" w:ascii="宋体" w:hAnsi="宋体"/>
          <w:color w:val="auto"/>
          <w:sz w:val="22"/>
          <w:szCs w:val="22"/>
          <w:highlight w:val="none"/>
          <w:u w:val="single"/>
        </w:rPr>
        <w:t xml:space="preserve">                                    </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3）   合同号</w:t>
      </w:r>
      <w:r>
        <w:rPr>
          <w:rFonts w:hint="eastAsia" w:ascii="宋体" w:hAnsi="宋体"/>
          <w:color w:val="auto"/>
          <w:sz w:val="22"/>
          <w:szCs w:val="22"/>
          <w:highlight w:val="none"/>
          <w:u w:val="single"/>
        </w:rPr>
        <w:t xml:space="preserve">                                            </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4）   发货标记（唛头）</w:t>
      </w:r>
      <w:r>
        <w:rPr>
          <w:rFonts w:hint="eastAsia" w:ascii="宋体" w:hAnsi="宋体"/>
          <w:color w:val="auto"/>
          <w:sz w:val="22"/>
          <w:szCs w:val="22"/>
          <w:highlight w:val="none"/>
          <w:u w:val="single"/>
        </w:rPr>
        <w:t xml:space="preserve">                                  </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5）   到达站或到货地点</w:t>
      </w:r>
      <w:r>
        <w:rPr>
          <w:rFonts w:hint="eastAsia" w:ascii="宋体" w:hAnsi="宋体"/>
          <w:color w:val="auto"/>
          <w:sz w:val="22"/>
          <w:szCs w:val="22"/>
          <w:highlight w:val="none"/>
          <w:u w:val="single"/>
        </w:rPr>
        <w:t xml:space="preserve">                                  </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6）   外型尺寸（长×宽×高用厘米表示）</w:t>
      </w:r>
      <w:r>
        <w:rPr>
          <w:rFonts w:hint="eastAsia" w:ascii="宋体" w:hAnsi="宋体"/>
          <w:color w:val="auto"/>
          <w:sz w:val="22"/>
          <w:szCs w:val="22"/>
          <w:highlight w:val="none"/>
          <w:u w:val="single"/>
        </w:rPr>
        <w:t xml:space="preserve">                  </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7）   毛重/净重（用公斤表示）</w:t>
      </w:r>
      <w:r>
        <w:rPr>
          <w:rFonts w:hint="eastAsia" w:ascii="宋体" w:hAnsi="宋体"/>
          <w:color w:val="auto"/>
          <w:sz w:val="22"/>
          <w:szCs w:val="22"/>
          <w:highlight w:val="none"/>
          <w:u w:val="single"/>
        </w:rPr>
        <w:t xml:space="preserve">                           </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如果货物单件重量在2吨或2吨以上，乙方应在包装箱的两侧用中文和国际贸易通用的运输标记标注，“重心”和“吊装点”以便装卸和搬运。同时根据货物的特点和运输的不同要求，乙方还应在包装箱上清楚地标注“小心轻放”、“防潮”、“此端向上”、“请勿倒置”“保持干燥”等字样和其他国际贸易中使用的适当标志。</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color w:val="auto"/>
          <w:sz w:val="22"/>
          <w:szCs w:val="22"/>
          <w:highlight w:val="none"/>
        </w:rPr>
        <w:t>交货方式：</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现场交货：乙方负责办理运输和保险，将货物运抵甲方指定的现场并落地就位。有关运输和保险的一切费用由乙方承担。所有货物运抵现场的日期为交货日期。</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在现场交货条件下，乙方在货物发运前15天，将要发运货物的合同号、货物名称、规格、数量、包装箱件数、重量、包装箱尺寸（长×宽×高）和货物的卸车，贮存的特殊要求以及运输工具名称以及启运日期，以传真形式通知甲方。</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如因乙方延误将上述内容用传真形式通知甲方，由此引起的一切损失应由乙方承担。</w:t>
      </w:r>
    </w:p>
    <w:p>
      <w:pPr>
        <w:numPr>
          <w:ilvl w:val="0"/>
          <w:numId w:val="36"/>
        </w:numPr>
        <w:spacing w:line="400" w:lineRule="exact"/>
        <w:ind w:left="780" w:leftChars="0" w:hanging="420" w:firstLineChars="0"/>
        <w:rPr>
          <w:rFonts w:ascii="宋体" w:hAnsi="宋体"/>
          <w:b/>
          <w:color w:val="auto"/>
          <w:sz w:val="22"/>
          <w:szCs w:val="22"/>
          <w:highlight w:val="none"/>
        </w:rPr>
      </w:pPr>
      <w:r>
        <w:rPr>
          <w:rFonts w:hint="eastAsia" w:ascii="宋体" w:hAnsi="宋体"/>
          <w:b/>
          <w:color w:val="auto"/>
          <w:sz w:val="22"/>
          <w:szCs w:val="22"/>
          <w:highlight w:val="none"/>
        </w:rPr>
        <w:t>交货时间：</w:t>
      </w:r>
    </w:p>
    <w:p>
      <w:pPr>
        <w:numPr>
          <w:ilvl w:val="1"/>
          <w:numId w:val="36"/>
        </w:numPr>
        <w:tabs>
          <w:tab w:val="left" w:pos="540"/>
          <w:tab w:val="left" w:pos="1722"/>
        </w:tabs>
        <w:spacing w:line="400" w:lineRule="exact"/>
        <w:ind w:left="840" w:leftChars="0" w:hanging="420" w:firstLineChars="0"/>
        <w:rPr>
          <w:rFonts w:ascii="宋体" w:hAnsi="宋体"/>
          <w:b/>
          <w:color w:val="auto"/>
          <w:sz w:val="22"/>
          <w:szCs w:val="22"/>
          <w:highlight w:val="none"/>
        </w:rPr>
      </w:pPr>
      <w:r>
        <w:rPr>
          <w:rFonts w:hint="eastAsia" w:ascii="宋体" w:hAnsi="宋体"/>
          <w:b/>
          <w:color w:val="auto"/>
          <w:sz w:val="22"/>
          <w:szCs w:val="22"/>
          <w:highlight w:val="none"/>
        </w:rPr>
        <w:t>▲</w:t>
      </w:r>
      <w:r>
        <w:rPr>
          <w:rFonts w:hint="eastAsia" w:ascii="宋体" w:hAnsi="宋体" w:cs="Arial"/>
          <w:b/>
          <w:bCs/>
          <w:color w:val="auto"/>
          <w:sz w:val="22"/>
          <w:szCs w:val="22"/>
          <w:highlight w:val="none"/>
        </w:rPr>
        <w:t>分批次供货。在甲方下达供货通知书后，按通知书要求准备相应数量及种类的设备，乙方于</w:t>
      </w:r>
      <w:r>
        <w:rPr>
          <w:rFonts w:hint="eastAsia" w:ascii="宋体" w:hAnsi="宋体" w:cs="Arial"/>
          <w:b/>
          <w:bCs/>
          <w:color w:val="auto"/>
          <w:sz w:val="22"/>
          <w:szCs w:val="22"/>
          <w:highlight w:val="none"/>
          <w:lang w:val="en-US" w:eastAsia="zh-CN"/>
        </w:rPr>
        <w:t>7</w:t>
      </w:r>
      <w:r>
        <w:rPr>
          <w:rFonts w:hint="eastAsia" w:ascii="宋体" w:hAnsi="宋体" w:cs="Arial"/>
          <w:b/>
          <w:bCs/>
          <w:color w:val="auto"/>
          <w:sz w:val="22"/>
          <w:szCs w:val="22"/>
          <w:highlight w:val="none"/>
        </w:rPr>
        <w:t>天内完成供货；</w:t>
      </w:r>
    </w:p>
    <w:p>
      <w:pPr>
        <w:numPr>
          <w:ilvl w:val="1"/>
          <w:numId w:val="36"/>
        </w:numPr>
        <w:tabs>
          <w:tab w:val="left" w:pos="540"/>
          <w:tab w:val="left" w:pos="1722"/>
        </w:tabs>
        <w:spacing w:line="400" w:lineRule="exact"/>
        <w:ind w:left="840" w:leftChars="0" w:hanging="420" w:firstLineChars="0"/>
        <w:rPr>
          <w:rFonts w:ascii="宋体" w:hAnsi="宋体"/>
          <w:b/>
          <w:color w:val="auto"/>
          <w:sz w:val="22"/>
          <w:szCs w:val="22"/>
          <w:highlight w:val="none"/>
        </w:rPr>
      </w:pPr>
      <w:r>
        <w:rPr>
          <w:rFonts w:hint="eastAsia" w:ascii="宋体" w:hAnsi="宋体" w:cs="Arial"/>
          <w:bCs/>
          <w:color w:val="auto"/>
          <w:sz w:val="22"/>
          <w:szCs w:val="22"/>
          <w:highlight w:val="none"/>
        </w:rPr>
        <w:t>交货地点：业主指定地点。</w:t>
      </w:r>
    </w:p>
    <w:p>
      <w:pPr>
        <w:numPr>
          <w:ilvl w:val="0"/>
          <w:numId w:val="36"/>
        </w:numPr>
        <w:spacing w:line="400" w:lineRule="exact"/>
        <w:ind w:left="780" w:leftChars="0" w:hanging="420" w:firstLineChars="0"/>
        <w:rPr>
          <w:rFonts w:ascii="宋体" w:hAnsi="宋体"/>
          <w:b/>
          <w:color w:val="auto"/>
          <w:sz w:val="22"/>
          <w:szCs w:val="22"/>
          <w:highlight w:val="none"/>
        </w:rPr>
      </w:pPr>
      <w:r>
        <w:rPr>
          <w:rFonts w:hint="eastAsia" w:ascii="宋体" w:hAnsi="宋体"/>
          <w:color w:val="auto"/>
          <w:sz w:val="22"/>
          <w:szCs w:val="22"/>
          <w:highlight w:val="none"/>
        </w:rPr>
        <w:t>安装、调试</w:t>
      </w:r>
    </w:p>
    <w:p>
      <w:pPr>
        <w:numPr>
          <w:ilvl w:val="1"/>
          <w:numId w:val="36"/>
        </w:numPr>
        <w:tabs>
          <w:tab w:val="left" w:pos="540"/>
          <w:tab w:val="left" w:pos="172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安装前开箱时，乙方须通知甲方及有关单位共同参与开箱检验。并按采购合同、询标记录、投标文件、招标文件共同检验产品的数量、外观质量及产地等。</w:t>
      </w:r>
    </w:p>
    <w:p>
      <w:pPr>
        <w:numPr>
          <w:ilvl w:val="1"/>
          <w:numId w:val="36"/>
        </w:numPr>
        <w:tabs>
          <w:tab w:val="left" w:pos="540"/>
          <w:tab w:val="left" w:pos="172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安装前，招标人将委托地（市）级以上质量监督部门依据采购合同、询标记录、投标文件、招标文件、工艺进行抽检并出具检验报告，检验合格后方可安装，检验费用由乙方承担。</w:t>
      </w:r>
    </w:p>
    <w:p>
      <w:pPr>
        <w:numPr>
          <w:ilvl w:val="1"/>
          <w:numId w:val="36"/>
        </w:numPr>
        <w:tabs>
          <w:tab w:val="left" w:pos="540"/>
          <w:tab w:val="left" w:pos="172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产品最终验收前的人员及设备安全，概由乙方负责。</w:t>
      </w:r>
    </w:p>
    <w:p>
      <w:pPr>
        <w:numPr>
          <w:ilvl w:val="0"/>
          <w:numId w:val="36"/>
        </w:numPr>
        <w:spacing w:line="400" w:lineRule="exact"/>
        <w:ind w:left="780" w:leftChars="0" w:hanging="420" w:firstLineChars="0"/>
        <w:rPr>
          <w:rFonts w:ascii="宋体" w:hAnsi="宋体"/>
          <w:b/>
          <w:color w:val="auto"/>
          <w:sz w:val="22"/>
          <w:szCs w:val="22"/>
          <w:highlight w:val="none"/>
        </w:rPr>
      </w:pPr>
      <w:r>
        <w:rPr>
          <w:rFonts w:hint="eastAsia" w:ascii="宋体" w:hAnsi="宋体"/>
          <w:color w:val="auto"/>
          <w:sz w:val="22"/>
          <w:szCs w:val="22"/>
          <w:highlight w:val="none"/>
        </w:rPr>
        <w:t>产品最终验收</w:t>
      </w:r>
    </w:p>
    <w:p>
      <w:pPr>
        <w:numPr>
          <w:ilvl w:val="1"/>
          <w:numId w:val="36"/>
        </w:numPr>
        <w:tabs>
          <w:tab w:val="left" w:pos="540"/>
          <w:tab w:val="left" w:pos="172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设备的安装、调试结束后，经过试运转考核无故障，并经有关部门检验合格后，买、卖双方共同签署验收合格证书。</w:t>
      </w:r>
    </w:p>
    <w:p>
      <w:pPr>
        <w:numPr>
          <w:ilvl w:val="0"/>
          <w:numId w:val="36"/>
        </w:numPr>
        <w:spacing w:line="400" w:lineRule="exact"/>
        <w:ind w:left="780" w:leftChars="0" w:hanging="420" w:firstLineChars="0"/>
        <w:rPr>
          <w:rFonts w:ascii="宋体" w:hAnsi="宋体"/>
          <w:b/>
          <w:color w:val="auto"/>
          <w:sz w:val="22"/>
          <w:szCs w:val="22"/>
          <w:highlight w:val="none"/>
        </w:rPr>
      </w:pPr>
      <w:r>
        <w:rPr>
          <w:rFonts w:hint="eastAsia" w:ascii="宋体" w:hAnsi="宋体"/>
          <w:b/>
          <w:color w:val="auto"/>
          <w:sz w:val="22"/>
          <w:szCs w:val="22"/>
          <w:highlight w:val="none"/>
        </w:rPr>
        <w:t>付款方式</w:t>
      </w:r>
    </w:p>
    <w:p>
      <w:pPr>
        <w:tabs>
          <w:tab w:val="left" w:pos="540"/>
          <w:tab w:val="left" w:pos="1722"/>
        </w:tabs>
        <w:overflowPunct w:val="0"/>
        <w:spacing w:line="400" w:lineRule="exact"/>
        <w:ind w:firstLine="442" w:firstLineChars="200"/>
        <w:rPr>
          <w:rFonts w:ascii="宋体" w:hAnsi="宋体"/>
          <w:b/>
          <w:color w:val="auto"/>
          <w:sz w:val="22"/>
          <w:szCs w:val="22"/>
          <w:highlight w:val="none"/>
        </w:rPr>
      </w:pPr>
      <w:r>
        <w:rPr>
          <w:rFonts w:hint="eastAsia" w:ascii="宋体" w:hAnsi="宋体" w:cs="Arial"/>
          <w:b/>
          <w:bCs/>
          <w:color w:val="auto"/>
          <w:sz w:val="22"/>
          <w:szCs w:val="22"/>
          <w:highlight w:val="none"/>
        </w:rPr>
        <w:t>▲本项目按季度分批次结算。</w:t>
      </w:r>
      <w:r>
        <w:rPr>
          <w:rFonts w:hint="eastAsia" w:ascii="宋体" w:hAnsi="宋体" w:cs="Arial"/>
          <w:b/>
          <w:color w:val="auto"/>
          <w:sz w:val="22"/>
          <w:szCs w:val="22"/>
          <w:highlight w:val="none"/>
        </w:rPr>
        <w:t>在合同签订后乙方提供合同总金额5%的履约保证金；</w:t>
      </w:r>
      <w:r>
        <w:rPr>
          <w:rFonts w:hint="eastAsia" w:ascii="宋体" w:hAnsi="宋体" w:cs="Arial"/>
          <w:b/>
          <w:bCs/>
          <w:color w:val="auto"/>
          <w:sz w:val="22"/>
          <w:szCs w:val="22"/>
          <w:highlight w:val="none"/>
        </w:rPr>
        <w:t>在每季度供货完结并经甲方确认后，依据供货量及产品单价按实结算，七个工作日内一次性支付该季度所有货款（需开具全额发票并经使用单位签字盖章）。在本项目工作内容全部完结后，七个工作日内无息退还履约保证金。</w:t>
      </w:r>
    </w:p>
    <w:p>
      <w:pPr>
        <w:numPr>
          <w:ilvl w:val="0"/>
          <w:numId w:val="36"/>
        </w:numPr>
        <w:spacing w:line="400" w:lineRule="exact"/>
        <w:ind w:left="780" w:leftChars="0" w:hanging="420" w:firstLineChars="0"/>
        <w:rPr>
          <w:rFonts w:ascii="宋体" w:hAnsi="宋体"/>
          <w:b/>
          <w:bCs/>
          <w:color w:val="auto"/>
          <w:sz w:val="22"/>
          <w:szCs w:val="22"/>
          <w:highlight w:val="none"/>
        </w:rPr>
      </w:pPr>
      <w:r>
        <w:rPr>
          <w:rFonts w:hint="eastAsia" w:ascii="宋体" w:hAnsi="宋体"/>
          <w:b/>
          <w:color w:val="auto"/>
          <w:sz w:val="22"/>
          <w:szCs w:val="22"/>
          <w:highlight w:val="none"/>
        </w:rPr>
        <w:t>技术文件和资料</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提供技术文件和资料的种类和数量在本招标文件《招标内容及要求》中规定，买卖双方可根据采购要求和需要订立具体的技术文件和资料交付时间和数量。</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如果甲方确认乙方提供的技术文件和资料不完整，或在运输途中丢失，乙方应在收到甲方通知后3天内将这些文件、资料补齐。否则甲方有权扣除10%的履约保证金。</w:t>
      </w:r>
    </w:p>
    <w:p>
      <w:pPr>
        <w:numPr>
          <w:ilvl w:val="0"/>
          <w:numId w:val="36"/>
        </w:numPr>
        <w:spacing w:line="400" w:lineRule="exact"/>
        <w:ind w:left="780" w:leftChars="0" w:hanging="420" w:firstLineChars="0"/>
        <w:rPr>
          <w:rFonts w:ascii="宋体" w:hAnsi="宋体"/>
          <w:b/>
          <w:bCs/>
          <w:color w:val="auto"/>
          <w:sz w:val="22"/>
          <w:szCs w:val="22"/>
          <w:highlight w:val="none"/>
        </w:rPr>
      </w:pPr>
      <w:r>
        <w:rPr>
          <w:rFonts w:hint="eastAsia" w:ascii="宋体" w:hAnsi="宋体"/>
          <w:b/>
          <w:color w:val="auto"/>
          <w:sz w:val="22"/>
          <w:szCs w:val="22"/>
          <w:highlight w:val="none"/>
        </w:rPr>
        <w:t>质量保证</w:t>
      </w:r>
    </w:p>
    <w:p>
      <w:pPr>
        <w:numPr>
          <w:ilvl w:val="1"/>
          <w:numId w:val="36"/>
        </w:numPr>
        <w:tabs>
          <w:tab w:val="left" w:pos="540"/>
          <w:tab w:val="left" w:pos="992"/>
        </w:tabs>
        <w:spacing w:line="400" w:lineRule="exact"/>
        <w:ind w:left="840" w:leftChars="0" w:hanging="420" w:firstLineChars="0"/>
        <w:rPr>
          <w:rFonts w:ascii="宋体" w:hAnsi="宋体"/>
          <w:b/>
          <w:bCs/>
          <w:color w:val="auto"/>
          <w:sz w:val="22"/>
          <w:szCs w:val="22"/>
          <w:highlight w:val="none"/>
        </w:rPr>
      </w:pPr>
      <w:r>
        <w:rPr>
          <w:rFonts w:hint="eastAsia" w:ascii="宋体" w:hAnsi="宋体"/>
          <w:color w:val="auto"/>
          <w:sz w:val="22"/>
          <w:szCs w:val="22"/>
          <w:highlight w:val="none"/>
        </w:rPr>
        <w:t>乙方所提供的货物应保证是企业原厂生产的产品而不是其他地方生产的、全新的、未使用过的，是原包装未拆封的，是用一流的工艺和最佳材料制造而成的，并完全符合合同规定的质量、规格和性能要求。乙方应保证所提供的货物经正确安装、正常运转和保养，在其使用寿命期内应具有使甲方满意的性能，并且确保一次性通过各项检验和测试。在货物质量保证期内，乙方应对由于设计、工艺、材料和配套件的缺陷所产生的任何不足或故障负责。</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根据甲方按检验标准检验的结果或当地质检部门检验的结果，或者在质量保证期内，如果货物的数量、质量或规格与合同不符，或证实货物是有缺陷的，包括潜在的缺陷或使用不符合要求的材料等，甲方应尽快以书面形式通知乙方，提出索赔。乙方在收到通知后，应在规定期限内，用与投标时采用的零件、部件或材料来更换有缺陷的或不符合要求的零件、部件或材料，同时相应延长质量保证期。</w:t>
      </w:r>
    </w:p>
    <w:p>
      <w:pPr>
        <w:numPr>
          <w:ilvl w:val="1"/>
          <w:numId w:val="36"/>
        </w:numPr>
        <w:tabs>
          <w:tab w:val="left" w:pos="540"/>
          <w:tab w:val="left" w:pos="992"/>
        </w:tabs>
        <w:spacing w:line="400" w:lineRule="exact"/>
        <w:ind w:left="840" w:leftChars="0" w:hanging="420" w:firstLineChars="0"/>
        <w:rPr>
          <w:rFonts w:ascii="宋体" w:hAnsi="宋体" w:cs="Arial"/>
          <w:b/>
          <w:color w:val="auto"/>
          <w:sz w:val="22"/>
          <w:szCs w:val="22"/>
          <w:highlight w:val="none"/>
        </w:rPr>
      </w:pPr>
      <w:r>
        <w:rPr>
          <w:rFonts w:hint="eastAsia" w:ascii="宋体" w:hAnsi="宋体" w:cs="Arial"/>
          <w:b/>
          <w:color w:val="auto"/>
          <w:sz w:val="22"/>
          <w:szCs w:val="22"/>
          <w:highlight w:val="none"/>
        </w:rPr>
        <w:t>本合同项下货物质量保证期为自货物通过最终验收，向甲方移交之日起</w:t>
      </w:r>
      <w:r>
        <w:rPr>
          <w:rFonts w:hint="eastAsia" w:ascii="宋体" w:hAnsi="宋体" w:cs="Arial"/>
          <w:b/>
          <w:color w:val="auto"/>
          <w:sz w:val="22"/>
          <w:szCs w:val="22"/>
          <w:highlight w:val="none"/>
          <w:u w:val="single"/>
        </w:rPr>
        <w:t xml:space="preserve"> </w:t>
      </w:r>
      <w:r>
        <w:rPr>
          <w:rFonts w:hint="eastAsia" w:ascii="宋体" w:hAnsi="宋体" w:cs="Arial"/>
          <w:b/>
          <w:color w:val="auto"/>
          <w:sz w:val="22"/>
          <w:szCs w:val="22"/>
          <w:highlight w:val="none"/>
          <w:u w:val="single"/>
          <w:lang w:val="en-US" w:eastAsia="zh-CN"/>
        </w:rPr>
        <w:t>2</w:t>
      </w:r>
      <w:r>
        <w:rPr>
          <w:rFonts w:hint="eastAsia" w:ascii="宋体" w:hAnsi="宋体" w:cs="Arial"/>
          <w:b/>
          <w:color w:val="auto"/>
          <w:sz w:val="22"/>
          <w:szCs w:val="22"/>
          <w:highlight w:val="none"/>
          <w:u w:val="single"/>
        </w:rPr>
        <w:t xml:space="preserve">  </w:t>
      </w:r>
      <w:r>
        <w:rPr>
          <w:rFonts w:hint="eastAsia" w:ascii="宋体" w:hAnsi="宋体" w:cs="Arial"/>
          <w:b/>
          <w:color w:val="auto"/>
          <w:sz w:val="22"/>
          <w:szCs w:val="22"/>
          <w:highlight w:val="none"/>
        </w:rPr>
        <w:t>年（</w:t>
      </w:r>
      <w:r>
        <w:rPr>
          <w:rFonts w:hint="eastAsia" w:ascii="宋体" w:hAnsi="宋体" w:cs="Arial"/>
          <w:b/>
          <w:color w:val="auto"/>
          <w:sz w:val="22"/>
          <w:szCs w:val="22"/>
          <w:highlight w:val="none"/>
          <w:u w:val="single"/>
        </w:rPr>
        <w:t xml:space="preserve"> </w:t>
      </w:r>
      <w:r>
        <w:rPr>
          <w:rFonts w:hint="eastAsia" w:ascii="宋体" w:hAnsi="宋体" w:cs="Arial"/>
          <w:b/>
          <w:color w:val="auto"/>
          <w:sz w:val="22"/>
          <w:szCs w:val="22"/>
          <w:highlight w:val="none"/>
          <w:u w:val="single"/>
          <w:lang w:val="en-US" w:eastAsia="zh-CN"/>
        </w:rPr>
        <w:t>24</w:t>
      </w:r>
      <w:r>
        <w:rPr>
          <w:rFonts w:hint="eastAsia" w:ascii="宋体" w:hAnsi="宋体" w:cs="Arial"/>
          <w:b/>
          <w:color w:val="auto"/>
          <w:sz w:val="22"/>
          <w:szCs w:val="22"/>
          <w:highlight w:val="none"/>
          <w:u w:val="single"/>
        </w:rPr>
        <w:t xml:space="preserve"> </w:t>
      </w:r>
      <w:r>
        <w:rPr>
          <w:rFonts w:hint="eastAsia" w:ascii="宋体" w:hAnsi="宋体" w:cs="Arial"/>
          <w:b/>
          <w:color w:val="auto"/>
          <w:sz w:val="22"/>
          <w:szCs w:val="22"/>
          <w:highlight w:val="none"/>
        </w:rPr>
        <w:t>个月），货物上标明的质量保证期超过以上规定期限的，以标明的质量保证期为准。</w:t>
      </w:r>
    </w:p>
    <w:p>
      <w:pPr>
        <w:numPr>
          <w:ilvl w:val="0"/>
          <w:numId w:val="36"/>
        </w:numPr>
        <w:spacing w:line="400" w:lineRule="exact"/>
        <w:ind w:left="780" w:leftChars="0" w:hanging="420" w:firstLineChars="0"/>
        <w:rPr>
          <w:rFonts w:ascii="宋体" w:hAnsi="宋体"/>
          <w:b/>
          <w:color w:val="auto"/>
          <w:sz w:val="22"/>
          <w:szCs w:val="22"/>
          <w:highlight w:val="none"/>
        </w:rPr>
      </w:pPr>
      <w:r>
        <w:rPr>
          <w:rFonts w:hint="eastAsia" w:ascii="宋体" w:hAnsi="宋体"/>
          <w:b/>
          <w:color w:val="auto"/>
          <w:sz w:val="22"/>
          <w:szCs w:val="22"/>
          <w:highlight w:val="none"/>
        </w:rPr>
        <w:t>交货方式：</w:t>
      </w:r>
    </w:p>
    <w:p>
      <w:pPr>
        <w:spacing w:line="400" w:lineRule="exact"/>
        <w:ind w:left="540"/>
        <w:rPr>
          <w:rFonts w:ascii="宋体" w:hAnsi="宋体"/>
          <w:b/>
          <w:color w:val="auto"/>
          <w:sz w:val="22"/>
          <w:szCs w:val="22"/>
          <w:highlight w:val="none"/>
        </w:rPr>
      </w:pPr>
      <w:r>
        <w:rPr>
          <w:rFonts w:hint="eastAsia" w:ascii="宋体" w:hAnsi="宋体"/>
          <w:b/>
          <w:color w:val="auto"/>
          <w:sz w:val="22"/>
          <w:szCs w:val="22"/>
          <w:highlight w:val="none"/>
        </w:rPr>
        <w:t>至招标人指定地点完成供货、安装。</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color w:val="auto"/>
          <w:sz w:val="22"/>
          <w:szCs w:val="22"/>
          <w:highlight w:val="none"/>
        </w:rPr>
        <w:t>乙方履约延误</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乙方应按照合同规定的时间交货和提供服务。</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在履行合同过程中，如果乙方遇到妨碍按时交货和提供服务的情况时，应及时以书面形式将延误的事实、可能拖延的时间和原因通知甲方。甲方在收到乙方通知后，应尽快对情况进行分析评价，并确定是否同意延长交货时间以及是否收取误期赔偿费。延期应通过修改合同的方式由双方认可。</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除了合同条款中不可抗力的情况外，除甲方同意延误并不收赔偿费外，乙方延误交货或提供服务将按合同条款1</w:t>
      </w:r>
      <w:r>
        <w:rPr>
          <w:rFonts w:hint="eastAsia" w:ascii="宋体" w:hAnsi="宋体"/>
          <w:color w:val="auto"/>
          <w:sz w:val="22"/>
          <w:szCs w:val="22"/>
          <w:highlight w:val="none"/>
          <w:lang w:val="en-US" w:eastAsia="zh-CN"/>
        </w:rPr>
        <w:t>5</w:t>
      </w:r>
      <w:r>
        <w:rPr>
          <w:rFonts w:hint="eastAsia" w:ascii="宋体" w:hAnsi="宋体"/>
          <w:color w:val="auto"/>
          <w:sz w:val="22"/>
          <w:szCs w:val="22"/>
          <w:highlight w:val="none"/>
        </w:rPr>
        <w:t>条规定被收取误期赔偿费。</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所有提供的设备交货、安装、调试及验收都应服从甲方的统一安排。</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color w:val="auto"/>
          <w:sz w:val="22"/>
          <w:szCs w:val="22"/>
          <w:highlight w:val="none"/>
        </w:rPr>
        <w:t>误期赔偿费</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除不可抗力外，如果乙方没有按照合同规定的时间交货和提供服务，甲方应在不影响合同项下的其他补救措施的情况下，从合同价款中扣除误期赔偿费。每延误一周的赔偿费按迟交货物交货价或未提供服务的服务费用的百分之零点五（0.5%）计收，直至交货或提供服务为止。误期赔偿费最高限额为合同价的百分之五（5%）。一旦延到误期赔偿费的最高限额，甲方可考虑终止合同。</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color w:val="auto"/>
          <w:sz w:val="22"/>
          <w:szCs w:val="22"/>
          <w:highlight w:val="none"/>
        </w:rPr>
        <w:t>不可抗力</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如果双方中任何一方由于战争、严重火灾、水灾、破坏性台风和地震以及其它经双方同意属不可抗力的事故，致使合同履行受阻时，履行合同期限应予延长，延长时限应相当于事故所影响的时间，或双方协商解决。</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color w:val="auto"/>
          <w:sz w:val="22"/>
          <w:szCs w:val="22"/>
          <w:highlight w:val="none"/>
        </w:rPr>
        <w:t>税费</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根据国家现行税法对甲方征收的与本合同有关的一切费用由甲方承担。</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根据现行税法对乙方征收的与本合同有关的一切税费均由乙方承担。</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在中国境外发生的与本合同执行有关的一切税费由乙方承担。</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color w:val="auto"/>
          <w:sz w:val="22"/>
          <w:szCs w:val="22"/>
          <w:highlight w:val="none"/>
        </w:rPr>
        <w:t>违约终止合同</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甲方在乙方违约的情况下，如果发生下列情况之一，可考虑终止部分或全部合同：</w:t>
      </w:r>
    </w:p>
    <w:p>
      <w:pPr>
        <w:spacing w:line="400" w:lineRule="exact"/>
        <w:rPr>
          <w:rFonts w:ascii="宋体" w:hAnsi="宋体"/>
          <w:color w:val="auto"/>
          <w:sz w:val="22"/>
          <w:szCs w:val="22"/>
          <w:highlight w:val="none"/>
        </w:rPr>
      </w:pPr>
      <w:r>
        <w:rPr>
          <w:rFonts w:hint="eastAsia" w:ascii="宋体" w:hAnsi="宋体"/>
          <w:color w:val="auto"/>
          <w:sz w:val="22"/>
          <w:szCs w:val="22"/>
          <w:highlight w:val="none"/>
        </w:rPr>
        <w:t>（1） 乙方未能在合同规定的期限内或甲方同意延长的期限内提供全部或部分货物；</w:t>
      </w:r>
    </w:p>
    <w:p>
      <w:pPr>
        <w:spacing w:line="400" w:lineRule="exact"/>
        <w:ind w:left="660" w:hanging="660" w:hangingChars="300"/>
        <w:rPr>
          <w:rFonts w:ascii="宋体" w:hAnsi="宋体"/>
          <w:color w:val="auto"/>
          <w:sz w:val="22"/>
          <w:szCs w:val="22"/>
          <w:highlight w:val="none"/>
        </w:rPr>
      </w:pPr>
      <w:r>
        <w:rPr>
          <w:rFonts w:hint="eastAsia" w:ascii="宋体" w:hAnsi="宋体"/>
          <w:color w:val="auto"/>
          <w:sz w:val="22"/>
          <w:szCs w:val="22"/>
          <w:highlight w:val="none"/>
        </w:rPr>
        <w:t>（2</w:t>
      </w:r>
      <w:r>
        <w:rPr>
          <w:rFonts w:hint="eastAsia" w:ascii="宋体" w:hAnsi="宋体"/>
          <w:color w:val="auto"/>
          <w:spacing w:val="40"/>
          <w:sz w:val="22"/>
          <w:szCs w:val="22"/>
          <w:highlight w:val="none"/>
        </w:rPr>
        <w:t>）</w:t>
      </w:r>
      <w:r>
        <w:rPr>
          <w:rFonts w:hint="eastAsia" w:ascii="宋体" w:hAnsi="宋体"/>
          <w:color w:val="auto"/>
          <w:sz w:val="22"/>
          <w:szCs w:val="22"/>
          <w:highlight w:val="none"/>
        </w:rPr>
        <w:t>乙方未能履行合同规定的任何其他义务。乙方在收到甲方发出的违约通知后30天内，或经甲方书面认可延长的时间内未能纠正其过失。甲方可向乙方发出书面通知，终止部分或合同全部，通知到达乙方时合同即行解除。在这种情况下，并不影响甲方向乙方提出的索赔。</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如果甲方根据上述第1</w:t>
      </w:r>
      <w:r>
        <w:rPr>
          <w:rFonts w:hint="eastAsia" w:ascii="宋体" w:hAnsi="宋体"/>
          <w:color w:val="auto"/>
          <w:sz w:val="22"/>
          <w:szCs w:val="22"/>
          <w:highlight w:val="none"/>
          <w:lang w:val="en-US" w:eastAsia="zh-CN"/>
        </w:rPr>
        <w:t>8</w:t>
      </w:r>
      <w:r>
        <w:rPr>
          <w:rFonts w:hint="eastAsia" w:ascii="宋体" w:hAnsi="宋体"/>
          <w:color w:val="auto"/>
          <w:sz w:val="22"/>
          <w:szCs w:val="22"/>
          <w:highlight w:val="none"/>
        </w:rPr>
        <w:t>.1条的规定，终止了全部或部分合同，甲方可以依其认为适当的条件和方法购买与未交货物类似的货物或服务，乙方应承担甲方因购买类似货物或服务而产生的额外支出。但是，乙方应继续执行合同中未终止的部分。</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color w:val="auto"/>
          <w:sz w:val="22"/>
          <w:szCs w:val="22"/>
          <w:highlight w:val="none"/>
        </w:rPr>
        <w:t>履约保证金的罚没</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如乙方未能履行合同规定的任何义务给甲方造成直接或间接损失的，甲方有权从直接从履约保证金中予以补偿。</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如果乙方毫无理由地拖延交货或拒绝履行合同规定的任何义务，经催告后在合理期限内仍不履行的，甲方有权没收全部履约保证金，并另行追索违约赔偿金。</w:t>
      </w:r>
      <w:r>
        <w:rPr>
          <w:rFonts w:hint="eastAsia" w:ascii="宋体" w:hAnsi="宋体"/>
          <w:color w:val="auto"/>
          <w:sz w:val="22"/>
          <w:szCs w:val="22"/>
          <w:highlight w:val="none"/>
          <w:lang w:val="en-US" w:eastAsia="zh-CN"/>
        </w:rPr>
        <w:t>违约赔偿金</w:t>
      </w:r>
      <w:r>
        <w:rPr>
          <w:rFonts w:hint="eastAsia" w:ascii="宋体" w:hAnsi="宋体" w:eastAsia="宋体" w:cs="宋体"/>
          <w:b/>
          <w:bCs/>
          <w:color w:val="auto"/>
          <w:szCs w:val="21"/>
          <w:highlight w:val="none"/>
        </w:rPr>
        <w:t>按</w:t>
      </w:r>
      <w:r>
        <w:rPr>
          <w:rFonts w:hint="eastAsia" w:ascii="宋体" w:hAnsi="宋体" w:cs="宋体"/>
          <w:b/>
          <w:bCs/>
          <w:color w:val="auto"/>
          <w:szCs w:val="21"/>
          <w:highlight w:val="none"/>
          <w:lang w:val="en-US" w:eastAsia="zh-CN"/>
        </w:rPr>
        <w:t>每延迟1天支付</w:t>
      </w:r>
      <w:r>
        <w:rPr>
          <w:rFonts w:hint="eastAsia" w:ascii="宋体" w:hAnsi="宋体" w:eastAsia="宋体" w:cs="宋体"/>
          <w:b/>
          <w:bCs/>
          <w:color w:val="auto"/>
          <w:szCs w:val="21"/>
          <w:highlight w:val="none"/>
        </w:rPr>
        <w:t>合同总价的5‰</w:t>
      </w:r>
      <w:r>
        <w:rPr>
          <w:rFonts w:hint="eastAsia" w:ascii="宋体" w:hAnsi="宋体" w:cs="宋体"/>
          <w:b/>
          <w:bCs/>
          <w:color w:val="auto"/>
          <w:szCs w:val="21"/>
          <w:highlight w:val="none"/>
          <w:lang w:eastAsia="zh-CN"/>
        </w:rPr>
        <w:t>，</w:t>
      </w:r>
      <w:r>
        <w:rPr>
          <w:rFonts w:hint="eastAsia" w:ascii="宋体" w:hAnsi="宋体" w:eastAsia="宋体" w:cs="宋体"/>
          <w:b/>
          <w:bCs/>
          <w:color w:val="auto"/>
          <w:szCs w:val="21"/>
          <w:highlight w:val="none"/>
        </w:rPr>
        <w:t>超出10天，甲方有权</w:t>
      </w:r>
      <w:r>
        <w:rPr>
          <w:rFonts w:hint="eastAsia" w:ascii="宋体" w:hAnsi="宋体" w:cs="宋体"/>
          <w:b/>
          <w:bCs/>
          <w:color w:val="auto"/>
          <w:szCs w:val="21"/>
          <w:highlight w:val="none"/>
          <w:lang w:val="en-US" w:eastAsia="zh-CN"/>
        </w:rPr>
        <w:t>单方面</w:t>
      </w:r>
      <w:r>
        <w:rPr>
          <w:rFonts w:hint="eastAsia" w:ascii="宋体" w:hAnsi="宋体" w:eastAsia="宋体" w:cs="宋体"/>
          <w:b/>
          <w:bCs/>
          <w:color w:val="auto"/>
          <w:szCs w:val="21"/>
          <w:highlight w:val="none"/>
        </w:rPr>
        <w:t>解除合同</w:t>
      </w:r>
      <w:r>
        <w:rPr>
          <w:rFonts w:hint="eastAsia" w:ascii="宋体" w:hAnsi="宋体" w:cs="宋体"/>
          <w:b/>
          <w:bCs/>
          <w:color w:val="auto"/>
          <w:szCs w:val="21"/>
          <w:highlight w:val="none"/>
          <w:lang w:eastAsia="zh-CN"/>
        </w:rPr>
        <w:t>。</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乙方提供的货物须和投标文件中所承诺的货物规格、数量、型号等相符（合同中另有规定除外）如不符，除追究乙方责任外，其履约保证金将被没收。</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color w:val="auto"/>
          <w:sz w:val="22"/>
          <w:szCs w:val="22"/>
          <w:highlight w:val="none"/>
        </w:rPr>
        <w:t>双方责任</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甲方</w:t>
      </w:r>
    </w:p>
    <w:p>
      <w:pPr>
        <w:spacing w:line="400" w:lineRule="exact"/>
        <w:rPr>
          <w:rFonts w:ascii="宋体" w:hAnsi="宋体"/>
          <w:color w:val="auto"/>
          <w:sz w:val="22"/>
          <w:szCs w:val="22"/>
          <w:highlight w:val="none"/>
        </w:rPr>
      </w:pPr>
      <w:r>
        <w:rPr>
          <w:rFonts w:hint="eastAsia" w:ascii="宋体" w:hAnsi="宋体"/>
          <w:color w:val="auto"/>
          <w:sz w:val="22"/>
          <w:szCs w:val="22"/>
          <w:highlight w:val="none"/>
        </w:rPr>
        <w:t>（1） 按合同规定向乙方支付货款。</w:t>
      </w:r>
    </w:p>
    <w:p>
      <w:pPr>
        <w:spacing w:line="400" w:lineRule="exact"/>
        <w:rPr>
          <w:rFonts w:ascii="宋体" w:hAnsi="宋体"/>
          <w:color w:val="auto"/>
          <w:sz w:val="22"/>
          <w:szCs w:val="22"/>
          <w:highlight w:val="none"/>
        </w:rPr>
      </w:pPr>
      <w:r>
        <w:rPr>
          <w:rFonts w:hint="eastAsia" w:ascii="宋体" w:hAnsi="宋体"/>
          <w:color w:val="auto"/>
          <w:sz w:val="22"/>
          <w:szCs w:val="22"/>
          <w:highlight w:val="none"/>
        </w:rPr>
        <w:t>（2） 组织对货物的验收。</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乙方</w:t>
      </w:r>
    </w:p>
    <w:p>
      <w:pPr>
        <w:spacing w:line="400" w:lineRule="exact"/>
        <w:rPr>
          <w:rFonts w:ascii="宋体" w:hAnsi="宋体"/>
          <w:color w:val="auto"/>
          <w:sz w:val="22"/>
          <w:szCs w:val="22"/>
          <w:highlight w:val="none"/>
        </w:rPr>
      </w:pPr>
      <w:r>
        <w:rPr>
          <w:rFonts w:hint="eastAsia" w:ascii="宋体" w:hAnsi="宋体"/>
          <w:color w:val="auto"/>
          <w:sz w:val="22"/>
          <w:szCs w:val="22"/>
          <w:highlight w:val="none"/>
        </w:rPr>
        <w:t>（1） 按合同要求提供货物和服务。</w:t>
      </w:r>
    </w:p>
    <w:p>
      <w:pPr>
        <w:spacing w:line="400" w:lineRule="exact"/>
        <w:rPr>
          <w:rFonts w:ascii="宋体" w:hAnsi="宋体"/>
          <w:color w:val="auto"/>
          <w:sz w:val="22"/>
          <w:szCs w:val="22"/>
          <w:highlight w:val="none"/>
        </w:rPr>
      </w:pPr>
      <w:r>
        <w:rPr>
          <w:rFonts w:hint="eastAsia" w:ascii="宋体" w:hAnsi="宋体"/>
          <w:color w:val="auto"/>
          <w:sz w:val="22"/>
          <w:szCs w:val="22"/>
          <w:highlight w:val="none"/>
        </w:rPr>
        <w:t>（2） 对所提供的货物和服务质量问题无条件负责处理。</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color w:val="auto"/>
          <w:sz w:val="22"/>
          <w:szCs w:val="22"/>
          <w:highlight w:val="none"/>
        </w:rPr>
        <w:t>争端的解决</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合同实施或与合同有关的一切争端，买卖双方应通过友好协商解决，如果协商仍得不到解决，任何一方可向履行合同所在地或合同签约地的仲裁机构申请调解或仲裁。</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仲裁裁决应为最终裁决，对双方均有约束力。</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仲裁费用除仲裁机构另有裁决外应由败诉方承担。</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在仲裁期间，除正在执行仲裁的部分外，本合同的其他部分应继续执行。</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color w:val="auto"/>
          <w:sz w:val="22"/>
          <w:szCs w:val="22"/>
          <w:highlight w:val="none"/>
        </w:rPr>
        <w:t>转让和分包及产品不可替代</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未经甲方事先书面同意，乙方不得部分转让或全部转让和分包其履行合同的义务。</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产品不可替代，乙方在没有取得甲方的书面授权的情况下，不得将合同货物的生产制造转交其他生产厂商或以其他厂商的产品替代。</w:t>
      </w:r>
    </w:p>
    <w:p>
      <w:pPr>
        <w:numPr>
          <w:ilvl w:val="0"/>
          <w:numId w:val="36"/>
        </w:numPr>
        <w:spacing w:line="400" w:lineRule="exact"/>
        <w:ind w:left="780" w:leftChars="0" w:hanging="420" w:firstLineChars="0"/>
        <w:rPr>
          <w:rFonts w:ascii="宋体" w:hAnsi="宋体"/>
          <w:b/>
          <w:color w:val="auto"/>
          <w:sz w:val="22"/>
          <w:szCs w:val="22"/>
          <w:highlight w:val="none"/>
        </w:rPr>
      </w:pPr>
      <w:r>
        <w:rPr>
          <w:rFonts w:hint="eastAsia" w:ascii="宋体" w:hAnsi="宋体"/>
          <w:b/>
          <w:color w:val="auto"/>
          <w:sz w:val="22"/>
          <w:szCs w:val="22"/>
          <w:highlight w:val="none"/>
        </w:rPr>
        <w:t>适用法律</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本合同按照中华人民共和国的法律进行解释。</w:t>
      </w:r>
    </w:p>
    <w:p>
      <w:pPr>
        <w:numPr>
          <w:ilvl w:val="0"/>
          <w:numId w:val="36"/>
        </w:numPr>
        <w:spacing w:line="400" w:lineRule="exact"/>
        <w:ind w:left="780" w:leftChars="0" w:hanging="420" w:firstLineChars="0"/>
        <w:rPr>
          <w:rFonts w:ascii="宋体" w:hAnsi="宋体"/>
          <w:color w:val="auto"/>
          <w:sz w:val="22"/>
          <w:szCs w:val="22"/>
          <w:highlight w:val="none"/>
        </w:rPr>
      </w:pPr>
      <w:r>
        <w:rPr>
          <w:rFonts w:hint="eastAsia" w:ascii="宋体" w:hAnsi="宋体"/>
          <w:b/>
          <w:color w:val="auto"/>
          <w:sz w:val="22"/>
          <w:szCs w:val="22"/>
          <w:highlight w:val="none"/>
        </w:rPr>
        <w:t>合同生效及其他</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合同应在双方签字盖章并在甲方收到乙方提供的履约保证金后开始生效。</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本合同正本二份，副本三份，买卖双方各执正本一份副本三份，同等生效。</w:t>
      </w:r>
    </w:p>
    <w:p>
      <w:pPr>
        <w:numPr>
          <w:ilvl w:val="1"/>
          <w:numId w:val="36"/>
        </w:numPr>
        <w:tabs>
          <w:tab w:val="left" w:pos="540"/>
          <w:tab w:val="left" w:pos="992"/>
        </w:tabs>
        <w:spacing w:line="400" w:lineRule="exact"/>
        <w:ind w:left="840" w:leftChars="0" w:hanging="420" w:firstLineChars="0"/>
        <w:rPr>
          <w:rFonts w:ascii="宋体" w:hAnsi="宋体"/>
          <w:color w:val="auto"/>
          <w:sz w:val="22"/>
          <w:szCs w:val="22"/>
          <w:highlight w:val="none"/>
        </w:rPr>
      </w:pPr>
      <w:r>
        <w:rPr>
          <w:rFonts w:hint="eastAsia" w:ascii="宋体" w:hAnsi="宋体"/>
          <w:color w:val="auto"/>
          <w:sz w:val="22"/>
          <w:szCs w:val="22"/>
          <w:highlight w:val="none"/>
        </w:rPr>
        <w:t>如需修改或补充合同内容，经协商，双方应签署书面修改或补充协议，该协议将作为本合同的一个组成部分。</w:t>
      </w:r>
    </w:p>
    <w:p>
      <w:pPr>
        <w:snapToGrid w:val="0"/>
        <w:spacing w:line="400" w:lineRule="exact"/>
        <w:ind w:left="420" w:hanging="420"/>
        <w:rPr>
          <w:rFonts w:ascii="宋体" w:hAnsi="宋体"/>
          <w:bCs/>
          <w:color w:val="auto"/>
          <w:sz w:val="22"/>
          <w:szCs w:val="22"/>
          <w:highlight w:val="none"/>
        </w:rPr>
      </w:pPr>
    </w:p>
    <w:p>
      <w:pPr>
        <w:snapToGrid w:val="0"/>
        <w:spacing w:line="400" w:lineRule="exact"/>
        <w:ind w:left="420" w:hanging="420"/>
        <w:rPr>
          <w:rFonts w:ascii="宋体" w:hAnsi="宋体" w:cs="宋体"/>
          <w:color w:val="auto"/>
          <w:sz w:val="22"/>
          <w:szCs w:val="22"/>
          <w:highlight w:val="none"/>
        </w:rPr>
      </w:pPr>
      <w:r>
        <w:rPr>
          <w:rFonts w:hint="eastAsia" w:ascii="宋体" w:hAnsi="宋体" w:cs="宋体"/>
          <w:color w:val="auto"/>
          <w:sz w:val="22"/>
          <w:szCs w:val="22"/>
          <w:highlight w:val="none"/>
        </w:rPr>
        <w:t>（本行以下无正文）</w:t>
      </w:r>
    </w:p>
    <w:p>
      <w:pPr>
        <w:spacing w:line="400" w:lineRule="exact"/>
        <w:rPr>
          <w:rFonts w:ascii="宋体" w:hAnsi="宋体"/>
          <w:color w:val="auto"/>
          <w:sz w:val="22"/>
          <w:szCs w:val="22"/>
          <w:highlight w:val="none"/>
        </w:rPr>
      </w:pPr>
    </w:p>
    <w:p>
      <w:pPr>
        <w:spacing w:line="400" w:lineRule="exact"/>
        <w:ind w:left="540"/>
        <w:rPr>
          <w:rFonts w:ascii="宋体" w:hAnsi="宋体"/>
          <w:b/>
          <w:color w:val="auto"/>
          <w:sz w:val="22"/>
          <w:szCs w:val="22"/>
          <w:highlight w:val="none"/>
        </w:rPr>
      </w:pPr>
      <w:r>
        <w:rPr>
          <w:rFonts w:hint="eastAsia" w:ascii="宋体" w:hAnsi="宋体"/>
          <w:b/>
          <w:color w:val="auto"/>
          <w:sz w:val="22"/>
          <w:szCs w:val="22"/>
          <w:highlight w:val="none"/>
        </w:rPr>
        <w:t>下列文件构成本合同的组成部分：</w:t>
      </w:r>
    </w:p>
    <w:p>
      <w:pPr>
        <w:spacing w:line="40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 xml:space="preserve">  （1）合同主要条款                 （2）合同的特殊条款</w:t>
      </w:r>
    </w:p>
    <w:p>
      <w:pPr>
        <w:spacing w:line="40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 xml:space="preserve">  （3）售后服务条款                 （4）中标通知书</w:t>
      </w:r>
    </w:p>
    <w:p>
      <w:pPr>
        <w:spacing w:line="40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 xml:space="preserve">   (5) 投标分项报价表                (6) 技术规格、商务条款偏离表</w:t>
      </w:r>
    </w:p>
    <w:p>
      <w:pPr>
        <w:spacing w:line="40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 xml:space="preserve">   (7) 招标内容及要求               （8）合同补充条款或说明（如有的话）</w:t>
      </w:r>
    </w:p>
    <w:p>
      <w:pPr>
        <w:spacing w:line="40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 xml:space="preserve">   (9)履约保证金                     (10) 承诺书 （含询标记录和优惠条件）</w:t>
      </w:r>
    </w:p>
    <w:p>
      <w:pPr>
        <w:tabs>
          <w:tab w:val="left" w:pos="992"/>
        </w:tabs>
        <w:spacing w:line="440" w:lineRule="exact"/>
        <w:rPr>
          <w:rFonts w:ascii="仿宋_GB2312" w:eastAsia="仿宋_GB2312"/>
          <w:b/>
          <w:bCs/>
          <w:color w:val="auto"/>
          <w:sz w:val="24"/>
          <w:highlight w:val="none"/>
        </w:rPr>
      </w:pPr>
    </w:p>
    <w:p>
      <w:pPr>
        <w:spacing w:line="400" w:lineRule="exact"/>
        <w:rPr>
          <w:rFonts w:ascii="宋体" w:hAnsi="宋体"/>
          <w:color w:val="auto"/>
          <w:sz w:val="22"/>
          <w:szCs w:val="22"/>
          <w:highlight w:val="none"/>
        </w:rPr>
      </w:pPr>
    </w:p>
    <w:p>
      <w:pPr>
        <w:pStyle w:val="33"/>
        <w:tabs>
          <w:tab w:val="left" w:pos="7935"/>
        </w:tabs>
        <w:snapToGrid w:val="0"/>
        <w:spacing w:line="400" w:lineRule="exact"/>
        <w:rPr>
          <w:rFonts w:hAnsi="宋体" w:cs="Arial"/>
          <w:color w:val="auto"/>
          <w:sz w:val="22"/>
          <w:szCs w:val="22"/>
          <w:highlight w:val="none"/>
        </w:rPr>
      </w:pPr>
    </w:p>
    <w:p>
      <w:pPr>
        <w:pStyle w:val="33"/>
        <w:tabs>
          <w:tab w:val="left" w:pos="7935"/>
        </w:tabs>
        <w:snapToGrid w:val="0"/>
        <w:spacing w:line="400" w:lineRule="exact"/>
        <w:rPr>
          <w:rFonts w:hAnsi="宋体" w:cs="Arial"/>
          <w:color w:val="auto"/>
          <w:sz w:val="22"/>
          <w:szCs w:val="22"/>
          <w:highlight w:val="none"/>
        </w:rPr>
      </w:pPr>
      <w:r>
        <w:rPr>
          <w:rFonts w:hint="eastAsia" w:hAnsi="宋体" w:cs="Arial"/>
          <w:color w:val="auto"/>
          <w:sz w:val="22"/>
          <w:szCs w:val="22"/>
          <w:highlight w:val="none"/>
        </w:rPr>
        <w:t>甲方：                                                 乙方：</w:t>
      </w:r>
      <w:r>
        <w:rPr>
          <w:rFonts w:hint="eastAsia" w:hAnsi="宋体" w:cs="Arial"/>
          <w:color w:val="auto"/>
          <w:sz w:val="22"/>
          <w:szCs w:val="22"/>
          <w:highlight w:val="none"/>
        </w:rPr>
        <w:tab/>
      </w:r>
    </w:p>
    <w:p>
      <w:pPr>
        <w:pStyle w:val="33"/>
        <w:snapToGrid w:val="0"/>
        <w:spacing w:line="400" w:lineRule="exact"/>
        <w:rPr>
          <w:rFonts w:hAnsi="宋体" w:cs="Arial"/>
          <w:color w:val="auto"/>
          <w:sz w:val="22"/>
          <w:szCs w:val="22"/>
          <w:highlight w:val="none"/>
        </w:rPr>
      </w:pPr>
      <w:r>
        <w:rPr>
          <w:rFonts w:hint="eastAsia" w:hAnsi="宋体" w:cs="Arial"/>
          <w:color w:val="auto"/>
          <w:sz w:val="22"/>
          <w:szCs w:val="22"/>
          <w:highlight w:val="none"/>
        </w:rPr>
        <w:t>（盖章）                                              （盖章）</w:t>
      </w:r>
    </w:p>
    <w:p>
      <w:pPr>
        <w:pStyle w:val="33"/>
        <w:snapToGrid w:val="0"/>
        <w:spacing w:line="400" w:lineRule="exact"/>
        <w:rPr>
          <w:rFonts w:hAnsi="宋体" w:cs="Arial"/>
          <w:color w:val="auto"/>
          <w:sz w:val="22"/>
          <w:szCs w:val="22"/>
          <w:highlight w:val="none"/>
        </w:rPr>
      </w:pPr>
      <w:r>
        <w:rPr>
          <w:rFonts w:hint="eastAsia" w:hAnsi="宋体" w:cs="Arial"/>
          <w:color w:val="auto"/>
          <w:sz w:val="22"/>
          <w:szCs w:val="22"/>
          <w:highlight w:val="none"/>
        </w:rPr>
        <w:t>授权代表（签字）：                                     授权代表（签字）：</w:t>
      </w:r>
    </w:p>
    <w:p>
      <w:pPr>
        <w:pStyle w:val="33"/>
        <w:snapToGrid w:val="0"/>
        <w:spacing w:line="400" w:lineRule="exact"/>
        <w:rPr>
          <w:rFonts w:hAnsi="宋体" w:cs="Arial"/>
          <w:color w:val="auto"/>
          <w:sz w:val="22"/>
          <w:szCs w:val="22"/>
          <w:highlight w:val="none"/>
        </w:rPr>
      </w:pPr>
      <w:r>
        <w:rPr>
          <w:rFonts w:hint="eastAsia" w:hAnsi="宋体" w:cs="Arial"/>
          <w:color w:val="auto"/>
          <w:sz w:val="22"/>
          <w:szCs w:val="22"/>
          <w:highlight w:val="none"/>
        </w:rPr>
        <w:t>地址：                                                 地址：</w:t>
      </w:r>
    </w:p>
    <w:p>
      <w:pPr>
        <w:pStyle w:val="33"/>
        <w:snapToGrid w:val="0"/>
        <w:spacing w:line="400" w:lineRule="exact"/>
        <w:rPr>
          <w:rFonts w:hAnsi="宋体" w:cs="Arial"/>
          <w:color w:val="auto"/>
          <w:sz w:val="22"/>
          <w:szCs w:val="22"/>
          <w:highlight w:val="none"/>
        </w:rPr>
      </w:pPr>
      <w:r>
        <w:rPr>
          <w:rFonts w:hint="eastAsia" w:hAnsi="宋体" w:cs="Arial"/>
          <w:color w:val="auto"/>
          <w:sz w:val="22"/>
          <w:szCs w:val="22"/>
          <w:highlight w:val="none"/>
        </w:rPr>
        <w:t>邮政编码：                                             邮政编码：</w:t>
      </w:r>
    </w:p>
    <w:p>
      <w:pPr>
        <w:pStyle w:val="33"/>
        <w:snapToGrid w:val="0"/>
        <w:spacing w:line="400" w:lineRule="exact"/>
        <w:rPr>
          <w:rFonts w:hAnsi="宋体" w:cs="Arial"/>
          <w:color w:val="auto"/>
          <w:sz w:val="22"/>
          <w:szCs w:val="22"/>
          <w:highlight w:val="none"/>
        </w:rPr>
      </w:pPr>
      <w:r>
        <w:rPr>
          <w:rFonts w:hint="eastAsia" w:hAnsi="宋体" w:cs="Arial"/>
          <w:color w:val="auto"/>
          <w:sz w:val="22"/>
          <w:szCs w:val="22"/>
          <w:highlight w:val="none"/>
        </w:rPr>
        <w:t>电话：                                                 电话：</w:t>
      </w:r>
    </w:p>
    <w:p>
      <w:pPr>
        <w:pStyle w:val="33"/>
        <w:snapToGrid w:val="0"/>
        <w:spacing w:line="400" w:lineRule="exact"/>
        <w:rPr>
          <w:rFonts w:hAnsi="宋体" w:cs="Arial"/>
          <w:color w:val="auto"/>
          <w:sz w:val="22"/>
          <w:szCs w:val="22"/>
          <w:highlight w:val="none"/>
        </w:rPr>
      </w:pPr>
      <w:r>
        <w:rPr>
          <w:rFonts w:hint="eastAsia" w:hAnsi="宋体" w:cs="Arial"/>
          <w:color w:val="auto"/>
          <w:sz w:val="22"/>
          <w:szCs w:val="22"/>
          <w:highlight w:val="none"/>
        </w:rPr>
        <w:t>传真：                                                 传真：</w:t>
      </w:r>
    </w:p>
    <w:p>
      <w:pPr>
        <w:pStyle w:val="33"/>
        <w:snapToGrid w:val="0"/>
        <w:spacing w:line="400" w:lineRule="exact"/>
        <w:rPr>
          <w:rFonts w:hAnsi="宋体" w:cs="Arial"/>
          <w:color w:val="auto"/>
          <w:sz w:val="22"/>
          <w:szCs w:val="22"/>
          <w:highlight w:val="none"/>
        </w:rPr>
      </w:pPr>
      <w:r>
        <w:rPr>
          <w:rFonts w:hint="eastAsia" w:hAnsi="宋体" w:cs="Arial"/>
          <w:color w:val="auto"/>
          <w:sz w:val="22"/>
          <w:szCs w:val="22"/>
          <w:highlight w:val="none"/>
        </w:rPr>
        <w:t>开户银行：                                             开户银行：</w:t>
      </w:r>
    </w:p>
    <w:p>
      <w:pPr>
        <w:spacing w:line="400" w:lineRule="exact"/>
        <w:rPr>
          <w:rFonts w:ascii="宋体" w:hAnsi="宋体" w:cs="Arial"/>
          <w:color w:val="auto"/>
          <w:sz w:val="22"/>
          <w:szCs w:val="22"/>
          <w:highlight w:val="none"/>
        </w:rPr>
      </w:pPr>
      <w:r>
        <w:rPr>
          <w:rFonts w:hint="eastAsia" w:ascii="宋体" w:hAnsi="宋体" w:cs="Arial"/>
          <w:color w:val="auto"/>
          <w:sz w:val="22"/>
          <w:szCs w:val="22"/>
          <w:highlight w:val="none"/>
        </w:rPr>
        <w:t>账号：                                                  账号：</w:t>
      </w:r>
    </w:p>
    <w:p>
      <w:pPr>
        <w:spacing w:line="400" w:lineRule="exact"/>
        <w:rPr>
          <w:rFonts w:ascii="宋体" w:hAnsi="宋体" w:cs="Arial"/>
          <w:color w:val="auto"/>
          <w:sz w:val="22"/>
          <w:szCs w:val="22"/>
          <w:highlight w:val="none"/>
        </w:rPr>
      </w:pPr>
    </w:p>
    <w:p>
      <w:pPr>
        <w:spacing w:line="400" w:lineRule="exact"/>
        <w:rPr>
          <w:rFonts w:ascii="宋体" w:hAnsi="宋体" w:cs="Arial"/>
          <w:color w:val="auto"/>
          <w:sz w:val="22"/>
          <w:szCs w:val="22"/>
          <w:highlight w:val="none"/>
        </w:rPr>
      </w:pPr>
    </w:p>
    <w:p>
      <w:pPr>
        <w:snapToGrid w:val="0"/>
        <w:spacing w:line="360" w:lineRule="auto"/>
        <w:jc w:val="left"/>
        <w:rPr>
          <w:rFonts w:ascii="仿宋_GB2312" w:hAnsi="宋体"/>
          <w:b/>
          <w:bCs/>
          <w:color w:val="auto"/>
          <w:sz w:val="24"/>
          <w:highlight w:val="none"/>
          <w:u w:val="single"/>
        </w:rPr>
      </w:pPr>
      <w:r>
        <w:rPr>
          <w:rFonts w:hint="eastAsia" w:ascii="仿宋_GB2312" w:hAnsi="宋体"/>
          <w:b/>
          <w:bCs/>
          <w:color w:val="auto"/>
          <w:sz w:val="24"/>
          <w:highlight w:val="none"/>
          <w:u w:val="single"/>
        </w:rPr>
        <w:t>注：本合同作为示范文本，具体以中标人与招标人所签定正式合同为准。</w:t>
      </w:r>
    </w:p>
    <w:p>
      <w:pPr>
        <w:rPr>
          <w:rFonts w:ascii="宋体" w:hAnsi="宋体"/>
          <w:color w:val="auto"/>
          <w:sz w:val="22"/>
          <w:szCs w:val="22"/>
          <w:highlight w:val="none"/>
        </w:rPr>
      </w:pPr>
      <w:r>
        <w:rPr>
          <w:rFonts w:hint="eastAsia" w:ascii="宋体" w:hAnsi="宋体"/>
          <w:color w:val="auto"/>
          <w:sz w:val="22"/>
          <w:szCs w:val="22"/>
          <w:highlight w:val="none"/>
        </w:rPr>
        <w:br w:type="page"/>
      </w:r>
    </w:p>
    <w:p>
      <w:pPr>
        <w:jc w:val="center"/>
        <w:rPr>
          <w:rFonts w:ascii="黑体" w:hAnsi="黑体" w:eastAsia="黑体"/>
          <w:b/>
          <w:bCs/>
          <w:color w:val="auto"/>
          <w:kern w:val="0"/>
          <w:sz w:val="28"/>
          <w:szCs w:val="28"/>
          <w:highlight w:val="none"/>
        </w:rPr>
      </w:pPr>
    </w:p>
    <w:p>
      <w:pPr>
        <w:jc w:val="center"/>
        <w:rPr>
          <w:rFonts w:ascii="黑体" w:hAnsi="黑体" w:eastAsia="黑体" w:cs="新宋体"/>
          <w:b/>
          <w:bCs/>
          <w:color w:val="auto"/>
          <w:kern w:val="0"/>
          <w:sz w:val="28"/>
          <w:szCs w:val="28"/>
          <w:highlight w:val="none"/>
        </w:rPr>
      </w:pPr>
      <w:r>
        <w:rPr>
          <w:rFonts w:hint="eastAsia" w:ascii="黑体" w:hAnsi="黑体" w:eastAsia="黑体"/>
          <w:b/>
          <w:bCs/>
          <w:color w:val="auto"/>
          <w:kern w:val="0"/>
          <w:sz w:val="28"/>
          <w:szCs w:val="28"/>
          <w:highlight w:val="none"/>
        </w:rPr>
        <w:t>温州市级政府采购</w:t>
      </w:r>
      <w:r>
        <w:rPr>
          <w:rFonts w:hint="eastAsia" w:ascii="黑体" w:hAnsi="黑体" w:eastAsia="黑体" w:cs="宋体"/>
          <w:b/>
          <w:bCs/>
          <w:color w:val="auto"/>
          <w:kern w:val="0"/>
          <w:sz w:val="28"/>
          <w:szCs w:val="28"/>
          <w:highlight w:val="none"/>
        </w:rPr>
        <w:t>项目</w:t>
      </w:r>
      <w:r>
        <w:rPr>
          <w:rFonts w:hint="eastAsia" w:ascii="黑体" w:hAnsi="黑体" w:eastAsia="黑体"/>
          <w:b/>
          <w:bCs/>
          <w:color w:val="auto"/>
          <w:kern w:val="0"/>
          <w:sz w:val="28"/>
          <w:szCs w:val="28"/>
          <w:highlight w:val="none"/>
        </w:rPr>
        <w:t>履约验收</w:t>
      </w:r>
      <w:r>
        <w:rPr>
          <w:rFonts w:hint="eastAsia" w:ascii="黑体" w:hAnsi="黑体" w:eastAsia="黑体" w:cs="宋体"/>
          <w:b/>
          <w:bCs/>
          <w:color w:val="auto"/>
          <w:kern w:val="0"/>
          <w:sz w:val="28"/>
          <w:szCs w:val="28"/>
          <w:highlight w:val="none"/>
        </w:rPr>
        <w:t>报告（参考格式）</w:t>
      </w:r>
    </w:p>
    <w:p>
      <w:pPr>
        <w:snapToGrid w:val="0"/>
        <w:spacing w:before="100" w:beforeAutospacing="1" w:after="100" w:afterAutospacing="1" w:line="480" w:lineRule="exact"/>
        <w:ind w:left="-359" w:leftChars="-171" w:firstLine="420" w:firstLineChars="200"/>
        <w:jc w:val="left"/>
        <w:rPr>
          <w:rFonts w:ascii="宋体" w:hAnsi="宋体" w:cs="宋体"/>
          <w:color w:val="auto"/>
          <w:szCs w:val="22"/>
          <w:highlight w:val="none"/>
        </w:rPr>
      </w:pPr>
      <w:r>
        <w:rPr>
          <w:rFonts w:hint="eastAsia" w:ascii="宋体" w:hAnsi="宋体" w:cs="宋体"/>
          <w:color w:val="auto"/>
          <w:szCs w:val="22"/>
          <w:highlight w:val="none"/>
        </w:rPr>
        <w:t>根据政府采购项目（</w:t>
      </w:r>
      <w:r>
        <w:rPr>
          <w:rFonts w:hint="eastAsia" w:ascii="宋体" w:hAnsi="宋体" w:cs="宋体"/>
          <w:color w:val="auto"/>
          <w:szCs w:val="22"/>
          <w:highlight w:val="none"/>
          <w:u w:val="single"/>
        </w:rPr>
        <w:t>采购合同编号：</w:t>
      </w:r>
      <w:r>
        <w:rPr>
          <w:rFonts w:hint="eastAsia" w:ascii="宋体" w:hAnsi="宋体" w:cs="宋体"/>
          <w:color w:val="auto"/>
          <w:szCs w:val="22"/>
          <w:highlight w:val="none"/>
          <w:u w:val="single"/>
        </w:rPr>
        <w:softHyphen/>
      </w:r>
      <w:r>
        <w:rPr>
          <w:rFonts w:hint="eastAsia" w:ascii="宋体" w:hAnsi="宋体" w:cs="宋体"/>
          <w:color w:val="auto"/>
          <w:szCs w:val="22"/>
          <w:highlight w:val="none"/>
          <w:u w:val="single"/>
        </w:rPr>
        <w:t xml:space="preserve">    </w:t>
      </w:r>
      <w:r>
        <w:rPr>
          <w:rFonts w:hint="eastAsia" w:ascii="宋体" w:hAnsi="宋体" w:cs="宋体"/>
          <w:color w:val="auto"/>
          <w:szCs w:val="22"/>
          <w:highlight w:val="none"/>
        </w:rPr>
        <w:t>）的约定，我单位对（</w:t>
      </w:r>
      <w:r>
        <w:rPr>
          <w:rFonts w:hint="eastAsia" w:ascii="宋体" w:hAnsi="宋体" w:cs="宋体"/>
          <w:color w:val="auto"/>
          <w:szCs w:val="22"/>
          <w:highlight w:val="none"/>
          <w:u w:val="single"/>
        </w:rPr>
        <w:t xml:space="preserve">  项目名称   </w:t>
      </w:r>
      <w:r>
        <w:rPr>
          <w:rFonts w:hint="eastAsia" w:ascii="宋体" w:hAnsi="宋体" w:cs="宋体"/>
          <w:color w:val="auto"/>
          <w:szCs w:val="22"/>
          <w:highlight w:val="none"/>
        </w:rPr>
        <w:t>）政府采购项目中标（或成交）供应商（</w:t>
      </w:r>
      <w:r>
        <w:rPr>
          <w:rFonts w:hint="eastAsia" w:ascii="宋体" w:hAnsi="宋体" w:cs="宋体"/>
          <w:color w:val="auto"/>
          <w:szCs w:val="22"/>
          <w:highlight w:val="none"/>
          <w:u w:val="single"/>
        </w:rPr>
        <w:t xml:space="preserve">            公司名称              </w:t>
      </w:r>
      <w:r>
        <w:rPr>
          <w:rFonts w:hint="eastAsia" w:ascii="宋体" w:hAnsi="宋体" w:cs="宋体"/>
          <w:color w:val="auto"/>
          <w:szCs w:val="22"/>
          <w:highlight w:val="none"/>
        </w:rPr>
        <w:t>）提供的货物、服务（或政府采购工程）进行了验收，验收情况如下：</w:t>
      </w:r>
    </w:p>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770"/>
        <w:gridCol w:w="15"/>
        <w:gridCol w:w="753"/>
        <w:gridCol w:w="222"/>
        <w:gridCol w:w="1165"/>
        <w:gridCol w:w="866"/>
        <w:gridCol w:w="1435"/>
        <w:gridCol w:w="858"/>
        <w:gridCol w:w="534"/>
        <w:gridCol w:w="853"/>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4" w:type="dxa"/>
            <w:gridSpan w:val="12"/>
          </w:tcPr>
          <w:p>
            <w:pPr>
              <w:jc w:val="center"/>
              <w:rPr>
                <w:rFonts w:ascii="宋体" w:hAnsi="宋体" w:cs="宋体"/>
                <w:color w:val="auto"/>
                <w:szCs w:val="22"/>
                <w:highlight w:val="none"/>
              </w:rPr>
            </w:pPr>
            <w:r>
              <w:rPr>
                <w:rFonts w:hint="eastAsia" w:ascii="宋体" w:hAnsi="宋体" w:cs="宋体"/>
                <w:color w:val="auto"/>
                <w:szCs w:val="22"/>
                <w:highlight w:val="none"/>
              </w:rPr>
              <w:t>一、验收方案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4" w:type="dxa"/>
            <w:gridSpan w:val="12"/>
          </w:tcPr>
          <w:p>
            <w:pPr>
              <w:jc w:val="center"/>
              <w:rPr>
                <w:rFonts w:ascii="宋体" w:hAnsi="宋体" w:cs="宋体"/>
                <w:color w:val="auto"/>
                <w:szCs w:val="22"/>
                <w:highlight w:val="none"/>
              </w:rPr>
            </w:pPr>
            <w:r>
              <w:rPr>
                <w:rFonts w:hint="eastAsia" w:ascii="宋体" w:hAnsi="宋体" w:cs="宋体"/>
                <w:color w:val="auto"/>
                <w:szCs w:val="22"/>
                <w:highlight w:val="none"/>
              </w:rPr>
              <w:t>（一）项目基本情况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采购人名称</w:t>
            </w:r>
          </w:p>
        </w:tc>
        <w:tc>
          <w:tcPr>
            <w:tcW w:w="3006" w:type="dxa"/>
            <w:gridSpan w:val="4"/>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供应商名称</w:t>
            </w:r>
          </w:p>
        </w:tc>
        <w:tc>
          <w:tcPr>
            <w:tcW w:w="3725" w:type="dxa"/>
            <w:gridSpan w:val="4"/>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项目名称</w:t>
            </w:r>
          </w:p>
        </w:tc>
        <w:tc>
          <w:tcPr>
            <w:tcW w:w="3006" w:type="dxa"/>
            <w:gridSpan w:val="4"/>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合同编号</w:t>
            </w:r>
          </w:p>
        </w:tc>
        <w:tc>
          <w:tcPr>
            <w:tcW w:w="3725" w:type="dxa"/>
            <w:gridSpan w:val="4"/>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合同签订时间</w:t>
            </w:r>
          </w:p>
        </w:tc>
        <w:tc>
          <w:tcPr>
            <w:tcW w:w="3006" w:type="dxa"/>
            <w:gridSpan w:val="4"/>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合同规定验收时间</w:t>
            </w:r>
          </w:p>
        </w:tc>
        <w:tc>
          <w:tcPr>
            <w:tcW w:w="3725" w:type="dxa"/>
            <w:gridSpan w:val="4"/>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项目类型</w:t>
            </w:r>
          </w:p>
        </w:tc>
        <w:tc>
          <w:tcPr>
            <w:tcW w:w="3006" w:type="dxa"/>
            <w:gridSpan w:val="4"/>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货物/</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服务</w:t>
            </w: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合同金额</w:t>
            </w:r>
          </w:p>
        </w:tc>
        <w:tc>
          <w:tcPr>
            <w:tcW w:w="3725" w:type="dxa"/>
            <w:gridSpan w:val="4"/>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34" w:type="dxa"/>
            <w:gridSpan w:val="1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（二）验收方式与方法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验收组织方式</w:t>
            </w:r>
          </w:p>
        </w:tc>
        <w:tc>
          <w:tcPr>
            <w:tcW w:w="3006" w:type="dxa"/>
            <w:gridSpan w:val="4"/>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自行组织/</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委托代理</w:t>
            </w: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代理机构名称</w:t>
            </w:r>
          </w:p>
        </w:tc>
        <w:tc>
          <w:tcPr>
            <w:tcW w:w="3725" w:type="dxa"/>
            <w:gridSpan w:val="4"/>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验收方式</w:t>
            </w:r>
          </w:p>
        </w:tc>
        <w:tc>
          <w:tcPr>
            <w:tcW w:w="3006" w:type="dxa"/>
            <w:gridSpan w:val="4"/>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一般验收程序/          </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简易验收程序</w:t>
            </w: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选择简易验收理由</w:t>
            </w:r>
          </w:p>
        </w:tc>
        <w:tc>
          <w:tcPr>
            <w:tcW w:w="3725" w:type="dxa"/>
            <w:gridSpan w:val="4"/>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验收方法</w:t>
            </w:r>
          </w:p>
        </w:tc>
        <w:tc>
          <w:tcPr>
            <w:tcW w:w="3006" w:type="dxa"/>
            <w:gridSpan w:val="4"/>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一次性验收/</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分段验收/</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分期验收</w:t>
            </w: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选择非一次性验收理由</w:t>
            </w:r>
          </w:p>
        </w:tc>
        <w:tc>
          <w:tcPr>
            <w:tcW w:w="3725" w:type="dxa"/>
            <w:gridSpan w:val="4"/>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568" w:type="dxa"/>
            <w:gridSpan w:val="3"/>
            <w:vMerge w:val="restart"/>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大型或复杂项目</w:t>
            </w:r>
          </w:p>
        </w:tc>
        <w:tc>
          <w:tcPr>
            <w:tcW w:w="3006" w:type="dxa"/>
            <w:gridSpan w:val="4"/>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是/</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否</w:t>
            </w:r>
          </w:p>
        </w:tc>
        <w:tc>
          <w:tcPr>
            <w:tcW w:w="1435" w:type="dxa"/>
            <w:vMerge w:val="restart"/>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邀请本项目其他供应商</w:t>
            </w:r>
          </w:p>
        </w:tc>
        <w:tc>
          <w:tcPr>
            <w:tcW w:w="3725" w:type="dxa"/>
            <w:gridSpan w:val="4"/>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是/</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continue"/>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参与验收监测机构名称</w:t>
            </w:r>
          </w:p>
        </w:tc>
        <w:tc>
          <w:tcPr>
            <w:tcW w:w="2031" w:type="dxa"/>
            <w:gridSpan w:val="2"/>
            <w:vAlign w:val="center"/>
          </w:tcPr>
          <w:p>
            <w:pPr>
              <w:jc w:val="center"/>
              <w:rPr>
                <w:rFonts w:ascii="宋体" w:hAnsi="宋体" w:cs="宋体"/>
                <w:color w:val="auto"/>
                <w:szCs w:val="22"/>
                <w:highlight w:val="none"/>
              </w:rPr>
            </w:pPr>
          </w:p>
        </w:tc>
        <w:tc>
          <w:tcPr>
            <w:tcW w:w="1435" w:type="dxa"/>
            <w:vMerge w:val="continue"/>
            <w:vAlign w:val="center"/>
          </w:tcPr>
          <w:p>
            <w:pPr>
              <w:jc w:val="center"/>
              <w:rPr>
                <w:rFonts w:ascii="宋体" w:hAnsi="宋体" w:cs="宋体"/>
                <w:color w:val="auto"/>
                <w:szCs w:val="22"/>
                <w:highlight w:val="none"/>
              </w:rPr>
            </w:pPr>
          </w:p>
        </w:tc>
        <w:tc>
          <w:tcPr>
            <w:tcW w:w="1392"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参与验收供应商名称</w:t>
            </w: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68" w:type="dxa"/>
            <w:gridSpan w:val="3"/>
            <w:vMerge w:val="restart"/>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向社会公众提供的公共服务项目方式</w:t>
            </w:r>
          </w:p>
        </w:tc>
        <w:tc>
          <w:tcPr>
            <w:tcW w:w="3006" w:type="dxa"/>
            <w:gridSpan w:val="4"/>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是/</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否</w:t>
            </w:r>
          </w:p>
        </w:tc>
        <w:tc>
          <w:tcPr>
            <w:tcW w:w="1435" w:type="dxa"/>
            <w:vMerge w:val="restart"/>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采购人、使用人分离项目</w:t>
            </w:r>
          </w:p>
        </w:tc>
        <w:tc>
          <w:tcPr>
            <w:tcW w:w="3725" w:type="dxa"/>
            <w:gridSpan w:val="4"/>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是/</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continue"/>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参与验收服务对象</w:t>
            </w:r>
          </w:p>
        </w:tc>
        <w:tc>
          <w:tcPr>
            <w:tcW w:w="2031" w:type="dxa"/>
            <w:gridSpan w:val="2"/>
            <w:vAlign w:val="center"/>
          </w:tcPr>
          <w:p>
            <w:pPr>
              <w:jc w:val="center"/>
              <w:rPr>
                <w:rFonts w:ascii="宋体" w:hAnsi="宋体" w:cs="宋体"/>
                <w:color w:val="auto"/>
                <w:szCs w:val="22"/>
                <w:highlight w:val="none"/>
              </w:rPr>
            </w:pPr>
          </w:p>
        </w:tc>
        <w:tc>
          <w:tcPr>
            <w:tcW w:w="1435" w:type="dxa"/>
            <w:vMerge w:val="continue"/>
            <w:vAlign w:val="center"/>
          </w:tcPr>
          <w:p>
            <w:pPr>
              <w:jc w:val="center"/>
              <w:rPr>
                <w:rFonts w:ascii="宋体" w:hAnsi="宋体" w:cs="宋体"/>
                <w:color w:val="auto"/>
                <w:szCs w:val="22"/>
                <w:highlight w:val="none"/>
              </w:rPr>
            </w:pPr>
          </w:p>
        </w:tc>
        <w:tc>
          <w:tcPr>
            <w:tcW w:w="1392"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使用单位名称</w:t>
            </w: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34" w:type="dxa"/>
            <w:gridSpan w:val="1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（三）验收人员组成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验收小组总人数</w:t>
            </w:r>
          </w:p>
        </w:tc>
        <w:tc>
          <w:tcPr>
            <w:tcW w:w="753" w:type="dxa"/>
            <w:vAlign w:val="center"/>
          </w:tcPr>
          <w:p>
            <w:pPr>
              <w:jc w:val="center"/>
              <w:rPr>
                <w:rFonts w:ascii="宋体" w:hAnsi="宋体" w:cs="宋体"/>
                <w:color w:val="auto"/>
                <w:szCs w:val="22"/>
                <w:highlight w:val="none"/>
              </w:rPr>
            </w:pPr>
          </w:p>
        </w:tc>
        <w:tc>
          <w:tcPr>
            <w:tcW w:w="1387"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专业技术人员人数</w:t>
            </w:r>
          </w:p>
        </w:tc>
        <w:tc>
          <w:tcPr>
            <w:tcW w:w="866" w:type="dxa"/>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实际使用人人数（如有）</w:t>
            </w:r>
          </w:p>
        </w:tc>
        <w:tc>
          <w:tcPr>
            <w:tcW w:w="858" w:type="dxa"/>
            <w:vAlign w:val="center"/>
          </w:tcPr>
          <w:p>
            <w:pPr>
              <w:jc w:val="center"/>
              <w:rPr>
                <w:rFonts w:ascii="宋体" w:hAnsi="宋体" w:cs="宋体"/>
                <w:color w:val="auto"/>
                <w:szCs w:val="22"/>
                <w:highlight w:val="none"/>
              </w:rPr>
            </w:pPr>
          </w:p>
        </w:tc>
        <w:tc>
          <w:tcPr>
            <w:tcW w:w="1387"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其他验收人员数量</w:t>
            </w:r>
          </w:p>
        </w:tc>
        <w:tc>
          <w:tcPr>
            <w:tcW w:w="1480" w:type="dxa"/>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验收人员姓名</w:t>
            </w:r>
          </w:p>
        </w:tc>
        <w:tc>
          <w:tcPr>
            <w:tcW w:w="2140" w:type="dxa"/>
            <w:gridSpan w:val="3"/>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工作单位</w:t>
            </w:r>
          </w:p>
        </w:tc>
        <w:tc>
          <w:tcPr>
            <w:tcW w:w="2301"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职称（专业）</w:t>
            </w:r>
          </w:p>
        </w:tc>
        <w:tc>
          <w:tcPr>
            <w:tcW w:w="1392"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联系方式</w:t>
            </w:r>
          </w:p>
        </w:tc>
        <w:tc>
          <w:tcPr>
            <w:tcW w:w="2333"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Align w:val="center"/>
          </w:tcPr>
          <w:p>
            <w:pPr>
              <w:jc w:val="center"/>
              <w:rPr>
                <w:rFonts w:ascii="宋体" w:hAnsi="宋体" w:cs="宋体"/>
                <w:color w:val="auto"/>
                <w:szCs w:val="22"/>
                <w:highlight w:val="none"/>
              </w:rPr>
            </w:pPr>
          </w:p>
        </w:tc>
        <w:tc>
          <w:tcPr>
            <w:tcW w:w="2140" w:type="dxa"/>
            <w:gridSpan w:val="3"/>
            <w:vAlign w:val="center"/>
          </w:tcPr>
          <w:p>
            <w:pPr>
              <w:jc w:val="center"/>
              <w:rPr>
                <w:rFonts w:ascii="宋体" w:hAnsi="宋体" w:cs="宋体"/>
                <w:color w:val="auto"/>
                <w:szCs w:val="22"/>
                <w:highlight w:val="none"/>
              </w:rPr>
            </w:pPr>
          </w:p>
        </w:tc>
        <w:tc>
          <w:tcPr>
            <w:tcW w:w="2301" w:type="dxa"/>
            <w:gridSpan w:val="2"/>
            <w:vAlign w:val="center"/>
          </w:tcPr>
          <w:p>
            <w:pPr>
              <w:jc w:val="center"/>
              <w:rPr>
                <w:rFonts w:ascii="宋体" w:hAnsi="宋体" w:cs="宋体"/>
                <w:color w:val="auto"/>
                <w:szCs w:val="22"/>
                <w:highlight w:val="none"/>
              </w:rPr>
            </w:pPr>
          </w:p>
        </w:tc>
        <w:tc>
          <w:tcPr>
            <w:tcW w:w="1392" w:type="dxa"/>
            <w:gridSpan w:val="2"/>
            <w:vAlign w:val="center"/>
          </w:tcPr>
          <w:p>
            <w:pPr>
              <w:jc w:val="center"/>
              <w:rPr>
                <w:rFonts w:ascii="宋体" w:hAnsi="宋体" w:cs="宋体"/>
                <w:color w:val="auto"/>
                <w:szCs w:val="22"/>
                <w:highlight w:val="none"/>
              </w:rPr>
            </w:pP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Align w:val="center"/>
          </w:tcPr>
          <w:p>
            <w:pPr>
              <w:jc w:val="center"/>
              <w:rPr>
                <w:rFonts w:ascii="宋体" w:hAnsi="宋体" w:cs="宋体"/>
                <w:color w:val="auto"/>
                <w:szCs w:val="22"/>
                <w:highlight w:val="none"/>
              </w:rPr>
            </w:pPr>
          </w:p>
        </w:tc>
        <w:tc>
          <w:tcPr>
            <w:tcW w:w="2140" w:type="dxa"/>
            <w:gridSpan w:val="3"/>
            <w:vAlign w:val="center"/>
          </w:tcPr>
          <w:p>
            <w:pPr>
              <w:jc w:val="center"/>
              <w:rPr>
                <w:rFonts w:ascii="宋体" w:hAnsi="宋体" w:cs="宋体"/>
                <w:color w:val="auto"/>
                <w:szCs w:val="22"/>
                <w:highlight w:val="none"/>
              </w:rPr>
            </w:pPr>
          </w:p>
        </w:tc>
        <w:tc>
          <w:tcPr>
            <w:tcW w:w="2301" w:type="dxa"/>
            <w:gridSpan w:val="2"/>
            <w:vAlign w:val="center"/>
          </w:tcPr>
          <w:p>
            <w:pPr>
              <w:jc w:val="center"/>
              <w:rPr>
                <w:rFonts w:ascii="宋体" w:hAnsi="宋体" w:cs="宋体"/>
                <w:color w:val="auto"/>
                <w:szCs w:val="22"/>
                <w:highlight w:val="none"/>
              </w:rPr>
            </w:pPr>
          </w:p>
        </w:tc>
        <w:tc>
          <w:tcPr>
            <w:tcW w:w="1392" w:type="dxa"/>
            <w:gridSpan w:val="2"/>
            <w:vAlign w:val="center"/>
          </w:tcPr>
          <w:p>
            <w:pPr>
              <w:jc w:val="center"/>
              <w:rPr>
                <w:rFonts w:ascii="宋体" w:hAnsi="宋体" w:cs="宋体"/>
                <w:color w:val="auto"/>
                <w:szCs w:val="22"/>
                <w:highlight w:val="none"/>
              </w:rPr>
            </w:pP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Align w:val="center"/>
          </w:tcPr>
          <w:p>
            <w:pPr>
              <w:jc w:val="center"/>
              <w:rPr>
                <w:rFonts w:ascii="宋体" w:hAnsi="宋体" w:cs="宋体"/>
                <w:color w:val="auto"/>
                <w:szCs w:val="22"/>
                <w:highlight w:val="none"/>
              </w:rPr>
            </w:pPr>
          </w:p>
        </w:tc>
        <w:tc>
          <w:tcPr>
            <w:tcW w:w="2140" w:type="dxa"/>
            <w:gridSpan w:val="3"/>
            <w:vAlign w:val="center"/>
          </w:tcPr>
          <w:p>
            <w:pPr>
              <w:jc w:val="center"/>
              <w:rPr>
                <w:rFonts w:ascii="宋体" w:hAnsi="宋体" w:cs="宋体"/>
                <w:color w:val="auto"/>
                <w:szCs w:val="22"/>
                <w:highlight w:val="none"/>
              </w:rPr>
            </w:pPr>
          </w:p>
        </w:tc>
        <w:tc>
          <w:tcPr>
            <w:tcW w:w="2301" w:type="dxa"/>
            <w:gridSpan w:val="2"/>
            <w:vAlign w:val="center"/>
          </w:tcPr>
          <w:p>
            <w:pPr>
              <w:jc w:val="center"/>
              <w:rPr>
                <w:rFonts w:ascii="宋体" w:hAnsi="宋体" w:cs="宋体"/>
                <w:color w:val="auto"/>
                <w:szCs w:val="22"/>
                <w:highlight w:val="none"/>
              </w:rPr>
            </w:pPr>
          </w:p>
        </w:tc>
        <w:tc>
          <w:tcPr>
            <w:tcW w:w="1392" w:type="dxa"/>
            <w:gridSpan w:val="2"/>
            <w:vAlign w:val="center"/>
          </w:tcPr>
          <w:p>
            <w:pPr>
              <w:jc w:val="center"/>
              <w:rPr>
                <w:rFonts w:ascii="宋体" w:hAnsi="宋体" w:cs="宋体"/>
                <w:color w:val="auto"/>
                <w:szCs w:val="22"/>
                <w:highlight w:val="none"/>
              </w:rPr>
            </w:pP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34" w:type="dxa"/>
            <w:gridSpan w:val="1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（四）验收主要指标和标准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3"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序号</w:t>
            </w:r>
          </w:p>
        </w:tc>
        <w:tc>
          <w:tcPr>
            <w:tcW w:w="78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名称</w:t>
            </w: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合同履约时间、地点、方式</w:t>
            </w:r>
          </w:p>
        </w:tc>
        <w:tc>
          <w:tcPr>
            <w:tcW w:w="2031"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货物型号规格、标准及配置等（或服务内容、标准）</w:t>
            </w: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数量</w:t>
            </w:r>
          </w:p>
        </w:tc>
        <w:tc>
          <w:tcPr>
            <w:tcW w:w="1392"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单价</w:t>
            </w:r>
          </w:p>
        </w:tc>
        <w:tc>
          <w:tcPr>
            <w:tcW w:w="2333"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3" w:type="dxa"/>
            <w:vAlign w:val="center"/>
          </w:tcPr>
          <w:p>
            <w:pPr>
              <w:jc w:val="center"/>
              <w:rPr>
                <w:rFonts w:ascii="宋体" w:hAnsi="宋体" w:cs="宋体"/>
                <w:color w:val="auto"/>
                <w:szCs w:val="22"/>
                <w:highlight w:val="none"/>
              </w:rPr>
            </w:pPr>
          </w:p>
        </w:tc>
        <w:tc>
          <w:tcPr>
            <w:tcW w:w="785" w:type="dxa"/>
            <w:gridSpan w:val="2"/>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p>
        </w:tc>
        <w:tc>
          <w:tcPr>
            <w:tcW w:w="2031" w:type="dxa"/>
            <w:gridSpan w:val="2"/>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p>
        </w:tc>
        <w:tc>
          <w:tcPr>
            <w:tcW w:w="1392" w:type="dxa"/>
            <w:gridSpan w:val="2"/>
            <w:vAlign w:val="center"/>
          </w:tcPr>
          <w:p>
            <w:pPr>
              <w:jc w:val="center"/>
              <w:rPr>
                <w:rFonts w:ascii="宋体" w:hAnsi="宋体" w:cs="宋体"/>
                <w:color w:val="auto"/>
                <w:szCs w:val="22"/>
                <w:highlight w:val="none"/>
              </w:rPr>
            </w:pP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3" w:type="dxa"/>
            <w:vAlign w:val="center"/>
          </w:tcPr>
          <w:p>
            <w:pPr>
              <w:jc w:val="center"/>
              <w:rPr>
                <w:rFonts w:ascii="宋体" w:hAnsi="宋体" w:cs="宋体"/>
                <w:color w:val="auto"/>
                <w:szCs w:val="22"/>
                <w:highlight w:val="none"/>
              </w:rPr>
            </w:pPr>
          </w:p>
        </w:tc>
        <w:tc>
          <w:tcPr>
            <w:tcW w:w="785" w:type="dxa"/>
            <w:gridSpan w:val="2"/>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p>
        </w:tc>
        <w:tc>
          <w:tcPr>
            <w:tcW w:w="2031" w:type="dxa"/>
            <w:gridSpan w:val="2"/>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p>
        </w:tc>
        <w:tc>
          <w:tcPr>
            <w:tcW w:w="1392" w:type="dxa"/>
            <w:gridSpan w:val="2"/>
            <w:vAlign w:val="center"/>
          </w:tcPr>
          <w:p>
            <w:pPr>
              <w:jc w:val="center"/>
              <w:rPr>
                <w:rFonts w:ascii="宋体" w:hAnsi="宋体" w:cs="宋体"/>
                <w:color w:val="auto"/>
                <w:szCs w:val="22"/>
                <w:highlight w:val="none"/>
              </w:rPr>
            </w:pP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3" w:type="dxa"/>
            <w:vAlign w:val="center"/>
          </w:tcPr>
          <w:p>
            <w:pPr>
              <w:jc w:val="center"/>
              <w:rPr>
                <w:rFonts w:ascii="宋体" w:hAnsi="宋体" w:cs="宋体"/>
                <w:color w:val="auto"/>
                <w:szCs w:val="22"/>
                <w:highlight w:val="none"/>
              </w:rPr>
            </w:pPr>
          </w:p>
        </w:tc>
        <w:tc>
          <w:tcPr>
            <w:tcW w:w="785" w:type="dxa"/>
            <w:gridSpan w:val="2"/>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p>
        </w:tc>
        <w:tc>
          <w:tcPr>
            <w:tcW w:w="2031" w:type="dxa"/>
            <w:gridSpan w:val="2"/>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p>
        </w:tc>
        <w:tc>
          <w:tcPr>
            <w:tcW w:w="1392" w:type="dxa"/>
            <w:gridSpan w:val="2"/>
            <w:vAlign w:val="center"/>
          </w:tcPr>
          <w:p>
            <w:pPr>
              <w:jc w:val="center"/>
              <w:rPr>
                <w:rFonts w:ascii="宋体" w:hAnsi="宋体" w:cs="宋体"/>
                <w:color w:val="auto"/>
                <w:szCs w:val="22"/>
                <w:highlight w:val="none"/>
              </w:rPr>
            </w:pP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34" w:type="dxa"/>
            <w:gridSpan w:val="1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二、验收情况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568" w:type="dxa"/>
            <w:gridSpan w:val="3"/>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分期情况</w:t>
            </w:r>
          </w:p>
        </w:tc>
        <w:tc>
          <w:tcPr>
            <w:tcW w:w="3006" w:type="dxa"/>
            <w:gridSpan w:val="4"/>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共分 期，此为第  期验收</w:t>
            </w:r>
          </w:p>
        </w:tc>
        <w:tc>
          <w:tcPr>
            <w:tcW w:w="1435" w:type="dxa"/>
            <w:vAlign w:val="center"/>
          </w:tcPr>
          <w:p>
            <w:pPr>
              <w:rPr>
                <w:rFonts w:ascii="宋体" w:hAnsi="宋体" w:cs="宋体"/>
                <w:color w:val="auto"/>
                <w:szCs w:val="22"/>
                <w:highlight w:val="none"/>
              </w:rPr>
            </w:pPr>
            <w:r>
              <w:rPr>
                <w:rFonts w:hint="eastAsia" w:ascii="宋体" w:hAnsi="宋体" w:cs="宋体"/>
                <w:color w:val="auto"/>
                <w:szCs w:val="22"/>
                <w:highlight w:val="none"/>
              </w:rPr>
              <w:t xml:space="preserve">分段情况     </w:t>
            </w:r>
          </w:p>
        </w:tc>
        <w:tc>
          <w:tcPr>
            <w:tcW w:w="3725" w:type="dxa"/>
            <w:gridSpan w:val="4"/>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共分  段，此为   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restart"/>
            <w:vAlign w:val="center"/>
          </w:tcPr>
          <w:p>
            <w:pPr>
              <w:jc w:val="center"/>
              <w:rPr>
                <w:rFonts w:ascii="宋体" w:hAnsi="宋体" w:cs="宋体"/>
                <w:color w:val="auto"/>
                <w:szCs w:val="22"/>
                <w:highlight w:val="none"/>
              </w:rPr>
            </w:pPr>
            <w:r>
              <w:rPr>
                <w:rFonts w:hint="eastAsia" w:ascii="宋体" w:hAnsi="宋体" w:cs="宋体"/>
                <w:color w:val="auto"/>
                <w:szCs w:val="22"/>
                <w:highlight w:val="none"/>
              </w:rPr>
              <w:t>第三方参考情况说明</w:t>
            </w: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评价对象</w:t>
            </w:r>
          </w:p>
        </w:tc>
        <w:tc>
          <w:tcPr>
            <w:tcW w:w="2031" w:type="dxa"/>
            <w:gridSpan w:val="2"/>
            <w:vAlign w:val="center"/>
          </w:tcPr>
          <w:p>
            <w:pPr>
              <w:rPr>
                <w:rFonts w:ascii="宋体" w:hAnsi="宋体" w:cs="宋体"/>
                <w:color w:val="auto"/>
                <w:szCs w:val="22"/>
                <w:highlight w:val="none"/>
              </w:rPr>
            </w:pPr>
            <w:r>
              <w:rPr>
                <w:rFonts w:hint="eastAsia" w:ascii="宋体" w:hAnsi="宋体" w:cs="宋体"/>
                <w:color w:val="auto"/>
                <w:szCs w:val="22"/>
                <w:highlight w:val="none"/>
              </w:rPr>
              <w:t>评价结果</w:t>
            </w:r>
          </w:p>
        </w:tc>
        <w:tc>
          <w:tcPr>
            <w:tcW w:w="2827" w:type="dxa"/>
            <w:gridSpan w:val="3"/>
            <w:vAlign w:val="center"/>
          </w:tcPr>
          <w:p>
            <w:pPr>
              <w:jc w:val="center"/>
              <w:rPr>
                <w:rFonts w:ascii="宋体" w:hAnsi="宋体" w:cs="宋体"/>
                <w:color w:val="auto"/>
                <w:szCs w:val="22"/>
                <w:highlight w:val="none"/>
              </w:rPr>
            </w:pPr>
            <w:r>
              <w:rPr>
                <w:rFonts w:hint="eastAsia" w:ascii="宋体" w:hAnsi="宋体" w:cs="宋体"/>
                <w:color w:val="auto"/>
                <w:szCs w:val="22"/>
                <w:highlight w:val="none"/>
              </w:rPr>
              <w:t>理由</w:t>
            </w:r>
          </w:p>
        </w:tc>
        <w:tc>
          <w:tcPr>
            <w:tcW w:w="2333"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continue"/>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检测机构</w:t>
            </w:r>
          </w:p>
        </w:tc>
        <w:tc>
          <w:tcPr>
            <w:tcW w:w="2031"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合格/</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2827" w:type="dxa"/>
            <w:gridSpan w:val="3"/>
            <w:vAlign w:val="center"/>
          </w:tcPr>
          <w:p>
            <w:pPr>
              <w:jc w:val="center"/>
              <w:rPr>
                <w:rFonts w:ascii="宋体" w:hAnsi="宋体" w:cs="宋体"/>
                <w:color w:val="auto"/>
                <w:szCs w:val="22"/>
                <w:highlight w:val="none"/>
              </w:rPr>
            </w:pP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continue"/>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其他供应商</w:t>
            </w:r>
          </w:p>
        </w:tc>
        <w:tc>
          <w:tcPr>
            <w:tcW w:w="2031"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合格/</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2827" w:type="dxa"/>
            <w:gridSpan w:val="3"/>
            <w:vAlign w:val="center"/>
          </w:tcPr>
          <w:p>
            <w:pPr>
              <w:jc w:val="center"/>
              <w:rPr>
                <w:rFonts w:ascii="宋体" w:hAnsi="宋体" w:cs="宋体"/>
                <w:color w:val="auto"/>
                <w:szCs w:val="22"/>
                <w:highlight w:val="none"/>
              </w:rPr>
            </w:pP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continue"/>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服务对象</w:t>
            </w:r>
          </w:p>
        </w:tc>
        <w:tc>
          <w:tcPr>
            <w:tcW w:w="2031"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合格/</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2827" w:type="dxa"/>
            <w:gridSpan w:val="3"/>
            <w:vAlign w:val="center"/>
          </w:tcPr>
          <w:p>
            <w:pPr>
              <w:jc w:val="center"/>
              <w:rPr>
                <w:rFonts w:ascii="宋体" w:hAnsi="宋体" w:cs="宋体"/>
                <w:color w:val="auto"/>
                <w:szCs w:val="22"/>
                <w:highlight w:val="none"/>
              </w:rPr>
            </w:pP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restart"/>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货物类验收内容及验收情况</w:t>
            </w: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评价内容</w:t>
            </w:r>
          </w:p>
        </w:tc>
        <w:tc>
          <w:tcPr>
            <w:tcW w:w="116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评价情况</w:t>
            </w:r>
          </w:p>
        </w:tc>
        <w:tc>
          <w:tcPr>
            <w:tcW w:w="866"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理由</w:t>
            </w: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评价内容</w:t>
            </w:r>
          </w:p>
        </w:tc>
        <w:tc>
          <w:tcPr>
            <w:tcW w:w="1392"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评价情况</w:t>
            </w:r>
          </w:p>
        </w:tc>
        <w:tc>
          <w:tcPr>
            <w:tcW w:w="2333"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continue"/>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货物清单</w:t>
            </w:r>
          </w:p>
        </w:tc>
        <w:tc>
          <w:tcPr>
            <w:tcW w:w="116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合格  </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866" w:type="dxa"/>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品牌、型号、规格、数量、及外观数量</w:t>
            </w:r>
          </w:p>
        </w:tc>
        <w:tc>
          <w:tcPr>
            <w:tcW w:w="1392"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  格 </w:t>
            </w:r>
          </w:p>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continue"/>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技术、性能指标</w:t>
            </w:r>
          </w:p>
        </w:tc>
        <w:tc>
          <w:tcPr>
            <w:tcW w:w="116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合格  </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866" w:type="dxa"/>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运行状况及安装调试</w:t>
            </w:r>
          </w:p>
        </w:tc>
        <w:tc>
          <w:tcPr>
            <w:tcW w:w="1392"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  格 </w:t>
            </w:r>
          </w:p>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continue"/>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质量证明文件</w:t>
            </w:r>
          </w:p>
        </w:tc>
        <w:tc>
          <w:tcPr>
            <w:tcW w:w="116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合格  </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866" w:type="dxa"/>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售后服务承诺</w:t>
            </w:r>
          </w:p>
        </w:tc>
        <w:tc>
          <w:tcPr>
            <w:tcW w:w="1392"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  格 </w:t>
            </w:r>
          </w:p>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continue"/>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安全标准</w:t>
            </w:r>
          </w:p>
        </w:tc>
        <w:tc>
          <w:tcPr>
            <w:tcW w:w="116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合格  </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866" w:type="dxa"/>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合同履约时间、地点、方式</w:t>
            </w:r>
          </w:p>
        </w:tc>
        <w:tc>
          <w:tcPr>
            <w:tcW w:w="1392"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  格 </w:t>
            </w:r>
          </w:p>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restart"/>
            <w:vAlign w:val="center"/>
          </w:tcPr>
          <w:p>
            <w:pPr>
              <w:jc w:val="center"/>
              <w:rPr>
                <w:rFonts w:ascii="宋体" w:hAnsi="宋体" w:cs="宋体"/>
                <w:color w:val="auto"/>
                <w:szCs w:val="22"/>
                <w:highlight w:val="none"/>
              </w:rPr>
            </w:pPr>
            <w:r>
              <w:rPr>
                <w:rFonts w:hint="eastAsia" w:ascii="宋体" w:hAnsi="宋体" w:cs="宋体"/>
                <w:color w:val="auto"/>
                <w:szCs w:val="22"/>
                <w:highlight w:val="none"/>
              </w:rPr>
              <w:t>服务类验收内容及结果</w:t>
            </w: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评价内容</w:t>
            </w:r>
          </w:p>
        </w:tc>
        <w:tc>
          <w:tcPr>
            <w:tcW w:w="116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评价情况</w:t>
            </w:r>
          </w:p>
        </w:tc>
        <w:tc>
          <w:tcPr>
            <w:tcW w:w="866"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理由</w:t>
            </w: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评价内容</w:t>
            </w:r>
          </w:p>
        </w:tc>
        <w:tc>
          <w:tcPr>
            <w:tcW w:w="1392"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评价情况</w:t>
            </w:r>
          </w:p>
        </w:tc>
        <w:tc>
          <w:tcPr>
            <w:tcW w:w="2333"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continue"/>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服务质量</w:t>
            </w:r>
          </w:p>
        </w:tc>
        <w:tc>
          <w:tcPr>
            <w:tcW w:w="116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合格  </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866" w:type="dxa"/>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服务进度</w:t>
            </w:r>
          </w:p>
        </w:tc>
        <w:tc>
          <w:tcPr>
            <w:tcW w:w="1392"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  格 </w:t>
            </w:r>
          </w:p>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continue"/>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人员、设备配备情况</w:t>
            </w:r>
          </w:p>
        </w:tc>
        <w:tc>
          <w:tcPr>
            <w:tcW w:w="116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合格  </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866" w:type="dxa"/>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安全标准</w:t>
            </w:r>
          </w:p>
        </w:tc>
        <w:tc>
          <w:tcPr>
            <w:tcW w:w="1392"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  格 </w:t>
            </w:r>
          </w:p>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8" w:type="dxa"/>
            <w:gridSpan w:val="3"/>
            <w:vMerge w:val="continue"/>
            <w:vAlign w:val="center"/>
          </w:tcPr>
          <w:p>
            <w:pPr>
              <w:jc w:val="center"/>
              <w:rPr>
                <w:rFonts w:ascii="宋体" w:hAnsi="宋体" w:cs="宋体"/>
                <w:color w:val="auto"/>
                <w:szCs w:val="22"/>
                <w:highlight w:val="none"/>
              </w:rPr>
            </w:pPr>
          </w:p>
        </w:tc>
        <w:tc>
          <w:tcPr>
            <w:tcW w:w="975"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服务承诺时限</w:t>
            </w:r>
          </w:p>
        </w:tc>
        <w:tc>
          <w:tcPr>
            <w:tcW w:w="116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合格  </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866" w:type="dxa"/>
            <w:vAlign w:val="center"/>
          </w:tcPr>
          <w:p>
            <w:pPr>
              <w:jc w:val="center"/>
              <w:rPr>
                <w:rFonts w:ascii="宋体" w:hAnsi="宋体" w:cs="宋体"/>
                <w:color w:val="auto"/>
                <w:szCs w:val="22"/>
                <w:highlight w:val="none"/>
              </w:rPr>
            </w:pPr>
          </w:p>
        </w:tc>
        <w:tc>
          <w:tcPr>
            <w:tcW w:w="1435" w:type="dxa"/>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合同履约时间、地点、方式</w:t>
            </w:r>
          </w:p>
        </w:tc>
        <w:tc>
          <w:tcPr>
            <w:tcW w:w="1392"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  格 </w:t>
            </w:r>
          </w:p>
          <w:p>
            <w:pPr>
              <w:jc w:val="center"/>
              <w:rPr>
                <w:rFonts w:ascii="宋体" w:hAnsi="宋体" w:cs="宋体"/>
                <w:color w:val="auto"/>
                <w:szCs w:val="22"/>
                <w:highlight w:val="none"/>
              </w:rPr>
            </w:pP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tc>
        <w:tc>
          <w:tcPr>
            <w:tcW w:w="2333" w:type="dxa"/>
            <w:gridSpan w:val="2"/>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34" w:type="dxa"/>
            <w:gridSpan w:val="1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三、验收结论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1553" w:type="dxa"/>
            <w:gridSpan w:val="2"/>
            <w:vAlign w:val="center"/>
          </w:tcPr>
          <w:p>
            <w:pPr>
              <w:jc w:val="center"/>
              <w:rPr>
                <w:rFonts w:ascii="宋体" w:hAnsi="宋体" w:cs="宋体"/>
                <w:color w:val="auto"/>
                <w:szCs w:val="22"/>
                <w:highlight w:val="none"/>
              </w:rPr>
            </w:pPr>
            <w:r>
              <w:rPr>
                <w:rFonts w:hint="eastAsia" w:ascii="宋体" w:hAnsi="宋体" w:cs="宋体"/>
                <w:color w:val="auto"/>
                <w:szCs w:val="22"/>
                <w:highlight w:val="none"/>
              </w:rPr>
              <w:t>存在问题和改进意见</w:t>
            </w:r>
          </w:p>
        </w:tc>
        <w:tc>
          <w:tcPr>
            <w:tcW w:w="8181" w:type="dxa"/>
            <w:gridSpan w:val="10"/>
            <w:vAlign w:val="center"/>
          </w:tcPr>
          <w:p>
            <w:pPr>
              <w:jc w:val="center"/>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53" w:type="dxa"/>
            <w:gridSpan w:val="2"/>
            <w:vMerge w:val="restart"/>
            <w:vAlign w:val="center"/>
          </w:tcPr>
          <w:p>
            <w:pPr>
              <w:jc w:val="center"/>
              <w:rPr>
                <w:rFonts w:ascii="宋体" w:hAnsi="宋体" w:cs="宋体"/>
                <w:color w:val="auto"/>
                <w:szCs w:val="22"/>
                <w:highlight w:val="none"/>
              </w:rPr>
            </w:pPr>
            <w:r>
              <w:rPr>
                <w:rFonts w:hint="eastAsia" w:ascii="宋体" w:hAnsi="宋体" w:cs="宋体"/>
                <w:color w:val="auto"/>
                <w:szCs w:val="22"/>
                <w:highlight w:val="none"/>
              </w:rPr>
              <w:t>验收小组意见</w:t>
            </w:r>
          </w:p>
        </w:tc>
        <w:tc>
          <w:tcPr>
            <w:tcW w:w="8181" w:type="dxa"/>
            <w:gridSpan w:val="10"/>
            <w:vAlign w:val="center"/>
          </w:tcPr>
          <w:p>
            <w:pPr>
              <w:jc w:val="left"/>
              <w:rPr>
                <w:rFonts w:ascii="宋体" w:hAnsi="宋体" w:cs="宋体"/>
                <w:color w:val="auto"/>
                <w:szCs w:val="22"/>
                <w:highlight w:val="none"/>
              </w:rPr>
            </w:pPr>
          </w:p>
          <w:p>
            <w:pPr>
              <w:jc w:val="left"/>
              <w:rPr>
                <w:rFonts w:ascii="宋体" w:hAnsi="宋体" w:cs="宋体"/>
                <w:color w:val="auto"/>
                <w:szCs w:val="22"/>
                <w:highlight w:val="none"/>
              </w:rPr>
            </w:pPr>
            <w:r>
              <w:rPr>
                <w:rFonts w:hint="eastAsia" w:ascii="宋体" w:hAnsi="宋体" w:cs="宋体"/>
                <w:color w:val="auto"/>
                <w:szCs w:val="22"/>
                <w:highlight w:val="none"/>
              </w:rPr>
              <w:t>验收结论性意见：</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 xml:space="preserve">合  格                    </w:t>
            </w:r>
            <w:r>
              <w:rPr>
                <w:rFonts w:hint="eastAsia" w:ascii="宋体" w:hAnsi="宋体" w:cs="宋体"/>
                <w:color w:val="auto"/>
                <w:szCs w:val="22"/>
                <w:highlight w:val="none"/>
              </w:rPr>
              <w:sym w:font="Times New Roman" w:char="0000"/>
            </w:r>
            <w:r>
              <w:rPr>
                <w:rFonts w:hint="eastAsia" w:ascii="宋体" w:hAnsi="宋体" w:cs="宋体"/>
                <w:color w:val="auto"/>
                <w:szCs w:val="22"/>
                <w:highlight w:val="none"/>
              </w:rPr>
              <w:t>不合格</w:t>
            </w:r>
          </w:p>
          <w:p>
            <w:pPr>
              <w:jc w:val="left"/>
              <w:rPr>
                <w:rFonts w:ascii="宋体" w:hAnsi="宋体" w:cs="宋体"/>
                <w:color w:val="auto"/>
                <w:szCs w:val="22"/>
                <w:highlight w:val="none"/>
              </w:rPr>
            </w:pPr>
          </w:p>
          <w:p>
            <w:pPr>
              <w:jc w:val="left"/>
              <w:rPr>
                <w:rFonts w:ascii="宋体" w:hAnsi="宋体" w:cs="宋体"/>
                <w:color w:val="auto"/>
                <w:szCs w:val="22"/>
                <w:highlight w:val="none"/>
              </w:rPr>
            </w:pPr>
            <w:r>
              <w:rPr>
                <w:rFonts w:hint="eastAsia" w:ascii="宋体" w:hAnsi="宋体" w:cs="宋体"/>
                <w:color w:val="auto"/>
                <w:szCs w:val="22"/>
                <w:highlight w:val="none"/>
              </w:rPr>
              <w:t>其他需要说明的事项：</w:t>
            </w:r>
          </w:p>
          <w:p>
            <w:pPr>
              <w:jc w:val="left"/>
              <w:rPr>
                <w:rFonts w:ascii="宋体" w:hAnsi="宋体" w:cs="宋体"/>
                <w:color w:val="auto"/>
                <w:szCs w:val="22"/>
                <w:highlight w:val="none"/>
              </w:rPr>
            </w:pPr>
          </w:p>
          <w:p>
            <w:pPr>
              <w:jc w:val="left"/>
              <w:rPr>
                <w:rFonts w:ascii="宋体" w:hAnsi="宋体" w:cs="宋体"/>
                <w:color w:val="auto"/>
                <w:szCs w:val="22"/>
                <w:highlight w:val="none"/>
              </w:rPr>
            </w:pPr>
          </w:p>
          <w:p>
            <w:pPr>
              <w:jc w:val="left"/>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53" w:type="dxa"/>
            <w:gridSpan w:val="2"/>
            <w:vMerge w:val="continue"/>
            <w:vAlign w:val="center"/>
          </w:tcPr>
          <w:p>
            <w:pPr>
              <w:jc w:val="center"/>
              <w:rPr>
                <w:rFonts w:ascii="宋体" w:hAnsi="宋体" w:cs="宋体"/>
                <w:color w:val="auto"/>
                <w:szCs w:val="22"/>
                <w:highlight w:val="none"/>
              </w:rPr>
            </w:pPr>
          </w:p>
        </w:tc>
        <w:tc>
          <w:tcPr>
            <w:tcW w:w="8181" w:type="dxa"/>
            <w:gridSpan w:val="10"/>
            <w:vAlign w:val="center"/>
          </w:tcPr>
          <w:p>
            <w:pPr>
              <w:jc w:val="left"/>
              <w:rPr>
                <w:rFonts w:ascii="宋体" w:hAnsi="宋体" w:cs="宋体"/>
                <w:color w:val="auto"/>
                <w:szCs w:val="22"/>
                <w:highlight w:val="none"/>
              </w:rPr>
            </w:pPr>
          </w:p>
          <w:p>
            <w:pPr>
              <w:jc w:val="left"/>
              <w:rPr>
                <w:rFonts w:ascii="宋体" w:hAnsi="宋体" w:cs="宋体"/>
                <w:color w:val="auto"/>
                <w:szCs w:val="22"/>
                <w:highlight w:val="none"/>
              </w:rPr>
            </w:pPr>
            <w:r>
              <w:rPr>
                <w:rFonts w:hint="eastAsia" w:ascii="宋体" w:hAnsi="宋体" w:cs="宋体"/>
                <w:color w:val="auto"/>
                <w:szCs w:val="22"/>
                <w:highlight w:val="none"/>
              </w:rPr>
              <w:t>有异议的意见和说明理由：</w:t>
            </w:r>
          </w:p>
          <w:p>
            <w:pPr>
              <w:jc w:val="left"/>
              <w:rPr>
                <w:rFonts w:ascii="宋体" w:hAnsi="宋体" w:cs="宋体"/>
                <w:color w:val="auto"/>
                <w:szCs w:val="22"/>
                <w:highlight w:val="none"/>
              </w:rPr>
            </w:pPr>
          </w:p>
          <w:p>
            <w:pPr>
              <w:jc w:val="left"/>
              <w:rPr>
                <w:rFonts w:ascii="宋体" w:hAnsi="宋体" w:cs="宋体"/>
                <w:color w:val="auto"/>
                <w:szCs w:val="22"/>
                <w:highlight w:val="none"/>
              </w:rPr>
            </w:pPr>
          </w:p>
          <w:p>
            <w:pPr>
              <w:jc w:val="left"/>
              <w:rPr>
                <w:rFonts w:ascii="宋体" w:hAnsi="宋体" w:cs="宋体"/>
                <w:color w:val="auto"/>
                <w:szCs w:val="22"/>
                <w:highlight w:val="none"/>
              </w:rPr>
            </w:pPr>
          </w:p>
          <w:p>
            <w:pPr>
              <w:wordWrap w:val="0"/>
              <w:jc w:val="right"/>
              <w:rPr>
                <w:rFonts w:ascii="宋体" w:hAnsi="宋体" w:cs="宋体"/>
                <w:color w:val="auto"/>
                <w:szCs w:val="22"/>
                <w:highlight w:val="none"/>
              </w:rPr>
            </w:pPr>
            <w:r>
              <w:rPr>
                <w:rFonts w:hint="eastAsia" w:ascii="宋体" w:hAnsi="宋体" w:cs="宋体"/>
                <w:color w:val="auto"/>
                <w:szCs w:val="22"/>
                <w:highlight w:val="none"/>
              </w:rPr>
              <w:t xml:space="preserve">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34" w:type="dxa"/>
            <w:gridSpan w:val="12"/>
            <w:vAlign w:val="center"/>
          </w:tcPr>
          <w:p>
            <w:pPr>
              <w:jc w:val="left"/>
              <w:rPr>
                <w:rFonts w:ascii="宋体" w:hAnsi="宋体" w:cs="宋体"/>
                <w:color w:val="auto"/>
                <w:szCs w:val="22"/>
                <w:highlight w:val="none"/>
              </w:rPr>
            </w:pPr>
          </w:p>
          <w:p>
            <w:pPr>
              <w:jc w:val="left"/>
              <w:rPr>
                <w:rFonts w:ascii="宋体" w:hAnsi="宋体" w:cs="宋体"/>
                <w:color w:val="auto"/>
                <w:szCs w:val="22"/>
                <w:highlight w:val="none"/>
              </w:rPr>
            </w:pPr>
            <w:r>
              <w:rPr>
                <w:rFonts w:hint="eastAsia" w:ascii="宋体" w:hAnsi="宋体" w:cs="宋体"/>
                <w:color w:val="auto"/>
                <w:szCs w:val="22"/>
                <w:highlight w:val="none"/>
              </w:rPr>
              <w:t>验收小组成员签字：</w:t>
            </w:r>
          </w:p>
          <w:p>
            <w:pPr>
              <w:jc w:val="left"/>
              <w:rPr>
                <w:rFonts w:ascii="宋体" w:hAnsi="宋体" w:cs="宋体"/>
                <w:color w:val="auto"/>
                <w:szCs w:val="22"/>
                <w:highlight w:val="none"/>
              </w:rPr>
            </w:pPr>
          </w:p>
          <w:p>
            <w:pPr>
              <w:jc w:val="left"/>
              <w:rPr>
                <w:rFonts w:ascii="宋体" w:hAnsi="宋体" w:cs="宋体"/>
                <w:color w:val="auto"/>
                <w:szCs w:val="22"/>
                <w:highlight w:val="none"/>
              </w:rPr>
            </w:pPr>
          </w:p>
          <w:p>
            <w:pPr>
              <w:jc w:val="left"/>
              <w:rPr>
                <w:rFonts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trPr>
        <w:tc>
          <w:tcPr>
            <w:tcW w:w="4574" w:type="dxa"/>
            <w:gridSpan w:val="7"/>
          </w:tcPr>
          <w:p>
            <w:pPr>
              <w:rPr>
                <w:rFonts w:ascii="宋体" w:hAnsi="宋体" w:cs="宋体"/>
                <w:color w:val="auto"/>
                <w:szCs w:val="22"/>
                <w:highlight w:val="none"/>
              </w:rPr>
            </w:pPr>
          </w:p>
          <w:p>
            <w:pPr>
              <w:rPr>
                <w:rFonts w:ascii="宋体" w:hAnsi="宋体" w:cs="宋体"/>
                <w:color w:val="auto"/>
                <w:szCs w:val="22"/>
                <w:highlight w:val="none"/>
              </w:rPr>
            </w:pPr>
            <w:r>
              <w:rPr>
                <w:rFonts w:hint="eastAsia" w:ascii="宋体" w:hAnsi="宋体" w:cs="宋体"/>
                <w:color w:val="auto"/>
                <w:szCs w:val="22"/>
                <w:highlight w:val="none"/>
              </w:rPr>
              <w:t>采购人意见：</w:t>
            </w:r>
          </w:p>
          <w:p>
            <w:pPr>
              <w:rPr>
                <w:rFonts w:ascii="宋体" w:hAnsi="宋体" w:cs="宋体"/>
                <w:color w:val="auto"/>
                <w:szCs w:val="22"/>
                <w:highlight w:val="none"/>
              </w:rPr>
            </w:pPr>
          </w:p>
          <w:p>
            <w:pPr>
              <w:rPr>
                <w:rFonts w:ascii="宋体" w:hAnsi="宋体" w:cs="宋体"/>
                <w:color w:val="auto"/>
                <w:szCs w:val="22"/>
                <w:highlight w:val="none"/>
              </w:rPr>
            </w:pPr>
          </w:p>
          <w:p>
            <w:pPr>
              <w:rPr>
                <w:rFonts w:ascii="宋体" w:hAnsi="宋体" w:cs="宋体"/>
                <w:color w:val="auto"/>
                <w:szCs w:val="22"/>
                <w:highlight w:val="none"/>
              </w:rPr>
            </w:pPr>
          </w:p>
          <w:p>
            <w:pPr>
              <w:rPr>
                <w:rFonts w:ascii="宋体" w:hAnsi="宋体" w:cs="宋体"/>
                <w:color w:val="auto"/>
                <w:szCs w:val="22"/>
                <w:highlight w:val="none"/>
              </w:rPr>
            </w:pPr>
            <w:r>
              <w:rPr>
                <w:rFonts w:hint="eastAsia" w:ascii="宋体" w:hAnsi="宋体" w:cs="宋体"/>
                <w:color w:val="auto"/>
                <w:szCs w:val="22"/>
                <w:highlight w:val="none"/>
              </w:rPr>
              <w:t>经办人：     负责人：       （盖章）</w:t>
            </w:r>
          </w:p>
          <w:p>
            <w:pPr>
              <w:rPr>
                <w:rFonts w:ascii="宋体" w:hAnsi="宋体" w:cs="宋体"/>
                <w:color w:val="auto"/>
                <w:szCs w:val="22"/>
                <w:highlight w:val="none"/>
              </w:rPr>
            </w:pPr>
          </w:p>
          <w:p>
            <w:pPr>
              <w:rPr>
                <w:rFonts w:ascii="宋体" w:hAnsi="宋体" w:cs="宋体"/>
                <w:color w:val="auto"/>
                <w:szCs w:val="22"/>
                <w:highlight w:val="none"/>
              </w:rPr>
            </w:pPr>
            <w:r>
              <w:rPr>
                <w:rFonts w:hint="eastAsia" w:ascii="宋体" w:hAnsi="宋体" w:cs="宋体"/>
                <w:color w:val="auto"/>
                <w:szCs w:val="22"/>
                <w:highlight w:val="none"/>
              </w:rPr>
              <w:t xml:space="preserve">                         年  月  日</w:t>
            </w:r>
          </w:p>
          <w:p>
            <w:pPr>
              <w:rPr>
                <w:rFonts w:ascii="宋体" w:hAnsi="宋体" w:cs="宋体"/>
                <w:color w:val="auto"/>
                <w:szCs w:val="22"/>
                <w:highlight w:val="none"/>
              </w:rPr>
            </w:pPr>
          </w:p>
        </w:tc>
        <w:tc>
          <w:tcPr>
            <w:tcW w:w="5160" w:type="dxa"/>
            <w:gridSpan w:val="5"/>
          </w:tcPr>
          <w:p>
            <w:pPr>
              <w:rPr>
                <w:rFonts w:ascii="宋体" w:hAnsi="宋体" w:cs="宋体"/>
                <w:color w:val="auto"/>
                <w:szCs w:val="22"/>
                <w:highlight w:val="none"/>
              </w:rPr>
            </w:pPr>
          </w:p>
          <w:p>
            <w:pPr>
              <w:rPr>
                <w:rFonts w:ascii="宋体" w:hAnsi="宋体" w:cs="宋体"/>
                <w:color w:val="auto"/>
                <w:szCs w:val="22"/>
                <w:highlight w:val="none"/>
              </w:rPr>
            </w:pPr>
            <w:r>
              <w:rPr>
                <w:rFonts w:hint="eastAsia" w:ascii="宋体" w:hAnsi="宋体" w:cs="宋体"/>
                <w:color w:val="auto"/>
                <w:szCs w:val="22"/>
                <w:highlight w:val="none"/>
              </w:rPr>
              <w:t>供应商确认：</w:t>
            </w:r>
          </w:p>
          <w:p>
            <w:pPr>
              <w:rPr>
                <w:rFonts w:ascii="宋体" w:hAnsi="宋体" w:cs="宋体"/>
                <w:color w:val="auto"/>
                <w:szCs w:val="22"/>
                <w:highlight w:val="none"/>
              </w:rPr>
            </w:pPr>
          </w:p>
          <w:p>
            <w:pPr>
              <w:rPr>
                <w:rFonts w:ascii="宋体" w:hAnsi="宋体" w:cs="宋体"/>
                <w:color w:val="auto"/>
                <w:szCs w:val="22"/>
                <w:highlight w:val="none"/>
              </w:rPr>
            </w:pPr>
          </w:p>
          <w:p>
            <w:pPr>
              <w:rPr>
                <w:rFonts w:ascii="宋体" w:hAnsi="宋体" w:cs="宋体"/>
                <w:color w:val="auto"/>
                <w:szCs w:val="22"/>
                <w:highlight w:val="none"/>
              </w:rPr>
            </w:pPr>
          </w:p>
          <w:p>
            <w:pPr>
              <w:rPr>
                <w:rFonts w:ascii="宋体" w:hAnsi="宋体" w:cs="宋体"/>
                <w:color w:val="auto"/>
                <w:szCs w:val="22"/>
                <w:highlight w:val="none"/>
              </w:rPr>
            </w:pPr>
            <w:r>
              <w:rPr>
                <w:rFonts w:hint="eastAsia" w:ascii="宋体" w:hAnsi="宋体" w:cs="宋体"/>
                <w:color w:val="auto"/>
                <w:szCs w:val="22"/>
                <w:highlight w:val="none"/>
              </w:rPr>
              <w:t>供应商盖章或授权代表签字：</w:t>
            </w:r>
          </w:p>
          <w:p>
            <w:pPr>
              <w:rPr>
                <w:rFonts w:ascii="宋体" w:hAnsi="宋体" w:cs="宋体"/>
                <w:color w:val="auto"/>
                <w:szCs w:val="22"/>
                <w:highlight w:val="none"/>
              </w:rPr>
            </w:pPr>
          </w:p>
          <w:p>
            <w:pPr>
              <w:ind w:firstLine="440"/>
              <w:rPr>
                <w:rFonts w:ascii="宋体" w:hAnsi="宋体" w:cs="宋体"/>
                <w:color w:val="auto"/>
                <w:szCs w:val="22"/>
                <w:highlight w:val="none"/>
              </w:rPr>
            </w:pPr>
            <w:r>
              <w:rPr>
                <w:rFonts w:hint="eastAsia" w:ascii="宋体" w:hAnsi="宋体" w:cs="宋体"/>
                <w:color w:val="auto"/>
                <w:szCs w:val="22"/>
                <w:highlight w:val="none"/>
              </w:rPr>
              <w:t>联系电话：</w:t>
            </w:r>
          </w:p>
          <w:p>
            <w:pPr>
              <w:ind w:firstLine="440"/>
              <w:rPr>
                <w:rFonts w:ascii="宋体" w:hAnsi="宋体" w:cs="宋体"/>
                <w:color w:val="auto"/>
                <w:szCs w:val="22"/>
                <w:highlight w:val="none"/>
              </w:rPr>
            </w:pPr>
            <w:r>
              <w:rPr>
                <w:rFonts w:hint="eastAsia" w:ascii="宋体" w:hAnsi="宋体" w:cs="宋体"/>
                <w:color w:val="auto"/>
                <w:szCs w:val="22"/>
                <w:highlight w:val="none"/>
              </w:rPr>
              <w:t xml:space="preserve">                    年  月  日              </w:t>
            </w:r>
          </w:p>
        </w:tc>
      </w:tr>
    </w:tbl>
    <w:p>
      <w:pPr>
        <w:spacing w:line="460" w:lineRule="exact"/>
        <w:rPr>
          <w:rFonts w:ascii="宋体" w:hAnsi="宋体" w:cs="宋体"/>
          <w:color w:val="auto"/>
          <w:highlight w:val="none"/>
        </w:rPr>
      </w:pPr>
      <w:r>
        <w:rPr>
          <w:rFonts w:hint="eastAsia" w:ascii="宋体" w:hAnsi="宋体" w:cs="宋体"/>
          <w:color w:val="auto"/>
          <w:szCs w:val="22"/>
          <w:highlight w:val="none"/>
        </w:rPr>
        <w:t>注：</w:t>
      </w:r>
      <w:r>
        <w:rPr>
          <w:rFonts w:hint="eastAsia" w:ascii="宋体" w:hAnsi="宋体" w:cs="宋体"/>
          <w:color w:val="auto"/>
          <w:highlight w:val="none"/>
        </w:rPr>
        <w:t>1、验收标准根据《温州市政府采购履约验收</w:t>
      </w:r>
      <w:r>
        <w:rPr>
          <w:rFonts w:hint="eastAsia" w:ascii="宋体" w:hAnsi="宋体" w:cs="宋体"/>
          <w:bCs/>
          <w:color w:val="auto"/>
          <w:highlight w:val="none"/>
        </w:rPr>
        <w:t>办法》执行。</w:t>
      </w:r>
    </w:p>
    <w:p>
      <w:pPr>
        <w:spacing w:line="460" w:lineRule="exact"/>
        <w:ind w:firstLine="420"/>
        <w:rPr>
          <w:rFonts w:ascii="宋体" w:hAnsi="宋体" w:cs="宋体"/>
          <w:color w:val="auto"/>
          <w:szCs w:val="22"/>
          <w:highlight w:val="none"/>
        </w:rPr>
      </w:pPr>
      <w:r>
        <w:rPr>
          <w:rFonts w:hint="eastAsia" w:ascii="宋体" w:hAnsi="宋体" w:cs="宋体"/>
          <w:color w:val="auto"/>
          <w:highlight w:val="none"/>
        </w:rPr>
        <w:t>2</w:t>
      </w:r>
      <w:r>
        <w:rPr>
          <w:rFonts w:hint="eastAsia" w:ascii="宋体" w:hAnsi="宋体" w:cs="宋体"/>
          <w:color w:val="auto"/>
          <w:szCs w:val="22"/>
          <w:highlight w:val="none"/>
        </w:rPr>
        <w:t>、采购人按照合同规定的技术、服务、安全标准，组织对供应商履约情况进行验收，并出具验收书。验收</w:t>
      </w:r>
      <w:r>
        <w:rPr>
          <w:rFonts w:hint="eastAsia" w:ascii="宋体" w:hAnsi="宋体" w:cs="宋体"/>
          <w:color w:val="auto"/>
          <w:highlight w:val="none"/>
        </w:rPr>
        <w:t>报告</w:t>
      </w:r>
      <w:r>
        <w:rPr>
          <w:rFonts w:hint="eastAsia" w:ascii="宋体" w:hAnsi="宋体" w:cs="宋体"/>
          <w:color w:val="auto"/>
          <w:szCs w:val="22"/>
          <w:highlight w:val="none"/>
        </w:rPr>
        <w:t>应当包括每一项技术、服务、安全标准履约情况。</w:t>
      </w:r>
    </w:p>
    <w:p>
      <w:pPr>
        <w:tabs>
          <w:tab w:val="left" w:pos="360"/>
        </w:tabs>
        <w:spacing w:line="460" w:lineRule="exact"/>
        <w:ind w:firstLine="420" w:firstLineChars="200"/>
        <w:rPr>
          <w:rFonts w:ascii="宋体" w:hAnsi="宋体" w:cs="宋体"/>
          <w:color w:val="auto"/>
          <w:szCs w:val="22"/>
          <w:highlight w:val="none"/>
        </w:rPr>
      </w:pPr>
      <w:r>
        <w:rPr>
          <w:rFonts w:hint="eastAsia" w:ascii="宋体" w:hAnsi="宋体" w:cs="宋体"/>
          <w:color w:val="auto"/>
          <w:highlight w:val="none"/>
        </w:rPr>
        <w:t>3</w:t>
      </w:r>
      <w:r>
        <w:rPr>
          <w:rFonts w:hint="eastAsia" w:ascii="宋体" w:hAnsi="宋体" w:cs="宋体"/>
          <w:color w:val="auto"/>
          <w:szCs w:val="22"/>
          <w:highlight w:val="none"/>
        </w:rPr>
        <w:t>、向社会公众提供的公共服务项目，验收时应当邀请服务对象参与并出具意见，验收结果应当向社会公告。</w:t>
      </w:r>
    </w:p>
    <w:p>
      <w:pPr>
        <w:pStyle w:val="4"/>
        <w:rPr>
          <w:rFonts w:ascii="宋体" w:hAnsi="宋体" w:eastAsia="宋体" w:cs="Arial"/>
          <w:color w:val="auto"/>
          <w:sz w:val="36"/>
          <w:szCs w:val="36"/>
          <w:highlight w:val="none"/>
        </w:rPr>
      </w:pPr>
      <w:r>
        <w:rPr>
          <w:rFonts w:hint="eastAsia" w:ascii="宋体" w:hAnsi="宋体" w:eastAsia="宋体"/>
          <w:color w:val="auto"/>
          <w:sz w:val="22"/>
          <w:szCs w:val="22"/>
          <w:highlight w:val="none"/>
        </w:rPr>
        <w:br w:type="page"/>
      </w:r>
      <w:bookmarkStart w:id="171" w:name="_Toc15938932"/>
      <w:r>
        <w:rPr>
          <w:rFonts w:hint="eastAsia" w:ascii="宋体" w:hAnsi="宋体" w:eastAsia="宋体" w:cs="Arial"/>
          <w:color w:val="auto"/>
          <w:sz w:val="36"/>
          <w:szCs w:val="36"/>
          <w:highlight w:val="none"/>
        </w:rPr>
        <w:t>第三部分   附件</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spacing w:line="460" w:lineRule="exact"/>
        <w:rPr>
          <w:rFonts w:ascii="宋体" w:hAnsi="宋体"/>
          <w:b/>
          <w:bCs/>
          <w:color w:val="auto"/>
          <w:sz w:val="22"/>
          <w:szCs w:val="22"/>
          <w:highlight w:val="none"/>
        </w:rPr>
      </w:pPr>
    </w:p>
    <w:p>
      <w:pPr>
        <w:spacing w:line="460" w:lineRule="exact"/>
        <w:rPr>
          <w:rFonts w:ascii="宋体" w:hAnsi="宋体"/>
          <w:b/>
          <w:bCs/>
          <w:color w:val="auto"/>
          <w:sz w:val="22"/>
          <w:szCs w:val="22"/>
          <w:highlight w:val="none"/>
        </w:rPr>
      </w:pPr>
      <w:r>
        <w:rPr>
          <w:rFonts w:hint="eastAsia" w:ascii="宋体" w:hAnsi="宋体"/>
          <w:b/>
          <w:bCs/>
          <w:color w:val="auto"/>
          <w:sz w:val="22"/>
          <w:szCs w:val="22"/>
          <w:highlight w:val="none"/>
        </w:rPr>
        <w:t>附件一</w:t>
      </w:r>
    </w:p>
    <w:p>
      <w:pPr>
        <w:spacing w:line="460" w:lineRule="exact"/>
        <w:jc w:val="center"/>
        <w:rPr>
          <w:rFonts w:ascii="宋体" w:hAnsi="宋体" w:cs="仿宋"/>
          <w:b/>
          <w:bCs/>
          <w:color w:val="auto"/>
          <w:sz w:val="28"/>
          <w:szCs w:val="28"/>
          <w:highlight w:val="none"/>
        </w:rPr>
      </w:pPr>
      <w:r>
        <w:rPr>
          <w:rFonts w:hint="eastAsia" w:ascii="宋体" w:hAnsi="宋体" w:cs="仿宋"/>
          <w:b/>
          <w:bCs/>
          <w:color w:val="auto"/>
          <w:sz w:val="28"/>
          <w:szCs w:val="28"/>
          <w:highlight w:val="none"/>
        </w:rPr>
        <w:t>资格审查料</w:t>
      </w:r>
    </w:p>
    <w:p>
      <w:pPr>
        <w:spacing w:line="460" w:lineRule="exact"/>
        <w:jc w:val="center"/>
        <w:rPr>
          <w:rFonts w:ascii="宋体" w:hAnsi="宋体" w:cs="仿宋"/>
          <w:color w:val="auto"/>
          <w:sz w:val="28"/>
          <w:szCs w:val="28"/>
          <w:highlight w:val="none"/>
        </w:rPr>
      </w:pPr>
    </w:p>
    <w:p>
      <w:pPr>
        <w:spacing w:line="380" w:lineRule="exact"/>
        <w:jc w:val="center"/>
        <w:rPr>
          <w:rFonts w:ascii="宋体" w:hAnsi="宋体" w:cs="仿宋"/>
          <w:b/>
          <w:color w:val="auto"/>
          <w:sz w:val="22"/>
          <w:szCs w:val="22"/>
          <w:highlight w:val="none"/>
        </w:rPr>
      </w:pPr>
      <w:r>
        <w:rPr>
          <w:rFonts w:hint="eastAsia" w:ascii="宋体" w:hAnsi="宋体" w:cs="仿宋"/>
          <w:b/>
          <w:color w:val="auto"/>
          <w:sz w:val="22"/>
          <w:szCs w:val="22"/>
          <w:highlight w:val="none"/>
        </w:rPr>
        <w:t>（1-1）法定代表人声明书</w:t>
      </w:r>
    </w:p>
    <w:p>
      <w:pPr>
        <w:spacing w:line="400" w:lineRule="exact"/>
        <w:rPr>
          <w:rFonts w:ascii="宋体" w:hAnsi="宋体"/>
          <w:color w:val="auto"/>
          <w:highlight w:val="none"/>
        </w:rPr>
      </w:pPr>
    </w:p>
    <w:p>
      <w:pPr>
        <w:spacing w:line="420" w:lineRule="exact"/>
        <w:rPr>
          <w:rFonts w:ascii="宋体" w:hAnsi="宋体"/>
          <w:color w:val="auto"/>
          <w:sz w:val="22"/>
          <w:szCs w:val="22"/>
          <w:highlight w:val="none"/>
        </w:rPr>
      </w:pPr>
      <w:r>
        <w:rPr>
          <w:rFonts w:hint="eastAsia" w:ascii="宋体" w:hAnsi="宋体"/>
          <w:bCs/>
          <w:color w:val="auto"/>
          <w:sz w:val="22"/>
          <w:szCs w:val="22"/>
          <w:highlight w:val="none"/>
          <w:lang w:eastAsia="zh-CN"/>
        </w:rPr>
        <w:t>温州市公安局瓯海区分局</w:t>
      </w:r>
      <w:r>
        <w:rPr>
          <w:rFonts w:hint="eastAsia" w:ascii="宋体" w:hAnsi="宋体"/>
          <w:color w:val="auto"/>
          <w:sz w:val="22"/>
          <w:szCs w:val="22"/>
          <w:highlight w:val="none"/>
        </w:rPr>
        <w:t>：</w:t>
      </w:r>
    </w:p>
    <w:p>
      <w:pPr>
        <w:spacing w:line="420" w:lineRule="exact"/>
        <w:rPr>
          <w:rFonts w:ascii="宋体" w:hAnsi="宋体"/>
          <w:color w:val="auto"/>
          <w:sz w:val="22"/>
          <w:szCs w:val="22"/>
          <w:highlight w:val="none"/>
        </w:rPr>
      </w:pPr>
      <w:r>
        <w:rPr>
          <w:rFonts w:hint="eastAsia" w:ascii="宋体" w:hAnsi="宋体"/>
          <w:color w:val="auto"/>
          <w:sz w:val="22"/>
          <w:szCs w:val="22"/>
          <w:highlight w:val="none"/>
        </w:rPr>
        <w:t>温州元信工程项目管理有限公司：</w:t>
      </w:r>
    </w:p>
    <w:p>
      <w:pPr>
        <w:spacing w:line="460" w:lineRule="exact"/>
        <w:rPr>
          <w:rFonts w:ascii="宋体" w:hAnsi="宋体"/>
          <w:color w:val="auto"/>
          <w:sz w:val="22"/>
          <w:szCs w:val="22"/>
          <w:highlight w:val="none"/>
          <w:u w:val="single"/>
        </w:rPr>
      </w:pPr>
    </w:p>
    <w:p>
      <w:pPr>
        <w:spacing w:line="460" w:lineRule="exact"/>
        <w:ind w:firstLine="220" w:firstLineChars="100"/>
        <w:rPr>
          <w:rFonts w:ascii="宋体" w:hAnsi="宋体"/>
          <w:color w:val="auto"/>
          <w:sz w:val="22"/>
          <w:szCs w:val="22"/>
          <w:highlight w:val="none"/>
        </w:rPr>
      </w:pPr>
      <w:r>
        <w:rPr>
          <w:rFonts w:hint="eastAsia" w:ascii="宋体" w:hAnsi="宋体"/>
          <w:color w:val="auto"/>
          <w:sz w:val="22"/>
          <w:szCs w:val="22"/>
          <w:highlight w:val="none"/>
        </w:rPr>
        <w:t>本人</w:t>
      </w:r>
      <w:r>
        <w:rPr>
          <w:rFonts w:hint="eastAsia" w:ascii="宋体" w:hAnsi="宋体"/>
          <w:color w:val="auto"/>
          <w:sz w:val="22"/>
          <w:szCs w:val="22"/>
          <w:highlight w:val="none"/>
          <w:u w:val="single"/>
        </w:rPr>
        <w:t>（法定代表人姓名）</w:t>
      </w:r>
      <w:r>
        <w:rPr>
          <w:rFonts w:hint="eastAsia" w:ascii="宋体" w:hAnsi="宋体"/>
          <w:color w:val="auto"/>
          <w:sz w:val="22"/>
          <w:szCs w:val="22"/>
          <w:highlight w:val="none"/>
        </w:rPr>
        <w:t>为</w:t>
      </w:r>
      <w:r>
        <w:rPr>
          <w:rFonts w:hint="eastAsia" w:ascii="宋体" w:hAnsi="宋体"/>
          <w:color w:val="auto"/>
          <w:sz w:val="22"/>
          <w:szCs w:val="22"/>
          <w:highlight w:val="none"/>
          <w:u w:val="single"/>
        </w:rPr>
        <w:t>（投标人全称）</w:t>
      </w:r>
      <w:r>
        <w:rPr>
          <w:rFonts w:hint="eastAsia" w:ascii="宋体" w:hAnsi="宋体"/>
          <w:color w:val="auto"/>
          <w:sz w:val="22"/>
          <w:szCs w:val="22"/>
          <w:highlight w:val="none"/>
        </w:rPr>
        <w:t>的法定代表人。我公司参加贵处组织的</w:t>
      </w:r>
      <w:r>
        <w:rPr>
          <w:rFonts w:hint="eastAsia" w:ascii="宋体" w:hAnsi="宋体"/>
          <w:color w:val="auto"/>
          <w:sz w:val="22"/>
          <w:szCs w:val="22"/>
          <w:highlight w:val="none"/>
          <w:u w:val="single"/>
        </w:rPr>
        <w:t>（招标项目名称、招标编号）</w:t>
      </w:r>
      <w:r>
        <w:rPr>
          <w:rFonts w:hint="eastAsia" w:ascii="宋体" w:hAnsi="宋体"/>
          <w:color w:val="auto"/>
          <w:sz w:val="22"/>
          <w:szCs w:val="22"/>
          <w:highlight w:val="none"/>
        </w:rPr>
        <w:t>的招标活动，由我本人全权代表我方处理招标活动中的一切事宜。联系方式如下：</w:t>
      </w:r>
      <w:r>
        <w:rPr>
          <w:rFonts w:hint="eastAsia" w:ascii="宋体" w:hAnsi="宋体"/>
          <w:color w:val="auto"/>
          <w:sz w:val="22"/>
          <w:szCs w:val="22"/>
          <w:highlight w:val="none"/>
          <w:u w:val="single"/>
        </w:rPr>
        <w:t xml:space="preserve">手机号码：       联系邮箱:         详细通讯地址：             </w:t>
      </w:r>
      <w:r>
        <w:rPr>
          <w:rFonts w:hint="eastAsia" w:ascii="宋体" w:hAnsi="宋体"/>
          <w:color w:val="auto"/>
          <w:sz w:val="22"/>
          <w:szCs w:val="22"/>
          <w:highlight w:val="none"/>
        </w:rPr>
        <w:t xml:space="preserve"> 。  </w:t>
      </w:r>
    </w:p>
    <w:p>
      <w:pPr>
        <w:spacing w:line="400" w:lineRule="exact"/>
        <w:rPr>
          <w:rFonts w:ascii="宋体" w:hAnsi="宋体"/>
          <w:color w:val="auto"/>
          <w:highlight w:val="none"/>
        </w:rPr>
      </w:pPr>
    </w:p>
    <w:p>
      <w:pPr>
        <w:spacing w:line="400" w:lineRule="exact"/>
        <w:rPr>
          <w:rFonts w:ascii="宋体" w:hAnsi="宋体"/>
          <w:color w:val="auto"/>
          <w:highlight w:val="none"/>
        </w:rPr>
      </w:pPr>
    </w:p>
    <w:p>
      <w:pPr>
        <w:spacing w:line="400" w:lineRule="exact"/>
        <w:rPr>
          <w:rFonts w:ascii="宋体" w:hAnsi="宋体"/>
          <w:color w:val="auto"/>
          <w:highlight w:val="none"/>
        </w:rPr>
      </w:pPr>
    </w:p>
    <w:p>
      <w:pPr>
        <w:spacing w:line="460" w:lineRule="exact"/>
        <w:ind w:firstLine="3971" w:firstLineChars="1805"/>
        <w:rPr>
          <w:rFonts w:ascii="宋体" w:hAnsi="宋体"/>
          <w:color w:val="auto"/>
          <w:sz w:val="22"/>
          <w:szCs w:val="22"/>
          <w:highlight w:val="none"/>
        </w:rPr>
      </w:pPr>
    </w:p>
    <w:p>
      <w:pPr>
        <w:spacing w:line="460" w:lineRule="exact"/>
        <w:ind w:firstLine="2955"/>
        <w:rPr>
          <w:rFonts w:ascii="宋体" w:hAnsi="宋体"/>
          <w:color w:val="auto"/>
          <w:sz w:val="22"/>
          <w:szCs w:val="22"/>
          <w:highlight w:val="none"/>
        </w:rPr>
      </w:pPr>
      <w:r>
        <w:rPr>
          <w:rFonts w:hint="eastAsia" w:ascii="宋体" w:hAnsi="宋体"/>
          <w:color w:val="auto"/>
          <w:sz w:val="22"/>
          <w:szCs w:val="22"/>
          <w:highlight w:val="none"/>
        </w:rPr>
        <w:t xml:space="preserve">         投标人全称（公章）：</w:t>
      </w:r>
    </w:p>
    <w:p>
      <w:pPr>
        <w:spacing w:line="460" w:lineRule="exact"/>
        <w:ind w:firstLine="2955"/>
        <w:rPr>
          <w:rFonts w:ascii="宋体" w:hAnsi="宋体"/>
          <w:color w:val="auto"/>
          <w:sz w:val="22"/>
          <w:szCs w:val="22"/>
          <w:highlight w:val="none"/>
        </w:rPr>
      </w:pPr>
      <w:r>
        <w:rPr>
          <w:rFonts w:hint="eastAsia" w:ascii="宋体" w:hAnsi="宋体"/>
          <w:color w:val="auto"/>
          <w:sz w:val="22"/>
          <w:szCs w:val="22"/>
          <w:highlight w:val="none"/>
        </w:rPr>
        <w:t xml:space="preserve">         日期：     年    月   日</w:t>
      </w:r>
    </w:p>
    <w:p>
      <w:pPr>
        <w:spacing w:line="460" w:lineRule="exact"/>
        <w:rPr>
          <w:rFonts w:ascii="宋体" w:hAnsi="宋体"/>
          <w:color w:val="auto"/>
          <w:sz w:val="22"/>
          <w:szCs w:val="22"/>
          <w:highlight w:val="none"/>
        </w:rPr>
      </w:pPr>
    </w:p>
    <w:p>
      <w:pPr>
        <w:widowControl/>
        <w:jc w:val="left"/>
        <w:rPr>
          <w:rFonts w:ascii="Arial" w:hAnsi="Arial" w:cs="Arial"/>
          <w:color w:val="auto"/>
          <w:szCs w:val="21"/>
          <w:highlight w:val="none"/>
        </w:rPr>
      </w:pPr>
    </w:p>
    <w:p>
      <w:pPr>
        <w:widowControl/>
        <w:jc w:val="left"/>
        <w:rPr>
          <w:rFonts w:ascii="Arial" w:hAnsi="Arial" w:cs="Arial"/>
          <w:color w:val="auto"/>
          <w:szCs w:val="21"/>
          <w:highlight w:val="none"/>
        </w:rPr>
      </w:pPr>
    </w:p>
    <w:p>
      <w:pPr>
        <w:widowControl/>
        <w:jc w:val="left"/>
        <w:rPr>
          <w:rFonts w:ascii="Arial" w:hAnsi="Arial" w:cs="Arial"/>
          <w:color w:val="auto"/>
          <w:szCs w:val="21"/>
          <w:highlight w:val="none"/>
        </w:rPr>
      </w:pPr>
      <w:r>
        <w:rPr>
          <w:rFonts w:hint="eastAsia" w:ascii="宋体" w:hAnsi="宋体"/>
          <w:b/>
          <w:color w:val="auto"/>
          <w:sz w:val="22"/>
          <w:szCs w:val="22"/>
          <w:highlight w:val="none"/>
        </w:rPr>
        <w:t>附：法定代表人</w:t>
      </w:r>
      <w:r>
        <w:rPr>
          <w:rFonts w:ascii="宋体" w:hAnsi="宋体"/>
          <w:b/>
          <w:color w:val="auto"/>
          <w:sz w:val="22"/>
          <w:szCs w:val="22"/>
          <w:highlight w:val="none"/>
        </w:rPr>
        <w:t>身</w:t>
      </w:r>
      <w:r>
        <w:rPr>
          <w:rFonts w:ascii="宋体" w:hAnsi="宋体" w:cs="Courier New"/>
          <w:b/>
          <w:color w:val="auto"/>
          <w:sz w:val="22"/>
          <w:szCs w:val="22"/>
          <w:highlight w:val="none"/>
        </w:rPr>
        <w:t>份证正反面复印件</w:t>
      </w:r>
      <w:r>
        <w:rPr>
          <w:rFonts w:ascii="Arial" w:hAnsi="Arial" w:cs="Arial"/>
          <w:color w:val="auto"/>
          <w:szCs w:val="21"/>
          <w:highlight w:val="none"/>
        </w:rPr>
        <w:br w:type="page"/>
      </w:r>
    </w:p>
    <w:p>
      <w:pPr>
        <w:spacing w:line="360" w:lineRule="exact"/>
        <w:rPr>
          <w:rFonts w:ascii="Arial" w:hAnsi="Arial" w:cs="Arial"/>
          <w:color w:val="auto"/>
          <w:szCs w:val="21"/>
          <w:highlight w:val="none"/>
        </w:rPr>
      </w:pPr>
    </w:p>
    <w:p>
      <w:pPr>
        <w:spacing w:line="380" w:lineRule="exact"/>
        <w:jc w:val="center"/>
        <w:rPr>
          <w:rFonts w:ascii="宋体" w:hAnsi="宋体" w:cs="仿宋"/>
          <w:b/>
          <w:color w:val="auto"/>
          <w:sz w:val="22"/>
          <w:szCs w:val="22"/>
          <w:highlight w:val="none"/>
        </w:rPr>
      </w:pPr>
    </w:p>
    <w:p>
      <w:pPr>
        <w:spacing w:line="380" w:lineRule="exact"/>
        <w:jc w:val="center"/>
        <w:rPr>
          <w:rFonts w:ascii="宋体" w:hAnsi="宋体" w:cs="仿宋"/>
          <w:b/>
          <w:color w:val="auto"/>
          <w:sz w:val="22"/>
          <w:szCs w:val="22"/>
          <w:highlight w:val="none"/>
        </w:rPr>
      </w:pPr>
      <w:r>
        <w:rPr>
          <w:rFonts w:hint="eastAsia" w:ascii="宋体" w:hAnsi="宋体" w:cs="仿宋"/>
          <w:b/>
          <w:color w:val="auto"/>
          <w:sz w:val="22"/>
          <w:szCs w:val="22"/>
          <w:highlight w:val="none"/>
        </w:rPr>
        <w:t>（1-2）法定代表人授权书</w:t>
      </w:r>
    </w:p>
    <w:p>
      <w:pPr>
        <w:spacing w:line="400" w:lineRule="exact"/>
        <w:jc w:val="center"/>
        <w:rPr>
          <w:rFonts w:ascii="宋体" w:hAnsi="宋体"/>
          <w:b/>
          <w:bCs/>
          <w:color w:val="auto"/>
          <w:sz w:val="28"/>
          <w:szCs w:val="28"/>
          <w:highlight w:val="none"/>
        </w:rPr>
      </w:pPr>
    </w:p>
    <w:p>
      <w:pPr>
        <w:spacing w:line="420" w:lineRule="exact"/>
        <w:rPr>
          <w:rFonts w:ascii="宋体" w:hAnsi="宋体"/>
          <w:color w:val="auto"/>
          <w:sz w:val="22"/>
          <w:szCs w:val="22"/>
          <w:highlight w:val="none"/>
        </w:rPr>
      </w:pPr>
      <w:r>
        <w:rPr>
          <w:rFonts w:hint="eastAsia" w:ascii="宋体" w:hAnsi="宋体"/>
          <w:bCs/>
          <w:color w:val="auto"/>
          <w:sz w:val="22"/>
          <w:szCs w:val="22"/>
          <w:highlight w:val="none"/>
          <w:lang w:eastAsia="zh-CN"/>
        </w:rPr>
        <w:t>温州市公安局瓯海区分局</w:t>
      </w:r>
      <w:r>
        <w:rPr>
          <w:rFonts w:hint="eastAsia" w:ascii="宋体" w:hAnsi="宋体"/>
          <w:color w:val="auto"/>
          <w:sz w:val="22"/>
          <w:szCs w:val="22"/>
          <w:highlight w:val="none"/>
        </w:rPr>
        <w:t>：</w:t>
      </w:r>
    </w:p>
    <w:p>
      <w:pPr>
        <w:spacing w:line="420" w:lineRule="exact"/>
        <w:rPr>
          <w:rFonts w:ascii="宋体" w:hAnsi="宋体"/>
          <w:color w:val="auto"/>
          <w:sz w:val="22"/>
          <w:szCs w:val="22"/>
          <w:highlight w:val="none"/>
        </w:rPr>
      </w:pPr>
      <w:r>
        <w:rPr>
          <w:rFonts w:hint="eastAsia" w:ascii="宋体" w:hAnsi="宋体"/>
          <w:color w:val="auto"/>
          <w:sz w:val="22"/>
          <w:szCs w:val="22"/>
          <w:highlight w:val="none"/>
        </w:rPr>
        <w:t>温州元信工程项目管理有限公司：</w:t>
      </w:r>
    </w:p>
    <w:p>
      <w:pPr>
        <w:spacing w:line="460" w:lineRule="exact"/>
        <w:rPr>
          <w:rFonts w:ascii="宋体" w:hAnsi="宋体"/>
          <w:color w:val="auto"/>
          <w:sz w:val="22"/>
          <w:szCs w:val="22"/>
          <w:highlight w:val="none"/>
          <w:u w:val="single"/>
        </w:rPr>
      </w:pPr>
    </w:p>
    <w:p>
      <w:pPr>
        <w:spacing w:line="460" w:lineRule="exact"/>
        <w:ind w:firstLine="220" w:firstLineChars="100"/>
        <w:rPr>
          <w:rFonts w:ascii="宋体" w:hAnsi="宋体"/>
          <w:color w:val="auto"/>
          <w:sz w:val="22"/>
          <w:szCs w:val="22"/>
          <w:highlight w:val="none"/>
        </w:rPr>
      </w:pPr>
      <w:r>
        <w:rPr>
          <w:rFonts w:hint="eastAsia" w:ascii="宋体" w:hAnsi="宋体"/>
          <w:color w:val="auto"/>
          <w:sz w:val="22"/>
          <w:szCs w:val="22"/>
          <w:highlight w:val="none"/>
          <w:u w:val="single"/>
        </w:rPr>
        <w:t>（投标人全称）</w:t>
      </w:r>
      <w:r>
        <w:rPr>
          <w:rFonts w:hint="eastAsia" w:ascii="宋体" w:hAnsi="宋体"/>
          <w:color w:val="auto"/>
          <w:sz w:val="22"/>
          <w:szCs w:val="22"/>
          <w:highlight w:val="none"/>
        </w:rPr>
        <w:t xml:space="preserve">法定代表人 </w:t>
      </w:r>
      <w:r>
        <w:rPr>
          <w:rFonts w:hint="eastAsia" w:ascii="宋体" w:hAnsi="宋体"/>
          <w:color w:val="auto"/>
          <w:sz w:val="22"/>
          <w:szCs w:val="22"/>
          <w:highlight w:val="none"/>
          <w:u w:val="single"/>
        </w:rPr>
        <w:t>（法定代表人姓名）</w:t>
      </w:r>
      <w:r>
        <w:rPr>
          <w:rFonts w:hint="eastAsia" w:ascii="宋体" w:hAnsi="宋体"/>
          <w:color w:val="auto"/>
          <w:sz w:val="22"/>
          <w:szCs w:val="22"/>
          <w:highlight w:val="none"/>
        </w:rPr>
        <w:t xml:space="preserve"> 授权</w:t>
      </w:r>
      <w:r>
        <w:rPr>
          <w:rFonts w:hint="eastAsia" w:ascii="宋体" w:hAnsi="宋体"/>
          <w:color w:val="auto"/>
          <w:sz w:val="22"/>
          <w:szCs w:val="22"/>
          <w:highlight w:val="none"/>
          <w:u w:val="single"/>
        </w:rPr>
        <w:t>（全权代表姓名）</w:t>
      </w:r>
      <w:r>
        <w:rPr>
          <w:rFonts w:hint="eastAsia" w:ascii="宋体" w:hAnsi="宋体"/>
          <w:color w:val="auto"/>
          <w:sz w:val="22"/>
          <w:szCs w:val="22"/>
          <w:highlight w:val="none"/>
        </w:rPr>
        <w:t>为本项目全权代表，参加贵处组织的</w:t>
      </w:r>
      <w:r>
        <w:rPr>
          <w:rFonts w:hint="eastAsia" w:ascii="宋体" w:hAnsi="宋体"/>
          <w:color w:val="auto"/>
          <w:sz w:val="22"/>
          <w:szCs w:val="22"/>
          <w:highlight w:val="none"/>
          <w:u w:val="single"/>
        </w:rPr>
        <w:t>（招标项目名称、招标编号）</w:t>
      </w:r>
      <w:r>
        <w:rPr>
          <w:rFonts w:hint="eastAsia" w:ascii="宋体" w:hAnsi="宋体"/>
          <w:color w:val="auto"/>
          <w:sz w:val="22"/>
          <w:szCs w:val="22"/>
          <w:highlight w:val="none"/>
        </w:rPr>
        <w:t>的招标活动，全权代表我方处理招标活动中的一切事宜。联系方式如下：</w:t>
      </w:r>
      <w:r>
        <w:rPr>
          <w:rFonts w:hint="eastAsia" w:ascii="宋体" w:hAnsi="宋体"/>
          <w:color w:val="auto"/>
          <w:sz w:val="22"/>
          <w:szCs w:val="22"/>
          <w:highlight w:val="none"/>
          <w:u w:val="single"/>
        </w:rPr>
        <w:t xml:space="preserve">手机号码：       联系邮箱:         详细通讯地址：             </w:t>
      </w:r>
      <w:r>
        <w:rPr>
          <w:rFonts w:hint="eastAsia" w:ascii="宋体" w:hAnsi="宋体"/>
          <w:color w:val="auto"/>
          <w:sz w:val="22"/>
          <w:szCs w:val="22"/>
          <w:highlight w:val="none"/>
        </w:rPr>
        <w:t xml:space="preserve"> 。  </w:t>
      </w:r>
    </w:p>
    <w:p>
      <w:pPr>
        <w:spacing w:line="460" w:lineRule="exact"/>
        <w:ind w:firstLine="220" w:firstLineChars="100"/>
        <w:rPr>
          <w:rFonts w:ascii="宋体" w:hAnsi="宋体"/>
          <w:color w:val="auto"/>
          <w:sz w:val="22"/>
          <w:szCs w:val="22"/>
          <w:highlight w:val="none"/>
        </w:rPr>
      </w:pPr>
    </w:p>
    <w:p>
      <w:pPr>
        <w:spacing w:line="460" w:lineRule="exact"/>
        <w:ind w:firstLine="550" w:firstLineChars="250"/>
        <w:rPr>
          <w:rFonts w:ascii="宋体" w:hAnsi="宋体"/>
          <w:color w:val="auto"/>
          <w:sz w:val="22"/>
          <w:szCs w:val="22"/>
          <w:highlight w:val="none"/>
        </w:rPr>
      </w:pPr>
    </w:p>
    <w:p>
      <w:pPr>
        <w:spacing w:line="460" w:lineRule="exact"/>
        <w:ind w:firstLine="2955"/>
        <w:rPr>
          <w:rFonts w:ascii="宋体" w:hAnsi="宋体"/>
          <w:color w:val="auto"/>
          <w:sz w:val="22"/>
          <w:szCs w:val="22"/>
          <w:highlight w:val="none"/>
        </w:rPr>
      </w:pPr>
    </w:p>
    <w:p>
      <w:pPr>
        <w:spacing w:line="460" w:lineRule="exact"/>
        <w:ind w:firstLine="3971" w:firstLineChars="1805"/>
        <w:rPr>
          <w:rFonts w:ascii="宋体" w:hAnsi="宋体"/>
          <w:color w:val="auto"/>
          <w:sz w:val="22"/>
          <w:szCs w:val="22"/>
          <w:highlight w:val="none"/>
        </w:rPr>
      </w:pPr>
      <w:r>
        <w:rPr>
          <w:rFonts w:hint="eastAsia" w:ascii="宋体" w:hAnsi="宋体"/>
          <w:color w:val="auto"/>
          <w:sz w:val="22"/>
          <w:szCs w:val="22"/>
          <w:highlight w:val="none"/>
        </w:rPr>
        <w:t>法定代表人 (签字或盖章)：</w:t>
      </w:r>
    </w:p>
    <w:p>
      <w:pPr>
        <w:spacing w:line="460" w:lineRule="exact"/>
        <w:ind w:firstLine="2955"/>
        <w:rPr>
          <w:rFonts w:ascii="宋体" w:hAnsi="宋体"/>
          <w:color w:val="auto"/>
          <w:sz w:val="22"/>
          <w:szCs w:val="22"/>
          <w:highlight w:val="none"/>
        </w:rPr>
      </w:pPr>
      <w:r>
        <w:rPr>
          <w:rFonts w:hint="eastAsia" w:ascii="宋体" w:hAnsi="宋体"/>
          <w:color w:val="auto"/>
          <w:sz w:val="22"/>
          <w:szCs w:val="22"/>
          <w:highlight w:val="none"/>
        </w:rPr>
        <w:t xml:space="preserve">         投标人全称（公章）：</w:t>
      </w:r>
    </w:p>
    <w:p>
      <w:pPr>
        <w:spacing w:line="460" w:lineRule="exact"/>
        <w:ind w:firstLine="2955"/>
        <w:rPr>
          <w:rFonts w:ascii="宋体" w:hAnsi="宋体"/>
          <w:color w:val="auto"/>
          <w:sz w:val="22"/>
          <w:szCs w:val="22"/>
          <w:highlight w:val="none"/>
        </w:rPr>
      </w:pPr>
      <w:r>
        <w:rPr>
          <w:rFonts w:hint="eastAsia" w:ascii="宋体" w:hAnsi="宋体"/>
          <w:color w:val="auto"/>
          <w:sz w:val="22"/>
          <w:szCs w:val="22"/>
          <w:highlight w:val="none"/>
        </w:rPr>
        <w:t xml:space="preserve">         日期：     年    月   日</w:t>
      </w:r>
    </w:p>
    <w:p>
      <w:pPr>
        <w:spacing w:line="460" w:lineRule="exact"/>
        <w:rPr>
          <w:rFonts w:ascii="宋体" w:hAnsi="宋体"/>
          <w:color w:val="auto"/>
          <w:sz w:val="22"/>
          <w:szCs w:val="22"/>
          <w:highlight w:val="none"/>
        </w:rPr>
      </w:pPr>
    </w:p>
    <w:p>
      <w:pPr>
        <w:spacing w:line="460" w:lineRule="exact"/>
        <w:rPr>
          <w:rFonts w:ascii="宋体" w:hAnsi="宋体"/>
          <w:color w:val="auto"/>
          <w:sz w:val="22"/>
          <w:szCs w:val="22"/>
          <w:highlight w:val="none"/>
        </w:rPr>
      </w:pPr>
    </w:p>
    <w:p>
      <w:pPr>
        <w:spacing w:line="460" w:lineRule="exact"/>
        <w:rPr>
          <w:rFonts w:ascii="宋体" w:hAnsi="宋体"/>
          <w:color w:val="auto"/>
          <w:sz w:val="22"/>
          <w:szCs w:val="22"/>
          <w:highlight w:val="none"/>
        </w:rPr>
      </w:pPr>
      <w:r>
        <w:rPr>
          <w:rFonts w:hint="eastAsia" w:ascii="宋体" w:hAnsi="宋体"/>
          <w:b/>
          <w:color w:val="auto"/>
          <w:sz w:val="22"/>
          <w:szCs w:val="22"/>
          <w:highlight w:val="none"/>
        </w:rPr>
        <w:t>附：法定代表人及授权代表的</w:t>
      </w:r>
      <w:r>
        <w:rPr>
          <w:rFonts w:ascii="宋体" w:hAnsi="宋体" w:cs="Courier New"/>
          <w:b/>
          <w:color w:val="auto"/>
          <w:sz w:val="22"/>
          <w:szCs w:val="22"/>
          <w:highlight w:val="none"/>
        </w:rPr>
        <w:t>身份证</w:t>
      </w:r>
      <w:r>
        <w:rPr>
          <w:rFonts w:hint="eastAsia" w:ascii="宋体" w:hAnsi="宋体"/>
          <w:b/>
          <w:color w:val="auto"/>
          <w:sz w:val="22"/>
          <w:szCs w:val="22"/>
          <w:highlight w:val="none"/>
        </w:rPr>
        <w:t>正反面复印件</w:t>
      </w:r>
    </w:p>
    <w:p>
      <w:pPr>
        <w:widowControl/>
        <w:jc w:val="left"/>
        <w:rPr>
          <w:rFonts w:ascii="宋体" w:hAnsi="宋体"/>
          <w:b/>
          <w:bCs/>
          <w:color w:val="auto"/>
          <w:highlight w:val="none"/>
        </w:rPr>
      </w:pPr>
    </w:p>
    <w:p>
      <w:pPr>
        <w:widowControl/>
        <w:jc w:val="left"/>
        <w:rPr>
          <w:rFonts w:ascii="宋体" w:hAnsi="宋体"/>
          <w:b/>
          <w:bCs/>
          <w:color w:val="auto"/>
          <w:highlight w:val="none"/>
        </w:rPr>
      </w:pPr>
    </w:p>
    <w:p>
      <w:pPr>
        <w:widowControl/>
        <w:jc w:val="left"/>
        <w:rPr>
          <w:rFonts w:ascii="宋体" w:hAnsi="宋体"/>
          <w:b/>
          <w:bCs/>
          <w:color w:val="auto"/>
          <w:highlight w:val="none"/>
        </w:rPr>
      </w:pPr>
    </w:p>
    <w:p>
      <w:pPr>
        <w:widowControl/>
        <w:jc w:val="left"/>
        <w:rPr>
          <w:rFonts w:ascii="宋体" w:hAnsi="宋体"/>
          <w:b/>
          <w:bCs/>
          <w:color w:val="auto"/>
          <w:highlight w:val="none"/>
        </w:rPr>
      </w:pPr>
    </w:p>
    <w:p>
      <w:pPr>
        <w:widowControl/>
        <w:jc w:val="left"/>
        <w:rPr>
          <w:rFonts w:ascii="宋体" w:hAnsi="宋体"/>
          <w:b/>
          <w:bCs/>
          <w:color w:val="auto"/>
          <w:highlight w:val="none"/>
        </w:rPr>
      </w:pPr>
    </w:p>
    <w:p>
      <w:pPr>
        <w:widowControl/>
        <w:jc w:val="left"/>
        <w:rPr>
          <w:rFonts w:ascii="宋体" w:hAnsi="宋体"/>
          <w:b/>
          <w:bCs/>
          <w:color w:val="auto"/>
          <w:highlight w:val="none"/>
        </w:rPr>
      </w:pPr>
    </w:p>
    <w:p>
      <w:pPr>
        <w:widowControl/>
        <w:jc w:val="left"/>
        <w:rPr>
          <w:rFonts w:ascii="宋体" w:hAnsi="宋体"/>
          <w:b/>
          <w:bCs/>
          <w:color w:val="auto"/>
          <w:highlight w:val="none"/>
        </w:rPr>
      </w:pPr>
    </w:p>
    <w:p>
      <w:pPr>
        <w:widowControl/>
        <w:jc w:val="left"/>
        <w:rPr>
          <w:rFonts w:ascii="宋体" w:hAnsi="宋体"/>
          <w:b/>
          <w:bCs/>
          <w:color w:val="auto"/>
          <w:highlight w:val="none"/>
        </w:rPr>
      </w:pPr>
    </w:p>
    <w:p>
      <w:pPr>
        <w:spacing w:line="460" w:lineRule="exact"/>
        <w:rPr>
          <w:rFonts w:ascii="宋体" w:hAnsi="宋体"/>
          <w:color w:val="auto"/>
          <w:sz w:val="22"/>
          <w:szCs w:val="22"/>
          <w:highlight w:val="none"/>
        </w:rPr>
      </w:pPr>
      <w:r>
        <w:rPr>
          <w:rFonts w:hint="eastAsia" w:ascii="宋体" w:hAnsi="宋体"/>
          <w:color w:val="auto"/>
          <w:sz w:val="22"/>
          <w:szCs w:val="22"/>
          <w:highlight w:val="none"/>
        </w:rPr>
        <w:t>说明：</w:t>
      </w:r>
    </w:p>
    <w:p>
      <w:pPr>
        <w:spacing w:line="460" w:lineRule="exact"/>
        <w:rPr>
          <w:rFonts w:ascii="宋体" w:hAnsi="宋体"/>
          <w:color w:val="auto"/>
          <w:sz w:val="22"/>
          <w:szCs w:val="22"/>
          <w:highlight w:val="none"/>
        </w:rPr>
      </w:pPr>
      <w:r>
        <w:rPr>
          <w:rFonts w:hint="eastAsia" w:ascii="宋体" w:hAnsi="宋体" w:cs="Courier New"/>
          <w:b/>
          <w:color w:val="auto"/>
          <w:sz w:val="22"/>
          <w:szCs w:val="22"/>
          <w:highlight w:val="none"/>
        </w:rPr>
        <w:t>1、</w:t>
      </w:r>
      <w:r>
        <w:rPr>
          <w:rFonts w:ascii="宋体" w:hAnsi="宋体" w:cs="Courier New"/>
          <w:b/>
          <w:color w:val="auto"/>
          <w:sz w:val="22"/>
          <w:szCs w:val="22"/>
          <w:highlight w:val="none"/>
        </w:rPr>
        <w:t>若投标人代表为</w:t>
      </w:r>
      <w:r>
        <w:rPr>
          <w:rFonts w:hint="eastAsia" w:ascii="宋体" w:hAnsi="宋体"/>
          <w:b/>
          <w:color w:val="auto"/>
          <w:sz w:val="22"/>
          <w:szCs w:val="22"/>
          <w:highlight w:val="none"/>
        </w:rPr>
        <w:t>法定代表人</w:t>
      </w:r>
      <w:r>
        <w:rPr>
          <w:rFonts w:ascii="宋体" w:hAnsi="宋体" w:cs="Courier New"/>
          <w:b/>
          <w:color w:val="auto"/>
          <w:sz w:val="22"/>
          <w:szCs w:val="22"/>
          <w:highlight w:val="none"/>
        </w:rPr>
        <w:t>，应提供</w:t>
      </w:r>
      <w:r>
        <w:rPr>
          <w:rFonts w:hint="eastAsia" w:ascii="宋体" w:hAnsi="宋体" w:cs="Courier New"/>
          <w:b/>
          <w:color w:val="auto"/>
          <w:sz w:val="22"/>
          <w:szCs w:val="22"/>
          <w:highlight w:val="none"/>
        </w:rPr>
        <w:t>声明</w:t>
      </w:r>
      <w:r>
        <w:rPr>
          <w:rFonts w:ascii="宋体" w:hAnsi="宋体" w:cs="Courier New"/>
          <w:b/>
          <w:color w:val="auto"/>
          <w:sz w:val="22"/>
          <w:szCs w:val="22"/>
          <w:highlight w:val="none"/>
        </w:rPr>
        <w:t>书（1-1）</w:t>
      </w:r>
      <w:r>
        <w:rPr>
          <w:rFonts w:hint="eastAsia" w:ascii="宋体" w:hAnsi="宋体" w:cs="Courier New"/>
          <w:b/>
          <w:color w:val="auto"/>
          <w:sz w:val="22"/>
          <w:szCs w:val="22"/>
          <w:highlight w:val="none"/>
        </w:rPr>
        <w:t>并提</w:t>
      </w:r>
      <w:r>
        <w:rPr>
          <w:rFonts w:ascii="宋体" w:hAnsi="宋体" w:cs="Courier New"/>
          <w:b/>
          <w:color w:val="auto"/>
          <w:sz w:val="22"/>
          <w:szCs w:val="22"/>
          <w:highlight w:val="none"/>
        </w:rPr>
        <w:t>交</w:t>
      </w:r>
      <w:r>
        <w:rPr>
          <w:rFonts w:hint="eastAsia" w:ascii="宋体" w:hAnsi="宋体"/>
          <w:b/>
          <w:color w:val="auto"/>
          <w:sz w:val="22"/>
          <w:szCs w:val="22"/>
          <w:highlight w:val="none"/>
        </w:rPr>
        <w:t>法定代表人</w:t>
      </w:r>
      <w:r>
        <w:rPr>
          <w:rFonts w:ascii="宋体" w:hAnsi="宋体" w:cs="Courier New"/>
          <w:b/>
          <w:color w:val="auto"/>
          <w:sz w:val="22"/>
          <w:szCs w:val="22"/>
          <w:highlight w:val="none"/>
        </w:rPr>
        <w:t>身份证正反面复印件</w:t>
      </w:r>
      <w:r>
        <w:rPr>
          <w:rFonts w:hint="eastAsia" w:ascii="宋体" w:hAnsi="宋体"/>
          <w:b/>
          <w:color w:val="auto"/>
          <w:sz w:val="22"/>
          <w:szCs w:val="22"/>
          <w:highlight w:val="none"/>
        </w:rPr>
        <w:t>；</w:t>
      </w:r>
    </w:p>
    <w:p>
      <w:pPr>
        <w:spacing w:line="460" w:lineRule="exact"/>
        <w:rPr>
          <w:rFonts w:ascii="宋体" w:hAnsi="宋体"/>
          <w:color w:val="auto"/>
          <w:sz w:val="22"/>
          <w:szCs w:val="22"/>
          <w:highlight w:val="none"/>
        </w:rPr>
      </w:pPr>
      <w:r>
        <w:rPr>
          <w:rFonts w:ascii="宋体" w:hAnsi="宋体" w:cs="Courier New"/>
          <w:b/>
          <w:color w:val="auto"/>
          <w:sz w:val="22"/>
          <w:szCs w:val="22"/>
          <w:highlight w:val="none"/>
        </w:rPr>
        <w:t>2</w:t>
      </w:r>
      <w:r>
        <w:rPr>
          <w:rFonts w:hint="eastAsia" w:ascii="宋体" w:hAnsi="宋体" w:cs="Courier New"/>
          <w:b/>
          <w:color w:val="auto"/>
          <w:sz w:val="22"/>
          <w:szCs w:val="22"/>
          <w:highlight w:val="none"/>
        </w:rPr>
        <w:t>、</w:t>
      </w:r>
      <w:r>
        <w:rPr>
          <w:rFonts w:ascii="宋体" w:hAnsi="宋体" w:cs="Courier New"/>
          <w:b/>
          <w:color w:val="auto"/>
          <w:sz w:val="22"/>
          <w:szCs w:val="22"/>
          <w:highlight w:val="none"/>
        </w:rPr>
        <w:t>若投标人代表为</w:t>
      </w:r>
      <w:r>
        <w:rPr>
          <w:rFonts w:hint="eastAsia" w:ascii="宋体" w:hAnsi="宋体"/>
          <w:b/>
          <w:color w:val="auto"/>
          <w:sz w:val="22"/>
          <w:szCs w:val="22"/>
          <w:highlight w:val="none"/>
        </w:rPr>
        <w:t>法定代表人</w:t>
      </w:r>
      <w:r>
        <w:rPr>
          <w:rFonts w:ascii="宋体" w:hAnsi="宋体" w:cs="Courier New"/>
          <w:b/>
          <w:color w:val="auto"/>
          <w:sz w:val="22"/>
          <w:szCs w:val="22"/>
          <w:highlight w:val="none"/>
        </w:rPr>
        <w:t>授权的委托代理人，应提供授权书（1-2）</w:t>
      </w:r>
      <w:r>
        <w:rPr>
          <w:rFonts w:hint="eastAsia" w:ascii="宋体" w:hAnsi="宋体" w:cs="Courier New"/>
          <w:b/>
          <w:color w:val="auto"/>
          <w:sz w:val="22"/>
          <w:szCs w:val="22"/>
          <w:highlight w:val="none"/>
        </w:rPr>
        <w:t>，并附</w:t>
      </w:r>
      <w:r>
        <w:rPr>
          <w:rFonts w:hint="eastAsia" w:ascii="宋体" w:hAnsi="宋体"/>
          <w:b/>
          <w:color w:val="auto"/>
          <w:sz w:val="22"/>
          <w:szCs w:val="22"/>
          <w:highlight w:val="none"/>
        </w:rPr>
        <w:t>法定代表人及授权代表的</w:t>
      </w:r>
      <w:r>
        <w:rPr>
          <w:rFonts w:ascii="宋体" w:hAnsi="宋体" w:cs="Courier New"/>
          <w:b/>
          <w:color w:val="auto"/>
          <w:sz w:val="22"/>
          <w:szCs w:val="22"/>
          <w:highlight w:val="none"/>
        </w:rPr>
        <w:t>身份证</w:t>
      </w:r>
      <w:r>
        <w:rPr>
          <w:rFonts w:hint="eastAsia" w:ascii="宋体" w:hAnsi="宋体"/>
          <w:b/>
          <w:color w:val="auto"/>
          <w:sz w:val="22"/>
          <w:szCs w:val="22"/>
          <w:highlight w:val="none"/>
        </w:rPr>
        <w:t>正反面复印件</w:t>
      </w:r>
      <w:r>
        <w:rPr>
          <w:rFonts w:hint="eastAsia" w:ascii="宋体" w:hAnsi="宋体" w:cs="Courier New"/>
          <w:b/>
          <w:color w:val="auto"/>
          <w:sz w:val="22"/>
          <w:szCs w:val="22"/>
          <w:highlight w:val="none"/>
        </w:rPr>
        <w:t>。</w:t>
      </w:r>
    </w:p>
    <w:p>
      <w:pPr>
        <w:spacing w:line="460" w:lineRule="exact"/>
        <w:rPr>
          <w:rFonts w:ascii="宋体" w:hAnsi="宋体"/>
          <w:color w:val="auto"/>
          <w:sz w:val="22"/>
          <w:szCs w:val="22"/>
          <w:highlight w:val="none"/>
        </w:rPr>
      </w:pPr>
    </w:p>
    <w:p>
      <w:pPr>
        <w:spacing w:line="380" w:lineRule="exact"/>
        <w:jc w:val="center"/>
        <w:rPr>
          <w:rFonts w:ascii="宋体" w:hAnsi="宋体"/>
          <w:b/>
          <w:bCs/>
          <w:color w:val="auto"/>
          <w:sz w:val="32"/>
          <w:highlight w:val="none"/>
        </w:rPr>
      </w:pPr>
      <w:r>
        <w:rPr>
          <w:rFonts w:hint="eastAsia" w:ascii="宋体" w:hAnsi="宋体"/>
          <w:b/>
          <w:bCs/>
          <w:color w:val="auto"/>
          <w:sz w:val="32"/>
          <w:highlight w:val="none"/>
        </w:rPr>
        <w:br w:type="page"/>
      </w:r>
    </w:p>
    <w:p>
      <w:pPr>
        <w:spacing w:line="380" w:lineRule="exact"/>
        <w:jc w:val="center"/>
        <w:rPr>
          <w:rFonts w:ascii="宋体" w:hAnsi="宋体"/>
          <w:b/>
          <w:bCs/>
          <w:color w:val="auto"/>
          <w:sz w:val="32"/>
          <w:highlight w:val="none"/>
        </w:rPr>
      </w:pPr>
    </w:p>
    <w:p>
      <w:pPr>
        <w:widowControl/>
        <w:adjustRightInd w:val="0"/>
        <w:snapToGrid w:val="0"/>
        <w:spacing w:line="360" w:lineRule="auto"/>
        <w:jc w:val="center"/>
        <w:rPr>
          <w:rFonts w:ascii="宋体" w:hAnsi="宋体"/>
          <w:b/>
          <w:color w:val="auto"/>
          <w:sz w:val="22"/>
          <w:szCs w:val="22"/>
          <w:highlight w:val="none"/>
        </w:rPr>
      </w:pPr>
      <w:r>
        <w:rPr>
          <w:rFonts w:hint="eastAsia" w:ascii="宋体" w:hAnsi="宋体"/>
          <w:b/>
          <w:color w:val="auto"/>
          <w:sz w:val="22"/>
          <w:szCs w:val="22"/>
          <w:highlight w:val="none"/>
        </w:rPr>
        <w:t>（</w:t>
      </w:r>
      <w:r>
        <w:rPr>
          <w:rFonts w:ascii="宋体" w:hAnsi="宋体"/>
          <w:b/>
          <w:color w:val="auto"/>
          <w:sz w:val="22"/>
          <w:szCs w:val="22"/>
          <w:highlight w:val="none"/>
        </w:rPr>
        <w:t>2</w:t>
      </w:r>
      <w:r>
        <w:rPr>
          <w:rFonts w:hint="eastAsia" w:ascii="宋体" w:hAnsi="宋体"/>
          <w:b/>
          <w:color w:val="auto"/>
          <w:sz w:val="22"/>
          <w:szCs w:val="22"/>
          <w:highlight w:val="none"/>
        </w:rPr>
        <w:t>）投标供应商参与政府采购活动投标资格声明函</w:t>
      </w:r>
    </w:p>
    <w:p>
      <w:pPr>
        <w:widowControl/>
        <w:adjustRightInd w:val="0"/>
        <w:snapToGrid w:val="0"/>
        <w:spacing w:line="360" w:lineRule="auto"/>
        <w:jc w:val="left"/>
        <w:rPr>
          <w:rFonts w:ascii="宋体" w:hAnsi="宋体" w:cs="新宋体"/>
          <w:color w:val="auto"/>
          <w:kern w:val="0"/>
          <w:sz w:val="22"/>
          <w:szCs w:val="22"/>
          <w:highlight w:val="none"/>
        </w:rPr>
      </w:pPr>
    </w:p>
    <w:p>
      <w:pPr>
        <w:widowControl/>
        <w:adjustRightInd w:val="0"/>
        <w:snapToGrid w:val="0"/>
        <w:spacing w:line="360" w:lineRule="auto"/>
        <w:jc w:val="left"/>
        <w:rPr>
          <w:rFonts w:ascii="宋体" w:hAnsi="宋体" w:cs="宋体"/>
          <w:color w:val="auto"/>
          <w:kern w:val="0"/>
          <w:sz w:val="22"/>
          <w:szCs w:val="22"/>
          <w:highlight w:val="none"/>
        </w:rPr>
      </w:pPr>
      <w:r>
        <w:rPr>
          <w:rFonts w:hint="eastAsia" w:ascii="宋体" w:hAnsi="宋体"/>
          <w:color w:val="auto"/>
          <w:sz w:val="22"/>
          <w:szCs w:val="22"/>
          <w:highlight w:val="none"/>
          <w:lang w:eastAsia="zh-CN"/>
        </w:rPr>
        <w:t>温州市公安局瓯海区分局</w:t>
      </w:r>
      <w:r>
        <w:rPr>
          <w:rFonts w:hint="eastAsia" w:ascii="宋体" w:hAnsi="宋体" w:cs="宋体"/>
          <w:color w:val="auto"/>
          <w:kern w:val="0"/>
          <w:sz w:val="22"/>
          <w:szCs w:val="22"/>
          <w:highlight w:val="none"/>
        </w:rPr>
        <w:t>：</w:t>
      </w:r>
    </w:p>
    <w:p>
      <w:pPr>
        <w:widowControl/>
        <w:adjustRightInd w:val="0"/>
        <w:snapToGrid w:val="0"/>
        <w:spacing w:line="360"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温州元信工程项目管理有限公司：</w:t>
      </w:r>
    </w:p>
    <w:p>
      <w:pPr>
        <w:widowControl/>
        <w:adjustRightInd w:val="0"/>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我单位参与</w:t>
      </w:r>
      <w:r>
        <w:rPr>
          <w:rFonts w:hint="eastAsia" w:ascii="宋体" w:hAnsi="宋体"/>
          <w:color w:val="auto"/>
          <w:sz w:val="22"/>
          <w:szCs w:val="22"/>
          <w:highlight w:val="none"/>
          <w:u w:val="single"/>
        </w:rPr>
        <w:t xml:space="preserve">（项目名称） </w:t>
      </w:r>
      <w:r>
        <w:rPr>
          <w:rFonts w:hint="eastAsia" w:ascii="宋体" w:hAnsi="宋体" w:cs="宋体"/>
          <w:color w:val="auto"/>
          <w:kern w:val="0"/>
          <w:sz w:val="22"/>
          <w:szCs w:val="22"/>
          <w:highlight w:val="none"/>
        </w:rPr>
        <w:t>项目的采购活动，现声明如下：</w:t>
      </w:r>
    </w:p>
    <w:p>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1、我单位具有独立承担民事责任的能力。</w:t>
      </w:r>
    </w:p>
    <w:p>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2、我单位具有良好的商业信誉和健全的财务会计制度。</w:t>
      </w:r>
    </w:p>
    <w:p>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3、我单位具有依法缴纳税收和社会保障资金的良好记录。</w:t>
      </w:r>
    </w:p>
    <w:p>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4、我单位具有履行本项目政府采购合同所必需的设备和专业技术能力。</w:t>
      </w:r>
    </w:p>
    <w:p>
      <w:pPr>
        <w:widowControl/>
        <w:adjustRightInd w:val="0"/>
        <w:snapToGrid w:val="0"/>
        <w:spacing w:line="360" w:lineRule="auto"/>
        <w:ind w:left="216" w:leftChars="103" w:firstLine="200" w:firstLineChars="91"/>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5、我单位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w:t>
      </w:r>
    </w:p>
    <w:p>
      <w:pPr>
        <w:widowControl/>
        <w:adjustRightInd w:val="0"/>
        <w:snapToGrid w:val="0"/>
        <w:spacing w:line="360" w:lineRule="auto"/>
        <w:ind w:left="216" w:leftChars="103" w:firstLine="200" w:firstLineChars="91"/>
        <w:jc w:val="left"/>
        <w:rPr>
          <w:rFonts w:hint="eastAsia"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6、我单位未与</w:t>
      </w:r>
      <w:r>
        <w:rPr>
          <w:rFonts w:hint="eastAsia" w:ascii="宋体" w:hAnsi="宋体" w:cs="宋体"/>
          <w:color w:val="auto"/>
          <w:kern w:val="0"/>
          <w:sz w:val="22"/>
          <w:szCs w:val="22"/>
          <w:highlight w:val="none"/>
        </w:rPr>
        <w:t>单位负责人为同一人或者存在直接控股、管理关系的</w:t>
      </w:r>
      <w:r>
        <w:rPr>
          <w:rFonts w:hint="eastAsia" w:ascii="宋体" w:hAnsi="宋体" w:cs="宋体"/>
          <w:color w:val="auto"/>
          <w:kern w:val="0"/>
          <w:sz w:val="22"/>
          <w:szCs w:val="22"/>
          <w:highlight w:val="none"/>
          <w:lang w:val="en-US" w:eastAsia="zh-CN"/>
        </w:rPr>
        <w:t>其他</w:t>
      </w:r>
      <w:r>
        <w:rPr>
          <w:rFonts w:hint="eastAsia" w:ascii="宋体" w:hAnsi="宋体" w:cs="宋体"/>
          <w:color w:val="auto"/>
          <w:kern w:val="0"/>
          <w:sz w:val="22"/>
          <w:szCs w:val="22"/>
          <w:highlight w:val="none"/>
        </w:rPr>
        <w:t>供应商，</w:t>
      </w:r>
      <w:r>
        <w:rPr>
          <w:rFonts w:hint="eastAsia" w:ascii="宋体" w:hAnsi="宋体" w:cs="宋体"/>
          <w:color w:val="auto"/>
          <w:kern w:val="0"/>
          <w:sz w:val="22"/>
          <w:szCs w:val="22"/>
          <w:highlight w:val="none"/>
          <w:lang w:val="en-US" w:eastAsia="zh-CN"/>
        </w:rPr>
        <w:t>一起</w:t>
      </w:r>
      <w:r>
        <w:rPr>
          <w:rFonts w:hint="eastAsia" w:ascii="宋体" w:hAnsi="宋体" w:cs="宋体"/>
          <w:color w:val="auto"/>
          <w:kern w:val="0"/>
          <w:sz w:val="22"/>
          <w:szCs w:val="22"/>
          <w:highlight w:val="none"/>
        </w:rPr>
        <w:t>参加</w:t>
      </w:r>
      <w:r>
        <w:rPr>
          <w:rFonts w:hint="eastAsia" w:ascii="宋体" w:hAnsi="宋体" w:cs="宋体"/>
          <w:color w:val="auto"/>
          <w:kern w:val="0"/>
          <w:sz w:val="22"/>
          <w:szCs w:val="22"/>
          <w:highlight w:val="none"/>
          <w:lang w:val="en-US" w:eastAsia="zh-CN"/>
        </w:rPr>
        <w:t>本项目</w:t>
      </w:r>
      <w:r>
        <w:rPr>
          <w:rFonts w:hint="eastAsia" w:ascii="宋体" w:hAnsi="宋体" w:cs="宋体"/>
          <w:color w:val="auto"/>
          <w:kern w:val="0"/>
          <w:sz w:val="22"/>
          <w:szCs w:val="22"/>
          <w:highlight w:val="none"/>
        </w:rPr>
        <w:t>的政府采购活动</w:t>
      </w:r>
      <w:r>
        <w:rPr>
          <w:rFonts w:hint="eastAsia" w:ascii="宋体" w:hAnsi="宋体" w:cs="宋体"/>
          <w:color w:val="auto"/>
          <w:kern w:val="0"/>
          <w:sz w:val="22"/>
          <w:szCs w:val="22"/>
          <w:highlight w:val="none"/>
          <w:lang w:eastAsia="zh-CN"/>
        </w:rPr>
        <w:t>。</w:t>
      </w:r>
    </w:p>
    <w:p>
      <w:pPr>
        <w:widowControl/>
        <w:adjustRightInd w:val="0"/>
        <w:snapToGrid w:val="0"/>
        <w:spacing w:line="360" w:lineRule="auto"/>
        <w:ind w:left="216" w:leftChars="103" w:firstLine="200" w:firstLineChars="91"/>
        <w:jc w:val="left"/>
        <w:rPr>
          <w:rFonts w:hint="eastAsia"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7、我单位符合本项目特定资格条件：</w:t>
      </w:r>
      <w:r>
        <w:rPr>
          <w:rFonts w:hint="eastAsia" w:ascii="宋体" w:hAnsi="宋体" w:cs="宋体"/>
          <w:color w:val="auto"/>
          <w:kern w:val="0"/>
          <w:sz w:val="22"/>
          <w:szCs w:val="22"/>
          <w:highlight w:val="none"/>
          <w:u w:val="single"/>
          <w:lang w:val="en-US" w:eastAsia="zh-CN"/>
        </w:rPr>
        <w:t xml:space="preserve">                </w:t>
      </w:r>
      <w:r>
        <w:rPr>
          <w:rFonts w:hint="eastAsia" w:ascii="宋体" w:hAnsi="宋体" w:cs="宋体"/>
          <w:color w:val="auto"/>
          <w:kern w:val="0"/>
          <w:sz w:val="22"/>
          <w:szCs w:val="22"/>
          <w:highlight w:val="none"/>
          <w:lang w:val="en-US" w:eastAsia="zh-CN"/>
        </w:rPr>
        <w:t xml:space="preserve"> 的要求，并在谈判响应文件中提供了相应的证明材料（采购文件没有要求特定资格条件的，本条款空格处可以空白）</w:t>
      </w:r>
    </w:p>
    <w:p>
      <w:pPr>
        <w:widowControl/>
        <w:adjustRightInd w:val="0"/>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以上事项如有虚假，采购人可取消我方任何资格（投标/中标/签订合同），我方对此无任何异议。</w:t>
      </w:r>
    </w:p>
    <w:p>
      <w:pPr>
        <w:widowControl/>
        <w:adjustRightInd w:val="0"/>
        <w:snapToGrid w:val="0"/>
        <w:spacing w:line="360" w:lineRule="auto"/>
        <w:ind w:firstLine="440" w:firstLineChars="200"/>
        <w:jc w:val="left"/>
        <w:rPr>
          <w:rFonts w:ascii="宋体" w:hAnsi="宋体" w:cs="宋体"/>
          <w:color w:val="auto"/>
          <w:kern w:val="0"/>
          <w:sz w:val="22"/>
          <w:szCs w:val="22"/>
          <w:highlight w:val="none"/>
        </w:rPr>
      </w:pPr>
    </w:p>
    <w:p>
      <w:pPr>
        <w:widowControl/>
        <w:adjustRightInd w:val="0"/>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特此承诺！</w:t>
      </w:r>
    </w:p>
    <w:p>
      <w:pPr>
        <w:widowControl/>
        <w:adjustRightInd w:val="0"/>
        <w:snapToGrid w:val="0"/>
        <w:spacing w:line="360" w:lineRule="auto"/>
        <w:ind w:firstLine="440" w:firstLineChars="200"/>
        <w:jc w:val="left"/>
        <w:rPr>
          <w:rFonts w:ascii="宋体" w:hAnsi="宋体" w:cs="新宋体"/>
          <w:color w:val="auto"/>
          <w:kern w:val="0"/>
          <w:sz w:val="22"/>
          <w:szCs w:val="22"/>
          <w:highlight w:val="none"/>
        </w:rPr>
      </w:pPr>
    </w:p>
    <w:p>
      <w:pPr>
        <w:pStyle w:val="25"/>
        <w:rPr>
          <w:color w:val="auto"/>
          <w:highlight w:val="none"/>
        </w:rPr>
      </w:pP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投标人名称（盖章）</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w:t>
      </w: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法定代表人（负责人）或其授权代表（签字或盖章）：</w:t>
      </w: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日期：</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年</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月</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日</w:t>
      </w:r>
    </w:p>
    <w:p>
      <w:pPr>
        <w:pStyle w:val="25"/>
        <w:rPr>
          <w:color w:val="auto"/>
          <w:highlight w:val="none"/>
        </w:rPr>
      </w:pPr>
    </w:p>
    <w:p>
      <w:pPr>
        <w:widowControl/>
        <w:adjustRightInd w:val="0"/>
        <w:snapToGrid w:val="0"/>
        <w:spacing w:line="360" w:lineRule="auto"/>
        <w:jc w:val="left"/>
        <w:rPr>
          <w:rFonts w:ascii="宋体" w:hAnsi="宋体"/>
          <w:color w:val="auto"/>
          <w:sz w:val="22"/>
          <w:szCs w:val="22"/>
          <w:highlight w:val="none"/>
        </w:rPr>
      </w:pPr>
      <w:r>
        <w:rPr>
          <w:rFonts w:ascii="宋体" w:hAnsi="宋体" w:cs="新宋体"/>
          <w:color w:val="auto"/>
          <w:kern w:val="0"/>
          <w:sz w:val="22"/>
          <w:szCs w:val="22"/>
          <w:highlight w:val="none"/>
        </w:rPr>
        <w:br w:type="page"/>
      </w:r>
    </w:p>
    <w:p>
      <w:pPr>
        <w:pStyle w:val="33"/>
        <w:snapToGrid w:val="0"/>
        <w:spacing w:line="324" w:lineRule="auto"/>
        <w:jc w:val="center"/>
        <w:rPr>
          <w:rFonts w:hAnsi="宋体"/>
          <w:b/>
          <w:bCs/>
          <w:color w:val="auto"/>
          <w:sz w:val="22"/>
          <w:szCs w:val="22"/>
          <w:highlight w:val="none"/>
        </w:rPr>
      </w:pPr>
      <w:r>
        <w:rPr>
          <w:rFonts w:hint="eastAsia" w:hAnsi="宋体"/>
          <w:b/>
          <w:bCs/>
          <w:color w:val="auto"/>
          <w:sz w:val="22"/>
          <w:szCs w:val="22"/>
          <w:highlight w:val="none"/>
        </w:rPr>
        <w:t>（3）诚信投标承诺书</w:t>
      </w:r>
    </w:p>
    <w:p>
      <w:pPr>
        <w:ind w:right="-153" w:rightChars="-73"/>
        <w:jc w:val="center"/>
        <w:rPr>
          <w:rFonts w:ascii="宋体" w:hAnsi="宋体"/>
          <w:color w:val="auto"/>
          <w:sz w:val="22"/>
          <w:szCs w:val="22"/>
          <w:highlight w:val="none"/>
        </w:rPr>
      </w:pPr>
    </w:p>
    <w:p>
      <w:pPr>
        <w:spacing w:line="520" w:lineRule="exact"/>
        <w:ind w:right="-153" w:rightChars="-73"/>
        <w:rPr>
          <w:rFonts w:ascii="宋体" w:hAnsi="宋体"/>
          <w:color w:val="auto"/>
          <w:sz w:val="22"/>
          <w:szCs w:val="22"/>
          <w:highlight w:val="none"/>
        </w:rPr>
      </w:pPr>
      <w:r>
        <w:rPr>
          <w:rFonts w:hint="eastAsia" w:ascii="宋体" w:hAnsi="宋体"/>
          <w:color w:val="auto"/>
          <w:sz w:val="22"/>
          <w:szCs w:val="22"/>
          <w:highlight w:val="none"/>
        </w:rPr>
        <w:t>本企业郑重承诺：</w:t>
      </w:r>
    </w:p>
    <w:p>
      <w:pPr>
        <w:spacing w:line="50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为了积极配合贵公司组织的</w:t>
      </w:r>
      <w:r>
        <w:rPr>
          <w:rFonts w:hint="eastAsia" w:ascii="宋体" w:hAnsi="宋体"/>
          <w:color w:val="auto"/>
          <w:sz w:val="22"/>
          <w:szCs w:val="22"/>
          <w:highlight w:val="none"/>
          <w:u w:val="single"/>
        </w:rPr>
        <w:t xml:space="preserve"> （项目名称） </w:t>
      </w:r>
      <w:r>
        <w:rPr>
          <w:rFonts w:hint="eastAsia" w:ascii="宋体" w:hAnsi="宋体"/>
          <w:color w:val="auto"/>
          <w:sz w:val="22"/>
          <w:szCs w:val="22"/>
          <w:highlight w:val="none"/>
        </w:rPr>
        <w:t>招标工作，有效遏制不公平竞争和违规违纪问题的发生，确保招标工作的公平、公正、公开，我们保证认真贯彻</w:t>
      </w:r>
      <w:r>
        <w:rPr>
          <w:rFonts w:hint="eastAsia" w:ascii="宋体" w:hAnsi="宋体" w:cs="Century Gothic"/>
          <w:color w:val="auto"/>
          <w:sz w:val="22"/>
          <w:szCs w:val="22"/>
          <w:highlight w:val="none"/>
        </w:rPr>
        <w:t>《中华人民共和国政府采购法》、《中华人民共和国政府采购法实施条例》、《政府采购货物和服务招标投标管理办法》和《关于进一步规范政府采购活动的若干意见》等法律及有关法规</w:t>
      </w:r>
      <w:r>
        <w:rPr>
          <w:rFonts w:hint="eastAsia" w:ascii="宋体" w:hAnsi="宋体"/>
          <w:color w:val="auto"/>
          <w:sz w:val="22"/>
          <w:szCs w:val="22"/>
          <w:highlight w:val="none"/>
        </w:rPr>
        <w:t>相关规定以及有关廉洁要求，特承诺如下事项：</w:t>
      </w:r>
    </w:p>
    <w:p>
      <w:pPr>
        <w:numPr>
          <w:ilvl w:val="0"/>
          <w:numId w:val="37"/>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自觉遵守国家法律法规及有关廉政建设制度。</w:t>
      </w:r>
    </w:p>
    <w:p>
      <w:pPr>
        <w:numPr>
          <w:ilvl w:val="0"/>
          <w:numId w:val="37"/>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主动了解采购人招投标纪律，积极配合采购人执行招投标廉政建设的有关规定。</w:t>
      </w:r>
    </w:p>
    <w:p>
      <w:pPr>
        <w:numPr>
          <w:ilvl w:val="0"/>
          <w:numId w:val="37"/>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不使用不正当手段妨碍、排挤其它投标人或串通投标。</w:t>
      </w:r>
    </w:p>
    <w:p>
      <w:pPr>
        <w:numPr>
          <w:ilvl w:val="0"/>
          <w:numId w:val="37"/>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按照本招标文件规定的方式进行投标，不隐瞒本单位投标资质的真实情况，投标资质符合规定。</w:t>
      </w:r>
    </w:p>
    <w:p>
      <w:pPr>
        <w:numPr>
          <w:ilvl w:val="0"/>
          <w:numId w:val="37"/>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以任何方式向采购人员赠送礼品、礼金及有价证券；不宴请或邀请采购人的任何人参加高档娱乐消费、旅游、考察、参观等活动；不以任何形式报销采购人的任何人以及亲友的各种票据及费用；不进行可能影响招投标公平、公正的任何活动。</w:t>
      </w:r>
    </w:p>
    <w:p>
      <w:pPr>
        <w:numPr>
          <w:ilvl w:val="0"/>
          <w:numId w:val="37"/>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不向采购人及个人购置或提供通讯工具、交通工具和高档办公用品等。</w:t>
      </w:r>
    </w:p>
    <w:p>
      <w:pPr>
        <w:numPr>
          <w:ilvl w:val="0"/>
          <w:numId w:val="37"/>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不向采购人涉及招标的人员的配偶、子女分包此次招标项目。</w:t>
      </w:r>
    </w:p>
    <w:p>
      <w:pPr>
        <w:numPr>
          <w:ilvl w:val="0"/>
          <w:numId w:val="37"/>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不向采购人及个人支付好处费、介绍费。</w:t>
      </w:r>
    </w:p>
    <w:p>
      <w:pPr>
        <w:numPr>
          <w:ilvl w:val="0"/>
          <w:numId w:val="37"/>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一旦发现相关人员在招标过程中的索要财物等不廉洁行为，坚决予以抵制，并及时向有关纪检监察部门举报。</w:t>
      </w:r>
    </w:p>
    <w:p>
      <w:pPr>
        <w:numPr>
          <w:ilvl w:val="0"/>
          <w:numId w:val="37"/>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我们若违反上述承诺，愿接受取消投标人资格及其他任何形式的处理。</w:t>
      </w:r>
    </w:p>
    <w:p>
      <w:pPr>
        <w:snapToGrid w:val="0"/>
        <w:spacing w:line="500" w:lineRule="exact"/>
        <w:ind w:firstLine="385" w:firstLineChars="175"/>
        <w:rPr>
          <w:rFonts w:ascii="宋体" w:hAnsi="宋体"/>
          <w:color w:val="auto"/>
          <w:sz w:val="22"/>
          <w:szCs w:val="22"/>
          <w:highlight w:val="none"/>
        </w:rPr>
      </w:pP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投标人名称（盖章）</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w:t>
      </w: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法定代表人（负责人）或其授权代表（签字或盖章）：</w:t>
      </w: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日期：</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年</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月</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日</w:t>
      </w:r>
    </w:p>
    <w:p>
      <w:pPr>
        <w:spacing w:line="380" w:lineRule="exact"/>
        <w:rPr>
          <w:rFonts w:ascii="宋体"/>
          <w:b/>
          <w:bCs/>
          <w:color w:val="auto"/>
          <w:sz w:val="22"/>
          <w:szCs w:val="22"/>
          <w:highlight w:val="none"/>
        </w:rPr>
      </w:pPr>
    </w:p>
    <w:p>
      <w:pPr>
        <w:spacing w:line="380" w:lineRule="exact"/>
        <w:rPr>
          <w:rFonts w:ascii="宋体"/>
          <w:b/>
          <w:bCs/>
          <w:color w:val="auto"/>
          <w:sz w:val="22"/>
          <w:szCs w:val="22"/>
          <w:highlight w:val="none"/>
        </w:rPr>
      </w:pPr>
    </w:p>
    <w:p>
      <w:pPr>
        <w:rPr>
          <w:rFonts w:ascii="宋体"/>
          <w:b/>
          <w:bCs/>
          <w:color w:val="auto"/>
          <w:sz w:val="22"/>
          <w:szCs w:val="22"/>
          <w:highlight w:val="none"/>
        </w:rPr>
      </w:pPr>
      <w:r>
        <w:rPr>
          <w:rFonts w:ascii="宋体"/>
          <w:b/>
          <w:bCs/>
          <w:color w:val="auto"/>
          <w:sz w:val="22"/>
          <w:szCs w:val="22"/>
          <w:highlight w:val="none"/>
        </w:rPr>
        <w:br w:type="page"/>
      </w:r>
    </w:p>
    <w:p>
      <w:pPr>
        <w:pStyle w:val="25"/>
        <w:rPr>
          <w:color w:val="auto"/>
          <w:highlight w:val="none"/>
        </w:rPr>
      </w:pPr>
    </w:p>
    <w:p>
      <w:pPr>
        <w:spacing w:line="440" w:lineRule="atLeast"/>
        <w:jc w:val="center"/>
        <w:rPr>
          <w:rFonts w:ascii="宋体"/>
          <w:b/>
          <w:color w:val="auto"/>
          <w:sz w:val="22"/>
          <w:szCs w:val="22"/>
          <w:highlight w:val="none"/>
        </w:rPr>
      </w:pPr>
      <w:r>
        <w:rPr>
          <w:rFonts w:hint="eastAsia" w:ascii="宋体" w:hAnsi="宋体"/>
          <w:b/>
          <w:color w:val="auto"/>
          <w:sz w:val="22"/>
          <w:szCs w:val="22"/>
          <w:highlight w:val="none"/>
        </w:rPr>
        <w:t>（4）中小企业声明函</w:t>
      </w:r>
    </w:p>
    <w:p>
      <w:pPr>
        <w:widowControl/>
        <w:adjustRightInd w:val="0"/>
        <w:snapToGrid w:val="0"/>
        <w:spacing w:line="324" w:lineRule="auto"/>
        <w:jc w:val="center"/>
        <w:rPr>
          <w:rFonts w:ascii="宋体" w:hAnsi="宋体" w:cs="宋体"/>
          <w:b/>
          <w:color w:val="auto"/>
          <w:kern w:val="0"/>
          <w:sz w:val="22"/>
          <w:szCs w:val="22"/>
          <w:highlight w:val="none"/>
        </w:rPr>
      </w:pPr>
    </w:p>
    <w:p>
      <w:pPr>
        <w:widowControl/>
        <w:adjustRightInd w:val="0"/>
        <w:snapToGrid w:val="0"/>
        <w:spacing w:line="324" w:lineRule="auto"/>
        <w:jc w:val="center"/>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中小企业声明函（货物）</w:t>
      </w:r>
    </w:p>
    <w:p>
      <w:pPr>
        <w:widowControl/>
        <w:adjustRightInd w:val="0"/>
        <w:snapToGrid w:val="0"/>
        <w:spacing w:line="324" w:lineRule="auto"/>
        <w:ind w:firstLine="440" w:firstLineChars="200"/>
        <w:jc w:val="center"/>
        <w:rPr>
          <w:rFonts w:ascii="宋体" w:hAnsi="宋体" w:cs="宋体"/>
          <w:color w:val="auto"/>
          <w:kern w:val="0"/>
          <w:sz w:val="22"/>
          <w:szCs w:val="22"/>
          <w:highlight w:val="none"/>
        </w:rPr>
      </w:pPr>
    </w:p>
    <w:p>
      <w:pPr>
        <w:spacing w:before="240" w:beforeLines="100" w:line="440" w:lineRule="atLeas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zh-CN"/>
        </w:rPr>
        <w:t>本公司（联合体）郑重声明，根据《政府采购促进中小企业发展管理办法》（财库﹝2020﹞46 号）的规定</w:t>
      </w: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lang w:val="zh-CN" w:bidi="zh-CN"/>
        </w:rPr>
        <w:t>本公司（联合体）参加</w:t>
      </w:r>
      <w:r>
        <w:rPr>
          <w:rFonts w:hint="eastAsia" w:ascii="宋体" w:hAnsi="宋体" w:cs="宋体"/>
          <w:i/>
          <w:iCs/>
          <w:color w:val="auto"/>
          <w:sz w:val="22"/>
          <w:szCs w:val="22"/>
          <w:highlight w:val="none"/>
          <w:u w:val="single"/>
          <w:lang w:val="zh-CN" w:bidi="zh-CN"/>
        </w:rPr>
        <w:t>（单位名称）</w:t>
      </w:r>
      <w:r>
        <w:rPr>
          <w:rFonts w:hint="eastAsia" w:ascii="宋体" w:hAnsi="宋体" w:cs="宋体"/>
          <w:color w:val="auto"/>
          <w:sz w:val="22"/>
          <w:szCs w:val="22"/>
          <w:highlight w:val="none"/>
          <w:lang w:val="zh-CN" w:bidi="zh-CN"/>
        </w:rPr>
        <w:t>的</w:t>
      </w:r>
      <w:r>
        <w:rPr>
          <w:rFonts w:hint="eastAsia" w:ascii="宋体" w:hAnsi="宋体" w:cs="宋体"/>
          <w:i/>
          <w:iCs/>
          <w:color w:val="auto"/>
          <w:sz w:val="22"/>
          <w:szCs w:val="22"/>
          <w:highlight w:val="none"/>
          <w:u w:val="single"/>
          <w:lang w:val="zh-CN" w:bidi="zh-CN"/>
        </w:rPr>
        <w:t>（项目名称）</w:t>
      </w:r>
      <w:r>
        <w:rPr>
          <w:rFonts w:hint="eastAsia" w:ascii="宋体" w:hAnsi="宋体" w:cs="宋体"/>
          <w:color w:val="auto"/>
          <w:sz w:val="22"/>
          <w:szCs w:val="22"/>
          <w:highlight w:val="none"/>
          <w:lang w:val="zh-CN" w:bidi="zh-CN"/>
        </w:rPr>
        <w:t>采购活动，提供的货物全部由符合政策要求的中小企业制造。相关企业（含联合体中的中小企业、签订分包意向协议的中小企业） 的具体情况如下：</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    1.</w:t>
      </w:r>
      <w:r>
        <w:rPr>
          <w:rFonts w:hint="eastAsia" w:ascii="宋体" w:hAnsi="宋体" w:cs="宋体"/>
          <w:i/>
          <w:iCs/>
          <w:color w:val="auto"/>
          <w:sz w:val="22"/>
          <w:szCs w:val="22"/>
          <w:highlight w:val="none"/>
          <w:u w:val="single"/>
          <w:lang w:val="zh-CN" w:bidi="zh-CN"/>
        </w:rPr>
        <w:t>（标的名称）</w:t>
      </w:r>
      <w:r>
        <w:rPr>
          <w:rFonts w:hint="eastAsia" w:ascii="宋体" w:hAnsi="宋体" w:cs="宋体"/>
          <w:color w:val="auto"/>
          <w:sz w:val="22"/>
          <w:szCs w:val="22"/>
          <w:highlight w:val="none"/>
          <w:lang w:val="zh-CN" w:bidi="zh-CN"/>
        </w:rPr>
        <w:t>，属于</w:t>
      </w:r>
      <w:r>
        <w:rPr>
          <w:rFonts w:hint="eastAsia" w:ascii="宋体" w:hAnsi="宋体" w:cs="宋体"/>
          <w:i/>
          <w:iCs/>
          <w:color w:val="auto"/>
          <w:sz w:val="22"/>
          <w:szCs w:val="22"/>
          <w:highlight w:val="none"/>
          <w:u w:val="single"/>
          <w:lang w:val="zh-CN" w:bidi="zh-CN"/>
        </w:rPr>
        <w:t>（招标文件中明确的所属行业）</w:t>
      </w:r>
      <w:r>
        <w:rPr>
          <w:rFonts w:hint="eastAsia" w:ascii="宋体" w:hAnsi="宋体" w:cs="宋体"/>
          <w:color w:val="auto"/>
          <w:sz w:val="22"/>
          <w:szCs w:val="22"/>
          <w:highlight w:val="none"/>
          <w:lang w:val="zh-CN" w:bidi="zh-CN"/>
        </w:rPr>
        <w:t>行业；制造商为</w:t>
      </w:r>
      <w:r>
        <w:rPr>
          <w:rFonts w:hint="eastAsia" w:ascii="宋体" w:hAnsi="宋体" w:cs="宋体"/>
          <w:i/>
          <w:iCs/>
          <w:color w:val="auto"/>
          <w:sz w:val="22"/>
          <w:szCs w:val="22"/>
          <w:highlight w:val="none"/>
          <w:u w:val="single"/>
          <w:lang w:val="zh-CN" w:bidi="zh-CN"/>
        </w:rPr>
        <w:t>（企业名称）</w:t>
      </w:r>
      <w:r>
        <w:rPr>
          <w:rFonts w:hint="eastAsia" w:ascii="宋体" w:hAnsi="宋体" w:cs="宋体"/>
          <w:color w:val="auto"/>
          <w:sz w:val="22"/>
          <w:szCs w:val="22"/>
          <w:highlight w:val="none"/>
          <w:lang w:val="zh-CN" w:bidi="zh-CN"/>
        </w:rPr>
        <w:t>，从业人员</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lang w:val="zh-CN" w:bidi="zh-CN"/>
        </w:rPr>
        <w:t>人，营业收入为</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u w:val="single"/>
          <w:lang w:bidi="zh-CN"/>
        </w:rPr>
        <w:t xml:space="preserve">  </w:t>
      </w:r>
      <w:r>
        <w:rPr>
          <w:rFonts w:hint="eastAsia" w:ascii="宋体" w:hAnsi="宋体" w:cs="宋体"/>
          <w:color w:val="auto"/>
          <w:sz w:val="22"/>
          <w:szCs w:val="22"/>
          <w:highlight w:val="none"/>
          <w:lang w:val="zh-CN" w:bidi="zh-CN"/>
        </w:rPr>
        <w:t>万元，资产总额为</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u w:val="single"/>
          <w:lang w:bidi="zh-CN"/>
        </w:rPr>
        <w:t xml:space="preserve">  </w:t>
      </w:r>
      <w:r>
        <w:rPr>
          <w:rFonts w:hint="eastAsia" w:ascii="宋体" w:hAnsi="宋体" w:cs="宋体"/>
          <w:color w:val="auto"/>
          <w:sz w:val="22"/>
          <w:szCs w:val="22"/>
          <w:highlight w:val="none"/>
          <w:lang w:val="zh-CN" w:bidi="zh-CN"/>
        </w:rPr>
        <w:t>万元，属于</w:t>
      </w:r>
      <w:r>
        <w:rPr>
          <w:rFonts w:hint="eastAsia" w:ascii="宋体" w:hAnsi="宋体" w:cs="宋体"/>
          <w:i/>
          <w:iCs/>
          <w:color w:val="auto"/>
          <w:sz w:val="22"/>
          <w:szCs w:val="22"/>
          <w:highlight w:val="none"/>
          <w:u w:val="single"/>
          <w:lang w:val="zh-CN" w:bidi="zh-CN"/>
        </w:rPr>
        <w:t>（中型企业、小型企业、微型企业）</w:t>
      </w:r>
      <w:r>
        <w:rPr>
          <w:rFonts w:hint="eastAsia" w:ascii="宋体" w:hAnsi="宋体" w:cs="宋体"/>
          <w:color w:val="auto"/>
          <w:sz w:val="22"/>
          <w:szCs w:val="22"/>
          <w:highlight w:val="none"/>
          <w:lang w:val="zh-CN" w:bidi="zh-CN"/>
        </w:rPr>
        <w:t>；</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    2.</w:t>
      </w:r>
      <w:r>
        <w:rPr>
          <w:rFonts w:hint="eastAsia" w:ascii="宋体" w:hAnsi="宋体" w:cs="宋体"/>
          <w:i/>
          <w:iCs/>
          <w:color w:val="auto"/>
          <w:sz w:val="22"/>
          <w:szCs w:val="22"/>
          <w:highlight w:val="none"/>
          <w:u w:val="single"/>
          <w:lang w:val="zh-CN" w:bidi="zh-CN"/>
        </w:rPr>
        <w:t>（标的名称）</w:t>
      </w:r>
      <w:r>
        <w:rPr>
          <w:rFonts w:hint="eastAsia" w:ascii="宋体" w:hAnsi="宋体" w:cs="宋体"/>
          <w:color w:val="auto"/>
          <w:sz w:val="22"/>
          <w:szCs w:val="22"/>
          <w:highlight w:val="none"/>
          <w:lang w:val="zh-CN" w:bidi="zh-CN"/>
        </w:rPr>
        <w:t>，属于</w:t>
      </w:r>
      <w:r>
        <w:rPr>
          <w:rFonts w:hint="eastAsia" w:ascii="宋体" w:hAnsi="宋体" w:cs="宋体"/>
          <w:i/>
          <w:iCs/>
          <w:color w:val="auto"/>
          <w:sz w:val="22"/>
          <w:szCs w:val="22"/>
          <w:highlight w:val="none"/>
          <w:u w:val="single"/>
          <w:lang w:val="zh-CN" w:bidi="zh-CN"/>
        </w:rPr>
        <w:t>（招标文件中明确的所属行业）</w:t>
      </w:r>
      <w:r>
        <w:rPr>
          <w:rFonts w:hint="eastAsia" w:ascii="宋体" w:hAnsi="宋体" w:cs="宋体"/>
          <w:color w:val="auto"/>
          <w:sz w:val="22"/>
          <w:szCs w:val="22"/>
          <w:highlight w:val="none"/>
          <w:lang w:val="zh-CN" w:bidi="zh-CN"/>
        </w:rPr>
        <w:t>行业；制造商为</w:t>
      </w:r>
      <w:r>
        <w:rPr>
          <w:rFonts w:hint="eastAsia" w:ascii="宋体" w:hAnsi="宋体" w:cs="宋体"/>
          <w:i/>
          <w:iCs/>
          <w:color w:val="auto"/>
          <w:sz w:val="22"/>
          <w:szCs w:val="22"/>
          <w:highlight w:val="none"/>
          <w:u w:val="single"/>
          <w:lang w:val="zh-CN" w:bidi="zh-CN"/>
        </w:rPr>
        <w:t>（企业名称）</w:t>
      </w:r>
      <w:r>
        <w:rPr>
          <w:rFonts w:hint="eastAsia" w:ascii="宋体" w:hAnsi="宋体" w:cs="宋体"/>
          <w:color w:val="auto"/>
          <w:sz w:val="22"/>
          <w:szCs w:val="22"/>
          <w:highlight w:val="none"/>
          <w:lang w:val="zh-CN" w:bidi="zh-CN"/>
        </w:rPr>
        <w:t>，从业人员</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lang w:val="zh-CN" w:bidi="zh-CN"/>
        </w:rPr>
        <w:t>人，营业收入为</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u w:val="single"/>
          <w:lang w:bidi="zh-CN"/>
        </w:rPr>
        <w:t xml:space="preserve">  </w:t>
      </w:r>
      <w:r>
        <w:rPr>
          <w:rFonts w:hint="eastAsia" w:ascii="宋体" w:hAnsi="宋体" w:cs="宋体"/>
          <w:color w:val="auto"/>
          <w:sz w:val="22"/>
          <w:szCs w:val="22"/>
          <w:highlight w:val="none"/>
          <w:lang w:val="zh-CN" w:bidi="zh-CN"/>
        </w:rPr>
        <w:t>万元，资产总额为</w:t>
      </w:r>
      <w:r>
        <w:rPr>
          <w:rFonts w:hint="eastAsia" w:ascii="宋体" w:hAnsi="宋体" w:cs="宋体"/>
          <w:color w:val="auto"/>
          <w:sz w:val="22"/>
          <w:szCs w:val="22"/>
          <w:highlight w:val="none"/>
          <w:u w:val="single"/>
          <w:lang w:bidi="zh-CN"/>
        </w:rPr>
        <w:t xml:space="preserve">   </w:t>
      </w:r>
      <w:r>
        <w:rPr>
          <w:rFonts w:hint="eastAsia" w:ascii="宋体" w:hAnsi="宋体" w:cs="宋体"/>
          <w:color w:val="auto"/>
          <w:sz w:val="22"/>
          <w:szCs w:val="22"/>
          <w:highlight w:val="none"/>
          <w:lang w:val="zh-CN" w:bidi="zh-CN"/>
        </w:rPr>
        <w:t>万元，属于</w:t>
      </w:r>
      <w:r>
        <w:rPr>
          <w:rFonts w:hint="eastAsia" w:ascii="宋体" w:hAnsi="宋体" w:cs="宋体"/>
          <w:i/>
          <w:iCs/>
          <w:color w:val="auto"/>
          <w:sz w:val="22"/>
          <w:szCs w:val="22"/>
          <w:highlight w:val="none"/>
          <w:u w:val="single"/>
          <w:lang w:val="zh-CN" w:bidi="zh-CN"/>
        </w:rPr>
        <w:t>（中型企业、小型企业、微型企业）</w:t>
      </w:r>
      <w:r>
        <w:rPr>
          <w:rFonts w:hint="eastAsia" w:ascii="宋体" w:hAnsi="宋体" w:cs="宋体"/>
          <w:color w:val="auto"/>
          <w:kern w:val="0"/>
          <w:sz w:val="22"/>
          <w:szCs w:val="22"/>
          <w:highlight w:val="none"/>
        </w:rPr>
        <w:t>；</w:t>
      </w:r>
    </w:p>
    <w:p>
      <w:pPr>
        <w:spacing w:before="240" w:beforeLines="100" w:line="440" w:lineRule="atLeast"/>
        <w:ind w:firstLine="440" w:firstLineChars="200"/>
        <w:rPr>
          <w:rFonts w:ascii="宋体" w:hAnsi="宋体" w:cs="宋体"/>
          <w:color w:val="auto"/>
          <w:kern w:val="0"/>
          <w:sz w:val="22"/>
          <w:szCs w:val="22"/>
          <w:highlight w:val="none"/>
        </w:rPr>
      </w:pPr>
      <w:r>
        <w:rPr>
          <w:rFonts w:hint="eastAsia" w:ascii="宋体" w:hAnsi="宋体" w:cs="宋体"/>
          <w:color w:val="auto"/>
          <w:sz w:val="22"/>
          <w:szCs w:val="22"/>
          <w:highlight w:val="none"/>
          <w:lang w:val="zh-CN" w:bidi="zh-CN"/>
        </w:rPr>
        <w:t>……</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  </w:t>
      </w:r>
      <w:r>
        <w:rPr>
          <w:rFonts w:hint="eastAsia" w:ascii="宋体" w:hAnsi="宋体" w:cs="宋体"/>
          <w:color w:val="auto"/>
          <w:sz w:val="22"/>
          <w:szCs w:val="22"/>
          <w:highlight w:val="none"/>
          <w:lang w:val="zh-CN" w:bidi="zh-CN"/>
        </w:rPr>
        <w:t>以上企业，不属于大企业的分支机构，不存在控股股东为大企业的情形，也不存在与大企业的负责人为同一人的情形。</w:t>
      </w:r>
      <w:r>
        <w:rPr>
          <w:rFonts w:hint="eastAsia" w:ascii="宋体" w:hAnsi="宋体" w:cs="宋体"/>
          <w:color w:val="auto"/>
          <w:kern w:val="0"/>
          <w:sz w:val="22"/>
          <w:szCs w:val="22"/>
          <w:highlight w:val="none"/>
        </w:rPr>
        <w:t xml:space="preserve">  </w:t>
      </w:r>
    </w:p>
    <w:p>
      <w:pPr>
        <w:widowControl/>
        <w:adjustRightInd w:val="0"/>
        <w:snapToGrid w:val="0"/>
        <w:spacing w:line="400" w:lineRule="exact"/>
        <w:ind w:firstLine="440" w:firstLineChars="200"/>
        <w:jc w:val="left"/>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本企业对上述声明内容的真实性负责。如有虚假，将依法承担相应责任。</w:t>
      </w:r>
    </w:p>
    <w:p>
      <w:pPr>
        <w:widowControl/>
        <w:adjustRightInd w:val="0"/>
        <w:snapToGrid w:val="0"/>
        <w:spacing w:line="400" w:lineRule="exact"/>
        <w:ind w:firstLine="3300" w:firstLineChars="1500"/>
        <w:jc w:val="left"/>
        <w:rPr>
          <w:rFonts w:ascii="宋体" w:hAnsi="宋体" w:cs="宋体"/>
          <w:color w:val="auto"/>
          <w:sz w:val="22"/>
          <w:szCs w:val="22"/>
          <w:highlight w:val="none"/>
        </w:rPr>
      </w:pPr>
    </w:p>
    <w:p>
      <w:pPr>
        <w:widowControl/>
        <w:adjustRightInd w:val="0"/>
        <w:snapToGrid w:val="0"/>
        <w:spacing w:line="400" w:lineRule="exact"/>
        <w:ind w:firstLine="3300" w:firstLineChars="1500"/>
        <w:jc w:val="left"/>
        <w:rPr>
          <w:rFonts w:ascii="宋体" w:hAnsi="宋体" w:cs="宋体"/>
          <w:color w:val="auto"/>
          <w:sz w:val="22"/>
          <w:szCs w:val="22"/>
          <w:highlight w:val="none"/>
        </w:rPr>
      </w:pPr>
    </w:p>
    <w:p>
      <w:pPr>
        <w:widowControl/>
        <w:adjustRightInd w:val="0"/>
        <w:snapToGrid w:val="0"/>
        <w:spacing w:line="400" w:lineRule="exact"/>
        <w:ind w:firstLine="3300" w:firstLineChars="1500"/>
        <w:jc w:val="left"/>
        <w:rPr>
          <w:rFonts w:ascii="宋体" w:hAnsi="宋体" w:cs="宋体"/>
          <w:color w:val="auto"/>
          <w:sz w:val="22"/>
          <w:szCs w:val="22"/>
          <w:highlight w:val="none"/>
        </w:rPr>
      </w:pPr>
    </w:p>
    <w:p>
      <w:pPr>
        <w:pStyle w:val="25"/>
        <w:rPr>
          <w:rFonts w:ascii="宋体" w:hAnsi="宋体" w:cs="宋体"/>
          <w:color w:val="auto"/>
          <w:sz w:val="22"/>
          <w:szCs w:val="22"/>
          <w:highlight w:val="none"/>
        </w:rPr>
      </w:pP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投标人名称（盖章）：</w:t>
      </w: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pPr>
        <w:spacing w:line="440" w:lineRule="atLeast"/>
        <w:jc w:val="center"/>
        <w:rPr>
          <w:rFonts w:ascii="宋体" w:hAnsi="宋体" w:cs="宋体"/>
          <w:color w:val="auto"/>
          <w:kern w:val="0"/>
          <w:sz w:val="22"/>
          <w:szCs w:val="22"/>
          <w:highlight w:val="none"/>
        </w:rPr>
      </w:pPr>
    </w:p>
    <w:p>
      <w:pPr>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说明：</w:t>
      </w:r>
    </w:p>
    <w:p>
      <w:pPr>
        <w:numPr>
          <w:ilvl w:val="0"/>
          <w:numId w:val="38"/>
        </w:numPr>
        <w:tabs>
          <w:tab w:val="left" w:pos="420"/>
        </w:tabs>
        <w:spacing w:line="400" w:lineRule="exact"/>
        <w:ind w:left="425" w:leftChars="0" w:hanging="425" w:firstLineChars="0"/>
        <w:rPr>
          <w:rFonts w:hint="eastAsia" w:ascii="宋体" w:hAnsi="宋体" w:cs="宋体"/>
          <w:b/>
          <w:color w:val="auto"/>
          <w:sz w:val="22"/>
          <w:szCs w:val="22"/>
          <w:highlight w:val="none"/>
        </w:rPr>
      </w:pPr>
      <w:r>
        <w:rPr>
          <w:rFonts w:hint="eastAsia" w:ascii="宋体" w:hAnsi="宋体" w:cs="宋体"/>
          <w:b/>
          <w:color w:val="auto"/>
          <w:sz w:val="22"/>
          <w:szCs w:val="22"/>
          <w:highlight w:val="none"/>
        </w:rPr>
        <w:t>本项目为对应的中小企业划分标准所属行业：</w:t>
      </w:r>
      <w:r>
        <w:rPr>
          <w:rFonts w:hint="eastAsia" w:ascii="宋体" w:hAnsi="宋体" w:cs="宋体"/>
          <w:b/>
          <w:color w:val="auto"/>
          <w:sz w:val="22"/>
          <w:szCs w:val="22"/>
          <w:highlight w:val="none"/>
          <w:u w:val="single"/>
        </w:rPr>
        <w:t xml:space="preserve"> </w:t>
      </w:r>
      <w:r>
        <w:rPr>
          <w:rFonts w:hint="eastAsia" w:ascii="宋体" w:hAnsi="宋体" w:cs="宋体"/>
          <w:b/>
          <w:color w:val="auto"/>
          <w:sz w:val="22"/>
          <w:szCs w:val="22"/>
          <w:highlight w:val="none"/>
          <w:u w:val="single"/>
          <w:lang w:val="en-US" w:eastAsia="zh-CN"/>
        </w:rPr>
        <w:t>工</w:t>
      </w:r>
      <w:r>
        <w:rPr>
          <w:rFonts w:hint="eastAsia" w:ascii="宋体" w:hAnsi="宋体" w:cs="宋体"/>
          <w:b/>
          <w:color w:val="auto"/>
          <w:sz w:val="22"/>
          <w:szCs w:val="22"/>
          <w:highlight w:val="none"/>
          <w:u w:val="single"/>
        </w:rPr>
        <w:t>业</w:t>
      </w:r>
      <w:r>
        <w:rPr>
          <w:rFonts w:hint="eastAsia" w:ascii="宋体" w:hAnsi="宋体" w:cs="宋体"/>
          <w:b/>
          <w:color w:val="auto"/>
          <w:sz w:val="22"/>
          <w:szCs w:val="22"/>
          <w:highlight w:val="none"/>
        </w:rPr>
        <w:t>。</w:t>
      </w:r>
    </w:p>
    <w:p>
      <w:pPr>
        <w:numPr>
          <w:ilvl w:val="0"/>
          <w:numId w:val="38"/>
        </w:numPr>
        <w:tabs>
          <w:tab w:val="left" w:pos="420"/>
        </w:tabs>
        <w:spacing w:line="400" w:lineRule="exact"/>
        <w:ind w:left="425" w:leftChars="0" w:hanging="425" w:firstLineChars="0"/>
        <w:rPr>
          <w:rFonts w:ascii="宋体" w:hAnsi="宋体" w:cs="宋体"/>
          <w:b/>
          <w:color w:val="auto"/>
          <w:sz w:val="22"/>
          <w:szCs w:val="22"/>
          <w:highlight w:val="none"/>
        </w:rPr>
      </w:pPr>
      <w:r>
        <w:rPr>
          <w:rFonts w:hint="eastAsia" w:ascii="宋体" w:hAnsi="宋体" w:cs="宋体"/>
          <w:b/>
          <w:color w:val="auto"/>
          <w:sz w:val="22"/>
          <w:szCs w:val="22"/>
          <w:highlight w:val="none"/>
        </w:rPr>
        <w:t>从业人员、营业收入、资产总额填报上一年度数据，无上一年度数据的新成立企业可不填报。</w:t>
      </w:r>
    </w:p>
    <w:p>
      <w:pPr>
        <w:pStyle w:val="751"/>
        <w:spacing w:before="60" w:after="60"/>
        <w:rPr>
          <w:rFonts w:ascii="宋体" w:hAnsi="宋体" w:cs="宋体"/>
          <w:color w:val="auto"/>
          <w:sz w:val="22"/>
          <w:szCs w:val="22"/>
          <w:highlight w:val="none"/>
        </w:rPr>
        <w:sectPr>
          <w:footerReference r:id="rId5" w:type="first"/>
          <w:headerReference r:id="rId3" w:type="default"/>
          <w:footerReference r:id="rId4" w:type="default"/>
          <w:type w:val="nextColumn"/>
          <w:pgSz w:w="11906" w:h="16838"/>
          <w:pgMar w:top="1134" w:right="1134" w:bottom="1134" w:left="1134" w:header="851" w:footer="992" w:gutter="0"/>
          <w:pgBorders>
            <w:top w:val="none" w:sz="0" w:space="0"/>
            <w:left w:val="none" w:sz="0" w:space="0"/>
            <w:bottom w:val="none" w:sz="0" w:space="0"/>
            <w:right w:val="none" w:sz="0" w:space="0"/>
          </w:pgBorders>
          <w:cols w:space="720" w:num="1"/>
          <w:titlePg/>
          <w:docGrid w:linePitch="312" w:charSpace="0"/>
        </w:sectPr>
      </w:pPr>
    </w:p>
    <w:p>
      <w:pPr>
        <w:spacing w:after="120" w:line="440" w:lineRule="exact"/>
        <w:jc w:val="center"/>
        <w:rPr>
          <w:rFonts w:ascii="宋体" w:hAnsi="宋体" w:cs="宋体"/>
          <w:b/>
          <w:bCs/>
          <w:color w:val="auto"/>
          <w:sz w:val="22"/>
          <w:szCs w:val="22"/>
          <w:highlight w:val="none"/>
        </w:rPr>
      </w:pPr>
    </w:p>
    <w:p>
      <w:pPr>
        <w:spacing w:after="120" w:line="44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中小企业声明函（工程、服务）</w:t>
      </w:r>
    </w:p>
    <w:p>
      <w:pPr>
        <w:spacing w:before="5" w:after="120" w:line="440" w:lineRule="exact"/>
        <w:rPr>
          <w:rFonts w:ascii="宋体" w:hAnsi="宋体" w:cs="宋体"/>
          <w:b/>
          <w:color w:val="auto"/>
          <w:sz w:val="22"/>
          <w:szCs w:val="22"/>
          <w:highlight w:val="none"/>
        </w:rPr>
      </w:pPr>
    </w:p>
    <w:p>
      <w:pPr>
        <w:spacing w:after="120" w:line="480" w:lineRule="exact"/>
        <w:ind w:right="-1" w:firstLine="440" w:firstLineChars="200"/>
        <w:jc w:val="left"/>
        <w:rPr>
          <w:rFonts w:ascii="宋体" w:hAnsi="宋体" w:cs="宋体"/>
          <w:color w:val="auto"/>
          <w:sz w:val="22"/>
          <w:szCs w:val="22"/>
          <w:highlight w:val="none"/>
        </w:rPr>
      </w:pPr>
      <w:r>
        <w:rPr>
          <w:rFonts w:hint="eastAsia" w:ascii="宋体" w:hAnsi="宋体" w:cs="宋体"/>
          <w:color w:val="auto"/>
          <w:sz w:val="22"/>
          <w:szCs w:val="22"/>
          <w:highlight w:val="none"/>
        </w:rPr>
        <w:t>本公司（联合体）郑重声明，根据《政府采购促进中小企业发展管理办法》（财库﹝2020﹞46号）的规定，本公司（联合体）参加</w:t>
      </w:r>
      <w:r>
        <w:rPr>
          <w:rFonts w:hint="eastAsia" w:ascii="宋体" w:hAnsi="宋体" w:cs="宋体"/>
          <w:i/>
          <w:iCs/>
          <w:color w:val="auto"/>
          <w:sz w:val="22"/>
          <w:szCs w:val="22"/>
          <w:highlight w:val="none"/>
          <w:u w:val="single"/>
        </w:rPr>
        <w:t>（单位名称）</w:t>
      </w:r>
      <w:r>
        <w:rPr>
          <w:rFonts w:hint="eastAsia" w:ascii="宋体" w:hAnsi="宋体" w:cs="宋体"/>
          <w:color w:val="auto"/>
          <w:sz w:val="22"/>
          <w:szCs w:val="22"/>
          <w:highlight w:val="none"/>
        </w:rPr>
        <w:t>的</w:t>
      </w:r>
      <w:r>
        <w:rPr>
          <w:rFonts w:hint="eastAsia" w:ascii="宋体" w:hAnsi="宋体" w:cs="宋体"/>
          <w:i/>
          <w:iCs/>
          <w:color w:val="auto"/>
          <w:sz w:val="22"/>
          <w:szCs w:val="22"/>
          <w:highlight w:val="none"/>
          <w:u w:val="single"/>
        </w:rPr>
        <w:t>（项目名称）</w:t>
      </w:r>
      <w:r>
        <w:rPr>
          <w:rFonts w:hint="eastAsia" w:ascii="宋体" w:hAnsi="宋体" w:cs="宋体"/>
          <w:color w:val="auto"/>
          <w:sz w:val="22"/>
          <w:szCs w:val="22"/>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25"/>
        <w:tabs>
          <w:tab w:val="left" w:pos="1025"/>
        </w:tabs>
        <w:spacing w:line="480" w:lineRule="exact"/>
        <w:ind w:firstLine="440"/>
        <w:jc w:val="left"/>
        <w:rPr>
          <w:rFonts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宋体" w:hAnsi="宋体" w:cs="宋体"/>
          <w:i/>
          <w:iCs/>
          <w:color w:val="auto"/>
          <w:sz w:val="22"/>
          <w:szCs w:val="22"/>
          <w:highlight w:val="none"/>
          <w:u w:val="single"/>
        </w:rPr>
        <w:t>（标的名称）</w:t>
      </w:r>
      <w:r>
        <w:rPr>
          <w:rFonts w:hint="eastAsia" w:ascii="宋体" w:hAnsi="宋体" w:cs="宋体"/>
          <w:color w:val="auto"/>
          <w:sz w:val="22"/>
          <w:szCs w:val="22"/>
          <w:highlight w:val="none"/>
        </w:rPr>
        <w:t>，属于</w:t>
      </w:r>
      <w:r>
        <w:rPr>
          <w:rFonts w:hint="eastAsia" w:ascii="宋体" w:hAnsi="宋体" w:cs="宋体"/>
          <w:i/>
          <w:iCs/>
          <w:color w:val="auto"/>
          <w:sz w:val="22"/>
          <w:szCs w:val="22"/>
          <w:highlight w:val="none"/>
          <w:u w:val="single"/>
        </w:rPr>
        <w:t>（招标文件中明确的所属行业）</w:t>
      </w:r>
      <w:r>
        <w:rPr>
          <w:rFonts w:hint="eastAsia" w:ascii="宋体" w:hAnsi="宋体" w:cs="宋体"/>
          <w:color w:val="auto"/>
          <w:sz w:val="22"/>
          <w:szCs w:val="22"/>
          <w:highlight w:val="none"/>
        </w:rPr>
        <w:t>；承建（承接）企业为</w:t>
      </w:r>
      <w:r>
        <w:rPr>
          <w:rFonts w:hint="eastAsia" w:ascii="宋体" w:hAnsi="宋体" w:cs="宋体"/>
          <w:i/>
          <w:iCs/>
          <w:color w:val="auto"/>
          <w:sz w:val="22"/>
          <w:szCs w:val="22"/>
          <w:highlight w:val="none"/>
          <w:u w:val="single"/>
        </w:rPr>
        <w:t>（企业名称）</w:t>
      </w:r>
      <w:r>
        <w:rPr>
          <w:rFonts w:hint="eastAsia" w:ascii="宋体" w:hAnsi="宋体" w:cs="宋体"/>
          <w:color w:val="auto"/>
          <w:sz w:val="22"/>
          <w:szCs w:val="22"/>
          <w:highlight w:val="none"/>
        </w:rPr>
        <w:t>，从业人员</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人，营业收入为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万元，资产总额为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万元，属于</w:t>
      </w:r>
      <w:r>
        <w:rPr>
          <w:rFonts w:hint="eastAsia" w:ascii="宋体" w:hAnsi="宋体" w:cs="宋体"/>
          <w:i/>
          <w:iCs/>
          <w:color w:val="auto"/>
          <w:sz w:val="22"/>
          <w:szCs w:val="22"/>
          <w:highlight w:val="none"/>
          <w:u w:val="single"/>
        </w:rPr>
        <w:t>（中型企业、小型企业、微型企业）</w:t>
      </w:r>
      <w:r>
        <w:rPr>
          <w:rFonts w:hint="eastAsia" w:ascii="宋体" w:hAnsi="宋体" w:cs="宋体"/>
          <w:color w:val="auto"/>
          <w:sz w:val="22"/>
          <w:szCs w:val="22"/>
          <w:highlight w:val="none"/>
        </w:rPr>
        <w:t>；</w:t>
      </w:r>
    </w:p>
    <w:p>
      <w:pPr>
        <w:pStyle w:val="125"/>
        <w:tabs>
          <w:tab w:val="left" w:pos="1243"/>
          <w:tab w:val="left" w:pos="1806"/>
          <w:tab w:val="left" w:pos="5005"/>
          <w:tab w:val="left" w:pos="7213"/>
        </w:tabs>
        <w:spacing w:line="480" w:lineRule="exact"/>
        <w:ind w:firstLine="440"/>
        <w:jc w:val="left"/>
        <w:rPr>
          <w:rFonts w:ascii="宋体" w:hAnsi="宋体" w:cs="宋体"/>
          <w:color w:val="auto"/>
          <w:sz w:val="22"/>
          <w:szCs w:val="22"/>
          <w:highlight w:val="none"/>
        </w:rPr>
      </w:pPr>
      <w:r>
        <w:rPr>
          <w:rFonts w:hint="eastAsia" w:ascii="宋体" w:hAnsi="宋体" w:cs="宋体"/>
          <w:color w:val="auto"/>
          <w:sz w:val="22"/>
          <w:szCs w:val="22"/>
          <w:highlight w:val="none"/>
        </w:rPr>
        <w:t>2.</w:t>
      </w:r>
      <w:r>
        <w:rPr>
          <w:rFonts w:hint="eastAsia" w:ascii="宋体" w:hAnsi="宋体" w:cs="宋体"/>
          <w:i/>
          <w:iCs/>
          <w:color w:val="auto"/>
          <w:sz w:val="22"/>
          <w:szCs w:val="22"/>
          <w:highlight w:val="none"/>
          <w:u w:val="single"/>
        </w:rPr>
        <w:t>（标的名称）</w:t>
      </w:r>
      <w:r>
        <w:rPr>
          <w:rFonts w:hint="eastAsia" w:ascii="宋体" w:hAnsi="宋体" w:cs="宋体"/>
          <w:color w:val="auto"/>
          <w:sz w:val="22"/>
          <w:szCs w:val="22"/>
          <w:highlight w:val="none"/>
        </w:rPr>
        <w:t>，属于</w:t>
      </w:r>
      <w:r>
        <w:rPr>
          <w:rFonts w:hint="eastAsia" w:ascii="宋体" w:hAnsi="宋体" w:cs="宋体"/>
          <w:i/>
          <w:iCs/>
          <w:color w:val="auto"/>
          <w:sz w:val="22"/>
          <w:szCs w:val="22"/>
          <w:highlight w:val="none"/>
          <w:u w:val="single"/>
        </w:rPr>
        <w:t>（招标文件中明确的所属行业）</w:t>
      </w:r>
      <w:r>
        <w:rPr>
          <w:rFonts w:hint="eastAsia" w:ascii="宋体" w:hAnsi="宋体" w:cs="宋体"/>
          <w:color w:val="auto"/>
          <w:sz w:val="22"/>
          <w:szCs w:val="22"/>
          <w:highlight w:val="none"/>
        </w:rPr>
        <w:t>；承建（承接）企业为</w:t>
      </w:r>
      <w:r>
        <w:rPr>
          <w:rFonts w:hint="eastAsia" w:ascii="宋体" w:hAnsi="宋体" w:cs="宋体"/>
          <w:i/>
          <w:iCs/>
          <w:color w:val="auto"/>
          <w:sz w:val="22"/>
          <w:szCs w:val="22"/>
          <w:highlight w:val="none"/>
          <w:u w:val="single"/>
        </w:rPr>
        <w:t>（企业名称）</w:t>
      </w:r>
      <w:r>
        <w:rPr>
          <w:rFonts w:hint="eastAsia" w:ascii="宋体" w:hAnsi="宋体" w:cs="宋体"/>
          <w:color w:val="auto"/>
          <w:sz w:val="22"/>
          <w:szCs w:val="22"/>
          <w:highlight w:val="none"/>
        </w:rPr>
        <w:t>，从业人员</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人，营业收入为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万元，资产总额为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万元，属于</w:t>
      </w:r>
      <w:r>
        <w:rPr>
          <w:rFonts w:hint="eastAsia" w:ascii="宋体" w:hAnsi="宋体" w:cs="宋体"/>
          <w:i/>
          <w:iCs/>
          <w:color w:val="auto"/>
          <w:sz w:val="22"/>
          <w:szCs w:val="22"/>
          <w:highlight w:val="none"/>
          <w:u w:val="single"/>
        </w:rPr>
        <w:t>（中型企业、小型企业、微型企业）</w:t>
      </w:r>
      <w:r>
        <w:rPr>
          <w:rFonts w:hint="eastAsia" w:ascii="宋体" w:hAnsi="宋体" w:cs="宋体"/>
          <w:color w:val="auto"/>
          <w:sz w:val="22"/>
          <w:szCs w:val="22"/>
          <w:highlight w:val="none"/>
        </w:rPr>
        <w:t>；</w:t>
      </w:r>
    </w:p>
    <w:p>
      <w:pPr>
        <w:spacing w:before="11" w:after="120" w:line="480" w:lineRule="exact"/>
        <w:ind w:left="860"/>
        <w:jc w:val="left"/>
        <w:rPr>
          <w:rFonts w:ascii="宋体" w:hAnsi="宋体" w:cs="宋体"/>
          <w:color w:val="auto"/>
          <w:sz w:val="22"/>
          <w:szCs w:val="22"/>
          <w:highlight w:val="none"/>
        </w:rPr>
      </w:pPr>
      <w:r>
        <w:rPr>
          <w:rFonts w:hint="eastAsia" w:ascii="宋体" w:hAnsi="宋体" w:cs="宋体"/>
          <w:color w:val="auto"/>
          <w:sz w:val="22"/>
          <w:szCs w:val="22"/>
          <w:highlight w:val="none"/>
        </w:rPr>
        <w:t>……</w:t>
      </w:r>
    </w:p>
    <w:p>
      <w:pPr>
        <w:spacing w:before="108" w:after="120" w:line="480" w:lineRule="exact"/>
        <w:ind w:right="417" w:firstLine="645"/>
        <w:jc w:val="left"/>
        <w:rPr>
          <w:rFonts w:ascii="宋体" w:hAnsi="宋体" w:cs="宋体"/>
          <w:color w:val="auto"/>
          <w:sz w:val="22"/>
          <w:szCs w:val="22"/>
          <w:highlight w:val="none"/>
        </w:rPr>
      </w:pPr>
      <w:r>
        <w:rPr>
          <w:rFonts w:hint="eastAsia" w:ascii="宋体" w:hAnsi="宋体" w:cs="宋体"/>
          <w:color w:val="auto"/>
          <w:sz w:val="22"/>
          <w:szCs w:val="22"/>
          <w:highlight w:val="none"/>
        </w:rPr>
        <w:t>以上企业，不属于大企业的分支机构，不存在控股股东为大企业的情形，也不存在与大企业的负责人为同一人的情形。</w:t>
      </w:r>
    </w:p>
    <w:p>
      <w:pPr>
        <w:spacing w:after="120" w:line="480" w:lineRule="exact"/>
        <w:ind w:right="375" w:firstLine="860"/>
        <w:jc w:val="left"/>
        <w:rPr>
          <w:rFonts w:ascii="宋体" w:hAnsi="宋体" w:cs="宋体"/>
          <w:color w:val="auto"/>
          <w:sz w:val="22"/>
          <w:szCs w:val="22"/>
          <w:highlight w:val="none"/>
        </w:rPr>
      </w:pPr>
      <w:r>
        <w:rPr>
          <w:rFonts w:hint="eastAsia" w:ascii="宋体" w:hAnsi="宋体" w:cs="宋体"/>
          <w:color w:val="auto"/>
          <w:sz w:val="22"/>
          <w:szCs w:val="22"/>
          <w:highlight w:val="none"/>
        </w:rPr>
        <w:t>本企业对上述声明内容的真实性负责。如有虚假，将依法承担相应责任。</w:t>
      </w:r>
    </w:p>
    <w:p>
      <w:pPr>
        <w:spacing w:before="29" w:after="120" w:line="480" w:lineRule="exact"/>
        <w:ind w:left="4060" w:right="2166"/>
        <w:jc w:val="left"/>
        <w:rPr>
          <w:rFonts w:ascii="宋体" w:hAnsi="宋体" w:cs="宋体"/>
          <w:color w:val="auto"/>
          <w:sz w:val="22"/>
          <w:szCs w:val="22"/>
          <w:highlight w:val="none"/>
        </w:rPr>
      </w:pP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投标人名称（盖章）：</w:t>
      </w: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pPr>
        <w:pStyle w:val="751"/>
        <w:spacing w:before="60" w:after="60"/>
        <w:rPr>
          <w:rFonts w:ascii="宋体" w:hAnsi="宋体" w:cs="宋体"/>
          <w:color w:val="auto"/>
          <w:sz w:val="22"/>
          <w:szCs w:val="22"/>
          <w:highlight w:val="none"/>
        </w:rPr>
      </w:pPr>
    </w:p>
    <w:p>
      <w:pPr>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说明：</w:t>
      </w:r>
    </w:p>
    <w:p>
      <w:pPr>
        <w:numPr>
          <w:ilvl w:val="0"/>
          <w:numId w:val="39"/>
        </w:numPr>
        <w:tabs>
          <w:tab w:val="left" w:pos="420"/>
        </w:tabs>
        <w:spacing w:line="400" w:lineRule="exact"/>
        <w:ind w:left="425" w:leftChars="0" w:hanging="425" w:firstLineChars="0"/>
        <w:rPr>
          <w:rFonts w:hint="eastAsia" w:ascii="宋体" w:hAnsi="宋体" w:cs="宋体"/>
          <w:b/>
          <w:color w:val="auto"/>
          <w:sz w:val="22"/>
          <w:szCs w:val="22"/>
          <w:highlight w:val="none"/>
        </w:rPr>
      </w:pPr>
      <w:r>
        <w:rPr>
          <w:rFonts w:hint="eastAsia" w:ascii="宋体" w:hAnsi="宋体" w:cs="宋体"/>
          <w:b/>
          <w:color w:val="auto"/>
          <w:sz w:val="22"/>
          <w:szCs w:val="22"/>
          <w:highlight w:val="none"/>
        </w:rPr>
        <w:t>本项目为对应的中小企业划分标准所属行业：</w:t>
      </w:r>
      <w:r>
        <w:rPr>
          <w:rFonts w:hint="eastAsia" w:ascii="宋体" w:hAnsi="宋体" w:cs="宋体"/>
          <w:b/>
          <w:color w:val="auto"/>
          <w:sz w:val="22"/>
          <w:szCs w:val="22"/>
          <w:highlight w:val="none"/>
          <w:u w:val="single"/>
        </w:rPr>
        <w:t xml:space="preserve"> </w:t>
      </w:r>
      <w:r>
        <w:rPr>
          <w:rFonts w:hint="eastAsia" w:ascii="宋体" w:hAnsi="宋体" w:cs="宋体"/>
          <w:b/>
          <w:color w:val="auto"/>
          <w:sz w:val="22"/>
          <w:szCs w:val="22"/>
          <w:highlight w:val="none"/>
          <w:u w:val="single"/>
          <w:lang w:val="en-US" w:eastAsia="zh-CN"/>
        </w:rPr>
        <w:t>工</w:t>
      </w:r>
      <w:r>
        <w:rPr>
          <w:rFonts w:hint="eastAsia" w:ascii="宋体" w:hAnsi="宋体" w:cs="宋体"/>
          <w:b/>
          <w:color w:val="auto"/>
          <w:sz w:val="22"/>
          <w:szCs w:val="22"/>
          <w:highlight w:val="none"/>
          <w:u w:val="single"/>
        </w:rPr>
        <w:t>业</w:t>
      </w:r>
      <w:r>
        <w:rPr>
          <w:rFonts w:hint="eastAsia" w:ascii="宋体" w:hAnsi="宋体" w:cs="宋体"/>
          <w:b/>
          <w:color w:val="auto"/>
          <w:sz w:val="22"/>
          <w:szCs w:val="22"/>
          <w:highlight w:val="none"/>
        </w:rPr>
        <w:t>。</w:t>
      </w:r>
    </w:p>
    <w:p>
      <w:pPr>
        <w:numPr>
          <w:ilvl w:val="0"/>
          <w:numId w:val="39"/>
        </w:numPr>
        <w:tabs>
          <w:tab w:val="left" w:pos="420"/>
        </w:tabs>
        <w:spacing w:line="400" w:lineRule="exact"/>
        <w:ind w:left="425" w:leftChars="0" w:hanging="425" w:firstLineChars="0"/>
        <w:rPr>
          <w:rFonts w:ascii="宋体" w:hAnsi="宋体" w:cs="宋体"/>
          <w:b/>
          <w:color w:val="auto"/>
          <w:sz w:val="22"/>
          <w:szCs w:val="22"/>
          <w:highlight w:val="none"/>
        </w:rPr>
      </w:pPr>
      <w:r>
        <w:rPr>
          <w:rFonts w:hint="eastAsia" w:ascii="宋体" w:hAnsi="宋体" w:cs="宋体"/>
          <w:b/>
          <w:color w:val="auto"/>
          <w:sz w:val="22"/>
          <w:szCs w:val="22"/>
          <w:highlight w:val="none"/>
        </w:rPr>
        <w:t>从业人员、营业收入、资产总额填报上一年度数据，无上一年度数据的新成立企业可不填报。</w:t>
      </w:r>
    </w:p>
    <w:p>
      <w:pPr>
        <w:pStyle w:val="751"/>
        <w:spacing w:before="60" w:after="60"/>
        <w:rPr>
          <w:rFonts w:ascii="宋体" w:hAnsi="宋体" w:cs="宋体"/>
          <w:color w:val="auto"/>
          <w:sz w:val="22"/>
          <w:szCs w:val="22"/>
          <w:highlight w:val="none"/>
        </w:rPr>
        <w:sectPr>
          <w:pgSz w:w="11906" w:h="16838"/>
          <w:pgMar w:top="1134" w:right="1134" w:bottom="1134" w:left="1134" w:header="851" w:footer="992" w:gutter="0"/>
          <w:pgBorders>
            <w:top w:val="none" w:sz="0" w:space="0"/>
            <w:left w:val="none" w:sz="0" w:space="0"/>
            <w:bottom w:val="none" w:sz="0" w:space="0"/>
            <w:right w:val="none" w:sz="0" w:space="0"/>
          </w:pgBorders>
          <w:cols w:space="720" w:num="1"/>
          <w:docGrid w:linePitch="312" w:charSpace="0"/>
        </w:sectPr>
      </w:pPr>
    </w:p>
    <w:p>
      <w:pPr>
        <w:spacing w:before="240" w:beforeLines="100" w:line="440" w:lineRule="atLeast"/>
        <w:ind w:firstLine="440" w:firstLineChars="200"/>
        <w:jc w:val="right"/>
        <w:rPr>
          <w:rFonts w:ascii="宋体"/>
          <w:color w:val="auto"/>
          <w:sz w:val="22"/>
          <w:szCs w:val="22"/>
          <w:highlight w:val="none"/>
        </w:rPr>
      </w:pPr>
      <w:r>
        <w:rPr>
          <w:rFonts w:ascii="宋体"/>
          <w:color w:val="auto"/>
          <w:sz w:val="22"/>
          <w:szCs w:val="22"/>
          <w:highlight w:val="none"/>
        </w:rPr>
        <w:t>               </w:t>
      </w:r>
      <w:r>
        <w:rPr>
          <w:rFonts w:hint="eastAsia" w:ascii="宋体" w:hAnsi="宋体"/>
          <w:color w:val="auto"/>
          <w:sz w:val="22"/>
          <w:szCs w:val="22"/>
          <w:highlight w:val="none"/>
        </w:rPr>
        <w:t>　　　　　</w:t>
      </w:r>
    </w:p>
    <w:p>
      <w:pPr>
        <w:spacing w:line="440" w:lineRule="atLeast"/>
        <w:rPr>
          <w:rFonts w:ascii="宋体"/>
          <w:color w:val="auto"/>
          <w:sz w:val="22"/>
          <w:szCs w:val="22"/>
          <w:highlight w:val="none"/>
        </w:rPr>
      </w:pPr>
    </w:p>
    <w:p>
      <w:pPr>
        <w:spacing w:line="440" w:lineRule="atLeast"/>
        <w:jc w:val="center"/>
        <w:rPr>
          <w:rFonts w:ascii="宋体"/>
          <w:color w:val="auto"/>
          <w:spacing w:val="6"/>
          <w:sz w:val="22"/>
          <w:szCs w:val="22"/>
          <w:highlight w:val="none"/>
        </w:rPr>
      </w:pPr>
      <w:r>
        <w:rPr>
          <w:rFonts w:hint="eastAsia" w:ascii="宋体" w:hAnsi="宋体"/>
          <w:b/>
          <w:color w:val="auto"/>
          <w:sz w:val="22"/>
          <w:szCs w:val="22"/>
          <w:highlight w:val="none"/>
        </w:rPr>
        <w:t>（5）</w:t>
      </w:r>
      <w:r>
        <w:rPr>
          <w:rFonts w:hint="eastAsia" w:ascii="宋体" w:hAnsi="宋体"/>
          <w:b/>
          <w:color w:val="auto"/>
          <w:spacing w:val="6"/>
          <w:sz w:val="22"/>
          <w:szCs w:val="22"/>
          <w:highlight w:val="none"/>
        </w:rPr>
        <w:t>残疾人福利性单位声明函</w:t>
      </w:r>
    </w:p>
    <w:p>
      <w:pPr>
        <w:widowControl/>
        <w:adjustRightInd w:val="0"/>
        <w:snapToGrid w:val="0"/>
        <w:spacing w:line="324" w:lineRule="auto"/>
        <w:ind w:firstLine="440" w:firstLineChars="200"/>
        <w:jc w:val="center"/>
        <w:rPr>
          <w:rFonts w:ascii="宋体" w:cs="Arial"/>
          <w:color w:val="auto"/>
          <w:kern w:val="0"/>
          <w:sz w:val="22"/>
          <w:szCs w:val="22"/>
          <w:highlight w:val="none"/>
        </w:rPr>
      </w:pPr>
      <w:r>
        <w:rPr>
          <w:rFonts w:hint="eastAsia" w:ascii="宋体" w:hAnsi="宋体" w:cs="Arial"/>
          <w:color w:val="auto"/>
          <w:kern w:val="0"/>
          <w:sz w:val="22"/>
          <w:szCs w:val="22"/>
          <w:highlight w:val="none"/>
        </w:rPr>
        <w:t>【不属于残疾人福利性单位的无需填写、递交】</w:t>
      </w:r>
    </w:p>
    <w:p>
      <w:pPr>
        <w:snapToGrid w:val="0"/>
        <w:spacing w:line="300" w:lineRule="auto"/>
        <w:jc w:val="center"/>
        <w:rPr>
          <w:rFonts w:ascii="宋体" w:cs="Arial"/>
          <w:b/>
          <w:bCs/>
          <w:color w:val="auto"/>
          <w:sz w:val="22"/>
          <w:szCs w:val="22"/>
          <w:highlight w:val="none"/>
        </w:rPr>
      </w:pPr>
    </w:p>
    <w:p>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本单位郑重声明，根据《财政部民政部中国残疾人联合会关于促进残疾人就业政府采购政策的通知》（财库</w:t>
      </w:r>
      <w:r>
        <w:rPr>
          <w:rFonts w:hint="eastAsia" w:ascii="宋体" w:hAnsi="宋体" w:cs="Arial"/>
          <w:color w:val="auto"/>
          <w:sz w:val="22"/>
          <w:szCs w:val="22"/>
          <w:highlight w:val="none"/>
        </w:rPr>
        <w:t>〔</w:t>
      </w:r>
      <w:r>
        <w:rPr>
          <w:rFonts w:ascii="宋体" w:hAnsi="宋体" w:cs="Arial"/>
          <w:color w:val="auto"/>
          <w:sz w:val="22"/>
          <w:szCs w:val="22"/>
          <w:highlight w:val="none"/>
        </w:rPr>
        <w:t>2017</w:t>
      </w:r>
      <w:r>
        <w:rPr>
          <w:rFonts w:hint="eastAsia" w:ascii="宋体" w:hAnsi="宋体" w:cs="Arial"/>
          <w:color w:val="auto"/>
          <w:sz w:val="22"/>
          <w:szCs w:val="22"/>
          <w:highlight w:val="none"/>
        </w:rPr>
        <w:t>〕</w:t>
      </w:r>
      <w:r>
        <w:rPr>
          <w:rFonts w:ascii="宋体" w:hAnsi="宋体" w:cs="Arial"/>
          <w:color w:val="auto"/>
          <w:sz w:val="22"/>
          <w:szCs w:val="22"/>
          <w:highlight w:val="none"/>
        </w:rPr>
        <w:t>141</w:t>
      </w:r>
      <w:r>
        <w:rPr>
          <w:rFonts w:hint="eastAsia" w:ascii="宋体" w:hAnsi="宋体" w:cs="Arial"/>
          <w:color w:val="auto"/>
          <w:spacing w:val="6"/>
          <w:sz w:val="22"/>
          <w:szCs w:val="22"/>
          <w:highlight w:val="none"/>
        </w:rPr>
        <w:t>号）的规定，本单位为符合条件的残疾人福利性单位，且本单位参加</w:t>
      </w:r>
      <w:r>
        <w:rPr>
          <w:rFonts w:hint="eastAsia" w:ascii="宋体" w:hAnsi="宋体" w:cs="Arial"/>
          <w:color w:val="auto"/>
          <w:spacing w:val="6"/>
          <w:sz w:val="22"/>
          <w:szCs w:val="22"/>
          <w:highlight w:val="none"/>
          <w:u w:val="single"/>
        </w:rPr>
        <w:t>（采购人名称）</w:t>
      </w:r>
      <w:r>
        <w:rPr>
          <w:rFonts w:hint="eastAsia" w:ascii="宋体" w:hAnsi="宋体" w:cs="Arial"/>
          <w:color w:val="auto"/>
          <w:spacing w:val="6"/>
          <w:sz w:val="22"/>
          <w:szCs w:val="22"/>
          <w:highlight w:val="none"/>
        </w:rPr>
        <w:t>单位的</w:t>
      </w:r>
      <w:r>
        <w:rPr>
          <w:rFonts w:hint="eastAsia" w:ascii="宋体" w:hAnsi="宋体" w:cs="Arial"/>
          <w:color w:val="auto"/>
          <w:spacing w:val="6"/>
          <w:sz w:val="22"/>
          <w:szCs w:val="22"/>
          <w:highlight w:val="none"/>
          <w:u w:val="single"/>
        </w:rPr>
        <w:t>（项目名称）</w:t>
      </w:r>
      <w:r>
        <w:rPr>
          <w:rFonts w:hint="eastAsia" w:ascii="宋体" w:hAnsi="宋体" w:cs="Arial"/>
          <w:color w:val="auto"/>
          <w:spacing w:val="6"/>
          <w:sz w:val="22"/>
          <w:szCs w:val="22"/>
          <w:highlight w:val="none"/>
        </w:rPr>
        <w:t>项目采购活动提供本单位制造的货物（由本单位承担工程</w:t>
      </w:r>
      <w:r>
        <w:rPr>
          <w:rFonts w:ascii="宋体" w:hAnsi="宋体" w:cs="Arial"/>
          <w:color w:val="auto"/>
          <w:spacing w:val="6"/>
          <w:sz w:val="22"/>
          <w:szCs w:val="22"/>
          <w:highlight w:val="none"/>
        </w:rPr>
        <w:t>/</w:t>
      </w:r>
      <w:r>
        <w:rPr>
          <w:rFonts w:hint="eastAsia" w:ascii="宋体" w:hAnsi="宋体" w:cs="Arial"/>
          <w:color w:val="auto"/>
          <w:spacing w:val="6"/>
          <w:sz w:val="22"/>
          <w:szCs w:val="22"/>
          <w:highlight w:val="none"/>
        </w:rPr>
        <w:t>提供服务），或者提供其他残疾人福利性单位制造的货物（不包括使用非残疾人福利性单位注册商标的货物）。</w:t>
      </w:r>
    </w:p>
    <w:p>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本单位对上述声明的真实性负责。如有虚假，将依法承担相应责任。</w:t>
      </w:r>
    </w:p>
    <w:p>
      <w:pPr>
        <w:snapToGrid w:val="0"/>
        <w:spacing w:line="300" w:lineRule="auto"/>
        <w:ind w:firstLine="464" w:firstLineChars="200"/>
        <w:rPr>
          <w:rFonts w:ascii="宋体" w:cs="Arial"/>
          <w:color w:val="auto"/>
          <w:spacing w:val="6"/>
          <w:sz w:val="22"/>
          <w:szCs w:val="22"/>
          <w:highlight w:val="none"/>
        </w:rPr>
      </w:pPr>
    </w:p>
    <w:p>
      <w:pPr>
        <w:snapToGrid w:val="0"/>
        <w:spacing w:line="300" w:lineRule="auto"/>
        <w:ind w:firstLine="464" w:firstLineChars="200"/>
        <w:rPr>
          <w:rFonts w:ascii="宋体" w:cs="Arial"/>
          <w:color w:val="auto"/>
          <w:spacing w:val="6"/>
          <w:sz w:val="22"/>
          <w:szCs w:val="22"/>
          <w:highlight w:val="none"/>
        </w:rPr>
      </w:pP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投标人名称（盖章）：</w:t>
      </w: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pPr>
        <w:adjustRightInd w:val="0"/>
        <w:snapToGrid w:val="0"/>
        <w:spacing w:line="300" w:lineRule="auto"/>
        <w:ind w:firstLine="440" w:firstLineChars="200"/>
        <w:rPr>
          <w:rFonts w:ascii="宋体" w:cs="Arial"/>
          <w:color w:val="auto"/>
          <w:kern w:val="0"/>
          <w:sz w:val="22"/>
          <w:szCs w:val="22"/>
          <w:highlight w:val="none"/>
        </w:rPr>
      </w:pPr>
    </w:p>
    <w:p>
      <w:pPr>
        <w:pStyle w:val="41"/>
        <w:rPr>
          <w:color w:val="auto"/>
          <w:highlight w:val="none"/>
        </w:rPr>
      </w:pPr>
    </w:p>
    <w:p>
      <w:pPr>
        <w:adjustRightInd w:val="0"/>
        <w:snapToGrid w:val="0"/>
        <w:spacing w:line="300" w:lineRule="auto"/>
        <w:ind w:firstLine="440" w:firstLineChars="200"/>
        <w:rPr>
          <w:rFonts w:ascii="宋体" w:cs="Arial"/>
          <w:color w:val="auto"/>
          <w:kern w:val="0"/>
          <w:sz w:val="22"/>
          <w:szCs w:val="22"/>
          <w:highlight w:val="none"/>
        </w:rPr>
      </w:pPr>
    </w:p>
    <w:p>
      <w:pPr>
        <w:spacing w:line="440" w:lineRule="atLeast"/>
        <w:rPr>
          <w:rFonts w:ascii="宋体"/>
          <w:color w:val="auto"/>
          <w:sz w:val="22"/>
          <w:szCs w:val="22"/>
          <w:highlight w:val="none"/>
        </w:rPr>
      </w:pPr>
    </w:p>
    <w:p>
      <w:pPr>
        <w:adjustRightInd w:val="0"/>
        <w:snapToGrid w:val="0"/>
        <w:spacing w:line="300" w:lineRule="auto"/>
        <w:jc w:val="center"/>
        <w:rPr>
          <w:rFonts w:ascii="宋体" w:cs="Arial"/>
          <w:color w:val="auto"/>
          <w:kern w:val="0"/>
          <w:sz w:val="22"/>
          <w:szCs w:val="22"/>
          <w:highlight w:val="none"/>
        </w:rPr>
      </w:pPr>
      <w:r>
        <w:rPr>
          <w:rFonts w:hint="eastAsia" w:ascii="宋体" w:hAnsi="宋体"/>
          <w:b/>
          <w:color w:val="auto"/>
          <w:sz w:val="22"/>
          <w:szCs w:val="22"/>
          <w:highlight w:val="none"/>
        </w:rPr>
        <w:t>（6）</w:t>
      </w:r>
      <w:r>
        <w:rPr>
          <w:rFonts w:hint="eastAsia" w:ascii="宋体" w:hAnsi="宋体"/>
          <w:b/>
          <w:color w:val="auto"/>
          <w:spacing w:val="6"/>
          <w:sz w:val="22"/>
          <w:szCs w:val="22"/>
          <w:highlight w:val="none"/>
        </w:rPr>
        <w:t>监狱企业声明函</w:t>
      </w:r>
    </w:p>
    <w:p>
      <w:pPr>
        <w:snapToGrid w:val="0"/>
        <w:spacing w:line="300" w:lineRule="auto"/>
        <w:ind w:firstLine="464" w:firstLineChars="200"/>
        <w:jc w:val="center"/>
        <w:rPr>
          <w:rFonts w:ascii="宋体" w:cs="Arial"/>
          <w:color w:val="auto"/>
          <w:spacing w:val="6"/>
          <w:sz w:val="22"/>
          <w:szCs w:val="22"/>
          <w:highlight w:val="none"/>
        </w:rPr>
      </w:pPr>
      <w:r>
        <w:rPr>
          <w:rFonts w:hint="eastAsia" w:ascii="宋体" w:hAnsi="宋体"/>
          <w:color w:val="auto"/>
          <w:spacing w:val="6"/>
          <w:sz w:val="22"/>
          <w:szCs w:val="22"/>
          <w:highlight w:val="none"/>
        </w:rPr>
        <w:t>【</w:t>
      </w:r>
      <w:r>
        <w:rPr>
          <w:rFonts w:hint="eastAsia" w:ascii="宋体" w:hAnsi="宋体" w:cs="Arial"/>
          <w:color w:val="auto"/>
          <w:spacing w:val="6"/>
          <w:sz w:val="22"/>
          <w:szCs w:val="22"/>
          <w:highlight w:val="none"/>
        </w:rPr>
        <w:t>非监狱企业不用提供】</w:t>
      </w:r>
    </w:p>
    <w:p>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本企业郑重声明，根据《关于政府采购支持监狱企业发展有关问题的通知》（财库</w:t>
      </w:r>
      <w:r>
        <w:rPr>
          <w:rFonts w:ascii="宋体" w:hAnsi="宋体" w:cs="Arial"/>
          <w:color w:val="auto"/>
          <w:spacing w:val="6"/>
          <w:sz w:val="22"/>
          <w:szCs w:val="22"/>
          <w:highlight w:val="none"/>
        </w:rPr>
        <w:t>[2014]68</w:t>
      </w:r>
      <w:r>
        <w:rPr>
          <w:rFonts w:hint="eastAsia" w:ascii="宋体" w:hAnsi="宋体" w:cs="Arial"/>
          <w:color w:val="auto"/>
          <w:spacing w:val="6"/>
          <w:sz w:val="22"/>
          <w:szCs w:val="22"/>
          <w:highlight w:val="none"/>
        </w:rPr>
        <w:t>号）的规定，本企业为监狱企业。</w:t>
      </w:r>
      <w:r>
        <w:rPr>
          <w:rFonts w:ascii="宋体" w:hAnsi="宋体" w:cs="Arial"/>
          <w:color w:val="auto"/>
          <w:spacing w:val="6"/>
          <w:sz w:val="22"/>
          <w:szCs w:val="22"/>
          <w:highlight w:val="none"/>
        </w:rPr>
        <w:t xml:space="preserve"> </w:t>
      </w:r>
    </w:p>
    <w:p>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根据上述标准，我企业属于监狱企业的理由为：。</w:t>
      </w:r>
      <w:r>
        <w:rPr>
          <w:rFonts w:ascii="宋体" w:hAnsi="宋体" w:cs="Arial"/>
          <w:color w:val="auto"/>
          <w:spacing w:val="6"/>
          <w:sz w:val="22"/>
          <w:szCs w:val="22"/>
          <w:highlight w:val="none"/>
        </w:rPr>
        <w:t xml:space="preserve"> </w:t>
      </w:r>
    </w:p>
    <w:p>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本企业为参加（项目名称</w:t>
      </w:r>
      <w:r>
        <w:rPr>
          <w:rFonts w:hint="eastAsia" w:ascii="宋体" w:hAnsi="宋体" w:cs="Arial"/>
          <w:color w:val="auto"/>
          <w:spacing w:val="6"/>
          <w:sz w:val="22"/>
          <w:szCs w:val="22"/>
          <w:highlight w:val="none"/>
          <w:u w:val="single"/>
        </w:rPr>
        <w:t>：</w:t>
      </w:r>
      <w:r>
        <w:rPr>
          <w:rFonts w:ascii="宋体" w:hAnsi="宋体" w:cs="Arial"/>
          <w:color w:val="auto"/>
          <w:spacing w:val="6"/>
          <w:sz w:val="22"/>
          <w:szCs w:val="22"/>
          <w:highlight w:val="none"/>
          <w:u w:val="single"/>
        </w:rPr>
        <w:t xml:space="preserve">         </w:t>
      </w:r>
      <w:r>
        <w:rPr>
          <w:rFonts w:hint="eastAsia" w:ascii="宋体" w:hAnsi="宋体" w:cs="Arial"/>
          <w:color w:val="auto"/>
          <w:spacing w:val="6"/>
          <w:sz w:val="22"/>
          <w:szCs w:val="22"/>
          <w:highlight w:val="none"/>
        </w:rPr>
        <w:t>）（项目编号</w:t>
      </w:r>
      <w:r>
        <w:rPr>
          <w:rFonts w:hint="eastAsia" w:ascii="宋体" w:hAnsi="宋体" w:cs="Arial"/>
          <w:color w:val="auto"/>
          <w:spacing w:val="6"/>
          <w:sz w:val="22"/>
          <w:szCs w:val="22"/>
          <w:highlight w:val="none"/>
          <w:u w:val="single"/>
        </w:rPr>
        <w:t>：</w:t>
      </w:r>
      <w:r>
        <w:rPr>
          <w:rFonts w:ascii="宋体" w:hAnsi="宋体" w:cs="Arial"/>
          <w:color w:val="auto"/>
          <w:spacing w:val="6"/>
          <w:sz w:val="22"/>
          <w:szCs w:val="22"/>
          <w:highlight w:val="none"/>
          <w:u w:val="single"/>
        </w:rPr>
        <w:t xml:space="preserve">         </w:t>
      </w:r>
      <w:r>
        <w:rPr>
          <w:rFonts w:hint="eastAsia" w:ascii="宋体" w:hAnsi="宋体" w:cs="Arial"/>
          <w:color w:val="auto"/>
          <w:spacing w:val="6"/>
          <w:sz w:val="22"/>
          <w:szCs w:val="22"/>
          <w:highlight w:val="none"/>
        </w:rPr>
        <w:t>）采购活动并承担本工程。</w:t>
      </w:r>
      <w:r>
        <w:rPr>
          <w:rFonts w:ascii="宋体" w:hAnsi="宋体" w:cs="Arial"/>
          <w:color w:val="auto"/>
          <w:spacing w:val="6"/>
          <w:sz w:val="22"/>
          <w:szCs w:val="22"/>
          <w:highlight w:val="none"/>
        </w:rPr>
        <w:t xml:space="preserve"> </w:t>
      </w:r>
    </w:p>
    <w:p>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本企业对上述声明的真实性负责。如有虚假，将依法承担相应责任。</w:t>
      </w:r>
      <w:r>
        <w:rPr>
          <w:rFonts w:ascii="宋体" w:hAnsi="宋体" w:cs="Arial"/>
          <w:color w:val="auto"/>
          <w:spacing w:val="6"/>
          <w:sz w:val="22"/>
          <w:szCs w:val="22"/>
          <w:highlight w:val="none"/>
        </w:rPr>
        <w:t xml:space="preserve"> </w:t>
      </w:r>
    </w:p>
    <w:p>
      <w:pPr>
        <w:tabs>
          <w:tab w:val="left" w:pos="4860"/>
        </w:tabs>
        <w:spacing w:line="588" w:lineRule="exact"/>
        <w:ind w:right="1560" w:firstLine="464" w:firstLineChars="200"/>
        <w:jc w:val="center"/>
        <w:rPr>
          <w:rFonts w:ascii="宋体"/>
          <w:color w:val="auto"/>
          <w:spacing w:val="6"/>
          <w:sz w:val="22"/>
          <w:szCs w:val="22"/>
          <w:highlight w:val="none"/>
        </w:rPr>
      </w:pP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投标人名称（盖章）：</w:t>
      </w: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pPr>
        <w:pStyle w:val="2"/>
        <w:rPr>
          <w:rFonts w:ascii="宋体" w:hAnsi="宋体" w:cs="宋体"/>
          <w:color w:val="auto"/>
          <w:sz w:val="22"/>
          <w:szCs w:val="22"/>
          <w:highlight w:val="none"/>
        </w:rPr>
      </w:pPr>
    </w:p>
    <w:p>
      <w:pPr>
        <w:pStyle w:val="2"/>
        <w:rPr>
          <w:rFonts w:ascii="宋体" w:hAnsi="宋体" w:cs="宋体"/>
          <w:color w:val="auto"/>
          <w:sz w:val="22"/>
          <w:szCs w:val="22"/>
          <w:highlight w:val="none"/>
        </w:rPr>
      </w:pPr>
    </w:p>
    <w:p>
      <w:pPr>
        <w:rPr>
          <w:rFonts w:ascii="宋体" w:hAnsi="宋体" w:cs="宋体"/>
          <w:color w:val="auto"/>
          <w:sz w:val="22"/>
          <w:szCs w:val="22"/>
          <w:highlight w:val="none"/>
        </w:rPr>
      </w:pPr>
      <w:r>
        <w:rPr>
          <w:rFonts w:hint="eastAsia" w:ascii="宋体" w:hAnsi="宋体" w:cs="宋体"/>
          <w:color w:val="auto"/>
          <w:sz w:val="22"/>
          <w:szCs w:val="22"/>
          <w:highlight w:val="none"/>
        </w:rPr>
        <w:br w:type="page"/>
      </w:r>
    </w:p>
    <w:p>
      <w:pPr>
        <w:pStyle w:val="34"/>
        <w:rPr>
          <w:color w:val="auto"/>
          <w:highlight w:val="none"/>
        </w:rPr>
      </w:pPr>
    </w:p>
    <w:p>
      <w:pPr>
        <w:spacing w:line="460" w:lineRule="exact"/>
        <w:jc w:val="center"/>
        <w:rPr>
          <w:rFonts w:ascii="宋体" w:hAnsi="宋体"/>
          <w:b/>
          <w:bCs/>
          <w:color w:val="auto"/>
          <w:sz w:val="28"/>
          <w:szCs w:val="28"/>
          <w:highlight w:val="none"/>
        </w:rPr>
      </w:pPr>
    </w:p>
    <w:p>
      <w:pPr>
        <w:spacing w:line="380" w:lineRule="exact"/>
        <w:rPr>
          <w:rFonts w:ascii="宋体" w:hAnsi="宋体"/>
          <w:b/>
          <w:bCs/>
          <w:color w:val="auto"/>
          <w:sz w:val="22"/>
          <w:szCs w:val="22"/>
          <w:highlight w:val="none"/>
        </w:rPr>
      </w:pPr>
      <w:r>
        <w:rPr>
          <w:rFonts w:hint="eastAsia" w:ascii="宋体" w:hAnsi="宋体"/>
          <w:b/>
          <w:bCs/>
          <w:color w:val="auto"/>
          <w:sz w:val="22"/>
          <w:szCs w:val="22"/>
          <w:highlight w:val="none"/>
        </w:rPr>
        <w:t xml:space="preserve">附件二 </w:t>
      </w:r>
    </w:p>
    <w:p>
      <w:pPr>
        <w:spacing w:line="460" w:lineRule="exact"/>
        <w:jc w:val="center"/>
        <w:rPr>
          <w:rFonts w:ascii="宋体" w:hAnsi="宋体"/>
          <w:b/>
          <w:bCs/>
          <w:color w:val="auto"/>
          <w:sz w:val="28"/>
          <w:szCs w:val="28"/>
          <w:highlight w:val="none"/>
        </w:rPr>
      </w:pPr>
      <w:r>
        <w:rPr>
          <w:rFonts w:hint="eastAsia" w:ascii="宋体" w:hAnsi="宋体"/>
          <w:b/>
          <w:bCs/>
          <w:color w:val="auto"/>
          <w:sz w:val="28"/>
          <w:szCs w:val="28"/>
          <w:highlight w:val="none"/>
        </w:rPr>
        <w:t>开标一览表</w:t>
      </w:r>
    </w:p>
    <w:p>
      <w:pPr>
        <w:spacing w:line="380" w:lineRule="exact"/>
        <w:jc w:val="center"/>
        <w:rPr>
          <w:rFonts w:ascii="宋体" w:hAnsi="宋体"/>
          <w:b/>
          <w:bCs/>
          <w:color w:val="auto"/>
          <w:sz w:val="28"/>
          <w:highlight w:val="none"/>
        </w:rPr>
      </w:pPr>
    </w:p>
    <w:p>
      <w:pPr>
        <w:spacing w:line="380" w:lineRule="exact"/>
        <w:ind w:right="349" w:rightChars="166"/>
        <w:rPr>
          <w:rFonts w:ascii="宋体" w:hAnsi="宋体"/>
          <w:b/>
          <w:color w:val="auto"/>
          <w:sz w:val="22"/>
          <w:highlight w:val="none"/>
        </w:rPr>
      </w:pPr>
      <w:r>
        <w:rPr>
          <w:rFonts w:hint="eastAsia" w:ascii="宋体" w:hAnsi="宋体"/>
          <w:b/>
          <w:color w:val="auto"/>
          <w:sz w:val="22"/>
          <w:highlight w:val="none"/>
        </w:rPr>
        <w:t xml:space="preserve">                                                             单位：人民币元</w:t>
      </w:r>
    </w:p>
    <w:tbl>
      <w:tblPr>
        <w:tblStyle w:val="67"/>
        <w:tblW w:w="946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298"/>
        <w:gridCol w:w="2017"/>
        <w:gridCol w:w="44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8" w:hRule="exact"/>
        </w:trPr>
        <w:tc>
          <w:tcPr>
            <w:tcW w:w="710" w:type="dxa"/>
            <w:vAlign w:val="center"/>
          </w:tcPr>
          <w:p>
            <w:pPr>
              <w:spacing w:line="460" w:lineRule="exact"/>
              <w:jc w:val="center"/>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序号</w:t>
            </w:r>
          </w:p>
        </w:tc>
        <w:tc>
          <w:tcPr>
            <w:tcW w:w="4315" w:type="dxa"/>
            <w:gridSpan w:val="2"/>
            <w:vAlign w:val="center"/>
          </w:tcPr>
          <w:p>
            <w:pPr>
              <w:spacing w:line="460" w:lineRule="exact"/>
              <w:jc w:val="center"/>
              <w:rPr>
                <w:rFonts w:ascii="宋体" w:hAnsi="宋体" w:cs="Arial"/>
                <w:b/>
                <w:snapToGrid w:val="0"/>
                <w:color w:val="auto"/>
                <w:kern w:val="0"/>
                <w:sz w:val="22"/>
                <w:szCs w:val="22"/>
                <w:highlight w:val="none"/>
              </w:rPr>
            </w:pPr>
            <w:r>
              <w:rPr>
                <w:rFonts w:hint="eastAsia" w:ascii="宋体" w:hAnsi="宋体" w:cs="Arial"/>
                <w:b/>
                <w:snapToGrid w:val="0"/>
                <w:color w:val="auto"/>
                <w:kern w:val="0"/>
                <w:sz w:val="22"/>
                <w:szCs w:val="22"/>
                <w:highlight w:val="none"/>
              </w:rPr>
              <w:t>招标项目</w:t>
            </w:r>
            <w:r>
              <w:rPr>
                <w:rFonts w:ascii="宋体" w:hAnsi="宋体" w:cs="Arial"/>
                <w:b/>
                <w:snapToGrid w:val="0"/>
                <w:color w:val="auto"/>
                <w:kern w:val="0"/>
                <w:sz w:val="22"/>
                <w:szCs w:val="22"/>
                <w:highlight w:val="none"/>
              </w:rPr>
              <w:t>名称</w:t>
            </w:r>
          </w:p>
        </w:tc>
        <w:tc>
          <w:tcPr>
            <w:tcW w:w="4443" w:type="dxa"/>
            <w:vAlign w:val="center"/>
          </w:tcPr>
          <w:p>
            <w:pPr>
              <w:spacing w:line="460" w:lineRule="exact"/>
              <w:jc w:val="center"/>
              <w:rPr>
                <w:rFonts w:ascii="宋体" w:hAnsi="宋体" w:cs="Arial"/>
                <w:b/>
                <w:snapToGrid w:val="0"/>
                <w:color w:val="auto"/>
                <w:kern w:val="0"/>
                <w:sz w:val="22"/>
                <w:szCs w:val="22"/>
                <w:highlight w:val="none"/>
              </w:rPr>
            </w:pPr>
            <w:r>
              <w:rPr>
                <w:rFonts w:hint="eastAsia" w:ascii="宋体" w:hAnsi="宋体" w:cs="Arial"/>
                <w:b/>
                <w:snapToGrid w:val="0"/>
                <w:color w:val="auto"/>
                <w:kern w:val="0"/>
                <w:sz w:val="22"/>
                <w:szCs w:val="22"/>
                <w:highlight w:val="none"/>
              </w:rPr>
              <w:t>供货周期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10" w:type="dxa"/>
            <w:vAlign w:val="center"/>
          </w:tcPr>
          <w:p>
            <w:pPr>
              <w:spacing w:line="460" w:lineRule="exact"/>
              <w:jc w:val="center"/>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1</w:t>
            </w:r>
          </w:p>
        </w:tc>
        <w:tc>
          <w:tcPr>
            <w:tcW w:w="4315" w:type="dxa"/>
            <w:gridSpan w:val="2"/>
            <w:vAlign w:val="center"/>
          </w:tcPr>
          <w:p>
            <w:pPr>
              <w:spacing w:line="460" w:lineRule="exact"/>
              <w:jc w:val="center"/>
              <w:rPr>
                <w:rFonts w:hint="eastAsia" w:ascii="宋体" w:hAnsi="宋体" w:eastAsia="宋体" w:cs="Arial"/>
                <w:snapToGrid w:val="0"/>
                <w:color w:val="auto"/>
                <w:kern w:val="0"/>
                <w:sz w:val="22"/>
                <w:szCs w:val="22"/>
                <w:highlight w:val="none"/>
                <w:lang w:eastAsia="zh-CN"/>
              </w:rPr>
            </w:pPr>
            <w:r>
              <w:rPr>
                <w:rFonts w:hint="eastAsia" w:ascii="宋体" w:hAnsi="宋体" w:cs="Arial"/>
                <w:snapToGrid w:val="0"/>
                <w:color w:val="auto"/>
                <w:kern w:val="0"/>
                <w:sz w:val="22"/>
                <w:szCs w:val="22"/>
                <w:highlight w:val="none"/>
                <w:lang w:eastAsia="zh-CN"/>
              </w:rPr>
              <w:t>2021年度瓯海区分局警用装备采购</w:t>
            </w:r>
          </w:p>
        </w:tc>
        <w:tc>
          <w:tcPr>
            <w:tcW w:w="4443" w:type="dxa"/>
            <w:vAlign w:val="center"/>
          </w:tcPr>
          <w:p>
            <w:pPr>
              <w:spacing w:line="460" w:lineRule="exact"/>
              <w:jc w:val="center"/>
              <w:rPr>
                <w:rFonts w:ascii="宋体" w:hAnsi="宋体" w:cs="Arial"/>
                <w:b/>
                <w:snapToGrid w:val="0"/>
                <w:color w:val="auto"/>
                <w:kern w:val="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3008" w:type="dxa"/>
            <w:gridSpan w:val="2"/>
            <w:vAlign w:val="center"/>
          </w:tcPr>
          <w:p>
            <w:pPr>
              <w:spacing w:line="460" w:lineRule="exact"/>
              <w:jc w:val="center"/>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投标</w:t>
            </w:r>
            <w:r>
              <w:rPr>
                <w:rFonts w:hint="eastAsia" w:ascii="宋体" w:hAnsi="宋体" w:cs="Arial"/>
                <w:b/>
                <w:snapToGrid w:val="0"/>
                <w:color w:val="auto"/>
                <w:kern w:val="0"/>
                <w:sz w:val="22"/>
                <w:szCs w:val="22"/>
                <w:highlight w:val="none"/>
              </w:rPr>
              <w:t>报价</w:t>
            </w:r>
          </w:p>
        </w:tc>
        <w:tc>
          <w:tcPr>
            <w:tcW w:w="6460" w:type="dxa"/>
            <w:gridSpan w:val="2"/>
            <w:vAlign w:val="center"/>
          </w:tcPr>
          <w:p>
            <w:pPr>
              <w:spacing w:line="460" w:lineRule="exact"/>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 xml:space="preserve">大写：    </w:t>
            </w:r>
          </w:p>
          <w:p>
            <w:pPr>
              <w:spacing w:line="460" w:lineRule="exact"/>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 xml:space="preserve">小写（￥）：      </w:t>
            </w:r>
          </w:p>
        </w:tc>
      </w:tr>
    </w:tbl>
    <w:p>
      <w:pPr>
        <w:spacing w:line="460" w:lineRule="exact"/>
        <w:rPr>
          <w:rFonts w:ascii="宋体" w:hAnsi="宋体"/>
          <w:color w:val="auto"/>
          <w:sz w:val="22"/>
          <w:szCs w:val="22"/>
          <w:highlight w:val="none"/>
        </w:rPr>
      </w:pPr>
    </w:p>
    <w:p>
      <w:pPr>
        <w:spacing w:line="380" w:lineRule="exact"/>
        <w:ind w:right="349" w:rightChars="166" w:firstLine="331" w:firstLineChars="150"/>
        <w:rPr>
          <w:rFonts w:ascii="宋体" w:hAnsi="宋体"/>
          <w:b/>
          <w:color w:val="auto"/>
          <w:sz w:val="22"/>
          <w:highlight w:val="none"/>
        </w:rPr>
      </w:pPr>
    </w:p>
    <w:p>
      <w:pPr>
        <w:spacing w:line="380" w:lineRule="exact"/>
        <w:ind w:left="528" w:leftChars="-15" w:hanging="559" w:hangingChars="253"/>
        <w:rPr>
          <w:rFonts w:ascii="宋体" w:hAnsi="宋体" w:cs="Arial"/>
          <w:b/>
          <w:bCs/>
          <w:color w:val="auto"/>
          <w:sz w:val="22"/>
          <w:szCs w:val="22"/>
          <w:highlight w:val="none"/>
        </w:rPr>
      </w:pPr>
      <w:r>
        <w:rPr>
          <w:rFonts w:hint="eastAsia" w:ascii="宋体" w:hAnsi="宋体"/>
          <w:b/>
          <w:color w:val="auto"/>
          <w:sz w:val="22"/>
          <w:highlight w:val="none"/>
        </w:rPr>
        <w:t>说明：</w:t>
      </w:r>
      <w:r>
        <w:rPr>
          <w:rFonts w:hint="eastAsia" w:ascii="宋体" w:hAnsi="宋体" w:cs="Arial"/>
          <w:b/>
          <w:bCs/>
          <w:color w:val="auto"/>
          <w:sz w:val="22"/>
          <w:szCs w:val="22"/>
          <w:highlight w:val="none"/>
        </w:rPr>
        <w:t>1、《开标一览表》中“投标报价”应与</w:t>
      </w:r>
      <w:r>
        <w:rPr>
          <w:rFonts w:hint="eastAsia" w:ascii="宋体" w:hAnsi="宋体"/>
          <w:b/>
          <w:color w:val="auto"/>
          <w:sz w:val="22"/>
          <w:highlight w:val="none"/>
        </w:rPr>
        <w:t>与附件三《投标分项报价表》中“投标总价”相一致</w:t>
      </w:r>
      <w:r>
        <w:rPr>
          <w:rFonts w:hint="eastAsia" w:ascii="宋体" w:hAnsi="宋体" w:cs="Arial"/>
          <w:b/>
          <w:bCs/>
          <w:color w:val="auto"/>
          <w:sz w:val="22"/>
          <w:szCs w:val="22"/>
          <w:highlight w:val="none"/>
        </w:rPr>
        <w:t xml:space="preserve">。 </w:t>
      </w:r>
    </w:p>
    <w:p>
      <w:pPr>
        <w:spacing w:line="380" w:lineRule="exact"/>
        <w:ind w:left="532" w:leftChars="-66" w:hanging="671" w:hangingChars="304"/>
        <w:rPr>
          <w:rFonts w:ascii="宋体" w:hAnsi="宋体"/>
          <w:b/>
          <w:color w:val="auto"/>
          <w:sz w:val="22"/>
          <w:highlight w:val="none"/>
        </w:rPr>
      </w:pPr>
      <w:r>
        <w:rPr>
          <w:rFonts w:hint="eastAsia" w:ascii="宋体" w:hAnsi="宋体" w:cs="Arial"/>
          <w:b/>
          <w:bCs/>
          <w:color w:val="auto"/>
          <w:sz w:val="22"/>
          <w:szCs w:val="22"/>
          <w:highlight w:val="none"/>
        </w:rPr>
        <w:t>2、▲</w:t>
      </w:r>
      <w:r>
        <w:rPr>
          <w:rFonts w:hint="eastAsia" w:ascii="宋体" w:hAnsi="宋体" w:cs="Arial"/>
          <w:b/>
          <w:color w:val="auto"/>
          <w:sz w:val="22"/>
          <w:szCs w:val="22"/>
          <w:highlight w:val="none"/>
          <w:u w:val="single"/>
        </w:rPr>
        <w:t>不按要求提供开标一览表的投标文件将被视为未实质性响应招标文件</w:t>
      </w:r>
      <w:r>
        <w:rPr>
          <w:rFonts w:hint="eastAsia" w:ascii="宋体" w:hAnsi="宋体"/>
          <w:b/>
          <w:color w:val="auto"/>
          <w:sz w:val="22"/>
          <w:highlight w:val="none"/>
          <w:u w:val="single"/>
        </w:rPr>
        <w:t>。</w:t>
      </w:r>
    </w:p>
    <w:p>
      <w:pPr>
        <w:spacing w:line="380" w:lineRule="exact"/>
        <w:ind w:firstLine="660" w:firstLineChars="300"/>
        <w:rPr>
          <w:rFonts w:ascii="宋体" w:hAnsi="宋体"/>
          <w:color w:val="auto"/>
          <w:sz w:val="22"/>
          <w:szCs w:val="22"/>
          <w:highlight w:val="none"/>
        </w:rPr>
      </w:pPr>
    </w:p>
    <w:p>
      <w:pPr>
        <w:spacing w:line="380" w:lineRule="exact"/>
        <w:rPr>
          <w:rFonts w:ascii="宋体" w:hAnsi="宋体"/>
          <w:color w:val="auto"/>
          <w:sz w:val="22"/>
          <w:szCs w:val="22"/>
          <w:highlight w:val="none"/>
        </w:rPr>
      </w:pPr>
      <w:r>
        <w:rPr>
          <w:rFonts w:hint="eastAsia" w:ascii="宋体" w:hAnsi="宋体"/>
          <w:color w:val="auto"/>
          <w:sz w:val="22"/>
          <w:szCs w:val="22"/>
          <w:highlight w:val="none"/>
        </w:rPr>
        <w:t>投标人全称（盖章）：</w:t>
      </w:r>
    </w:p>
    <w:p>
      <w:pPr>
        <w:spacing w:line="380" w:lineRule="exact"/>
        <w:rPr>
          <w:rFonts w:ascii="宋体" w:hAnsi="宋体"/>
          <w:color w:val="auto"/>
          <w:sz w:val="22"/>
          <w:szCs w:val="22"/>
          <w:highlight w:val="none"/>
        </w:rPr>
      </w:pPr>
      <w:r>
        <w:rPr>
          <w:rFonts w:hint="eastAsia" w:ascii="宋体" w:hAnsi="宋体"/>
          <w:color w:val="auto"/>
          <w:sz w:val="22"/>
          <w:szCs w:val="22"/>
          <w:highlight w:val="none"/>
        </w:rPr>
        <w:t>法定代表人或授权代表（签字或盖章）：</w:t>
      </w:r>
    </w:p>
    <w:p>
      <w:pPr>
        <w:spacing w:line="380" w:lineRule="exact"/>
        <w:rPr>
          <w:rFonts w:ascii="宋体" w:hAnsi="宋体"/>
          <w:color w:val="auto"/>
          <w:sz w:val="22"/>
          <w:szCs w:val="22"/>
          <w:highlight w:val="none"/>
        </w:rPr>
      </w:pPr>
      <w:r>
        <w:rPr>
          <w:rFonts w:hint="eastAsia" w:ascii="宋体" w:hAnsi="宋体"/>
          <w:color w:val="auto"/>
          <w:sz w:val="22"/>
          <w:szCs w:val="22"/>
          <w:highlight w:val="none"/>
        </w:rPr>
        <w:t>日 期：  年  月  日</w:t>
      </w:r>
    </w:p>
    <w:p>
      <w:pPr>
        <w:spacing w:line="460" w:lineRule="exact"/>
        <w:rPr>
          <w:rFonts w:ascii="宋体" w:hAnsi="宋体"/>
          <w:b/>
          <w:bCs/>
          <w:color w:val="auto"/>
          <w:sz w:val="22"/>
          <w:szCs w:val="22"/>
          <w:highlight w:val="none"/>
        </w:rPr>
      </w:pPr>
      <w:r>
        <w:rPr>
          <w:rFonts w:hint="eastAsia" w:ascii="宋体" w:hAnsi="宋体"/>
          <w:color w:val="auto"/>
          <w:sz w:val="22"/>
          <w:szCs w:val="22"/>
          <w:highlight w:val="none"/>
        </w:rPr>
        <w:br w:type="page"/>
      </w:r>
      <w:r>
        <w:rPr>
          <w:rFonts w:hint="eastAsia" w:ascii="宋体" w:hAnsi="宋体"/>
          <w:b/>
          <w:bCs/>
          <w:color w:val="auto"/>
          <w:sz w:val="22"/>
          <w:szCs w:val="22"/>
          <w:highlight w:val="none"/>
        </w:rPr>
        <w:t>附件三</w:t>
      </w:r>
    </w:p>
    <w:p>
      <w:pPr>
        <w:spacing w:line="380" w:lineRule="exact"/>
        <w:jc w:val="center"/>
        <w:rPr>
          <w:rFonts w:ascii="宋体" w:hAnsi="宋体"/>
          <w:b/>
          <w:bCs/>
          <w:color w:val="auto"/>
          <w:sz w:val="28"/>
          <w:szCs w:val="28"/>
          <w:highlight w:val="none"/>
        </w:rPr>
      </w:pPr>
      <w:r>
        <w:rPr>
          <w:rFonts w:ascii="宋体" w:hAnsi="宋体"/>
          <w:b/>
          <w:bCs/>
          <w:color w:val="auto"/>
          <w:sz w:val="28"/>
          <w:szCs w:val="28"/>
          <w:highlight w:val="none"/>
        </w:rPr>
        <w:t>投标分项报价表</w:t>
      </w:r>
    </w:p>
    <w:p>
      <w:pPr>
        <w:spacing w:line="380" w:lineRule="exact"/>
        <w:jc w:val="center"/>
        <w:rPr>
          <w:rFonts w:ascii="宋体" w:hAnsi="宋体"/>
          <w:b/>
          <w:bCs/>
          <w:color w:val="auto"/>
          <w:sz w:val="28"/>
          <w:szCs w:val="28"/>
          <w:highlight w:val="none"/>
        </w:rPr>
      </w:pPr>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2493"/>
        <w:gridCol w:w="2207"/>
        <w:gridCol w:w="1196"/>
        <w:gridCol w:w="1521"/>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序号</w:t>
            </w:r>
          </w:p>
        </w:tc>
        <w:tc>
          <w:tcPr>
            <w:tcW w:w="1265"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项目内容</w:t>
            </w:r>
          </w:p>
        </w:tc>
        <w:tc>
          <w:tcPr>
            <w:tcW w:w="1120"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规格</w:t>
            </w:r>
          </w:p>
        </w:tc>
        <w:tc>
          <w:tcPr>
            <w:tcW w:w="607"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数量</w:t>
            </w:r>
          </w:p>
        </w:tc>
        <w:tc>
          <w:tcPr>
            <w:tcW w:w="772"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单价</w:t>
            </w:r>
          </w:p>
          <w:p>
            <w:pPr>
              <w:jc w:val="center"/>
              <w:rPr>
                <w:rFonts w:ascii="宋体" w:hAnsi="宋体"/>
                <w:color w:val="auto"/>
                <w:sz w:val="22"/>
                <w:szCs w:val="22"/>
                <w:highlight w:val="none"/>
              </w:rPr>
            </w:pPr>
            <w:r>
              <w:rPr>
                <w:rFonts w:hint="eastAsia" w:ascii="宋体" w:hAnsi="宋体"/>
                <w:color w:val="auto"/>
                <w:sz w:val="22"/>
                <w:szCs w:val="22"/>
                <w:highlight w:val="none"/>
              </w:rPr>
              <w:t>（元）</w:t>
            </w:r>
          </w:p>
        </w:tc>
        <w:tc>
          <w:tcPr>
            <w:tcW w:w="919"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报价</w:t>
            </w:r>
          </w:p>
          <w:p>
            <w:pPr>
              <w:jc w:val="center"/>
              <w:rPr>
                <w:rFonts w:ascii="宋体" w:hAnsi="宋体"/>
                <w:color w:val="auto"/>
                <w:sz w:val="22"/>
                <w:szCs w:val="22"/>
                <w:highlight w:val="none"/>
              </w:rPr>
            </w:pPr>
            <w:r>
              <w:rPr>
                <w:rFonts w:hint="eastAsia" w:ascii="宋体" w:hAnsi="宋体"/>
                <w:color w:val="auto"/>
                <w:sz w:val="22"/>
                <w:szCs w:val="22"/>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1</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2</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3</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4</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5</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6</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7</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8</w:t>
            </w:r>
          </w:p>
        </w:tc>
        <w:tc>
          <w:tcPr>
            <w:tcW w:w="1265" w:type="pct"/>
            <w:vAlign w:val="center"/>
          </w:tcPr>
          <w:p>
            <w:pPr>
              <w:spacing w:line="360" w:lineRule="auto"/>
              <w:jc w:val="center"/>
              <w:rPr>
                <w:rFonts w:ascii="宋体" w:hAnsi="宋体"/>
                <w:b/>
                <w:color w:val="auto"/>
                <w:sz w:val="22"/>
                <w:szCs w:val="22"/>
                <w:highlight w:val="none"/>
              </w:rPr>
            </w:pPr>
          </w:p>
        </w:tc>
        <w:tc>
          <w:tcPr>
            <w:tcW w:w="1120" w:type="pct"/>
            <w:vAlign w:val="center"/>
          </w:tcPr>
          <w:p>
            <w:pPr>
              <w:jc w:val="center"/>
              <w:rPr>
                <w:rFonts w:ascii="宋体" w:hAnsi="宋体"/>
                <w:b/>
                <w:color w:val="auto"/>
                <w:sz w:val="22"/>
                <w:szCs w:val="22"/>
                <w:highlight w:val="none"/>
              </w:rPr>
            </w:pPr>
          </w:p>
        </w:tc>
        <w:tc>
          <w:tcPr>
            <w:tcW w:w="607" w:type="pct"/>
            <w:vAlign w:val="center"/>
          </w:tcPr>
          <w:p>
            <w:pPr>
              <w:jc w:val="center"/>
              <w:rPr>
                <w:rFonts w:ascii="宋体" w:hAnsi="宋体"/>
                <w:b/>
                <w:color w:val="auto"/>
                <w:sz w:val="22"/>
                <w:szCs w:val="22"/>
                <w:highlight w:val="none"/>
              </w:rPr>
            </w:pPr>
          </w:p>
        </w:tc>
        <w:tc>
          <w:tcPr>
            <w:tcW w:w="772" w:type="pct"/>
            <w:vAlign w:val="center"/>
          </w:tcPr>
          <w:p>
            <w:pPr>
              <w:jc w:val="center"/>
              <w:rPr>
                <w:rFonts w:ascii="宋体" w:hAnsi="宋体"/>
                <w:b/>
                <w:color w:val="auto"/>
                <w:sz w:val="22"/>
                <w:szCs w:val="22"/>
                <w:highlight w:val="none"/>
              </w:rPr>
            </w:pPr>
          </w:p>
        </w:tc>
        <w:tc>
          <w:tcPr>
            <w:tcW w:w="919" w:type="pct"/>
            <w:vAlign w:val="center"/>
          </w:tcPr>
          <w:p>
            <w:pPr>
              <w:jc w:val="center"/>
              <w:rPr>
                <w:rFonts w:ascii="宋体" w:hAnsi="宋体"/>
                <w:b/>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9</w:t>
            </w:r>
          </w:p>
        </w:tc>
        <w:tc>
          <w:tcPr>
            <w:tcW w:w="1265" w:type="pct"/>
            <w:vAlign w:val="center"/>
          </w:tcPr>
          <w:p>
            <w:pPr>
              <w:jc w:val="center"/>
              <w:rPr>
                <w:rFonts w:ascii="宋体" w:hAnsi="宋体"/>
                <w:color w:val="auto"/>
                <w:sz w:val="22"/>
                <w:szCs w:val="22"/>
                <w:highlight w:val="none"/>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10</w:t>
            </w:r>
          </w:p>
        </w:tc>
        <w:tc>
          <w:tcPr>
            <w:tcW w:w="1265"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w:t>
            </w: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081" w:type="pct"/>
            <w:gridSpan w:val="5"/>
            <w:vAlign w:val="center"/>
          </w:tcPr>
          <w:p>
            <w:pPr>
              <w:spacing w:line="360" w:lineRule="auto"/>
              <w:jc w:val="center"/>
              <w:rPr>
                <w:rFonts w:ascii="宋体" w:hAnsi="宋体"/>
                <w:color w:val="auto"/>
                <w:sz w:val="22"/>
                <w:szCs w:val="22"/>
                <w:highlight w:val="none"/>
              </w:rPr>
            </w:pPr>
            <w:r>
              <w:rPr>
                <w:rFonts w:hint="eastAsia" w:ascii="宋体" w:hAnsi="宋体"/>
                <w:color w:val="auto"/>
                <w:sz w:val="22"/>
                <w:szCs w:val="22"/>
                <w:highlight w:val="none"/>
              </w:rPr>
              <w:t>投标总价</w:t>
            </w:r>
          </w:p>
        </w:tc>
        <w:tc>
          <w:tcPr>
            <w:tcW w:w="919" w:type="pct"/>
            <w:vAlign w:val="center"/>
          </w:tcPr>
          <w:p>
            <w:pPr>
              <w:spacing w:line="360" w:lineRule="auto"/>
              <w:jc w:val="center"/>
              <w:rPr>
                <w:rFonts w:ascii="宋体" w:hAnsi="宋体"/>
                <w:color w:val="auto"/>
                <w:sz w:val="22"/>
                <w:szCs w:val="22"/>
                <w:highlight w:val="none"/>
              </w:rPr>
            </w:pPr>
          </w:p>
        </w:tc>
      </w:tr>
    </w:tbl>
    <w:p>
      <w:pPr>
        <w:spacing w:line="360" w:lineRule="auto"/>
        <w:rPr>
          <w:rFonts w:ascii="宋体" w:hAnsi="宋体" w:cs="宋体"/>
          <w:color w:val="auto"/>
          <w:kern w:val="0"/>
          <w:szCs w:val="21"/>
          <w:highlight w:val="none"/>
        </w:rPr>
      </w:pPr>
    </w:p>
    <w:p>
      <w:pPr>
        <w:spacing w:line="360" w:lineRule="exact"/>
        <w:rPr>
          <w:rFonts w:ascii="宋体" w:hAnsi="宋体"/>
          <w:b/>
          <w:color w:val="auto"/>
          <w:sz w:val="22"/>
          <w:szCs w:val="22"/>
          <w:highlight w:val="none"/>
        </w:rPr>
      </w:pPr>
      <w:r>
        <w:rPr>
          <w:rFonts w:hint="eastAsia" w:ascii="宋体" w:hAnsi="宋体"/>
          <w:b/>
          <w:bCs/>
          <w:color w:val="auto"/>
          <w:sz w:val="22"/>
          <w:szCs w:val="22"/>
          <w:highlight w:val="none"/>
        </w:rPr>
        <w:t>说明：</w:t>
      </w:r>
      <w:r>
        <w:rPr>
          <w:rFonts w:hint="eastAsia" w:ascii="宋体" w:hAnsi="宋体"/>
          <w:b/>
          <w:color w:val="auto"/>
          <w:sz w:val="22"/>
          <w:szCs w:val="22"/>
          <w:highlight w:val="none"/>
        </w:rPr>
        <w:t>1、此表内投标总价应与附件二中“开标一览表”投标报价相一致。</w:t>
      </w:r>
    </w:p>
    <w:p>
      <w:pPr>
        <w:spacing w:line="360" w:lineRule="exact"/>
        <w:rPr>
          <w:rFonts w:ascii="宋体" w:hAnsi="宋体"/>
          <w:b/>
          <w:color w:val="auto"/>
          <w:sz w:val="22"/>
          <w:szCs w:val="22"/>
          <w:highlight w:val="none"/>
        </w:rPr>
      </w:pPr>
      <w:r>
        <w:rPr>
          <w:rFonts w:hint="eastAsia" w:ascii="宋体" w:hAnsi="宋体"/>
          <w:b/>
          <w:color w:val="auto"/>
          <w:sz w:val="22"/>
          <w:szCs w:val="22"/>
          <w:highlight w:val="none"/>
        </w:rPr>
        <w:t>2、</w:t>
      </w:r>
      <w:r>
        <w:rPr>
          <w:rFonts w:hint="eastAsia" w:ascii="宋体" w:hAnsi="宋体" w:cs="Arial"/>
          <w:b/>
          <w:bCs/>
          <w:color w:val="auto"/>
          <w:sz w:val="22"/>
          <w:szCs w:val="22"/>
          <w:highlight w:val="none"/>
        </w:rPr>
        <w:t>▲</w:t>
      </w:r>
      <w:r>
        <w:rPr>
          <w:rFonts w:hint="eastAsia" w:ascii="宋体" w:hAnsi="宋体"/>
          <w:b/>
          <w:color w:val="auto"/>
          <w:sz w:val="22"/>
          <w:szCs w:val="22"/>
          <w:highlight w:val="none"/>
          <w:u w:val="single"/>
        </w:rPr>
        <w:t>不提供“投标分项报价表”的报价，视为没有实质性响应招标文件要求。</w:t>
      </w:r>
    </w:p>
    <w:p>
      <w:pPr>
        <w:spacing w:line="360" w:lineRule="exact"/>
        <w:ind w:left="325" w:hanging="325" w:hangingChars="147"/>
        <w:rPr>
          <w:rFonts w:ascii="宋体" w:hAnsi="宋体"/>
          <w:b/>
          <w:color w:val="auto"/>
          <w:sz w:val="22"/>
          <w:szCs w:val="22"/>
          <w:highlight w:val="none"/>
        </w:rPr>
      </w:pPr>
      <w:r>
        <w:rPr>
          <w:rFonts w:hint="eastAsia" w:ascii="宋体" w:hAnsi="宋体"/>
          <w:b/>
          <w:color w:val="auto"/>
          <w:sz w:val="22"/>
          <w:szCs w:val="22"/>
          <w:highlight w:val="none"/>
        </w:rPr>
        <w:t>3、如果免费请在该备注栏内注明“免”，如果含在产品价格中则填“含”，如无此项内容则填“无”，不留空白。</w:t>
      </w:r>
    </w:p>
    <w:p>
      <w:pPr>
        <w:spacing w:line="360" w:lineRule="auto"/>
        <w:ind w:firstLine="420" w:firstLineChars="200"/>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p>
    <w:p>
      <w:pPr>
        <w:spacing w:line="380" w:lineRule="exact"/>
        <w:ind w:left="2722" w:leftChars="1028" w:hanging="563" w:hangingChars="256"/>
        <w:rPr>
          <w:rFonts w:ascii="宋体" w:hAnsi="宋体"/>
          <w:color w:val="auto"/>
          <w:sz w:val="22"/>
          <w:szCs w:val="22"/>
          <w:highlight w:val="none"/>
        </w:rPr>
      </w:pPr>
      <w:r>
        <w:rPr>
          <w:rFonts w:hint="eastAsia" w:ascii="宋体" w:hAnsi="宋体"/>
          <w:color w:val="auto"/>
          <w:sz w:val="22"/>
          <w:szCs w:val="22"/>
          <w:highlight w:val="none"/>
        </w:rPr>
        <w:t>投标人全称（盖章）：</w:t>
      </w:r>
    </w:p>
    <w:p>
      <w:pPr>
        <w:spacing w:line="380" w:lineRule="exact"/>
        <w:ind w:left="2722" w:leftChars="1028" w:hanging="563" w:hangingChars="256"/>
        <w:rPr>
          <w:rFonts w:ascii="宋体" w:hAnsi="宋体"/>
          <w:color w:val="auto"/>
          <w:sz w:val="22"/>
          <w:szCs w:val="22"/>
          <w:highlight w:val="none"/>
        </w:rPr>
      </w:pPr>
      <w:r>
        <w:rPr>
          <w:rFonts w:hint="eastAsia" w:ascii="宋体" w:hAnsi="宋体"/>
          <w:color w:val="auto"/>
          <w:sz w:val="22"/>
          <w:szCs w:val="22"/>
          <w:highlight w:val="none"/>
        </w:rPr>
        <w:t>法定代表人或授权代表（签字或盖章）：</w:t>
      </w:r>
    </w:p>
    <w:p>
      <w:pPr>
        <w:spacing w:line="380" w:lineRule="exact"/>
        <w:ind w:left="2722" w:leftChars="1028" w:hanging="563" w:hangingChars="256"/>
        <w:jc w:val="left"/>
        <w:rPr>
          <w:rFonts w:ascii="宋体" w:hAnsi="宋体" w:cs="Arial"/>
          <w:b/>
          <w:bCs/>
          <w:color w:val="auto"/>
          <w:sz w:val="22"/>
          <w:szCs w:val="22"/>
          <w:highlight w:val="none"/>
        </w:rPr>
      </w:pPr>
      <w:r>
        <w:rPr>
          <w:rFonts w:hint="eastAsia" w:ascii="宋体" w:hAnsi="宋体"/>
          <w:color w:val="auto"/>
          <w:sz w:val="22"/>
          <w:szCs w:val="22"/>
          <w:highlight w:val="none"/>
        </w:rPr>
        <w:t>日期：</w:t>
      </w:r>
    </w:p>
    <w:p>
      <w:pPr>
        <w:spacing w:line="460" w:lineRule="exact"/>
        <w:rPr>
          <w:rFonts w:ascii="宋体" w:hAnsi="宋体"/>
          <w:b/>
          <w:bCs/>
          <w:color w:val="auto"/>
          <w:sz w:val="22"/>
          <w:szCs w:val="22"/>
          <w:highlight w:val="none"/>
        </w:rPr>
      </w:pPr>
      <w:r>
        <w:rPr>
          <w:rFonts w:ascii="宋体" w:hAnsi="宋体" w:cs="Arial"/>
          <w:b/>
          <w:bCs/>
          <w:color w:val="auto"/>
          <w:szCs w:val="21"/>
          <w:highlight w:val="none"/>
        </w:rPr>
        <w:br w:type="page"/>
      </w:r>
      <w:r>
        <w:rPr>
          <w:rFonts w:hint="eastAsia" w:ascii="宋体" w:hAnsi="宋体"/>
          <w:b/>
          <w:bCs/>
          <w:color w:val="auto"/>
          <w:sz w:val="22"/>
          <w:szCs w:val="22"/>
          <w:highlight w:val="none"/>
        </w:rPr>
        <w:t>附件四</w:t>
      </w:r>
      <w:bookmarkStart w:id="172" w:name="_Toc246261271"/>
      <w:bookmarkStart w:id="173" w:name="_Toc245191320"/>
      <w:bookmarkStart w:id="174" w:name="_Toc241404208"/>
      <w:bookmarkStart w:id="175" w:name="_Toc239145360"/>
      <w:bookmarkStart w:id="176" w:name="_Toc245722287"/>
      <w:bookmarkStart w:id="177" w:name="_Toc221374632"/>
      <w:bookmarkStart w:id="178" w:name="_Toc223716004"/>
      <w:bookmarkStart w:id="179" w:name="_Toc222114885"/>
      <w:bookmarkStart w:id="180" w:name="_Toc221356957"/>
      <w:bookmarkStart w:id="181" w:name="_Toc221423625"/>
      <w:bookmarkStart w:id="182" w:name="_Toc221356894"/>
    </w:p>
    <w:p>
      <w:pPr>
        <w:spacing w:line="460" w:lineRule="exact"/>
        <w:rPr>
          <w:rFonts w:ascii="宋体" w:hAnsi="宋体"/>
          <w:b/>
          <w:bCs/>
          <w:color w:val="auto"/>
          <w:highlight w:val="none"/>
        </w:rPr>
      </w:pPr>
    </w:p>
    <w:p>
      <w:pPr>
        <w:spacing w:line="460" w:lineRule="exact"/>
        <w:jc w:val="center"/>
        <w:rPr>
          <w:rFonts w:ascii="宋体" w:hAnsi="宋体"/>
          <w:b/>
          <w:bCs/>
          <w:color w:val="auto"/>
          <w:sz w:val="28"/>
          <w:szCs w:val="28"/>
          <w:highlight w:val="none"/>
        </w:rPr>
      </w:pPr>
      <w:r>
        <w:rPr>
          <w:rFonts w:hint="eastAsia" w:ascii="宋体" w:hAnsi="宋体"/>
          <w:b/>
          <w:bCs/>
          <w:color w:val="auto"/>
          <w:sz w:val="28"/>
          <w:szCs w:val="28"/>
          <w:highlight w:val="none"/>
        </w:rPr>
        <w:t>投 标 函</w:t>
      </w:r>
    </w:p>
    <w:p>
      <w:pPr>
        <w:spacing w:line="420" w:lineRule="exact"/>
        <w:rPr>
          <w:rFonts w:ascii="宋体" w:hAnsi="宋体"/>
          <w:color w:val="auto"/>
          <w:sz w:val="22"/>
          <w:szCs w:val="22"/>
          <w:highlight w:val="none"/>
        </w:rPr>
      </w:pPr>
      <w:r>
        <w:rPr>
          <w:rFonts w:hint="eastAsia" w:ascii="宋体" w:hAnsi="宋体"/>
          <w:bCs/>
          <w:color w:val="auto"/>
          <w:sz w:val="22"/>
          <w:szCs w:val="22"/>
          <w:highlight w:val="none"/>
          <w:lang w:eastAsia="zh-CN"/>
        </w:rPr>
        <w:t>温州市公安局瓯海区分局</w:t>
      </w:r>
      <w:r>
        <w:rPr>
          <w:rFonts w:hint="eastAsia" w:ascii="宋体" w:hAnsi="宋体"/>
          <w:color w:val="auto"/>
          <w:sz w:val="22"/>
          <w:szCs w:val="22"/>
          <w:highlight w:val="none"/>
        </w:rPr>
        <w:t>：</w:t>
      </w:r>
    </w:p>
    <w:p>
      <w:pPr>
        <w:spacing w:line="420" w:lineRule="exact"/>
        <w:rPr>
          <w:rFonts w:ascii="宋体" w:hAnsi="宋体"/>
          <w:color w:val="auto"/>
          <w:sz w:val="22"/>
          <w:szCs w:val="22"/>
          <w:highlight w:val="none"/>
        </w:rPr>
      </w:pPr>
      <w:r>
        <w:rPr>
          <w:rFonts w:hint="eastAsia" w:ascii="宋体" w:hAnsi="宋体"/>
          <w:color w:val="auto"/>
          <w:sz w:val="22"/>
          <w:szCs w:val="22"/>
          <w:highlight w:val="none"/>
        </w:rPr>
        <w:t>温州元信工程项目管理有限公司：</w:t>
      </w:r>
    </w:p>
    <w:p>
      <w:pPr>
        <w:spacing w:line="42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根据贵方为项目（招标编号：）的投标邀请，我方</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（投标人名称）作为投标人正式授权</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（授权代表全名，职务）代表我方处理有关本投标的一切事宜。</w:t>
      </w:r>
    </w:p>
    <w:p>
      <w:pPr>
        <w:pStyle w:val="16"/>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szCs w:val="22"/>
          <w:highlight w:val="none"/>
        </w:rPr>
        <w:t>在此提交的投标文件中，包括如下内</w:t>
      </w:r>
      <w:r>
        <w:rPr>
          <w:rFonts w:hint="eastAsia" w:ascii="宋体" w:hAnsi="宋体" w:cs="hakuyoxingshu7000"/>
          <w:color w:val="auto"/>
          <w:sz w:val="22"/>
          <w:highlight w:val="none"/>
        </w:rPr>
        <w:t>容：</w:t>
      </w:r>
    </w:p>
    <w:p>
      <w:pPr>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highlight w:val="none"/>
        </w:rPr>
        <w:t>1、</w:t>
      </w:r>
      <w:r>
        <w:rPr>
          <w:rFonts w:hint="eastAsia" w:ascii="宋体" w:hAnsi="宋体" w:cs="新宋体"/>
          <w:color w:val="auto"/>
          <w:sz w:val="22"/>
          <w:highlight w:val="none"/>
        </w:rPr>
        <w:t>按“投标人须知”要求编制的投标文件资格文件；</w:t>
      </w:r>
    </w:p>
    <w:p>
      <w:pPr>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highlight w:val="none"/>
        </w:rPr>
        <w:t>2、按“投标人须知”要求编制的投标文件商务技术文件；</w:t>
      </w:r>
    </w:p>
    <w:p>
      <w:pPr>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highlight w:val="none"/>
        </w:rPr>
        <w:t>3、按“投标人须知”要求编制的投标文件报价文件；</w:t>
      </w:r>
    </w:p>
    <w:p>
      <w:pPr>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highlight w:val="none"/>
        </w:rPr>
        <w:t>我方己完全明白招标文件的所有条款要求，并重申以下几点：</w:t>
      </w:r>
    </w:p>
    <w:p>
      <w:pPr>
        <w:pStyle w:val="125"/>
        <w:numPr>
          <w:ilvl w:val="1"/>
          <w:numId w:val="40"/>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本投标文件的有效期自投标截止日起  90 天内有效，如中标，有效期将延至合同终止日为止；</w:t>
      </w:r>
    </w:p>
    <w:p>
      <w:pPr>
        <w:pStyle w:val="125"/>
        <w:numPr>
          <w:ilvl w:val="1"/>
          <w:numId w:val="40"/>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我方已详细研究了招标文件的所有内容包括修改书（如有）和所有已提供的参考资料以及有关附件，我方完全理解并同意放弃在此方面提出含糊意见或误解的一切权力；</w:t>
      </w:r>
    </w:p>
    <w:p>
      <w:pPr>
        <w:pStyle w:val="125"/>
        <w:numPr>
          <w:ilvl w:val="1"/>
          <w:numId w:val="40"/>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我方郑重承诺所提供的“信用中国网站”、“中国政府采购网”信用查询证明文件真实有效；</w:t>
      </w:r>
    </w:p>
    <w:p>
      <w:pPr>
        <w:pStyle w:val="125"/>
        <w:numPr>
          <w:ilvl w:val="1"/>
          <w:numId w:val="40"/>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我方在参加本项目前三年内</w:t>
      </w:r>
      <w:r>
        <w:rPr>
          <w:rFonts w:hint="eastAsia" w:ascii="宋体" w:hAnsi="宋体" w:cs="hakuyoxingshu7000"/>
          <w:color w:val="auto"/>
          <w:sz w:val="22"/>
          <w:highlight w:val="none"/>
          <w:u w:val="single"/>
        </w:rPr>
        <w:t>（被通报或者处罚的违法行为有：               ）</w:t>
      </w:r>
      <w:r>
        <w:rPr>
          <w:rFonts w:hint="eastAsia" w:ascii="宋体" w:hAnsi="宋体" w:cs="hakuyoxingshu7000"/>
          <w:color w:val="auto"/>
          <w:sz w:val="22"/>
          <w:highlight w:val="none"/>
        </w:rPr>
        <w:t>或（</w:t>
      </w:r>
      <w:r>
        <w:rPr>
          <w:rFonts w:hint="eastAsia" w:ascii="宋体" w:hAnsi="宋体" w:cs="hakuyoxingshu7000"/>
          <w:color w:val="auto"/>
          <w:sz w:val="22"/>
          <w:highlight w:val="none"/>
          <w:u w:val="single"/>
        </w:rPr>
        <w:t>没有因违法经营受到刑事处罚或者责令停产停业、吊销许可证或者执照、较大数额罚款等行政处罚或处罚）</w:t>
      </w:r>
      <w:r>
        <w:rPr>
          <w:rFonts w:hint="eastAsia" w:ascii="宋体" w:hAnsi="宋体" w:cs="hakuyoxingshu7000"/>
          <w:color w:val="auto"/>
          <w:sz w:val="22"/>
          <w:highlight w:val="none"/>
        </w:rPr>
        <w:t>或</w:t>
      </w:r>
      <w:r>
        <w:rPr>
          <w:rFonts w:hint="eastAsia" w:ascii="宋体" w:hAnsi="宋体" w:cs="hakuyoxingshu7000"/>
          <w:color w:val="auto"/>
          <w:sz w:val="22"/>
          <w:highlight w:val="none"/>
          <w:u w:val="single"/>
        </w:rPr>
        <w:t>（在  至  期间禁止参加政府采购活动但是期限届满，须附相关证明文件）</w:t>
      </w:r>
      <w:r>
        <w:rPr>
          <w:rFonts w:hint="eastAsia" w:ascii="宋体" w:hAnsi="宋体" w:cs="hakuyoxingshu7000"/>
          <w:color w:val="auto"/>
          <w:sz w:val="22"/>
          <w:highlight w:val="none"/>
        </w:rPr>
        <w:t>；</w:t>
      </w:r>
    </w:p>
    <w:p>
      <w:pPr>
        <w:pStyle w:val="125"/>
        <w:numPr>
          <w:ilvl w:val="1"/>
          <w:numId w:val="40"/>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我方同意提供按照贵方可能要求的与投标有关的一切数据或资料；</w:t>
      </w:r>
    </w:p>
    <w:p>
      <w:pPr>
        <w:pStyle w:val="125"/>
        <w:numPr>
          <w:ilvl w:val="1"/>
          <w:numId w:val="40"/>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我方理解贵方不一定接受最低报价。</w:t>
      </w:r>
      <w:r>
        <w:rPr>
          <w:rFonts w:ascii="宋体" w:hAnsi="宋体" w:cs="hakuyoxingshu7000"/>
          <w:color w:val="auto"/>
          <w:sz w:val="22"/>
          <w:highlight w:val="none"/>
        </w:rPr>
        <w:tab/>
      </w:r>
    </w:p>
    <w:p>
      <w:pPr>
        <w:pStyle w:val="125"/>
        <w:numPr>
          <w:ilvl w:val="1"/>
          <w:numId w:val="40"/>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我方如果中标，将保证履行招标文件以及招标文件修改书（如有）中的全部责任和义务，按质、按量、按期完成《合同书》中的全部任务。</w:t>
      </w:r>
    </w:p>
    <w:p>
      <w:pPr>
        <w:pStyle w:val="125"/>
        <w:numPr>
          <w:ilvl w:val="1"/>
          <w:numId w:val="40"/>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所有与本投标有关的函件请发往下列地址：</w:t>
      </w:r>
    </w:p>
    <w:p>
      <w:pPr>
        <w:spacing w:line="360" w:lineRule="exact"/>
        <w:ind w:firstLine="435"/>
        <w:rPr>
          <w:rFonts w:ascii="宋体" w:hAnsi="宋体" w:cs="hakuyoxingshu7000"/>
          <w:color w:val="auto"/>
          <w:sz w:val="22"/>
          <w:szCs w:val="22"/>
          <w:highlight w:val="none"/>
        </w:rPr>
      </w:pPr>
      <w:r>
        <w:rPr>
          <w:rFonts w:hint="eastAsia" w:ascii="宋体" w:hAnsi="宋体" w:cs="hakuyoxingshu7000"/>
          <w:color w:val="auto"/>
          <w:sz w:val="22"/>
          <w:szCs w:val="22"/>
          <w:highlight w:val="none"/>
        </w:rPr>
        <w:t xml:space="preserve">   地址</w:t>
      </w:r>
    </w:p>
    <w:p>
      <w:pPr>
        <w:spacing w:line="360" w:lineRule="exact"/>
        <w:ind w:firstLine="435"/>
        <w:rPr>
          <w:rFonts w:ascii="宋体" w:hAnsi="宋体" w:cs="hakuyoxingshu7000"/>
          <w:color w:val="auto"/>
          <w:sz w:val="22"/>
          <w:szCs w:val="22"/>
          <w:highlight w:val="none"/>
        </w:rPr>
      </w:pPr>
      <w:r>
        <w:rPr>
          <w:rFonts w:hint="eastAsia" w:ascii="宋体" w:hAnsi="宋体" w:cs="hakuyoxingshu7000"/>
          <w:color w:val="auto"/>
          <w:sz w:val="22"/>
          <w:szCs w:val="22"/>
          <w:highlight w:val="none"/>
        </w:rPr>
        <w:t xml:space="preserve">   电话</w:t>
      </w:r>
    </w:p>
    <w:p>
      <w:pPr>
        <w:spacing w:line="360" w:lineRule="exact"/>
        <w:ind w:firstLine="435"/>
        <w:rPr>
          <w:rFonts w:ascii="宋体" w:hAnsi="宋体" w:cs="hakuyoxingshu7000"/>
          <w:color w:val="auto"/>
          <w:sz w:val="22"/>
          <w:szCs w:val="22"/>
          <w:highlight w:val="none"/>
          <w:u w:val="single"/>
        </w:rPr>
      </w:pPr>
      <w:r>
        <w:rPr>
          <w:rFonts w:hint="eastAsia" w:ascii="宋体" w:hAnsi="宋体" w:cs="hakuyoxingshu7000"/>
          <w:color w:val="auto"/>
          <w:sz w:val="22"/>
          <w:szCs w:val="22"/>
          <w:highlight w:val="none"/>
        </w:rPr>
        <w:t xml:space="preserve">   传真</w:t>
      </w:r>
    </w:p>
    <w:p>
      <w:pPr>
        <w:spacing w:line="360" w:lineRule="exact"/>
        <w:ind w:firstLine="770" w:firstLineChars="350"/>
        <w:rPr>
          <w:rFonts w:ascii="宋体" w:hAnsi="宋体" w:cs="hakuyoxingshu7000"/>
          <w:color w:val="auto"/>
          <w:sz w:val="22"/>
          <w:szCs w:val="22"/>
          <w:highlight w:val="none"/>
          <w:u w:val="single"/>
        </w:rPr>
      </w:pPr>
      <w:r>
        <w:rPr>
          <w:rFonts w:hint="eastAsia" w:ascii="宋体" w:hAnsi="宋体" w:cs="hakuyoxingshu7000"/>
          <w:color w:val="auto"/>
          <w:sz w:val="22"/>
          <w:szCs w:val="22"/>
          <w:highlight w:val="none"/>
        </w:rPr>
        <w:t>电子邮件</w:t>
      </w:r>
    </w:p>
    <w:p>
      <w:pPr>
        <w:spacing w:line="420" w:lineRule="exact"/>
        <w:ind w:firstLine="435"/>
        <w:rPr>
          <w:rFonts w:ascii="宋体" w:hAnsi="宋体"/>
          <w:color w:val="auto"/>
          <w:sz w:val="22"/>
          <w:szCs w:val="22"/>
          <w:highlight w:val="none"/>
        </w:rPr>
      </w:pPr>
    </w:p>
    <w:p>
      <w:pPr>
        <w:spacing w:line="420" w:lineRule="exact"/>
        <w:ind w:firstLine="435"/>
        <w:rPr>
          <w:rFonts w:ascii="宋体" w:hAnsi="宋体"/>
          <w:color w:val="auto"/>
          <w:sz w:val="22"/>
          <w:szCs w:val="22"/>
          <w:highlight w:val="none"/>
        </w:rPr>
      </w:pPr>
      <w:r>
        <w:rPr>
          <w:rFonts w:hint="eastAsia" w:ascii="宋体" w:hAnsi="宋体"/>
          <w:color w:val="auto"/>
          <w:sz w:val="22"/>
          <w:szCs w:val="22"/>
          <w:highlight w:val="none"/>
        </w:rPr>
        <w:t xml:space="preserve">                                   投标人名称（盖章）</w:t>
      </w:r>
    </w:p>
    <w:p>
      <w:pPr>
        <w:spacing w:line="420" w:lineRule="exact"/>
        <w:ind w:firstLine="435"/>
        <w:rPr>
          <w:rFonts w:ascii="宋体" w:hAnsi="宋体"/>
          <w:color w:val="auto"/>
          <w:sz w:val="22"/>
          <w:szCs w:val="22"/>
          <w:highlight w:val="none"/>
        </w:rPr>
      </w:pPr>
      <w:r>
        <w:rPr>
          <w:rFonts w:hint="eastAsia" w:ascii="宋体" w:hAnsi="宋体"/>
          <w:color w:val="auto"/>
          <w:sz w:val="22"/>
          <w:szCs w:val="22"/>
          <w:highlight w:val="none"/>
        </w:rPr>
        <w:t xml:space="preserve">                                   投标人代表（签字或盖章）</w:t>
      </w:r>
    </w:p>
    <w:p>
      <w:pPr>
        <w:spacing w:line="460" w:lineRule="exact"/>
        <w:ind w:firstLine="435"/>
        <w:rPr>
          <w:rFonts w:ascii="宋体" w:hAnsi="宋体"/>
          <w:color w:val="auto"/>
          <w:sz w:val="22"/>
          <w:szCs w:val="22"/>
          <w:highlight w:val="none"/>
          <w:u w:val="single"/>
        </w:rPr>
        <w:sectPr>
          <w:footerReference r:id="rId8" w:type="first"/>
          <w:footerReference r:id="rId6" w:type="default"/>
          <w:footerReference r:id="rId7" w:type="even"/>
          <w:type w:val="nextColumn"/>
          <w:pgSz w:w="11906" w:h="16838"/>
          <w:pgMar w:top="1134" w:right="1134" w:bottom="1134" w:left="1134" w:header="851" w:footer="851" w:gutter="0"/>
          <w:pgBorders>
            <w:top w:val="none" w:sz="0" w:space="0"/>
            <w:left w:val="none" w:sz="0" w:space="0"/>
            <w:bottom w:val="none" w:sz="0" w:space="0"/>
            <w:right w:val="none" w:sz="0" w:space="0"/>
          </w:pgBorders>
          <w:cols w:space="720" w:num="1"/>
          <w:titlePg/>
          <w:docGrid w:linePitch="312" w:charSpace="0"/>
        </w:sectPr>
      </w:pPr>
      <w:r>
        <w:rPr>
          <w:rFonts w:hint="eastAsia" w:ascii="宋体" w:hAnsi="宋体"/>
          <w:color w:val="auto"/>
          <w:sz w:val="22"/>
          <w:szCs w:val="22"/>
          <w:highlight w:val="none"/>
        </w:rPr>
        <w:t xml:space="preserve">                                   日    期</w:t>
      </w:r>
    </w:p>
    <w:p>
      <w:pPr>
        <w:spacing w:line="460" w:lineRule="exact"/>
        <w:rPr>
          <w:rFonts w:ascii="宋体" w:hAnsi="宋体"/>
          <w:color w:val="auto"/>
          <w:highlight w:val="none"/>
        </w:rPr>
      </w:pPr>
      <w:r>
        <w:rPr>
          <w:rFonts w:hint="eastAsia" w:ascii="宋体" w:hAnsi="宋体"/>
          <w:b/>
          <w:bCs/>
          <w:color w:val="auto"/>
          <w:sz w:val="22"/>
          <w:szCs w:val="22"/>
          <w:highlight w:val="none"/>
        </w:rPr>
        <w:t>附件五</w:t>
      </w:r>
    </w:p>
    <w:p>
      <w:pPr>
        <w:spacing w:line="460" w:lineRule="exact"/>
        <w:rPr>
          <w:rFonts w:ascii="宋体" w:hAnsi="宋体"/>
          <w:b/>
          <w:color w:val="auto"/>
          <w:sz w:val="22"/>
          <w:szCs w:val="22"/>
          <w:highlight w:val="none"/>
        </w:rPr>
      </w:pPr>
    </w:p>
    <w:p>
      <w:pPr>
        <w:spacing w:line="460" w:lineRule="exact"/>
        <w:ind w:firstLine="437"/>
        <w:jc w:val="center"/>
        <w:rPr>
          <w:rFonts w:ascii="宋体" w:hAnsi="宋体"/>
          <w:b/>
          <w:bCs/>
          <w:color w:val="auto"/>
          <w:sz w:val="28"/>
          <w:szCs w:val="28"/>
          <w:highlight w:val="none"/>
        </w:rPr>
      </w:pPr>
      <w:r>
        <w:rPr>
          <w:rFonts w:hint="eastAsia" w:ascii="宋体" w:hAnsi="宋体"/>
          <w:b/>
          <w:bCs/>
          <w:color w:val="auto"/>
          <w:sz w:val="28"/>
          <w:szCs w:val="28"/>
          <w:highlight w:val="none"/>
        </w:rPr>
        <w:t>技术规格、商务条款偏离表</w:t>
      </w:r>
    </w:p>
    <w:p>
      <w:pPr>
        <w:spacing w:line="380" w:lineRule="exact"/>
        <w:rPr>
          <w:rFonts w:ascii="宋体" w:hAnsi="宋体"/>
          <w:b/>
          <w:bCs/>
          <w:color w:val="auto"/>
          <w:sz w:val="22"/>
          <w:szCs w:val="22"/>
          <w:highlight w:val="none"/>
        </w:rPr>
      </w:pPr>
      <w:r>
        <w:rPr>
          <w:rFonts w:hint="eastAsia" w:ascii="宋体" w:hAnsi="宋体"/>
          <w:b/>
          <w:bCs/>
          <w:color w:val="auto"/>
          <w:sz w:val="22"/>
          <w:szCs w:val="22"/>
          <w:highlight w:val="none"/>
        </w:rPr>
        <w:t>投标人名称：                                          招标编号：</w:t>
      </w:r>
    </w:p>
    <w:tbl>
      <w:tblPr>
        <w:tblStyle w:val="67"/>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364"/>
        <w:gridCol w:w="2097"/>
        <w:gridCol w:w="1992"/>
        <w:gridCol w:w="1866"/>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43" w:type="dxa"/>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序号</w:t>
            </w:r>
          </w:p>
        </w:tc>
        <w:tc>
          <w:tcPr>
            <w:tcW w:w="2097" w:type="dxa"/>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招标文件</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条目号</w:t>
            </w:r>
          </w:p>
        </w:tc>
        <w:tc>
          <w:tcPr>
            <w:tcW w:w="1992" w:type="dxa"/>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招标文件</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规范要求</w:t>
            </w:r>
          </w:p>
        </w:tc>
        <w:tc>
          <w:tcPr>
            <w:tcW w:w="1866" w:type="dxa"/>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投标文件</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对应规范</w:t>
            </w:r>
          </w:p>
        </w:tc>
        <w:tc>
          <w:tcPr>
            <w:tcW w:w="1592" w:type="dxa"/>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943" w:type="dxa"/>
            <w:vMerge w:val="restart"/>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技</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术</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规</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格</w:t>
            </w: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ind w:firstLine="220" w:firstLineChars="100"/>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943" w:type="dxa"/>
            <w:vMerge w:val="restart"/>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商</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务</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条</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款</w:t>
            </w: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bl>
    <w:p>
      <w:pPr>
        <w:spacing w:line="380" w:lineRule="exact"/>
        <w:rPr>
          <w:rFonts w:ascii="宋体" w:hAnsi="宋体"/>
          <w:b/>
          <w:color w:val="auto"/>
          <w:sz w:val="22"/>
          <w:szCs w:val="22"/>
          <w:highlight w:val="none"/>
        </w:rPr>
      </w:pPr>
      <w:r>
        <w:rPr>
          <w:rFonts w:hint="eastAsia" w:ascii="宋体" w:hAnsi="宋体"/>
          <w:b/>
          <w:color w:val="auto"/>
          <w:sz w:val="22"/>
          <w:szCs w:val="22"/>
          <w:highlight w:val="none"/>
        </w:rPr>
        <w:t>注：</w:t>
      </w:r>
      <w:r>
        <w:rPr>
          <w:rFonts w:hint="eastAsia" w:ascii="宋体" w:hAnsi="宋体"/>
          <w:b/>
          <w:color w:val="auto"/>
          <w:highlight w:val="none"/>
        </w:rPr>
        <w:t>不填写此表视为完全响应招标文件内容。</w:t>
      </w:r>
    </w:p>
    <w:p>
      <w:pPr>
        <w:spacing w:line="380" w:lineRule="exact"/>
        <w:ind w:firstLine="4417" w:firstLineChars="2000"/>
        <w:rPr>
          <w:rFonts w:ascii="宋体" w:hAnsi="宋体"/>
          <w:b/>
          <w:color w:val="auto"/>
          <w:sz w:val="22"/>
          <w:szCs w:val="22"/>
          <w:highlight w:val="none"/>
        </w:rPr>
      </w:pPr>
    </w:p>
    <w:p>
      <w:pPr>
        <w:spacing w:line="380" w:lineRule="exact"/>
        <w:ind w:firstLine="4400" w:firstLineChars="2000"/>
        <w:rPr>
          <w:rFonts w:ascii="宋体" w:hAnsi="宋体"/>
          <w:color w:val="auto"/>
          <w:sz w:val="22"/>
          <w:szCs w:val="22"/>
          <w:highlight w:val="none"/>
        </w:rPr>
      </w:pPr>
      <w:r>
        <w:rPr>
          <w:rFonts w:hint="eastAsia" w:ascii="宋体" w:hAnsi="宋体"/>
          <w:color w:val="auto"/>
          <w:sz w:val="22"/>
          <w:szCs w:val="22"/>
          <w:highlight w:val="none"/>
        </w:rPr>
        <w:t>投标人全称（盖章）：</w:t>
      </w:r>
    </w:p>
    <w:p>
      <w:pPr>
        <w:spacing w:line="380" w:lineRule="exact"/>
        <w:ind w:firstLine="4400" w:firstLineChars="2000"/>
        <w:rPr>
          <w:rFonts w:ascii="宋体" w:hAnsi="宋体"/>
          <w:color w:val="auto"/>
          <w:sz w:val="22"/>
          <w:szCs w:val="22"/>
          <w:highlight w:val="none"/>
        </w:rPr>
      </w:pPr>
      <w:r>
        <w:rPr>
          <w:rFonts w:hint="eastAsia" w:ascii="宋体" w:hAnsi="宋体"/>
          <w:color w:val="auto"/>
          <w:sz w:val="22"/>
          <w:szCs w:val="22"/>
          <w:highlight w:val="none"/>
        </w:rPr>
        <w:t>法定代表人或授权代表（签字或盖章）：</w:t>
      </w:r>
    </w:p>
    <w:p>
      <w:pPr>
        <w:spacing w:line="380" w:lineRule="exact"/>
        <w:ind w:firstLine="4400" w:firstLineChars="2000"/>
        <w:rPr>
          <w:rFonts w:ascii="宋体" w:hAnsi="宋体"/>
          <w:color w:val="auto"/>
          <w:sz w:val="22"/>
          <w:szCs w:val="22"/>
          <w:highlight w:val="none"/>
        </w:rPr>
      </w:pPr>
      <w:r>
        <w:rPr>
          <w:rFonts w:hint="eastAsia" w:ascii="宋体" w:hAnsi="宋体"/>
          <w:color w:val="auto"/>
          <w:sz w:val="22"/>
          <w:szCs w:val="22"/>
          <w:highlight w:val="none"/>
        </w:rPr>
        <w:t>日期：  年   月  日</w:t>
      </w:r>
    </w:p>
    <w:p>
      <w:pPr>
        <w:spacing w:line="400" w:lineRule="exact"/>
        <w:rPr>
          <w:rFonts w:ascii="宋体" w:hAnsi="宋体"/>
          <w:color w:val="auto"/>
          <w:sz w:val="22"/>
          <w:szCs w:val="22"/>
          <w:highlight w:val="none"/>
        </w:rPr>
      </w:pPr>
    </w:p>
    <w:p>
      <w:pPr>
        <w:spacing w:line="460" w:lineRule="exact"/>
        <w:rPr>
          <w:rFonts w:ascii="宋体" w:hAnsi="宋体"/>
          <w:b/>
          <w:color w:val="auto"/>
          <w:sz w:val="22"/>
          <w:szCs w:val="22"/>
          <w:highlight w:val="none"/>
        </w:rPr>
      </w:pPr>
      <w:r>
        <w:rPr>
          <w:rFonts w:hint="eastAsia" w:ascii="宋体" w:hAnsi="宋体"/>
          <w:color w:val="auto"/>
          <w:highlight w:val="none"/>
        </w:rPr>
        <w:br w:type="page"/>
      </w:r>
    </w:p>
    <w:p>
      <w:pPr>
        <w:spacing w:line="460" w:lineRule="exact"/>
        <w:rPr>
          <w:rFonts w:hAnsi="宋体"/>
          <w:b/>
          <w:bCs/>
          <w:color w:val="auto"/>
          <w:highlight w:val="none"/>
        </w:rPr>
      </w:pPr>
      <w:r>
        <w:rPr>
          <w:rFonts w:hint="eastAsia" w:ascii="宋体" w:hAnsi="宋体"/>
          <w:b/>
          <w:color w:val="auto"/>
          <w:sz w:val="22"/>
          <w:szCs w:val="22"/>
          <w:highlight w:val="none"/>
        </w:rPr>
        <w:t>附件六</w:t>
      </w:r>
    </w:p>
    <w:p>
      <w:pPr>
        <w:spacing w:line="400" w:lineRule="exact"/>
        <w:jc w:val="center"/>
        <w:rPr>
          <w:rFonts w:ascii="宋体" w:hAnsi="宋体"/>
          <w:b/>
          <w:bCs/>
          <w:color w:val="auto"/>
          <w:sz w:val="28"/>
          <w:szCs w:val="28"/>
          <w:highlight w:val="none"/>
        </w:rPr>
      </w:pPr>
      <w:r>
        <w:rPr>
          <w:rFonts w:hint="eastAsia" w:ascii="宋体" w:hAnsi="宋体"/>
          <w:b/>
          <w:bCs/>
          <w:color w:val="auto"/>
          <w:sz w:val="28"/>
          <w:szCs w:val="28"/>
          <w:highlight w:val="none"/>
        </w:rPr>
        <w:t>项目案例业绩</w:t>
      </w:r>
    </w:p>
    <w:p>
      <w:pPr>
        <w:spacing w:line="400" w:lineRule="exact"/>
        <w:jc w:val="center"/>
        <w:rPr>
          <w:rFonts w:ascii="宋体" w:hAnsi="宋体"/>
          <w:b/>
          <w:bCs/>
          <w:color w:val="auto"/>
          <w:sz w:val="28"/>
          <w:szCs w:val="28"/>
          <w:highlight w:val="none"/>
        </w:rPr>
      </w:pPr>
    </w:p>
    <w:tbl>
      <w:tblPr>
        <w:tblStyle w:val="67"/>
        <w:tblpPr w:leftFromText="180" w:rightFromText="180" w:vertAnchor="text" w:tblpY="1"/>
        <w:tblOverlap w:val="never"/>
        <w:tblW w:w="9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8"/>
        <w:gridCol w:w="1151"/>
        <w:gridCol w:w="1872"/>
        <w:gridCol w:w="1481"/>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0" w:hRule="atLeast"/>
        </w:trPr>
        <w:tc>
          <w:tcPr>
            <w:tcW w:w="3458" w:type="dxa"/>
            <w:vAlign w:val="center"/>
          </w:tcPr>
          <w:p>
            <w:pPr>
              <w:spacing w:line="400" w:lineRule="atLeast"/>
              <w:jc w:val="center"/>
              <w:rPr>
                <w:rFonts w:ascii="宋体" w:hAnsi="宋体" w:cs="Arial"/>
                <w:color w:val="auto"/>
                <w:sz w:val="24"/>
                <w:highlight w:val="none"/>
              </w:rPr>
            </w:pPr>
            <w:r>
              <w:rPr>
                <w:rFonts w:hint="eastAsia" w:ascii="宋体" w:hAnsi="宋体" w:cs="Arial"/>
                <w:color w:val="auto"/>
                <w:sz w:val="24"/>
                <w:highlight w:val="none"/>
              </w:rPr>
              <w:t>项目名称</w:t>
            </w:r>
          </w:p>
        </w:tc>
        <w:tc>
          <w:tcPr>
            <w:tcW w:w="1151" w:type="dxa"/>
            <w:vAlign w:val="center"/>
          </w:tcPr>
          <w:p>
            <w:pPr>
              <w:spacing w:line="400" w:lineRule="atLeast"/>
              <w:jc w:val="center"/>
              <w:rPr>
                <w:rFonts w:ascii="宋体" w:hAnsi="宋体" w:cs="Arial"/>
                <w:color w:val="auto"/>
                <w:sz w:val="24"/>
                <w:highlight w:val="none"/>
              </w:rPr>
            </w:pPr>
            <w:r>
              <w:rPr>
                <w:rFonts w:hint="eastAsia" w:ascii="宋体" w:hAnsi="宋体" w:cs="Arial"/>
                <w:color w:val="auto"/>
                <w:sz w:val="24"/>
                <w:highlight w:val="none"/>
              </w:rPr>
              <w:t>金额</w:t>
            </w:r>
          </w:p>
        </w:tc>
        <w:tc>
          <w:tcPr>
            <w:tcW w:w="1872" w:type="dxa"/>
            <w:vAlign w:val="center"/>
          </w:tcPr>
          <w:p>
            <w:pPr>
              <w:spacing w:line="400" w:lineRule="atLeast"/>
              <w:jc w:val="center"/>
              <w:rPr>
                <w:rFonts w:ascii="宋体" w:hAnsi="宋体" w:cs="Arial"/>
                <w:color w:val="auto"/>
                <w:sz w:val="24"/>
                <w:highlight w:val="none"/>
              </w:rPr>
            </w:pPr>
            <w:r>
              <w:rPr>
                <w:rFonts w:hint="eastAsia" w:ascii="宋体" w:hAnsi="宋体" w:cs="Arial"/>
                <w:color w:val="auto"/>
                <w:sz w:val="24"/>
                <w:highlight w:val="none"/>
              </w:rPr>
              <w:t>使用单位全称</w:t>
            </w:r>
          </w:p>
        </w:tc>
        <w:tc>
          <w:tcPr>
            <w:tcW w:w="1481" w:type="dxa"/>
            <w:tcBorders>
              <w:bottom w:val="single" w:color="auto" w:sz="4" w:space="0"/>
            </w:tcBorders>
            <w:vAlign w:val="center"/>
          </w:tcPr>
          <w:p>
            <w:pPr>
              <w:spacing w:line="400" w:lineRule="atLeast"/>
              <w:jc w:val="center"/>
              <w:rPr>
                <w:rFonts w:ascii="宋体" w:hAnsi="宋体" w:cs="Arial"/>
                <w:color w:val="auto"/>
                <w:sz w:val="24"/>
                <w:highlight w:val="none"/>
              </w:rPr>
            </w:pPr>
            <w:r>
              <w:rPr>
                <w:rFonts w:hint="eastAsia" w:ascii="宋体" w:hAnsi="宋体" w:cs="Arial"/>
                <w:color w:val="auto"/>
                <w:sz w:val="24"/>
                <w:highlight w:val="none"/>
              </w:rPr>
              <w:t>使用单位联系人电话</w:t>
            </w:r>
          </w:p>
        </w:tc>
        <w:tc>
          <w:tcPr>
            <w:tcW w:w="1872" w:type="dxa"/>
            <w:tcBorders>
              <w:bottom w:val="single" w:color="auto" w:sz="4" w:space="0"/>
            </w:tcBorders>
            <w:vAlign w:val="center"/>
          </w:tcPr>
          <w:p>
            <w:pPr>
              <w:tabs>
                <w:tab w:val="left" w:pos="692"/>
              </w:tabs>
              <w:spacing w:line="400" w:lineRule="atLeast"/>
              <w:ind w:left="240" w:hanging="240" w:hangingChars="100"/>
              <w:rPr>
                <w:rFonts w:ascii="宋体" w:hAnsi="宋体" w:cs="Arial"/>
                <w:b/>
                <w:color w:val="auto"/>
                <w:sz w:val="24"/>
                <w:highlight w:val="none"/>
                <w:u w:val="thick"/>
              </w:rPr>
            </w:pPr>
            <w:r>
              <w:rPr>
                <w:rFonts w:hint="eastAsia" w:ascii="宋体" w:hAnsi="宋体" w:cs="Arial"/>
                <w:color w:val="auto"/>
                <w:sz w:val="24"/>
                <w:highlight w:val="none"/>
              </w:rPr>
              <w:t>合同签订时间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3458" w:type="dxa"/>
          </w:tcPr>
          <w:p>
            <w:pPr>
              <w:spacing w:line="400" w:lineRule="atLeast"/>
              <w:jc w:val="center"/>
              <w:rPr>
                <w:rFonts w:ascii="宋体" w:hAnsi="宋体" w:cs="Arial"/>
                <w:color w:val="auto"/>
                <w:sz w:val="24"/>
                <w:highlight w:val="none"/>
              </w:rPr>
            </w:pPr>
          </w:p>
        </w:tc>
        <w:tc>
          <w:tcPr>
            <w:tcW w:w="115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c>
          <w:tcPr>
            <w:tcW w:w="148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3458" w:type="dxa"/>
          </w:tcPr>
          <w:p>
            <w:pPr>
              <w:spacing w:line="400" w:lineRule="atLeast"/>
              <w:jc w:val="center"/>
              <w:rPr>
                <w:rFonts w:ascii="宋体" w:hAnsi="宋体" w:cs="Arial"/>
                <w:color w:val="auto"/>
                <w:sz w:val="24"/>
                <w:highlight w:val="none"/>
              </w:rPr>
            </w:pPr>
          </w:p>
        </w:tc>
        <w:tc>
          <w:tcPr>
            <w:tcW w:w="115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c>
          <w:tcPr>
            <w:tcW w:w="148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3458" w:type="dxa"/>
          </w:tcPr>
          <w:p>
            <w:pPr>
              <w:spacing w:line="400" w:lineRule="atLeast"/>
              <w:jc w:val="center"/>
              <w:rPr>
                <w:rFonts w:ascii="宋体" w:hAnsi="宋体" w:cs="Arial"/>
                <w:color w:val="auto"/>
                <w:sz w:val="24"/>
                <w:highlight w:val="none"/>
              </w:rPr>
            </w:pPr>
          </w:p>
        </w:tc>
        <w:tc>
          <w:tcPr>
            <w:tcW w:w="115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c>
          <w:tcPr>
            <w:tcW w:w="148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3458" w:type="dxa"/>
          </w:tcPr>
          <w:p>
            <w:pPr>
              <w:spacing w:line="400" w:lineRule="atLeast"/>
              <w:jc w:val="center"/>
              <w:rPr>
                <w:rFonts w:ascii="宋体" w:hAnsi="宋体" w:cs="Arial"/>
                <w:color w:val="auto"/>
                <w:sz w:val="24"/>
                <w:highlight w:val="none"/>
              </w:rPr>
            </w:pPr>
          </w:p>
        </w:tc>
        <w:tc>
          <w:tcPr>
            <w:tcW w:w="115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c>
          <w:tcPr>
            <w:tcW w:w="148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3458" w:type="dxa"/>
          </w:tcPr>
          <w:p>
            <w:pPr>
              <w:spacing w:line="400" w:lineRule="atLeast"/>
              <w:jc w:val="center"/>
              <w:rPr>
                <w:rFonts w:ascii="宋体" w:hAnsi="宋体" w:cs="Arial"/>
                <w:color w:val="auto"/>
                <w:sz w:val="24"/>
                <w:highlight w:val="none"/>
              </w:rPr>
            </w:pPr>
          </w:p>
        </w:tc>
        <w:tc>
          <w:tcPr>
            <w:tcW w:w="115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c>
          <w:tcPr>
            <w:tcW w:w="148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3458" w:type="dxa"/>
          </w:tcPr>
          <w:p>
            <w:pPr>
              <w:spacing w:line="400" w:lineRule="atLeast"/>
              <w:jc w:val="center"/>
              <w:rPr>
                <w:rFonts w:ascii="宋体" w:hAnsi="宋体" w:cs="Arial"/>
                <w:color w:val="auto"/>
                <w:sz w:val="24"/>
                <w:highlight w:val="none"/>
              </w:rPr>
            </w:pPr>
          </w:p>
        </w:tc>
        <w:tc>
          <w:tcPr>
            <w:tcW w:w="115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c>
          <w:tcPr>
            <w:tcW w:w="148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3458" w:type="dxa"/>
          </w:tcPr>
          <w:p>
            <w:pPr>
              <w:spacing w:line="400" w:lineRule="atLeast"/>
              <w:jc w:val="center"/>
              <w:rPr>
                <w:rFonts w:ascii="宋体" w:hAnsi="宋体" w:cs="Arial"/>
                <w:color w:val="auto"/>
                <w:sz w:val="24"/>
                <w:highlight w:val="none"/>
              </w:rPr>
            </w:pPr>
          </w:p>
        </w:tc>
        <w:tc>
          <w:tcPr>
            <w:tcW w:w="115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c>
          <w:tcPr>
            <w:tcW w:w="148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3458" w:type="dxa"/>
          </w:tcPr>
          <w:p>
            <w:pPr>
              <w:spacing w:line="400" w:lineRule="atLeast"/>
              <w:jc w:val="center"/>
              <w:rPr>
                <w:rFonts w:ascii="宋体" w:hAnsi="宋体" w:cs="Arial"/>
                <w:color w:val="auto"/>
                <w:sz w:val="24"/>
                <w:highlight w:val="none"/>
              </w:rPr>
            </w:pPr>
          </w:p>
        </w:tc>
        <w:tc>
          <w:tcPr>
            <w:tcW w:w="115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c>
          <w:tcPr>
            <w:tcW w:w="148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3458" w:type="dxa"/>
          </w:tcPr>
          <w:p>
            <w:pPr>
              <w:spacing w:line="400" w:lineRule="atLeast"/>
              <w:jc w:val="center"/>
              <w:rPr>
                <w:rFonts w:ascii="宋体" w:hAnsi="宋体" w:cs="Arial"/>
                <w:color w:val="auto"/>
                <w:sz w:val="24"/>
                <w:highlight w:val="none"/>
              </w:rPr>
            </w:pPr>
          </w:p>
        </w:tc>
        <w:tc>
          <w:tcPr>
            <w:tcW w:w="115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c>
          <w:tcPr>
            <w:tcW w:w="1481" w:type="dxa"/>
          </w:tcPr>
          <w:p>
            <w:pPr>
              <w:spacing w:line="400" w:lineRule="atLeast"/>
              <w:jc w:val="center"/>
              <w:rPr>
                <w:rFonts w:ascii="宋体" w:hAnsi="宋体" w:cs="Arial"/>
                <w:color w:val="auto"/>
                <w:sz w:val="24"/>
                <w:highlight w:val="none"/>
              </w:rPr>
            </w:pPr>
          </w:p>
        </w:tc>
        <w:tc>
          <w:tcPr>
            <w:tcW w:w="1872" w:type="dxa"/>
          </w:tcPr>
          <w:p>
            <w:pPr>
              <w:spacing w:line="400" w:lineRule="atLeast"/>
              <w:jc w:val="center"/>
              <w:rPr>
                <w:rFonts w:ascii="宋体" w:hAnsi="宋体" w:cs="Arial"/>
                <w:color w:val="auto"/>
                <w:sz w:val="24"/>
                <w:highlight w:val="none"/>
              </w:rPr>
            </w:pPr>
          </w:p>
        </w:tc>
      </w:tr>
    </w:tbl>
    <w:p>
      <w:pPr>
        <w:rPr>
          <w:rFonts w:ascii="宋体" w:hAnsi="宋体" w:cs="Arial"/>
          <w:b/>
          <w:bCs/>
          <w:color w:val="auto"/>
          <w:sz w:val="24"/>
          <w:highlight w:val="none"/>
          <w:u w:val="single"/>
        </w:rPr>
      </w:pPr>
      <w:r>
        <w:rPr>
          <w:rFonts w:hint="eastAsia" w:ascii="宋体" w:hAnsi="宋体" w:cs="Arial"/>
          <w:color w:val="auto"/>
          <w:sz w:val="24"/>
          <w:highlight w:val="none"/>
        </w:rPr>
        <w:br w:type="textWrapping" w:clear="all"/>
      </w:r>
      <w:r>
        <w:rPr>
          <w:rFonts w:hint="eastAsia" w:ascii="宋体" w:hAnsi="宋体" w:cs="Arial"/>
          <w:color w:val="auto"/>
          <w:sz w:val="24"/>
          <w:highlight w:val="none"/>
        </w:rPr>
        <w:t>注：</w:t>
      </w:r>
    </w:p>
    <w:p>
      <w:pPr>
        <w:tabs>
          <w:tab w:val="left" w:pos="5355"/>
        </w:tabs>
        <w:spacing w:line="430" w:lineRule="exact"/>
        <w:ind w:firstLine="330" w:firstLineChars="150"/>
        <w:rPr>
          <w:rFonts w:ascii="宋体" w:hAnsi="宋体"/>
          <w:color w:val="auto"/>
          <w:sz w:val="22"/>
          <w:szCs w:val="22"/>
          <w:highlight w:val="none"/>
        </w:rPr>
      </w:pPr>
      <w:r>
        <w:rPr>
          <w:rFonts w:hint="eastAsia" w:ascii="宋体" w:hAnsi="宋体"/>
          <w:bCs/>
          <w:color w:val="auto"/>
          <w:sz w:val="22"/>
          <w:szCs w:val="22"/>
          <w:highlight w:val="none"/>
        </w:rPr>
        <w:t>1、</w:t>
      </w:r>
      <w:r>
        <w:rPr>
          <w:rFonts w:hint="eastAsia" w:ascii="宋体" w:hAnsi="宋体"/>
          <w:color w:val="auto"/>
          <w:sz w:val="22"/>
          <w:szCs w:val="22"/>
          <w:highlight w:val="none"/>
        </w:rPr>
        <w:t>本表可在不改变格式的情况下根据具体需要自行增减。</w:t>
      </w:r>
    </w:p>
    <w:p>
      <w:pPr>
        <w:spacing w:line="500" w:lineRule="exact"/>
        <w:ind w:firstLine="327" w:firstLineChars="148"/>
        <w:rPr>
          <w:rFonts w:ascii="宋体" w:hAnsi="宋体"/>
          <w:b/>
          <w:color w:val="auto"/>
          <w:sz w:val="22"/>
          <w:szCs w:val="22"/>
          <w:highlight w:val="none"/>
        </w:rPr>
      </w:pPr>
      <w:r>
        <w:rPr>
          <w:rFonts w:hint="eastAsia" w:ascii="宋体" w:hAnsi="宋体"/>
          <w:b/>
          <w:bCs/>
          <w:color w:val="auto"/>
          <w:sz w:val="22"/>
          <w:szCs w:val="22"/>
          <w:highlight w:val="none"/>
          <w:u w:val="thick"/>
        </w:rPr>
        <w:t>2. 投标人不按此要求填写此项内容或未提供业绩证明材料将视为无业绩。</w:t>
      </w:r>
    </w:p>
    <w:p>
      <w:pPr>
        <w:spacing w:line="380" w:lineRule="exact"/>
        <w:ind w:left="663" w:hanging="663" w:hangingChars="300"/>
        <w:rPr>
          <w:rFonts w:ascii="宋体" w:hAnsi="宋体"/>
          <w:b/>
          <w:color w:val="auto"/>
          <w:sz w:val="22"/>
          <w:szCs w:val="22"/>
          <w:highlight w:val="none"/>
        </w:rPr>
      </w:pPr>
    </w:p>
    <w:p>
      <w:pPr>
        <w:spacing w:line="380" w:lineRule="exact"/>
        <w:ind w:firstLine="4111"/>
        <w:rPr>
          <w:rFonts w:ascii="宋体" w:hAnsi="宋体"/>
          <w:color w:val="auto"/>
          <w:sz w:val="22"/>
          <w:szCs w:val="22"/>
          <w:highlight w:val="none"/>
        </w:rPr>
      </w:pPr>
      <w:r>
        <w:rPr>
          <w:rFonts w:hint="eastAsia" w:ascii="宋体" w:hAnsi="宋体"/>
          <w:color w:val="auto"/>
          <w:sz w:val="22"/>
          <w:szCs w:val="22"/>
          <w:highlight w:val="none"/>
        </w:rPr>
        <w:t>投标人全称（盖章）：</w:t>
      </w:r>
    </w:p>
    <w:p>
      <w:pPr>
        <w:spacing w:line="380" w:lineRule="exact"/>
        <w:ind w:firstLine="4111"/>
        <w:rPr>
          <w:rFonts w:ascii="宋体" w:hAnsi="宋体"/>
          <w:color w:val="auto"/>
          <w:sz w:val="22"/>
          <w:szCs w:val="22"/>
          <w:highlight w:val="none"/>
        </w:rPr>
      </w:pPr>
      <w:r>
        <w:rPr>
          <w:rFonts w:hint="eastAsia" w:ascii="宋体" w:hAnsi="宋体"/>
          <w:color w:val="auto"/>
          <w:sz w:val="22"/>
          <w:szCs w:val="22"/>
          <w:highlight w:val="none"/>
        </w:rPr>
        <w:t>法定代表人或授权代表（签字或盖章）：</w:t>
      </w:r>
    </w:p>
    <w:p>
      <w:pPr>
        <w:spacing w:line="380" w:lineRule="exact"/>
        <w:ind w:firstLine="4111"/>
        <w:rPr>
          <w:rFonts w:ascii="宋体" w:hAnsi="宋体"/>
          <w:color w:val="auto"/>
          <w:sz w:val="22"/>
          <w:szCs w:val="22"/>
          <w:highlight w:val="none"/>
        </w:rPr>
      </w:pPr>
      <w:r>
        <w:rPr>
          <w:rFonts w:hint="eastAsia" w:ascii="宋体" w:hAnsi="宋体"/>
          <w:color w:val="auto"/>
          <w:sz w:val="22"/>
          <w:szCs w:val="22"/>
          <w:highlight w:val="none"/>
        </w:rPr>
        <w:t>日 期：  年  月  日</w:t>
      </w:r>
    </w:p>
    <w:p>
      <w:pPr>
        <w:tabs>
          <w:tab w:val="left" w:pos="1995"/>
        </w:tabs>
        <w:spacing w:line="380" w:lineRule="exact"/>
        <w:rPr>
          <w:rFonts w:ascii="宋体" w:hAnsi="宋体"/>
          <w:color w:val="auto"/>
          <w:sz w:val="22"/>
          <w:szCs w:val="22"/>
          <w:highlight w:val="none"/>
        </w:rPr>
      </w:pPr>
    </w:p>
    <w:p>
      <w:pPr>
        <w:rPr>
          <w:rFonts w:ascii="宋体" w:hAnsi="宋体"/>
          <w:b/>
          <w:color w:val="auto"/>
          <w:sz w:val="22"/>
          <w:highlight w:val="none"/>
        </w:rPr>
      </w:pPr>
      <w:r>
        <w:rPr>
          <w:rFonts w:ascii="宋体" w:hAnsi="宋体"/>
          <w:color w:val="auto"/>
          <w:sz w:val="22"/>
          <w:szCs w:val="22"/>
          <w:highlight w:val="none"/>
        </w:rPr>
        <w:br w:type="page"/>
      </w:r>
      <w:r>
        <w:rPr>
          <w:rFonts w:hint="eastAsia" w:ascii="宋体" w:hAnsi="宋体"/>
          <w:b/>
          <w:color w:val="auto"/>
          <w:sz w:val="22"/>
          <w:szCs w:val="22"/>
          <w:highlight w:val="none"/>
        </w:rPr>
        <w:t>附件七</w:t>
      </w:r>
    </w:p>
    <w:p>
      <w:pPr>
        <w:spacing w:line="380" w:lineRule="exact"/>
        <w:ind w:firstLine="787" w:firstLineChars="245"/>
        <w:jc w:val="center"/>
        <w:rPr>
          <w:rFonts w:ascii="宋体" w:hAnsi="宋体" w:cs="hakuyoxingshu7000"/>
          <w:b/>
          <w:bCs/>
          <w:color w:val="auto"/>
          <w:sz w:val="32"/>
          <w:szCs w:val="32"/>
          <w:highlight w:val="none"/>
        </w:rPr>
      </w:pPr>
      <w:r>
        <w:rPr>
          <w:rFonts w:hint="eastAsia" w:ascii="宋体" w:hAnsi="宋体" w:cs="hakuyoxingshu7000"/>
          <w:b/>
          <w:bCs/>
          <w:color w:val="auto"/>
          <w:sz w:val="32"/>
          <w:szCs w:val="32"/>
          <w:highlight w:val="none"/>
        </w:rPr>
        <w:t>供货范围详细清单</w:t>
      </w:r>
    </w:p>
    <w:p>
      <w:pPr>
        <w:spacing w:line="380" w:lineRule="exact"/>
        <w:ind w:firstLine="784" w:firstLineChars="245"/>
        <w:jc w:val="center"/>
        <w:rPr>
          <w:rFonts w:ascii="宋体" w:hAnsi="宋体" w:cs="hakuyoxingshu7000"/>
          <w:color w:val="auto"/>
          <w:sz w:val="32"/>
          <w:szCs w:val="32"/>
          <w:highlight w:val="none"/>
        </w:rPr>
      </w:pPr>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3804"/>
        <w:gridCol w:w="1141"/>
        <w:gridCol w:w="911"/>
        <w:gridCol w:w="1592"/>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Borders>
              <w:top w:val="single" w:color="auto" w:sz="12" w:space="0"/>
              <w:bottom w:val="single" w:color="auto" w:sz="12" w:space="0"/>
            </w:tcBorders>
          </w:tcPr>
          <w:p>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序号</w:t>
            </w:r>
          </w:p>
        </w:tc>
        <w:tc>
          <w:tcPr>
            <w:tcW w:w="1930" w:type="pct"/>
            <w:tcBorders>
              <w:top w:val="single" w:color="auto" w:sz="12" w:space="0"/>
              <w:bottom w:val="single" w:color="auto" w:sz="12" w:space="0"/>
            </w:tcBorders>
            <w:vAlign w:val="center"/>
          </w:tcPr>
          <w:p>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产品名称</w:t>
            </w:r>
          </w:p>
        </w:tc>
        <w:tc>
          <w:tcPr>
            <w:tcW w:w="579" w:type="pct"/>
            <w:tcBorders>
              <w:top w:val="single" w:color="auto" w:sz="12" w:space="0"/>
              <w:bottom w:val="single" w:color="auto" w:sz="12" w:space="0"/>
            </w:tcBorders>
            <w:vAlign w:val="center"/>
          </w:tcPr>
          <w:p>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产地</w:t>
            </w:r>
          </w:p>
        </w:tc>
        <w:tc>
          <w:tcPr>
            <w:tcW w:w="462" w:type="pct"/>
            <w:tcBorders>
              <w:top w:val="single" w:color="auto" w:sz="12" w:space="0"/>
              <w:bottom w:val="single" w:color="auto" w:sz="12" w:space="0"/>
            </w:tcBorders>
            <w:vAlign w:val="center"/>
          </w:tcPr>
          <w:p>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数量</w:t>
            </w:r>
          </w:p>
        </w:tc>
        <w:tc>
          <w:tcPr>
            <w:tcW w:w="808" w:type="pct"/>
            <w:tcBorders>
              <w:top w:val="single" w:color="auto" w:sz="12" w:space="0"/>
              <w:bottom w:val="single" w:color="auto" w:sz="12" w:space="0"/>
            </w:tcBorders>
            <w:vAlign w:val="center"/>
          </w:tcPr>
          <w:p>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质保期限</w:t>
            </w:r>
          </w:p>
        </w:tc>
        <w:tc>
          <w:tcPr>
            <w:tcW w:w="690" w:type="pct"/>
            <w:tcBorders>
              <w:top w:val="single" w:color="auto" w:sz="12" w:space="0"/>
              <w:bottom w:val="single" w:color="auto" w:sz="12" w:space="0"/>
              <w:right w:val="single" w:color="auto" w:sz="12" w:space="0"/>
            </w:tcBorders>
            <w:vAlign w:val="center"/>
          </w:tcPr>
          <w:p>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Borders>
              <w:top w:val="single" w:color="auto" w:sz="12" w:space="0"/>
            </w:tcBorders>
          </w:tcPr>
          <w:p>
            <w:pPr>
              <w:spacing w:line="400" w:lineRule="exact"/>
              <w:jc w:val="center"/>
              <w:rPr>
                <w:rFonts w:ascii="宋体" w:hAnsi="宋体"/>
                <w:bCs/>
                <w:color w:val="auto"/>
                <w:sz w:val="22"/>
                <w:szCs w:val="22"/>
                <w:highlight w:val="none"/>
              </w:rPr>
            </w:pPr>
          </w:p>
        </w:tc>
        <w:tc>
          <w:tcPr>
            <w:tcW w:w="1930" w:type="pct"/>
            <w:tcBorders>
              <w:top w:val="single" w:color="auto" w:sz="12" w:space="0"/>
            </w:tcBorders>
            <w:vAlign w:val="center"/>
          </w:tcPr>
          <w:p>
            <w:pPr>
              <w:spacing w:line="400" w:lineRule="exact"/>
              <w:jc w:val="center"/>
              <w:rPr>
                <w:rFonts w:ascii="宋体" w:hAnsi="宋体"/>
                <w:bCs/>
                <w:color w:val="auto"/>
                <w:sz w:val="22"/>
                <w:szCs w:val="22"/>
                <w:highlight w:val="none"/>
              </w:rPr>
            </w:pPr>
          </w:p>
        </w:tc>
        <w:tc>
          <w:tcPr>
            <w:tcW w:w="579" w:type="pct"/>
            <w:tcBorders>
              <w:top w:val="single" w:color="auto" w:sz="12" w:space="0"/>
            </w:tcBorders>
            <w:vAlign w:val="center"/>
          </w:tcPr>
          <w:p>
            <w:pPr>
              <w:spacing w:line="400" w:lineRule="exact"/>
              <w:jc w:val="center"/>
              <w:rPr>
                <w:rFonts w:ascii="宋体" w:hAnsi="宋体"/>
                <w:bCs/>
                <w:color w:val="auto"/>
                <w:sz w:val="22"/>
                <w:szCs w:val="22"/>
                <w:highlight w:val="none"/>
              </w:rPr>
            </w:pPr>
          </w:p>
        </w:tc>
        <w:tc>
          <w:tcPr>
            <w:tcW w:w="462" w:type="pct"/>
            <w:tcBorders>
              <w:top w:val="single" w:color="auto" w:sz="12" w:space="0"/>
            </w:tcBorders>
            <w:vAlign w:val="center"/>
          </w:tcPr>
          <w:p>
            <w:pPr>
              <w:spacing w:line="400" w:lineRule="exact"/>
              <w:jc w:val="center"/>
              <w:rPr>
                <w:rFonts w:ascii="宋体" w:hAnsi="宋体"/>
                <w:bCs/>
                <w:color w:val="auto"/>
                <w:sz w:val="22"/>
                <w:szCs w:val="22"/>
                <w:highlight w:val="none"/>
              </w:rPr>
            </w:pPr>
          </w:p>
        </w:tc>
        <w:tc>
          <w:tcPr>
            <w:tcW w:w="808" w:type="pct"/>
            <w:tcBorders>
              <w:top w:val="single" w:color="auto" w:sz="12" w:space="0"/>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top w:val="single" w:color="auto" w:sz="12" w:space="0"/>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bl>
    <w:p>
      <w:pPr>
        <w:spacing w:line="380" w:lineRule="exact"/>
        <w:ind w:firstLine="4400" w:firstLineChars="2000"/>
        <w:rPr>
          <w:rFonts w:ascii="宋体" w:hAnsi="宋体" w:cs="hakuyoxingshu7000"/>
          <w:color w:val="auto"/>
          <w:sz w:val="22"/>
          <w:szCs w:val="22"/>
          <w:highlight w:val="none"/>
        </w:rPr>
      </w:pPr>
    </w:p>
    <w:p>
      <w:pPr>
        <w:spacing w:line="380" w:lineRule="exact"/>
        <w:jc w:val="left"/>
        <w:rPr>
          <w:rFonts w:ascii="宋体" w:hAnsi="宋体"/>
          <w:color w:val="auto"/>
          <w:sz w:val="22"/>
          <w:szCs w:val="22"/>
          <w:highlight w:val="none"/>
        </w:rPr>
      </w:pPr>
      <w:r>
        <w:rPr>
          <w:rFonts w:hint="eastAsia" w:ascii="宋体" w:hAnsi="宋体"/>
          <w:b/>
          <w:bCs/>
          <w:color w:val="auto"/>
          <w:sz w:val="22"/>
          <w:szCs w:val="22"/>
          <w:highlight w:val="none"/>
        </w:rPr>
        <w:t>注：</w:t>
      </w:r>
      <w:r>
        <w:rPr>
          <w:rFonts w:hint="eastAsia" w:ascii="宋体" w:hAnsi="宋体"/>
          <w:bCs/>
          <w:color w:val="auto"/>
          <w:sz w:val="22"/>
          <w:szCs w:val="22"/>
          <w:highlight w:val="none"/>
        </w:rPr>
        <w:t>1.</w:t>
      </w:r>
      <w:r>
        <w:rPr>
          <w:rFonts w:hint="eastAsia" w:ascii="宋体" w:hAnsi="宋体"/>
          <w:color w:val="auto"/>
          <w:sz w:val="22"/>
          <w:szCs w:val="22"/>
          <w:highlight w:val="none"/>
        </w:rPr>
        <w:t xml:space="preserve"> 投标人应按“招标内容及要求”的明细分别填写，附在投标文件内。</w:t>
      </w:r>
    </w:p>
    <w:p>
      <w:pPr>
        <w:spacing w:line="380" w:lineRule="exact"/>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 此表仅提供了表格形式，投标人应根据需要准备足够数量的表格来填写清单一览表。</w:t>
      </w:r>
    </w:p>
    <w:p>
      <w:pPr>
        <w:spacing w:line="380" w:lineRule="exact"/>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 不提供供货范围详细清单将视为没有实质性响应招标文件。</w:t>
      </w:r>
    </w:p>
    <w:p>
      <w:pPr>
        <w:spacing w:line="380" w:lineRule="exact"/>
        <w:ind w:firstLine="4400" w:firstLineChars="2000"/>
        <w:rPr>
          <w:rFonts w:ascii="宋体" w:hAnsi="宋体" w:cs="hakuyoxingshu7000"/>
          <w:color w:val="auto"/>
          <w:sz w:val="22"/>
          <w:szCs w:val="22"/>
          <w:highlight w:val="none"/>
        </w:rPr>
      </w:pPr>
    </w:p>
    <w:p>
      <w:pPr>
        <w:spacing w:line="380" w:lineRule="exact"/>
        <w:ind w:firstLine="4400" w:firstLineChars="2000"/>
        <w:rPr>
          <w:rFonts w:ascii="宋体" w:hAnsi="宋体" w:cs="hakuyoxingshu7000"/>
          <w:color w:val="auto"/>
          <w:sz w:val="22"/>
          <w:szCs w:val="22"/>
          <w:highlight w:val="none"/>
        </w:rPr>
      </w:pPr>
      <w:r>
        <w:rPr>
          <w:rFonts w:hint="eastAsia" w:ascii="宋体" w:hAnsi="宋体" w:cs="hakuyoxingshu7000"/>
          <w:color w:val="auto"/>
          <w:sz w:val="22"/>
          <w:szCs w:val="22"/>
          <w:highlight w:val="none"/>
        </w:rPr>
        <w:t>投标人全称（盖章）：</w:t>
      </w:r>
    </w:p>
    <w:p>
      <w:pPr>
        <w:spacing w:line="380" w:lineRule="exact"/>
        <w:ind w:firstLine="4400" w:firstLineChars="2000"/>
        <w:rPr>
          <w:rFonts w:ascii="宋体" w:hAnsi="宋体" w:cs="hakuyoxingshu7000"/>
          <w:color w:val="auto"/>
          <w:sz w:val="22"/>
          <w:szCs w:val="22"/>
          <w:highlight w:val="none"/>
        </w:rPr>
      </w:pPr>
      <w:r>
        <w:rPr>
          <w:rFonts w:hint="eastAsia" w:ascii="宋体" w:hAnsi="宋体" w:cs="hakuyoxingshu7000"/>
          <w:color w:val="auto"/>
          <w:sz w:val="22"/>
          <w:szCs w:val="22"/>
          <w:highlight w:val="none"/>
        </w:rPr>
        <w:t>法定代表人或授权代表（签字或盖章）：</w:t>
      </w:r>
    </w:p>
    <w:p>
      <w:pPr>
        <w:spacing w:line="380" w:lineRule="exact"/>
        <w:ind w:firstLine="4400" w:firstLineChars="2000"/>
        <w:rPr>
          <w:rFonts w:ascii="宋体" w:hAnsi="宋体" w:cs="hakuyoxingshu7000"/>
          <w:color w:val="auto"/>
          <w:sz w:val="22"/>
          <w:szCs w:val="22"/>
          <w:highlight w:val="none"/>
        </w:rPr>
      </w:pPr>
      <w:r>
        <w:rPr>
          <w:rFonts w:hint="eastAsia" w:ascii="宋体" w:hAnsi="宋体" w:cs="hakuyoxingshu7000"/>
          <w:color w:val="auto"/>
          <w:sz w:val="22"/>
          <w:szCs w:val="22"/>
          <w:highlight w:val="none"/>
        </w:rPr>
        <w:t>日期：  年   月  日</w:t>
      </w:r>
    </w:p>
    <w:p>
      <w:pPr>
        <w:spacing w:line="380" w:lineRule="exact"/>
        <w:ind w:firstLine="4400" w:firstLineChars="2000"/>
        <w:rPr>
          <w:rFonts w:ascii="宋体" w:hAnsi="宋体" w:cs="hakuyoxingshu7000"/>
          <w:color w:val="auto"/>
          <w:sz w:val="22"/>
          <w:highlight w:val="none"/>
        </w:rPr>
      </w:pPr>
    </w:p>
    <w:p>
      <w:pPr>
        <w:spacing w:line="380" w:lineRule="exact"/>
        <w:ind w:firstLine="4515" w:firstLineChars="2150"/>
        <w:rPr>
          <w:rFonts w:ascii="宋体" w:hAnsi="宋体"/>
          <w:color w:val="auto"/>
          <w:highlight w:val="none"/>
        </w:rPr>
      </w:pPr>
    </w:p>
    <w:p>
      <w:pPr>
        <w:spacing w:line="380" w:lineRule="exact"/>
        <w:rPr>
          <w:rFonts w:ascii="宋体" w:hAnsi="宋体"/>
          <w:b/>
          <w:bCs/>
          <w:color w:val="auto"/>
          <w:sz w:val="22"/>
          <w:szCs w:val="22"/>
          <w:highlight w:val="none"/>
        </w:rPr>
      </w:pPr>
      <w:r>
        <w:rPr>
          <w:rFonts w:ascii="宋体" w:hAnsi="宋体"/>
          <w:color w:val="auto"/>
          <w:sz w:val="24"/>
          <w:highlight w:val="none"/>
        </w:rPr>
        <w:br w:type="page"/>
      </w:r>
      <w:r>
        <w:rPr>
          <w:rFonts w:hint="eastAsia" w:ascii="宋体" w:hAnsi="宋体"/>
          <w:b/>
          <w:bCs/>
          <w:color w:val="auto"/>
          <w:sz w:val="22"/>
          <w:szCs w:val="22"/>
          <w:highlight w:val="none"/>
        </w:rPr>
        <w:t>附件八</w:t>
      </w:r>
    </w:p>
    <w:p>
      <w:pPr>
        <w:tabs>
          <w:tab w:val="left" w:pos="0"/>
        </w:tabs>
        <w:spacing w:line="400" w:lineRule="exact"/>
        <w:ind w:left="0" w:leftChars="-3" w:right="-212" w:hanging="6" w:hangingChars="3"/>
        <w:rPr>
          <w:rFonts w:ascii="宋体" w:hAnsi="宋体" w:cs="hakuyoxingshu7000"/>
          <w:color w:val="auto"/>
          <w:sz w:val="22"/>
          <w:highlight w:val="none"/>
        </w:rPr>
      </w:pPr>
    </w:p>
    <w:p>
      <w:pPr>
        <w:jc w:val="center"/>
        <w:rPr>
          <w:rFonts w:ascii="宋体" w:hAnsi="宋体"/>
          <w:color w:val="auto"/>
          <w:sz w:val="22"/>
          <w:szCs w:val="22"/>
          <w:highlight w:val="none"/>
        </w:rPr>
      </w:pPr>
      <w:r>
        <w:rPr>
          <w:rFonts w:hint="eastAsia" w:ascii="宋体" w:hAnsi="宋体"/>
          <w:b/>
          <w:color w:val="auto"/>
          <w:spacing w:val="6"/>
          <w:sz w:val="22"/>
          <w:szCs w:val="22"/>
          <w:highlight w:val="none"/>
        </w:rPr>
        <w:t>节能产品、环境标志产品</w:t>
      </w:r>
    </w:p>
    <w:p>
      <w:pPr>
        <w:rPr>
          <w:rFonts w:ascii="宋体" w:hAnsi="宋体"/>
          <w:color w:val="auto"/>
          <w:sz w:val="22"/>
          <w:szCs w:val="22"/>
          <w:highlight w:val="none"/>
        </w:rPr>
      </w:pPr>
    </w:p>
    <w:p>
      <w:pPr>
        <w:numPr>
          <w:ilvl w:val="0"/>
          <w:numId w:val="41"/>
        </w:numPr>
        <w:spacing w:line="440" w:lineRule="exact"/>
        <w:jc w:val="left"/>
        <w:rPr>
          <w:rFonts w:ascii="宋体" w:hAnsi="宋体" w:cs="新宋体"/>
          <w:b/>
          <w:bCs/>
          <w:color w:val="auto"/>
          <w:sz w:val="22"/>
          <w:highlight w:val="none"/>
        </w:rPr>
      </w:pPr>
      <w:r>
        <w:rPr>
          <w:rFonts w:hint="eastAsia" w:ascii="宋体" w:hAnsi="宋体" w:cs="新宋体"/>
          <w:b/>
          <w:bCs/>
          <w:color w:val="auto"/>
          <w:sz w:val="22"/>
          <w:highlight w:val="none"/>
        </w:rPr>
        <w:t>节能产品应提供以下证明材料（投标文件中，不提供的不享受加分）：</w:t>
      </w:r>
    </w:p>
    <w:p>
      <w:pPr>
        <w:spacing w:line="440" w:lineRule="exact"/>
        <w:ind w:right="110"/>
        <w:jc w:val="left"/>
        <w:rPr>
          <w:rFonts w:ascii="宋体" w:hAnsi="宋体" w:cs="Arial"/>
          <w:color w:val="auto"/>
          <w:sz w:val="22"/>
          <w:szCs w:val="22"/>
          <w:highlight w:val="none"/>
        </w:rPr>
      </w:pPr>
      <w:r>
        <w:rPr>
          <w:rFonts w:hint="eastAsia" w:ascii="宋体" w:hAnsi="宋体" w:cs="Arial"/>
          <w:color w:val="auto"/>
          <w:sz w:val="22"/>
          <w:szCs w:val="22"/>
          <w:highlight w:val="none"/>
        </w:rPr>
        <w:t>（1）投标产品属于节能产品政府采购品目清单内的，提供品目清单核对，以《</w:t>
      </w:r>
      <w:r>
        <w:rPr>
          <w:rFonts w:ascii="宋体" w:hAnsi="宋体" w:cs="Arial"/>
          <w:color w:val="auto"/>
          <w:sz w:val="22"/>
          <w:szCs w:val="22"/>
          <w:highlight w:val="none"/>
        </w:rPr>
        <w:t>关于印发节能产品政府采购品目清单的通知</w:t>
      </w:r>
      <w:r>
        <w:rPr>
          <w:rFonts w:hint="eastAsia" w:ascii="宋体" w:hAnsi="宋体" w:cs="Arial"/>
          <w:color w:val="auto"/>
          <w:sz w:val="22"/>
          <w:szCs w:val="22"/>
          <w:highlight w:val="none"/>
        </w:rPr>
        <w:t>》</w:t>
      </w:r>
      <w:r>
        <w:rPr>
          <w:rFonts w:ascii="宋体" w:hAnsi="宋体" w:cs="Arial"/>
          <w:color w:val="auto"/>
          <w:sz w:val="22"/>
          <w:szCs w:val="22"/>
          <w:highlight w:val="none"/>
        </w:rPr>
        <w:t>财库〔2019〕19号</w:t>
      </w:r>
      <w:r>
        <w:rPr>
          <w:rFonts w:hint="eastAsia" w:ascii="宋体" w:hAnsi="宋体" w:cs="Arial"/>
          <w:color w:val="auto"/>
          <w:sz w:val="22"/>
          <w:szCs w:val="22"/>
          <w:highlight w:val="none"/>
        </w:rPr>
        <w:t>为准；</w:t>
      </w:r>
    </w:p>
    <w:p>
      <w:pPr>
        <w:spacing w:line="440" w:lineRule="exact"/>
        <w:jc w:val="left"/>
        <w:rPr>
          <w:rFonts w:ascii="宋体" w:hAnsi="宋体" w:cs="Arial"/>
          <w:color w:val="auto"/>
          <w:sz w:val="22"/>
          <w:szCs w:val="22"/>
          <w:highlight w:val="none"/>
        </w:rPr>
      </w:pPr>
      <w:r>
        <w:rPr>
          <w:rFonts w:hint="eastAsia" w:ascii="宋体" w:hAnsi="宋体" w:cs="hakuyoxingshu7000"/>
          <w:color w:val="auto"/>
          <w:sz w:val="22"/>
          <w:szCs w:val="22"/>
          <w:highlight w:val="none"/>
        </w:rPr>
        <w:t>（2）</w:t>
      </w:r>
      <w:r>
        <w:rPr>
          <w:rFonts w:hint="eastAsia" w:ascii="宋体" w:hAnsi="宋体" w:cs="Arial"/>
          <w:color w:val="auto"/>
          <w:sz w:val="22"/>
          <w:szCs w:val="22"/>
          <w:highlight w:val="none"/>
        </w:rPr>
        <w:t>《参与实施政府采购节能产品认证机构名录》内认证机构出具的有效期之内的节能产品认证证书（复印件加盖公章）</w:t>
      </w:r>
    </w:p>
    <w:p>
      <w:pPr>
        <w:numPr>
          <w:ilvl w:val="0"/>
          <w:numId w:val="41"/>
        </w:numPr>
        <w:spacing w:line="440" w:lineRule="exact"/>
        <w:jc w:val="left"/>
        <w:rPr>
          <w:rFonts w:ascii="宋体" w:hAnsi="宋体" w:cs="新宋体"/>
          <w:b/>
          <w:bCs/>
          <w:color w:val="auto"/>
          <w:sz w:val="22"/>
          <w:highlight w:val="none"/>
        </w:rPr>
      </w:pPr>
      <w:r>
        <w:rPr>
          <w:rFonts w:hint="eastAsia" w:ascii="宋体" w:hAnsi="宋体" w:cs="新宋体"/>
          <w:b/>
          <w:bCs/>
          <w:color w:val="auto"/>
          <w:sz w:val="22"/>
          <w:highlight w:val="none"/>
        </w:rPr>
        <w:t>环境标志产品应提供以下证明材料（投标文件中，不提供的不享受加分）：</w:t>
      </w:r>
    </w:p>
    <w:p>
      <w:pPr>
        <w:spacing w:line="440" w:lineRule="exact"/>
        <w:jc w:val="left"/>
        <w:rPr>
          <w:rFonts w:ascii="宋体" w:hAnsi="宋体" w:cs="Arial"/>
          <w:color w:val="auto"/>
          <w:sz w:val="22"/>
          <w:szCs w:val="22"/>
          <w:highlight w:val="none"/>
        </w:rPr>
      </w:pPr>
      <w:r>
        <w:rPr>
          <w:rFonts w:hint="eastAsia" w:ascii="宋体" w:hAnsi="宋体" w:cs="Arial"/>
          <w:color w:val="auto"/>
          <w:sz w:val="22"/>
          <w:szCs w:val="22"/>
          <w:highlight w:val="none"/>
        </w:rPr>
        <w:t>（1）投标产品属于环境标志产品政府采购品目清单内的，提供品目清单核对，以《关于印发环境标志产品政府采购品目清单的通知》</w:t>
      </w:r>
      <w:r>
        <w:rPr>
          <w:rFonts w:ascii="宋体" w:hAnsi="宋体" w:cs="Arial"/>
          <w:color w:val="auto"/>
          <w:sz w:val="22"/>
          <w:szCs w:val="22"/>
          <w:highlight w:val="none"/>
        </w:rPr>
        <w:t>财库〔2019〕</w:t>
      </w:r>
      <w:r>
        <w:rPr>
          <w:rFonts w:hint="eastAsia" w:ascii="宋体" w:hAnsi="宋体" w:cs="Arial"/>
          <w:color w:val="auto"/>
          <w:sz w:val="22"/>
          <w:szCs w:val="22"/>
          <w:highlight w:val="none"/>
        </w:rPr>
        <w:t>18</w:t>
      </w:r>
      <w:r>
        <w:rPr>
          <w:rFonts w:ascii="宋体" w:hAnsi="宋体" w:cs="Arial"/>
          <w:color w:val="auto"/>
          <w:sz w:val="22"/>
          <w:szCs w:val="22"/>
          <w:highlight w:val="none"/>
        </w:rPr>
        <w:t>号</w:t>
      </w:r>
      <w:r>
        <w:rPr>
          <w:rFonts w:hint="eastAsia" w:ascii="宋体" w:hAnsi="宋体" w:cs="Arial"/>
          <w:color w:val="auto"/>
          <w:sz w:val="22"/>
          <w:szCs w:val="22"/>
          <w:highlight w:val="none"/>
        </w:rPr>
        <w:t>为准；</w:t>
      </w:r>
    </w:p>
    <w:p>
      <w:pPr>
        <w:spacing w:line="440" w:lineRule="exact"/>
        <w:jc w:val="left"/>
        <w:rPr>
          <w:rFonts w:ascii="宋体" w:hAnsi="宋体" w:cs="hakuyoxingshu7000"/>
          <w:color w:val="auto"/>
          <w:sz w:val="36"/>
          <w:szCs w:val="36"/>
          <w:highlight w:val="none"/>
        </w:rPr>
      </w:pPr>
      <w:r>
        <w:rPr>
          <w:rFonts w:hint="eastAsia" w:ascii="宋体" w:hAnsi="宋体" w:cs="hakuyoxingshu7000"/>
          <w:color w:val="auto"/>
          <w:sz w:val="22"/>
          <w:szCs w:val="22"/>
          <w:highlight w:val="none"/>
        </w:rPr>
        <w:t>（2）</w:t>
      </w:r>
      <w:r>
        <w:rPr>
          <w:rFonts w:hint="eastAsia" w:ascii="宋体" w:hAnsi="宋体" w:cs="Arial"/>
          <w:color w:val="auto"/>
          <w:sz w:val="22"/>
          <w:szCs w:val="22"/>
          <w:highlight w:val="none"/>
        </w:rPr>
        <w:t>《参与实施政府采购环境标志产品认证机构名录》内认证机构出具的有效期之内的环境标志产品认证证书（复印件加盖公章）</w:t>
      </w:r>
    </w:p>
    <w:p>
      <w:pPr>
        <w:widowControl/>
        <w:jc w:val="left"/>
        <w:rPr>
          <w:rFonts w:ascii="宋体" w:hAnsi="宋体" w:cs="Arial"/>
          <w:b/>
          <w:bCs/>
          <w:color w:val="auto"/>
          <w:sz w:val="24"/>
          <w:highlight w:val="none"/>
        </w:rPr>
      </w:pPr>
      <w:r>
        <w:rPr>
          <w:rFonts w:ascii="宋体" w:hAnsi="宋体" w:cs="Arial"/>
          <w:b/>
          <w:bCs/>
          <w:color w:val="auto"/>
          <w:sz w:val="24"/>
          <w:highlight w:val="none"/>
        </w:rPr>
        <w:br w:type="page"/>
      </w:r>
    </w:p>
    <w:p>
      <w:pPr>
        <w:tabs>
          <w:tab w:val="left" w:pos="795"/>
          <w:tab w:val="center" w:pos="4873"/>
        </w:tabs>
        <w:overflowPunct w:val="0"/>
        <w:spacing w:line="500" w:lineRule="exact"/>
        <w:ind w:firstLine="108" w:firstLineChars="49"/>
        <w:jc w:val="left"/>
        <w:rPr>
          <w:rFonts w:ascii="宋体" w:hAnsi="宋体" w:cs="hakuyoxingshu7000"/>
          <w:color w:val="auto"/>
          <w:sz w:val="22"/>
          <w:highlight w:val="none"/>
        </w:rPr>
      </w:pPr>
      <w:r>
        <w:rPr>
          <w:rFonts w:hint="eastAsia" w:ascii="宋体" w:hAnsi="宋体"/>
          <w:b/>
          <w:color w:val="auto"/>
          <w:sz w:val="22"/>
          <w:szCs w:val="22"/>
          <w:highlight w:val="none"/>
        </w:rPr>
        <w:t>附件九</w:t>
      </w:r>
    </w:p>
    <w:p>
      <w:pPr>
        <w:jc w:val="center"/>
        <w:rPr>
          <w:rFonts w:ascii="宋体" w:hAnsi="宋体"/>
          <w:b/>
          <w:color w:val="auto"/>
          <w:spacing w:val="6"/>
          <w:sz w:val="22"/>
          <w:szCs w:val="22"/>
          <w:highlight w:val="none"/>
        </w:rPr>
      </w:pPr>
      <w:r>
        <w:rPr>
          <w:rFonts w:hint="eastAsia" w:ascii="宋体" w:hAnsi="宋体"/>
          <w:b/>
          <w:color w:val="auto"/>
          <w:spacing w:val="6"/>
          <w:sz w:val="22"/>
          <w:szCs w:val="22"/>
          <w:highlight w:val="none"/>
        </w:rPr>
        <w:t>政府采购活动现场确认声明书</w:t>
      </w:r>
    </w:p>
    <w:p>
      <w:pPr>
        <w:tabs>
          <w:tab w:val="left" w:pos="795"/>
          <w:tab w:val="center" w:pos="4873"/>
        </w:tabs>
        <w:overflowPunct w:val="0"/>
        <w:spacing w:line="460" w:lineRule="exact"/>
        <w:ind w:firstLine="118" w:firstLineChars="49"/>
        <w:jc w:val="left"/>
        <w:rPr>
          <w:rFonts w:ascii="宋体" w:hAnsi="宋体" w:cs="Arial"/>
          <w:b/>
          <w:bCs/>
          <w:color w:val="auto"/>
          <w:sz w:val="24"/>
          <w:highlight w:val="none"/>
        </w:rPr>
      </w:pPr>
    </w:p>
    <w:p>
      <w:pPr>
        <w:pStyle w:val="814"/>
        <w:widowControl w:val="0"/>
        <w:snapToGrid w:val="0"/>
        <w:spacing w:line="440" w:lineRule="exact"/>
        <w:jc w:val="both"/>
        <w:rPr>
          <w:rFonts w:hint="default" w:hAnsi="宋体"/>
          <w:b/>
          <w:color w:val="auto"/>
          <w:spacing w:val="6"/>
          <w:sz w:val="22"/>
          <w:szCs w:val="22"/>
          <w:highlight w:val="none"/>
          <w:u w:val="single"/>
        </w:rPr>
      </w:pPr>
      <w:r>
        <w:rPr>
          <w:rFonts w:hint="eastAsia" w:hAnsi="宋体"/>
          <w:b/>
          <w:bCs/>
          <w:color w:val="auto"/>
          <w:spacing w:val="6"/>
          <w:sz w:val="22"/>
          <w:szCs w:val="22"/>
          <w:highlight w:val="none"/>
          <w:u w:val="single"/>
          <w:lang w:eastAsia="zh-CN"/>
        </w:rPr>
        <w:t>温州市公安局瓯海区分局</w:t>
      </w:r>
      <w:r>
        <w:rPr>
          <w:rFonts w:hAnsi="宋体"/>
          <w:b/>
          <w:color w:val="auto"/>
          <w:spacing w:val="6"/>
          <w:sz w:val="22"/>
          <w:szCs w:val="22"/>
          <w:highlight w:val="none"/>
        </w:rPr>
        <w:t>：</w:t>
      </w:r>
    </w:p>
    <w:p>
      <w:pPr>
        <w:pStyle w:val="814"/>
        <w:widowControl w:val="0"/>
        <w:snapToGrid w:val="0"/>
        <w:spacing w:line="440" w:lineRule="exact"/>
        <w:jc w:val="both"/>
        <w:rPr>
          <w:rFonts w:hint="default" w:hAnsi="宋体"/>
          <w:b/>
          <w:color w:val="auto"/>
          <w:spacing w:val="6"/>
          <w:sz w:val="22"/>
          <w:szCs w:val="22"/>
          <w:highlight w:val="none"/>
          <w:u w:val="single"/>
        </w:rPr>
      </w:pPr>
      <w:r>
        <w:rPr>
          <w:rFonts w:hAnsi="宋体"/>
          <w:b/>
          <w:color w:val="auto"/>
          <w:spacing w:val="6"/>
          <w:sz w:val="22"/>
          <w:szCs w:val="22"/>
          <w:highlight w:val="none"/>
          <w:u w:val="single"/>
        </w:rPr>
        <w:t>温州元信工程项目管理有限公司</w:t>
      </w:r>
      <w:r>
        <w:rPr>
          <w:rFonts w:hAnsi="宋体"/>
          <w:b/>
          <w:color w:val="auto"/>
          <w:kern w:val="0"/>
          <w:sz w:val="22"/>
          <w:szCs w:val="22"/>
          <w:highlight w:val="none"/>
        </w:rPr>
        <w:t>：</w:t>
      </w:r>
    </w:p>
    <w:p>
      <w:pPr>
        <w:pStyle w:val="814"/>
        <w:widowControl w:val="0"/>
        <w:snapToGrid w:val="0"/>
        <w:spacing w:line="440" w:lineRule="exact"/>
        <w:ind w:firstLine="464" w:firstLineChars="200"/>
        <w:jc w:val="both"/>
        <w:rPr>
          <w:rFonts w:hint="default" w:hAnsi="宋体"/>
          <w:color w:val="auto"/>
          <w:spacing w:val="6"/>
          <w:sz w:val="22"/>
          <w:szCs w:val="22"/>
          <w:highlight w:val="none"/>
        </w:rPr>
      </w:pPr>
      <w:r>
        <w:rPr>
          <w:rFonts w:hAnsi="宋体"/>
          <w:color w:val="auto"/>
          <w:spacing w:val="6"/>
          <w:sz w:val="22"/>
          <w:szCs w:val="22"/>
          <w:highlight w:val="none"/>
        </w:rPr>
        <w:t>本人经由</w:t>
      </w:r>
      <w:r>
        <w:rPr>
          <w:rFonts w:hAnsi="宋体"/>
          <w:color w:val="auto"/>
          <w:spacing w:val="6"/>
          <w:sz w:val="22"/>
          <w:szCs w:val="22"/>
          <w:highlight w:val="none"/>
          <w:u w:val="single"/>
        </w:rPr>
        <w:t xml:space="preserve">                       （单位）</w:t>
      </w:r>
      <w:r>
        <w:rPr>
          <w:rFonts w:hAnsi="宋体"/>
          <w:color w:val="auto"/>
          <w:spacing w:val="6"/>
          <w:sz w:val="22"/>
          <w:szCs w:val="22"/>
          <w:highlight w:val="none"/>
        </w:rPr>
        <w:t>负责人</w:t>
      </w:r>
      <w:r>
        <w:rPr>
          <w:rFonts w:hAnsi="宋体"/>
          <w:color w:val="auto"/>
          <w:spacing w:val="6"/>
          <w:sz w:val="22"/>
          <w:szCs w:val="22"/>
          <w:highlight w:val="none"/>
          <w:u w:val="single"/>
        </w:rPr>
        <w:t xml:space="preserve">          （姓名）</w:t>
      </w:r>
      <w:r>
        <w:rPr>
          <w:rFonts w:hAnsi="宋体"/>
          <w:color w:val="auto"/>
          <w:spacing w:val="6"/>
          <w:sz w:val="22"/>
          <w:szCs w:val="22"/>
          <w:highlight w:val="none"/>
        </w:rPr>
        <w:t>合法授权</w:t>
      </w:r>
      <w:r>
        <w:rPr>
          <w:rFonts w:hint="eastAsia" w:hAnsi="宋体"/>
          <w:color w:val="auto"/>
          <w:spacing w:val="6"/>
          <w:sz w:val="22"/>
          <w:szCs w:val="22"/>
          <w:highlight w:val="none"/>
          <w:u w:val="single"/>
          <w:lang w:eastAsia="zh-CN"/>
        </w:rPr>
        <w:t>2021年度瓯海区分局警用装备采购</w:t>
      </w:r>
      <w:r>
        <w:rPr>
          <w:rFonts w:hAnsi="宋体"/>
          <w:color w:val="auto"/>
          <w:spacing w:val="6"/>
          <w:sz w:val="22"/>
          <w:szCs w:val="22"/>
          <w:highlight w:val="none"/>
        </w:rPr>
        <w:t>项目（编号：</w:t>
      </w:r>
      <w:r>
        <w:rPr>
          <w:rFonts w:hint="eastAsia" w:hAnsi="宋体"/>
          <w:color w:val="auto"/>
          <w:spacing w:val="6"/>
          <w:sz w:val="22"/>
          <w:szCs w:val="22"/>
          <w:highlight w:val="none"/>
          <w:u w:val="single"/>
          <w:lang w:eastAsia="zh-CN"/>
        </w:rPr>
        <w:t>WZYX-W2021080201</w:t>
      </w:r>
      <w:r>
        <w:rPr>
          <w:rFonts w:hAnsi="宋体"/>
          <w:color w:val="auto"/>
          <w:spacing w:val="6"/>
          <w:sz w:val="22"/>
          <w:szCs w:val="22"/>
          <w:highlight w:val="none"/>
        </w:rPr>
        <w:t xml:space="preserve">）政府采购活动，经与本单位法人代表（负责人）联系确认，现就有关公平竞争事项郑重声明如下： </w:t>
      </w:r>
    </w:p>
    <w:p>
      <w:pPr>
        <w:pStyle w:val="813"/>
        <w:widowControl/>
        <w:numPr>
          <w:ilvl w:val="0"/>
          <w:numId w:val="42"/>
        </w:numPr>
        <w:snapToGrid w:val="0"/>
        <w:spacing w:line="440" w:lineRule="exact"/>
        <w:ind w:firstLine="415" w:firstLineChars="189"/>
        <w:rPr>
          <w:rFonts w:hint="default" w:ascii="宋体" w:hAnsi="宋体"/>
          <w:color w:val="auto"/>
          <w:kern w:val="0"/>
          <w:sz w:val="22"/>
          <w:szCs w:val="22"/>
          <w:highlight w:val="none"/>
        </w:rPr>
      </w:pPr>
      <w:r>
        <w:rPr>
          <w:rFonts w:ascii="宋体" w:hAnsi="宋体"/>
          <w:color w:val="auto"/>
          <w:kern w:val="0"/>
          <w:sz w:val="22"/>
          <w:szCs w:val="22"/>
          <w:highlight w:val="none"/>
        </w:rPr>
        <w:t xml:space="preserve">本单位与采购人之间 </w:t>
      </w:r>
      <w:r>
        <w:rPr>
          <w:rFonts w:ascii="宋体" w:hAnsi="宋体" w:cs="宋体"/>
          <w:color w:val="auto"/>
          <w:kern w:val="0"/>
          <w:sz w:val="22"/>
          <w:szCs w:val="22"/>
          <w:highlight w:val="none"/>
        </w:rPr>
        <w:t>□</w:t>
      </w:r>
      <w:r>
        <w:rPr>
          <w:rFonts w:ascii="宋体" w:hAnsi="宋体"/>
          <w:color w:val="auto"/>
          <w:kern w:val="0"/>
          <w:sz w:val="22"/>
          <w:szCs w:val="22"/>
          <w:highlight w:val="none"/>
        </w:rPr>
        <w:t xml:space="preserve">不存在利害关系 </w:t>
      </w:r>
      <w:r>
        <w:rPr>
          <w:rFonts w:ascii="宋体" w:hAnsi="宋体" w:cs="宋体"/>
          <w:color w:val="auto"/>
          <w:kern w:val="0"/>
          <w:sz w:val="22"/>
          <w:szCs w:val="22"/>
          <w:highlight w:val="none"/>
        </w:rPr>
        <w:t>□</w:t>
      </w:r>
      <w:r>
        <w:rPr>
          <w:rFonts w:ascii="宋体" w:hAnsi="宋体"/>
          <w:color w:val="auto"/>
          <w:kern w:val="0"/>
          <w:sz w:val="22"/>
          <w:szCs w:val="22"/>
          <w:highlight w:val="none"/>
        </w:rPr>
        <w:t>存在下列利害关系：</w:t>
      </w:r>
    </w:p>
    <w:p>
      <w:pPr>
        <w:pStyle w:val="813"/>
        <w:widowControl/>
        <w:snapToGrid w:val="0"/>
        <w:spacing w:line="440" w:lineRule="exact"/>
        <w:rPr>
          <w:rFonts w:hint="default" w:ascii="宋体" w:hAnsi="宋体"/>
          <w:color w:val="auto"/>
          <w:kern w:val="0"/>
          <w:sz w:val="22"/>
          <w:szCs w:val="22"/>
          <w:highlight w:val="none"/>
        </w:rPr>
      </w:pPr>
      <w:r>
        <w:rPr>
          <w:rFonts w:ascii="宋体" w:hAnsi="宋体"/>
          <w:color w:val="auto"/>
          <w:kern w:val="0"/>
          <w:sz w:val="22"/>
          <w:szCs w:val="22"/>
          <w:highlight w:val="none"/>
        </w:rPr>
        <w:t xml:space="preserve">  A.投资关系    B.行政隶属关系    C.业务指导关系</w:t>
      </w:r>
    </w:p>
    <w:p>
      <w:pPr>
        <w:pStyle w:val="813"/>
        <w:widowControl/>
        <w:snapToGrid w:val="0"/>
        <w:spacing w:line="440" w:lineRule="exact"/>
        <w:rPr>
          <w:rFonts w:hint="default" w:ascii="宋体" w:hAnsi="宋体"/>
          <w:color w:val="auto"/>
          <w:kern w:val="0"/>
          <w:sz w:val="22"/>
          <w:szCs w:val="22"/>
          <w:highlight w:val="none"/>
        </w:rPr>
      </w:pPr>
      <w:r>
        <w:rPr>
          <w:rFonts w:ascii="宋体" w:hAnsi="宋体"/>
          <w:color w:val="auto"/>
          <w:kern w:val="0"/>
          <w:sz w:val="22"/>
          <w:szCs w:val="22"/>
          <w:highlight w:val="none"/>
        </w:rPr>
        <w:t xml:space="preserve">  D.其他可能</w:t>
      </w:r>
      <w:r>
        <w:rPr>
          <w:rFonts w:ascii="宋体" w:hAnsi="宋体"/>
          <w:color w:val="auto"/>
          <w:sz w:val="22"/>
          <w:szCs w:val="22"/>
          <w:highlight w:val="none"/>
        </w:rPr>
        <w:t>影响采购公正的</w:t>
      </w:r>
      <w:r>
        <w:rPr>
          <w:rFonts w:ascii="宋体" w:hAnsi="宋体"/>
          <w:color w:val="auto"/>
          <w:kern w:val="0"/>
          <w:sz w:val="22"/>
          <w:szCs w:val="22"/>
          <w:highlight w:val="none"/>
        </w:rPr>
        <w:t>利害关系</w:t>
      </w:r>
      <w:r>
        <w:rPr>
          <w:rFonts w:ascii="宋体" w:hAnsi="宋体"/>
          <w:color w:val="auto"/>
          <w:kern w:val="0"/>
          <w:sz w:val="22"/>
          <w:szCs w:val="22"/>
          <w:highlight w:val="none"/>
          <w:u w:val="single"/>
        </w:rPr>
        <w:t xml:space="preserve">（如有，请如实说明）                 </w:t>
      </w:r>
      <w:r>
        <w:rPr>
          <w:rFonts w:ascii="宋体" w:hAnsi="宋体"/>
          <w:color w:val="auto"/>
          <w:kern w:val="0"/>
          <w:sz w:val="22"/>
          <w:szCs w:val="22"/>
          <w:highlight w:val="none"/>
        </w:rPr>
        <w:t>。</w:t>
      </w:r>
    </w:p>
    <w:p>
      <w:pPr>
        <w:pStyle w:val="813"/>
        <w:widowControl/>
        <w:snapToGrid w:val="0"/>
        <w:spacing w:line="440" w:lineRule="exact"/>
        <w:rPr>
          <w:rFonts w:hint="default" w:ascii="宋体" w:hAnsi="宋体"/>
          <w:color w:val="auto"/>
          <w:kern w:val="0"/>
          <w:sz w:val="22"/>
          <w:szCs w:val="22"/>
          <w:highlight w:val="none"/>
        </w:rPr>
      </w:pPr>
      <w:r>
        <w:rPr>
          <w:rFonts w:ascii="宋体" w:hAnsi="宋体"/>
          <w:color w:val="auto"/>
          <w:spacing w:val="6"/>
          <w:sz w:val="22"/>
          <w:szCs w:val="22"/>
          <w:highlight w:val="none"/>
        </w:rPr>
        <w:t xml:space="preserve">  二、</w:t>
      </w:r>
      <w:r>
        <w:rPr>
          <w:rFonts w:ascii="宋体" w:hAnsi="宋体"/>
          <w:color w:val="auto"/>
          <w:kern w:val="0"/>
          <w:sz w:val="22"/>
          <w:szCs w:val="22"/>
          <w:highlight w:val="none"/>
        </w:rPr>
        <w:t xml:space="preserve">现已清楚知道参加本项目采购活动的其他所有投标人名称，本单位 </w:t>
      </w:r>
      <w:r>
        <w:rPr>
          <w:rFonts w:ascii="宋体" w:hAnsi="宋体" w:cs="宋体"/>
          <w:color w:val="auto"/>
          <w:kern w:val="0"/>
          <w:sz w:val="22"/>
          <w:szCs w:val="22"/>
          <w:highlight w:val="none"/>
        </w:rPr>
        <w:t>□与其他所有投标人之间均</w:t>
      </w:r>
      <w:r>
        <w:rPr>
          <w:rFonts w:ascii="宋体" w:hAnsi="宋体"/>
          <w:color w:val="auto"/>
          <w:kern w:val="0"/>
          <w:sz w:val="22"/>
          <w:szCs w:val="22"/>
          <w:highlight w:val="none"/>
        </w:rPr>
        <w:t xml:space="preserve">不存在利害关系 </w:t>
      </w:r>
      <w:r>
        <w:rPr>
          <w:rFonts w:ascii="宋体" w:hAnsi="宋体" w:cs="宋体"/>
          <w:color w:val="auto"/>
          <w:kern w:val="0"/>
          <w:sz w:val="22"/>
          <w:szCs w:val="22"/>
          <w:highlight w:val="none"/>
        </w:rPr>
        <w:t>□与</w:t>
      </w:r>
      <w:r>
        <w:rPr>
          <w:rFonts w:ascii="宋体" w:hAnsi="宋体" w:cs="宋体"/>
          <w:color w:val="auto"/>
          <w:kern w:val="0"/>
          <w:sz w:val="22"/>
          <w:szCs w:val="22"/>
          <w:highlight w:val="none"/>
          <w:u w:val="single"/>
        </w:rPr>
        <w:t xml:space="preserve">           （投标人名称）</w:t>
      </w:r>
      <w:r>
        <w:rPr>
          <w:rFonts w:ascii="宋体" w:hAnsi="宋体" w:cs="宋体"/>
          <w:color w:val="auto"/>
          <w:kern w:val="0"/>
          <w:sz w:val="22"/>
          <w:szCs w:val="22"/>
          <w:highlight w:val="none"/>
        </w:rPr>
        <w:t>之间</w:t>
      </w:r>
      <w:r>
        <w:rPr>
          <w:rFonts w:ascii="宋体" w:hAnsi="宋体"/>
          <w:color w:val="auto"/>
          <w:kern w:val="0"/>
          <w:sz w:val="22"/>
          <w:szCs w:val="22"/>
          <w:highlight w:val="none"/>
        </w:rPr>
        <w:t>存在下列利害关系：</w:t>
      </w:r>
    </w:p>
    <w:p>
      <w:pPr>
        <w:pStyle w:val="814"/>
        <w:widowControl w:val="0"/>
        <w:snapToGrid w:val="0"/>
        <w:spacing w:line="440" w:lineRule="exact"/>
        <w:jc w:val="both"/>
        <w:rPr>
          <w:rFonts w:hint="default" w:hAnsi="宋体"/>
          <w:color w:val="auto"/>
          <w:kern w:val="0"/>
          <w:sz w:val="22"/>
          <w:szCs w:val="22"/>
          <w:highlight w:val="none"/>
        </w:rPr>
      </w:pPr>
      <w:r>
        <w:rPr>
          <w:rFonts w:hAnsi="宋体"/>
          <w:color w:val="auto"/>
          <w:kern w:val="0"/>
          <w:sz w:val="22"/>
          <w:szCs w:val="22"/>
          <w:highlight w:val="none"/>
        </w:rPr>
        <w:t xml:space="preserve">  A.法定代表人或负责人或实际控制人是同一人</w:t>
      </w:r>
    </w:p>
    <w:p>
      <w:pPr>
        <w:pStyle w:val="814"/>
        <w:widowControl w:val="0"/>
        <w:snapToGrid w:val="0"/>
        <w:spacing w:line="440" w:lineRule="exact"/>
        <w:jc w:val="both"/>
        <w:rPr>
          <w:rFonts w:hint="default" w:hAnsi="宋体"/>
          <w:color w:val="auto"/>
          <w:spacing w:val="6"/>
          <w:sz w:val="22"/>
          <w:szCs w:val="22"/>
          <w:highlight w:val="none"/>
        </w:rPr>
      </w:pPr>
      <w:r>
        <w:rPr>
          <w:rFonts w:hAnsi="宋体"/>
          <w:color w:val="auto"/>
          <w:kern w:val="0"/>
          <w:sz w:val="22"/>
          <w:szCs w:val="22"/>
          <w:highlight w:val="none"/>
        </w:rPr>
        <w:t xml:space="preserve">  B.法定代表人或负责人或实际控制人是夫妻关系</w:t>
      </w:r>
    </w:p>
    <w:p>
      <w:pPr>
        <w:pStyle w:val="814"/>
        <w:widowControl w:val="0"/>
        <w:snapToGrid w:val="0"/>
        <w:spacing w:line="440" w:lineRule="exact"/>
        <w:jc w:val="both"/>
        <w:rPr>
          <w:rFonts w:hint="default" w:hAnsi="宋体"/>
          <w:color w:val="auto"/>
          <w:spacing w:val="6"/>
          <w:sz w:val="22"/>
          <w:szCs w:val="22"/>
          <w:highlight w:val="none"/>
        </w:rPr>
      </w:pPr>
      <w:r>
        <w:rPr>
          <w:rFonts w:hAnsi="宋体"/>
          <w:color w:val="auto"/>
          <w:kern w:val="0"/>
          <w:sz w:val="22"/>
          <w:szCs w:val="22"/>
          <w:highlight w:val="none"/>
        </w:rPr>
        <w:t xml:space="preserve">  C.法定代表人或负责人或实际控制人是直系血亲关系</w:t>
      </w:r>
    </w:p>
    <w:p>
      <w:pPr>
        <w:pStyle w:val="814"/>
        <w:widowControl w:val="0"/>
        <w:snapToGrid w:val="0"/>
        <w:spacing w:line="440" w:lineRule="exact"/>
        <w:jc w:val="both"/>
        <w:rPr>
          <w:rFonts w:hint="default" w:hAnsi="宋体"/>
          <w:color w:val="auto"/>
          <w:spacing w:val="6"/>
          <w:sz w:val="22"/>
          <w:szCs w:val="22"/>
          <w:highlight w:val="none"/>
        </w:rPr>
      </w:pPr>
      <w:r>
        <w:rPr>
          <w:rFonts w:hAnsi="宋体"/>
          <w:color w:val="auto"/>
          <w:kern w:val="0"/>
          <w:sz w:val="22"/>
          <w:szCs w:val="22"/>
          <w:highlight w:val="none"/>
        </w:rPr>
        <w:t xml:space="preserve">  D.法定代表人或负责人或实际控制人存在三代以内旁系血亲关系</w:t>
      </w:r>
    </w:p>
    <w:p>
      <w:pPr>
        <w:pStyle w:val="814"/>
        <w:widowControl w:val="0"/>
        <w:snapToGrid w:val="0"/>
        <w:spacing w:line="440" w:lineRule="exact"/>
        <w:jc w:val="both"/>
        <w:rPr>
          <w:rFonts w:hint="default" w:hAnsi="宋体"/>
          <w:color w:val="auto"/>
          <w:kern w:val="0"/>
          <w:sz w:val="22"/>
          <w:szCs w:val="22"/>
          <w:highlight w:val="none"/>
        </w:rPr>
      </w:pPr>
      <w:r>
        <w:rPr>
          <w:rFonts w:hAnsi="宋体"/>
          <w:color w:val="auto"/>
          <w:kern w:val="0"/>
          <w:sz w:val="22"/>
          <w:szCs w:val="22"/>
          <w:highlight w:val="none"/>
        </w:rPr>
        <w:t xml:space="preserve">  E.法定代表人或负责人或实际控制人存在近姻亲关系</w:t>
      </w:r>
    </w:p>
    <w:p>
      <w:pPr>
        <w:pStyle w:val="814"/>
        <w:widowControl w:val="0"/>
        <w:snapToGrid w:val="0"/>
        <w:spacing w:line="440" w:lineRule="exact"/>
        <w:jc w:val="both"/>
        <w:rPr>
          <w:rFonts w:hint="default" w:hAnsi="宋体"/>
          <w:color w:val="auto"/>
          <w:kern w:val="0"/>
          <w:sz w:val="22"/>
          <w:szCs w:val="22"/>
          <w:highlight w:val="none"/>
        </w:rPr>
      </w:pPr>
      <w:r>
        <w:rPr>
          <w:rFonts w:hAnsi="宋体"/>
          <w:color w:val="auto"/>
          <w:kern w:val="0"/>
          <w:sz w:val="22"/>
          <w:szCs w:val="22"/>
          <w:highlight w:val="none"/>
        </w:rPr>
        <w:t xml:space="preserve">  F.法定代表人或负责人或实际控制人存在股份控制或实际控制关系</w:t>
      </w:r>
    </w:p>
    <w:p>
      <w:pPr>
        <w:pStyle w:val="814"/>
        <w:widowControl w:val="0"/>
        <w:snapToGrid w:val="0"/>
        <w:spacing w:line="440" w:lineRule="exact"/>
        <w:jc w:val="both"/>
        <w:outlineLvl w:val="0"/>
        <w:rPr>
          <w:rFonts w:hint="default" w:hAnsi="宋体"/>
          <w:color w:val="auto"/>
          <w:kern w:val="0"/>
          <w:sz w:val="22"/>
          <w:szCs w:val="22"/>
          <w:highlight w:val="none"/>
        </w:rPr>
      </w:pPr>
      <w:r>
        <w:rPr>
          <w:rFonts w:hAnsi="宋体"/>
          <w:color w:val="auto"/>
          <w:kern w:val="0"/>
          <w:sz w:val="22"/>
          <w:szCs w:val="22"/>
          <w:highlight w:val="none"/>
        </w:rPr>
        <w:t xml:space="preserve">  G.存在共同直接或间接投资设立子公司、联营企业和合营企业情况</w:t>
      </w:r>
    </w:p>
    <w:p>
      <w:pPr>
        <w:pStyle w:val="814"/>
        <w:widowControl w:val="0"/>
        <w:snapToGrid w:val="0"/>
        <w:spacing w:line="440" w:lineRule="exact"/>
        <w:jc w:val="both"/>
        <w:rPr>
          <w:rFonts w:hint="default" w:hAnsi="宋体"/>
          <w:color w:val="auto"/>
          <w:sz w:val="22"/>
          <w:szCs w:val="22"/>
          <w:highlight w:val="none"/>
        </w:rPr>
      </w:pPr>
      <w:r>
        <w:rPr>
          <w:rFonts w:hAnsi="宋体"/>
          <w:color w:val="auto"/>
          <w:kern w:val="0"/>
          <w:sz w:val="22"/>
          <w:szCs w:val="22"/>
          <w:highlight w:val="none"/>
        </w:rPr>
        <w:t xml:space="preserve">  H.存在分级代理或代销关系、同一生产制造商关系、</w:t>
      </w:r>
      <w:r>
        <w:rPr>
          <w:rFonts w:hAnsi="宋体"/>
          <w:color w:val="auto"/>
          <w:sz w:val="22"/>
          <w:szCs w:val="22"/>
          <w:highlight w:val="none"/>
        </w:rPr>
        <w:t>管理关系、重要业务（占主营业务收入50%以上）或重要财务往来关系（如融资）等其他实质性控制关系</w:t>
      </w:r>
    </w:p>
    <w:p>
      <w:pPr>
        <w:pStyle w:val="814"/>
        <w:widowControl w:val="0"/>
        <w:snapToGrid w:val="0"/>
        <w:spacing w:line="440" w:lineRule="exact"/>
        <w:jc w:val="both"/>
        <w:rPr>
          <w:rFonts w:hint="default" w:hAnsi="宋体"/>
          <w:color w:val="auto"/>
          <w:spacing w:val="6"/>
          <w:sz w:val="22"/>
          <w:szCs w:val="22"/>
          <w:highlight w:val="none"/>
        </w:rPr>
      </w:pPr>
      <w:r>
        <w:rPr>
          <w:rFonts w:hAnsi="宋体"/>
          <w:color w:val="auto"/>
          <w:sz w:val="22"/>
          <w:szCs w:val="22"/>
          <w:highlight w:val="none"/>
        </w:rPr>
        <w:t xml:space="preserve">  I</w:t>
      </w:r>
      <w:r>
        <w:rPr>
          <w:rFonts w:hAnsi="宋体"/>
          <w:color w:val="auto"/>
          <w:kern w:val="0"/>
          <w:sz w:val="22"/>
          <w:szCs w:val="22"/>
          <w:highlight w:val="none"/>
        </w:rPr>
        <w:t>.</w:t>
      </w:r>
      <w:r>
        <w:rPr>
          <w:rFonts w:hAnsi="宋体"/>
          <w:color w:val="auto"/>
          <w:sz w:val="22"/>
          <w:szCs w:val="22"/>
          <w:highlight w:val="none"/>
        </w:rPr>
        <w:t>其他利害关系情况</w:t>
      </w:r>
      <w:r>
        <w:rPr>
          <w:rFonts w:hAnsi="宋体"/>
          <w:color w:val="auto"/>
          <w:kern w:val="0"/>
          <w:sz w:val="22"/>
          <w:szCs w:val="22"/>
          <w:highlight w:val="none"/>
        </w:rPr>
        <w:t>。</w:t>
      </w:r>
    </w:p>
    <w:p>
      <w:pPr>
        <w:pStyle w:val="813"/>
        <w:widowControl/>
        <w:numPr>
          <w:ilvl w:val="0"/>
          <w:numId w:val="43"/>
        </w:numPr>
        <w:snapToGrid w:val="0"/>
        <w:spacing w:line="440" w:lineRule="exact"/>
        <w:ind w:firstLine="415" w:firstLineChars="189"/>
        <w:rPr>
          <w:rFonts w:hint="default" w:ascii="宋体" w:hAnsi="宋体"/>
          <w:color w:val="auto"/>
          <w:kern w:val="0"/>
          <w:sz w:val="22"/>
          <w:szCs w:val="22"/>
          <w:highlight w:val="none"/>
        </w:rPr>
      </w:pPr>
      <w:r>
        <w:rPr>
          <w:rFonts w:ascii="宋体" w:hAnsi="宋体"/>
          <w:color w:val="auto"/>
          <w:sz w:val="22"/>
          <w:szCs w:val="22"/>
          <w:highlight w:val="none"/>
        </w:rPr>
        <w:t>现已清楚知道并</w:t>
      </w:r>
      <w:r>
        <w:rPr>
          <w:rFonts w:ascii="宋体" w:hAnsi="宋体"/>
          <w:color w:val="auto"/>
          <w:kern w:val="0"/>
          <w:sz w:val="22"/>
          <w:szCs w:val="22"/>
          <w:highlight w:val="none"/>
        </w:rPr>
        <w:t>严格遵守政府采购法律法规和现场纪律。</w:t>
      </w:r>
    </w:p>
    <w:p>
      <w:pPr>
        <w:pStyle w:val="813"/>
        <w:widowControl/>
        <w:numPr>
          <w:ilvl w:val="0"/>
          <w:numId w:val="43"/>
        </w:numPr>
        <w:snapToGrid w:val="0"/>
        <w:spacing w:line="440" w:lineRule="exact"/>
        <w:ind w:firstLine="415" w:firstLineChars="189"/>
        <w:rPr>
          <w:rFonts w:hint="default" w:ascii="宋体" w:hAnsi="宋体"/>
          <w:color w:val="auto"/>
          <w:kern w:val="0"/>
          <w:sz w:val="22"/>
          <w:szCs w:val="22"/>
          <w:highlight w:val="none"/>
        </w:rPr>
      </w:pPr>
      <w:r>
        <w:rPr>
          <w:rFonts w:ascii="宋体" w:hAnsi="宋体"/>
          <w:color w:val="auto"/>
          <w:kern w:val="0"/>
          <w:sz w:val="22"/>
          <w:szCs w:val="22"/>
          <w:highlight w:val="none"/>
        </w:rPr>
        <w:t>我发现投标人之间存在或可能存在上述第二条第项利害关系。</w:t>
      </w:r>
    </w:p>
    <w:p>
      <w:pPr>
        <w:pStyle w:val="814"/>
        <w:widowControl w:val="0"/>
        <w:snapToGrid w:val="0"/>
        <w:spacing w:line="440" w:lineRule="exact"/>
        <w:ind w:firstLine="440" w:firstLineChars="200"/>
        <w:jc w:val="both"/>
        <w:rPr>
          <w:rFonts w:hint="default" w:hAnsi="宋体"/>
          <w:color w:val="auto"/>
          <w:sz w:val="22"/>
          <w:szCs w:val="22"/>
          <w:highlight w:val="none"/>
        </w:rPr>
      </w:pPr>
    </w:p>
    <w:p>
      <w:pPr>
        <w:pStyle w:val="814"/>
        <w:widowControl w:val="0"/>
        <w:snapToGrid w:val="0"/>
        <w:spacing w:line="440" w:lineRule="exact"/>
        <w:ind w:firstLine="440" w:firstLineChars="200"/>
        <w:jc w:val="both"/>
        <w:rPr>
          <w:rFonts w:hint="default" w:hAnsi="宋体"/>
          <w:color w:val="auto"/>
          <w:sz w:val="22"/>
          <w:szCs w:val="22"/>
          <w:highlight w:val="none"/>
        </w:rPr>
      </w:pPr>
      <w:r>
        <w:rPr>
          <w:rFonts w:hAnsi="宋体"/>
          <w:color w:val="auto"/>
          <w:sz w:val="22"/>
          <w:szCs w:val="22"/>
          <w:highlight w:val="none"/>
        </w:rPr>
        <w:t xml:space="preserve">                                投标人代表签名：</w:t>
      </w:r>
    </w:p>
    <w:p>
      <w:pPr>
        <w:pStyle w:val="814"/>
        <w:widowControl w:val="0"/>
        <w:snapToGrid w:val="0"/>
        <w:spacing w:line="440" w:lineRule="exact"/>
        <w:ind w:firstLine="440" w:firstLineChars="200"/>
        <w:jc w:val="both"/>
        <w:rPr>
          <w:rFonts w:hint="default" w:hAnsi="宋体"/>
          <w:color w:val="auto"/>
          <w:sz w:val="22"/>
          <w:szCs w:val="22"/>
          <w:highlight w:val="none"/>
        </w:rPr>
      </w:pPr>
      <w:r>
        <w:rPr>
          <w:rFonts w:hAnsi="宋体"/>
          <w:color w:val="auto"/>
          <w:sz w:val="22"/>
          <w:szCs w:val="22"/>
          <w:highlight w:val="none"/>
        </w:rPr>
        <w:t xml:space="preserve">                                    年   月   日</w:t>
      </w:r>
    </w:p>
    <w:p>
      <w:pPr>
        <w:tabs>
          <w:tab w:val="left" w:pos="795"/>
          <w:tab w:val="center" w:pos="4873"/>
        </w:tabs>
        <w:overflowPunct w:val="0"/>
        <w:spacing w:line="460" w:lineRule="exact"/>
        <w:ind w:firstLine="118" w:firstLineChars="49"/>
        <w:jc w:val="left"/>
        <w:rPr>
          <w:rFonts w:ascii="宋体" w:hAnsi="宋体" w:cs="Arial"/>
          <w:b/>
          <w:bCs/>
          <w:color w:val="auto"/>
          <w:sz w:val="24"/>
          <w:highlight w:val="none"/>
        </w:rPr>
      </w:pPr>
    </w:p>
    <w:p>
      <w:pPr>
        <w:rPr>
          <w:rFonts w:hint="eastAsia" w:ascii="宋体" w:hAnsi="宋体" w:eastAsia="宋体"/>
          <w:color w:val="auto"/>
          <w:sz w:val="22"/>
          <w:highlight w:val="none"/>
        </w:rPr>
      </w:pPr>
      <w:r>
        <w:rPr>
          <w:rFonts w:hint="eastAsia" w:ascii="宋体" w:hAnsi="宋体" w:eastAsia="宋体"/>
          <w:color w:val="auto"/>
          <w:sz w:val="22"/>
          <w:highlight w:val="none"/>
        </w:rPr>
        <w:br w:type="page"/>
      </w:r>
    </w:p>
    <w:p>
      <w:pPr>
        <w:tabs>
          <w:tab w:val="left" w:pos="795"/>
          <w:tab w:val="center" w:pos="4873"/>
        </w:tabs>
        <w:overflowPunct w:val="0"/>
        <w:spacing w:line="500" w:lineRule="exact"/>
        <w:ind w:firstLine="108" w:firstLineChars="49"/>
        <w:jc w:val="left"/>
        <w:rPr>
          <w:rFonts w:hint="eastAsia" w:ascii="宋体" w:hAnsi="宋体"/>
          <w:b/>
          <w:color w:val="auto"/>
          <w:sz w:val="22"/>
          <w:szCs w:val="22"/>
          <w:highlight w:val="none"/>
          <w:lang w:val="en-US" w:eastAsia="zh-CN"/>
        </w:rPr>
      </w:pPr>
      <w:r>
        <w:rPr>
          <w:rFonts w:hint="eastAsia" w:ascii="宋体" w:hAnsi="宋体"/>
          <w:b/>
          <w:color w:val="auto"/>
          <w:sz w:val="22"/>
          <w:szCs w:val="22"/>
          <w:highlight w:val="none"/>
        </w:rPr>
        <w:t>附件</w:t>
      </w:r>
      <w:r>
        <w:rPr>
          <w:rFonts w:hint="eastAsia" w:ascii="宋体" w:hAnsi="宋体"/>
          <w:b/>
          <w:color w:val="auto"/>
          <w:sz w:val="22"/>
          <w:szCs w:val="22"/>
          <w:highlight w:val="none"/>
          <w:lang w:val="en-US" w:eastAsia="zh-CN"/>
        </w:rPr>
        <w:t>十</w:t>
      </w:r>
    </w:p>
    <w:p>
      <w:pPr>
        <w:pStyle w:val="26"/>
        <w:rPr>
          <w:rFonts w:hint="eastAsia"/>
          <w:color w:val="auto"/>
          <w:highlight w:val="none"/>
          <w:lang w:val="en-US" w:eastAsia="zh-CN"/>
        </w:rPr>
      </w:pPr>
    </w:p>
    <w:p>
      <w:pPr>
        <w:jc w:val="center"/>
        <w:rPr>
          <w:rFonts w:hint="default" w:ascii="宋体" w:hAnsi="宋体" w:eastAsia="宋体"/>
          <w:b/>
          <w:color w:val="auto"/>
          <w:spacing w:val="6"/>
          <w:sz w:val="22"/>
          <w:szCs w:val="22"/>
          <w:highlight w:val="none"/>
          <w:lang w:val="en-US" w:eastAsia="zh-CN"/>
        </w:rPr>
      </w:pPr>
      <w:r>
        <w:rPr>
          <w:rFonts w:hint="eastAsia" w:ascii="宋体" w:hAnsi="宋体"/>
          <w:b/>
          <w:color w:val="auto"/>
          <w:spacing w:val="6"/>
          <w:sz w:val="22"/>
          <w:szCs w:val="22"/>
          <w:highlight w:val="none"/>
          <w:lang w:val="en-US" w:eastAsia="zh-CN"/>
        </w:rPr>
        <w:t>检测报告承诺函</w:t>
      </w:r>
    </w:p>
    <w:p>
      <w:pPr>
        <w:tabs>
          <w:tab w:val="left" w:pos="795"/>
          <w:tab w:val="center" w:pos="4873"/>
        </w:tabs>
        <w:overflowPunct w:val="0"/>
        <w:spacing w:line="460" w:lineRule="exact"/>
        <w:ind w:firstLine="118" w:firstLineChars="49"/>
        <w:jc w:val="left"/>
        <w:rPr>
          <w:rFonts w:ascii="宋体" w:hAnsi="宋体" w:cs="Arial"/>
          <w:b/>
          <w:bCs/>
          <w:color w:val="auto"/>
          <w:sz w:val="24"/>
          <w:highlight w:val="none"/>
        </w:rPr>
      </w:pPr>
    </w:p>
    <w:p>
      <w:pPr>
        <w:pStyle w:val="814"/>
        <w:widowControl w:val="0"/>
        <w:snapToGrid w:val="0"/>
        <w:spacing w:line="440" w:lineRule="exact"/>
        <w:jc w:val="both"/>
        <w:rPr>
          <w:rFonts w:hint="default" w:hAnsi="宋体"/>
          <w:b/>
          <w:color w:val="auto"/>
          <w:spacing w:val="6"/>
          <w:sz w:val="22"/>
          <w:szCs w:val="22"/>
          <w:highlight w:val="none"/>
          <w:u w:val="single"/>
        </w:rPr>
      </w:pPr>
      <w:r>
        <w:rPr>
          <w:rFonts w:hint="eastAsia" w:hAnsi="宋体"/>
          <w:b/>
          <w:bCs/>
          <w:color w:val="auto"/>
          <w:spacing w:val="6"/>
          <w:sz w:val="22"/>
          <w:szCs w:val="22"/>
          <w:highlight w:val="none"/>
          <w:u w:val="single"/>
          <w:lang w:eastAsia="zh-CN"/>
        </w:rPr>
        <w:t>温州市公安局瓯海区分局</w:t>
      </w:r>
      <w:r>
        <w:rPr>
          <w:rFonts w:hAnsi="宋体"/>
          <w:b/>
          <w:color w:val="auto"/>
          <w:spacing w:val="6"/>
          <w:sz w:val="22"/>
          <w:szCs w:val="22"/>
          <w:highlight w:val="none"/>
        </w:rPr>
        <w:t>：</w:t>
      </w:r>
    </w:p>
    <w:p>
      <w:pPr>
        <w:pStyle w:val="814"/>
        <w:widowControl w:val="0"/>
        <w:snapToGrid w:val="0"/>
        <w:spacing w:line="440" w:lineRule="exact"/>
        <w:jc w:val="both"/>
        <w:rPr>
          <w:rFonts w:hint="default" w:hAnsi="宋体"/>
          <w:b/>
          <w:color w:val="auto"/>
          <w:spacing w:val="6"/>
          <w:sz w:val="22"/>
          <w:szCs w:val="22"/>
          <w:highlight w:val="none"/>
          <w:u w:val="single"/>
        </w:rPr>
      </w:pPr>
      <w:r>
        <w:rPr>
          <w:rFonts w:hAnsi="宋体"/>
          <w:b/>
          <w:color w:val="auto"/>
          <w:spacing w:val="6"/>
          <w:sz w:val="22"/>
          <w:szCs w:val="22"/>
          <w:highlight w:val="none"/>
          <w:u w:val="single"/>
        </w:rPr>
        <w:t>温州元信工程项目管理有限公司</w:t>
      </w:r>
      <w:r>
        <w:rPr>
          <w:rFonts w:hAnsi="宋体"/>
          <w:b/>
          <w:color w:val="auto"/>
          <w:kern w:val="0"/>
          <w:sz w:val="22"/>
          <w:szCs w:val="22"/>
          <w:highlight w:val="none"/>
        </w:rPr>
        <w:t>：</w:t>
      </w:r>
    </w:p>
    <w:p>
      <w:pPr>
        <w:pStyle w:val="814"/>
        <w:widowControl w:val="0"/>
        <w:snapToGrid w:val="0"/>
        <w:spacing w:line="440" w:lineRule="exact"/>
        <w:ind w:firstLine="440" w:firstLineChars="200"/>
        <w:jc w:val="both"/>
        <w:rPr>
          <w:rFonts w:hint="default" w:hAnsi="宋体"/>
          <w:color w:val="auto"/>
          <w:sz w:val="22"/>
          <w:szCs w:val="22"/>
          <w:highlight w:val="none"/>
        </w:rPr>
      </w:pPr>
    </w:p>
    <w:p>
      <w:pPr>
        <w:widowControl/>
        <w:adjustRightInd w:val="0"/>
        <w:snapToGrid w:val="0"/>
        <w:spacing w:line="360" w:lineRule="auto"/>
        <w:ind w:firstLine="440" w:firstLineChars="200"/>
        <w:jc w:val="left"/>
        <w:rPr>
          <w:rFonts w:hint="eastAsia" w:ascii="宋体" w:hAnsi="宋体" w:cs="宋体"/>
          <w:color w:val="auto"/>
          <w:kern w:val="0"/>
          <w:sz w:val="22"/>
          <w:szCs w:val="22"/>
          <w:highlight w:val="none"/>
          <w:lang w:val="en-US" w:eastAsia="zh-CN"/>
        </w:rPr>
      </w:pPr>
      <w:r>
        <w:rPr>
          <w:rFonts w:hint="eastAsia" w:ascii="宋体" w:hAnsi="宋体" w:cs="宋体"/>
          <w:color w:val="auto"/>
          <w:kern w:val="0"/>
          <w:sz w:val="22"/>
          <w:szCs w:val="22"/>
          <w:highlight w:val="none"/>
        </w:rPr>
        <w:t>我单位参与</w:t>
      </w:r>
      <w:r>
        <w:rPr>
          <w:rFonts w:hint="eastAsia" w:ascii="宋体" w:hAnsi="宋体"/>
          <w:color w:val="auto"/>
          <w:sz w:val="22"/>
          <w:szCs w:val="22"/>
          <w:highlight w:val="none"/>
          <w:u w:val="single"/>
        </w:rPr>
        <w:t xml:space="preserve">（项目名称） </w:t>
      </w:r>
      <w:r>
        <w:rPr>
          <w:rFonts w:hint="eastAsia" w:ascii="宋体" w:hAnsi="宋体" w:cs="宋体"/>
          <w:color w:val="auto"/>
          <w:kern w:val="0"/>
          <w:sz w:val="22"/>
          <w:szCs w:val="22"/>
          <w:highlight w:val="none"/>
        </w:rPr>
        <w:t>项目的采购活动，</w:t>
      </w:r>
      <w:r>
        <w:rPr>
          <w:rFonts w:hint="eastAsia" w:ascii="宋体" w:hAnsi="宋体" w:cs="宋体"/>
          <w:color w:val="auto"/>
          <w:kern w:val="0"/>
          <w:sz w:val="22"/>
          <w:szCs w:val="22"/>
          <w:highlight w:val="none"/>
          <w:lang w:val="en-US" w:eastAsia="zh-CN"/>
        </w:rPr>
        <w:t>针对本次采购的实际情况特承诺</w:t>
      </w:r>
      <w:r>
        <w:rPr>
          <w:rFonts w:hint="eastAsia" w:ascii="宋体" w:hAnsi="宋体" w:cs="宋体"/>
          <w:color w:val="auto"/>
          <w:kern w:val="0"/>
          <w:sz w:val="22"/>
          <w:szCs w:val="22"/>
          <w:highlight w:val="none"/>
        </w:rPr>
        <w:t>如下：</w:t>
      </w:r>
      <w:r>
        <w:rPr>
          <w:rFonts w:hint="eastAsia" w:ascii="宋体" w:hAnsi="宋体" w:cs="宋体"/>
          <w:color w:val="auto"/>
          <w:kern w:val="0"/>
          <w:sz w:val="22"/>
          <w:szCs w:val="22"/>
          <w:highlight w:val="none"/>
          <w:lang w:val="en-US" w:eastAsia="zh-CN"/>
        </w:rPr>
        <w:t>本次采购清单内第2、3、4、7、9、10、11、13、22、26、27、29、31、33、47、62、66、71、78、80款等总共20项要求提供检测报告扫描件的，我单位承诺在中标后5个工作日内向采购人提供检测报告原件进行核对。</w:t>
      </w:r>
    </w:p>
    <w:p>
      <w:pPr>
        <w:widowControl/>
        <w:adjustRightInd w:val="0"/>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lang w:val="en-US" w:eastAsia="zh-CN"/>
        </w:rPr>
        <w:t>我单位如在中标后未能按承诺提供相关检测报告原件</w:t>
      </w:r>
      <w:r>
        <w:rPr>
          <w:rFonts w:hint="eastAsia" w:ascii="宋体" w:hAnsi="宋体" w:cs="宋体"/>
          <w:color w:val="auto"/>
          <w:kern w:val="0"/>
          <w:sz w:val="22"/>
          <w:szCs w:val="22"/>
          <w:highlight w:val="none"/>
        </w:rPr>
        <w:t>，采购人可取消</w:t>
      </w:r>
      <w:r>
        <w:rPr>
          <w:rFonts w:hint="eastAsia" w:ascii="宋体" w:hAnsi="宋体" w:cs="宋体"/>
          <w:color w:val="auto"/>
          <w:kern w:val="0"/>
          <w:sz w:val="22"/>
          <w:szCs w:val="22"/>
          <w:highlight w:val="none"/>
          <w:lang w:val="en-US" w:eastAsia="zh-CN"/>
        </w:rPr>
        <w:t>我单位</w:t>
      </w:r>
      <w:r>
        <w:rPr>
          <w:rFonts w:hint="eastAsia" w:ascii="宋体" w:hAnsi="宋体" w:cs="宋体"/>
          <w:color w:val="auto"/>
          <w:kern w:val="0"/>
          <w:sz w:val="22"/>
          <w:szCs w:val="22"/>
          <w:highlight w:val="none"/>
        </w:rPr>
        <w:t>任何资格（投标/中标/签订合同），我方对此无任何异议。</w:t>
      </w:r>
    </w:p>
    <w:p>
      <w:pPr>
        <w:widowControl/>
        <w:adjustRightInd w:val="0"/>
        <w:snapToGrid w:val="0"/>
        <w:spacing w:line="360" w:lineRule="auto"/>
        <w:ind w:firstLine="440" w:firstLineChars="200"/>
        <w:jc w:val="left"/>
        <w:rPr>
          <w:rFonts w:ascii="宋体" w:hAnsi="宋体" w:cs="宋体"/>
          <w:color w:val="auto"/>
          <w:kern w:val="0"/>
          <w:sz w:val="22"/>
          <w:szCs w:val="22"/>
          <w:highlight w:val="none"/>
        </w:rPr>
      </w:pPr>
    </w:p>
    <w:p>
      <w:pPr>
        <w:widowControl/>
        <w:adjustRightInd w:val="0"/>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特此承诺！</w:t>
      </w:r>
    </w:p>
    <w:p>
      <w:pPr>
        <w:widowControl/>
        <w:adjustRightInd w:val="0"/>
        <w:snapToGrid w:val="0"/>
        <w:spacing w:line="360" w:lineRule="auto"/>
        <w:ind w:firstLine="440" w:firstLineChars="200"/>
        <w:jc w:val="left"/>
        <w:rPr>
          <w:rFonts w:ascii="宋体" w:hAnsi="宋体" w:cs="新宋体"/>
          <w:color w:val="auto"/>
          <w:kern w:val="0"/>
          <w:sz w:val="22"/>
          <w:szCs w:val="22"/>
          <w:highlight w:val="none"/>
        </w:rPr>
      </w:pPr>
    </w:p>
    <w:p>
      <w:pPr>
        <w:pStyle w:val="25"/>
        <w:rPr>
          <w:color w:val="auto"/>
          <w:highlight w:val="none"/>
        </w:rPr>
      </w:pP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投标人名称（盖章）</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w:t>
      </w: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法定代表人（负责人）或其授权代表（签字或盖章）：</w:t>
      </w: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日期：</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年</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月</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日</w:t>
      </w:r>
    </w:p>
    <w:p>
      <w:pPr>
        <w:pStyle w:val="814"/>
        <w:widowControl w:val="0"/>
        <w:snapToGrid w:val="0"/>
        <w:spacing w:line="440" w:lineRule="exact"/>
        <w:ind w:firstLine="440" w:firstLineChars="200"/>
        <w:jc w:val="both"/>
        <w:rPr>
          <w:rFonts w:hint="default" w:hAnsi="宋体"/>
          <w:color w:val="auto"/>
          <w:sz w:val="22"/>
          <w:szCs w:val="22"/>
          <w:highlight w:val="none"/>
        </w:rPr>
      </w:pPr>
    </w:p>
    <w:p>
      <w:pPr>
        <w:pStyle w:val="814"/>
        <w:widowControl w:val="0"/>
        <w:snapToGrid w:val="0"/>
        <w:spacing w:line="440" w:lineRule="exact"/>
        <w:ind w:firstLine="440" w:firstLineChars="200"/>
        <w:jc w:val="both"/>
        <w:rPr>
          <w:rFonts w:hint="default" w:hAnsi="宋体"/>
          <w:color w:val="auto"/>
          <w:sz w:val="22"/>
          <w:szCs w:val="22"/>
          <w:highlight w:val="none"/>
        </w:rPr>
      </w:pPr>
      <w:r>
        <w:rPr>
          <w:rFonts w:hAnsi="宋体"/>
          <w:color w:val="auto"/>
          <w:sz w:val="22"/>
          <w:szCs w:val="22"/>
          <w:highlight w:val="none"/>
        </w:rPr>
        <w:t xml:space="preserve">                            </w:t>
      </w:r>
    </w:p>
    <w:p>
      <w:pPr>
        <w:pStyle w:val="4"/>
        <w:rPr>
          <w:rFonts w:hint="eastAsia" w:ascii="宋体" w:hAnsi="宋体" w:eastAsia="宋体"/>
          <w:color w:val="auto"/>
          <w:sz w:val="22"/>
          <w:highlight w:val="none"/>
        </w:rPr>
      </w:pPr>
    </w:p>
    <w:p>
      <w:pPr>
        <w:pStyle w:val="4"/>
        <w:rPr>
          <w:rFonts w:hint="eastAsia" w:ascii="宋体" w:hAnsi="宋体" w:eastAsia="宋体"/>
          <w:color w:val="auto"/>
          <w:sz w:val="22"/>
          <w:highlight w:val="none"/>
        </w:rPr>
      </w:pPr>
    </w:p>
    <w:p>
      <w:pPr>
        <w:pStyle w:val="4"/>
        <w:rPr>
          <w:rFonts w:hint="eastAsia" w:ascii="宋体" w:hAnsi="宋体" w:eastAsia="宋体"/>
          <w:color w:val="auto"/>
          <w:sz w:val="22"/>
          <w:highlight w:val="none"/>
        </w:rPr>
      </w:pPr>
    </w:p>
    <w:p>
      <w:pPr>
        <w:pStyle w:val="4"/>
        <w:rPr>
          <w:rFonts w:hint="eastAsia" w:ascii="宋体" w:hAnsi="宋体" w:eastAsia="宋体"/>
          <w:color w:val="auto"/>
          <w:sz w:val="22"/>
          <w:highlight w:val="none"/>
        </w:rPr>
      </w:pPr>
    </w:p>
    <w:p>
      <w:pPr>
        <w:pStyle w:val="4"/>
        <w:rPr>
          <w:rFonts w:hint="eastAsia" w:ascii="宋体" w:hAnsi="宋体" w:eastAsia="宋体"/>
          <w:color w:val="auto"/>
          <w:sz w:val="22"/>
          <w:highlight w:val="none"/>
        </w:rPr>
      </w:pPr>
    </w:p>
    <w:p>
      <w:pPr>
        <w:pStyle w:val="4"/>
        <w:rPr>
          <w:rFonts w:hint="eastAsia" w:ascii="宋体" w:hAnsi="宋体" w:eastAsia="宋体"/>
          <w:color w:val="auto"/>
          <w:sz w:val="22"/>
          <w:highlight w:val="none"/>
        </w:rPr>
      </w:pPr>
    </w:p>
    <w:p>
      <w:pPr>
        <w:pStyle w:val="4"/>
        <w:rPr>
          <w:rFonts w:hint="eastAsia" w:ascii="宋体" w:hAnsi="宋体" w:eastAsia="宋体"/>
          <w:color w:val="auto"/>
          <w:sz w:val="22"/>
          <w:highlight w:val="none"/>
        </w:rPr>
      </w:pPr>
    </w:p>
    <w:p>
      <w:pPr>
        <w:pStyle w:val="4"/>
        <w:rPr>
          <w:rFonts w:hint="eastAsia" w:ascii="宋体" w:hAnsi="宋体" w:eastAsia="宋体"/>
          <w:color w:val="auto"/>
          <w:sz w:val="22"/>
          <w:highlight w:val="none"/>
        </w:rPr>
      </w:pPr>
    </w:p>
    <w:p>
      <w:pPr>
        <w:pStyle w:val="4"/>
        <w:rPr>
          <w:rFonts w:hint="eastAsia" w:ascii="宋体" w:hAnsi="宋体" w:eastAsia="宋体"/>
          <w:color w:val="auto"/>
          <w:sz w:val="22"/>
          <w:highlight w:val="none"/>
        </w:rPr>
      </w:pPr>
    </w:p>
    <w:p>
      <w:pPr>
        <w:widowControl/>
        <w:adjustRightInd w:val="0"/>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w:t>
      </w:r>
      <w:r>
        <w:rPr>
          <w:rFonts w:hint="eastAsia" w:ascii="宋体" w:hAnsi="宋体" w:cs="Arial"/>
          <w:b/>
          <w:bCs/>
          <w:color w:val="auto"/>
          <w:sz w:val="22"/>
          <w:szCs w:val="22"/>
          <w:highlight w:val="none"/>
          <w:u w:val="single"/>
          <w:lang w:val="en-US" w:eastAsia="zh-CN"/>
        </w:rPr>
        <w:t>投标人必须提供检测报告承诺函，否则视为未实质性响应招标文件。</w:t>
      </w:r>
    </w:p>
    <w:p>
      <w:pPr>
        <w:pStyle w:val="61"/>
        <w:rPr>
          <w:rFonts w:hint="eastAsia"/>
          <w:color w:val="auto"/>
          <w:highlight w:val="none"/>
        </w:rPr>
      </w:pPr>
      <w:r>
        <w:rPr>
          <w:rFonts w:hint="eastAsia" w:ascii="宋体" w:hAnsi="宋体" w:eastAsia="宋体"/>
          <w:color w:val="auto"/>
          <w:sz w:val="22"/>
          <w:highlight w:val="none"/>
        </w:rPr>
        <w:br w:type="page"/>
      </w:r>
    </w:p>
    <w:p>
      <w:pPr>
        <w:pStyle w:val="4"/>
        <w:rPr>
          <w:rFonts w:ascii="宋体" w:hAnsi="宋体" w:eastAsia="宋体" w:cs="Arial"/>
          <w:color w:val="auto"/>
          <w:sz w:val="36"/>
          <w:szCs w:val="36"/>
          <w:highlight w:val="none"/>
        </w:rPr>
      </w:pPr>
      <w:bookmarkStart w:id="183" w:name="_Toc249758721"/>
      <w:bookmarkStart w:id="184" w:name="_Toc262049425"/>
      <w:bookmarkStart w:id="185" w:name="_Toc262105510"/>
      <w:bookmarkStart w:id="186" w:name="_Toc15938933"/>
      <w:bookmarkStart w:id="187" w:name="_Toc249758871"/>
      <w:r>
        <w:rPr>
          <w:rFonts w:hint="eastAsia" w:ascii="宋体" w:hAnsi="宋体" w:eastAsia="宋体" w:cs="Arial"/>
          <w:color w:val="auto"/>
          <w:sz w:val="36"/>
          <w:szCs w:val="36"/>
          <w:highlight w:val="none"/>
        </w:rPr>
        <w:t>第四部分   招标内容及要求</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pStyle w:val="161"/>
        <w:snapToGrid w:val="0"/>
        <w:spacing w:line="400" w:lineRule="exact"/>
        <w:ind w:firstLine="440" w:firstLineChars="200"/>
        <w:rPr>
          <w:rFonts w:ascii="宋体" w:hAnsi="宋体" w:cs="Arial"/>
          <w:color w:val="auto"/>
          <w:sz w:val="22"/>
          <w:szCs w:val="22"/>
          <w:highlight w:val="none"/>
        </w:rPr>
      </w:pPr>
      <w:bookmarkStart w:id="188" w:name="_Toc221356897"/>
      <w:bookmarkStart w:id="189" w:name="_Toc221356960"/>
      <w:bookmarkStart w:id="190" w:name="_Toc221374633"/>
    </w:p>
    <w:p>
      <w:pPr>
        <w:widowControl/>
        <w:spacing w:line="440" w:lineRule="exact"/>
        <w:rPr>
          <w:rFonts w:ascii="宋体" w:hAnsi="宋体" w:cs="Arial"/>
          <w:b/>
          <w:bCs/>
          <w:color w:val="auto"/>
          <w:sz w:val="22"/>
          <w:szCs w:val="22"/>
          <w:highlight w:val="none"/>
        </w:rPr>
      </w:pPr>
      <w:r>
        <w:rPr>
          <w:rFonts w:hint="eastAsia" w:ascii="宋体" w:hAnsi="宋体" w:cs="Arial"/>
          <w:b/>
          <w:bCs/>
          <w:color w:val="auto"/>
          <w:sz w:val="22"/>
          <w:szCs w:val="22"/>
          <w:highlight w:val="none"/>
        </w:rPr>
        <w:t>一、概述</w:t>
      </w:r>
    </w:p>
    <w:p>
      <w:pPr>
        <w:numPr>
          <w:ilvl w:val="2"/>
          <w:numId w:val="44"/>
        </w:numPr>
        <w:tabs>
          <w:tab w:val="left" w:pos="525"/>
          <w:tab w:val="clear" w:pos="1260"/>
        </w:tabs>
        <w:autoSpaceDE w:val="0"/>
        <w:autoSpaceDN w:val="0"/>
        <w:adjustRightInd w:val="0"/>
        <w:snapToGrid w:val="0"/>
        <w:spacing w:line="460" w:lineRule="exact"/>
        <w:ind w:left="525" w:hanging="525"/>
        <w:textAlignment w:val="bottom"/>
        <w:rPr>
          <w:rFonts w:ascii="宋体" w:hAnsi="宋体"/>
          <w:color w:val="auto"/>
          <w:sz w:val="22"/>
          <w:szCs w:val="22"/>
          <w:highlight w:val="none"/>
        </w:rPr>
      </w:pPr>
      <w:r>
        <w:rPr>
          <w:rFonts w:hint="eastAsia" w:ascii="宋体" w:hAnsi="宋体"/>
          <w:color w:val="auto"/>
          <w:sz w:val="22"/>
          <w:szCs w:val="22"/>
          <w:highlight w:val="none"/>
        </w:rPr>
        <w:t>此技术规格书只是采购内容的一些原则性规定，并不是完整的详尽的要求，投标人有责任根据所提供产品的实际情况对系统进行科学合理的优化设计，对所提供产品的工艺、安全性、先进性负责，并符合技术规格书的要求。</w:t>
      </w:r>
    </w:p>
    <w:p>
      <w:pPr>
        <w:numPr>
          <w:ilvl w:val="2"/>
          <w:numId w:val="44"/>
        </w:numPr>
        <w:tabs>
          <w:tab w:val="left" w:pos="525"/>
          <w:tab w:val="clear" w:pos="1260"/>
        </w:tabs>
        <w:autoSpaceDE w:val="0"/>
        <w:autoSpaceDN w:val="0"/>
        <w:adjustRightInd w:val="0"/>
        <w:snapToGrid w:val="0"/>
        <w:spacing w:line="460" w:lineRule="exact"/>
        <w:ind w:left="525" w:hanging="525"/>
        <w:textAlignment w:val="bottom"/>
        <w:rPr>
          <w:rFonts w:ascii="宋体" w:hAnsi="宋体"/>
          <w:color w:val="auto"/>
          <w:sz w:val="22"/>
          <w:szCs w:val="22"/>
          <w:highlight w:val="none"/>
        </w:rPr>
      </w:pPr>
      <w:r>
        <w:rPr>
          <w:rFonts w:hint="eastAsia" w:ascii="宋体" w:hAnsi="宋体"/>
          <w:color w:val="auto"/>
          <w:sz w:val="22"/>
          <w:szCs w:val="22"/>
          <w:highlight w:val="none"/>
        </w:rPr>
        <w:t>投标产品如与采购要求有细微偏差，业主将有权要求制造商调整偏差，并不改变投标价格。</w:t>
      </w:r>
    </w:p>
    <w:p>
      <w:pPr>
        <w:numPr>
          <w:ilvl w:val="2"/>
          <w:numId w:val="44"/>
        </w:numPr>
        <w:tabs>
          <w:tab w:val="left" w:pos="525"/>
          <w:tab w:val="clear" w:pos="1260"/>
        </w:tabs>
        <w:autoSpaceDE w:val="0"/>
        <w:autoSpaceDN w:val="0"/>
        <w:adjustRightInd w:val="0"/>
        <w:snapToGrid w:val="0"/>
        <w:spacing w:line="460" w:lineRule="exact"/>
        <w:ind w:left="525" w:hanging="525"/>
        <w:textAlignment w:val="bottom"/>
        <w:rPr>
          <w:rFonts w:ascii="宋体" w:hAnsi="宋体"/>
          <w:color w:val="auto"/>
          <w:sz w:val="22"/>
          <w:szCs w:val="22"/>
          <w:highlight w:val="none"/>
        </w:rPr>
      </w:pPr>
      <w:r>
        <w:rPr>
          <w:rFonts w:hint="eastAsia" w:ascii="宋体" w:hAnsi="宋体"/>
          <w:color w:val="auto"/>
          <w:sz w:val="22"/>
          <w:szCs w:val="22"/>
          <w:highlight w:val="none"/>
        </w:rPr>
        <w:t>投标人须对招标文件中的各个条款一一给予实质性答复，不能仅提供产品样本。</w:t>
      </w:r>
    </w:p>
    <w:p>
      <w:pPr>
        <w:numPr>
          <w:ilvl w:val="2"/>
          <w:numId w:val="44"/>
        </w:numPr>
        <w:tabs>
          <w:tab w:val="left" w:pos="525"/>
          <w:tab w:val="clear" w:pos="1260"/>
        </w:tabs>
        <w:autoSpaceDE w:val="0"/>
        <w:autoSpaceDN w:val="0"/>
        <w:adjustRightInd w:val="0"/>
        <w:snapToGrid w:val="0"/>
        <w:spacing w:line="460" w:lineRule="exact"/>
        <w:ind w:left="525" w:hanging="525"/>
        <w:textAlignment w:val="bottom"/>
        <w:rPr>
          <w:rFonts w:ascii="宋体" w:hAnsi="宋体"/>
          <w:color w:val="auto"/>
          <w:sz w:val="22"/>
          <w:szCs w:val="22"/>
          <w:highlight w:val="none"/>
        </w:rPr>
      </w:pPr>
      <w:r>
        <w:rPr>
          <w:rFonts w:hint="eastAsia" w:ascii="宋体" w:hAnsi="宋体"/>
          <w:color w:val="auto"/>
          <w:sz w:val="22"/>
          <w:szCs w:val="22"/>
          <w:highlight w:val="none"/>
        </w:rPr>
        <w:t>投标人须对招标文件中涉及到的专利负责，并保证不伤害采购人的利益。在法律范围内，所有文字、商标和技术侵权造成的相关费用，招标人及采购人概不负责。</w:t>
      </w:r>
    </w:p>
    <w:p>
      <w:pPr>
        <w:widowControl/>
        <w:numPr>
          <w:ilvl w:val="0"/>
          <w:numId w:val="42"/>
        </w:numPr>
        <w:tabs>
          <w:tab w:val="left" w:pos="540"/>
        </w:tabs>
        <w:spacing w:line="440" w:lineRule="exact"/>
        <w:ind w:firstLine="417" w:firstLineChars="189"/>
        <w:rPr>
          <w:rFonts w:ascii="宋体" w:hAnsi="宋体" w:cs="Arial"/>
          <w:b/>
          <w:bCs/>
          <w:color w:val="auto"/>
          <w:sz w:val="22"/>
          <w:szCs w:val="22"/>
          <w:highlight w:val="none"/>
        </w:rPr>
      </w:pPr>
      <w:r>
        <w:rPr>
          <w:rFonts w:hint="eastAsia" w:ascii="宋体" w:hAnsi="宋体" w:cs="Arial"/>
          <w:b/>
          <w:bCs/>
          <w:color w:val="auto"/>
          <w:sz w:val="22"/>
          <w:szCs w:val="22"/>
          <w:highlight w:val="none"/>
        </w:rPr>
        <w:t>采购清单</w:t>
      </w:r>
    </w:p>
    <w:tbl>
      <w:tblPr>
        <w:tblStyle w:val="67"/>
        <w:tblW w:w="498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661"/>
        <w:gridCol w:w="4815"/>
        <w:gridCol w:w="1669"/>
        <w:gridCol w:w="1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4" w:hRule="atLeast"/>
        </w:trPr>
        <w:tc>
          <w:tcPr>
            <w:tcW w:w="84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452" w:type="pct"/>
            <w:tcBorders>
              <w:tl2br w:val="nil"/>
              <w:tr2bl w:val="nil"/>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品名规格</w:t>
            </w:r>
          </w:p>
        </w:tc>
        <w:tc>
          <w:tcPr>
            <w:tcW w:w="850" w:type="pct"/>
            <w:tcBorders>
              <w:tl2br w:val="nil"/>
              <w:tr2bl w:val="nil"/>
            </w:tcBorders>
            <w:shd w:val="clear" w:color="auto" w:fill="auto"/>
            <w:vAlign w:val="center"/>
          </w:tcPr>
          <w:p>
            <w:pPr>
              <w:keepNext w:val="0"/>
              <w:keepLines w:val="0"/>
              <w:widowControl/>
              <w:suppressLineNumbers w:val="0"/>
              <w:spacing w:line="360" w:lineRule="auto"/>
              <w:jc w:val="center"/>
              <w:textAlignment w:val="top"/>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851"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1</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橡胶</w:t>
            </w:r>
            <w:r>
              <w:rPr>
                <w:rFonts w:ascii="宋体" w:hAnsi="宋体"/>
                <w:color w:val="auto"/>
                <w:sz w:val="22"/>
                <w:szCs w:val="22"/>
                <w:highlight w:val="none"/>
              </w:rPr>
              <w:t>警棍</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2</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伸缩警棍（基础型）</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260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3</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新型手铐</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260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4</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新型多功能腰带（六</w:t>
            </w:r>
            <w:r>
              <w:rPr>
                <w:rFonts w:ascii="宋体" w:hAnsi="宋体"/>
                <w:color w:val="auto"/>
                <w:sz w:val="22"/>
                <w:szCs w:val="22"/>
                <w:highlight w:val="none"/>
              </w:rPr>
              <w:t>件套</w:t>
            </w:r>
            <w:r>
              <w:rPr>
                <w:rFonts w:hint="eastAsia" w:ascii="宋体" w:hAnsi="宋体"/>
                <w:color w:val="auto"/>
                <w:sz w:val="22"/>
                <w:szCs w:val="22"/>
                <w:highlight w:val="none"/>
              </w:rPr>
              <w:t>）</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260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5</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新型多功能腰带（五</w:t>
            </w:r>
            <w:r>
              <w:rPr>
                <w:rFonts w:ascii="宋体" w:hAnsi="宋体"/>
                <w:color w:val="auto"/>
                <w:sz w:val="22"/>
                <w:szCs w:val="22"/>
                <w:highlight w:val="none"/>
              </w:rPr>
              <w:t>件套</w:t>
            </w:r>
            <w:r>
              <w:rPr>
                <w:rFonts w:hint="eastAsia" w:ascii="宋体" w:hAnsi="宋体"/>
                <w:color w:val="auto"/>
                <w:sz w:val="22"/>
                <w:szCs w:val="22"/>
                <w:highlight w:val="none"/>
              </w:rPr>
              <w:t>）</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260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ascii="宋体" w:hAnsi="宋体"/>
                <w:color w:val="auto"/>
                <w:sz w:val="22"/>
                <w:szCs w:val="22"/>
                <w:highlight w:val="none"/>
              </w:rPr>
              <w:t>6</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新型催泪喷射器</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260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ascii="宋体" w:hAnsi="宋体"/>
                <w:color w:val="auto"/>
                <w:sz w:val="22"/>
                <w:szCs w:val="22"/>
                <w:highlight w:val="none"/>
              </w:rPr>
              <w:t>7</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新款</w:t>
            </w:r>
            <w:r>
              <w:rPr>
                <w:rFonts w:ascii="宋体" w:hAnsi="宋体"/>
                <w:color w:val="auto"/>
                <w:sz w:val="22"/>
                <w:szCs w:val="22"/>
                <w:highlight w:val="none"/>
              </w:rPr>
              <w:t>强光手电</w:t>
            </w:r>
            <w:r>
              <w:rPr>
                <w:rFonts w:hint="eastAsia" w:ascii="宋体" w:hAnsi="宋体"/>
                <w:color w:val="auto"/>
                <w:sz w:val="22"/>
                <w:szCs w:val="22"/>
                <w:highlight w:val="none"/>
              </w:rPr>
              <w:t>（基础型）</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ascii="宋体" w:hAnsi="宋体"/>
                <w:color w:val="auto"/>
                <w:sz w:val="22"/>
                <w:szCs w:val="22"/>
                <w:highlight w:val="none"/>
              </w:rPr>
              <w:t>8</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反光背心08</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400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ascii="宋体" w:hAnsi="宋体"/>
                <w:color w:val="auto"/>
                <w:sz w:val="22"/>
                <w:szCs w:val="22"/>
                <w:highlight w:val="none"/>
              </w:rPr>
              <w:t>9</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警用水壶</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ascii="宋体" w:hAnsi="宋体"/>
                <w:color w:val="auto"/>
                <w:sz w:val="22"/>
                <w:szCs w:val="22"/>
                <w:highlight w:val="none"/>
              </w:rPr>
              <w:t>10</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挂肩警示灯</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1</w:t>
            </w:r>
            <w:r>
              <w:rPr>
                <w:rFonts w:ascii="宋体" w:hAnsi="宋体"/>
                <w:color w:val="auto"/>
                <w:sz w:val="22"/>
                <w:szCs w:val="22"/>
                <w:highlight w:val="none"/>
              </w:rPr>
              <w:t>1</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宋体"/>
                <w:color w:val="auto"/>
                <w:kern w:val="2"/>
                <w:sz w:val="22"/>
                <w:szCs w:val="22"/>
                <w:highlight w:val="none"/>
                <w:lang w:val="en-US" w:eastAsia="zh-CN" w:bidi="ar-SA"/>
              </w:rPr>
            </w:pPr>
            <w:r>
              <w:rPr>
                <w:rFonts w:ascii="宋体" w:hAnsi="宋体" w:cs="宋体"/>
                <w:color w:val="auto"/>
                <w:sz w:val="22"/>
                <w:szCs w:val="22"/>
                <w:highlight w:val="none"/>
              </w:rPr>
              <w:t>防割手套</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1</w:t>
            </w:r>
            <w:r>
              <w:rPr>
                <w:rFonts w:ascii="宋体" w:hAnsi="宋体"/>
                <w:color w:val="auto"/>
                <w:sz w:val="22"/>
                <w:szCs w:val="22"/>
                <w:highlight w:val="none"/>
              </w:rPr>
              <w:t>2</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医疗箱</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1</w:t>
            </w:r>
            <w:r>
              <w:rPr>
                <w:rFonts w:ascii="宋体" w:hAnsi="宋体"/>
                <w:color w:val="auto"/>
                <w:sz w:val="22"/>
                <w:szCs w:val="22"/>
                <w:highlight w:val="none"/>
              </w:rPr>
              <w:t>3</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急救包</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1</w:t>
            </w:r>
            <w:r>
              <w:rPr>
                <w:rFonts w:ascii="宋体" w:hAnsi="宋体"/>
                <w:color w:val="auto"/>
                <w:sz w:val="22"/>
                <w:szCs w:val="22"/>
                <w:highlight w:val="none"/>
              </w:rPr>
              <w:t>4</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警官</w:t>
            </w:r>
            <w:r>
              <w:rPr>
                <w:rFonts w:ascii="宋体" w:hAnsi="宋体"/>
                <w:color w:val="auto"/>
                <w:sz w:val="22"/>
                <w:szCs w:val="22"/>
                <w:highlight w:val="none"/>
              </w:rPr>
              <w:t>吊牌</w:t>
            </w:r>
            <w:r>
              <w:rPr>
                <w:rFonts w:hint="eastAsia" w:ascii="宋体" w:hAnsi="宋体"/>
                <w:color w:val="auto"/>
                <w:sz w:val="22"/>
                <w:szCs w:val="22"/>
                <w:highlight w:val="none"/>
              </w:rPr>
              <w:t>含吊绳</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1</w:t>
            </w:r>
            <w:r>
              <w:rPr>
                <w:rFonts w:ascii="宋体" w:hAnsi="宋体"/>
                <w:color w:val="auto"/>
                <w:sz w:val="22"/>
                <w:szCs w:val="22"/>
                <w:highlight w:val="none"/>
              </w:rPr>
              <w:t>5</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救生圈</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1</w:t>
            </w:r>
            <w:r>
              <w:rPr>
                <w:rFonts w:ascii="宋体" w:hAnsi="宋体"/>
                <w:color w:val="auto"/>
                <w:sz w:val="22"/>
                <w:szCs w:val="22"/>
                <w:highlight w:val="none"/>
              </w:rPr>
              <w:t>6</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金属探测器</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1</w:t>
            </w:r>
            <w:r>
              <w:rPr>
                <w:rFonts w:hint="eastAsia" w:ascii="宋体" w:hAnsi="宋体"/>
                <w:color w:val="auto"/>
                <w:sz w:val="22"/>
                <w:szCs w:val="22"/>
                <w:highlight w:val="none"/>
                <w:lang w:val="en-US" w:eastAsia="zh-CN"/>
              </w:rPr>
              <w:t>7</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警绳</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18</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警戒带</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19</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新型停车示意牌</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70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70公分</w:t>
            </w:r>
            <w:r>
              <w:rPr>
                <w:rFonts w:ascii="宋体" w:hAnsi="宋体"/>
                <w:color w:val="auto"/>
                <w:sz w:val="22"/>
                <w:szCs w:val="22"/>
                <w:highlight w:val="none"/>
              </w:rPr>
              <w:t>路锥</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21</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约束带</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2</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多功能背心</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3</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协勤工作包</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40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4</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T型警棍</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5</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警哨</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6</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手提式防爆探</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100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7</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1.6米长警棍</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8</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多功能警用喊话器</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40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pStyle w:val="125"/>
              <w:spacing w:line="276" w:lineRule="auto"/>
              <w:ind w:right="105" w:rightChars="0" w:firstLine="0" w:firstLineChars="0"/>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29</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防刺服</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40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pStyle w:val="125"/>
              <w:spacing w:line="276" w:lineRule="auto"/>
              <w:ind w:right="105" w:rightChars="0" w:firstLine="0" w:firstLineChars="0"/>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3</w:t>
            </w:r>
            <w:r>
              <w:rPr>
                <w:rFonts w:hint="eastAsia" w:ascii="宋体" w:hAnsi="宋体"/>
                <w:color w:val="auto"/>
                <w:sz w:val="22"/>
                <w:szCs w:val="22"/>
                <w:highlight w:val="none"/>
                <w:lang w:val="en-US" w:eastAsia="zh-CN"/>
              </w:rPr>
              <w:t>0</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防弹衣</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40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3</w:t>
            </w:r>
            <w:r>
              <w:rPr>
                <w:rFonts w:hint="eastAsia" w:ascii="宋体" w:hAnsi="宋体"/>
                <w:color w:val="auto"/>
                <w:sz w:val="22"/>
                <w:szCs w:val="22"/>
                <w:highlight w:val="none"/>
                <w:lang w:val="en-US" w:eastAsia="zh-CN"/>
              </w:rPr>
              <w:t>1</w:t>
            </w:r>
          </w:p>
        </w:tc>
        <w:tc>
          <w:tcPr>
            <w:tcW w:w="2452" w:type="pct"/>
            <w:tcBorders>
              <w:tl2br w:val="nil"/>
              <w:tr2bl w:val="nil"/>
            </w:tcBorders>
            <w:shd w:val="clear" w:color="auto" w:fill="auto"/>
            <w:vAlign w:val="center"/>
          </w:tcPr>
          <w:p>
            <w:pPr>
              <w:widowControl/>
              <w:spacing w:line="276" w:lineRule="auto"/>
              <w:jc w:val="center"/>
              <w:textAlignment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防弹</w:t>
            </w:r>
            <w:r>
              <w:rPr>
                <w:rFonts w:ascii="宋体" w:hAnsi="宋体"/>
                <w:color w:val="auto"/>
                <w:sz w:val="22"/>
                <w:szCs w:val="22"/>
                <w:highlight w:val="none"/>
              </w:rPr>
              <w:t>防刺服</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noWrap/>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3</w:t>
            </w:r>
            <w:r>
              <w:rPr>
                <w:rFonts w:hint="eastAsia" w:ascii="宋体" w:hAnsi="宋体"/>
                <w:color w:val="auto"/>
                <w:sz w:val="22"/>
                <w:szCs w:val="22"/>
                <w:highlight w:val="none"/>
                <w:lang w:val="en-US" w:eastAsia="zh-CN"/>
              </w:rPr>
              <w:t>2</w:t>
            </w:r>
          </w:p>
        </w:tc>
        <w:tc>
          <w:tcPr>
            <w:tcW w:w="2452" w:type="pct"/>
            <w:tcBorders>
              <w:tl2br w:val="nil"/>
              <w:tr2bl w:val="nil"/>
            </w:tcBorders>
            <w:shd w:val="clear" w:color="auto" w:fill="auto"/>
            <w:vAlign w:val="center"/>
          </w:tcPr>
          <w:p>
            <w:pPr>
              <w:widowControl/>
              <w:spacing w:line="276" w:lineRule="auto"/>
              <w:jc w:val="center"/>
              <w:textAlignment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防弹头盔</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40</w:t>
            </w:r>
          </w:p>
        </w:tc>
        <w:tc>
          <w:tcPr>
            <w:tcW w:w="851"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33</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防暴</w:t>
            </w:r>
            <w:r>
              <w:rPr>
                <w:rFonts w:ascii="宋体" w:hAnsi="宋体"/>
                <w:color w:val="auto"/>
                <w:sz w:val="22"/>
                <w:szCs w:val="22"/>
                <w:highlight w:val="none"/>
              </w:rPr>
              <w:t>头盔</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100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3</w:t>
            </w:r>
            <w:r>
              <w:rPr>
                <w:rFonts w:hint="eastAsia" w:ascii="宋体" w:hAnsi="宋体"/>
                <w:color w:val="auto"/>
                <w:sz w:val="22"/>
                <w:szCs w:val="22"/>
                <w:highlight w:val="none"/>
                <w:lang w:val="en-US" w:eastAsia="zh-CN"/>
              </w:rPr>
              <w:t>4</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巡逻</w:t>
            </w:r>
            <w:r>
              <w:rPr>
                <w:rFonts w:ascii="宋体" w:hAnsi="宋体"/>
                <w:color w:val="auto"/>
                <w:sz w:val="22"/>
                <w:szCs w:val="22"/>
                <w:highlight w:val="none"/>
              </w:rPr>
              <w:t>头盔（</w:t>
            </w:r>
            <w:r>
              <w:rPr>
                <w:rFonts w:hint="eastAsia" w:ascii="宋体" w:hAnsi="宋体"/>
                <w:color w:val="auto"/>
                <w:sz w:val="22"/>
                <w:szCs w:val="22"/>
                <w:highlight w:val="none"/>
              </w:rPr>
              <w:t>防风</w:t>
            </w:r>
            <w:r>
              <w:rPr>
                <w:rFonts w:ascii="宋体" w:hAnsi="宋体"/>
                <w:color w:val="auto"/>
                <w:sz w:val="22"/>
                <w:szCs w:val="22"/>
                <w:highlight w:val="none"/>
              </w:rPr>
              <w:t>）</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100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35</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巡逻头盔</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100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36</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防暴盾牌</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3</w:t>
            </w:r>
            <w:r>
              <w:rPr>
                <w:rFonts w:hint="eastAsia" w:ascii="宋体" w:hAnsi="宋体"/>
                <w:color w:val="auto"/>
                <w:sz w:val="22"/>
                <w:szCs w:val="22"/>
                <w:highlight w:val="none"/>
                <w:lang w:val="en-US" w:eastAsia="zh-CN"/>
              </w:rPr>
              <w:t>7</w:t>
            </w:r>
          </w:p>
        </w:tc>
        <w:tc>
          <w:tcPr>
            <w:tcW w:w="2452" w:type="pct"/>
            <w:tcBorders>
              <w:tl2br w:val="nil"/>
              <w:tr2bl w:val="nil"/>
            </w:tcBorders>
            <w:shd w:val="clear" w:color="auto" w:fill="auto"/>
            <w:vAlign w:val="center"/>
          </w:tcPr>
          <w:p>
            <w:pPr>
              <w:pStyle w:val="315"/>
              <w:spacing w:line="276" w:lineRule="auto"/>
              <w:ind w:firstLine="0" w:firstLineChars="0"/>
              <w:jc w:val="center"/>
              <w:rPr>
                <w:rFonts w:hint="eastAsia" w:ascii="宋体" w:hAnsi="宋体" w:eastAsia="宋体" w:cs="宋体"/>
                <w:color w:val="auto"/>
                <w:kern w:val="0"/>
                <w:sz w:val="22"/>
                <w:szCs w:val="22"/>
                <w:highlight w:val="none"/>
                <w:lang w:val="en-US" w:eastAsia="zh-CN" w:bidi="ar-SA"/>
              </w:rPr>
            </w:pPr>
            <w:r>
              <w:rPr>
                <w:rFonts w:hint="eastAsia" w:ascii="宋体" w:hAnsi="宋体" w:cs="宋体"/>
                <w:color w:val="auto"/>
                <w:sz w:val="22"/>
                <w:szCs w:val="22"/>
                <w:highlight w:val="none"/>
              </w:rPr>
              <w:t>半圆钢叉</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3</w:t>
            </w:r>
            <w:r>
              <w:rPr>
                <w:rFonts w:hint="eastAsia" w:ascii="宋体" w:hAnsi="宋体"/>
                <w:color w:val="auto"/>
                <w:sz w:val="22"/>
                <w:szCs w:val="22"/>
                <w:highlight w:val="none"/>
                <w:lang w:val="en-US" w:eastAsia="zh-CN"/>
              </w:rPr>
              <w:t>8</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设卡警灯</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125"/>
              <w:spacing w:line="276" w:lineRule="auto"/>
              <w:ind w:right="105" w:rightChars="0" w:firstLine="0" w:firstLineChars="0"/>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39</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新型指挥棒</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40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125"/>
              <w:spacing w:line="276" w:lineRule="auto"/>
              <w:ind w:right="105" w:rightChars="0" w:firstLine="0" w:firstLineChars="0"/>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0</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警用防暴护臂</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40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125"/>
              <w:spacing w:line="276" w:lineRule="auto"/>
              <w:ind w:right="105" w:rightChars="0" w:firstLine="0" w:firstLineChars="0"/>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1</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救生衣</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60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125"/>
              <w:spacing w:line="276" w:lineRule="auto"/>
              <w:ind w:right="105" w:rightChars="0" w:firstLine="0" w:firstLineChars="0"/>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2</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警用装备包</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125"/>
              <w:spacing w:line="276" w:lineRule="auto"/>
              <w:ind w:right="105" w:rightChars="0" w:firstLine="0" w:firstLineChars="0"/>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3</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急救绳</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125"/>
              <w:spacing w:line="276" w:lineRule="auto"/>
              <w:ind w:right="105" w:rightChars="0" w:firstLine="0" w:firstLineChars="0"/>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4</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大铁头</w:t>
            </w:r>
            <w:r>
              <w:rPr>
                <w:rFonts w:ascii="宋体" w:hAnsi="宋体"/>
                <w:color w:val="auto"/>
                <w:sz w:val="22"/>
                <w:szCs w:val="22"/>
                <w:highlight w:val="none"/>
              </w:rPr>
              <w:t>脚叉</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125"/>
              <w:spacing w:line="276" w:lineRule="auto"/>
              <w:ind w:right="105" w:rightChars="0" w:firstLine="0" w:firstLineChars="0"/>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5</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小铁</w:t>
            </w:r>
            <w:r>
              <w:rPr>
                <w:rFonts w:ascii="宋体" w:hAnsi="宋体"/>
                <w:color w:val="auto"/>
                <w:sz w:val="22"/>
                <w:szCs w:val="22"/>
                <w:highlight w:val="none"/>
              </w:rPr>
              <w:t>头脚叉</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125"/>
              <w:spacing w:line="276" w:lineRule="auto"/>
              <w:ind w:right="105" w:rightChars="0" w:firstLine="0" w:firstLineChars="0"/>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6</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消防</w:t>
            </w:r>
            <w:r>
              <w:rPr>
                <w:rFonts w:ascii="宋体" w:hAnsi="宋体"/>
                <w:color w:val="auto"/>
                <w:sz w:val="22"/>
                <w:szCs w:val="22"/>
                <w:highlight w:val="none"/>
              </w:rPr>
              <w:t>逃生绳</w:t>
            </w:r>
          </w:p>
        </w:tc>
        <w:tc>
          <w:tcPr>
            <w:tcW w:w="850" w:type="pct"/>
            <w:tcBorders>
              <w:tl2br w:val="nil"/>
              <w:tr2bl w:val="nil"/>
            </w:tcBorders>
            <w:shd w:val="clear" w:color="auto" w:fill="auto"/>
            <w:vAlign w:val="center"/>
          </w:tcPr>
          <w:p>
            <w:pPr>
              <w:widowControl/>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60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125"/>
              <w:spacing w:line="276" w:lineRule="auto"/>
              <w:ind w:right="105" w:rightChars="0" w:firstLine="0" w:firstLineChars="0"/>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7</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360°警灯</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100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kern w:val="0"/>
                <w:sz w:val="22"/>
                <w:szCs w:val="22"/>
                <w:highlight w:val="none"/>
                <w:lang w:val="en-US" w:eastAsia="zh-CN" w:bidi="ar-SA"/>
              </w:rPr>
            </w:pPr>
            <w:r>
              <w:rPr>
                <w:rFonts w:ascii="宋体" w:hAnsi="宋体"/>
                <w:color w:val="auto"/>
                <w:sz w:val="22"/>
                <w:szCs w:val="22"/>
                <w:highlight w:val="none"/>
              </w:rPr>
              <w:t>4</w:t>
            </w:r>
            <w:r>
              <w:rPr>
                <w:rFonts w:hint="eastAsia" w:ascii="宋体" w:hAnsi="宋体"/>
                <w:color w:val="auto"/>
                <w:sz w:val="22"/>
                <w:szCs w:val="22"/>
                <w:highlight w:val="none"/>
                <w:lang w:val="en-US" w:eastAsia="zh-CN"/>
              </w:rPr>
              <w:t>8</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荧光浮力绳</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lang w:val="en-US" w:eastAsia="zh-CN"/>
              </w:rPr>
              <w:t>49</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训练假人</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5</w:t>
            </w:r>
            <w:r>
              <w:rPr>
                <w:rFonts w:hint="eastAsia" w:ascii="宋体" w:hAnsi="宋体"/>
                <w:color w:val="auto"/>
                <w:sz w:val="22"/>
                <w:szCs w:val="22"/>
                <w:highlight w:val="none"/>
                <w:lang w:val="en-US" w:eastAsia="zh-CN"/>
              </w:rPr>
              <w:t>0</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软式担架</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5</w:t>
            </w:r>
            <w:r>
              <w:rPr>
                <w:rFonts w:hint="eastAsia" w:ascii="宋体" w:hAnsi="宋体"/>
                <w:color w:val="auto"/>
                <w:sz w:val="22"/>
                <w:szCs w:val="22"/>
                <w:highlight w:val="none"/>
                <w:lang w:val="en-US" w:eastAsia="zh-CN"/>
              </w:rPr>
              <w:t>1</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激流救生衣</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5</w:t>
            </w:r>
            <w:r>
              <w:rPr>
                <w:rFonts w:hint="eastAsia" w:ascii="宋体" w:hAnsi="宋体"/>
                <w:color w:val="auto"/>
                <w:sz w:val="22"/>
                <w:szCs w:val="22"/>
                <w:highlight w:val="none"/>
                <w:lang w:val="en-US" w:eastAsia="zh-CN"/>
              </w:rPr>
              <w:t>2</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冲锋枪绳(黑鹰)</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5</w:t>
            </w:r>
            <w:r>
              <w:rPr>
                <w:rFonts w:hint="eastAsia" w:ascii="宋体" w:hAnsi="宋体"/>
                <w:color w:val="auto"/>
                <w:sz w:val="22"/>
                <w:szCs w:val="22"/>
                <w:highlight w:val="none"/>
                <w:lang w:val="en-US" w:eastAsia="zh-CN"/>
              </w:rPr>
              <w:t>3</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突击队防弹面罩</w:t>
            </w:r>
          </w:p>
        </w:tc>
        <w:tc>
          <w:tcPr>
            <w:tcW w:w="850" w:type="pct"/>
            <w:tcBorders>
              <w:tl2br w:val="nil"/>
              <w:tr2bl w:val="nil"/>
            </w:tcBorders>
            <w:shd w:val="clear" w:color="auto" w:fill="auto"/>
            <w:vAlign w:val="center"/>
          </w:tcPr>
          <w:p>
            <w:pPr>
              <w:pStyle w:val="202"/>
              <w:jc w:val="center"/>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lang w:val="en-US" w:eastAsia="zh-CN"/>
              </w:rPr>
              <w:t>5</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ascii="宋体" w:hAnsi="宋体"/>
                <w:color w:val="auto"/>
                <w:sz w:val="22"/>
                <w:szCs w:val="22"/>
                <w:highlight w:val="none"/>
              </w:rPr>
              <w:t>5</w:t>
            </w:r>
            <w:r>
              <w:rPr>
                <w:rFonts w:hint="eastAsia" w:ascii="宋体" w:hAnsi="宋体"/>
                <w:color w:val="auto"/>
                <w:sz w:val="22"/>
                <w:szCs w:val="22"/>
                <w:highlight w:val="none"/>
                <w:lang w:val="en-US" w:eastAsia="zh-CN"/>
              </w:rPr>
              <w:t>4</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防暴钢叉</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5</w:t>
            </w:r>
            <w:r>
              <w:rPr>
                <w:rFonts w:hint="eastAsia" w:ascii="宋体" w:hAnsi="宋体"/>
                <w:color w:val="auto"/>
                <w:sz w:val="22"/>
                <w:szCs w:val="22"/>
                <w:highlight w:val="none"/>
                <w:lang w:val="en-US" w:eastAsia="zh-CN"/>
              </w:rPr>
              <w:t>5</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双筒夜视仪（已</w:t>
            </w:r>
            <w:r>
              <w:rPr>
                <w:rFonts w:ascii="宋体" w:hAnsi="宋体"/>
                <w:color w:val="auto"/>
                <w:sz w:val="22"/>
                <w:szCs w:val="22"/>
                <w:highlight w:val="none"/>
              </w:rPr>
              <w:t>换产品</w:t>
            </w:r>
            <w:r>
              <w:rPr>
                <w:rFonts w:hint="eastAsia" w:ascii="宋体" w:hAnsi="宋体"/>
                <w:color w:val="auto"/>
                <w:sz w:val="22"/>
                <w:szCs w:val="22"/>
                <w:highlight w:val="none"/>
              </w:rPr>
              <w:t>）</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ascii="宋体" w:hAnsi="宋体"/>
                <w:color w:val="auto"/>
                <w:sz w:val="22"/>
                <w:szCs w:val="22"/>
                <w:highlight w:val="none"/>
              </w:rPr>
              <w:t>5</w:t>
            </w:r>
            <w:r>
              <w:rPr>
                <w:rFonts w:hint="eastAsia" w:ascii="宋体" w:hAnsi="宋体"/>
                <w:color w:val="auto"/>
                <w:sz w:val="22"/>
                <w:szCs w:val="22"/>
                <w:highlight w:val="none"/>
                <w:lang w:val="en-US" w:eastAsia="zh-CN"/>
              </w:rPr>
              <w:t>6</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防刺服</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ascii="宋体" w:hAnsi="宋体"/>
                <w:color w:val="auto"/>
                <w:sz w:val="22"/>
                <w:szCs w:val="22"/>
                <w:highlight w:val="none"/>
              </w:rPr>
              <w:t>5</w:t>
            </w:r>
            <w:r>
              <w:rPr>
                <w:rFonts w:hint="eastAsia" w:ascii="宋体" w:hAnsi="宋体"/>
                <w:color w:val="auto"/>
                <w:sz w:val="22"/>
                <w:szCs w:val="22"/>
                <w:highlight w:val="none"/>
                <w:lang w:val="en-US" w:eastAsia="zh-CN"/>
              </w:rPr>
              <w:t>7</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警用防暴盾牌</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5</w:t>
            </w:r>
            <w:r>
              <w:rPr>
                <w:rFonts w:hint="eastAsia" w:ascii="宋体" w:hAnsi="宋体"/>
                <w:color w:val="auto"/>
                <w:sz w:val="22"/>
                <w:szCs w:val="22"/>
                <w:highlight w:val="none"/>
                <w:lang w:val="en-US" w:eastAsia="zh-CN"/>
              </w:rPr>
              <w:t>8</w:t>
            </w:r>
          </w:p>
        </w:tc>
        <w:tc>
          <w:tcPr>
            <w:tcW w:w="2452"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新型催泪瓦斯</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100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lang w:val="en-US" w:eastAsia="zh-CN"/>
              </w:rPr>
              <w:t>59</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软式内穿防弹背心</w:t>
            </w:r>
          </w:p>
        </w:tc>
        <w:tc>
          <w:tcPr>
            <w:tcW w:w="850" w:type="pct"/>
            <w:tcBorders>
              <w:tl2br w:val="nil"/>
              <w:tr2bl w:val="nil"/>
            </w:tcBorders>
            <w:shd w:val="clear" w:color="auto" w:fill="auto"/>
            <w:vAlign w:val="center"/>
          </w:tcPr>
          <w:p>
            <w:pPr>
              <w:spacing w:line="360"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6</w:t>
            </w:r>
            <w:r>
              <w:rPr>
                <w:rFonts w:hint="eastAsia" w:ascii="宋体" w:hAnsi="宋体"/>
                <w:color w:val="auto"/>
                <w:sz w:val="22"/>
                <w:szCs w:val="22"/>
                <w:highlight w:val="none"/>
                <w:lang w:val="en-US" w:eastAsia="zh-CN"/>
              </w:rPr>
              <w:t>0</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防弹头盔</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6</w:t>
            </w:r>
            <w:r>
              <w:rPr>
                <w:rFonts w:hint="eastAsia" w:ascii="宋体" w:hAnsi="宋体"/>
                <w:color w:val="auto"/>
                <w:sz w:val="22"/>
                <w:szCs w:val="22"/>
                <w:highlight w:val="none"/>
                <w:lang w:val="en-US" w:eastAsia="zh-CN"/>
              </w:rPr>
              <w:t>1</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防弹衣</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6</w:t>
            </w:r>
            <w:r>
              <w:rPr>
                <w:rFonts w:hint="eastAsia" w:ascii="宋体" w:hAnsi="宋体"/>
                <w:color w:val="auto"/>
                <w:sz w:val="22"/>
                <w:szCs w:val="22"/>
                <w:highlight w:val="none"/>
                <w:lang w:val="en-US" w:eastAsia="zh-CN"/>
              </w:rPr>
              <w:t>2</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防暴盔甲服（头盔含通讯）</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ascii="宋体" w:hAnsi="宋体"/>
                <w:color w:val="auto"/>
                <w:sz w:val="22"/>
                <w:szCs w:val="22"/>
                <w:highlight w:val="none"/>
              </w:rPr>
              <w:t>6</w:t>
            </w:r>
            <w:r>
              <w:rPr>
                <w:rFonts w:hint="eastAsia" w:ascii="宋体" w:hAnsi="宋体"/>
                <w:color w:val="auto"/>
                <w:sz w:val="22"/>
                <w:szCs w:val="22"/>
                <w:highlight w:val="none"/>
                <w:lang w:val="en-US" w:eastAsia="zh-CN"/>
              </w:rPr>
              <w:t>3</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窖井钩</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6</w:t>
            </w:r>
            <w:r>
              <w:rPr>
                <w:rFonts w:hint="eastAsia" w:ascii="宋体" w:hAnsi="宋体"/>
                <w:color w:val="auto"/>
                <w:sz w:val="22"/>
                <w:szCs w:val="22"/>
                <w:highlight w:val="none"/>
                <w:lang w:val="en-US" w:eastAsia="zh-CN"/>
              </w:rPr>
              <w:t>4</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伸缩式攀登梯</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6</w:t>
            </w:r>
            <w:r>
              <w:rPr>
                <w:rFonts w:hint="eastAsia" w:ascii="宋体" w:hAnsi="宋体"/>
                <w:color w:val="auto"/>
                <w:sz w:val="22"/>
                <w:szCs w:val="22"/>
                <w:highlight w:val="none"/>
                <w:lang w:val="en-US" w:eastAsia="zh-CN"/>
              </w:rPr>
              <w:t>5</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搜索头灯</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s="宋体"/>
                <w:color w:val="auto"/>
                <w:kern w:val="0"/>
                <w:sz w:val="22"/>
                <w:szCs w:val="22"/>
                <w:highlight w:val="none"/>
                <w:lang w:val="en-US" w:eastAsia="zh-CN"/>
              </w:rPr>
              <w:t>10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ascii="宋体" w:hAnsi="宋体"/>
                <w:color w:val="auto"/>
                <w:sz w:val="22"/>
                <w:szCs w:val="22"/>
                <w:highlight w:val="none"/>
              </w:rPr>
              <w:t>6</w:t>
            </w:r>
            <w:r>
              <w:rPr>
                <w:rFonts w:hint="eastAsia" w:ascii="宋体" w:hAnsi="宋体"/>
                <w:color w:val="auto"/>
                <w:sz w:val="22"/>
                <w:szCs w:val="22"/>
                <w:highlight w:val="none"/>
                <w:lang w:val="en-US" w:eastAsia="zh-CN"/>
              </w:rPr>
              <w:t>6</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手提</w:t>
            </w:r>
            <w:r>
              <w:rPr>
                <w:rFonts w:ascii="宋体" w:hAnsi="宋体"/>
                <w:color w:val="auto"/>
                <w:sz w:val="22"/>
                <w:szCs w:val="22"/>
                <w:highlight w:val="none"/>
              </w:rPr>
              <w:t>式</w:t>
            </w:r>
            <w:r>
              <w:rPr>
                <w:rFonts w:hint="eastAsia" w:ascii="宋体" w:hAnsi="宋体"/>
                <w:color w:val="auto"/>
                <w:sz w:val="22"/>
                <w:szCs w:val="22"/>
                <w:highlight w:val="none"/>
              </w:rPr>
              <w:t>搜索灯</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s="宋体"/>
                <w:color w:val="auto"/>
                <w:kern w:val="0"/>
                <w:sz w:val="22"/>
                <w:szCs w:val="22"/>
                <w:highlight w:val="none"/>
                <w:lang w:val="en-US" w:eastAsia="zh-CN"/>
              </w:rPr>
              <w:t>10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6</w:t>
            </w:r>
            <w:r>
              <w:rPr>
                <w:rFonts w:hint="eastAsia" w:ascii="宋体" w:hAnsi="宋体"/>
                <w:color w:val="auto"/>
                <w:sz w:val="22"/>
                <w:szCs w:val="22"/>
                <w:highlight w:val="none"/>
                <w:lang w:val="en-US" w:eastAsia="zh-CN"/>
              </w:rPr>
              <w:t>7</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天棚检查镜</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lang w:val="en-US" w:eastAsia="zh-CN"/>
              </w:rPr>
              <w:t>68</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防爆围栏毯</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lang w:val="en-US" w:eastAsia="zh-CN"/>
              </w:rPr>
              <w:t>69</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手持式金属探测仪</w:t>
            </w:r>
          </w:p>
        </w:tc>
        <w:tc>
          <w:tcPr>
            <w:tcW w:w="850" w:type="pct"/>
            <w:tcBorders>
              <w:tl2br w:val="nil"/>
              <w:tr2bl w:val="nil"/>
            </w:tcBorders>
            <w:shd w:val="clear" w:color="auto" w:fill="auto"/>
            <w:vAlign w:val="center"/>
          </w:tcPr>
          <w:p>
            <w:pPr>
              <w:spacing w:line="276" w:lineRule="auto"/>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7</w:t>
            </w:r>
            <w:r>
              <w:rPr>
                <w:rFonts w:hint="eastAsia" w:ascii="宋体" w:hAnsi="宋体"/>
                <w:color w:val="auto"/>
                <w:sz w:val="22"/>
                <w:szCs w:val="22"/>
                <w:highlight w:val="none"/>
                <w:lang w:val="en-US" w:eastAsia="zh-CN"/>
              </w:rPr>
              <w:t>0</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无磁探针</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7</w:t>
            </w:r>
            <w:r>
              <w:rPr>
                <w:rFonts w:hint="eastAsia" w:ascii="宋体" w:hAnsi="宋体"/>
                <w:color w:val="auto"/>
                <w:sz w:val="22"/>
                <w:szCs w:val="22"/>
                <w:highlight w:val="none"/>
                <w:lang w:val="en-US" w:eastAsia="zh-CN"/>
              </w:rPr>
              <w:t>1</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扫雷器</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ascii="宋体" w:hAnsi="宋体"/>
                <w:color w:val="auto"/>
                <w:sz w:val="22"/>
                <w:szCs w:val="22"/>
                <w:highlight w:val="none"/>
              </w:rPr>
              <w:t>7</w:t>
            </w:r>
            <w:r>
              <w:rPr>
                <w:rFonts w:hint="eastAsia" w:ascii="宋体" w:hAnsi="宋体"/>
                <w:color w:val="auto"/>
                <w:sz w:val="22"/>
                <w:szCs w:val="22"/>
                <w:highlight w:val="none"/>
                <w:lang w:val="en-US" w:eastAsia="zh-CN"/>
              </w:rPr>
              <w:t>2</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手提式灭火器</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7</w:t>
            </w:r>
            <w:r>
              <w:rPr>
                <w:rFonts w:hint="eastAsia" w:ascii="宋体" w:hAnsi="宋体"/>
                <w:color w:val="auto"/>
                <w:sz w:val="22"/>
                <w:szCs w:val="22"/>
                <w:highlight w:val="none"/>
                <w:lang w:val="en-US" w:eastAsia="zh-CN"/>
              </w:rPr>
              <w:t>3</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警告标语旗</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lang w:val="en-US" w:eastAsia="zh-CN"/>
              </w:rPr>
              <w:t>74</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喊话器</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kern w:val="0"/>
                <w:sz w:val="22"/>
                <w:szCs w:val="22"/>
                <w:highlight w:val="none"/>
                <w:lang w:val="en-US" w:eastAsia="zh-CN" w:bidi="ar-SA"/>
              </w:rPr>
            </w:pPr>
            <w:r>
              <w:rPr>
                <w:rFonts w:hint="eastAsia" w:ascii="宋体" w:hAnsi="宋体"/>
                <w:color w:val="auto"/>
                <w:sz w:val="22"/>
                <w:szCs w:val="22"/>
                <w:highlight w:val="none"/>
              </w:rPr>
              <w:t>7</w:t>
            </w:r>
            <w:r>
              <w:rPr>
                <w:rFonts w:hint="eastAsia" w:ascii="宋体" w:hAnsi="宋体"/>
                <w:color w:val="auto"/>
                <w:sz w:val="22"/>
                <w:szCs w:val="22"/>
                <w:highlight w:val="none"/>
                <w:lang w:val="en-US" w:eastAsia="zh-CN"/>
              </w:rPr>
              <w:t>5</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急救包</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20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rPr>
              <w:t>7</w:t>
            </w:r>
            <w:r>
              <w:rPr>
                <w:rFonts w:hint="eastAsia" w:ascii="宋体" w:hAnsi="宋体"/>
                <w:color w:val="auto"/>
                <w:sz w:val="22"/>
                <w:szCs w:val="22"/>
                <w:highlight w:val="none"/>
                <w:lang w:val="en-US" w:eastAsia="zh-CN"/>
              </w:rPr>
              <w:t>6</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应急照明灯</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ascii="宋体" w:hAnsi="宋体"/>
                <w:color w:val="auto"/>
                <w:sz w:val="22"/>
                <w:szCs w:val="22"/>
                <w:highlight w:val="none"/>
              </w:rPr>
              <w:t>7</w:t>
            </w:r>
            <w:r>
              <w:rPr>
                <w:rFonts w:hint="eastAsia" w:ascii="宋体" w:hAnsi="宋体"/>
                <w:color w:val="auto"/>
                <w:sz w:val="22"/>
                <w:szCs w:val="22"/>
                <w:highlight w:val="none"/>
                <w:lang w:val="en-US" w:eastAsia="zh-CN"/>
              </w:rPr>
              <w:t>7</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圆盾</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30</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lang w:val="en-US" w:eastAsia="zh-CN"/>
              </w:rPr>
              <w:t>78</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手持式声波驱散器</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lang w:val="en-US" w:eastAsia="zh-CN"/>
              </w:rPr>
              <w:t>79</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10人式警用帐篷</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5</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846" w:type="pct"/>
            <w:tcBorders>
              <w:tl2br w:val="nil"/>
              <w:tr2bl w:val="nil"/>
            </w:tcBorders>
            <w:shd w:val="clear" w:color="auto" w:fill="auto"/>
            <w:vAlign w:val="center"/>
          </w:tcPr>
          <w:p>
            <w:pPr>
              <w:pStyle w:val="202"/>
              <w:jc w:val="center"/>
              <w:rPr>
                <w:rFonts w:hint="eastAsia" w:ascii="宋体" w:hAnsi="宋体" w:eastAsia="宋体" w:cs="Times New Roman"/>
                <w:color w:val="auto"/>
                <w:sz w:val="22"/>
                <w:szCs w:val="22"/>
                <w:highlight w:val="none"/>
                <w:lang w:val="en-US" w:eastAsia="zh-CN" w:bidi="ar-SA"/>
              </w:rPr>
            </w:pPr>
            <w:r>
              <w:rPr>
                <w:rFonts w:hint="eastAsia" w:ascii="宋体" w:hAnsi="宋体"/>
                <w:color w:val="auto"/>
                <w:sz w:val="22"/>
                <w:szCs w:val="22"/>
                <w:highlight w:val="none"/>
                <w:lang w:val="en-US" w:eastAsia="zh-CN"/>
              </w:rPr>
              <w:t>80</w:t>
            </w:r>
          </w:p>
        </w:tc>
        <w:tc>
          <w:tcPr>
            <w:tcW w:w="2452" w:type="pct"/>
            <w:tcBorders>
              <w:tl2br w:val="nil"/>
              <w:tr2bl w:val="nil"/>
            </w:tcBorders>
            <w:shd w:val="clear" w:color="auto" w:fill="auto"/>
            <w:vAlign w:val="center"/>
          </w:tcPr>
          <w:p>
            <w:pPr>
              <w:pStyle w:val="202"/>
              <w:jc w:val="center"/>
              <w:rPr>
                <w:rFonts w:hint="eastAsia" w:ascii="宋体" w:hAnsi="宋体" w:eastAsia="Times New Roman" w:cs="Times New Roman"/>
                <w:color w:val="auto"/>
                <w:sz w:val="22"/>
                <w:szCs w:val="22"/>
                <w:highlight w:val="none"/>
                <w:lang w:val="en-US" w:eastAsia="zh-CN" w:bidi="ar-SA"/>
              </w:rPr>
            </w:pPr>
            <w:r>
              <w:rPr>
                <w:rFonts w:hint="eastAsia" w:ascii="宋体" w:hAnsi="宋体"/>
                <w:color w:val="auto"/>
                <w:sz w:val="22"/>
                <w:szCs w:val="22"/>
                <w:highlight w:val="none"/>
              </w:rPr>
              <w:t>无人机反制类装备</w:t>
            </w:r>
          </w:p>
        </w:tc>
        <w:tc>
          <w:tcPr>
            <w:tcW w:w="850" w:type="pct"/>
            <w:tcBorders>
              <w:tl2br w:val="nil"/>
              <w:tr2bl w:val="nil"/>
            </w:tcBorders>
            <w:shd w:val="clear" w:color="auto" w:fill="auto"/>
            <w:vAlign w:val="center"/>
          </w:tcPr>
          <w:p>
            <w:pPr>
              <w:jc w:val="center"/>
              <w:rPr>
                <w:rFonts w:hint="eastAsia"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lang w:val="en-US" w:eastAsia="zh-CN"/>
              </w:rPr>
              <w:t>1</w:t>
            </w:r>
          </w:p>
        </w:tc>
        <w:tc>
          <w:tcPr>
            <w:tcW w:w="851" w:type="pct"/>
            <w:tcBorders>
              <w:tl2br w:val="nil"/>
              <w:tr2bl w:val="nil"/>
            </w:tcBorders>
            <w:shd w:val="clear" w:color="auto" w:fill="auto"/>
            <w:vAlign w:val="center"/>
          </w:tcPr>
          <w:p>
            <w:pPr>
              <w:spacing w:line="360" w:lineRule="auto"/>
              <w:jc w:val="center"/>
              <w:rPr>
                <w:rFonts w:hint="eastAsia" w:ascii="宋体" w:hAnsi="宋体" w:eastAsia="宋体" w:cs="宋体"/>
                <w:i w:val="0"/>
                <w:iCs w:val="0"/>
                <w:color w:val="auto"/>
                <w:sz w:val="22"/>
                <w:szCs w:val="22"/>
                <w:highlight w:val="none"/>
                <w:u w:val="none"/>
              </w:rPr>
            </w:pPr>
          </w:p>
        </w:tc>
      </w:tr>
    </w:tbl>
    <w:p>
      <w:pPr>
        <w:spacing w:line="360" w:lineRule="auto"/>
        <w:rPr>
          <w:rFonts w:hint="eastAsia" w:ascii="宋体" w:hAnsi="宋体" w:cs="宋体"/>
          <w:b/>
          <w:bCs/>
          <w:color w:val="auto"/>
          <w:highlight w:val="none"/>
          <w:u w:val="single"/>
        </w:rPr>
      </w:pPr>
      <w:r>
        <w:rPr>
          <w:rFonts w:hint="eastAsia" w:ascii="宋体" w:hAnsi="宋体" w:cs="宋体"/>
          <w:b/>
          <w:bCs/>
          <w:color w:val="auto"/>
          <w:highlight w:val="none"/>
          <w:u w:val="single"/>
        </w:rPr>
        <w:t>注：</w:t>
      </w:r>
    </w:p>
    <w:p>
      <w:pPr>
        <w:numPr>
          <w:ilvl w:val="0"/>
          <w:numId w:val="45"/>
        </w:numPr>
        <w:spacing w:line="360" w:lineRule="auto"/>
        <w:rPr>
          <w:rFonts w:hint="eastAsia" w:ascii="宋体" w:hAnsi="宋体" w:cs="宋体"/>
          <w:b/>
          <w:bCs/>
          <w:color w:val="auto"/>
          <w:sz w:val="22"/>
          <w:szCs w:val="22"/>
          <w:highlight w:val="none"/>
          <w:u w:val="single"/>
        </w:rPr>
      </w:pPr>
      <w:r>
        <w:rPr>
          <w:rFonts w:hint="eastAsia" w:ascii="宋体" w:hAnsi="宋体" w:cs="宋体"/>
          <w:b/>
          <w:bCs/>
          <w:color w:val="auto"/>
          <w:sz w:val="22"/>
          <w:szCs w:val="22"/>
          <w:highlight w:val="none"/>
          <w:u w:val="single"/>
        </w:rPr>
        <w:t>表内所列的数量仅作为计算投标报价使用，不代表实际用量。具体发货数量、规格以每次的采购通知单为准。</w:t>
      </w:r>
    </w:p>
    <w:p>
      <w:pPr>
        <w:numPr>
          <w:ilvl w:val="0"/>
          <w:numId w:val="45"/>
        </w:numPr>
        <w:spacing w:line="360" w:lineRule="auto"/>
        <w:rPr>
          <w:rFonts w:hint="eastAsia" w:ascii="宋体" w:hAnsi="宋体" w:cs="宋体"/>
          <w:color w:val="auto"/>
          <w:highlight w:val="none"/>
        </w:rPr>
      </w:pPr>
      <w:r>
        <w:rPr>
          <w:rFonts w:hint="eastAsia" w:ascii="宋体" w:hAnsi="宋体" w:cs="宋体"/>
          <w:b/>
          <w:bCs/>
          <w:color w:val="auto"/>
          <w:sz w:val="22"/>
          <w:szCs w:val="22"/>
          <w:highlight w:val="none"/>
          <w:u w:val="single"/>
        </w:rPr>
        <w:t>中标</w:t>
      </w:r>
      <w:r>
        <w:rPr>
          <w:rFonts w:hint="eastAsia" w:ascii="宋体" w:hAnsi="宋体" w:cs="宋体"/>
          <w:b/>
          <w:bCs/>
          <w:color w:val="auto"/>
          <w:sz w:val="22"/>
          <w:szCs w:val="22"/>
          <w:highlight w:val="none"/>
          <w:u w:val="single"/>
          <w:lang w:val="en-US" w:eastAsia="zh-CN"/>
        </w:rPr>
        <w:t>人</w:t>
      </w:r>
      <w:r>
        <w:rPr>
          <w:rFonts w:hint="eastAsia" w:ascii="宋体" w:hAnsi="宋体" w:cs="宋体"/>
          <w:b/>
          <w:bCs/>
          <w:color w:val="auto"/>
          <w:sz w:val="22"/>
          <w:szCs w:val="22"/>
          <w:highlight w:val="none"/>
          <w:u w:val="single"/>
        </w:rPr>
        <w:t>在履行合同后，采购人将以实际采购</w:t>
      </w:r>
      <w:r>
        <w:rPr>
          <w:rFonts w:hint="eastAsia" w:ascii="宋体" w:hAnsi="宋体" w:cs="宋体"/>
          <w:b/>
          <w:color w:val="auto"/>
          <w:sz w:val="22"/>
          <w:szCs w:val="22"/>
          <w:highlight w:val="none"/>
          <w:u w:val="single"/>
        </w:rPr>
        <w:t>量进行合同结算。中标</w:t>
      </w:r>
      <w:r>
        <w:rPr>
          <w:rFonts w:hint="eastAsia" w:ascii="宋体" w:hAnsi="宋体" w:cs="宋体"/>
          <w:b/>
          <w:color w:val="auto"/>
          <w:sz w:val="22"/>
          <w:szCs w:val="22"/>
          <w:highlight w:val="none"/>
          <w:u w:val="single"/>
          <w:lang w:val="en-US" w:eastAsia="zh-CN"/>
        </w:rPr>
        <w:t>人</w:t>
      </w:r>
      <w:r>
        <w:rPr>
          <w:rFonts w:hint="eastAsia" w:ascii="宋体" w:hAnsi="宋体" w:cs="宋体"/>
          <w:b/>
          <w:color w:val="auto"/>
          <w:sz w:val="22"/>
          <w:szCs w:val="22"/>
          <w:highlight w:val="none"/>
          <w:u w:val="single"/>
        </w:rPr>
        <w:t>在本投标分项报价表中所报的单价作为本次采购最终结算依据，按照实际采购量再乘以单价算出项目结算价。</w:t>
      </w:r>
    </w:p>
    <w:p>
      <w:pPr>
        <w:spacing w:line="440" w:lineRule="exact"/>
        <w:jc w:val="left"/>
        <w:rPr>
          <w:rFonts w:hint="eastAsia" w:ascii="宋体" w:hAnsi="宋体"/>
          <w:b/>
          <w:color w:val="auto"/>
          <w:sz w:val="22"/>
          <w:szCs w:val="22"/>
          <w:highlight w:val="none"/>
        </w:rPr>
      </w:pPr>
    </w:p>
    <w:p>
      <w:pPr>
        <w:spacing w:line="440" w:lineRule="exact"/>
        <w:jc w:val="left"/>
        <w:rPr>
          <w:rFonts w:ascii="宋体" w:hAnsi="宋体"/>
          <w:b/>
          <w:color w:val="auto"/>
          <w:sz w:val="22"/>
          <w:szCs w:val="22"/>
          <w:highlight w:val="none"/>
        </w:rPr>
      </w:pPr>
      <w:r>
        <w:rPr>
          <w:rFonts w:hint="eastAsia" w:ascii="宋体" w:hAnsi="宋体"/>
          <w:b/>
          <w:color w:val="auto"/>
          <w:sz w:val="22"/>
          <w:szCs w:val="22"/>
          <w:highlight w:val="none"/>
        </w:rPr>
        <w:t>三、  详细技术要求</w:t>
      </w:r>
    </w:p>
    <w:tbl>
      <w:tblPr>
        <w:tblStyle w:val="67"/>
        <w:tblW w:w="501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6"/>
        <w:gridCol w:w="814"/>
        <w:gridCol w:w="2883"/>
        <w:gridCol w:w="56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序号</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名称</w:t>
            </w:r>
          </w:p>
        </w:tc>
        <w:tc>
          <w:tcPr>
            <w:tcW w:w="1459"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lang w:val="en-US" w:eastAsia="zh-CN"/>
              </w:rPr>
              <w:t>参考</w:t>
            </w:r>
            <w:r>
              <w:rPr>
                <w:rFonts w:hint="eastAsia" w:ascii="宋体" w:hAnsi="宋体"/>
                <w:color w:val="auto"/>
                <w:sz w:val="22"/>
                <w:szCs w:val="22"/>
                <w:highlight w:val="none"/>
              </w:rPr>
              <w:t>图片</w:t>
            </w:r>
          </w:p>
        </w:tc>
        <w:tc>
          <w:tcPr>
            <w:tcW w:w="2847"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1</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橡胶</w:t>
            </w:r>
            <w:r>
              <w:rPr>
                <w:rFonts w:ascii="宋体" w:hAnsi="宋体"/>
                <w:color w:val="auto"/>
                <w:sz w:val="22"/>
                <w:szCs w:val="22"/>
                <w:highlight w:val="none"/>
              </w:rPr>
              <w:t>警棍</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582420" cy="1244600"/>
                  <wp:effectExtent l="0" t="0" r="17780" b="1270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3"/>
                          <a:stretch>
                            <a:fillRect/>
                          </a:stretch>
                        </pic:blipFill>
                        <pic:spPr>
                          <a:xfrm>
                            <a:off x="0" y="0"/>
                            <a:ext cx="1582420" cy="1244600"/>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1、类型：内裹弹簧钢丝型橡胶警棍；</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2、棍体长度：500mm（±10mm）；</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3、拉伸强度：≥7Mpa；</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4、扯x断伸长率：≥250%；</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5、采用优质高档橡胶压制而成，强度高，韧性高，便于携带和持久保存。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2</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伸缩警棍（基础型）</w:t>
            </w:r>
          </w:p>
        </w:tc>
        <w:tc>
          <w:tcPr>
            <w:tcW w:w="1459" w:type="pct"/>
            <w:noWrap w:val="0"/>
            <w:vAlign w:val="center"/>
          </w:tcPr>
          <w:p>
            <w:pPr>
              <w:spacing w:line="276" w:lineRule="auto"/>
              <w:jc w:val="center"/>
              <w:rPr>
                <w:rFonts w:ascii="宋体" w:hAnsi="宋体"/>
                <w:color w:val="auto"/>
                <w:sz w:val="22"/>
                <w:szCs w:val="22"/>
                <w:highlight w:val="none"/>
              </w:rPr>
            </w:pPr>
            <w:r>
              <w:rPr>
                <w:color w:val="auto"/>
                <w:sz w:val="22"/>
                <w:szCs w:val="22"/>
                <w:highlight w:val="none"/>
              </w:rPr>
              <w:drawing>
                <wp:inline distT="0" distB="0" distL="114300" distR="114300">
                  <wp:extent cx="1661160" cy="1257935"/>
                  <wp:effectExtent l="0" t="0" r="15240" b="1841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4"/>
                          <a:stretch>
                            <a:fillRect/>
                          </a:stretch>
                        </pic:blipFill>
                        <pic:spPr>
                          <a:xfrm>
                            <a:off x="0" y="0"/>
                            <a:ext cx="1661160" cy="1257935"/>
                          </a:xfrm>
                          <a:prstGeom prst="rect">
                            <a:avLst/>
                          </a:prstGeom>
                          <a:noFill/>
                          <a:ln>
                            <a:noFill/>
                          </a:ln>
                        </pic:spPr>
                      </pic:pic>
                    </a:graphicData>
                  </a:graphic>
                </wp:inline>
              </w:drawing>
            </w:r>
          </w:p>
        </w:tc>
        <w:tc>
          <w:tcPr>
            <w:tcW w:w="2847" w:type="pct"/>
            <w:noWrap w:val="0"/>
            <w:vAlign w:val="center"/>
          </w:tcPr>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1、执行标准：《GA 886-2018公安单警装备 伸缩警棍》；</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2、尺寸：</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收回长度：224mm±1.5mm；</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伸展长度：508mm±2mm；</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握把直径：26.5mm±0.15mm；</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中管直径：20.5mm±0.1mm；</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前管直径：16.0mm±0.1mm；</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 xml:space="preserve">3、质量：≤325g； </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4、伸缩可靠性：循环次数≥4000次；</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 xml:space="preserve">5、轴向抗拉性能：拉力值≥1500N； </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6、抗弯性能：施加≥5500N压力，保持1min；</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 xml:space="preserve">7、耐击打性能：击打次数≥3600次，极限击打性能≥10次； </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8、握把橡胶套防脱性能：插拨次数≥3600次；</w:t>
            </w:r>
          </w:p>
          <w:p>
            <w:pPr>
              <w:spacing w:line="276" w:lineRule="auto"/>
              <w:jc w:val="left"/>
              <w:rPr>
                <w:rFonts w:hint="eastAsia" w:ascii="宋体" w:hAnsi="宋体"/>
                <w:color w:val="auto"/>
                <w:sz w:val="22"/>
                <w:szCs w:val="22"/>
                <w:highlight w:val="none"/>
              </w:rPr>
            </w:pPr>
            <w:r>
              <w:rPr>
                <w:rFonts w:hint="eastAsia" w:ascii="宋体" w:hAnsi="宋体" w:cs="宋体"/>
                <w:bCs/>
                <w:color w:val="auto"/>
                <w:sz w:val="22"/>
                <w:szCs w:val="22"/>
                <w:highlight w:val="none"/>
              </w:rPr>
              <w:t>▲</w:t>
            </w:r>
            <w:r>
              <w:rPr>
                <w:rFonts w:hint="eastAsia" w:ascii="宋体" w:hAnsi="宋体"/>
                <w:color w:val="auto"/>
                <w:sz w:val="22"/>
                <w:szCs w:val="22"/>
                <w:highlight w:val="none"/>
              </w:rPr>
              <w:t>9、耐腐蚀性能：伸缩警棍经12h盐雾试验，耐腐蚀等级≥10级，应能正常伸展和缩回；（需在检测报告中体现）</w:t>
            </w:r>
          </w:p>
          <w:p>
            <w:pPr>
              <w:spacing w:line="276" w:lineRule="auto"/>
              <w:jc w:val="left"/>
              <w:rPr>
                <w:rFonts w:ascii="宋体" w:hAnsi="宋体" w:cs="宋体"/>
                <w:color w:val="auto"/>
                <w:kern w:val="0"/>
                <w:sz w:val="22"/>
                <w:szCs w:val="22"/>
                <w:highlight w:val="none"/>
              </w:rPr>
            </w:pPr>
            <w:r>
              <w:rPr>
                <w:rFonts w:hint="eastAsia" w:ascii="宋体" w:hAnsi="宋体" w:cs="宋体"/>
                <w:bCs/>
                <w:color w:val="auto"/>
                <w:sz w:val="22"/>
                <w:szCs w:val="22"/>
                <w:highlight w:val="none"/>
              </w:rPr>
              <w:t>▲</w:t>
            </w:r>
            <w:r>
              <w:rPr>
                <w:rFonts w:hint="eastAsia" w:ascii="宋体" w:hAnsi="宋体"/>
                <w:color w:val="auto"/>
                <w:sz w:val="22"/>
                <w:szCs w:val="22"/>
                <w:highlight w:val="none"/>
              </w:rPr>
              <w:t>10、须提供开标日期前两年由</w:t>
            </w:r>
            <w:r>
              <w:rPr>
                <w:rFonts w:hint="eastAsia" w:ascii="宋体" w:hAnsi="宋体" w:cs="宋体"/>
                <w:color w:val="auto"/>
                <w:kern w:val="0"/>
                <w:sz w:val="22"/>
                <w:szCs w:val="22"/>
                <w:highlight w:val="none"/>
              </w:rPr>
              <w:t>公安部特种警用装备质量监督检测中心出具的检测报告</w:t>
            </w:r>
            <w:r>
              <w:rPr>
                <w:rFonts w:hint="eastAsia" w:ascii="宋体" w:hAnsi="宋体" w:cs="宋体"/>
                <w:color w:val="auto"/>
                <w:sz w:val="22"/>
                <w:szCs w:val="22"/>
                <w:highlight w:val="none"/>
              </w:rPr>
              <w:t>复印件</w:t>
            </w:r>
          </w:p>
          <w:p>
            <w:pPr>
              <w:spacing w:line="276" w:lineRule="auto"/>
              <w:jc w:val="left"/>
              <w:rPr>
                <w:rFonts w:hint="eastAsia" w:ascii="宋体" w:hAnsi="宋体"/>
                <w:color w:val="auto"/>
                <w:sz w:val="22"/>
                <w:szCs w:val="22"/>
                <w:highlight w:val="none"/>
              </w:rPr>
            </w:pPr>
            <w:r>
              <w:rPr>
                <w:rFonts w:hint="eastAsia" w:ascii="宋体" w:hAnsi="宋体" w:cs="宋体"/>
                <w:color w:val="auto"/>
                <w:kern w:val="0"/>
                <w:sz w:val="22"/>
                <w:szCs w:val="22"/>
                <w:highlight w:val="none"/>
              </w:rPr>
              <w:t>▲1</w:t>
            </w:r>
            <w:r>
              <w:rPr>
                <w:rFonts w:ascii="宋体" w:hAnsi="宋体" w:cs="宋体"/>
                <w:color w:val="auto"/>
                <w:kern w:val="0"/>
                <w:sz w:val="22"/>
                <w:szCs w:val="22"/>
                <w:highlight w:val="none"/>
              </w:rPr>
              <w:t>1</w:t>
            </w:r>
            <w:r>
              <w:rPr>
                <w:rFonts w:hint="eastAsia" w:ascii="宋体" w:hAnsi="宋体" w:cs="宋体"/>
                <w:color w:val="auto"/>
                <w:kern w:val="0"/>
                <w:sz w:val="22"/>
                <w:szCs w:val="22"/>
                <w:highlight w:val="none"/>
              </w:rPr>
              <w:t>、投标现场提供样品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3</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新型手铐</w:t>
            </w:r>
          </w:p>
        </w:tc>
        <w:tc>
          <w:tcPr>
            <w:tcW w:w="1459" w:type="pct"/>
            <w:noWrap w:val="0"/>
            <w:vAlign w:val="center"/>
          </w:tcPr>
          <w:p>
            <w:pPr>
              <w:spacing w:line="276" w:lineRule="auto"/>
              <w:jc w:val="center"/>
              <w:rPr>
                <w:rFonts w:ascii="宋体" w:hAnsi="宋体"/>
                <w:color w:val="auto"/>
                <w:sz w:val="22"/>
                <w:szCs w:val="22"/>
                <w:highlight w:val="none"/>
              </w:rPr>
            </w:pPr>
            <w:r>
              <w:rPr>
                <w:color w:val="auto"/>
                <w:sz w:val="22"/>
                <w:szCs w:val="22"/>
                <w:highlight w:val="none"/>
              </w:rPr>
              <w:drawing>
                <wp:inline distT="0" distB="0" distL="114300" distR="114300">
                  <wp:extent cx="1663700" cy="857885"/>
                  <wp:effectExtent l="0" t="0" r="12700" b="1841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5"/>
                          <a:stretch>
                            <a:fillRect/>
                          </a:stretch>
                        </pic:blipFill>
                        <pic:spPr>
                          <a:xfrm>
                            <a:off x="0" y="0"/>
                            <a:ext cx="1663700" cy="857885"/>
                          </a:xfrm>
                          <a:prstGeom prst="rect">
                            <a:avLst/>
                          </a:prstGeom>
                          <a:noFill/>
                          <a:ln>
                            <a:noFill/>
                          </a:ln>
                        </pic:spPr>
                      </pic:pic>
                    </a:graphicData>
                  </a:graphic>
                </wp:inline>
              </w:drawing>
            </w:r>
          </w:p>
        </w:tc>
        <w:tc>
          <w:tcPr>
            <w:tcW w:w="2847" w:type="pct"/>
            <w:noWrap w:val="0"/>
            <w:vAlign w:val="center"/>
          </w:tcPr>
          <w:p>
            <w:pPr>
              <w:spacing w:line="276" w:lineRule="auto"/>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1、执行标准：《GA1512-2018公安单警装备 金属手铐》；</w:t>
            </w:r>
          </w:p>
          <w:p>
            <w:pPr>
              <w:spacing w:line="276" w:lineRule="auto"/>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2、尺寸：</w:t>
            </w:r>
          </w:p>
          <w:p>
            <w:pPr>
              <w:spacing w:line="276" w:lineRule="auto"/>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两铐体间的距离 L：52~56mm；</w:t>
            </w:r>
          </w:p>
          <w:p>
            <w:pPr>
              <w:spacing w:line="276" w:lineRule="auto"/>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啮合三齿状态下手铐的最小孔径 H：55mm±2mm；</w:t>
            </w:r>
          </w:p>
          <w:p>
            <w:pPr>
              <w:spacing w:line="276" w:lineRule="auto"/>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啮合三齿状态下手铐的最大孔径 B：82mm±2mm；</w:t>
            </w:r>
          </w:p>
          <w:p>
            <w:pPr>
              <w:spacing w:line="276" w:lineRule="auto"/>
              <w:jc w:val="left"/>
              <w:rPr>
                <w:rFonts w:hint="eastAsia" w:ascii="宋体" w:hAnsi="宋体" w:cs="宋体"/>
                <w:color w:val="auto"/>
                <w:sz w:val="22"/>
                <w:szCs w:val="22"/>
                <w:highlight w:val="none"/>
              </w:rPr>
            </w:pPr>
            <w:r>
              <w:rPr>
                <w:rFonts w:hint="eastAsia" w:ascii="宋体" w:hAnsi="宋体" w:cs="宋体"/>
                <w:bCs/>
                <w:color w:val="auto"/>
                <w:sz w:val="22"/>
                <w:szCs w:val="22"/>
                <w:highlight w:val="none"/>
              </w:rPr>
              <w:t>▲</w:t>
            </w:r>
            <w:r>
              <w:rPr>
                <w:rFonts w:hint="eastAsia" w:ascii="宋体" w:hAnsi="宋体" w:cs="宋体"/>
                <w:color w:val="auto"/>
                <w:sz w:val="22"/>
                <w:szCs w:val="22"/>
                <w:highlight w:val="none"/>
              </w:rPr>
              <w:t>3、质量：（不含钥匙和包装）≤225g；（需在检测报告中体现）</w:t>
            </w:r>
          </w:p>
          <w:p>
            <w:pPr>
              <w:spacing w:line="276" w:lineRule="auto"/>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4、金属手铐铐体与扇梁铆接处晃动量应≤0.2mm； </w:t>
            </w:r>
          </w:p>
          <w:p>
            <w:pPr>
              <w:spacing w:line="276" w:lineRule="auto"/>
              <w:jc w:val="left"/>
              <w:rPr>
                <w:rFonts w:hint="eastAsia" w:ascii="宋体" w:hAnsi="宋体" w:cs="宋体"/>
                <w:color w:val="auto"/>
                <w:sz w:val="22"/>
                <w:szCs w:val="22"/>
                <w:highlight w:val="none"/>
              </w:rPr>
            </w:pPr>
            <w:r>
              <w:rPr>
                <w:rFonts w:hint="eastAsia" w:ascii="宋体" w:hAnsi="宋体" w:cs="宋体"/>
                <w:bCs/>
                <w:color w:val="auto"/>
                <w:sz w:val="22"/>
                <w:szCs w:val="22"/>
                <w:highlight w:val="none"/>
              </w:rPr>
              <w:t>▲</w:t>
            </w:r>
            <w:r>
              <w:rPr>
                <w:rFonts w:hint="eastAsia" w:ascii="宋体" w:hAnsi="宋体" w:cs="宋体"/>
                <w:color w:val="auto"/>
                <w:sz w:val="22"/>
                <w:szCs w:val="22"/>
                <w:highlight w:val="none"/>
              </w:rPr>
              <w:t xml:space="preserve">5、反锁定位：≥5500N；（需在检测报告中体现） </w:t>
            </w:r>
          </w:p>
          <w:p>
            <w:pPr>
              <w:spacing w:line="276" w:lineRule="auto"/>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6、防拨净工作时间：≥2min；</w:t>
            </w:r>
          </w:p>
          <w:p>
            <w:pPr>
              <w:spacing w:line="276" w:lineRule="auto"/>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7、钥匙孔双面设计，可以从任意一面开启；</w:t>
            </w:r>
          </w:p>
          <w:p>
            <w:pPr>
              <w:spacing w:line="276" w:lineRule="auto"/>
              <w:jc w:val="left"/>
              <w:rPr>
                <w:rFonts w:hint="eastAsia" w:ascii="宋体" w:hAnsi="宋体" w:cs="宋体"/>
                <w:color w:val="auto"/>
                <w:sz w:val="22"/>
                <w:szCs w:val="22"/>
                <w:highlight w:val="none"/>
              </w:rPr>
            </w:pPr>
            <w:r>
              <w:rPr>
                <w:rFonts w:hint="eastAsia" w:ascii="宋体" w:hAnsi="宋体" w:cs="宋体"/>
                <w:bCs/>
                <w:color w:val="auto"/>
                <w:sz w:val="22"/>
                <w:szCs w:val="22"/>
                <w:highlight w:val="none"/>
              </w:rPr>
              <w:t>▲</w:t>
            </w:r>
            <w:r>
              <w:rPr>
                <w:rFonts w:hint="eastAsia" w:ascii="宋体" w:hAnsi="宋体" w:cs="宋体"/>
                <w:color w:val="auto"/>
                <w:sz w:val="22"/>
                <w:szCs w:val="22"/>
                <w:highlight w:val="none"/>
              </w:rPr>
              <w:t>8、耐用度：≥11000次；（需在检测报告中体现）</w:t>
            </w:r>
          </w:p>
          <w:p>
            <w:pPr>
              <w:spacing w:line="276" w:lineRule="auto"/>
              <w:jc w:val="left"/>
              <w:rPr>
                <w:rFonts w:hint="eastAsia" w:ascii="宋体" w:hAnsi="宋体" w:cs="宋体"/>
                <w:color w:val="auto"/>
                <w:sz w:val="22"/>
                <w:szCs w:val="22"/>
                <w:highlight w:val="none"/>
              </w:rPr>
            </w:pPr>
            <w:r>
              <w:rPr>
                <w:rFonts w:hint="eastAsia" w:ascii="宋体" w:hAnsi="宋体" w:cs="宋体"/>
                <w:bCs/>
                <w:color w:val="auto"/>
                <w:sz w:val="22"/>
                <w:szCs w:val="22"/>
                <w:highlight w:val="none"/>
              </w:rPr>
              <w:t>▲</w:t>
            </w:r>
            <w:r>
              <w:rPr>
                <w:rFonts w:hint="eastAsia" w:ascii="宋体" w:hAnsi="宋体" w:cs="宋体"/>
                <w:color w:val="auto"/>
                <w:sz w:val="22"/>
                <w:szCs w:val="22"/>
                <w:highlight w:val="none"/>
              </w:rPr>
              <w:t>9、静拉力强度：在锁闭状态下，纵向施加≥4000N、横向施加≥4600N静拉力并保持30s，手铐不被拉开，并不产生永久性变形或裂纹；（需在检测报告中体现）</w:t>
            </w:r>
          </w:p>
          <w:p>
            <w:pPr>
              <w:spacing w:line="276" w:lineRule="auto"/>
              <w:jc w:val="left"/>
              <w:rPr>
                <w:rFonts w:hint="eastAsia" w:ascii="宋体" w:hAnsi="宋体" w:cs="宋体"/>
                <w:color w:val="auto"/>
                <w:sz w:val="22"/>
                <w:szCs w:val="22"/>
                <w:highlight w:val="none"/>
              </w:rPr>
            </w:pPr>
            <w:r>
              <w:rPr>
                <w:rFonts w:hint="eastAsia" w:ascii="宋体" w:hAnsi="宋体" w:cs="宋体"/>
                <w:bCs/>
                <w:color w:val="auto"/>
                <w:sz w:val="22"/>
                <w:szCs w:val="22"/>
                <w:highlight w:val="none"/>
              </w:rPr>
              <w:t>▲</w:t>
            </w:r>
            <w:r>
              <w:rPr>
                <w:rFonts w:hint="eastAsia" w:ascii="宋体" w:hAnsi="宋体" w:cs="宋体"/>
                <w:color w:val="auto"/>
                <w:sz w:val="22"/>
                <w:szCs w:val="22"/>
                <w:highlight w:val="none"/>
              </w:rPr>
              <w:t>10、固定连接件强度：扇梁铆钉施加≥10000N的静压力，保持30s，固定连接件不松脱；（需在检测报告中体现）</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11、耐腐蚀性：连续喷雾周期12h时，耐腐蚀等级≥10级；</w:t>
            </w:r>
          </w:p>
          <w:p>
            <w:pPr>
              <w:spacing w:line="276" w:lineRule="auto"/>
              <w:jc w:val="left"/>
              <w:rPr>
                <w:rFonts w:ascii="宋体" w:hAnsi="宋体" w:cs="宋体"/>
                <w:color w:val="auto"/>
                <w:kern w:val="0"/>
                <w:sz w:val="22"/>
                <w:szCs w:val="22"/>
                <w:highlight w:val="none"/>
              </w:rPr>
            </w:pPr>
            <w:r>
              <w:rPr>
                <w:rFonts w:hint="eastAsia" w:ascii="宋体" w:hAnsi="宋体" w:cs="宋体"/>
                <w:bCs/>
                <w:color w:val="auto"/>
                <w:sz w:val="22"/>
                <w:szCs w:val="22"/>
                <w:highlight w:val="none"/>
              </w:rPr>
              <w:t>▲</w:t>
            </w:r>
            <w:r>
              <w:rPr>
                <w:rFonts w:hint="eastAsia" w:ascii="宋体" w:hAnsi="宋体" w:cs="宋体"/>
                <w:color w:val="auto"/>
                <w:sz w:val="22"/>
                <w:szCs w:val="22"/>
                <w:highlight w:val="none"/>
              </w:rPr>
              <w:t>12、</w:t>
            </w:r>
            <w:r>
              <w:rPr>
                <w:rFonts w:hint="eastAsia" w:ascii="宋体" w:hAnsi="宋体"/>
                <w:color w:val="auto"/>
                <w:sz w:val="22"/>
                <w:szCs w:val="22"/>
                <w:highlight w:val="none"/>
              </w:rPr>
              <w:t>须提供开标日期前两年由</w:t>
            </w:r>
            <w:r>
              <w:rPr>
                <w:rFonts w:hint="eastAsia" w:ascii="宋体" w:hAnsi="宋体" w:cs="宋体"/>
                <w:color w:val="auto"/>
                <w:kern w:val="0"/>
                <w:sz w:val="22"/>
                <w:szCs w:val="22"/>
                <w:highlight w:val="none"/>
              </w:rPr>
              <w:t>公安部特种警用装备质量监督检测中心出具的检测报告</w:t>
            </w:r>
            <w:r>
              <w:rPr>
                <w:rFonts w:hint="eastAsia" w:ascii="宋体" w:hAnsi="宋体" w:cs="宋体"/>
                <w:color w:val="auto"/>
                <w:sz w:val="22"/>
                <w:szCs w:val="22"/>
                <w:highlight w:val="none"/>
              </w:rPr>
              <w:t>复印件</w:t>
            </w:r>
          </w:p>
          <w:p>
            <w:pPr>
              <w:spacing w:line="276" w:lineRule="auto"/>
              <w:jc w:val="left"/>
              <w:rPr>
                <w:rFonts w:hint="eastAsia" w:ascii="宋体" w:hAnsi="宋体" w:cs="宋体"/>
                <w:color w:val="auto"/>
                <w:sz w:val="22"/>
                <w:szCs w:val="22"/>
                <w:highlight w:val="none"/>
              </w:rPr>
            </w:pPr>
            <w:r>
              <w:rPr>
                <w:rFonts w:hint="eastAsia" w:ascii="宋体" w:hAnsi="宋体" w:cs="宋体"/>
                <w:color w:val="auto"/>
                <w:kern w:val="0"/>
                <w:sz w:val="22"/>
                <w:szCs w:val="22"/>
                <w:highlight w:val="none"/>
              </w:rPr>
              <w:t>▲1</w:t>
            </w:r>
            <w:r>
              <w:rPr>
                <w:rFonts w:ascii="宋体" w:hAnsi="宋体" w:cs="宋体"/>
                <w:color w:val="auto"/>
                <w:kern w:val="0"/>
                <w:sz w:val="22"/>
                <w:szCs w:val="22"/>
                <w:highlight w:val="none"/>
              </w:rPr>
              <w:t>3</w:t>
            </w:r>
            <w:r>
              <w:rPr>
                <w:rFonts w:hint="eastAsia" w:ascii="宋体" w:hAnsi="宋体" w:cs="宋体"/>
                <w:color w:val="auto"/>
                <w:kern w:val="0"/>
                <w:sz w:val="22"/>
                <w:szCs w:val="22"/>
                <w:highlight w:val="none"/>
              </w:rPr>
              <w:t>、投标现场提供样品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4</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新型多功能腰带（六</w:t>
            </w:r>
            <w:r>
              <w:rPr>
                <w:rFonts w:ascii="宋体" w:hAnsi="宋体"/>
                <w:color w:val="auto"/>
                <w:sz w:val="22"/>
                <w:szCs w:val="22"/>
                <w:highlight w:val="none"/>
              </w:rPr>
              <w:t>件套</w:t>
            </w:r>
            <w:r>
              <w:rPr>
                <w:rFonts w:hint="eastAsia" w:ascii="宋体" w:hAnsi="宋体"/>
                <w:color w:val="auto"/>
                <w:sz w:val="22"/>
                <w:szCs w:val="22"/>
                <w:highlight w:val="none"/>
              </w:rPr>
              <w:t>）</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534160" cy="866775"/>
                  <wp:effectExtent l="0" t="0" r="8890" b="9525"/>
                  <wp:docPr id="12" name="图片 4" descr="BW[(2U2MYJQVG}5Z2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BW[(2U2MYJQVG}5Z2_M{E)L"/>
                          <pic:cNvPicPr>
                            <a:picLocks noChangeAspect="1"/>
                          </pic:cNvPicPr>
                        </pic:nvPicPr>
                        <pic:blipFill>
                          <a:blip r:embed="rId16"/>
                          <a:stretch>
                            <a:fillRect/>
                          </a:stretch>
                        </pic:blipFill>
                        <pic:spPr>
                          <a:xfrm>
                            <a:off x="0" y="0"/>
                            <a:ext cx="1534160" cy="866775"/>
                          </a:xfrm>
                          <a:prstGeom prst="rect">
                            <a:avLst/>
                          </a:prstGeom>
                          <a:noFill/>
                          <a:ln>
                            <a:noFill/>
                          </a:ln>
                        </pic:spPr>
                      </pic:pic>
                    </a:graphicData>
                  </a:graphic>
                </wp:inline>
              </w:drawing>
            </w:r>
          </w:p>
        </w:tc>
        <w:tc>
          <w:tcPr>
            <w:tcW w:w="2847" w:type="pct"/>
            <w:noWrap w:val="0"/>
            <w:vAlign w:val="center"/>
          </w:tcPr>
          <w:p>
            <w:pPr>
              <w:pStyle w:val="815"/>
              <w:numPr>
                <w:ilvl w:val="0"/>
                <w:numId w:val="0"/>
              </w:numPr>
              <w:spacing w:line="276" w:lineRule="auto"/>
              <w:rPr>
                <w:rFonts w:hAnsi="宋体" w:cs="宋体"/>
                <w:color w:val="auto"/>
                <w:sz w:val="22"/>
                <w:szCs w:val="22"/>
                <w:highlight w:val="none"/>
              </w:rPr>
            </w:pPr>
            <w:r>
              <w:rPr>
                <w:rFonts w:hint="eastAsia" w:hAnsi="宋体" w:cs="宋体"/>
                <w:color w:val="auto"/>
                <w:sz w:val="22"/>
                <w:szCs w:val="22"/>
                <w:highlight w:val="none"/>
              </w:rPr>
              <w:t>1、材质：尼龙</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2、规格尺寸：主腰带规格：1100mm-1500mm</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3、</w:t>
            </w:r>
            <w:r>
              <w:rPr>
                <w:rFonts w:hint="eastAsia" w:ascii="宋体" w:hAnsi="宋体" w:cs="宋体"/>
                <w:color w:val="auto"/>
                <w:kern w:val="0"/>
                <w:sz w:val="22"/>
                <w:szCs w:val="22"/>
                <w:highlight w:val="none"/>
              </w:rPr>
              <w:t>颜色：黑色</w:t>
            </w:r>
          </w:p>
          <w:p>
            <w:pPr>
              <w:pStyle w:val="815"/>
              <w:numPr>
                <w:ilvl w:val="0"/>
                <w:numId w:val="0"/>
              </w:numPr>
              <w:spacing w:line="276" w:lineRule="auto"/>
              <w:rPr>
                <w:rFonts w:hAnsi="宋体" w:cs="宋体"/>
                <w:bCs/>
                <w:color w:val="auto"/>
                <w:sz w:val="22"/>
                <w:szCs w:val="22"/>
                <w:highlight w:val="none"/>
              </w:rPr>
            </w:pPr>
            <w:r>
              <w:rPr>
                <w:rFonts w:hint="eastAsia" w:hAnsi="宋体" w:cs="宋体"/>
                <w:bCs/>
                <w:color w:val="auto"/>
                <w:sz w:val="22"/>
                <w:szCs w:val="22"/>
                <w:highlight w:val="none"/>
              </w:rPr>
              <w:t>4、主腰带应由腰带钎子、带体、带箍、尼龙机织带、尼龙搭扣、PE或PP材料组合构成。腰带钎子为对插式结构，内合双保险POM材料对插式卡扣。其外盖锌合金压铸成型，表面电镀处理。腰带钎子颜色应为亚光银白色（镀镍）</w:t>
            </w:r>
          </w:p>
          <w:p>
            <w:pPr>
              <w:pStyle w:val="430"/>
              <w:numPr>
                <w:ilvl w:val="0"/>
                <w:numId w:val="0"/>
              </w:numPr>
              <w:spacing w:beforeLines="0" w:afterLines="0" w:line="276" w:lineRule="auto"/>
              <w:rPr>
                <w:rFonts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5、</w:t>
            </w:r>
            <w:r>
              <w:rPr>
                <w:rFonts w:hint="eastAsia" w:ascii="宋体" w:hAnsi="宋体" w:eastAsia="宋体" w:cs="宋体"/>
                <w:bCs/>
                <w:snapToGrid w:val="0"/>
                <w:color w:val="auto"/>
                <w:sz w:val="22"/>
                <w:szCs w:val="22"/>
                <w:highlight w:val="none"/>
              </w:rPr>
              <w:t>标配：包括</w:t>
            </w:r>
            <w:r>
              <w:rPr>
                <w:rFonts w:hint="eastAsia" w:ascii="宋体" w:hAnsi="宋体" w:eastAsia="宋体" w:cs="宋体"/>
                <w:bCs/>
                <w:color w:val="auto"/>
                <w:sz w:val="22"/>
                <w:szCs w:val="22"/>
                <w:highlight w:val="none"/>
              </w:rPr>
              <w:t>外腰带、内腰带、斜挂带、基础型警棍套、强光手电套、警用工作包、手铐套、催泪喷射器套、对讲机套</w:t>
            </w:r>
            <w:r>
              <w:rPr>
                <w:rFonts w:hint="eastAsia" w:ascii="宋体" w:hAnsi="宋体" w:eastAsia="宋体" w:cs="宋体"/>
                <w:bCs/>
                <w:snapToGrid w:val="0"/>
                <w:color w:val="auto"/>
                <w:sz w:val="22"/>
                <w:szCs w:val="22"/>
                <w:highlight w:val="none"/>
              </w:rPr>
              <w:t>。</w:t>
            </w:r>
          </w:p>
          <w:p>
            <w:pPr>
              <w:pStyle w:val="815"/>
              <w:numPr>
                <w:ilvl w:val="0"/>
                <w:numId w:val="0"/>
              </w:numPr>
              <w:spacing w:line="276" w:lineRule="auto"/>
              <w:rPr>
                <w:rFonts w:hAnsi="宋体" w:cs="宋体"/>
                <w:bCs/>
                <w:color w:val="auto"/>
                <w:sz w:val="22"/>
                <w:szCs w:val="22"/>
                <w:highlight w:val="none"/>
              </w:rPr>
            </w:pPr>
            <w:r>
              <w:rPr>
                <w:rFonts w:hint="eastAsia" w:hAnsi="宋体" w:cs="宋体"/>
                <w:bCs/>
                <w:color w:val="auto"/>
                <w:sz w:val="22"/>
                <w:szCs w:val="22"/>
                <w:highlight w:val="none"/>
              </w:rPr>
              <w:t>6、腰带钎子边缘应平整光滑，无毛刺、无锐边、无划痕，钎子插合牢固、端正，对位准确，插拔灵活。</w:t>
            </w:r>
          </w:p>
          <w:p>
            <w:pPr>
              <w:spacing w:line="276" w:lineRule="auto"/>
              <w:jc w:val="left"/>
              <w:rPr>
                <w:rFonts w:ascii="宋体" w:hAnsi="宋体" w:cs="宋体"/>
                <w:color w:val="auto"/>
                <w:sz w:val="22"/>
                <w:szCs w:val="22"/>
                <w:highlight w:val="none"/>
              </w:rPr>
            </w:pPr>
            <w:r>
              <w:rPr>
                <w:rFonts w:hint="eastAsia" w:ascii="宋体" w:hAnsi="宋体" w:cs="宋体"/>
                <w:bCs/>
                <w:color w:val="auto"/>
                <w:sz w:val="22"/>
                <w:szCs w:val="22"/>
                <w:highlight w:val="none"/>
              </w:rPr>
              <w:t>▲7、</w:t>
            </w:r>
            <w:r>
              <w:rPr>
                <w:rFonts w:hint="eastAsia" w:ascii="宋体" w:hAnsi="宋体" w:cs="宋体"/>
                <w:color w:val="auto"/>
                <w:sz w:val="22"/>
                <w:szCs w:val="22"/>
                <w:highlight w:val="none"/>
              </w:rPr>
              <w:t>腰带钎子插拔性能≥6500次；（需在检测报告中体现）；</w:t>
            </w:r>
          </w:p>
          <w:p>
            <w:pPr>
              <w:spacing w:line="276" w:lineRule="auto"/>
              <w:jc w:val="left"/>
              <w:rPr>
                <w:rFonts w:ascii="宋体" w:hAnsi="宋体" w:cs="宋体"/>
                <w:color w:val="auto"/>
                <w:sz w:val="22"/>
                <w:szCs w:val="22"/>
                <w:highlight w:val="none"/>
              </w:rPr>
            </w:pPr>
            <w:r>
              <w:rPr>
                <w:rFonts w:hint="eastAsia" w:ascii="宋体" w:hAnsi="宋体" w:cs="宋体"/>
                <w:bCs/>
                <w:color w:val="auto"/>
                <w:sz w:val="22"/>
                <w:szCs w:val="22"/>
                <w:highlight w:val="none"/>
              </w:rPr>
              <w:t>▲</w:t>
            </w:r>
            <w:r>
              <w:rPr>
                <w:rFonts w:hint="eastAsia" w:ascii="宋体" w:hAnsi="宋体" w:cs="宋体"/>
                <w:color w:val="auto"/>
                <w:sz w:val="22"/>
                <w:szCs w:val="22"/>
                <w:highlight w:val="none"/>
              </w:rPr>
              <w:t>8、警棍套插拔、旋转性能≥10000次；（需在检测报告中体现）；</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9、催泪喷射器套旋转性能≥6500次；；</w:t>
            </w:r>
          </w:p>
          <w:p>
            <w:pPr>
              <w:spacing w:line="276" w:lineRule="auto"/>
              <w:jc w:val="left"/>
              <w:rPr>
                <w:rFonts w:hint="eastAsia" w:ascii="宋体" w:hAnsi="宋体" w:cs="宋体"/>
                <w:color w:val="auto"/>
                <w:sz w:val="22"/>
                <w:szCs w:val="22"/>
                <w:highlight w:val="none"/>
              </w:rPr>
            </w:pPr>
            <w:r>
              <w:rPr>
                <w:rFonts w:hint="eastAsia" w:ascii="宋体" w:hAnsi="宋体" w:cs="宋体"/>
                <w:bCs/>
                <w:color w:val="auto"/>
                <w:sz w:val="22"/>
                <w:szCs w:val="22"/>
                <w:highlight w:val="none"/>
              </w:rPr>
              <w:t>▲</w:t>
            </w:r>
            <w:r>
              <w:rPr>
                <w:rFonts w:hint="eastAsia" w:ascii="宋体" w:hAnsi="宋体" w:cs="黑体"/>
                <w:color w:val="auto"/>
                <w:sz w:val="22"/>
                <w:szCs w:val="22"/>
                <w:highlight w:val="none"/>
              </w:rPr>
              <w:t>10、斜挂带卡扣在扣合状态下，施加800</w:t>
            </w:r>
            <w:r>
              <w:rPr>
                <w:rFonts w:ascii="宋体" w:hAnsi="宋体" w:cs="黑体"/>
                <w:color w:val="auto"/>
                <w:sz w:val="22"/>
                <w:szCs w:val="22"/>
                <w:highlight w:val="none"/>
              </w:rPr>
              <w:t xml:space="preserve"> N</w:t>
            </w:r>
            <w:r>
              <w:rPr>
                <w:rFonts w:hint="eastAsia" w:ascii="宋体" w:hAnsi="宋体" w:cs="黑体"/>
                <w:color w:val="auto"/>
                <w:sz w:val="22"/>
                <w:szCs w:val="22"/>
                <w:highlight w:val="none"/>
              </w:rPr>
              <w:t>的拉力并保持3</w:t>
            </w:r>
            <w:r>
              <w:rPr>
                <w:rFonts w:ascii="宋体" w:hAnsi="宋体" w:cs="黑体"/>
                <w:color w:val="auto"/>
                <w:sz w:val="22"/>
                <w:szCs w:val="22"/>
                <w:highlight w:val="none"/>
              </w:rPr>
              <w:t>0 s</w:t>
            </w:r>
            <w:r>
              <w:rPr>
                <w:rFonts w:hint="eastAsia" w:ascii="宋体" w:hAnsi="宋体" w:cs="黑体"/>
                <w:color w:val="auto"/>
                <w:sz w:val="22"/>
                <w:szCs w:val="22"/>
                <w:highlight w:val="none"/>
              </w:rPr>
              <w:t>，卡扣不破损，并能正常使用。</w:t>
            </w:r>
            <w:r>
              <w:rPr>
                <w:rFonts w:hint="eastAsia" w:ascii="宋体" w:hAnsi="宋体" w:cs="宋体"/>
                <w:color w:val="auto"/>
                <w:sz w:val="22"/>
                <w:szCs w:val="22"/>
                <w:highlight w:val="none"/>
              </w:rPr>
              <w:t>（需在检测报告中体现）；</w:t>
            </w:r>
          </w:p>
          <w:p>
            <w:pPr>
              <w:spacing w:line="276" w:lineRule="auto"/>
              <w:jc w:val="left"/>
              <w:rPr>
                <w:rFonts w:hint="eastAsia" w:ascii="宋体" w:hAnsi="宋体" w:cs="宋体"/>
                <w:color w:val="auto"/>
                <w:sz w:val="22"/>
                <w:szCs w:val="22"/>
                <w:highlight w:val="none"/>
              </w:rPr>
            </w:pPr>
            <w:r>
              <w:rPr>
                <w:rFonts w:hint="eastAsia" w:ascii="宋体" w:hAnsi="宋体" w:cs="黑体"/>
                <w:color w:val="auto"/>
                <w:sz w:val="22"/>
                <w:szCs w:val="22"/>
                <w:highlight w:val="none"/>
              </w:rPr>
              <w:t>11、装具套在开口缝合部位施加600</w:t>
            </w:r>
            <w:r>
              <w:rPr>
                <w:rFonts w:ascii="宋体" w:hAnsi="宋体" w:cs="黑体"/>
                <w:color w:val="auto"/>
                <w:sz w:val="22"/>
                <w:szCs w:val="22"/>
                <w:highlight w:val="none"/>
              </w:rPr>
              <w:t xml:space="preserve"> N</w:t>
            </w:r>
            <w:r>
              <w:rPr>
                <w:rFonts w:hint="eastAsia" w:ascii="宋体" w:hAnsi="宋体" w:cs="黑体"/>
                <w:color w:val="auto"/>
                <w:sz w:val="22"/>
                <w:szCs w:val="22"/>
                <w:highlight w:val="none"/>
              </w:rPr>
              <w:t>的拉力并保持3</w:t>
            </w:r>
            <w:r>
              <w:rPr>
                <w:rFonts w:ascii="宋体" w:hAnsi="宋体" w:cs="黑体"/>
                <w:color w:val="auto"/>
                <w:sz w:val="22"/>
                <w:szCs w:val="22"/>
                <w:highlight w:val="none"/>
              </w:rPr>
              <w:t>0 s</w:t>
            </w:r>
            <w:r>
              <w:rPr>
                <w:rFonts w:hint="eastAsia" w:ascii="宋体" w:hAnsi="宋体" w:cs="黑体"/>
                <w:color w:val="auto"/>
                <w:sz w:val="22"/>
                <w:szCs w:val="22"/>
                <w:highlight w:val="none"/>
              </w:rPr>
              <w:t>，不撕裂。</w:t>
            </w:r>
            <w:r>
              <w:rPr>
                <w:rFonts w:hint="eastAsia" w:ascii="宋体" w:hAnsi="宋体" w:cs="宋体"/>
                <w:color w:val="auto"/>
                <w:sz w:val="22"/>
                <w:szCs w:val="22"/>
                <w:highlight w:val="none"/>
              </w:rPr>
              <w:t>；</w:t>
            </w:r>
          </w:p>
          <w:p>
            <w:pPr>
              <w:spacing w:line="276" w:lineRule="auto"/>
              <w:jc w:val="left"/>
              <w:rPr>
                <w:rFonts w:hint="eastAsia" w:ascii="宋体" w:hAnsi="宋体" w:cs="宋体"/>
                <w:color w:val="auto"/>
                <w:sz w:val="22"/>
                <w:szCs w:val="22"/>
                <w:highlight w:val="none"/>
              </w:rPr>
            </w:pPr>
            <w:r>
              <w:rPr>
                <w:rFonts w:hint="eastAsia" w:ascii="宋体" w:hAnsi="宋体" w:cs="宋体"/>
                <w:bCs/>
                <w:color w:val="auto"/>
                <w:sz w:val="22"/>
                <w:szCs w:val="22"/>
                <w:highlight w:val="none"/>
              </w:rPr>
              <w:t>▲</w:t>
            </w:r>
            <w:r>
              <w:rPr>
                <w:rFonts w:hint="eastAsia" w:ascii="宋体" w:hAnsi="宋体" w:cs="黑体"/>
                <w:color w:val="auto"/>
                <w:sz w:val="22"/>
                <w:szCs w:val="22"/>
                <w:highlight w:val="none"/>
              </w:rPr>
              <w:t>12、腰带钎子在扣合状态下，施加1550</w:t>
            </w:r>
            <w:r>
              <w:rPr>
                <w:rFonts w:ascii="宋体" w:hAnsi="宋体" w:cs="黑体"/>
                <w:color w:val="auto"/>
                <w:sz w:val="22"/>
                <w:szCs w:val="22"/>
                <w:highlight w:val="none"/>
              </w:rPr>
              <w:t xml:space="preserve"> N</w:t>
            </w:r>
            <w:r>
              <w:rPr>
                <w:rFonts w:hint="eastAsia" w:ascii="宋体" w:hAnsi="宋体" w:cs="黑体"/>
                <w:color w:val="auto"/>
                <w:sz w:val="22"/>
                <w:szCs w:val="22"/>
                <w:highlight w:val="none"/>
              </w:rPr>
              <w:t>的拉力并保持3</w:t>
            </w:r>
            <w:r>
              <w:rPr>
                <w:rFonts w:ascii="宋体" w:hAnsi="宋体" w:cs="黑体"/>
                <w:color w:val="auto"/>
                <w:sz w:val="22"/>
                <w:szCs w:val="22"/>
                <w:highlight w:val="none"/>
              </w:rPr>
              <w:t>0 s</w:t>
            </w:r>
            <w:r>
              <w:rPr>
                <w:rFonts w:hint="eastAsia" w:ascii="宋体" w:hAnsi="宋体" w:cs="黑体"/>
                <w:color w:val="auto"/>
                <w:sz w:val="22"/>
                <w:szCs w:val="22"/>
                <w:highlight w:val="none"/>
              </w:rPr>
              <w:t>，钎子不脱出或破损，并能正常使用。</w:t>
            </w:r>
            <w:r>
              <w:rPr>
                <w:rFonts w:hint="eastAsia" w:ascii="宋体" w:hAnsi="宋体" w:cs="宋体"/>
                <w:color w:val="auto"/>
                <w:sz w:val="22"/>
                <w:szCs w:val="22"/>
                <w:highlight w:val="none"/>
              </w:rPr>
              <w:t>（需在检测报告中体现）；</w:t>
            </w:r>
          </w:p>
          <w:p>
            <w:pPr>
              <w:spacing w:line="276" w:lineRule="auto"/>
              <w:jc w:val="left"/>
              <w:rPr>
                <w:rFonts w:hint="eastAsia" w:ascii="宋体" w:hAnsi="宋体" w:cs="宋体"/>
                <w:color w:val="auto"/>
                <w:sz w:val="22"/>
                <w:szCs w:val="22"/>
                <w:highlight w:val="none"/>
              </w:rPr>
            </w:pPr>
            <w:r>
              <w:rPr>
                <w:rFonts w:hint="eastAsia" w:ascii="宋体" w:hAnsi="宋体" w:cs="黑体"/>
                <w:color w:val="auto"/>
                <w:sz w:val="22"/>
                <w:szCs w:val="22"/>
                <w:highlight w:val="none"/>
              </w:rPr>
              <w:t>13、对警棍套施加1500</w:t>
            </w:r>
            <w:r>
              <w:rPr>
                <w:rFonts w:ascii="宋体" w:hAnsi="宋体" w:cs="黑体"/>
                <w:color w:val="auto"/>
                <w:sz w:val="22"/>
                <w:szCs w:val="22"/>
                <w:highlight w:val="none"/>
              </w:rPr>
              <w:t>N</w:t>
            </w:r>
            <w:r>
              <w:rPr>
                <w:rFonts w:hint="eastAsia" w:ascii="宋体" w:hAnsi="宋体" w:cs="黑体"/>
                <w:color w:val="auto"/>
                <w:sz w:val="22"/>
                <w:szCs w:val="22"/>
                <w:highlight w:val="none"/>
              </w:rPr>
              <w:t>的拉力并保持3</w:t>
            </w:r>
            <w:r>
              <w:rPr>
                <w:rFonts w:ascii="宋体" w:hAnsi="宋体" w:cs="黑体"/>
                <w:color w:val="auto"/>
                <w:sz w:val="22"/>
                <w:szCs w:val="22"/>
                <w:highlight w:val="none"/>
              </w:rPr>
              <w:t>0 s</w:t>
            </w:r>
            <w:r>
              <w:rPr>
                <w:rFonts w:hint="eastAsia" w:ascii="宋体" w:hAnsi="宋体" w:cs="黑体"/>
                <w:color w:val="auto"/>
                <w:sz w:val="22"/>
                <w:szCs w:val="22"/>
                <w:highlight w:val="none"/>
              </w:rPr>
              <w:t>，连接件不断裂。</w:t>
            </w:r>
            <w:r>
              <w:rPr>
                <w:rFonts w:hint="eastAsia" w:ascii="宋体" w:hAnsi="宋体" w:cs="宋体"/>
                <w:color w:val="auto"/>
                <w:sz w:val="22"/>
                <w:szCs w:val="22"/>
                <w:highlight w:val="none"/>
              </w:rPr>
              <w:t>；</w:t>
            </w:r>
          </w:p>
          <w:p>
            <w:pPr>
              <w:spacing w:line="276" w:lineRule="auto"/>
              <w:jc w:val="left"/>
              <w:rPr>
                <w:rFonts w:ascii="宋体" w:hAnsi="宋体" w:cs="宋体"/>
                <w:color w:val="auto"/>
                <w:sz w:val="22"/>
                <w:szCs w:val="22"/>
                <w:highlight w:val="none"/>
              </w:rPr>
            </w:pPr>
            <w:r>
              <w:rPr>
                <w:rFonts w:hint="eastAsia" w:ascii="宋体" w:hAnsi="宋体" w:cs="宋体"/>
                <w:bCs/>
                <w:color w:val="auto"/>
                <w:sz w:val="22"/>
                <w:szCs w:val="22"/>
                <w:highlight w:val="none"/>
              </w:rPr>
              <w:t>▲</w:t>
            </w:r>
            <w:r>
              <w:rPr>
                <w:rFonts w:hint="eastAsia" w:ascii="宋体" w:hAnsi="宋体" w:cs="黑体"/>
                <w:color w:val="auto"/>
                <w:sz w:val="22"/>
                <w:szCs w:val="22"/>
                <w:highlight w:val="none"/>
              </w:rPr>
              <w:t>14、对催泪喷射器套施加1500</w:t>
            </w:r>
            <w:r>
              <w:rPr>
                <w:rFonts w:ascii="宋体" w:hAnsi="宋体" w:cs="黑体"/>
                <w:color w:val="auto"/>
                <w:sz w:val="22"/>
                <w:szCs w:val="22"/>
                <w:highlight w:val="none"/>
              </w:rPr>
              <w:t xml:space="preserve"> N</w:t>
            </w:r>
            <w:r>
              <w:rPr>
                <w:rFonts w:hint="eastAsia" w:ascii="宋体" w:hAnsi="宋体" w:cs="黑体"/>
                <w:color w:val="auto"/>
                <w:sz w:val="22"/>
                <w:szCs w:val="22"/>
                <w:highlight w:val="none"/>
              </w:rPr>
              <w:t>的拉力并保持3</w:t>
            </w:r>
            <w:r>
              <w:rPr>
                <w:rFonts w:ascii="宋体" w:hAnsi="宋体" w:cs="黑体"/>
                <w:color w:val="auto"/>
                <w:sz w:val="22"/>
                <w:szCs w:val="22"/>
                <w:highlight w:val="none"/>
              </w:rPr>
              <w:t>0 s</w:t>
            </w:r>
            <w:r>
              <w:rPr>
                <w:rFonts w:hint="eastAsia" w:ascii="宋体" w:hAnsi="宋体" w:cs="黑体"/>
                <w:color w:val="auto"/>
                <w:sz w:val="22"/>
                <w:szCs w:val="22"/>
                <w:highlight w:val="none"/>
              </w:rPr>
              <w:t>，连接件不断裂。</w:t>
            </w:r>
            <w:r>
              <w:rPr>
                <w:rFonts w:hint="eastAsia" w:ascii="宋体" w:hAnsi="宋体" w:cs="宋体"/>
                <w:color w:val="auto"/>
                <w:sz w:val="22"/>
                <w:szCs w:val="22"/>
                <w:highlight w:val="none"/>
              </w:rPr>
              <w:t>（需在检测报告中体现）；</w:t>
            </w:r>
          </w:p>
          <w:p>
            <w:pPr>
              <w:pStyle w:val="815"/>
              <w:numPr>
                <w:ilvl w:val="0"/>
                <w:numId w:val="0"/>
              </w:numPr>
              <w:spacing w:line="276" w:lineRule="auto"/>
              <w:rPr>
                <w:rFonts w:hAnsi="宋体" w:cs="宋体"/>
                <w:color w:val="auto"/>
                <w:sz w:val="22"/>
                <w:szCs w:val="22"/>
                <w:highlight w:val="none"/>
              </w:rPr>
            </w:pPr>
            <w:r>
              <w:rPr>
                <w:rFonts w:hint="eastAsia" w:hAnsi="宋体" w:cs="宋体"/>
                <w:color w:val="auto"/>
                <w:sz w:val="22"/>
                <w:szCs w:val="22"/>
                <w:highlight w:val="none"/>
              </w:rPr>
              <w:t>15、重量：≤1.0kg</w:t>
            </w:r>
            <w:r>
              <w:rPr>
                <w:rFonts w:hAnsi="宋体" w:cs="宋体"/>
                <w:color w:val="auto"/>
                <w:sz w:val="22"/>
                <w:szCs w:val="22"/>
                <w:highlight w:val="none"/>
              </w:rPr>
              <w:t>(M</w:t>
            </w:r>
            <w:r>
              <w:rPr>
                <w:rFonts w:hint="eastAsia" w:hAnsi="宋体" w:cs="宋体"/>
                <w:color w:val="auto"/>
                <w:sz w:val="22"/>
                <w:szCs w:val="22"/>
                <w:highlight w:val="none"/>
              </w:rPr>
              <w:t>码)</w:t>
            </w:r>
          </w:p>
          <w:p>
            <w:pPr>
              <w:pStyle w:val="815"/>
              <w:numPr>
                <w:ilvl w:val="0"/>
                <w:numId w:val="0"/>
              </w:numPr>
              <w:spacing w:line="276" w:lineRule="auto"/>
              <w:rPr>
                <w:rFonts w:hAnsi="宋体" w:cs="宋体"/>
                <w:color w:val="auto"/>
                <w:sz w:val="22"/>
                <w:szCs w:val="22"/>
                <w:highlight w:val="none"/>
              </w:rPr>
            </w:pPr>
            <w:r>
              <w:rPr>
                <w:rFonts w:hAnsi="宋体" w:cs="宋体"/>
                <w:color w:val="auto"/>
                <w:sz w:val="22"/>
                <w:szCs w:val="22"/>
                <w:highlight w:val="none"/>
              </w:rPr>
              <w:t>▲16、</w:t>
            </w:r>
            <w:r>
              <w:rPr>
                <w:rFonts w:hint="eastAsia" w:hAnsi="宋体"/>
                <w:color w:val="auto"/>
                <w:sz w:val="22"/>
                <w:szCs w:val="22"/>
                <w:highlight w:val="none"/>
              </w:rPr>
              <w:t>须提供开标日期前两年由</w:t>
            </w:r>
            <w:r>
              <w:rPr>
                <w:rFonts w:hint="eastAsia" w:hAnsi="宋体" w:cs="宋体"/>
                <w:color w:val="auto"/>
                <w:sz w:val="22"/>
                <w:szCs w:val="22"/>
                <w:highlight w:val="none"/>
              </w:rPr>
              <w:t>公安部特种警用装备质量监督检测中心出具的检测报告复印件</w:t>
            </w:r>
          </w:p>
          <w:p>
            <w:pPr>
              <w:pStyle w:val="815"/>
              <w:numPr>
                <w:ilvl w:val="0"/>
                <w:numId w:val="0"/>
              </w:numPr>
              <w:spacing w:line="276" w:lineRule="auto"/>
              <w:rPr>
                <w:rFonts w:hAnsi="宋体" w:cs="宋体"/>
                <w:color w:val="auto"/>
                <w:sz w:val="22"/>
                <w:szCs w:val="22"/>
                <w:highlight w:val="none"/>
              </w:rPr>
            </w:pPr>
            <w:r>
              <w:rPr>
                <w:rFonts w:hint="eastAsia" w:hAnsi="宋体" w:cs="宋体"/>
                <w:bCs/>
                <w:color w:val="auto"/>
                <w:sz w:val="22"/>
                <w:szCs w:val="22"/>
                <w:highlight w:val="none"/>
              </w:rPr>
              <w:t>▲17、需提供多功能腰带主要材料的国家纺织质量检测中心和公安部特种警用装备质量监督检验中心出具的检测报告复印件</w:t>
            </w:r>
          </w:p>
          <w:p>
            <w:pPr>
              <w:pStyle w:val="815"/>
              <w:numPr>
                <w:ilvl w:val="0"/>
                <w:numId w:val="0"/>
              </w:numPr>
              <w:spacing w:line="276" w:lineRule="auto"/>
              <w:rPr>
                <w:rFonts w:hint="eastAsia" w:hAnsi="宋体" w:cs="宋体"/>
                <w:color w:val="auto"/>
                <w:sz w:val="22"/>
                <w:szCs w:val="22"/>
                <w:highlight w:val="none"/>
              </w:rPr>
            </w:pPr>
            <w:r>
              <w:rPr>
                <w:rFonts w:hint="eastAsia" w:hAnsi="宋体" w:cs="宋体"/>
                <w:color w:val="auto"/>
                <w:sz w:val="22"/>
                <w:szCs w:val="22"/>
                <w:highlight w:val="none"/>
              </w:rPr>
              <w:t>▲18、投标现场提供样品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color w:val="auto"/>
                <w:sz w:val="22"/>
                <w:szCs w:val="22"/>
                <w:highlight w:val="none"/>
              </w:rPr>
            </w:pPr>
            <w:r>
              <w:rPr>
                <w:rFonts w:hint="eastAsia" w:ascii="宋体" w:hAnsi="宋体"/>
                <w:color w:val="auto"/>
                <w:sz w:val="22"/>
                <w:szCs w:val="22"/>
                <w:highlight w:val="none"/>
              </w:rPr>
              <w:t>5</w:t>
            </w:r>
          </w:p>
        </w:tc>
        <w:tc>
          <w:tcPr>
            <w:tcW w:w="411" w:type="pct"/>
            <w:noWrap w:val="0"/>
            <w:vAlign w:val="center"/>
          </w:tcPr>
          <w:p>
            <w:pPr>
              <w:spacing w:line="276" w:lineRule="auto"/>
              <w:jc w:val="center"/>
              <w:rPr>
                <w:rFonts w:hint="eastAsia" w:ascii="宋体" w:hAnsi="宋体"/>
                <w:color w:val="auto"/>
                <w:sz w:val="22"/>
                <w:szCs w:val="22"/>
                <w:highlight w:val="none"/>
              </w:rPr>
            </w:pPr>
            <w:r>
              <w:rPr>
                <w:rFonts w:hint="eastAsia" w:ascii="宋体" w:hAnsi="宋体"/>
                <w:color w:val="auto"/>
                <w:sz w:val="22"/>
                <w:szCs w:val="22"/>
                <w:highlight w:val="none"/>
              </w:rPr>
              <w:t>新型多功能腰带（五</w:t>
            </w:r>
            <w:r>
              <w:rPr>
                <w:rFonts w:ascii="宋体" w:hAnsi="宋体"/>
                <w:color w:val="auto"/>
                <w:sz w:val="22"/>
                <w:szCs w:val="22"/>
                <w:highlight w:val="none"/>
              </w:rPr>
              <w:t>件套</w:t>
            </w:r>
            <w:r>
              <w:rPr>
                <w:rFonts w:hint="eastAsia" w:ascii="宋体" w:hAnsi="宋体"/>
                <w:color w:val="auto"/>
                <w:sz w:val="22"/>
                <w:szCs w:val="22"/>
                <w:highlight w:val="none"/>
              </w:rPr>
              <w:t>）</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534160" cy="866775"/>
                  <wp:effectExtent l="0" t="0" r="8890" b="9525"/>
                  <wp:docPr id="28" name="图片 5" descr="BW[(2U2MYJQVG}5Z2_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BW[(2U2MYJQVG}5Z2_M{E)L"/>
                          <pic:cNvPicPr>
                            <a:picLocks noChangeAspect="1"/>
                          </pic:cNvPicPr>
                        </pic:nvPicPr>
                        <pic:blipFill>
                          <a:blip r:embed="rId16"/>
                          <a:stretch>
                            <a:fillRect/>
                          </a:stretch>
                        </pic:blipFill>
                        <pic:spPr>
                          <a:xfrm>
                            <a:off x="0" y="0"/>
                            <a:ext cx="1534160" cy="866775"/>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1、材质：尼龙</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2、规格尺寸：主腰带规格：1100mm-1500mm</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3、颜色：黑色</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4、主腰带应由腰带钎子、带体、带箍、尼龙机织带、尼龙搭扣、PE或PP材料组合构成。腰带钎子为对插式结构，内合双保险POM材料对插式卡扣。其外盖锌合金压铸成型，表面电镀处理。腰带钎子颜色应为亚光银白色（镀镍）</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5、标配：包括外腰带、内腰带、斜挂带、基础型警棍套、强光手电套、警用工作包、催泪喷射器套、对讲机套。</w:t>
            </w:r>
          </w:p>
          <w:p>
            <w:pPr>
              <w:spacing w:line="276" w:lineRule="auto"/>
              <w:jc w:val="left"/>
              <w:rPr>
                <w:rFonts w:hint="eastAsia" w:ascii="宋体" w:hAnsi="宋体" w:cs="宋体"/>
                <w:bCs/>
                <w:color w:val="auto"/>
                <w:sz w:val="22"/>
                <w:szCs w:val="22"/>
                <w:highlight w:val="none"/>
              </w:rPr>
            </w:pPr>
            <w:r>
              <w:rPr>
                <w:rFonts w:hint="eastAsia" w:ascii="宋体" w:hAnsi="宋体" w:cs="宋体"/>
                <w:bCs/>
                <w:color w:val="auto"/>
                <w:sz w:val="22"/>
                <w:szCs w:val="22"/>
                <w:highlight w:val="none"/>
              </w:rPr>
              <w:t>6、执行标准： 《 GA890-2018公安单警装备 多功能腰带》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t>6</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新型催泪喷射器</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487170" cy="1924685"/>
                  <wp:effectExtent l="0" t="0" r="17780" b="18415"/>
                  <wp:docPr id="21" name="图片 6" descr="F:\产品图片\竖喷催泪\$(5YNTV~MCBC]1DWD2QM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F:\产品图片\竖喷催泪\$(5YNTV~MCBC]1DWD2QMY`Q.png"/>
                          <pic:cNvPicPr>
                            <a:picLocks noChangeAspect="1"/>
                          </pic:cNvPicPr>
                        </pic:nvPicPr>
                        <pic:blipFill>
                          <a:blip r:embed="rId17"/>
                          <a:stretch>
                            <a:fillRect/>
                          </a:stretch>
                        </pic:blipFill>
                        <pic:spPr>
                          <a:xfrm>
                            <a:off x="0" y="0"/>
                            <a:ext cx="1487170" cy="1924685"/>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1、结构：罐体、囊袋组件、催泪剂溶液、喷射组件和保护帽组件构成；喷嘴与催泪剂之间应具有良好的相溶性，使催泪剂定向喷射并呈射流状，袋阀由阀体系统和囊袋组成。</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2、尺寸：催泪喷射的高度为176mm±2mm，最大外径为39mm±0.5mm ，罐体外径为37.5mm±0.5mm,</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3、灌液量：70ml±2 ml</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4、催泪剂：OC，其含量为1.5%-1.8%，</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5、喷射性能：催泪喷射器喷射应为定向射流状，喷射距离应大于或等于5m，有效喷射时间大于或等于7s。</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6、稳定性：催泪喷射器产品在包装完好并满足贮存条件的情况下，三年内产品应表面无剥落、不解体、不泄露、不爆裂、能正常喷射，且符合喷射性能的要求。</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7、跌落可靠性：催泪喷射器自1.5m高度进行跌落试验，应不解体、不泄露、不爆裂、能正常使用，且符合喷射性能的要求。</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8、密封性能：经振动，跌落试验后的催泪喷射器置于0.5m深的水中，应无泄漏。能正常使用，且符合喷射性能的要求。</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9、重量：≤210g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t>7</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新款</w:t>
            </w:r>
            <w:r>
              <w:rPr>
                <w:rFonts w:ascii="宋体" w:hAnsi="宋体"/>
                <w:color w:val="auto"/>
                <w:sz w:val="22"/>
                <w:szCs w:val="22"/>
                <w:highlight w:val="none"/>
              </w:rPr>
              <w:t>强光手电</w:t>
            </w:r>
            <w:r>
              <w:rPr>
                <w:rFonts w:hint="eastAsia" w:ascii="宋体" w:hAnsi="宋体"/>
                <w:color w:val="auto"/>
                <w:sz w:val="22"/>
                <w:szCs w:val="22"/>
                <w:highlight w:val="none"/>
              </w:rPr>
              <w:t>（基础型）</w:t>
            </w:r>
          </w:p>
        </w:tc>
        <w:tc>
          <w:tcPr>
            <w:tcW w:w="1459" w:type="pct"/>
            <w:noWrap w:val="0"/>
            <w:vAlign w:val="center"/>
          </w:tcPr>
          <w:p>
            <w:pPr>
              <w:spacing w:line="276" w:lineRule="auto"/>
              <w:jc w:val="center"/>
              <w:rPr>
                <w:rFonts w:ascii="宋体" w:hAnsi="宋体"/>
                <w:color w:val="auto"/>
                <w:sz w:val="22"/>
                <w:szCs w:val="22"/>
                <w:highlight w:val="none"/>
              </w:rPr>
            </w:pPr>
            <w:r>
              <w:rPr>
                <w:color w:val="auto"/>
                <w:sz w:val="22"/>
                <w:szCs w:val="22"/>
                <w:highlight w:val="none"/>
              </w:rPr>
              <w:drawing>
                <wp:inline distT="0" distB="0" distL="114300" distR="114300">
                  <wp:extent cx="1663700" cy="1005205"/>
                  <wp:effectExtent l="0" t="0" r="12700" b="44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8"/>
                          <a:stretch>
                            <a:fillRect/>
                          </a:stretch>
                        </pic:blipFill>
                        <pic:spPr>
                          <a:xfrm>
                            <a:off x="0" y="0"/>
                            <a:ext cx="1663700" cy="1005205"/>
                          </a:xfrm>
                          <a:prstGeom prst="rect">
                            <a:avLst/>
                          </a:prstGeom>
                          <a:noFill/>
                          <a:ln>
                            <a:noFill/>
                          </a:ln>
                        </pic:spPr>
                      </pic:pic>
                    </a:graphicData>
                  </a:graphic>
                </wp:inline>
              </w:drawing>
            </w:r>
          </w:p>
        </w:tc>
        <w:tc>
          <w:tcPr>
            <w:tcW w:w="2847" w:type="pct"/>
            <w:noWrap w:val="0"/>
            <w:vAlign w:val="center"/>
          </w:tcPr>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1、执行标准：《GA 883-2018 公安单警装备 强光手电》；</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2、质量（含18650锂离子充电电池和手绳）：≤200g；</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3、结构：采用前置开关，按钮区域分为照明键和爆闪键，外壳为防滚动圆柱形结构，由头盖组件（包括头盖、攻击头等）、筒身组件（包括筒身、隐藏式USB充电接口、开关部件、4格电量提示灯等）、电池、尾盖组件及手绳（包括调节扣）组成；</w:t>
            </w:r>
          </w:p>
          <w:p>
            <w:pPr>
              <w:spacing w:line="276" w:lineRule="auto"/>
              <w:jc w:val="left"/>
              <w:rPr>
                <w:rFonts w:hint="eastAsia" w:ascii="宋体" w:hAnsi="宋体"/>
                <w:color w:val="auto"/>
                <w:sz w:val="22"/>
                <w:szCs w:val="22"/>
                <w:highlight w:val="none"/>
              </w:rPr>
            </w:pPr>
            <w:r>
              <w:rPr>
                <w:rFonts w:hint="eastAsia" w:ascii="宋体" w:hAnsi="宋体" w:cs="宋体"/>
                <w:bCs/>
                <w:color w:val="auto"/>
                <w:sz w:val="22"/>
                <w:szCs w:val="22"/>
                <w:highlight w:val="none"/>
              </w:rPr>
              <w:t>▲</w:t>
            </w:r>
            <w:r>
              <w:rPr>
                <w:rFonts w:hint="eastAsia" w:ascii="宋体" w:hAnsi="宋体"/>
                <w:color w:val="auto"/>
                <w:sz w:val="22"/>
                <w:szCs w:val="22"/>
                <w:highlight w:val="none"/>
              </w:rPr>
              <w:t>4、强光初始光通量：≥370 lm（需在检测报告中体现）；</w:t>
            </w:r>
          </w:p>
          <w:p>
            <w:pPr>
              <w:spacing w:line="276" w:lineRule="auto"/>
              <w:jc w:val="left"/>
              <w:rPr>
                <w:rFonts w:hint="eastAsia" w:ascii="宋体" w:hAnsi="宋体"/>
                <w:color w:val="auto"/>
                <w:sz w:val="22"/>
                <w:szCs w:val="22"/>
                <w:highlight w:val="none"/>
              </w:rPr>
            </w:pPr>
            <w:r>
              <w:rPr>
                <w:rFonts w:hint="eastAsia" w:ascii="宋体" w:hAnsi="宋体" w:cs="宋体"/>
                <w:bCs/>
                <w:color w:val="auto"/>
                <w:sz w:val="22"/>
                <w:szCs w:val="22"/>
                <w:highlight w:val="none"/>
              </w:rPr>
              <w:t>▲</w:t>
            </w:r>
            <w:r>
              <w:rPr>
                <w:rFonts w:hint="eastAsia" w:ascii="宋体" w:hAnsi="宋体"/>
                <w:color w:val="auto"/>
                <w:sz w:val="22"/>
                <w:szCs w:val="22"/>
                <w:highlight w:val="none"/>
              </w:rPr>
              <w:t>5、强光初始照度：距光源5m处光斑中心初始照度≥500 lx（需在检测报告中体现）；</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6、强光照明时间：连续照明300min后，跟光源5m处光斑中心照度值≥170 lx；</w:t>
            </w:r>
          </w:p>
          <w:p>
            <w:pPr>
              <w:spacing w:line="276" w:lineRule="auto"/>
              <w:jc w:val="left"/>
              <w:rPr>
                <w:rFonts w:hint="eastAsia" w:ascii="宋体" w:hAnsi="宋体"/>
                <w:color w:val="auto"/>
                <w:sz w:val="22"/>
                <w:szCs w:val="22"/>
                <w:highlight w:val="none"/>
              </w:rPr>
            </w:pPr>
            <w:r>
              <w:rPr>
                <w:rFonts w:hint="eastAsia" w:ascii="宋体" w:hAnsi="宋体" w:cs="宋体"/>
                <w:bCs/>
                <w:color w:val="auto"/>
                <w:sz w:val="22"/>
                <w:szCs w:val="22"/>
                <w:highlight w:val="none"/>
              </w:rPr>
              <w:t>▲</w:t>
            </w:r>
            <w:r>
              <w:rPr>
                <w:rFonts w:hint="eastAsia" w:ascii="宋体" w:hAnsi="宋体"/>
                <w:color w:val="auto"/>
                <w:sz w:val="22"/>
                <w:szCs w:val="22"/>
                <w:highlight w:val="none"/>
              </w:rPr>
              <w:t>7、外壳抗压强度：≥1100 N（需在检测报告中体现）；</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8、外壳温升：≤5K；</w:t>
            </w:r>
          </w:p>
          <w:p>
            <w:pPr>
              <w:spacing w:line="276" w:lineRule="auto"/>
              <w:jc w:val="left"/>
              <w:rPr>
                <w:rFonts w:hint="eastAsia" w:ascii="宋体" w:hAnsi="宋体"/>
                <w:color w:val="auto"/>
                <w:sz w:val="22"/>
                <w:szCs w:val="22"/>
                <w:highlight w:val="none"/>
              </w:rPr>
            </w:pPr>
            <w:r>
              <w:rPr>
                <w:rFonts w:hint="eastAsia" w:ascii="宋体" w:hAnsi="宋体" w:cs="宋体"/>
                <w:bCs/>
                <w:color w:val="auto"/>
                <w:sz w:val="22"/>
                <w:szCs w:val="22"/>
                <w:highlight w:val="none"/>
              </w:rPr>
              <w:t>▲</w:t>
            </w:r>
            <w:r>
              <w:rPr>
                <w:rFonts w:hint="eastAsia" w:ascii="宋体" w:hAnsi="宋体"/>
                <w:color w:val="auto"/>
                <w:sz w:val="22"/>
                <w:szCs w:val="22"/>
                <w:highlight w:val="none"/>
              </w:rPr>
              <w:t>9、开关耐久性：≥50000次（需在检测报告中体现）；</w:t>
            </w:r>
          </w:p>
          <w:p>
            <w:pPr>
              <w:spacing w:line="276" w:lineRule="auto"/>
              <w:jc w:val="left"/>
              <w:rPr>
                <w:rFonts w:hint="eastAsia" w:ascii="宋体" w:hAnsi="宋体"/>
                <w:color w:val="auto"/>
                <w:sz w:val="22"/>
                <w:szCs w:val="22"/>
                <w:highlight w:val="none"/>
              </w:rPr>
            </w:pPr>
            <w:r>
              <w:rPr>
                <w:rFonts w:hint="eastAsia" w:ascii="宋体" w:hAnsi="宋体" w:cs="宋体"/>
                <w:bCs/>
                <w:color w:val="auto"/>
                <w:sz w:val="22"/>
                <w:szCs w:val="22"/>
                <w:highlight w:val="none"/>
              </w:rPr>
              <w:t>▲</w:t>
            </w:r>
            <w:r>
              <w:rPr>
                <w:rFonts w:hint="eastAsia" w:ascii="宋体" w:hAnsi="宋体"/>
                <w:color w:val="auto"/>
                <w:sz w:val="22"/>
                <w:szCs w:val="22"/>
                <w:highlight w:val="none"/>
              </w:rPr>
              <w:t>10、充电插头连接可靠性：≥5000次（需在检测报告中体现）；</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11、跌落可靠性：≥1.8m；</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12、防水性能：在≥0.8m深度水中进行防水试验2h，内部不应进水；</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13、挂绳强度：≥100N；</w:t>
            </w:r>
          </w:p>
          <w:p>
            <w:pPr>
              <w:spacing w:line="276" w:lineRule="auto"/>
              <w:jc w:val="left"/>
              <w:rPr>
                <w:rFonts w:ascii="宋体" w:hAnsi="宋体" w:cs="宋体"/>
                <w:color w:val="auto"/>
                <w:kern w:val="0"/>
                <w:sz w:val="22"/>
                <w:szCs w:val="22"/>
                <w:highlight w:val="none"/>
              </w:rPr>
            </w:pPr>
            <w:r>
              <w:rPr>
                <w:rFonts w:hint="eastAsia" w:ascii="宋体" w:hAnsi="宋体" w:cs="宋体"/>
                <w:bCs/>
                <w:color w:val="auto"/>
                <w:sz w:val="22"/>
                <w:szCs w:val="22"/>
                <w:highlight w:val="none"/>
              </w:rPr>
              <w:t>▲</w:t>
            </w:r>
            <w:r>
              <w:rPr>
                <w:rFonts w:hint="eastAsia" w:ascii="宋体" w:hAnsi="宋体"/>
                <w:color w:val="auto"/>
                <w:sz w:val="22"/>
                <w:szCs w:val="22"/>
                <w:highlight w:val="none"/>
              </w:rPr>
              <w:t>14、须提供开标日期前两年由</w:t>
            </w:r>
            <w:r>
              <w:rPr>
                <w:rFonts w:hint="eastAsia" w:ascii="宋体" w:hAnsi="宋体" w:cs="宋体"/>
                <w:color w:val="auto"/>
                <w:kern w:val="0"/>
                <w:sz w:val="22"/>
                <w:szCs w:val="22"/>
                <w:highlight w:val="none"/>
              </w:rPr>
              <w:t>公安部特种警用装备质量监督检测中心出具的检测报告</w:t>
            </w:r>
            <w:r>
              <w:rPr>
                <w:rFonts w:hint="eastAsia" w:ascii="宋体" w:hAnsi="宋体" w:cs="宋体"/>
                <w:color w:val="auto"/>
                <w:sz w:val="22"/>
                <w:szCs w:val="22"/>
                <w:highlight w:val="none"/>
              </w:rPr>
              <w:t>复印件</w:t>
            </w:r>
          </w:p>
          <w:p>
            <w:pPr>
              <w:spacing w:line="276" w:lineRule="auto"/>
              <w:jc w:val="left"/>
              <w:rPr>
                <w:rFonts w:hint="eastAsia" w:ascii="宋体" w:hAnsi="宋体"/>
                <w:color w:val="auto"/>
                <w:sz w:val="22"/>
                <w:szCs w:val="22"/>
                <w:highlight w:val="none"/>
              </w:rPr>
            </w:pPr>
            <w:r>
              <w:rPr>
                <w:rFonts w:hint="eastAsia" w:hAnsi="宋体" w:cs="宋体"/>
                <w:color w:val="auto"/>
                <w:sz w:val="22"/>
                <w:szCs w:val="22"/>
                <w:highlight w:val="none"/>
              </w:rPr>
              <w:t>▲1</w:t>
            </w:r>
            <w:r>
              <w:rPr>
                <w:rFonts w:hAnsi="宋体" w:cs="宋体"/>
                <w:color w:val="auto"/>
                <w:sz w:val="22"/>
                <w:szCs w:val="22"/>
                <w:highlight w:val="none"/>
              </w:rPr>
              <w:t>5</w:t>
            </w:r>
            <w:r>
              <w:rPr>
                <w:rFonts w:hint="eastAsia" w:hAnsi="宋体" w:cs="宋体"/>
                <w:color w:val="auto"/>
                <w:sz w:val="22"/>
                <w:szCs w:val="22"/>
                <w:highlight w:val="none"/>
              </w:rPr>
              <w:t>、投标现场提供样品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t>8</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反光背心08</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221105" cy="1629410"/>
                  <wp:effectExtent l="0" t="0" r="17145" b="8890"/>
                  <wp:docPr id="20" name="图片 8" descr="C:\Users\SG280\Documents\Tencent Files\1120996511\Image\C2C\%LUPD7~E4ZJ@F]H9WC8L_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C:\Users\SG280\Documents\Tencent Files\1120996511\Image\C2C\%LUPD7~E4ZJ@F]H9WC8L_V0.jpg"/>
                          <pic:cNvPicPr>
                            <a:picLocks noChangeAspect="1"/>
                          </pic:cNvPicPr>
                        </pic:nvPicPr>
                        <pic:blipFill>
                          <a:blip r:embed="rId19"/>
                          <a:stretch>
                            <a:fillRect/>
                          </a:stretch>
                        </pic:blipFill>
                        <pic:spPr>
                          <a:xfrm>
                            <a:off x="0" y="0"/>
                            <a:ext cx="1221105" cy="1629410"/>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1.</w:t>
            </w:r>
            <w:r>
              <w:rPr>
                <w:rFonts w:ascii="宋体" w:hAnsi="宋体"/>
                <w:color w:val="auto"/>
                <w:sz w:val="22"/>
                <w:szCs w:val="22"/>
                <w:highlight w:val="none"/>
              </w:rPr>
              <w:t>款式：胸部和背部印有“瓯海巡控”字样</w:t>
            </w:r>
            <w:r>
              <w:rPr>
                <w:rFonts w:ascii="宋体" w:hAnsi="宋体"/>
                <w:color w:val="auto"/>
                <w:sz w:val="22"/>
                <w:szCs w:val="22"/>
                <w:highlight w:val="none"/>
              </w:rPr>
              <w:br w:type="textWrapping"/>
            </w:r>
            <w:r>
              <w:rPr>
                <w:rFonts w:hint="eastAsia" w:ascii="宋体" w:hAnsi="宋体"/>
                <w:color w:val="auto"/>
                <w:sz w:val="22"/>
                <w:szCs w:val="22"/>
                <w:highlight w:val="none"/>
              </w:rPr>
              <w:t>2.</w:t>
            </w:r>
            <w:r>
              <w:rPr>
                <w:rFonts w:ascii="宋体" w:hAnsi="宋体"/>
                <w:color w:val="auto"/>
                <w:sz w:val="22"/>
                <w:szCs w:val="22"/>
                <w:highlight w:val="none"/>
              </w:rPr>
              <w:t>面料：优质尼龙网眼布制成，细网眼设计，优质高亮PVC反光条</w:t>
            </w:r>
            <w:r>
              <w:rPr>
                <w:rFonts w:ascii="宋体" w:hAnsi="宋体"/>
                <w:color w:val="auto"/>
                <w:sz w:val="22"/>
                <w:szCs w:val="22"/>
                <w:highlight w:val="none"/>
              </w:rPr>
              <w:br w:type="textWrapping"/>
            </w:r>
            <w:r>
              <w:rPr>
                <w:rFonts w:hint="eastAsia" w:ascii="宋体" w:hAnsi="宋体"/>
                <w:color w:val="auto"/>
                <w:sz w:val="22"/>
                <w:szCs w:val="22"/>
                <w:highlight w:val="none"/>
              </w:rPr>
              <w:t>3.</w:t>
            </w:r>
            <w:r>
              <w:rPr>
                <w:rFonts w:ascii="宋体" w:hAnsi="宋体"/>
                <w:color w:val="auto"/>
                <w:sz w:val="22"/>
                <w:szCs w:val="22"/>
                <w:highlight w:val="none"/>
              </w:rPr>
              <w:t>反光材料：反光马甲背心采用进口优质高亮PVC反光条，夜间反光距离高达300米以外</w:t>
            </w:r>
            <w:r>
              <w:rPr>
                <w:rFonts w:ascii="宋体" w:hAnsi="宋体"/>
                <w:color w:val="auto"/>
                <w:sz w:val="22"/>
                <w:szCs w:val="22"/>
                <w:highlight w:val="none"/>
              </w:rPr>
              <w:br w:type="textWrapping"/>
            </w:r>
            <w:r>
              <w:rPr>
                <w:rFonts w:hint="eastAsia" w:ascii="宋体" w:hAnsi="宋体"/>
                <w:color w:val="auto"/>
                <w:sz w:val="22"/>
                <w:szCs w:val="22"/>
                <w:highlight w:val="none"/>
              </w:rPr>
              <w:t>4.</w:t>
            </w:r>
            <w:r>
              <w:rPr>
                <w:rFonts w:ascii="宋体" w:hAnsi="宋体"/>
                <w:color w:val="auto"/>
                <w:sz w:val="22"/>
                <w:szCs w:val="22"/>
                <w:highlight w:val="none"/>
              </w:rPr>
              <w:t>大小尺寸：反光马甲背心通过腰部魔术贴进行大小调节，适合所有人员佩戴。</w:t>
            </w:r>
            <w:r>
              <w:rPr>
                <w:rFonts w:ascii="宋体" w:hAnsi="宋体"/>
                <w:color w:val="auto"/>
                <w:sz w:val="22"/>
                <w:szCs w:val="22"/>
                <w:highlight w:val="none"/>
              </w:rPr>
              <w:br w:type="textWrapping"/>
            </w:r>
            <w:r>
              <w:rPr>
                <w:rFonts w:hint="eastAsia" w:ascii="宋体" w:hAnsi="宋体"/>
                <w:color w:val="auto"/>
                <w:sz w:val="22"/>
                <w:szCs w:val="22"/>
                <w:highlight w:val="none"/>
              </w:rPr>
              <w:t>5.</w:t>
            </w:r>
            <w:r>
              <w:rPr>
                <w:rFonts w:ascii="宋体" w:hAnsi="宋体"/>
                <w:color w:val="auto"/>
                <w:sz w:val="22"/>
                <w:szCs w:val="22"/>
                <w:highlight w:val="none"/>
              </w:rPr>
              <w:t>种类：网眼布 </w:t>
            </w:r>
            <w:r>
              <w:rPr>
                <w:rFonts w:ascii="宋体" w:hAnsi="宋体"/>
                <w:color w:val="auto"/>
                <w:sz w:val="22"/>
                <w:szCs w:val="22"/>
                <w:highlight w:val="none"/>
              </w:rPr>
              <w:br w:type="textWrapping"/>
            </w:r>
            <w:r>
              <w:rPr>
                <w:rFonts w:hint="eastAsia" w:ascii="宋体" w:hAnsi="宋体"/>
                <w:color w:val="auto"/>
                <w:sz w:val="22"/>
                <w:szCs w:val="22"/>
                <w:highlight w:val="none"/>
              </w:rPr>
              <w:t>6.</w:t>
            </w:r>
            <w:r>
              <w:rPr>
                <w:rFonts w:ascii="宋体" w:hAnsi="宋体"/>
                <w:color w:val="auto"/>
                <w:sz w:val="22"/>
                <w:szCs w:val="22"/>
                <w:highlight w:val="none"/>
              </w:rPr>
              <w:t>颜色：藏蓝色（藏色）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t>9</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警用水壶</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371600" cy="1194435"/>
                  <wp:effectExtent l="0" t="0" r="0" b="571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0"/>
                          <a:stretch>
                            <a:fillRect/>
                          </a:stretch>
                        </pic:blipFill>
                        <pic:spPr>
                          <a:xfrm>
                            <a:off x="0" y="0"/>
                            <a:ext cx="1371600" cy="1194435"/>
                          </a:xfrm>
                          <a:prstGeom prst="rect">
                            <a:avLst/>
                          </a:prstGeom>
                          <a:noFill/>
                          <a:ln>
                            <a:noFill/>
                          </a:ln>
                        </pic:spPr>
                      </pic:pic>
                    </a:graphicData>
                  </a:graphic>
                </wp:inline>
              </w:drawing>
            </w:r>
          </w:p>
        </w:tc>
        <w:tc>
          <w:tcPr>
            <w:tcW w:w="2847" w:type="pct"/>
            <w:noWrap w:val="0"/>
            <w:vAlign w:val="center"/>
          </w:tcPr>
          <w:p>
            <w:pPr>
              <w:spacing w:line="276" w:lineRule="auto"/>
              <w:jc w:val="left"/>
              <w:rPr>
                <w:rFonts w:hint="eastAsia" w:ascii="宋体" w:hAnsi="宋体"/>
                <w:color w:val="auto"/>
                <w:sz w:val="22"/>
                <w:szCs w:val="22"/>
                <w:highlight w:val="none"/>
              </w:rPr>
            </w:pPr>
            <w:r>
              <w:rPr>
                <w:rFonts w:ascii="宋体" w:hAnsi="宋体"/>
                <w:color w:val="auto"/>
                <w:sz w:val="22"/>
                <w:szCs w:val="22"/>
                <w:highlight w:val="none"/>
              </w:rPr>
              <w:t>1.外观：壶体正面应激光雕刻警徽图案和“警察”、“POLICE”、“警用水壶”文字。警徽高40mm，警徽图案应符合 GA244-2000的规定；文字均为黑体字，“警察”字高为11mm，总宽32mm，“POLICE”字高7.5mm，总宽33.5mm，“警用水壶”字高10mm，总宽45mm。警用水壶底部中心标牌有永久性的承制方名称、商标、“警用水壶（保温）”文字，文字为黑体字。</w:t>
            </w:r>
            <w:r>
              <w:rPr>
                <w:rFonts w:ascii="宋体" w:hAnsi="宋体"/>
                <w:color w:val="auto"/>
                <w:sz w:val="22"/>
                <w:szCs w:val="22"/>
                <w:highlight w:val="none"/>
              </w:rPr>
              <w:br w:type="textWrapping"/>
            </w:r>
            <w:r>
              <w:rPr>
                <w:rFonts w:ascii="宋体" w:hAnsi="宋体"/>
                <w:color w:val="auto"/>
                <w:sz w:val="22"/>
                <w:szCs w:val="22"/>
                <w:highlight w:val="none"/>
              </w:rPr>
              <w:t>2.颜色：壶体、壶盖和壶带的颜色应为亚光藏蓝色；壶塞颜色为光亮浅灰色，其中拨杆为光亮藏蓝色。壶体口部外表面（含内口圆弧面）处理为不锈钢材料本色光面效果。壶体内表面处理为不锈钢材料本色细麻面亚光效果。警用水壶正反面的图案、文字及产品编号颜色为激光雕刻后形成的不锈钢本色，底部标牌电腐蚀为黑色。每件产品各部位颜色应一致。</w:t>
            </w:r>
            <w:r>
              <w:rPr>
                <w:rFonts w:ascii="宋体" w:hAnsi="宋体"/>
                <w:color w:val="auto"/>
                <w:sz w:val="22"/>
                <w:szCs w:val="22"/>
                <w:highlight w:val="none"/>
              </w:rPr>
              <w:br w:type="textWrapping"/>
            </w:r>
            <w:r>
              <w:rPr>
                <w:rFonts w:ascii="宋体" w:hAnsi="宋体"/>
                <w:color w:val="auto"/>
                <w:sz w:val="22"/>
                <w:szCs w:val="22"/>
                <w:highlight w:val="none"/>
              </w:rPr>
              <w:t>3.结构：由壶体、壶塞和壶盖构成，壶体应为不锈钢双层真空结构，塑料壶塞为拨杆及出水口结构，壶体标称容积为500ml。</w:t>
            </w:r>
            <w:r>
              <w:rPr>
                <w:rFonts w:ascii="宋体" w:hAnsi="宋体"/>
                <w:color w:val="auto"/>
                <w:sz w:val="22"/>
                <w:szCs w:val="22"/>
                <w:highlight w:val="none"/>
              </w:rPr>
              <w:br w:type="textWrapping"/>
            </w:r>
            <w:r>
              <w:rPr>
                <w:rFonts w:ascii="宋体" w:hAnsi="宋体"/>
                <w:color w:val="auto"/>
                <w:sz w:val="22"/>
                <w:szCs w:val="22"/>
                <w:highlight w:val="none"/>
              </w:rPr>
              <w:t>4.重量：≤</w:t>
            </w:r>
            <w:r>
              <w:rPr>
                <w:rFonts w:hint="eastAsia" w:ascii="宋体" w:hAnsi="宋体"/>
                <w:color w:val="auto"/>
                <w:sz w:val="22"/>
                <w:szCs w:val="22"/>
                <w:highlight w:val="none"/>
              </w:rPr>
              <w:t>40</w:t>
            </w:r>
            <w:r>
              <w:rPr>
                <w:rFonts w:ascii="宋体" w:hAnsi="宋体"/>
                <w:color w:val="auto"/>
                <w:sz w:val="22"/>
                <w:szCs w:val="22"/>
                <w:highlight w:val="none"/>
              </w:rPr>
              <w:t>0g</w:t>
            </w:r>
            <w:r>
              <w:rPr>
                <w:rFonts w:hint="eastAsia" w:ascii="宋体" w:hAnsi="宋体"/>
                <w:color w:val="auto"/>
                <w:sz w:val="22"/>
                <w:szCs w:val="22"/>
                <w:highlight w:val="none"/>
              </w:rPr>
              <w:t>；</w:t>
            </w:r>
          </w:p>
          <w:p>
            <w:pPr>
              <w:spacing w:line="276" w:lineRule="auto"/>
              <w:jc w:val="left"/>
              <w:rPr>
                <w:rFonts w:hint="eastAsia" w:ascii="宋体" w:hAnsi="宋体"/>
                <w:color w:val="auto"/>
                <w:sz w:val="22"/>
                <w:szCs w:val="22"/>
                <w:highlight w:val="none"/>
              </w:rPr>
            </w:pPr>
            <w:r>
              <w:rPr>
                <w:rFonts w:ascii="宋体" w:hAnsi="宋体"/>
                <w:color w:val="auto"/>
                <w:sz w:val="22"/>
                <w:szCs w:val="22"/>
                <w:highlight w:val="none"/>
              </w:rPr>
              <w:t>5.尺寸：壶体高度195mm±1mm，带壶盖成品总高215mm±1mm，壶体宽85mm±1mm，壶体厚58mm±1mm，壶口内径37mm±1mm</w:t>
            </w:r>
            <w:r>
              <w:rPr>
                <w:rFonts w:hint="eastAsia" w:ascii="宋体" w:hAnsi="宋体"/>
                <w:color w:val="auto"/>
                <w:sz w:val="22"/>
                <w:szCs w:val="22"/>
                <w:highlight w:val="none"/>
              </w:rPr>
              <w:t>；</w:t>
            </w:r>
          </w:p>
          <w:p>
            <w:pPr>
              <w:spacing w:line="276" w:lineRule="auto"/>
              <w:jc w:val="left"/>
              <w:rPr>
                <w:rFonts w:ascii="宋体" w:hAnsi="宋体"/>
                <w:color w:val="auto"/>
                <w:sz w:val="22"/>
                <w:szCs w:val="22"/>
                <w:highlight w:val="none"/>
              </w:rPr>
            </w:pPr>
            <w:r>
              <w:rPr>
                <w:rFonts w:ascii="宋体" w:hAnsi="宋体"/>
                <w:color w:val="auto"/>
                <w:sz w:val="22"/>
                <w:szCs w:val="22"/>
                <w:highlight w:val="none"/>
              </w:rPr>
              <w:t>6.容量：500ml</w:t>
            </w:r>
            <w:r>
              <w:rPr>
                <w:rFonts w:ascii="宋体" w:hAnsi="宋体"/>
                <w:color w:val="auto"/>
                <w:sz w:val="22"/>
                <w:szCs w:val="22"/>
                <w:highlight w:val="none"/>
              </w:rPr>
              <w:br w:type="textWrapping"/>
            </w:r>
            <w:r>
              <w:rPr>
                <w:rFonts w:ascii="宋体" w:hAnsi="宋体"/>
                <w:color w:val="auto"/>
                <w:sz w:val="22"/>
                <w:szCs w:val="22"/>
                <w:highlight w:val="none"/>
              </w:rPr>
              <w:t>7.执行标准：《GA 887-2010 公安单警装备 警用水壶》</w:t>
            </w:r>
          </w:p>
          <w:p>
            <w:pPr>
              <w:spacing w:line="276" w:lineRule="auto"/>
              <w:jc w:val="left"/>
              <w:rPr>
                <w:rFonts w:hint="eastAsia" w:ascii="宋体" w:hAnsi="宋体" w:eastAsia="宋体"/>
                <w:color w:val="auto"/>
                <w:sz w:val="22"/>
                <w:szCs w:val="22"/>
                <w:highlight w:val="none"/>
                <w:lang w:eastAsia="zh-CN"/>
              </w:rPr>
            </w:pPr>
            <w:r>
              <w:rPr>
                <w:rFonts w:hint="eastAsia" w:ascii="宋体" w:hAnsi="宋体" w:cs="宋体"/>
                <w:bCs/>
                <w:color w:val="auto"/>
                <w:sz w:val="22"/>
                <w:szCs w:val="22"/>
                <w:highlight w:val="none"/>
              </w:rPr>
              <w:t>▲</w:t>
            </w:r>
            <w:r>
              <w:rPr>
                <w:rFonts w:hint="eastAsia" w:ascii="宋体" w:hAnsi="宋体"/>
                <w:color w:val="auto"/>
                <w:sz w:val="22"/>
                <w:szCs w:val="22"/>
                <w:highlight w:val="none"/>
              </w:rPr>
              <w:t>8. 须提供开标日期前两年由</w:t>
            </w:r>
            <w:r>
              <w:rPr>
                <w:rFonts w:hint="eastAsia" w:ascii="宋体" w:hAnsi="宋体" w:cs="宋体"/>
                <w:color w:val="auto"/>
                <w:kern w:val="0"/>
                <w:sz w:val="22"/>
                <w:szCs w:val="22"/>
                <w:highlight w:val="none"/>
              </w:rPr>
              <w:t>公安部特种警用装备质量监督检测中心出具的检测报告</w:t>
            </w:r>
            <w:r>
              <w:rPr>
                <w:rFonts w:hint="eastAsia" w:ascii="宋体" w:hAnsi="宋体" w:cs="宋体"/>
                <w:color w:val="auto"/>
                <w:sz w:val="22"/>
                <w:szCs w:val="22"/>
                <w:highlight w:val="none"/>
              </w:rPr>
              <w:t>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t>10</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挂肩警示灯</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169670" cy="835025"/>
                  <wp:effectExtent l="0" t="0" r="11430" b="317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1"/>
                          <a:stretch>
                            <a:fillRect/>
                          </a:stretch>
                        </pic:blipFill>
                        <pic:spPr>
                          <a:xfrm>
                            <a:off x="0" y="0"/>
                            <a:ext cx="1169670" cy="835025"/>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1、LED爆闪灯光，可视距离达500m ；灯光正面侧面均可视；</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2、肩夹可360度旋转；</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3、可当小手电照明使用；</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4、充电指示和电量指示功能；</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5、工作模式的切换不仅可按键切换，也可轻拍切换。</w:t>
            </w:r>
          </w:p>
          <w:p>
            <w:pPr>
              <w:spacing w:line="276" w:lineRule="auto"/>
              <w:jc w:val="left"/>
              <w:rPr>
                <w:rFonts w:ascii="宋体" w:hAnsi="宋体" w:cs="宋体"/>
                <w:color w:val="auto"/>
                <w:sz w:val="22"/>
                <w:szCs w:val="22"/>
                <w:highlight w:val="none"/>
              </w:rPr>
            </w:pPr>
            <w:r>
              <w:rPr>
                <w:rFonts w:hint="eastAsia" w:ascii="宋体" w:hAnsi="宋体" w:cs="宋体"/>
                <w:bCs/>
                <w:color w:val="auto"/>
                <w:sz w:val="22"/>
                <w:szCs w:val="22"/>
                <w:highlight w:val="none"/>
              </w:rPr>
              <w:t>▲</w:t>
            </w:r>
            <w:r>
              <w:rPr>
                <w:rFonts w:hint="eastAsia" w:ascii="宋体" w:hAnsi="宋体"/>
                <w:color w:val="auto"/>
                <w:sz w:val="22"/>
                <w:szCs w:val="22"/>
                <w:highlight w:val="none"/>
              </w:rPr>
              <w:t>6 具有记忆功能关机时可存储当前工作模式 再次开机时，按照上次记忆存储的模式工作；</w:t>
            </w:r>
            <w:r>
              <w:rPr>
                <w:rFonts w:hint="eastAsia" w:ascii="宋体" w:hAnsi="宋体" w:cs="宋体"/>
                <w:color w:val="auto"/>
                <w:sz w:val="22"/>
                <w:szCs w:val="22"/>
                <w:highlight w:val="none"/>
              </w:rPr>
              <w:t>（需在检测报告中体现）</w:t>
            </w:r>
          </w:p>
          <w:p>
            <w:pPr>
              <w:spacing w:line="276" w:lineRule="auto"/>
              <w:jc w:val="left"/>
              <w:rPr>
                <w:rFonts w:hint="eastAsia" w:ascii="宋体" w:hAnsi="宋体" w:cs="宋体"/>
                <w:color w:val="auto"/>
                <w:sz w:val="22"/>
                <w:szCs w:val="22"/>
                <w:highlight w:val="none"/>
              </w:rPr>
            </w:pPr>
            <w:r>
              <w:rPr>
                <w:rFonts w:hint="eastAsia" w:ascii="宋体" w:hAnsi="宋体" w:cs="宋体"/>
                <w:bCs/>
                <w:color w:val="auto"/>
                <w:sz w:val="22"/>
                <w:szCs w:val="22"/>
                <w:highlight w:val="none"/>
              </w:rPr>
              <w:t>▲</w:t>
            </w:r>
            <w:r>
              <w:rPr>
                <w:rFonts w:ascii="宋体" w:hAnsi="宋体" w:cs="宋体"/>
                <w:color w:val="auto"/>
                <w:sz w:val="22"/>
                <w:szCs w:val="22"/>
                <w:highlight w:val="none"/>
              </w:rPr>
              <w:t>7、</w:t>
            </w:r>
            <w:r>
              <w:rPr>
                <w:rFonts w:hint="eastAsia" w:ascii="宋体" w:hAnsi="宋体" w:cs="宋体"/>
                <w:color w:val="auto"/>
                <w:sz w:val="22"/>
                <w:szCs w:val="22"/>
                <w:highlight w:val="none"/>
              </w:rPr>
              <w:t>电池工作：单一排灯闪烁模式连续工作时间≥18h，双排闪烁模式连续工作时间≥8h，白光照明灯模式连续工作时间≥5h（需在检测报告中体现）</w:t>
            </w:r>
          </w:p>
          <w:p>
            <w:pPr>
              <w:spacing w:line="276" w:lineRule="auto"/>
              <w:jc w:val="left"/>
              <w:rPr>
                <w:rFonts w:ascii="宋体" w:hAnsi="宋体" w:cs="宋体"/>
                <w:color w:val="auto"/>
                <w:sz w:val="22"/>
                <w:szCs w:val="22"/>
                <w:highlight w:val="none"/>
              </w:rPr>
            </w:pPr>
            <w:r>
              <w:rPr>
                <w:rFonts w:hint="eastAsia" w:ascii="宋体" w:hAnsi="宋体" w:cs="宋体"/>
                <w:bCs/>
                <w:color w:val="auto"/>
                <w:sz w:val="22"/>
                <w:szCs w:val="22"/>
                <w:highlight w:val="none"/>
              </w:rPr>
              <w:t>▲</w:t>
            </w:r>
            <w:r>
              <w:rPr>
                <w:rFonts w:ascii="宋体" w:hAnsi="宋体" w:cs="宋体"/>
                <w:color w:val="auto"/>
                <w:sz w:val="22"/>
                <w:szCs w:val="22"/>
                <w:highlight w:val="none"/>
              </w:rPr>
              <w:t>8</w:t>
            </w:r>
            <w:r>
              <w:rPr>
                <w:rFonts w:hint="eastAsia" w:ascii="宋体" w:hAnsi="宋体" w:cs="宋体"/>
                <w:color w:val="auto"/>
                <w:sz w:val="22"/>
                <w:szCs w:val="22"/>
                <w:highlight w:val="none"/>
              </w:rPr>
              <w:t>、</w:t>
            </w:r>
            <w:r>
              <w:rPr>
                <w:rFonts w:ascii="宋体" w:hAnsi="宋体"/>
                <w:color w:val="auto"/>
                <w:sz w:val="22"/>
                <w:szCs w:val="22"/>
                <w:highlight w:val="none"/>
              </w:rPr>
              <w:t>需提供</w:t>
            </w:r>
            <w:r>
              <w:rPr>
                <w:rFonts w:hint="eastAsia" w:ascii="宋体" w:hAnsi="宋体"/>
                <w:color w:val="auto"/>
                <w:sz w:val="22"/>
                <w:szCs w:val="22"/>
                <w:highlight w:val="none"/>
              </w:rPr>
              <w:t>国家安全防范报警系统产品质量监督检验中心（北京）、公安部安全与警用电子产品质量检测中心</w:t>
            </w:r>
            <w:r>
              <w:rPr>
                <w:rFonts w:ascii="宋体" w:hAnsi="宋体"/>
                <w:color w:val="auto"/>
                <w:sz w:val="22"/>
                <w:szCs w:val="22"/>
                <w:highlight w:val="none"/>
              </w:rPr>
              <w:t>出具的检测报告</w:t>
            </w:r>
          </w:p>
          <w:p>
            <w:pPr>
              <w:spacing w:line="276" w:lineRule="auto"/>
              <w:jc w:val="left"/>
              <w:rPr>
                <w:rFonts w:hint="eastAsia" w:ascii="宋体" w:hAnsi="宋体" w:cs="宋体"/>
                <w:color w:val="auto"/>
                <w:sz w:val="22"/>
                <w:szCs w:val="22"/>
                <w:highlight w:val="none"/>
              </w:rPr>
            </w:pPr>
            <w:r>
              <w:rPr>
                <w:rFonts w:hint="eastAsia" w:ascii="宋体" w:hAnsi="宋体" w:cs="宋体"/>
                <w:bCs/>
                <w:color w:val="auto"/>
                <w:sz w:val="22"/>
                <w:szCs w:val="22"/>
                <w:highlight w:val="none"/>
              </w:rPr>
              <w:t>▲9、投标</w:t>
            </w:r>
            <w:r>
              <w:rPr>
                <w:rFonts w:ascii="宋体" w:hAnsi="宋体" w:cs="宋体"/>
                <w:bCs/>
                <w:color w:val="auto"/>
                <w:sz w:val="22"/>
                <w:szCs w:val="22"/>
                <w:highlight w:val="none"/>
              </w:rPr>
              <w:t>现场</w:t>
            </w:r>
            <w:r>
              <w:rPr>
                <w:rFonts w:hint="eastAsia" w:ascii="宋体" w:hAnsi="宋体" w:cs="宋体"/>
                <w:bCs/>
                <w:color w:val="auto"/>
                <w:sz w:val="22"/>
                <w:szCs w:val="22"/>
                <w:highlight w:val="none"/>
              </w:rPr>
              <w:t>提供</w:t>
            </w:r>
            <w:r>
              <w:rPr>
                <w:rFonts w:ascii="宋体" w:hAnsi="宋体" w:cs="宋体"/>
                <w:bCs/>
                <w:color w:val="auto"/>
                <w:sz w:val="22"/>
                <w:szCs w:val="22"/>
                <w:highlight w:val="none"/>
              </w:rPr>
              <w:t>样品，</w:t>
            </w:r>
            <w:r>
              <w:rPr>
                <w:rFonts w:hint="eastAsia" w:ascii="宋体" w:hAnsi="宋体" w:cs="宋体"/>
                <w:bCs/>
                <w:color w:val="auto"/>
                <w:sz w:val="22"/>
                <w:szCs w:val="22"/>
                <w:highlight w:val="none"/>
              </w:rPr>
              <w:t>肩灯正</w:t>
            </w:r>
            <w:r>
              <w:rPr>
                <w:rFonts w:ascii="宋体" w:hAnsi="宋体" w:cs="宋体"/>
                <w:bCs/>
                <w:color w:val="auto"/>
                <w:sz w:val="22"/>
                <w:szCs w:val="22"/>
                <w:highlight w:val="none"/>
              </w:rPr>
              <w:t>面印有瓯海分局字样</w:t>
            </w:r>
            <w:r>
              <w:rPr>
                <w:rFonts w:hint="eastAsia" w:ascii="宋体" w:hAnsi="宋体" w:cs="宋体"/>
                <w:bCs/>
                <w:color w:val="auto"/>
                <w:sz w:val="22"/>
                <w:szCs w:val="22"/>
                <w:highlight w:val="none"/>
              </w:rPr>
              <w:t>和</w:t>
            </w:r>
            <w:r>
              <w:rPr>
                <w:rFonts w:ascii="宋体" w:hAnsi="宋体" w:cs="宋体"/>
                <w:bCs/>
                <w:color w:val="auto"/>
                <w:sz w:val="22"/>
                <w:szCs w:val="22"/>
                <w:highlight w:val="none"/>
              </w:rPr>
              <w:t>警徽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1</w:t>
            </w:r>
            <w:r>
              <w:rPr>
                <w:rFonts w:ascii="宋体" w:hAnsi="宋体"/>
                <w:color w:val="auto"/>
                <w:sz w:val="22"/>
                <w:szCs w:val="22"/>
                <w:highlight w:val="none"/>
              </w:rPr>
              <w:t>1</w:t>
            </w:r>
          </w:p>
        </w:tc>
        <w:tc>
          <w:tcPr>
            <w:tcW w:w="411" w:type="pct"/>
            <w:noWrap w:val="0"/>
            <w:vAlign w:val="center"/>
          </w:tcPr>
          <w:p>
            <w:pPr>
              <w:spacing w:line="276" w:lineRule="auto"/>
              <w:jc w:val="center"/>
              <w:rPr>
                <w:rFonts w:hint="eastAsia" w:ascii="宋体" w:hAnsi="宋体" w:cs="宋体"/>
                <w:color w:val="auto"/>
                <w:sz w:val="22"/>
                <w:szCs w:val="22"/>
                <w:highlight w:val="none"/>
              </w:rPr>
            </w:pPr>
            <w:r>
              <w:rPr>
                <w:rFonts w:ascii="宋体" w:hAnsi="宋体" w:cs="宋体"/>
                <w:color w:val="auto"/>
                <w:sz w:val="22"/>
                <w:szCs w:val="22"/>
                <w:highlight w:val="none"/>
              </w:rPr>
              <w:t>防割手套</w:t>
            </w:r>
          </w:p>
        </w:tc>
        <w:tc>
          <w:tcPr>
            <w:tcW w:w="1459" w:type="pct"/>
            <w:noWrap w:val="0"/>
            <w:vAlign w:val="center"/>
          </w:tcPr>
          <w:p>
            <w:pPr>
              <w:spacing w:line="276" w:lineRule="auto"/>
              <w:ind w:firstLine="360"/>
              <w:jc w:val="center"/>
              <w:rPr>
                <w:rFonts w:ascii="宋体" w:hAnsi="宋体"/>
                <w:color w:val="auto"/>
                <w:sz w:val="22"/>
                <w:szCs w:val="22"/>
                <w:highlight w:val="none"/>
              </w:rPr>
            </w:pPr>
            <w:r>
              <w:rPr>
                <w:color w:val="auto"/>
                <w:sz w:val="22"/>
                <w:szCs w:val="22"/>
                <w:highlight w:val="none"/>
              </w:rPr>
              <w:drawing>
                <wp:inline distT="0" distB="0" distL="114300" distR="114300">
                  <wp:extent cx="1367155" cy="1047750"/>
                  <wp:effectExtent l="0" t="0" r="4445"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22"/>
                          <a:stretch>
                            <a:fillRect/>
                          </a:stretch>
                        </pic:blipFill>
                        <pic:spPr>
                          <a:xfrm>
                            <a:off x="0" y="0"/>
                            <a:ext cx="1367155" cy="1047750"/>
                          </a:xfrm>
                          <a:prstGeom prst="rect">
                            <a:avLst/>
                          </a:prstGeom>
                          <a:noFill/>
                          <a:ln>
                            <a:noFill/>
                          </a:ln>
                        </pic:spPr>
                      </pic:pic>
                    </a:graphicData>
                  </a:graphic>
                </wp:inline>
              </w:drawing>
            </w:r>
          </w:p>
        </w:tc>
        <w:tc>
          <w:tcPr>
            <w:tcW w:w="2847" w:type="pct"/>
            <w:noWrap w:val="0"/>
            <w:vAlign w:val="center"/>
          </w:tcPr>
          <w:p>
            <w:pPr>
              <w:jc w:val="left"/>
              <w:rPr>
                <w:color w:val="auto"/>
                <w:sz w:val="22"/>
                <w:szCs w:val="22"/>
                <w:highlight w:val="none"/>
              </w:rPr>
            </w:pPr>
            <w:r>
              <w:rPr>
                <w:rFonts w:hint="eastAsia"/>
                <w:color w:val="auto"/>
                <w:sz w:val="22"/>
                <w:szCs w:val="22"/>
                <w:highlight w:val="none"/>
              </w:rPr>
              <w:t>1、外观：手套表面平整，无线头、破损、缺口、开线、漏针和污渍等缺陷；</w:t>
            </w:r>
          </w:p>
          <w:p>
            <w:pPr>
              <w:jc w:val="left"/>
              <w:rPr>
                <w:color w:val="auto"/>
                <w:sz w:val="22"/>
                <w:szCs w:val="22"/>
                <w:highlight w:val="none"/>
              </w:rPr>
            </w:pPr>
            <w:r>
              <w:rPr>
                <w:rFonts w:hint="eastAsia"/>
                <w:color w:val="auto"/>
                <w:sz w:val="22"/>
                <w:szCs w:val="22"/>
                <w:highlight w:val="none"/>
              </w:rPr>
              <w:t>2、颜色：白色、黑色；</w:t>
            </w:r>
          </w:p>
          <w:p>
            <w:pPr>
              <w:widowControl/>
              <w:spacing w:line="276" w:lineRule="auto"/>
              <w:jc w:val="left"/>
              <w:rPr>
                <w:color w:val="auto"/>
                <w:sz w:val="22"/>
                <w:szCs w:val="22"/>
                <w:highlight w:val="none"/>
              </w:rPr>
            </w:pPr>
            <w:r>
              <w:rPr>
                <w:rFonts w:hint="eastAsia"/>
                <w:color w:val="auto"/>
                <w:sz w:val="22"/>
                <w:szCs w:val="22"/>
                <w:highlight w:val="none"/>
              </w:rPr>
              <w:t>3、材质：采用超高分子量聚乙烯纤维内裹金属不锈钢丝的包覆纱作为表层和涤纶低弹丝作为里层编织而成；</w:t>
            </w:r>
            <w:r>
              <w:rPr>
                <w:rFonts w:hint="eastAsia"/>
                <w:color w:val="auto"/>
                <w:sz w:val="22"/>
                <w:szCs w:val="22"/>
                <w:highlight w:val="none"/>
              </w:rPr>
              <w:br w:type="textWrapping"/>
            </w:r>
            <w:r>
              <w:rPr>
                <w:rFonts w:hint="eastAsia"/>
                <w:color w:val="auto"/>
                <w:sz w:val="22"/>
                <w:szCs w:val="22"/>
                <w:highlight w:val="none"/>
              </w:rPr>
              <w:t>4、结构：分指式手套，手腕、手掌、手背、手指处于防割覆盖范围内，材料具备一致性；</w:t>
            </w:r>
            <w:r>
              <w:rPr>
                <w:rFonts w:hint="eastAsia"/>
                <w:color w:val="auto"/>
                <w:sz w:val="22"/>
                <w:szCs w:val="22"/>
                <w:highlight w:val="none"/>
              </w:rPr>
              <w:br w:type="textWrapping"/>
            </w:r>
            <w:r>
              <w:rPr>
                <w:rFonts w:hint="eastAsia"/>
                <w:color w:val="auto"/>
                <w:sz w:val="22"/>
                <w:szCs w:val="22"/>
                <w:highlight w:val="none"/>
              </w:rPr>
              <w:t>5、防割性能：用专用的手套切割试验机，设定刀口压力为20N，刀片转速为20r/min，在防割手套的掌部或背部垂直手指方向进行5次切割，每次割穿发生时，切割周数均大于7，耐切割系数不小于2.52；</w:t>
            </w:r>
            <w:r>
              <w:rPr>
                <w:rFonts w:hint="eastAsia"/>
                <w:color w:val="auto"/>
                <w:sz w:val="22"/>
                <w:szCs w:val="22"/>
                <w:highlight w:val="none"/>
              </w:rPr>
              <w:br w:type="textWrapping"/>
            </w:r>
            <w:r>
              <w:rPr>
                <w:rFonts w:hint="eastAsia"/>
                <w:color w:val="auto"/>
                <w:sz w:val="22"/>
                <w:szCs w:val="22"/>
                <w:highlight w:val="none"/>
              </w:rPr>
              <w:t>6、性能要求：具有抗弯曲、耐疲劳、抗切割、无毒等性能。产品易于戴、脱、透气、触感好、手感好，不影响关节弯曲；</w:t>
            </w:r>
          </w:p>
          <w:p>
            <w:pPr>
              <w:widowControl/>
              <w:spacing w:line="276" w:lineRule="auto"/>
              <w:jc w:val="left"/>
              <w:rPr>
                <w:rFonts w:ascii="宋体" w:hAnsi="宋体" w:cs="宋体"/>
                <w:color w:val="auto"/>
                <w:sz w:val="22"/>
                <w:szCs w:val="22"/>
                <w:highlight w:val="none"/>
              </w:rPr>
            </w:pPr>
            <w:r>
              <w:rPr>
                <w:rFonts w:hint="eastAsia" w:ascii="宋体" w:hAnsi="宋体" w:cs="宋体"/>
                <w:bCs/>
                <w:color w:val="auto"/>
                <w:sz w:val="22"/>
                <w:szCs w:val="22"/>
                <w:highlight w:val="none"/>
              </w:rPr>
              <w:t>▲</w:t>
            </w:r>
            <w:r>
              <w:rPr>
                <w:color w:val="auto"/>
                <w:sz w:val="22"/>
                <w:szCs w:val="22"/>
                <w:highlight w:val="none"/>
              </w:rPr>
              <w:t>7、</w:t>
            </w:r>
            <w:r>
              <w:rPr>
                <w:rFonts w:hint="eastAsia"/>
                <w:color w:val="auto"/>
                <w:sz w:val="22"/>
                <w:szCs w:val="22"/>
                <w:highlight w:val="none"/>
              </w:rPr>
              <w:t>P</w:t>
            </w:r>
            <w:r>
              <w:rPr>
                <w:color w:val="auto"/>
                <w:sz w:val="22"/>
                <w:szCs w:val="22"/>
                <w:highlight w:val="none"/>
              </w:rPr>
              <w:t>H</w:t>
            </w:r>
            <w:r>
              <w:rPr>
                <w:rFonts w:hint="eastAsia"/>
                <w:color w:val="auto"/>
                <w:sz w:val="22"/>
                <w:szCs w:val="22"/>
                <w:highlight w:val="none"/>
              </w:rPr>
              <w:t>值：产品</w:t>
            </w:r>
            <w:r>
              <w:rPr>
                <w:color w:val="auto"/>
                <w:sz w:val="22"/>
                <w:szCs w:val="22"/>
                <w:highlight w:val="none"/>
              </w:rPr>
              <w:t>PH</w:t>
            </w:r>
            <w:r>
              <w:rPr>
                <w:rFonts w:hint="eastAsia"/>
                <w:color w:val="auto"/>
                <w:sz w:val="22"/>
                <w:szCs w:val="22"/>
                <w:highlight w:val="none"/>
              </w:rPr>
              <w:t>值≤6</w:t>
            </w:r>
            <w:r>
              <w:rPr>
                <w:color w:val="auto"/>
                <w:sz w:val="22"/>
                <w:szCs w:val="22"/>
                <w:highlight w:val="none"/>
              </w:rPr>
              <w:t xml:space="preserve"> </w:t>
            </w:r>
            <w:r>
              <w:rPr>
                <w:rFonts w:hint="eastAsia" w:ascii="宋体" w:hAnsi="宋体"/>
                <w:color w:val="auto"/>
                <w:sz w:val="22"/>
                <w:szCs w:val="22"/>
                <w:highlight w:val="none"/>
              </w:rPr>
              <w:t>；</w:t>
            </w:r>
            <w:r>
              <w:rPr>
                <w:rFonts w:hint="eastAsia" w:ascii="宋体" w:hAnsi="宋体" w:cs="宋体"/>
                <w:color w:val="auto"/>
                <w:sz w:val="22"/>
                <w:szCs w:val="22"/>
                <w:highlight w:val="none"/>
              </w:rPr>
              <w:t>（需在检测报告中体现）</w:t>
            </w:r>
          </w:p>
          <w:p>
            <w:pPr>
              <w:widowControl/>
              <w:spacing w:line="276" w:lineRule="auto"/>
              <w:jc w:val="left"/>
              <w:rPr>
                <w:color w:val="auto"/>
                <w:sz w:val="22"/>
                <w:szCs w:val="22"/>
                <w:highlight w:val="none"/>
              </w:rPr>
            </w:pPr>
            <w:r>
              <w:rPr>
                <w:rFonts w:hint="eastAsia" w:ascii="宋体" w:hAnsi="宋体" w:cs="宋体"/>
                <w:bCs/>
                <w:color w:val="auto"/>
                <w:sz w:val="22"/>
                <w:szCs w:val="22"/>
                <w:highlight w:val="none"/>
              </w:rPr>
              <w:t>▲</w:t>
            </w:r>
            <w:r>
              <w:rPr>
                <w:rFonts w:ascii="宋体" w:hAnsi="宋体" w:cs="宋体"/>
                <w:color w:val="auto"/>
                <w:sz w:val="22"/>
                <w:szCs w:val="22"/>
                <w:highlight w:val="none"/>
              </w:rPr>
              <w:t>8、</w:t>
            </w:r>
            <w:r>
              <w:rPr>
                <w:rFonts w:hint="eastAsia" w:ascii="宋体" w:hAnsi="宋体" w:cs="宋体"/>
                <w:color w:val="auto"/>
                <w:sz w:val="22"/>
                <w:szCs w:val="22"/>
                <w:highlight w:val="none"/>
              </w:rPr>
              <w:t>安全性：甲醛含量未检出（需在检测报告中体现）</w:t>
            </w:r>
            <w:r>
              <w:rPr>
                <w:rFonts w:hint="eastAsia"/>
                <w:color w:val="auto"/>
                <w:sz w:val="22"/>
                <w:szCs w:val="22"/>
                <w:highlight w:val="none"/>
              </w:rPr>
              <w:br w:type="textWrapping"/>
            </w:r>
            <w:r>
              <w:rPr>
                <w:rFonts w:hint="eastAsia"/>
                <w:color w:val="auto"/>
                <w:sz w:val="22"/>
                <w:szCs w:val="22"/>
                <w:highlight w:val="none"/>
              </w:rPr>
              <w:t>9、执行标准：《GA 614-2006 警用防割手套》；</w:t>
            </w:r>
          </w:p>
          <w:p>
            <w:pPr>
              <w:widowControl/>
              <w:spacing w:line="276" w:lineRule="auto"/>
              <w:jc w:val="left"/>
              <w:rPr>
                <w:rFonts w:hint="eastAsia" w:ascii="宋体" w:hAnsi="宋体" w:eastAsia="宋体"/>
                <w:color w:val="auto"/>
                <w:sz w:val="22"/>
                <w:szCs w:val="22"/>
                <w:highlight w:val="none"/>
                <w:lang w:eastAsia="zh-CN"/>
              </w:rPr>
            </w:pPr>
            <w:r>
              <w:rPr>
                <w:rFonts w:hint="eastAsia" w:ascii="宋体" w:hAnsi="宋体" w:cs="宋体"/>
                <w:bCs/>
                <w:color w:val="auto"/>
                <w:sz w:val="22"/>
                <w:szCs w:val="22"/>
                <w:highlight w:val="none"/>
              </w:rPr>
              <w:t>▲</w:t>
            </w:r>
            <w:r>
              <w:rPr>
                <w:color w:val="auto"/>
                <w:sz w:val="22"/>
                <w:szCs w:val="22"/>
                <w:highlight w:val="none"/>
              </w:rPr>
              <w:t>10、</w:t>
            </w:r>
            <w:r>
              <w:rPr>
                <w:rFonts w:hint="eastAsia" w:ascii="宋体" w:hAnsi="宋体"/>
                <w:color w:val="auto"/>
                <w:sz w:val="22"/>
                <w:szCs w:val="22"/>
                <w:highlight w:val="none"/>
              </w:rPr>
              <w:t>须提供开标日期前两年</w:t>
            </w:r>
            <w:r>
              <w:rPr>
                <w:rFonts w:hint="eastAsia" w:ascii="宋体" w:hAnsi="宋体" w:cs="宋体"/>
                <w:color w:val="auto"/>
                <w:kern w:val="0"/>
                <w:sz w:val="22"/>
                <w:szCs w:val="22"/>
                <w:highlight w:val="none"/>
              </w:rPr>
              <w:t>公安部特种警用装备质量监督检测中心出具的检测报告</w:t>
            </w:r>
            <w:r>
              <w:rPr>
                <w:rFonts w:hint="eastAsia" w:ascii="宋体" w:hAnsi="宋体" w:cs="宋体"/>
                <w:color w:val="auto"/>
                <w:sz w:val="22"/>
                <w:szCs w:val="22"/>
                <w:highlight w:val="none"/>
              </w:rPr>
              <w:t>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1</w:t>
            </w:r>
            <w:r>
              <w:rPr>
                <w:rFonts w:ascii="宋体" w:hAnsi="宋体"/>
                <w:color w:val="auto"/>
                <w:sz w:val="22"/>
                <w:szCs w:val="22"/>
                <w:highlight w:val="none"/>
              </w:rPr>
              <w:t>2</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医疗箱</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296670" cy="1393190"/>
                  <wp:effectExtent l="0" t="0" r="17780" b="16510"/>
                  <wp:docPr id="16" name="图片 12" descr="C:\Users\SG280\Documents\Tencent Files\1120996511\Image\C2C\EG`9(P(IU3%UIJJM76D6O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C:\Users\SG280\Documents\Tencent Files\1120996511\Image\C2C\EG`9(P(IU3%UIJJM76D6OA7.jpg"/>
                          <pic:cNvPicPr>
                            <a:picLocks noChangeAspect="1"/>
                          </pic:cNvPicPr>
                        </pic:nvPicPr>
                        <pic:blipFill>
                          <a:blip r:embed="rId23"/>
                          <a:stretch>
                            <a:fillRect/>
                          </a:stretch>
                        </pic:blipFill>
                        <pic:spPr>
                          <a:xfrm>
                            <a:off x="0" y="0"/>
                            <a:ext cx="1296670" cy="1393190"/>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ascii="宋体" w:hAnsi="宋体"/>
                <w:color w:val="auto"/>
                <w:sz w:val="22"/>
                <w:szCs w:val="22"/>
                <w:highlight w:val="none"/>
              </w:rPr>
              <w:t>1. 配置内容物侧重于工作、办公、生活场所需的医疗急救用品，能解决日常意外伤害发生后及时进行清创消毒、止血包扎、创伤愈合等护理需求,可作为办公室急救箱、家庭急救箱、工厂急救箱、校园急救箱使用。</w:t>
            </w:r>
            <w:r>
              <w:rPr>
                <w:rFonts w:ascii="宋体" w:hAnsi="宋体"/>
                <w:color w:val="auto"/>
                <w:sz w:val="22"/>
                <w:szCs w:val="22"/>
                <w:highlight w:val="none"/>
              </w:rPr>
              <w:br w:type="textWrapping"/>
            </w:r>
            <w:r>
              <w:rPr>
                <w:rFonts w:ascii="宋体" w:hAnsi="宋体"/>
                <w:color w:val="auto"/>
                <w:sz w:val="22"/>
                <w:szCs w:val="22"/>
                <w:highlight w:val="none"/>
              </w:rPr>
              <w:t>2. 外箱材质：铝塑面板，铝合金框架</w:t>
            </w:r>
            <w:r>
              <w:rPr>
                <w:rFonts w:ascii="宋体" w:hAnsi="宋体"/>
                <w:color w:val="auto"/>
                <w:sz w:val="22"/>
                <w:szCs w:val="22"/>
                <w:highlight w:val="none"/>
              </w:rPr>
              <w:br w:type="textWrapping"/>
            </w:r>
            <w:r>
              <w:rPr>
                <w:rFonts w:ascii="宋体" w:hAnsi="宋体"/>
                <w:color w:val="auto"/>
                <w:sz w:val="22"/>
                <w:szCs w:val="22"/>
                <w:highlight w:val="none"/>
              </w:rPr>
              <w:t>3. 外箱颜色：闪银色</w:t>
            </w:r>
            <w:r>
              <w:rPr>
                <w:rFonts w:ascii="宋体" w:hAnsi="宋体"/>
                <w:color w:val="auto"/>
                <w:sz w:val="22"/>
                <w:szCs w:val="22"/>
                <w:highlight w:val="none"/>
              </w:rPr>
              <w:br w:type="textWrapping"/>
            </w:r>
            <w:r>
              <w:rPr>
                <w:rFonts w:ascii="宋体" w:hAnsi="宋体"/>
                <w:color w:val="auto"/>
                <w:sz w:val="22"/>
                <w:szCs w:val="22"/>
                <w:highlight w:val="none"/>
              </w:rPr>
              <w:t>4. 外箱尺寸：280mm×180mm×170mm</w:t>
            </w:r>
            <w:r>
              <w:rPr>
                <w:rFonts w:ascii="宋体" w:hAnsi="宋体"/>
                <w:color w:val="auto"/>
                <w:sz w:val="22"/>
                <w:szCs w:val="22"/>
                <w:highlight w:val="none"/>
              </w:rPr>
              <w:br w:type="textWrapping"/>
            </w:r>
            <w:r>
              <w:rPr>
                <w:rFonts w:ascii="宋体" w:hAnsi="宋体"/>
                <w:color w:val="auto"/>
                <w:sz w:val="22"/>
                <w:szCs w:val="22"/>
                <w:highlight w:val="none"/>
              </w:rPr>
              <w:t>5. 基础配置：医用纱布块（大号）10片，医用弹性绷带6卷，自粘弹性绷带1卷，创可贴10片，医用透气胶带1卷，碘伏消毒液20支，医用敷贴（中号）2片，弹力帽1个，三角绷带1包，卡扣式止血带1个，玻璃体温计1支，瞬冷冰袋1袋，医用酒精棉片10片，医用烧伤敷料（烫伤膏）1支，急救毯1块，呼吸面罩1个，自吸过滤式防颗粒物口罩2 副，圆头剪刀1把，敷料镊子1个，安全别针10枚，高频救生哨1个，急救手册1本，健康急救卡1张，售后服务卡1张，急救知识光盘1张，外箱1个，配置清单1张。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1</w:t>
            </w:r>
            <w:r>
              <w:rPr>
                <w:rFonts w:ascii="宋体" w:hAnsi="宋体"/>
                <w:color w:val="auto"/>
                <w:sz w:val="22"/>
                <w:szCs w:val="22"/>
                <w:highlight w:val="none"/>
              </w:rPr>
              <w:t>3</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急救包</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fldChar w:fldCharType="begin"/>
            </w:r>
            <w:r>
              <w:rPr>
                <w:rFonts w:ascii="宋体" w:hAnsi="宋体"/>
                <w:color w:val="auto"/>
                <w:sz w:val="22"/>
                <w:szCs w:val="22"/>
                <w:highlight w:val="none"/>
              </w:rPr>
              <w:instrText xml:space="preserve"> INCLUDEPICTURE "http://www.jingchazhuangbei.com/upfile/2010061921445428507.jpg" \* MERGEFORMAT </w:instrText>
            </w:r>
            <w:r>
              <w:rPr>
                <w:rFonts w:ascii="宋体" w:hAnsi="宋体"/>
                <w:color w:val="auto"/>
                <w:sz w:val="22"/>
                <w:szCs w:val="22"/>
                <w:highlight w:val="none"/>
              </w:rPr>
              <w:fldChar w:fldCharType="separate"/>
            </w:r>
            <w:r>
              <w:rPr>
                <w:rFonts w:ascii="宋体" w:hAnsi="宋体"/>
                <w:color w:val="auto"/>
                <w:sz w:val="22"/>
                <w:szCs w:val="22"/>
                <w:highlight w:val="none"/>
              </w:rPr>
              <w:drawing>
                <wp:inline distT="0" distB="0" distL="114300" distR="114300">
                  <wp:extent cx="1211580" cy="1311910"/>
                  <wp:effectExtent l="0" t="0" r="762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1211580" cy="1311910"/>
                          </a:xfrm>
                          <a:prstGeom prst="rect">
                            <a:avLst/>
                          </a:prstGeom>
                          <a:noFill/>
                          <a:ln>
                            <a:noFill/>
                          </a:ln>
                        </pic:spPr>
                      </pic:pic>
                    </a:graphicData>
                  </a:graphic>
                </wp:inline>
              </w:drawing>
            </w:r>
            <w:r>
              <w:rPr>
                <w:rFonts w:ascii="宋体" w:hAnsi="宋体"/>
                <w:color w:val="auto"/>
                <w:sz w:val="22"/>
                <w:szCs w:val="22"/>
                <w:highlight w:val="none"/>
              </w:rPr>
              <w:fldChar w:fldCharType="end"/>
            </w:r>
          </w:p>
        </w:tc>
        <w:tc>
          <w:tcPr>
            <w:tcW w:w="2847" w:type="pct"/>
            <w:noWrap w:val="0"/>
            <w:vAlign w:val="center"/>
          </w:tcPr>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1、外观：移膜皮革、里衬表面无划痕、残次，皮面花纹一致，外形方正，边缘顺直，捏皱均匀，圆角对称；包正面烫印有警徽图案、中文“警察”、英文“POLICE”中文“急救包”字样。警徽图案应符合GA 244的规定，警徽高23mm;中文“警察”为黑体子，字高12mm,宽度为35mm,英文“POLICE”为黑体字，字高7mm;中文“警用急救包”为黑体字，字高9mm,j警徽图案底部距底边85mm,中文“警察”字底部距底边65mm,英文“POLICE”字底部距底边55mm, “警用急救包”字底部距底边20mm；</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2、颜色：急救包所用移膜皮革及其辅料配件的颜色为黑色，警徽图案和文字标识为银白色；</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3、结构：由包体、内装药品和器械组成。包体采用移膜皮革制成。</w:t>
            </w:r>
          </w:p>
          <w:p>
            <w:pPr>
              <w:spacing w:line="276" w:lineRule="auto"/>
              <w:jc w:val="left"/>
              <w:rPr>
                <w:rFonts w:ascii="宋体" w:hAnsi="宋体"/>
                <w:color w:val="auto"/>
                <w:sz w:val="22"/>
                <w:szCs w:val="22"/>
                <w:highlight w:val="none"/>
              </w:rPr>
            </w:pPr>
            <w:r>
              <w:rPr>
                <w:rFonts w:hint="eastAsia" w:ascii="宋体" w:hAnsi="宋体" w:cs="宋体"/>
                <w:bCs/>
                <w:color w:val="auto"/>
                <w:sz w:val="22"/>
                <w:szCs w:val="22"/>
                <w:highlight w:val="none"/>
              </w:rPr>
              <w:t>▲</w:t>
            </w:r>
            <w:r>
              <w:rPr>
                <w:rFonts w:hint="eastAsia" w:ascii="宋体" w:hAnsi="宋体"/>
                <w:color w:val="auto"/>
                <w:sz w:val="22"/>
                <w:szCs w:val="22"/>
                <w:highlight w:val="none"/>
              </w:rPr>
              <w:t>4、组成：包内装含有整瓶</w:t>
            </w:r>
            <w:r>
              <w:rPr>
                <w:rFonts w:ascii="宋体" w:hAnsi="宋体"/>
                <w:color w:val="auto"/>
                <w:sz w:val="22"/>
                <w:szCs w:val="22"/>
                <w:highlight w:val="none"/>
              </w:rPr>
              <w:t>的</w:t>
            </w:r>
            <w:r>
              <w:rPr>
                <w:rFonts w:hint="eastAsia" w:ascii="宋体" w:hAnsi="宋体"/>
                <w:color w:val="auto"/>
                <w:sz w:val="22"/>
                <w:szCs w:val="22"/>
                <w:highlight w:val="none"/>
              </w:rPr>
              <w:t>硝酸甘油片、创口贴、橡胶止血带、无菌纱布片、带垫急救绷带、口对口呼吸膜、酒精消毒片、抗菌湿纸巾、小剪刀、别针等药品与器械；</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5、尺寸：急救包展开长应为220mm±5mm,宽125mm±3mm；</w:t>
            </w:r>
          </w:p>
          <w:p>
            <w:pPr>
              <w:spacing w:line="276" w:lineRule="auto"/>
              <w:jc w:val="left"/>
              <w:rPr>
                <w:rFonts w:hint="eastAsia" w:ascii="宋体" w:hAnsi="宋体"/>
                <w:color w:val="auto"/>
                <w:sz w:val="22"/>
                <w:szCs w:val="22"/>
                <w:highlight w:val="none"/>
              </w:rPr>
            </w:pPr>
            <w:r>
              <w:rPr>
                <w:rFonts w:ascii="宋体" w:hAnsi="宋体"/>
                <w:color w:val="auto"/>
                <w:sz w:val="22"/>
                <w:szCs w:val="22"/>
                <w:highlight w:val="none"/>
              </w:rPr>
              <w:t>6、</w:t>
            </w:r>
            <w:r>
              <w:rPr>
                <w:rFonts w:hint="eastAsia" w:ascii="宋体" w:hAnsi="宋体"/>
                <w:color w:val="auto"/>
                <w:sz w:val="22"/>
                <w:szCs w:val="22"/>
                <w:highlight w:val="none"/>
              </w:rPr>
              <w:t>皮革撕裂强度：≥70</w:t>
            </w:r>
            <w:r>
              <w:rPr>
                <w:rFonts w:ascii="宋体" w:hAnsi="宋体"/>
                <w:color w:val="auto"/>
                <w:sz w:val="22"/>
                <w:szCs w:val="22"/>
                <w:highlight w:val="none"/>
              </w:rPr>
              <w:t>N/</w:t>
            </w:r>
            <w:r>
              <w:rPr>
                <w:rFonts w:hint="eastAsia" w:ascii="宋体" w:hAnsi="宋体"/>
                <w:color w:val="auto"/>
                <w:sz w:val="22"/>
                <w:szCs w:val="22"/>
                <w:highlight w:val="none"/>
              </w:rPr>
              <w:t>mm，拉链平均拉力：≥750</w:t>
            </w:r>
            <w:r>
              <w:rPr>
                <w:rFonts w:ascii="宋体" w:hAnsi="宋体"/>
                <w:color w:val="auto"/>
                <w:sz w:val="22"/>
                <w:szCs w:val="22"/>
                <w:highlight w:val="none"/>
              </w:rPr>
              <w:t>N；</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6、执行标准：《GA 891-2010 公安单警装备警用急救包》；</w:t>
            </w:r>
          </w:p>
          <w:p>
            <w:pPr>
              <w:spacing w:line="276" w:lineRule="auto"/>
              <w:jc w:val="left"/>
              <w:rPr>
                <w:rFonts w:hint="eastAsia" w:ascii="宋体" w:hAnsi="宋体"/>
                <w:color w:val="auto"/>
                <w:sz w:val="22"/>
                <w:szCs w:val="22"/>
                <w:highlight w:val="none"/>
              </w:rPr>
            </w:pPr>
            <w:r>
              <w:rPr>
                <w:rFonts w:hint="eastAsia" w:ascii="宋体" w:hAnsi="宋体" w:cs="宋体"/>
                <w:bCs/>
                <w:color w:val="auto"/>
                <w:sz w:val="22"/>
                <w:szCs w:val="22"/>
                <w:highlight w:val="none"/>
              </w:rPr>
              <w:t>▲</w:t>
            </w:r>
            <w:r>
              <w:rPr>
                <w:rFonts w:ascii="宋体" w:hAnsi="宋体"/>
                <w:color w:val="auto"/>
                <w:sz w:val="22"/>
                <w:szCs w:val="22"/>
                <w:highlight w:val="none"/>
              </w:rPr>
              <w:t>7、</w:t>
            </w:r>
            <w:r>
              <w:rPr>
                <w:rFonts w:hint="eastAsia" w:ascii="宋体" w:hAnsi="宋体"/>
                <w:color w:val="auto"/>
                <w:sz w:val="22"/>
                <w:szCs w:val="22"/>
                <w:highlight w:val="none"/>
              </w:rPr>
              <w:t>须提供开标日期前两年由</w:t>
            </w:r>
            <w:r>
              <w:rPr>
                <w:rFonts w:hint="eastAsia" w:ascii="宋体" w:hAnsi="宋体" w:cs="宋体"/>
                <w:color w:val="auto"/>
                <w:kern w:val="0"/>
                <w:sz w:val="22"/>
                <w:szCs w:val="22"/>
                <w:highlight w:val="none"/>
              </w:rPr>
              <w:t>公安部特种警用装备质量监督检测中心出具的检测报告</w:t>
            </w:r>
            <w:r>
              <w:rPr>
                <w:rFonts w:hint="eastAsia" w:ascii="宋体" w:hAnsi="宋体" w:cs="宋体"/>
                <w:color w:val="auto"/>
                <w:sz w:val="22"/>
                <w:szCs w:val="22"/>
                <w:highlight w:val="none"/>
              </w:rPr>
              <w:t xml:space="preserve">复印件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1</w:t>
            </w:r>
            <w:r>
              <w:rPr>
                <w:rFonts w:ascii="宋体" w:hAnsi="宋体"/>
                <w:color w:val="auto"/>
                <w:sz w:val="22"/>
                <w:szCs w:val="22"/>
                <w:highlight w:val="none"/>
              </w:rPr>
              <w:t>4</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警官</w:t>
            </w:r>
            <w:r>
              <w:rPr>
                <w:rFonts w:ascii="宋体" w:hAnsi="宋体"/>
                <w:color w:val="auto"/>
                <w:sz w:val="22"/>
                <w:szCs w:val="22"/>
                <w:highlight w:val="none"/>
              </w:rPr>
              <w:t>吊牌</w:t>
            </w:r>
            <w:r>
              <w:rPr>
                <w:rFonts w:hint="eastAsia" w:ascii="宋体" w:hAnsi="宋体"/>
                <w:color w:val="auto"/>
                <w:sz w:val="22"/>
                <w:szCs w:val="22"/>
                <w:highlight w:val="none"/>
              </w:rPr>
              <w:t>含吊绳</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s="宋体"/>
                <w:color w:val="auto"/>
                <w:kern w:val="0"/>
                <w:sz w:val="22"/>
                <w:szCs w:val="22"/>
                <w:highlight w:val="none"/>
              </w:rPr>
              <w:drawing>
                <wp:inline distT="0" distB="0" distL="114300" distR="114300">
                  <wp:extent cx="699135" cy="949960"/>
                  <wp:effectExtent l="0" t="0" r="5715" b="254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25"/>
                          <a:stretch>
                            <a:fillRect/>
                          </a:stretch>
                        </pic:blipFill>
                        <pic:spPr>
                          <a:xfrm>
                            <a:off x="0" y="0"/>
                            <a:ext cx="699135" cy="949960"/>
                          </a:xfrm>
                          <a:prstGeom prst="rect">
                            <a:avLst/>
                          </a:prstGeom>
                          <a:noFill/>
                          <a:ln>
                            <a:noFill/>
                          </a:ln>
                        </pic:spPr>
                      </pic:pic>
                    </a:graphicData>
                  </a:graphic>
                </wp:inline>
              </w:drawing>
            </w:r>
            <w:r>
              <w:rPr>
                <w:rFonts w:ascii="宋体" w:hAnsi="宋体" w:cs="宋体"/>
                <w:color w:val="auto"/>
                <w:kern w:val="0"/>
                <w:sz w:val="22"/>
                <w:szCs w:val="22"/>
                <w:highlight w:val="none"/>
              </w:rPr>
              <w:drawing>
                <wp:inline distT="0" distB="0" distL="114300" distR="114300">
                  <wp:extent cx="580390" cy="957580"/>
                  <wp:effectExtent l="0" t="0" r="10160" b="1397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26"/>
                          <a:stretch>
                            <a:fillRect/>
                          </a:stretch>
                        </pic:blipFill>
                        <pic:spPr>
                          <a:xfrm>
                            <a:off x="0" y="0"/>
                            <a:ext cx="580390" cy="957580"/>
                          </a:xfrm>
                          <a:prstGeom prst="rect">
                            <a:avLst/>
                          </a:prstGeom>
                          <a:noFill/>
                          <a:ln>
                            <a:noFill/>
                          </a:ln>
                        </pic:spPr>
                      </pic:pic>
                    </a:graphicData>
                  </a:graphic>
                </wp:inline>
              </w:drawing>
            </w:r>
          </w:p>
        </w:tc>
        <w:tc>
          <w:tcPr>
            <w:tcW w:w="2847" w:type="pct"/>
            <w:noWrap w:val="0"/>
            <w:vAlign w:val="center"/>
          </w:tcPr>
          <w:p>
            <w:pPr>
              <w:numPr>
                <w:ilvl w:val="0"/>
                <w:numId w:val="46"/>
              </w:num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证件壳(含吊绳)</w:t>
            </w:r>
          </w:p>
          <w:p>
            <w:pPr>
              <w:numPr>
                <w:ilvl w:val="0"/>
                <w:numId w:val="46"/>
              </w:num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材质：真皮、透明PVC</w:t>
            </w:r>
          </w:p>
          <w:p>
            <w:pPr>
              <w:numPr>
                <w:ilvl w:val="0"/>
                <w:numId w:val="46"/>
              </w:num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规格：横版、竖版</w:t>
            </w:r>
          </w:p>
          <w:p>
            <w:pPr>
              <w:numPr>
                <w:ilvl w:val="0"/>
                <w:numId w:val="46"/>
              </w:num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吊绳为蓝色，印有“瓯海区公安分局”字样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1</w:t>
            </w:r>
            <w:r>
              <w:rPr>
                <w:rFonts w:ascii="宋体" w:hAnsi="宋体"/>
                <w:color w:val="auto"/>
                <w:sz w:val="22"/>
                <w:szCs w:val="22"/>
                <w:highlight w:val="none"/>
              </w:rPr>
              <w:t>5</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救生圈</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198880" cy="1051560"/>
                  <wp:effectExtent l="0" t="0" r="1270" b="15240"/>
                  <wp:docPr id="10" name="图片 16" descr="QQ图片2018060111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QQ图片20180601114823"/>
                          <pic:cNvPicPr>
                            <a:picLocks noChangeAspect="1"/>
                          </pic:cNvPicPr>
                        </pic:nvPicPr>
                        <pic:blipFill>
                          <a:blip r:embed="rId27"/>
                          <a:stretch>
                            <a:fillRect/>
                          </a:stretch>
                        </pic:blipFill>
                        <pic:spPr>
                          <a:xfrm>
                            <a:off x="0" y="0"/>
                            <a:ext cx="1198880" cy="1051560"/>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1、材质：采用高密度聚乙烯为壳体，内充高密度聚氨酯闭孔泡沫</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2、大小：外径710mm（±10mm） ，内径440mm（±10mm）</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3、浮力：≥14.5kg</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4、重量：≤2.6kg</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5、颜色：橙色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1</w:t>
            </w:r>
            <w:r>
              <w:rPr>
                <w:rFonts w:ascii="宋体" w:hAnsi="宋体"/>
                <w:color w:val="auto"/>
                <w:sz w:val="22"/>
                <w:szCs w:val="22"/>
                <w:highlight w:val="none"/>
              </w:rPr>
              <w:t>6</w:t>
            </w:r>
          </w:p>
        </w:tc>
        <w:tc>
          <w:tcPr>
            <w:tcW w:w="411" w:type="pct"/>
            <w:noWrap w:val="0"/>
            <w:vAlign w:val="center"/>
          </w:tcPr>
          <w:p>
            <w:pPr>
              <w:spacing w:line="276" w:lineRule="auto"/>
              <w:jc w:val="center"/>
              <w:rPr>
                <w:rFonts w:hint="eastAsia" w:ascii="宋体" w:hAnsi="宋体"/>
                <w:color w:val="auto"/>
                <w:sz w:val="22"/>
                <w:szCs w:val="22"/>
                <w:highlight w:val="none"/>
              </w:rPr>
            </w:pPr>
            <w:r>
              <w:rPr>
                <w:rFonts w:hint="eastAsia" w:ascii="宋体" w:hAnsi="宋体"/>
                <w:color w:val="auto"/>
                <w:sz w:val="22"/>
                <w:szCs w:val="22"/>
                <w:highlight w:val="none"/>
              </w:rPr>
              <w:t>金属探测器</w:t>
            </w:r>
          </w:p>
        </w:tc>
        <w:tc>
          <w:tcPr>
            <w:tcW w:w="1459" w:type="pct"/>
            <w:noWrap w:val="0"/>
            <w:vAlign w:val="center"/>
          </w:tcPr>
          <w:p>
            <w:pPr>
              <w:widowControl/>
              <w:spacing w:line="276" w:lineRule="auto"/>
              <w:jc w:val="center"/>
              <w:rPr>
                <w:rFonts w:ascii="宋体" w:hAnsi="宋体" w:cs="宋体"/>
                <w:color w:val="auto"/>
                <w:kern w:val="0"/>
                <w:sz w:val="22"/>
                <w:szCs w:val="22"/>
                <w:highlight w:val="none"/>
              </w:rPr>
            </w:pPr>
            <w:r>
              <w:rPr>
                <w:rFonts w:ascii="宋体" w:hAnsi="宋体" w:cs="宋体"/>
                <w:color w:val="auto"/>
                <w:kern w:val="0"/>
                <w:sz w:val="22"/>
                <w:szCs w:val="22"/>
                <w:highlight w:val="none"/>
              </w:rPr>
              <w:drawing>
                <wp:inline distT="0" distB="0" distL="114300" distR="114300">
                  <wp:extent cx="942975" cy="1362710"/>
                  <wp:effectExtent l="0" t="0" r="9525" b="889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28"/>
                          <a:stretch>
                            <a:fillRect/>
                          </a:stretch>
                        </pic:blipFill>
                        <pic:spPr>
                          <a:xfrm>
                            <a:off x="0" y="0"/>
                            <a:ext cx="942975" cy="1362710"/>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ascii="宋体" w:hAnsi="宋体"/>
                <w:color w:val="auto"/>
                <w:sz w:val="22"/>
                <w:szCs w:val="22"/>
                <w:highlight w:val="none"/>
              </w:rPr>
              <w:t>1、外形尺寸：长410mm x 85mm（</w:t>
            </w:r>
            <w:r>
              <w:rPr>
                <w:rFonts w:hint="eastAsia" w:ascii="宋体" w:hAnsi="宋体"/>
                <w:color w:val="auto"/>
                <w:sz w:val="22"/>
                <w:szCs w:val="22"/>
                <w:highlight w:val="none"/>
              </w:rPr>
              <w:t>±10mm）</w:t>
            </w:r>
            <w:r>
              <w:rPr>
                <w:rFonts w:ascii="宋体" w:hAnsi="宋体"/>
                <w:color w:val="auto"/>
                <w:sz w:val="22"/>
                <w:szCs w:val="22"/>
                <w:highlight w:val="none"/>
              </w:rPr>
              <w:t>；  </w:t>
            </w:r>
            <w:r>
              <w:rPr>
                <w:rFonts w:ascii="宋体" w:hAnsi="宋体"/>
                <w:color w:val="auto"/>
                <w:sz w:val="22"/>
                <w:szCs w:val="22"/>
                <w:highlight w:val="none"/>
              </w:rPr>
              <w:br w:type="textWrapping"/>
            </w:r>
            <w:r>
              <w:rPr>
                <w:rFonts w:ascii="宋体" w:hAnsi="宋体"/>
                <w:color w:val="auto"/>
                <w:sz w:val="22"/>
                <w:szCs w:val="22"/>
                <w:highlight w:val="none"/>
              </w:rPr>
              <w:t>2、工作电源：标准9v叠层碱性电池；</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3</w:t>
            </w:r>
            <w:r>
              <w:rPr>
                <w:rFonts w:ascii="宋体" w:hAnsi="宋体"/>
                <w:color w:val="auto"/>
                <w:sz w:val="22"/>
                <w:szCs w:val="22"/>
                <w:highlight w:val="none"/>
              </w:rPr>
              <w:t>、用电省，可连续工作40小时以上；电池即将用完时，用自动连续告警声；可以使用外接电源进行充电</w:t>
            </w:r>
            <w:r>
              <w:rPr>
                <w:rFonts w:ascii="宋体" w:hAnsi="宋体"/>
                <w:color w:val="auto"/>
                <w:sz w:val="22"/>
                <w:szCs w:val="22"/>
                <w:highlight w:val="none"/>
              </w:rPr>
              <w:br w:type="textWrapping"/>
            </w:r>
            <w:r>
              <w:rPr>
                <w:rFonts w:hint="eastAsia" w:ascii="宋体" w:hAnsi="宋体"/>
                <w:color w:val="auto"/>
                <w:sz w:val="22"/>
                <w:szCs w:val="22"/>
                <w:highlight w:val="none"/>
              </w:rPr>
              <w:t>4</w:t>
            </w:r>
            <w:r>
              <w:rPr>
                <w:rFonts w:ascii="宋体" w:hAnsi="宋体"/>
                <w:color w:val="auto"/>
                <w:sz w:val="22"/>
                <w:szCs w:val="22"/>
                <w:highlight w:val="none"/>
              </w:rPr>
              <w:t>、报警模式：声光同步报警；</w:t>
            </w:r>
            <w:r>
              <w:rPr>
                <w:rFonts w:ascii="宋体" w:hAnsi="宋体"/>
                <w:color w:val="auto"/>
                <w:sz w:val="22"/>
                <w:szCs w:val="22"/>
                <w:highlight w:val="none"/>
              </w:rPr>
              <w:br w:type="textWrapping"/>
            </w:r>
            <w:r>
              <w:rPr>
                <w:rFonts w:hint="eastAsia" w:ascii="宋体" w:hAnsi="宋体"/>
                <w:color w:val="auto"/>
                <w:sz w:val="22"/>
                <w:szCs w:val="22"/>
                <w:highlight w:val="none"/>
              </w:rPr>
              <w:t>5</w:t>
            </w:r>
            <w:r>
              <w:rPr>
                <w:rFonts w:ascii="宋体" w:hAnsi="宋体"/>
                <w:color w:val="auto"/>
                <w:sz w:val="22"/>
                <w:szCs w:val="22"/>
                <w:highlight w:val="none"/>
              </w:rPr>
              <w:t>、产品重量：≤405g。</w:t>
            </w:r>
            <w:r>
              <w:rPr>
                <w:rFonts w:ascii="宋体" w:hAnsi="宋体"/>
                <w:color w:val="auto"/>
                <w:sz w:val="22"/>
                <w:szCs w:val="22"/>
                <w:highlight w:val="none"/>
              </w:rPr>
              <w:br w:type="textWrapping"/>
            </w:r>
            <w:r>
              <w:rPr>
                <w:rFonts w:hint="eastAsia" w:ascii="宋体" w:hAnsi="宋体"/>
                <w:color w:val="auto"/>
                <w:sz w:val="22"/>
                <w:szCs w:val="22"/>
                <w:highlight w:val="none"/>
              </w:rPr>
              <w:t>6</w:t>
            </w:r>
            <w:r>
              <w:rPr>
                <w:rFonts w:ascii="宋体" w:hAnsi="宋体"/>
                <w:color w:val="auto"/>
                <w:sz w:val="22"/>
                <w:szCs w:val="22"/>
                <w:highlight w:val="none"/>
              </w:rPr>
              <w:t>、执行标准《GB 12899-2003手持式金属探测器通用技术规范》；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1</w:t>
            </w:r>
            <w:r>
              <w:rPr>
                <w:rFonts w:hint="eastAsia" w:ascii="宋体" w:hAnsi="宋体"/>
                <w:color w:val="auto"/>
                <w:sz w:val="22"/>
                <w:szCs w:val="22"/>
                <w:highlight w:val="none"/>
                <w:lang w:val="en-US" w:eastAsia="zh-CN"/>
              </w:rPr>
              <w:t>7</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警绳</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970915" cy="785495"/>
                  <wp:effectExtent l="0" t="0" r="635" b="14605"/>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29"/>
                          <a:stretch>
                            <a:fillRect/>
                          </a:stretch>
                        </pic:blipFill>
                        <pic:spPr>
                          <a:xfrm>
                            <a:off x="0" y="0"/>
                            <a:ext cx="970915" cy="785495"/>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1、由绳子和便携袋组成，绳子主体为包芯织物结构。</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2、警绳抗拉强度：≥2000N</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3、警绳长度：550mm（±10mm）</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4、绳体直径：6mm（±1mm）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18</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警戒带</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241425" cy="569595"/>
                  <wp:effectExtent l="0" t="0" r="15875" b="1905"/>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30"/>
                          <a:stretch>
                            <a:fillRect/>
                          </a:stretch>
                        </pic:blipFill>
                        <pic:spPr>
                          <a:xfrm>
                            <a:off x="0" y="0"/>
                            <a:ext cx="1241425" cy="569595"/>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1、材质：涤纶</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2、颜色：黄白或蓝白</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3、盒装，使用方便</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4、重量轻，易于携带</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5、规格：长120m±5m，宽50mm±2mm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19</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新型停车示意牌</w:t>
            </w:r>
          </w:p>
        </w:tc>
        <w:tc>
          <w:tcPr>
            <w:tcW w:w="1459" w:type="pct"/>
            <w:noWrap w:val="0"/>
            <w:vAlign w:val="center"/>
          </w:tcPr>
          <w:p>
            <w:pPr>
              <w:spacing w:line="276" w:lineRule="auto"/>
              <w:jc w:val="center"/>
              <w:rPr>
                <w:rFonts w:hint="eastAsia" w:ascii="宋体" w:hAnsi="宋体"/>
                <w:color w:val="auto"/>
                <w:sz w:val="22"/>
                <w:szCs w:val="22"/>
                <w:highlight w:val="none"/>
              </w:rPr>
            </w:pPr>
            <w:r>
              <w:rPr>
                <w:color w:val="auto"/>
                <w:sz w:val="22"/>
                <w:szCs w:val="22"/>
                <w:highlight w:val="none"/>
              </w:rPr>
              <w:drawing>
                <wp:inline distT="0" distB="0" distL="114300" distR="114300">
                  <wp:extent cx="1265555" cy="1941195"/>
                  <wp:effectExtent l="0" t="0" r="10795" b="1905"/>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31"/>
                          <a:stretch>
                            <a:fillRect/>
                          </a:stretch>
                        </pic:blipFill>
                        <pic:spPr>
                          <a:xfrm>
                            <a:off x="0" y="0"/>
                            <a:ext cx="1265555" cy="1941195"/>
                          </a:xfrm>
                          <a:prstGeom prst="rect">
                            <a:avLst/>
                          </a:prstGeom>
                          <a:noFill/>
                          <a:ln>
                            <a:noFill/>
                          </a:ln>
                        </pic:spPr>
                      </pic:pic>
                    </a:graphicData>
                  </a:graphic>
                </wp:inline>
              </w:drawing>
            </w:r>
          </w:p>
        </w:tc>
        <w:tc>
          <w:tcPr>
            <w:tcW w:w="2847" w:type="pct"/>
            <w:noWrap w:val="0"/>
            <w:vAlign w:val="center"/>
          </w:tcPr>
          <w:p>
            <w:pPr>
              <w:widowControl/>
              <w:spacing w:line="276" w:lineRule="auto"/>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1、电池容量：3.7V/2200mAh</w:t>
            </w:r>
          </w:p>
          <w:p>
            <w:pPr>
              <w:widowControl/>
              <w:spacing w:line="276" w:lineRule="auto"/>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2、充电电压：5V</w:t>
            </w:r>
          </w:p>
          <w:p>
            <w:pPr>
              <w:widowControl/>
              <w:spacing w:line="276" w:lineRule="auto"/>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3、防护等级：≥IP54</w:t>
            </w:r>
          </w:p>
          <w:p>
            <w:pPr>
              <w:widowControl/>
              <w:spacing w:line="276" w:lineRule="auto"/>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4、连续运行时间：常亮≥8小时，快闪≥12小时，慢闪≥15小时</w:t>
            </w:r>
          </w:p>
          <w:p>
            <w:pPr>
              <w:widowControl/>
              <w:spacing w:line="276" w:lineRule="auto"/>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5、使用环境温度：-30℃至40℃</w:t>
            </w:r>
          </w:p>
          <w:p>
            <w:pPr>
              <w:widowControl/>
              <w:spacing w:line="276"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6、抗跌落高度： ≥1.5m</w:t>
            </w:r>
          </w:p>
          <w:p>
            <w:pPr>
              <w:widowControl/>
              <w:spacing w:line="276" w:lineRule="auto"/>
              <w:jc w:val="left"/>
              <w:rPr>
                <w:rFonts w:ascii="宋体" w:hAnsi="宋体"/>
                <w:color w:val="auto"/>
                <w:sz w:val="22"/>
                <w:szCs w:val="22"/>
                <w:highlight w:val="none"/>
              </w:rPr>
            </w:pPr>
            <w:r>
              <w:rPr>
                <w:rFonts w:hint="eastAsia" w:ascii="宋体" w:hAnsi="宋体" w:cs="宋体"/>
                <w:color w:val="auto"/>
                <w:kern w:val="0"/>
                <w:sz w:val="22"/>
                <w:szCs w:val="22"/>
                <w:highlight w:val="none"/>
              </w:rPr>
              <w:t>▲7、</w:t>
            </w:r>
            <w:r>
              <w:rPr>
                <w:rFonts w:hint="eastAsia" w:ascii="宋体" w:hAnsi="宋体"/>
                <w:color w:val="auto"/>
                <w:sz w:val="22"/>
                <w:szCs w:val="22"/>
                <w:highlight w:val="none"/>
              </w:rPr>
              <w:t>需</w:t>
            </w:r>
            <w:r>
              <w:rPr>
                <w:rFonts w:ascii="宋体" w:hAnsi="宋体"/>
                <w:color w:val="auto"/>
                <w:sz w:val="22"/>
                <w:szCs w:val="22"/>
                <w:highlight w:val="none"/>
              </w:rPr>
              <w:t>提供</w:t>
            </w:r>
            <w:r>
              <w:rPr>
                <w:rFonts w:hint="eastAsia" w:ascii="宋体" w:hAnsi="宋体"/>
                <w:color w:val="auto"/>
                <w:sz w:val="22"/>
                <w:szCs w:val="22"/>
                <w:highlight w:val="none"/>
              </w:rPr>
              <w:t>国家安全防范报警系统产品质量监督检验中心（北京）、公安部安全与警用电子产品质量检测中心出具的产品检测报告</w:t>
            </w:r>
            <w:r>
              <w:rPr>
                <w:rFonts w:ascii="宋体" w:hAnsi="宋体"/>
                <w:color w:val="auto"/>
                <w:sz w:val="22"/>
                <w:szCs w:val="22"/>
                <w:highlight w:val="none"/>
              </w:rPr>
              <w:t>。</w:t>
            </w:r>
          </w:p>
          <w:p>
            <w:pPr>
              <w:widowControl/>
              <w:spacing w:line="276" w:lineRule="auto"/>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▲8、</w:t>
            </w:r>
            <w:r>
              <w:rPr>
                <w:rFonts w:ascii="宋体" w:hAnsi="宋体" w:cs="宋体"/>
                <w:color w:val="auto"/>
                <w:kern w:val="0"/>
                <w:sz w:val="22"/>
                <w:szCs w:val="22"/>
                <w:highlight w:val="none"/>
              </w:rPr>
              <w:t>投标现场提供样品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20</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70公分</w:t>
            </w:r>
            <w:r>
              <w:rPr>
                <w:rFonts w:ascii="宋体" w:hAnsi="宋体"/>
                <w:color w:val="auto"/>
                <w:sz w:val="22"/>
                <w:szCs w:val="22"/>
                <w:highlight w:val="none"/>
              </w:rPr>
              <w:t>路锥</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644525" cy="1009650"/>
                  <wp:effectExtent l="0" t="0" r="3175" b="0"/>
                  <wp:docPr id="19" name="图片 2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IMG_258"/>
                          <pic:cNvPicPr>
                            <a:picLocks noChangeAspect="1"/>
                          </pic:cNvPicPr>
                        </pic:nvPicPr>
                        <pic:blipFill>
                          <a:blip r:embed="rId32"/>
                          <a:stretch>
                            <a:fillRect/>
                          </a:stretch>
                        </pic:blipFill>
                        <pic:spPr>
                          <a:xfrm>
                            <a:off x="0" y="0"/>
                            <a:ext cx="644525" cy="1009650"/>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1、材料：优质橡胶底座+塑料身+强反光晶格，防风刮；</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2、规格：高度70cm（±2cm）。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21</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约束带</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885825" cy="998855"/>
                  <wp:effectExtent l="0" t="0" r="9525" b="10795"/>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33"/>
                          <a:stretch>
                            <a:fillRect/>
                          </a:stretch>
                        </pic:blipFill>
                        <pic:spPr>
                          <a:xfrm>
                            <a:off x="0" y="0"/>
                            <a:ext cx="885825" cy="998855"/>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1、材质：尼龙</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2、根据需要不同程度地对“牢头狱霸”、暴力欺负他人、屡犯监规的在押人员实施惩罚性约束。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2</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多功能背心</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440180" cy="1847850"/>
                  <wp:effectExtent l="0" t="0" r="7620" b="0"/>
                  <wp:docPr id="34" name="图片 23" descr="C:\Users\SG280\Documents\Tencent Files\1120996511\Image\C2C\)}LGFXM(V9J$`GGUWI[)1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descr="C:\Users\SG280\Documents\Tencent Files\1120996511\Image\C2C\)}LGFXM(V9J$`GGUWI[)1DL.png"/>
                          <pic:cNvPicPr>
                            <a:picLocks noChangeAspect="1"/>
                          </pic:cNvPicPr>
                        </pic:nvPicPr>
                        <pic:blipFill>
                          <a:blip r:embed="rId34"/>
                          <a:stretch>
                            <a:fillRect/>
                          </a:stretch>
                        </pic:blipFill>
                        <pic:spPr>
                          <a:xfrm>
                            <a:off x="0" y="0"/>
                            <a:ext cx="1440180" cy="1847850"/>
                          </a:xfrm>
                          <a:prstGeom prst="rect">
                            <a:avLst/>
                          </a:prstGeom>
                          <a:noFill/>
                          <a:ln>
                            <a:noFill/>
                          </a:ln>
                        </pic:spPr>
                      </pic:pic>
                    </a:graphicData>
                  </a:graphic>
                </wp:inline>
              </w:drawing>
            </w:r>
          </w:p>
        </w:tc>
        <w:tc>
          <w:tcPr>
            <w:tcW w:w="2847" w:type="pct"/>
            <w:noWrap w:val="0"/>
            <w:vAlign w:val="center"/>
          </w:tcPr>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1、</w:t>
            </w:r>
            <w:r>
              <w:rPr>
                <w:rFonts w:ascii="宋体" w:hAnsi="宋体"/>
                <w:color w:val="auto"/>
                <w:sz w:val="22"/>
                <w:szCs w:val="22"/>
                <w:highlight w:val="none"/>
              </w:rPr>
              <w:t>正面左、右胸口分别配备对讲机套和执法记录仪套，并可贴警号和胸徽标识；</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2、</w:t>
            </w:r>
            <w:r>
              <w:rPr>
                <w:rFonts w:ascii="宋体" w:hAnsi="宋体"/>
                <w:color w:val="auto"/>
                <w:sz w:val="22"/>
                <w:szCs w:val="22"/>
                <w:highlight w:val="none"/>
              </w:rPr>
              <w:t>正面腹部配置警棍套、手电套、催泪喷射器套、弹夹套、多功能枪套、手铐套</w:t>
            </w:r>
            <w:r>
              <w:rPr>
                <w:rFonts w:hint="eastAsia" w:ascii="宋体" w:hAnsi="宋体"/>
                <w:color w:val="auto"/>
                <w:sz w:val="22"/>
                <w:szCs w:val="22"/>
                <w:highlight w:val="none"/>
              </w:rPr>
              <w:t>；</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3、</w:t>
            </w:r>
            <w:r>
              <w:rPr>
                <w:rFonts w:ascii="宋体" w:hAnsi="宋体"/>
                <w:color w:val="auto"/>
                <w:sz w:val="22"/>
                <w:szCs w:val="22"/>
                <w:highlight w:val="none"/>
              </w:rPr>
              <w:t>背面腰部配备工作包套。</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4、</w:t>
            </w:r>
            <w:r>
              <w:rPr>
                <w:rFonts w:ascii="宋体" w:hAnsi="宋体"/>
                <w:color w:val="auto"/>
                <w:sz w:val="22"/>
                <w:szCs w:val="22"/>
                <w:highlight w:val="none"/>
              </w:rPr>
              <w:t>黑色涤纶加厚网眼布，规格可选1200D涤纶长丝，装具套材料可选黑色涤纶涂层阻燃牛津布，规格可选1000Dx 1000D涤纶长丝，尼龙搭扣材质符合FZ/T66315标准，黑色丙纶机织带可选规格600D，主要用于肩扣袢、对讲机袢、挂袢、横向穿带，缝制可选黑色涤纶长丝缝纫线，规格可选210Dx3符合FZ/T63010标准，四件按扣可选黑色铜质四件子母扣(经化学氧化黑色处理)</w:t>
            </w:r>
            <w:r>
              <w:rPr>
                <w:rFonts w:hint="eastAsia" w:ascii="宋体" w:hAnsi="宋体"/>
                <w:color w:val="auto"/>
                <w:sz w:val="22"/>
                <w:szCs w:val="22"/>
                <w:highlight w:val="none"/>
              </w:rPr>
              <w:t>；</w:t>
            </w:r>
            <w:r>
              <w:rPr>
                <w:rFonts w:ascii="宋体" w:hAnsi="宋体"/>
                <w:color w:val="auto"/>
                <w:sz w:val="22"/>
                <w:szCs w:val="22"/>
                <w:highlight w:val="none"/>
              </w:rPr>
              <w:t> </w:t>
            </w:r>
            <w:r>
              <w:rPr>
                <w:rFonts w:ascii="宋体" w:hAnsi="宋体"/>
                <w:color w:val="auto"/>
                <w:sz w:val="22"/>
                <w:szCs w:val="22"/>
                <w:highlight w:val="none"/>
              </w:rPr>
              <w:br w:type="textWrapping"/>
            </w:r>
            <w:r>
              <w:rPr>
                <w:rFonts w:hint="eastAsia" w:ascii="宋体" w:hAnsi="宋体"/>
                <w:color w:val="auto"/>
                <w:sz w:val="22"/>
                <w:szCs w:val="22"/>
                <w:highlight w:val="none"/>
              </w:rPr>
              <w:t>5、</w:t>
            </w:r>
            <w:r>
              <w:rPr>
                <w:rFonts w:ascii="宋体" w:hAnsi="宋体"/>
                <w:color w:val="auto"/>
                <w:sz w:val="22"/>
                <w:szCs w:val="22"/>
                <w:highlight w:val="none"/>
              </w:rPr>
              <w:t>多功能背心前胸设有二条反光条及带有“警察”字样的反光条，后背设有三条反光条及带有“POLICE” 字样的反光条，反光条采用银白色高光泽度晶格反光材料，“警察”和“POLICE” 字样须显眼、易识别。</w:t>
            </w:r>
          </w:p>
          <w:p>
            <w:pPr>
              <w:spacing w:line="276" w:lineRule="auto"/>
              <w:jc w:val="left"/>
              <w:rPr>
                <w:rFonts w:hint="eastAsia" w:ascii="宋体" w:hAnsi="宋体" w:cs="宋体"/>
                <w:color w:val="auto"/>
                <w:kern w:val="0"/>
                <w:sz w:val="22"/>
                <w:szCs w:val="22"/>
                <w:highlight w:val="none"/>
              </w:rPr>
            </w:pPr>
            <w:r>
              <w:rPr>
                <w:rFonts w:hint="eastAsia" w:ascii="宋体" w:hAnsi="宋体"/>
                <w:color w:val="auto"/>
                <w:sz w:val="22"/>
                <w:szCs w:val="22"/>
                <w:highlight w:val="none"/>
              </w:rPr>
              <w:t>6、</w:t>
            </w:r>
            <w:r>
              <w:rPr>
                <w:rFonts w:hint="eastAsia" w:ascii="宋体" w:hAnsi="宋体" w:cs="宋体"/>
                <w:color w:val="auto"/>
                <w:kern w:val="0"/>
                <w:sz w:val="22"/>
                <w:szCs w:val="22"/>
                <w:highlight w:val="none"/>
              </w:rPr>
              <w:t>外套内部能放置防弹防刺服插板；</w:t>
            </w:r>
          </w:p>
          <w:p>
            <w:pPr>
              <w:widowControl/>
              <w:jc w:val="left"/>
              <w:rPr>
                <w:rFonts w:ascii="宋体" w:hAnsi="宋体" w:cs="宋体"/>
                <w:bCs/>
                <w:color w:val="auto"/>
                <w:kern w:val="0"/>
                <w:sz w:val="22"/>
                <w:szCs w:val="22"/>
                <w:highlight w:val="none"/>
              </w:rPr>
            </w:pPr>
            <w:r>
              <w:rPr>
                <w:rFonts w:hint="eastAsia" w:ascii="宋体" w:hAnsi="宋体" w:cs="宋体"/>
                <w:color w:val="auto"/>
                <w:kern w:val="0"/>
                <w:sz w:val="22"/>
                <w:szCs w:val="22"/>
                <w:highlight w:val="none"/>
              </w:rPr>
              <w:t>▲7、搭扣带：扣合强度≥13.0N/cm²、撕揭强度≥1.3N/cm、耐用扣合强度≥6.0N/cm²；</w:t>
            </w:r>
            <w:r>
              <w:rPr>
                <w:rFonts w:hint="eastAsia" w:ascii="宋体" w:hAnsi="宋体" w:cs="宋体"/>
                <w:color w:val="auto"/>
                <w:sz w:val="22"/>
                <w:szCs w:val="22"/>
                <w:highlight w:val="none"/>
              </w:rPr>
              <w:t>（需在检测报告中体现）；</w:t>
            </w:r>
          </w:p>
          <w:p>
            <w:pPr>
              <w:spacing w:line="276" w:lineRule="auto"/>
              <w:jc w:val="left"/>
              <w:rPr>
                <w:rFonts w:hint="eastAsia" w:ascii="宋体" w:hAnsi="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olor w:val="auto"/>
                <w:sz w:val="22"/>
                <w:szCs w:val="22"/>
                <w:highlight w:val="none"/>
              </w:rPr>
              <w:t>8、</w:t>
            </w:r>
            <w:r>
              <w:rPr>
                <w:rFonts w:hint="eastAsia" w:ascii="宋体" w:hAnsi="宋体" w:cs="宋体"/>
                <w:bCs/>
                <w:color w:val="auto"/>
                <w:kern w:val="0"/>
                <w:sz w:val="22"/>
                <w:szCs w:val="22"/>
                <w:highlight w:val="none"/>
              </w:rPr>
              <w:t>面料耐磨檫色牢度：干摩≥4-5级，湿摩≥4-5级；面料耐汗渍色牢度：干摩≥4-5级，湿摩≥4-5级；</w:t>
            </w:r>
            <w:r>
              <w:rPr>
                <w:rFonts w:hint="eastAsia" w:ascii="宋体" w:hAnsi="宋体" w:cs="宋体"/>
                <w:color w:val="auto"/>
                <w:sz w:val="22"/>
                <w:szCs w:val="22"/>
                <w:highlight w:val="none"/>
              </w:rPr>
              <w:t>（需在检测报告中体现）；</w:t>
            </w:r>
          </w:p>
          <w:p>
            <w:pPr>
              <w:spacing w:line="276" w:lineRule="auto"/>
              <w:jc w:val="left"/>
              <w:rPr>
                <w:rFonts w:hint="eastAsia" w:ascii="宋体" w:hAnsi="宋体" w:cs="宋体"/>
                <w:bCs/>
                <w:color w:val="auto"/>
                <w:kern w:val="0"/>
                <w:sz w:val="22"/>
                <w:szCs w:val="22"/>
                <w:highlight w:val="none"/>
              </w:rPr>
            </w:pPr>
            <w:r>
              <w:rPr>
                <w:rFonts w:hint="eastAsia" w:ascii="宋体" w:hAnsi="宋体" w:cs="宋体"/>
                <w:color w:val="auto"/>
                <w:kern w:val="0"/>
                <w:sz w:val="22"/>
                <w:szCs w:val="22"/>
                <w:highlight w:val="none"/>
              </w:rPr>
              <w:t>▲</w:t>
            </w:r>
            <w:r>
              <w:rPr>
                <w:rFonts w:hint="eastAsia" w:ascii="宋体" w:hAnsi="宋体"/>
                <w:color w:val="auto"/>
                <w:sz w:val="22"/>
                <w:szCs w:val="22"/>
                <w:highlight w:val="none"/>
              </w:rPr>
              <w:t>9、</w:t>
            </w:r>
            <w:r>
              <w:rPr>
                <w:rFonts w:hint="eastAsia" w:ascii="宋体" w:hAnsi="宋体" w:cs="宋体"/>
                <w:bCs/>
                <w:color w:val="auto"/>
                <w:kern w:val="0"/>
                <w:sz w:val="22"/>
                <w:szCs w:val="22"/>
                <w:highlight w:val="none"/>
              </w:rPr>
              <w:t>面料涤纶牛津布：断裂强力：经向≥2000N、纬向≥1600N；</w:t>
            </w:r>
            <w:r>
              <w:rPr>
                <w:rFonts w:hint="eastAsia" w:ascii="宋体" w:hAnsi="宋体" w:cs="宋体"/>
                <w:color w:val="auto"/>
                <w:sz w:val="22"/>
                <w:szCs w:val="22"/>
                <w:highlight w:val="none"/>
              </w:rPr>
              <w:t>（需在检测报告中体现）；</w:t>
            </w:r>
          </w:p>
          <w:p>
            <w:pPr>
              <w:spacing w:line="276" w:lineRule="auto"/>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w:t>
            </w:r>
            <w:r>
              <w:rPr>
                <w:rFonts w:hint="eastAsia" w:ascii="宋体" w:hAnsi="宋体" w:cs="宋体"/>
                <w:bCs/>
                <w:color w:val="auto"/>
                <w:kern w:val="0"/>
                <w:sz w:val="22"/>
                <w:szCs w:val="22"/>
                <w:highlight w:val="none"/>
              </w:rPr>
              <w:t>10、</w:t>
            </w:r>
            <w:r>
              <w:rPr>
                <w:rFonts w:hint="eastAsia" w:ascii="宋体" w:hAnsi="宋体" w:cs="宋体"/>
                <w:color w:val="auto"/>
                <w:kern w:val="0"/>
                <w:sz w:val="22"/>
                <w:szCs w:val="22"/>
                <w:highlight w:val="none"/>
              </w:rPr>
              <w:t>锦丝搭扣带需提供国家纺织服装产品质量监督检测中心出具检测报告，依据GA732-2007、GB/T3903.21-2008、及GB/T3903.20-2008执行标准进行检测；</w:t>
            </w:r>
            <w:r>
              <w:rPr>
                <w:rFonts w:hint="eastAsia" w:ascii="宋体" w:hAnsi="宋体" w:cs="宋体"/>
                <w:color w:val="auto"/>
                <w:sz w:val="22"/>
                <w:szCs w:val="22"/>
                <w:highlight w:val="none"/>
              </w:rPr>
              <w:t>（需在检测报告中体现）；</w:t>
            </w:r>
          </w:p>
          <w:p>
            <w:pPr>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▲11、面料需提供国家纺织制品产品质量监督检测中心出具检测报告，依据GB/T3923.1-2013执行标准进行检测。</w:t>
            </w:r>
          </w:p>
          <w:p>
            <w:pPr>
              <w:widowControl/>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w:t>
            </w:r>
            <w:r>
              <w:rPr>
                <w:rFonts w:hint="eastAsia" w:ascii="宋体" w:hAnsi="宋体"/>
                <w:color w:val="auto"/>
                <w:sz w:val="22"/>
                <w:szCs w:val="22"/>
                <w:highlight w:val="none"/>
              </w:rPr>
              <w:t>12、多功能背心</w:t>
            </w:r>
            <w:r>
              <w:rPr>
                <w:rFonts w:hint="eastAsia" w:ascii="宋体" w:hAnsi="宋体" w:cs="宋体"/>
                <w:color w:val="auto"/>
                <w:kern w:val="0"/>
                <w:sz w:val="22"/>
                <w:szCs w:val="22"/>
                <w:highlight w:val="none"/>
              </w:rPr>
              <w:t>提供公安部特种警用装备质量监督检测中心出具的检测报告</w:t>
            </w:r>
            <w:r>
              <w:rPr>
                <w:rFonts w:hint="eastAsia" w:ascii="宋体" w:hAnsi="宋体" w:cs="宋体"/>
                <w:color w:val="auto"/>
                <w:sz w:val="22"/>
                <w:szCs w:val="22"/>
                <w:highlight w:val="none"/>
              </w:rPr>
              <w:t>复印件</w:t>
            </w:r>
            <w:r>
              <w:rPr>
                <w:rFonts w:hint="eastAsia" w:ascii="宋体" w:hAnsi="宋体" w:cs="宋体"/>
                <w:color w:val="auto"/>
                <w:kern w:val="0"/>
                <w:sz w:val="22"/>
                <w:szCs w:val="22"/>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3</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协勤工作包</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340485" cy="1036320"/>
                  <wp:effectExtent l="0" t="0" r="12065" b="11430"/>
                  <wp:docPr id="29" name="图片 24" descr="C:\Users\SG280\Documents\Tencent Files\1120996511\Image\C2C\B161VFXJNA2Q(G3[PJ~XQ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C:\Users\SG280\Documents\Tencent Files\1120996511\Image\C2C\B161VFXJNA2Q(G3[PJ~XQE2.png"/>
                          <pic:cNvPicPr>
                            <a:picLocks noChangeAspect="1"/>
                          </pic:cNvPicPr>
                        </pic:nvPicPr>
                        <pic:blipFill>
                          <a:blip r:embed="rId35"/>
                          <a:stretch>
                            <a:fillRect/>
                          </a:stretch>
                        </pic:blipFill>
                        <pic:spPr>
                          <a:xfrm>
                            <a:off x="0" y="0"/>
                            <a:ext cx="1340485" cy="1036320"/>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ascii="宋体" w:hAnsi="宋体"/>
                <w:color w:val="auto"/>
                <w:sz w:val="22"/>
                <w:szCs w:val="22"/>
                <w:highlight w:val="none"/>
              </w:rPr>
              <w:t>采用600D防水面料，背着舒适，携带方便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4</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T型警棍</w:t>
            </w:r>
          </w:p>
        </w:tc>
        <w:tc>
          <w:tcPr>
            <w:tcW w:w="1459" w:type="pct"/>
            <w:noWrap w:val="0"/>
            <w:vAlign w:val="center"/>
          </w:tcPr>
          <w:p>
            <w:pPr>
              <w:spacing w:line="276" w:lineRule="auto"/>
              <w:rPr>
                <w:rFonts w:ascii="宋体" w:hAnsi="宋体"/>
                <w:color w:val="auto"/>
                <w:sz w:val="22"/>
                <w:szCs w:val="22"/>
                <w:highlight w:val="none"/>
              </w:rPr>
            </w:pPr>
          </w:p>
          <w:p>
            <w:pPr>
              <w:spacing w:line="276" w:lineRule="auto"/>
              <w:rPr>
                <w:rFonts w:ascii="宋体" w:hAnsi="宋体"/>
                <w:color w:val="auto"/>
                <w:sz w:val="22"/>
                <w:szCs w:val="22"/>
                <w:highlight w:val="none"/>
              </w:rPr>
            </w:pPr>
          </w:p>
          <w:p>
            <w:pPr>
              <w:spacing w:line="276" w:lineRule="auto"/>
              <w:rPr>
                <w:rFonts w:ascii="宋体" w:hAnsi="宋体"/>
                <w:color w:val="auto"/>
                <w:sz w:val="22"/>
                <w:szCs w:val="22"/>
                <w:highlight w:val="none"/>
              </w:rPr>
            </w:pPr>
          </w:p>
          <w:p>
            <w:pPr>
              <w:spacing w:line="276" w:lineRule="auto"/>
              <w:ind w:firstLine="550" w:firstLineChars="250"/>
              <w:rPr>
                <w:rFonts w:hint="eastAsia" w:ascii="宋体" w:hAnsi="宋体"/>
                <w:color w:val="auto"/>
                <w:sz w:val="22"/>
                <w:szCs w:val="22"/>
                <w:highlight w:val="none"/>
              </w:rPr>
            </w:pPr>
            <w:r>
              <w:rPr>
                <w:rFonts w:ascii="宋体" w:hAnsi="宋体"/>
                <w:color w:val="auto"/>
                <w:sz w:val="22"/>
                <w:szCs w:val="22"/>
                <w:highlight w:val="none"/>
              </w:rPr>
              <w:drawing>
                <wp:inline distT="0" distB="0" distL="114300" distR="114300">
                  <wp:extent cx="781050" cy="800100"/>
                  <wp:effectExtent l="0" t="0" r="0" b="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36"/>
                          <a:stretch>
                            <a:fillRect/>
                          </a:stretch>
                        </pic:blipFill>
                        <pic:spPr>
                          <a:xfrm>
                            <a:off x="0" y="0"/>
                            <a:ext cx="781050" cy="800100"/>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主体使用工程塑料制成，握持端和T型端为螺纹防滑结构。</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1、棍体总长度L：≤605mm</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2、握持端长度L1： 140mm-160mm</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3、T型端长度H：130-150mm，且≤L1</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4、棍体外径D1：φ28mm-φ33mm</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5、T型端握持部分外径D2：φ28mm-φ33mm</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6、T型警棍质量：≤625g</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7、刚性：对T型警棍施加2000N的静压力，保持30S，棍体不应出现裂纹或断裂，残余变形量≤3.1mm</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8、抗击打性：T型警棍连续击打1000次后，棍体不应出现裂纹或断裂</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9、T型端强度：对T型端施加1500N静压力，保持30S，不应出现裂纹或断裂</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10、阻燃性：T型警棍具有阻燃性，表面续燃时间≤5S</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11、温度适应性：在+55℃温度条件下，应符合刚性性能的要求，未出现裂纹及断裂，残余变形量≤3.8mm；T型警棍在-20℃温度条件下，应符合刚性性能的要求，未出现裂纹及断裂，残余变形量≤3.0mm</w:t>
            </w:r>
          </w:p>
          <w:p>
            <w:pPr>
              <w:spacing w:line="276" w:lineRule="auto"/>
              <w:jc w:val="left"/>
              <w:rPr>
                <w:rFonts w:ascii="宋体" w:hAnsi="宋体" w:cs="宋体"/>
                <w:color w:val="auto"/>
                <w:sz w:val="22"/>
                <w:szCs w:val="22"/>
                <w:highlight w:val="none"/>
              </w:rPr>
            </w:pPr>
            <w:r>
              <w:rPr>
                <w:rFonts w:hint="eastAsia" w:ascii="宋体" w:hAnsi="宋体" w:cs="宋体"/>
                <w:color w:val="auto"/>
                <w:kern w:val="0"/>
                <w:sz w:val="22"/>
                <w:szCs w:val="22"/>
                <w:highlight w:val="none"/>
              </w:rPr>
              <w:t>12、执行标准：GA 1125-2013 《T型警棍》</w:t>
            </w:r>
          </w:p>
          <w:p>
            <w:pPr>
              <w:widowControl/>
              <w:spacing w:line="276" w:lineRule="auto"/>
              <w:jc w:val="left"/>
              <w:rPr>
                <w:rFonts w:hint="eastAsia" w:ascii="宋体" w:hAnsi="宋体" w:cs="宋体"/>
                <w:color w:val="auto"/>
                <w:sz w:val="22"/>
                <w:szCs w:val="22"/>
                <w:highlight w:val="none"/>
              </w:rPr>
            </w:pPr>
            <w:r>
              <w:rPr>
                <w:rFonts w:ascii="宋体" w:hAnsi="宋体" w:cs="Arial"/>
                <w:color w:val="auto"/>
                <w:sz w:val="22"/>
                <w:szCs w:val="22"/>
                <w:highlight w:val="none"/>
              </w:rPr>
              <w:t>▲</w:t>
            </w:r>
            <w:r>
              <w:rPr>
                <w:rFonts w:hint="eastAsia" w:ascii="宋体" w:hAnsi="宋体" w:cs="宋体"/>
                <w:color w:val="auto"/>
                <w:sz w:val="22"/>
                <w:szCs w:val="22"/>
                <w:highlight w:val="none"/>
              </w:rPr>
              <w:t>13、提供公安部特种警用装备质量检测中心出具的检测报告复印件加盖公章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5</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警哨</w:t>
            </w:r>
          </w:p>
        </w:tc>
        <w:tc>
          <w:tcPr>
            <w:tcW w:w="1459" w:type="pct"/>
            <w:noWrap w:val="0"/>
            <w:vAlign w:val="center"/>
          </w:tcPr>
          <w:p>
            <w:pPr>
              <w:spacing w:line="276" w:lineRule="auto"/>
              <w:jc w:val="center"/>
              <w:rPr>
                <w:rFonts w:ascii="宋体" w:hAnsi="宋体" w:cs="宋体"/>
                <w:color w:val="auto"/>
                <w:sz w:val="22"/>
                <w:szCs w:val="22"/>
                <w:highlight w:val="none"/>
              </w:rPr>
            </w:pPr>
            <w:r>
              <w:rPr>
                <w:rFonts w:ascii="宋体" w:hAnsi="宋体" w:cs="宋体"/>
                <w:color w:val="auto"/>
                <w:sz w:val="22"/>
                <w:szCs w:val="22"/>
                <w:highlight w:val="none"/>
              </w:rPr>
              <w:drawing>
                <wp:inline distT="0" distB="0" distL="114300" distR="114300">
                  <wp:extent cx="1119505" cy="713105"/>
                  <wp:effectExtent l="0" t="0" r="4445" b="10795"/>
                  <wp:docPr id="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pic:cNvPicPr>
                            <a:picLocks noChangeAspect="1"/>
                          </pic:cNvPicPr>
                        </pic:nvPicPr>
                        <pic:blipFill>
                          <a:blip r:embed="rId37"/>
                          <a:stretch>
                            <a:fillRect/>
                          </a:stretch>
                        </pic:blipFill>
                        <pic:spPr>
                          <a:xfrm>
                            <a:off x="0" y="0"/>
                            <a:ext cx="1119505" cy="713105"/>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1、黑色金属圆柱形</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2、质量：30g（±2g）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6</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手提式防爆探</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478280" cy="1308100"/>
                  <wp:effectExtent l="0" t="0" r="7620" b="6350"/>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38"/>
                          <a:stretch>
                            <a:fillRect/>
                          </a:stretch>
                        </pic:blipFill>
                        <pic:spPr>
                          <a:xfrm>
                            <a:off x="0" y="0"/>
                            <a:ext cx="1478280" cy="1308100"/>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ascii="宋体" w:hAnsi="宋体"/>
                <w:color w:val="auto"/>
                <w:sz w:val="22"/>
                <w:szCs w:val="22"/>
                <w:highlight w:val="none"/>
              </w:rPr>
              <w:t>1、额定电压：7.6v</w:t>
            </w:r>
            <w:r>
              <w:rPr>
                <w:rFonts w:ascii="宋体" w:hAnsi="宋体"/>
                <w:color w:val="auto"/>
                <w:sz w:val="22"/>
                <w:szCs w:val="22"/>
                <w:highlight w:val="none"/>
              </w:rPr>
              <w:br w:type="textWrapping"/>
            </w:r>
            <w:r>
              <w:rPr>
                <w:rFonts w:ascii="宋体" w:hAnsi="宋体"/>
                <w:color w:val="auto"/>
                <w:sz w:val="22"/>
                <w:szCs w:val="22"/>
                <w:highlight w:val="none"/>
              </w:rPr>
              <w:t>2、额定容量：3.3Ah</w:t>
            </w:r>
            <w:r>
              <w:rPr>
                <w:rFonts w:ascii="宋体" w:hAnsi="宋体"/>
                <w:color w:val="auto"/>
                <w:sz w:val="22"/>
                <w:szCs w:val="22"/>
                <w:highlight w:val="none"/>
              </w:rPr>
              <w:br w:type="textWrapping"/>
            </w:r>
            <w:r>
              <w:rPr>
                <w:rFonts w:ascii="宋体" w:hAnsi="宋体"/>
                <w:color w:val="auto"/>
                <w:sz w:val="22"/>
                <w:szCs w:val="22"/>
                <w:highlight w:val="none"/>
              </w:rPr>
              <w:t>3、光源：3*3WLED光源</w:t>
            </w:r>
            <w:r>
              <w:rPr>
                <w:rFonts w:ascii="宋体" w:hAnsi="宋体"/>
                <w:color w:val="auto"/>
                <w:sz w:val="22"/>
                <w:szCs w:val="22"/>
                <w:highlight w:val="none"/>
              </w:rPr>
              <w:br w:type="textWrapping"/>
            </w:r>
            <w:r>
              <w:rPr>
                <w:rFonts w:ascii="宋体" w:hAnsi="宋体"/>
                <w:color w:val="auto"/>
                <w:sz w:val="22"/>
                <w:szCs w:val="22"/>
                <w:highlight w:val="none"/>
              </w:rPr>
              <w:t>4、强光电流：0.7A</w:t>
            </w:r>
            <w:r>
              <w:rPr>
                <w:rFonts w:ascii="宋体" w:hAnsi="宋体"/>
                <w:color w:val="auto"/>
                <w:sz w:val="22"/>
                <w:szCs w:val="22"/>
                <w:highlight w:val="none"/>
              </w:rPr>
              <w:br w:type="textWrapping"/>
            </w:r>
            <w:r>
              <w:rPr>
                <w:rFonts w:ascii="宋体" w:hAnsi="宋体"/>
                <w:color w:val="auto"/>
                <w:sz w:val="22"/>
                <w:szCs w:val="22"/>
                <w:highlight w:val="none"/>
              </w:rPr>
              <w:t>5、工作光电流：</w:t>
            </w:r>
            <w:r>
              <w:rPr>
                <w:rFonts w:hint="eastAsia" w:ascii="宋体" w:hAnsi="宋体"/>
                <w:color w:val="auto"/>
                <w:sz w:val="22"/>
                <w:szCs w:val="22"/>
                <w:highlight w:val="none"/>
              </w:rPr>
              <w:t>≥</w:t>
            </w:r>
            <w:r>
              <w:rPr>
                <w:rFonts w:ascii="宋体" w:hAnsi="宋体"/>
                <w:color w:val="auto"/>
                <w:sz w:val="22"/>
                <w:szCs w:val="22"/>
                <w:highlight w:val="none"/>
              </w:rPr>
              <w:t>0.35A</w:t>
            </w:r>
            <w:r>
              <w:rPr>
                <w:rFonts w:ascii="宋体" w:hAnsi="宋体"/>
                <w:color w:val="auto"/>
                <w:sz w:val="22"/>
                <w:szCs w:val="22"/>
                <w:highlight w:val="none"/>
              </w:rPr>
              <w:br w:type="textWrapping"/>
            </w:r>
            <w:r>
              <w:rPr>
                <w:rFonts w:ascii="宋体" w:hAnsi="宋体"/>
                <w:color w:val="auto"/>
                <w:sz w:val="22"/>
                <w:szCs w:val="22"/>
                <w:highlight w:val="none"/>
              </w:rPr>
              <w:t>6、强光光通量：</w:t>
            </w:r>
            <w:r>
              <w:rPr>
                <w:rFonts w:hint="eastAsia" w:ascii="宋体" w:hAnsi="宋体"/>
                <w:color w:val="auto"/>
                <w:sz w:val="22"/>
                <w:szCs w:val="22"/>
                <w:highlight w:val="none"/>
              </w:rPr>
              <w:t>≥</w:t>
            </w:r>
            <w:r>
              <w:rPr>
                <w:rFonts w:ascii="宋体" w:hAnsi="宋体"/>
                <w:color w:val="auto"/>
                <w:sz w:val="22"/>
                <w:szCs w:val="22"/>
                <w:highlight w:val="none"/>
              </w:rPr>
              <w:t>960lm</w:t>
            </w:r>
            <w:r>
              <w:rPr>
                <w:rFonts w:ascii="宋体" w:hAnsi="宋体"/>
                <w:color w:val="auto"/>
                <w:sz w:val="22"/>
                <w:szCs w:val="22"/>
                <w:highlight w:val="none"/>
              </w:rPr>
              <w:br w:type="textWrapping"/>
            </w:r>
            <w:r>
              <w:rPr>
                <w:rFonts w:ascii="宋体" w:hAnsi="宋体"/>
                <w:color w:val="auto"/>
                <w:sz w:val="22"/>
                <w:szCs w:val="22"/>
                <w:highlight w:val="none"/>
              </w:rPr>
              <w:t>7、工作光光通量：</w:t>
            </w:r>
            <w:r>
              <w:rPr>
                <w:rFonts w:hint="eastAsia" w:ascii="宋体" w:hAnsi="宋体"/>
                <w:color w:val="auto"/>
                <w:sz w:val="22"/>
                <w:szCs w:val="22"/>
                <w:highlight w:val="none"/>
              </w:rPr>
              <w:t>≥</w:t>
            </w:r>
            <w:r>
              <w:rPr>
                <w:rFonts w:ascii="宋体" w:hAnsi="宋体"/>
                <w:color w:val="auto"/>
                <w:sz w:val="22"/>
                <w:szCs w:val="22"/>
                <w:highlight w:val="none"/>
              </w:rPr>
              <w:t>420lm</w:t>
            </w:r>
            <w:r>
              <w:rPr>
                <w:rFonts w:ascii="宋体" w:hAnsi="宋体"/>
                <w:color w:val="auto"/>
                <w:sz w:val="22"/>
                <w:szCs w:val="22"/>
                <w:highlight w:val="none"/>
              </w:rPr>
              <w:br w:type="textWrapping"/>
            </w:r>
            <w:r>
              <w:rPr>
                <w:rFonts w:ascii="宋体" w:hAnsi="宋体"/>
                <w:color w:val="auto"/>
                <w:sz w:val="22"/>
                <w:szCs w:val="22"/>
                <w:highlight w:val="none"/>
              </w:rPr>
              <w:t>8、平均使用寿命：</w:t>
            </w:r>
            <w:r>
              <w:rPr>
                <w:rFonts w:hint="eastAsia" w:ascii="宋体" w:hAnsi="宋体"/>
                <w:color w:val="auto"/>
                <w:sz w:val="22"/>
                <w:szCs w:val="22"/>
                <w:highlight w:val="none"/>
              </w:rPr>
              <w:t>≥</w:t>
            </w:r>
            <w:r>
              <w:rPr>
                <w:rFonts w:ascii="宋体" w:hAnsi="宋体"/>
                <w:color w:val="auto"/>
                <w:sz w:val="22"/>
                <w:szCs w:val="22"/>
                <w:highlight w:val="none"/>
              </w:rPr>
              <w:t>10万h</w:t>
            </w:r>
            <w:r>
              <w:rPr>
                <w:rFonts w:ascii="宋体" w:hAnsi="宋体"/>
                <w:color w:val="auto"/>
                <w:sz w:val="22"/>
                <w:szCs w:val="22"/>
                <w:highlight w:val="none"/>
              </w:rPr>
              <w:br w:type="textWrapping"/>
            </w:r>
            <w:r>
              <w:rPr>
                <w:rFonts w:ascii="宋体" w:hAnsi="宋体"/>
                <w:color w:val="auto"/>
                <w:sz w:val="22"/>
                <w:szCs w:val="22"/>
                <w:highlight w:val="none"/>
              </w:rPr>
              <w:t>9、强光连续放电时间：≥6h</w:t>
            </w:r>
            <w:r>
              <w:rPr>
                <w:rFonts w:ascii="宋体" w:hAnsi="宋体"/>
                <w:color w:val="auto"/>
                <w:sz w:val="22"/>
                <w:szCs w:val="22"/>
                <w:highlight w:val="none"/>
              </w:rPr>
              <w:br w:type="textWrapping"/>
            </w:r>
            <w:r>
              <w:rPr>
                <w:rFonts w:ascii="宋体" w:hAnsi="宋体"/>
                <w:color w:val="auto"/>
                <w:sz w:val="22"/>
                <w:szCs w:val="22"/>
                <w:highlight w:val="none"/>
              </w:rPr>
              <w:t>10、工作光续放电时间：≥12h</w:t>
            </w:r>
            <w:r>
              <w:rPr>
                <w:rFonts w:ascii="宋体" w:hAnsi="宋体"/>
                <w:color w:val="auto"/>
                <w:sz w:val="22"/>
                <w:szCs w:val="22"/>
                <w:highlight w:val="none"/>
              </w:rPr>
              <w:br w:type="textWrapping"/>
            </w:r>
            <w:r>
              <w:rPr>
                <w:rFonts w:ascii="宋体" w:hAnsi="宋体"/>
                <w:color w:val="auto"/>
                <w:sz w:val="22"/>
                <w:szCs w:val="22"/>
                <w:highlight w:val="none"/>
              </w:rPr>
              <w:t>11、充电时间：＜6h</w:t>
            </w:r>
            <w:r>
              <w:rPr>
                <w:rFonts w:ascii="宋体" w:hAnsi="宋体"/>
                <w:color w:val="auto"/>
                <w:sz w:val="22"/>
                <w:szCs w:val="22"/>
                <w:highlight w:val="none"/>
              </w:rPr>
              <w:br w:type="textWrapping"/>
            </w:r>
            <w:r>
              <w:rPr>
                <w:rFonts w:ascii="宋体" w:hAnsi="宋体"/>
                <w:color w:val="auto"/>
                <w:sz w:val="22"/>
                <w:szCs w:val="22"/>
                <w:highlight w:val="none"/>
              </w:rPr>
              <w:t>12、电池使用寿命：循环约1500</w:t>
            </w:r>
            <w:r>
              <w:rPr>
                <w:rFonts w:ascii="宋体" w:hAnsi="宋体"/>
                <w:color w:val="auto"/>
                <w:sz w:val="22"/>
                <w:szCs w:val="22"/>
                <w:highlight w:val="none"/>
              </w:rPr>
              <w:br w:type="textWrapping"/>
            </w:r>
            <w:r>
              <w:rPr>
                <w:rFonts w:ascii="宋体" w:hAnsi="宋体"/>
                <w:color w:val="auto"/>
                <w:sz w:val="22"/>
                <w:szCs w:val="22"/>
                <w:highlight w:val="none"/>
              </w:rPr>
              <w:t>13、外形尺寸长：185mm</w:t>
            </w:r>
            <w:r>
              <w:rPr>
                <w:rFonts w:hint="eastAsia" w:ascii="宋体" w:hAnsi="宋体"/>
                <w:color w:val="auto"/>
                <w:sz w:val="22"/>
                <w:szCs w:val="22"/>
                <w:highlight w:val="none"/>
              </w:rPr>
              <w:t>（</w:t>
            </w:r>
            <w:r>
              <w:rPr>
                <w:rFonts w:ascii="宋体" w:hAnsi="宋体"/>
                <w:color w:val="auto"/>
                <w:sz w:val="22"/>
                <w:szCs w:val="22"/>
                <w:highlight w:val="none"/>
              </w:rPr>
              <w:t>±5mm</w:t>
            </w:r>
            <w:r>
              <w:rPr>
                <w:rFonts w:hint="eastAsia" w:ascii="宋体" w:hAnsi="宋体"/>
                <w:color w:val="auto"/>
                <w:sz w:val="22"/>
                <w:szCs w:val="22"/>
                <w:highlight w:val="none"/>
              </w:rPr>
              <w:t>）</w:t>
            </w:r>
            <w:r>
              <w:rPr>
                <w:rFonts w:ascii="宋体" w:hAnsi="宋体"/>
                <w:color w:val="auto"/>
                <w:sz w:val="22"/>
                <w:szCs w:val="22"/>
                <w:highlight w:val="none"/>
              </w:rPr>
              <w:t>，直径Ø67mm~70mm</w:t>
            </w:r>
            <w:r>
              <w:rPr>
                <w:rFonts w:ascii="宋体" w:hAnsi="宋体"/>
                <w:color w:val="auto"/>
                <w:sz w:val="22"/>
                <w:szCs w:val="22"/>
                <w:highlight w:val="none"/>
              </w:rPr>
              <w:br w:type="textWrapping"/>
            </w:r>
            <w:r>
              <w:rPr>
                <w:rFonts w:ascii="宋体" w:hAnsi="宋体"/>
                <w:color w:val="auto"/>
                <w:sz w:val="22"/>
                <w:szCs w:val="22"/>
                <w:highlight w:val="none"/>
              </w:rPr>
              <w:t>14、防爆标志：Exia IIC T6</w:t>
            </w:r>
            <w:r>
              <w:rPr>
                <w:rFonts w:ascii="宋体" w:hAnsi="宋体"/>
                <w:color w:val="auto"/>
                <w:sz w:val="22"/>
                <w:szCs w:val="22"/>
                <w:highlight w:val="none"/>
              </w:rPr>
              <w:br w:type="textWrapping"/>
            </w:r>
            <w:r>
              <w:rPr>
                <w:rFonts w:ascii="宋体" w:hAnsi="宋体" w:cs="Arial"/>
                <w:color w:val="auto"/>
                <w:sz w:val="22"/>
                <w:szCs w:val="22"/>
                <w:highlight w:val="none"/>
              </w:rPr>
              <w:t>▲</w:t>
            </w:r>
            <w:r>
              <w:rPr>
                <w:rFonts w:hint="eastAsia" w:ascii="宋体" w:hAnsi="宋体"/>
                <w:color w:val="auto"/>
                <w:sz w:val="22"/>
                <w:szCs w:val="22"/>
                <w:highlight w:val="none"/>
              </w:rPr>
              <w:t>15、</w:t>
            </w:r>
            <w:r>
              <w:rPr>
                <w:rFonts w:ascii="宋体" w:hAnsi="宋体"/>
                <w:color w:val="auto"/>
                <w:sz w:val="22"/>
                <w:szCs w:val="22"/>
                <w:highlight w:val="none"/>
              </w:rPr>
              <w:t>提供由国家低压防爆电器质量监督检验中心出具的检测报告具有CMA或CNAS标志扫描件</w:t>
            </w:r>
            <w:r>
              <w:rPr>
                <w:rFonts w:hint="eastAsia" w:ascii="宋体" w:hAnsi="宋体"/>
                <w:color w:val="auto"/>
                <w:sz w:val="22"/>
                <w:szCs w:val="22"/>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7</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1.6米长警棍</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424305" cy="438150"/>
                  <wp:effectExtent l="0" t="0" r="4445"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
                          <pic:cNvPicPr>
                            <a:picLocks noChangeAspect="1"/>
                          </pic:cNvPicPr>
                        </pic:nvPicPr>
                        <pic:blipFill>
                          <a:blip r:embed="rId39"/>
                          <a:stretch>
                            <a:fillRect/>
                          </a:stretch>
                        </pic:blipFill>
                        <pic:spPr>
                          <a:xfrm>
                            <a:off x="0" y="0"/>
                            <a:ext cx="1424305" cy="438150"/>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1、棍体主体使用工程塑料制成，握持端有螺纹防滑结构；</w:t>
            </w:r>
          </w:p>
          <w:p>
            <w:pPr>
              <w:spacing w:line="276" w:lineRule="auto"/>
              <w:jc w:val="left"/>
              <w:rPr>
                <w:rFonts w:ascii="宋体" w:hAnsi="宋体" w:cs="宋体"/>
                <w:color w:val="auto"/>
                <w:kern w:val="0"/>
                <w:sz w:val="22"/>
                <w:szCs w:val="22"/>
                <w:highlight w:val="none"/>
              </w:rPr>
            </w:pPr>
            <w:r>
              <w:rPr>
                <w:rFonts w:ascii="宋体" w:hAnsi="宋体" w:cs="Arial"/>
                <w:color w:val="auto"/>
                <w:sz w:val="22"/>
                <w:szCs w:val="22"/>
                <w:highlight w:val="none"/>
              </w:rPr>
              <w:t>▲</w:t>
            </w:r>
            <w:r>
              <w:rPr>
                <w:rFonts w:hint="eastAsia" w:ascii="宋体" w:hAnsi="宋体" w:cs="宋体"/>
                <w:color w:val="auto"/>
                <w:kern w:val="0"/>
                <w:sz w:val="22"/>
                <w:szCs w:val="22"/>
                <w:highlight w:val="none"/>
              </w:rPr>
              <w:t>2、棍体总长度：≥1.6m；</w:t>
            </w:r>
            <w:r>
              <w:rPr>
                <w:rFonts w:hint="eastAsia" w:ascii="宋体" w:hAnsi="宋体" w:cs="宋体"/>
                <w:color w:val="auto"/>
                <w:sz w:val="22"/>
                <w:szCs w:val="22"/>
                <w:highlight w:val="none"/>
                <w:shd w:val="clear" w:color="auto" w:fill="FFFFFF"/>
              </w:rPr>
              <w:t>（需在检测报告中体现）</w:t>
            </w:r>
          </w:p>
          <w:p>
            <w:pPr>
              <w:spacing w:line="276"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3、棍体外径：≥φ30.0mm</w:t>
            </w:r>
            <w:r>
              <w:rPr>
                <w:rFonts w:hint="eastAsia" w:ascii="宋体" w:hAnsi="宋体" w:cs="宋体"/>
                <w:color w:val="auto"/>
                <w:sz w:val="22"/>
                <w:szCs w:val="22"/>
                <w:highlight w:val="none"/>
                <w:shd w:val="clear" w:color="auto" w:fill="FFFFFF"/>
              </w:rPr>
              <w:t>～φ30.5mm；</w:t>
            </w:r>
          </w:p>
          <w:p>
            <w:pPr>
              <w:spacing w:line="276" w:lineRule="auto"/>
              <w:jc w:val="left"/>
              <w:rPr>
                <w:rFonts w:ascii="宋体" w:hAnsi="宋体" w:cs="宋体"/>
                <w:color w:val="auto"/>
                <w:kern w:val="0"/>
                <w:sz w:val="22"/>
                <w:szCs w:val="22"/>
                <w:highlight w:val="none"/>
              </w:rPr>
            </w:pPr>
            <w:r>
              <w:rPr>
                <w:rFonts w:ascii="宋体" w:hAnsi="宋体" w:cs="Arial"/>
                <w:color w:val="auto"/>
                <w:sz w:val="22"/>
                <w:szCs w:val="22"/>
                <w:highlight w:val="none"/>
              </w:rPr>
              <w:t>▲</w:t>
            </w:r>
            <w:r>
              <w:rPr>
                <w:rFonts w:hint="eastAsia" w:ascii="宋体" w:hAnsi="宋体" w:cs="宋体"/>
                <w:color w:val="auto"/>
                <w:sz w:val="22"/>
                <w:szCs w:val="22"/>
                <w:highlight w:val="none"/>
                <w:shd w:val="clear" w:color="auto" w:fill="FFFFFF"/>
              </w:rPr>
              <w:t>4、重量：≤1.2kg；（需在检测报告中体现）</w:t>
            </w:r>
          </w:p>
          <w:p>
            <w:pPr>
              <w:spacing w:line="276"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5、长警棍在外力作用下应能弯曲，且两端夹角为120°时不应出现裂纹或断裂；</w:t>
            </w:r>
          </w:p>
          <w:p>
            <w:pPr>
              <w:spacing w:line="276"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6、长警棍一端受垂直于棍体的外力作用，经自然回复后产生的残余变形量应为10mm</w:t>
            </w:r>
            <w:r>
              <w:rPr>
                <w:rFonts w:hint="eastAsia" w:ascii="宋体" w:hAnsi="宋体" w:cs="宋体"/>
                <w:color w:val="auto"/>
                <w:sz w:val="22"/>
                <w:szCs w:val="22"/>
                <w:highlight w:val="none"/>
                <w:shd w:val="clear" w:color="auto" w:fill="FFFFFF"/>
              </w:rPr>
              <w:t>～15mm；</w:t>
            </w:r>
          </w:p>
          <w:p>
            <w:pPr>
              <w:spacing w:line="276" w:lineRule="auto"/>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7、长警棍应具有阻燃性，棍体表面续然时间应小于或等于5S；</w:t>
            </w:r>
          </w:p>
          <w:p>
            <w:pPr>
              <w:widowControl/>
              <w:spacing w:line="276"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8、执行标准：《GA 1124-2013 长警棍》；</w:t>
            </w:r>
          </w:p>
          <w:p>
            <w:pPr>
              <w:widowControl/>
              <w:spacing w:line="276" w:lineRule="auto"/>
              <w:jc w:val="left"/>
              <w:rPr>
                <w:rFonts w:hint="eastAsia" w:ascii="宋体" w:hAnsi="宋体" w:eastAsia="宋体" w:cs="宋体"/>
                <w:color w:val="auto"/>
                <w:kern w:val="0"/>
                <w:sz w:val="22"/>
                <w:szCs w:val="22"/>
                <w:highlight w:val="none"/>
                <w:lang w:eastAsia="zh-CN"/>
              </w:rPr>
            </w:pPr>
            <w:r>
              <w:rPr>
                <w:rFonts w:hint="eastAsia" w:ascii="宋体" w:hAnsi="宋体" w:cs="宋体"/>
                <w:bCs/>
                <w:color w:val="auto"/>
                <w:sz w:val="22"/>
                <w:szCs w:val="22"/>
                <w:highlight w:val="none"/>
              </w:rPr>
              <w:t>▲</w:t>
            </w:r>
            <w:r>
              <w:rPr>
                <w:rFonts w:hint="eastAsia" w:ascii="宋体" w:hAnsi="宋体"/>
                <w:color w:val="auto"/>
                <w:sz w:val="22"/>
                <w:szCs w:val="22"/>
                <w:highlight w:val="none"/>
              </w:rPr>
              <w:t>9、须提供开标日期前两年由</w:t>
            </w:r>
            <w:r>
              <w:rPr>
                <w:rFonts w:hint="eastAsia" w:ascii="宋体" w:hAnsi="宋体" w:cs="宋体"/>
                <w:color w:val="auto"/>
                <w:kern w:val="0"/>
                <w:sz w:val="22"/>
                <w:szCs w:val="22"/>
                <w:highlight w:val="none"/>
              </w:rPr>
              <w:t>公安部特种警用装备质量监督检测中心出具的检测报告</w:t>
            </w:r>
            <w:r>
              <w:rPr>
                <w:rFonts w:hint="eastAsia" w:ascii="宋体" w:hAnsi="宋体" w:cs="宋体"/>
                <w:color w:val="auto"/>
                <w:sz w:val="22"/>
                <w:szCs w:val="22"/>
                <w:highlight w:val="none"/>
              </w:rPr>
              <w:t>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2</w:t>
            </w:r>
            <w:r>
              <w:rPr>
                <w:rFonts w:hint="eastAsia" w:ascii="宋体" w:hAnsi="宋体"/>
                <w:color w:val="auto"/>
                <w:sz w:val="22"/>
                <w:szCs w:val="22"/>
                <w:highlight w:val="none"/>
                <w:lang w:val="en-US" w:eastAsia="zh-CN"/>
              </w:rPr>
              <w:t>8</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多功能警用喊话器</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301750" cy="1173480"/>
                  <wp:effectExtent l="0" t="0" r="12700" b="7620"/>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pic:cNvPicPr>
                            <a:picLocks noChangeAspect="1"/>
                          </pic:cNvPicPr>
                        </pic:nvPicPr>
                        <pic:blipFill>
                          <a:blip r:embed="rId40"/>
                          <a:stretch>
                            <a:fillRect/>
                          </a:stretch>
                        </pic:blipFill>
                        <pic:spPr>
                          <a:xfrm>
                            <a:off x="0" y="0"/>
                            <a:ext cx="1301750" cy="1173480"/>
                          </a:xfrm>
                          <a:prstGeom prst="rect">
                            <a:avLst/>
                          </a:prstGeom>
                          <a:noFill/>
                          <a:ln>
                            <a:noFill/>
                          </a:ln>
                        </pic:spPr>
                      </pic:pic>
                    </a:graphicData>
                  </a:graphic>
                </wp:inline>
              </w:drawing>
            </w:r>
          </w:p>
        </w:tc>
        <w:tc>
          <w:tcPr>
            <w:tcW w:w="2847" w:type="pct"/>
            <w:noWrap w:val="0"/>
            <w:vAlign w:val="center"/>
          </w:tcPr>
          <w:p>
            <w:pPr>
              <w:pStyle w:val="202"/>
              <w:spacing w:line="276" w:lineRule="auto"/>
              <w:rPr>
                <w:rFonts w:ascii="宋体" w:hAnsi="宋体"/>
                <w:color w:val="auto"/>
                <w:sz w:val="22"/>
                <w:szCs w:val="22"/>
                <w:highlight w:val="none"/>
              </w:rPr>
            </w:pPr>
            <w:r>
              <w:rPr>
                <w:rFonts w:ascii="宋体" w:hAnsi="宋体"/>
                <w:color w:val="auto"/>
                <w:sz w:val="22"/>
                <w:szCs w:val="22"/>
                <w:highlight w:val="none"/>
              </w:rPr>
              <w:t>1、工作电压：7.2V～9V；</w:t>
            </w:r>
            <w:r>
              <w:rPr>
                <w:rFonts w:ascii="宋体" w:hAnsi="宋体"/>
                <w:color w:val="auto"/>
                <w:sz w:val="22"/>
                <w:szCs w:val="22"/>
                <w:highlight w:val="none"/>
              </w:rPr>
              <w:br w:type="textWrapping"/>
            </w:r>
            <w:r>
              <w:rPr>
                <w:rFonts w:ascii="宋体" w:hAnsi="宋体"/>
                <w:color w:val="auto"/>
                <w:sz w:val="22"/>
                <w:szCs w:val="22"/>
                <w:highlight w:val="none"/>
              </w:rPr>
              <w:t>2、充电时间：4-5h；</w:t>
            </w:r>
            <w:r>
              <w:rPr>
                <w:rFonts w:ascii="宋体" w:hAnsi="宋体"/>
                <w:color w:val="auto"/>
                <w:sz w:val="22"/>
                <w:szCs w:val="22"/>
                <w:highlight w:val="none"/>
              </w:rPr>
              <w:br w:type="textWrapping"/>
            </w:r>
            <w:r>
              <w:rPr>
                <w:rFonts w:ascii="宋体" w:hAnsi="宋体"/>
                <w:color w:val="auto"/>
                <w:sz w:val="22"/>
                <w:szCs w:val="22"/>
                <w:highlight w:val="none"/>
              </w:rPr>
              <w:t>3、频率响应：300Hz～20kHz；</w:t>
            </w:r>
            <w:r>
              <w:rPr>
                <w:rFonts w:ascii="宋体" w:hAnsi="宋体"/>
                <w:color w:val="auto"/>
                <w:sz w:val="22"/>
                <w:szCs w:val="22"/>
                <w:highlight w:val="none"/>
              </w:rPr>
              <w:br w:type="textWrapping"/>
            </w:r>
            <w:r>
              <w:rPr>
                <w:rFonts w:ascii="宋体" w:hAnsi="宋体"/>
                <w:color w:val="auto"/>
                <w:sz w:val="22"/>
                <w:szCs w:val="22"/>
                <w:highlight w:val="none"/>
              </w:rPr>
              <w:t>4、最大输出功率：≥20W；</w:t>
            </w:r>
            <w:r>
              <w:rPr>
                <w:rFonts w:ascii="宋体" w:hAnsi="宋体"/>
                <w:color w:val="auto"/>
                <w:sz w:val="22"/>
                <w:szCs w:val="22"/>
                <w:highlight w:val="none"/>
              </w:rPr>
              <w:br w:type="textWrapping"/>
            </w:r>
            <w:r>
              <w:rPr>
                <w:rFonts w:ascii="宋体" w:hAnsi="宋体"/>
                <w:color w:val="auto"/>
                <w:sz w:val="22"/>
                <w:szCs w:val="22"/>
                <w:highlight w:val="none"/>
              </w:rPr>
              <w:t>5、照明输出功率：1.2W(LED) ；</w:t>
            </w:r>
            <w:r>
              <w:rPr>
                <w:rFonts w:ascii="宋体" w:hAnsi="宋体"/>
                <w:color w:val="auto"/>
                <w:sz w:val="22"/>
                <w:szCs w:val="22"/>
                <w:highlight w:val="none"/>
              </w:rPr>
              <w:br w:type="textWrapping"/>
            </w:r>
            <w:r>
              <w:rPr>
                <w:rFonts w:ascii="宋体" w:hAnsi="宋体"/>
                <w:color w:val="auto"/>
                <w:sz w:val="22"/>
                <w:szCs w:val="22"/>
                <w:highlight w:val="none"/>
              </w:rPr>
              <w:t>6、录音时间：12</w:t>
            </w:r>
            <w:r>
              <w:rPr>
                <w:rFonts w:hint="eastAsia" w:ascii="宋体" w:hAnsi="宋体"/>
                <w:color w:val="auto"/>
                <w:sz w:val="22"/>
                <w:szCs w:val="22"/>
                <w:highlight w:val="none"/>
              </w:rPr>
              <w:t>s±1s</w:t>
            </w:r>
            <w:r>
              <w:rPr>
                <w:rFonts w:ascii="宋体" w:hAnsi="宋体"/>
                <w:color w:val="auto"/>
                <w:sz w:val="22"/>
                <w:szCs w:val="22"/>
                <w:highlight w:val="none"/>
              </w:rPr>
              <w:t>；</w:t>
            </w:r>
            <w:r>
              <w:rPr>
                <w:rFonts w:ascii="宋体" w:hAnsi="宋体"/>
                <w:color w:val="auto"/>
                <w:sz w:val="22"/>
                <w:szCs w:val="22"/>
                <w:highlight w:val="none"/>
              </w:rPr>
              <w:br w:type="textWrapping"/>
            </w:r>
            <w:r>
              <w:rPr>
                <w:rFonts w:ascii="宋体" w:hAnsi="宋体"/>
                <w:color w:val="auto"/>
                <w:sz w:val="22"/>
                <w:szCs w:val="22"/>
                <w:highlight w:val="none"/>
              </w:rPr>
              <w:t>7、电池使用时间：可连续使用18-22小时（喊话）；</w:t>
            </w:r>
            <w:r>
              <w:rPr>
                <w:rFonts w:ascii="宋体" w:hAnsi="宋体"/>
                <w:color w:val="auto"/>
                <w:sz w:val="22"/>
                <w:szCs w:val="22"/>
                <w:highlight w:val="none"/>
              </w:rPr>
              <w:br w:type="textWrapping"/>
            </w:r>
            <w:r>
              <w:rPr>
                <w:rFonts w:ascii="宋体" w:hAnsi="宋体"/>
                <w:color w:val="auto"/>
                <w:sz w:val="22"/>
                <w:szCs w:val="22"/>
                <w:highlight w:val="none"/>
              </w:rPr>
              <w:t xml:space="preserve">8、产品重量：≤620g(不含电池) ； </w:t>
            </w:r>
            <w:r>
              <w:rPr>
                <w:rFonts w:ascii="宋体" w:hAnsi="宋体"/>
                <w:color w:val="auto"/>
                <w:sz w:val="22"/>
                <w:szCs w:val="22"/>
                <w:highlight w:val="none"/>
              </w:rPr>
              <w:br w:type="textWrapping"/>
            </w:r>
            <w:r>
              <w:rPr>
                <w:rFonts w:ascii="宋体" w:hAnsi="宋体"/>
                <w:color w:val="auto"/>
                <w:sz w:val="22"/>
                <w:szCs w:val="22"/>
                <w:highlight w:val="none"/>
              </w:rPr>
              <w:t xml:space="preserve">9、外形尺寸：≤270mm x260mm x165mm； </w:t>
            </w:r>
            <w:r>
              <w:rPr>
                <w:rFonts w:ascii="宋体" w:hAnsi="宋体"/>
                <w:color w:val="auto"/>
                <w:sz w:val="22"/>
                <w:szCs w:val="22"/>
                <w:highlight w:val="none"/>
              </w:rPr>
              <w:br w:type="textWrapping"/>
            </w:r>
            <w:r>
              <w:rPr>
                <w:rFonts w:ascii="宋体" w:hAnsi="宋体" w:cs="Arial"/>
                <w:color w:val="auto"/>
                <w:sz w:val="22"/>
                <w:szCs w:val="22"/>
                <w:highlight w:val="none"/>
              </w:rPr>
              <w:t>▲</w:t>
            </w:r>
            <w:r>
              <w:rPr>
                <w:rFonts w:ascii="宋体" w:hAnsi="宋体" w:cs="Calibri"/>
                <w:color w:val="auto"/>
                <w:sz w:val="22"/>
                <w:szCs w:val="22"/>
                <w:highlight w:val="none"/>
              </w:rPr>
              <w:t>10</w:t>
            </w:r>
            <w:r>
              <w:rPr>
                <w:rFonts w:ascii="宋体" w:hAnsi="宋体"/>
                <w:color w:val="auto"/>
                <w:sz w:val="22"/>
                <w:szCs w:val="22"/>
                <w:highlight w:val="none"/>
              </w:rPr>
              <w:t>、提供公安部安全与警用电子产品质量检测中心出具的检测报告。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125"/>
              <w:spacing w:line="276" w:lineRule="auto"/>
              <w:ind w:right="105" w:firstLine="0" w:firstLineChars="0"/>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29</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防刺服</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129030" cy="1505585"/>
                  <wp:effectExtent l="0" t="0" r="13970" b="18415"/>
                  <wp:docPr id="42" name="图片 30" descr="C:\Users\SG339\AppData\Local\Temp\WeChat Files\b89fd779cc31769d688462998d0b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descr="C:\Users\SG339\AppData\Local\Temp\WeChat Files\b89fd779cc31769d688462998d0bb97.jpg"/>
                          <pic:cNvPicPr>
                            <a:picLocks noChangeAspect="1"/>
                          </pic:cNvPicPr>
                        </pic:nvPicPr>
                        <pic:blipFill>
                          <a:blip r:embed="rId41"/>
                          <a:stretch>
                            <a:fillRect/>
                          </a:stretch>
                        </pic:blipFill>
                        <pic:spPr>
                          <a:xfrm>
                            <a:off x="0" y="0"/>
                            <a:ext cx="1129030" cy="1505585"/>
                          </a:xfrm>
                          <a:prstGeom prst="rect">
                            <a:avLst/>
                          </a:prstGeom>
                          <a:noFill/>
                          <a:ln>
                            <a:noFill/>
                          </a:ln>
                        </pic:spPr>
                      </pic:pic>
                    </a:graphicData>
                  </a:graphic>
                </wp:inline>
              </w:drawing>
            </w:r>
          </w:p>
        </w:tc>
        <w:tc>
          <w:tcPr>
            <w:tcW w:w="2847" w:type="pct"/>
            <w:noWrap w:val="0"/>
            <w:vAlign w:val="center"/>
          </w:tcPr>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1、执行标准：《GA68-2019 警用防刺服》；</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2、颜色：藏蓝色；</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▲3、防刺芯片有效防护面积：均码≥0.25 ㎡；</w:t>
            </w:r>
            <w:r>
              <w:rPr>
                <w:rFonts w:ascii="宋体" w:hAnsi="宋体"/>
                <w:color w:val="auto"/>
                <w:sz w:val="22"/>
                <w:szCs w:val="22"/>
                <w:highlight w:val="none"/>
              </w:rPr>
              <w:t>（</w:t>
            </w:r>
            <w:r>
              <w:rPr>
                <w:rFonts w:hint="eastAsia" w:ascii="宋体" w:hAnsi="宋体"/>
                <w:color w:val="auto"/>
                <w:sz w:val="22"/>
                <w:szCs w:val="22"/>
                <w:highlight w:val="none"/>
              </w:rPr>
              <w:t>需在检测报告里体现）</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4、防刺层材质：</w:t>
            </w:r>
            <w:r>
              <w:rPr>
                <w:rFonts w:hint="eastAsia" w:ascii="宋体" w:hAnsi="宋体"/>
                <w:bCs/>
                <w:color w:val="auto"/>
                <w:sz w:val="22"/>
                <w:szCs w:val="22"/>
                <w:highlight w:val="none"/>
              </w:rPr>
              <w:t>2.0mm厚合金板搭扣等</w:t>
            </w:r>
            <w:r>
              <w:rPr>
                <w:rFonts w:hint="eastAsia" w:ascii="宋体" w:hAnsi="宋体"/>
                <w:color w:val="auto"/>
                <w:sz w:val="22"/>
                <w:szCs w:val="22"/>
                <w:highlight w:val="none"/>
              </w:rPr>
              <w:t>制成；</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5、前后靶片质量不含防刺层保护套：均码 ≤2.8kg；</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6、防刺性能：A类防刺服应用D1刀具、以 24J±0.5J 冲击能量，在有效冲刺防刺服，防刺服不被穿透；</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7、防刺服防刺层保护套材料的抗静水压性能应能达到GB/T 4744-2013 中规定的3级或以上；</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8、穿着灵活度：防刺服穿着灵活、外形美观、易于穿脱，穿着后两臂自由运动、人体跪、跳、蹲、跑、俯仰、转体等动作不受明显限制；</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9、适应环境温度：-20℃~+55℃；</w:t>
            </w:r>
          </w:p>
          <w:p>
            <w:pPr>
              <w:spacing w:line="276" w:lineRule="auto"/>
              <w:jc w:val="left"/>
              <w:rPr>
                <w:rFonts w:hint="eastAsia" w:ascii="宋体" w:hAnsi="宋体"/>
                <w:color w:val="auto"/>
                <w:sz w:val="22"/>
                <w:szCs w:val="22"/>
                <w:highlight w:val="none"/>
              </w:rPr>
            </w:pPr>
            <w:r>
              <w:rPr>
                <w:rFonts w:hint="eastAsia" w:ascii="宋体" w:hAnsi="宋体" w:cs="宋体"/>
                <w:color w:val="auto"/>
                <w:kern w:val="0"/>
                <w:sz w:val="22"/>
                <w:szCs w:val="22"/>
                <w:highlight w:val="none"/>
              </w:rPr>
              <w:t>▲</w:t>
            </w:r>
            <w:r>
              <w:rPr>
                <w:rFonts w:hint="eastAsia" w:ascii="宋体" w:hAnsi="宋体"/>
                <w:color w:val="auto"/>
                <w:sz w:val="22"/>
                <w:szCs w:val="22"/>
                <w:highlight w:val="none"/>
              </w:rPr>
              <w:t>10、提供产品八年质量责任保险金额应≥</w:t>
            </w:r>
            <w:r>
              <w:rPr>
                <w:rFonts w:ascii="宋体" w:hAnsi="宋体"/>
                <w:color w:val="auto"/>
                <w:sz w:val="22"/>
                <w:szCs w:val="22"/>
                <w:highlight w:val="none"/>
              </w:rPr>
              <w:t>800</w:t>
            </w:r>
            <w:r>
              <w:rPr>
                <w:rFonts w:hint="eastAsia" w:ascii="宋体" w:hAnsi="宋体"/>
                <w:color w:val="auto"/>
                <w:sz w:val="22"/>
                <w:szCs w:val="22"/>
                <w:highlight w:val="none"/>
              </w:rPr>
              <w:t>万元，提供保险证明材料复印件；</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▲11、提供公安部特种装备质量监督检验中心出具的检测报告复印件；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125"/>
              <w:spacing w:line="276" w:lineRule="auto"/>
              <w:ind w:right="105" w:firstLine="0" w:firstLineChars="0"/>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3</w:t>
            </w:r>
            <w:r>
              <w:rPr>
                <w:rFonts w:hint="eastAsia" w:ascii="宋体" w:hAnsi="宋体"/>
                <w:color w:val="auto"/>
                <w:sz w:val="22"/>
                <w:szCs w:val="22"/>
                <w:highlight w:val="none"/>
                <w:lang w:val="en-US" w:eastAsia="zh-CN"/>
              </w:rPr>
              <w:t>0</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防弹衣</w:t>
            </w:r>
          </w:p>
        </w:tc>
        <w:tc>
          <w:tcPr>
            <w:tcW w:w="1459"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drawing>
                <wp:inline distT="0" distB="0" distL="114300" distR="114300">
                  <wp:extent cx="1069975" cy="1643380"/>
                  <wp:effectExtent l="0" t="0" r="15875" b="13970"/>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pic:cNvPicPr>
                        </pic:nvPicPr>
                        <pic:blipFill>
                          <a:blip r:embed="rId42"/>
                          <a:stretch>
                            <a:fillRect/>
                          </a:stretch>
                        </pic:blipFill>
                        <pic:spPr>
                          <a:xfrm>
                            <a:off x="0" y="0"/>
                            <a:ext cx="1069975" cy="1643380"/>
                          </a:xfrm>
                          <a:prstGeom prst="rect">
                            <a:avLst/>
                          </a:prstGeom>
                          <a:noFill/>
                          <a:ln>
                            <a:noFill/>
                          </a:ln>
                        </pic:spPr>
                      </pic:pic>
                    </a:graphicData>
                  </a:graphic>
                </wp:inline>
              </w:drawing>
            </w:r>
          </w:p>
        </w:tc>
        <w:tc>
          <w:tcPr>
            <w:tcW w:w="2847" w:type="pct"/>
            <w:noWrap w:val="0"/>
            <w:vAlign w:val="center"/>
          </w:tcPr>
          <w:p>
            <w:pPr>
              <w:spacing w:line="276" w:lineRule="auto"/>
              <w:jc w:val="left"/>
              <w:rPr>
                <w:rFonts w:hint="eastAsia" w:ascii="宋体" w:hAnsi="宋体"/>
                <w:color w:val="auto"/>
                <w:sz w:val="22"/>
                <w:szCs w:val="22"/>
                <w:highlight w:val="none"/>
              </w:rPr>
            </w:pPr>
            <w:r>
              <w:rPr>
                <w:rFonts w:ascii="宋体" w:hAnsi="宋体"/>
                <w:color w:val="auto"/>
                <w:sz w:val="22"/>
                <w:szCs w:val="22"/>
                <w:highlight w:val="none"/>
              </w:rPr>
              <w:t>1、颜色：警服蓝色；</w:t>
            </w:r>
            <w:r>
              <w:rPr>
                <w:rFonts w:ascii="宋体" w:hAnsi="宋体"/>
                <w:color w:val="auto"/>
                <w:sz w:val="22"/>
                <w:szCs w:val="22"/>
                <w:highlight w:val="none"/>
              </w:rPr>
              <w:br w:type="textWrapping"/>
            </w:r>
            <w:r>
              <w:rPr>
                <w:rFonts w:ascii="宋体" w:hAnsi="宋体"/>
                <w:color w:val="auto"/>
                <w:sz w:val="22"/>
                <w:szCs w:val="22"/>
                <w:highlight w:val="none"/>
              </w:rPr>
              <w:t>2、防弹层结构：34层芳纶无纬布+2层芳纶浸胶机织板+1层1.0mm厚PC板+1层7mm泡沫；</w:t>
            </w:r>
            <w:r>
              <w:rPr>
                <w:rFonts w:ascii="宋体" w:hAnsi="宋体"/>
                <w:color w:val="auto"/>
                <w:sz w:val="22"/>
                <w:szCs w:val="22"/>
                <w:highlight w:val="none"/>
              </w:rPr>
              <w:br w:type="textWrapping"/>
            </w:r>
            <w:r>
              <w:rPr>
                <w:rFonts w:hint="eastAsia" w:ascii="宋体" w:hAnsi="宋体"/>
                <w:color w:val="auto"/>
                <w:sz w:val="22"/>
                <w:szCs w:val="22"/>
                <w:highlight w:val="none"/>
              </w:rPr>
              <w:t>▲</w:t>
            </w:r>
            <w:r>
              <w:rPr>
                <w:rFonts w:ascii="宋体" w:hAnsi="宋体"/>
                <w:color w:val="auto"/>
                <w:sz w:val="22"/>
                <w:szCs w:val="22"/>
                <w:highlight w:val="none"/>
              </w:rPr>
              <w:t>3、防护面积:≥0.3</w:t>
            </w:r>
            <w:r>
              <w:rPr>
                <w:rFonts w:hint="eastAsia" w:ascii="宋体" w:hAnsi="宋体"/>
                <w:color w:val="auto"/>
                <w:sz w:val="22"/>
                <w:szCs w:val="22"/>
                <w:highlight w:val="none"/>
              </w:rPr>
              <w:t>0</w:t>
            </w:r>
            <w:r>
              <w:rPr>
                <w:rFonts w:ascii="宋体" w:hAnsi="宋体"/>
                <w:color w:val="auto"/>
                <w:sz w:val="22"/>
                <w:szCs w:val="22"/>
                <w:highlight w:val="none"/>
              </w:rPr>
              <w:t>㎡（</w:t>
            </w:r>
            <w:r>
              <w:rPr>
                <w:rFonts w:hint="eastAsia" w:ascii="宋体" w:hAnsi="宋体"/>
                <w:color w:val="auto"/>
                <w:sz w:val="22"/>
                <w:szCs w:val="22"/>
                <w:highlight w:val="none"/>
              </w:rPr>
              <w:t>需在检测报告里体现）</w:t>
            </w:r>
            <w:r>
              <w:rPr>
                <w:rFonts w:ascii="宋体" w:hAnsi="宋体"/>
                <w:color w:val="auto"/>
                <w:sz w:val="22"/>
                <w:szCs w:val="22"/>
                <w:highlight w:val="none"/>
              </w:rPr>
              <w:t> ；</w:t>
            </w:r>
            <w:r>
              <w:rPr>
                <w:rFonts w:ascii="宋体" w:hAnsi="宋体"/>
                <w:color w:val="auto"/>
                <w:sz w:val="22"/>
                <w:szCs w:val="22"/>
                <w:highlight w:val="none"/>
              </w:rPr>
              <w:br w:type="textWrapping"/>
            </w:r>
            <w:r>
              <w:rPr>
                <w:rFonts w:ascii="宋体" w:hAnsi="宋体"/>
                <w:color w:val="auto"/>
                <w:sz w:val="22"/>
                <w:szCs w:val="22"/>
                <w:highlight w:val="none"/>
              </w:rPr>
              <w:t>4、防护等级：GA3级 ；</w:t>
            </w:r>
            <w:r>
              <w:rPr>
                <w:rFonts w:ascii="宋体" w:hAnsi="宋体"/>
                <w:color w:val="auto"/>
                <w:sz w:val="22"/>
                <w:szCs w:val="22"/>
                <w:highlight w:val="none"/>
              </w:rPr>
              <w:br w:type="textWrapping"/>
            </w:r>
            <w:r>
              <w:rPr>
                <w:rFonts w:ascii="宋体" w:hAnsi="宋体"/>
                <w:color w:val="auto"/>
                <w:sz w:val="22"/>
                <w:szCs w:val="22"/>
                <w:highlight w:val="none"/>
              </w:rPr>
              <w:t>5、在常温（自然温度）；弹头速度m/s（500-530），背衬材料凹陷深度≤9mm；</w:t>
            </w:r>
            <w:r>
              <w:rPr>
                <w:rFonts w:ascii="宋体" w:hAnsi="宋体"/>
                <w:color w:val="auto"/>
                <w:sz w:val="22"/>
                <w:szCs w:val="22"/>
                <w:highlight w:val="none"/>
              </w:rPr>
              <w:br w:type="textWrapping"/>
            </w:r>
            <w:r>
              <w:rPr>
                <w:rFonts w:ascii="宋体" w:hAnsi="宋体"/>
                <w:color w:val="auto"/>
                <w:sz w:val="22"/>
                <w:szCs w:val="22"/>
                <w:highlight w:val="none"/>
              </w:rPr>
              <w:t>6、重量≤3.6kg；</w:t>
            </w:r>
            <w:r>
              <w:rPr>
                <w:rFonts w:ascii="宋体" w:hAnsi="宋体"/>
                <w:color w:val="auto"/>
                <w:sz w:val="22"/>
                <w:szCs w:val="22"/>
                <w:highlight w:val="none"/>
              </w:rPr>
              <w:br w:type="textWrapping"/>
            </w:r>
            <w:r>
              <w:rPr>
                <w:rFonts w:hint="eastAsia" w:ascii="宋体" w:hAnsi="宋体"/>
                <w:color w:val="auto"/>
                <w:sz w:val="22"/>
                <w:szCs w:val="22"/>
                <w:highlight w:val="none"/>
              </w:rPr>
              <w:t>7、</w:t>
            </w:r>
            <w:r>
              <w:rPr>
                <w:rFonts w:ascii="宋体" w:hAnsi="宋体"/>
                <w:color w:val="auto"/>
                <w:sz w:val="22"/>
                <w:szCs w:val="22"/>
                <w:highlight w:val="none"/>
              </w:rPr>
              <w:t>防弹层保护套材料性能：防弹层保护套为 黑色、不透光并且密封不透水，封边均匀一致，抗渗水，耐静水压大于等于18kPa；</w:t>
            </w:r>
            <w:r>
              <w:rPr>
                <w:rFonts w:ascii="宋体" w:hAnsi="宋体"/>
                <w:color w:val="auto"/>
                <w:sz w:val="22"/>
                <w:szCs w:val="22"/>
                <w:highlight w:val="none"/>
              </w:rPr>
              <w:br w:type="textWrapping"/>
            </w:r>
            <w:r>
              <w:rPr>
                <w:rFonts w:hint="eastAsia" w:ascii="宋体" w:hAnsi="宋体"/>
                <w:color w:val="auto"/>
                <w:sz w:val="22"/>
                <w:szCs w:val="22"/>
                <w:highlight w:val="none"/>
              </w:rPr>
              <w:t>8、</w:t>
            </w:r>
            <w:r>
              <w:rPr>
                <w:rFonts w:ascii="宋体" w:hAnsi="宋体"/>
                <w:color w:val="auto"/>
                <w:sz w:val="22"/>
                <w:szCs w:val="22"/>
                <w:highlight w:val="none"/>
              </w:rPr>
              <w:t>防弹性能：使用1979年式7.62mm 轻型冲锋枪发射的1951年式7.62mm 手枪弹(铅心)，且背衬最大凹陷深度小于等于5.5mm</w:t>
            </w:r>
            <w:r>
              <w:rPr>
                <w:rFonts w:ascii="宋体" w:hAnsi="宋体"/>
                <w:color w:val="auto"/>
                <w:sz w:val="22"/>
                <w:szCs w:val="22"/>
                <w:highlight w:val="none"/>
              </w:rPr>
              <w:br w:type="textWrapping"/>
            </w:r>
            <w:r>
              <w:rPr>
                <w:rFonts w:hint="eastAsia" w:ascii="宋体" w:hAnsi="宋体"/>
                <w:color w:val="auto"/>
                <w:sz w:val="22"/>
                <w:szCs w:val="22"/>
                <w:highlight w:val="none"/>
              </w:rPr>
              <w:t>9、</w:t>
            </w:r>
            <w:r>
              <w:rPr>
                <w:rFonts w:ascii="宋体" w:hAnsi="宋体"/>
                <w:color w:val="auto"/>
                <w:sz w:val="22"/>
                <w:szCs w:val="22"/>
                <w:highlight w:val="none"/>
              </w:rPr>
              <w:t>耐浸水性能:常温下，防弹衣在水中浸泡30min后，进行防弹性能试验，在有效击中情况下，防弹衣阻断弹头，且背衬最大凹陷深度小于等于6.5m。</w:t>
            </w:r>
            <w:r>
              <w:rPr>
                <w:rFonts w:ascii="宋体" w:hAnsi="宋体"/>
                <w:color w:val="auto"/>
                <w:sz w:val="22"/>
                <w:szCs w:val="22"/>
                <w:highlight w:val="none"/>
              </w:rPr>
              <w:br w:type="textWrapping"/>
            </w:r>
            <w:r>
              <w:rPr>
                <w:rFonts w:hint="eastAsia" w:ascii="宋体" w:hAnsi="宋体"/>
                <w:color w:val="auto"/>
                <w:sz w:val="22"/>
                <w:szCs w:val="22"/>
                <w:highlight w:val="none"/>
              </w:rPr>
              <w:t>▲10、</w:t>
            </w:r>
            <w:r>
              <w:rPr>
                <w:rFonts w:ascii="宋体" w:hAnsi="宋体"/>
                <w:color w:val="auto"/>
                <w:sz w:val="22"/>
                <w:szCs w:val="22"/>
                <w:highlight w:val="none"/>
              </w:rPr>
              <w:t>高温性能：在高温试验（55</w:t>
            </w:r>
            <w:r>
              <w:rPr>
                <w:rFonts w:hint="eastAsia" w:ascii="宋体" w:hAnsi="宋体"/>
                <w:color w:val="auto"/>
                <w:sz w:val="22"/>
                <w:szCs w:val="22"/>
                <w:highlight w:val="none"/>
              </w:rPr>
              <w:t>℃</w:t>
            </w:r>
            <w:r>
              <w:rPr>
                <w:rFonts w:ascii="宋体" w:hAnsi="宋体"/>
                <w:color w:val="auto"/>
                <w:sz w:val="22"/>
                <w:szCs w:val="22"/>
                <w:highlight w:val="none"/>
              </w:rPr>
              <w:t>±2</w:t>
            </w:r>
            <w:r>
              <w:rPr>
                <w:rFonts w:hint="eastAsia" w:ascii="宋体" w:hAnsi="宋体"/>
                <w:color w:val="auto"/>
                <w:sz w:val="22"/>
                <w:szCs w:val="22"/>
                <w:highlight w:val="none"/>
              </w:rPr>
              <w:t>℃</w:t>
            </w:r>
            <w:r>
              <w:rPr>
                <w:rFonts w:ascii="宋体" w:hAnsi="宋体"/>
                <w:color w:val="auto"/>
                <w:sz w:val="22"/>
                <w:szCs w:val="22"/>
                <w:highlight w:val="none"/>
              </w:rPr>
              <w:t>，恒温4h）后在15min内进行防弹性能试验，在有效击中情况下，防弹衣阻断弹头，且背衬最大凹陷深度小于等于</w:t>
            </w:r>
            <w:r>
              <w:rPr>
                <w:rFonts w:hint="eastAsia" w:ascii="宋体" w:hAnsi="宋体"/>
                <w:color w:val="auto"/>
                <w:sz w:val="22"/>
                <w:szCs w:val="22"/>
                <w:highlight w:val="none"/>
              </w:rPr>
              <w:t>7.0</w:t>
            </w:r>
            <w:r>
              <w:rPr>
                <w:rFonts w:ascii="宋体" w:hAnsi="宋体"/>
                <w:color w:val="auto"/>
                <w:sz w:val="22"/>
                <w:szCs w:val="22"/>
                <w:highlight w:val="none"/>
              </w:rPr>
              <w:t>mm。（</w:t>
            </w:r>
            <w:r>
              <w:rPr>
                <w:rFonts w:hint="eastAsia" w:ascii="宋体" w:hAnsi="宋体"/>
                <w:color w:val="auto"/>
                <w:sz w:val="22"/>
                <w:szCs w:val="22"/>
                <w:highlight w:val="none"/>
              </w:rPr>
              <w:t>需在检测报告里体现）</w:t>
            </w:r>
            <w:r>
              <w:rPr>
                <w:rFonts w:ascii="宋体" w:hAnsi="宋体"/>
                <w:color w:val="auto"/>
                <w:sz w:val="22"/>
                <w:szCs w:val="22"/>
                <w:highlight w:val="none"/>
              </w:rPr>
              <w:br w:type="textWrapping"/>
            </w:r>
            <w:r>
              <w:rPr>
                <w:rFonts w:hint="eastAsia" w:ascii="宋体" w:hAnsi="宋体"/>
                <w:color w:val="auto"/>
                <w:sz w:val="22"/>
                <w:szCs w:val="22"/>
                <w:highlight w:val="none"/>
              </w:rPr>
              <w:t>▲11、</w:t>
            </w:r>
            <w:r>
              <w:rPr>
                <w:rFonts w:ascii="宋体" w:hAnsi="宋体"/>
                <w:color w:val="auto"/>
                <w:sz w:val="22"/>
                <w:szCs w:val="22"/>
                <w:highlight w:val="none"/>
              </w:rPr>
              <w:t>低温性能：在低温试验（-20</w:t>
            </w:r>
            <w:r>
              <w:rPr>
                <w:rFonts w:hint="eastAsia" w:ascii="宋体" w:hAnsi="宋体"/>
                <w:color w:val="auto"/>
                <w:sz w:val="22"/>
                <w:szCs w:val="22"/>
                <w:highlight w:val="none"/>
              </w:rPr>
              <w:t>℃</w:t>
            </w:r>
            <w:r>
              <w:rPr>
                <w:rFonts w:ascii="宋体" w:hAnsi="宋体"/>
                <w:color w:val="auto"/>
                <w:sz w:val="22"/>
                <w:szCs w:val="22"/>
                <w:highlight w:val="none"/>
              </w:rPr>
              <w:t>±2</w:t>
            </w:r>
            <w:r>
              <w:rPr>
                <w:rFonts w:hint="eastAsia" w:ascii="宋体" w:hAnsi="宋体"/>
                <w:color w:val="auto"/>
                <w:sz w:val="22"/>
                <w:szCs w:val="22"/>
                <w:highlight w:val="none"/>
              </w:rPr>
              <w:t>℃</w:t>
            </w:r>
            <w:r>
              <w:rPr>
                <w:rFonts w:ascii="宋体" w:hAnsi="宋体"/>
                <w:color w:val="auto"/>
                <w:sz w:val="22"/>
                <w:szCs w:val="22"/>
                <w:highlight w:val="none"/>
              </w:rPr>
              <w:t>，恒温4h）后在15min内进行防弹性能试验，在有效击中情况下，防弹衣阻断弹头，且背衬最大凹陷深度小于等于3.0mm。（</w:t>
            </w:r>
            <w:r>
              <w:rPr>
                <w:rFonts w:hint="eastAsia" w:ascii="宋体" w:hAnsi="宋体"/>
                <w:color w:val="auto"/>
                <w:sz w:val="22"/>
                <w:szCs w:val="22"/>
                <w:highlight w:val="none"/>
              </w:rPr>
              <w:t>需在检测报告里体现）</w:t>
            </w:r>
            <w:r>
              <w:rPr>
                <w:rFonts w:ascii="宋体" w:hAnsi="宋体"/>
                <w:color w:val="auto"/>
                <w:sz w:val="22"/>
                <w:szCs w:val="22"/>
                <w:highlight w:val="none"/>
              </w:rPr>
              <w:br w:type="textWrapping"/>
            </w:r>
            <w:r>
              <w:rPr>
                <w:rFonts w:hint="eastAsia" w:ascii="宋体" w:hAnsi="宋体"/>
                <w:color w:val="auto"/>
                <w:sz w:val="22"/>
                <w:szCs w:val="22"/>
                <w:highlight w:val="none"/>
              </w:rPr>
              <w:t>12、</w:t>
            </w:r>
            <w:r>
              <w:rPr>
                <w:rFonts w:ascii="宋体" w:hAnsi="宋体"/>
                <w:color w:val="auto"/>
                <w:sz w:val="22"/>
                <w:szCs w:val="22"/>
                <w:highlight w:val="none"/>
              </w:rPr>
              <w:t>湿热试验：在低温试验（70</w:t>
            </w:r>
            <w:r>
              <w:rPr>
                <w:rFonts w:hint="eastAsia" w:ascii="宋体" w:hAnsi="宋体"/>
                <w:color w:val="auto"/>
                <w:sz w:val="22"/>
                <w:szCs w:val="22"/>
                <w:highlight w:val="none"/>
              </w:rPr>
              <w:t>℃</w:t>
            </w:r>
            <w:r>
              <w:rPr>
                <w:rFonts w:ascii="宋体" w:hAnsi="宋体"/>
                <w:color w:val="auto"/>
                <w:sz w:val="22"/>
                <w:szCs w:val="22"/>
                <w:highlight w:val="none"/>
              </w:rPr>
              <w:t>±2</w:t>
            </w:r>
            <w:r>
              <w:rPr>
                <w:rFonts w:hint="eastAsia" w:ascii="宋体" w:hAnsi="宋体"/>
                <w:color w:val="auto"/>
                <w:sz w:val="22"/>
                <w:szCs w:val="22"/>
                <w:highlight w:val="none"/>
              </w:rPr>
              <w:t>℃</w:t>
            </w:r>
            <w:r>
              <w:rPr>
                <w:rFonts w:ascii="宋体" w:hAnsi="宋体"/>
                <w:color w:val="auto"/>
                <w:sz w:val="22"/>
                <w:szCs w:val="22"/>
                <w:highlight w:val="none"/>
              </w:rPr>
              <w:t>，相对湿度80%）后在在常温放置24h下，进行防弹性能试验，在有效击中情况下，防弹衣阻断弹头，且背衬最大凹陷深度小于等于</w:t>
            </w:r>
            <w:r>
              <w:rPr>
                <w:rFonts w:hint="eastAsia" w:ascii="宋体" w:hAnsi="宋体"/>
                <w:color w:val="auto"/>
                <w:sz w:val="22"/>
                <w:szCs w:val="22"/>
                <w:highlight w:val="none"/>
              </w:rPr>
              <w:t>7.0</w:t>
            </w:r>
            <w:r>
              <w:rPr>
                <w:rFonts w:ascii="宋体" w:hAnsi="宋体"/>
                <w:color w:val="auto"/>
                <w:sz w:val="22"/>
                <w:szCs w:val="22"/>
                <w:highlight w:val="none"/>
              </w:rPr>
              <w:t>mm。</w:t>
            </w:r>
            <w:r>
              <w:rPr>
                <w:rFonts w:ascii="宋体" w:hAnsi="宋体"/>
                <w:color w:val="auto"/>
                <w:sz w:val="22"/>
                <w:szCs w:val="22"/>
                <w:highlight w:val="none"/>
              </w:rPr>
              <w:br w:type="textWrapping"/>
            </w:r>
            <w:r>
              <w:rPr>
                <w:rFonts w:hint="eastAsia" w:ascii="宋体" w:hAnsi="宋体"/>
                <w:color w:val="auto"/>
                <w:sz w:val="22"/>
                <w:szCs w:val="22"/>
                <w:highlight w:val="none"/>
              </w:rPr>
              <w:t>13、执行标准：</w:t>
            </w:r>
            <w:r>
              <w:rPr>
                <w:rFonts w:ascii="宋体" w:hAnsi="宋体"/>
                <w:color w:val="auto"/>
                <w:sz w:val="22"/>
                <w:szCs w:val="22"/>
                <w:highlight w:val="none"/>
              </w:rPr>
              <w:t>GA141-2010</w:t>
            </w:r>
            <w:r>
              <w:rPr>
                <w:rFonts w:hint="eastAsia" w:ascii="宋体" w:hAnsi="宋体"/>
                <w:color w:val="auto"/>
                <w:sz w:val="22"/>
                <w:szCs w:val="22"/>
                <w:highlight w:val="none"/>
              </w:rPr>
              <w:t>《警用防弹衣》；</w:t>
            </w:r>
            <w:r>
              <w:rPr>
                <w:rFonts w:ascii="宋体" w:hAnsi="宋体"/>
                <w:color w:val="auto"/>
                <w:sz w:val="22"/>
                <w:szCs w:val="22"/>
                <w:highlight w:val="none"/>
              </w:rPr>
              <w:br w:type="textWrapping"/>
            </w:r>
            <w:r>
              <w:rPr>
                <w:rFonts w:hint="eastAsia" w:ascii="宋体" w:hAnsi="宋体"/>
                <w:color w:val="auto"/>
                <w:sz w:val="22"/>
                <w:szCs w:val="22"/>
                <w:highlight w:val="none"/>
              </w:rPr>
              <w:t>▲14、须提供公安部特种警用装备质量监督检验中心出具的检测合格的检验报告复印件；</w:t>
            </w:r>
            <w:r>
              <w:rPr>
                <w:rFonts w:ascii="宋体" w:hAnsi="宋体"/>
                <w:color w:val="auto"/>
                <w:sz w:val="22"/>
                <w:szCs w:val="22"/>
                <w:highlight w:val="none"/>
              </w:rPr>
              <w:br w:type="textWrapping"/>
            </w:r>
            <w:r>
              <w:rPr>
                <w:rFonts w:hint="eastAsia" w:ascii="宋体" w:hAnsi="宋体"/>
                <w:color w:val="auto"/>
                <w:sz w:val="22"/>
                <w:szCs w:val="22"/>
                <w:highlight w:val="none"/>
              </w:rPr>
              <w:t>▲</w:t>
            </w:r>
            <w:r>
              <w:rPr>
                <w:rFonts w:ascii="宋体" w:hAnsi="宋体"/>
                <w:color w:val="auto"/>
                <w:sz w:val="22"/>
                <w:szCs w:val="22"/>
                <w:highlight w:val="none"/>
              </w:rPr>
              <w:t>1</w:t>
            </w:r>
            <w:r>
              <w:rPr>
                <w:rFonts w:hint="eastAsia" w:ascii="宋体" w:hAnsi="宋体"/>
                <w:color w:val="auto"/>
                <w:sz w:val="22"/>
                <w:szCs w:val="22"/>
                <w:highlight w:val="none"/>
              </w:rPr>
              <w:t>5、提供产品八年质量责任保险金额应≥</w:t>
            </w:r>
            <w:r>
              <w:rPr>
                <w:rFonts w:ascii="宋体" w:hAnsi="宋体"/>
                <w:color w:val="auto"/>
                <w:sz w:val="22"/>
                <w:szCs w:val="22"/>
                <w:highlight w:val="none"/>
              </w:rPr>
              <w:t>800</w:t>
            </w:r>
            <w:r>
              <w:rPr>
                <w:rFonts w:hint="eastAsia" w:ascii="宋体" w:hAnsi="宋体"/>
                <w:color w:val="auto"/>
                <w:sz w:val="22"/>
                <w:szCs w:val="22"/>
                <w:highlight w:val="none"/>
              </w:rPr>
              <w:t>万元，提供保险证明材料复印件（金额及年限以保险单为主）；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3</w:t>
            </w:r>
            <w:r>
              <w:rPr>
                <w:rFonts w:hint="eastAsia" w:ascii="宋体" w:hAnsi="宋体"/>
                <w:color w:val="auto"/>
                <w:sz w:val="22"/>
                <w:szCs w:val="22"/>
                <w:highlight w:val="none"/>
                <w:lang w:val="en-US" w:eastAsia="zh-CN"/>
              </w:rPr>
              <w:t>1</w:t>
            </w:r>
          </w:p>
        </w:tc>
        <w:tc>
          <w:tcPr>
            <w:tcW w:w="411" w:type="pct"/>
            <w:noWrap w:val="0"/>
            <w:vAlign w:val="center"/>
          </w:tcPr>
          <w:p>
            <w:pPr>
              <w:widowControl/>
              <w:spacing w:line="276" w:lineRule="auto"/>
              <w:jc w:val="center"/>
              <w:textAlignment w:val="center"/>
              <w:rPr>
                <w:rFonts w:hint="eastAsia" w:ascii="宋体" w:hAnsi="宋体"/>
                <w:color w:val="auto"/>
                <w:sz w:val="22"/>
                <w:szCs w:val="22"/>
                <w:highlight w:val="none"/>
              </w:rPr>
            </w:pPr>
            <w:r>
              <w:rPr>
                <w:rFonts w:hint="eastAsia" w:ascii="宋体" w:hAnsi="宋体"/>
                <w:color w:val="auto"/>
                <w:sz w:val="22"/>
                <w:szCs w:val="22"/>
                <w:highlight w:val="none"/>
              </w:rPr>
              <w:t>防弹</w:t>
            </w:r>
            <w:r>
              <w:rPr>
                <w:rFonts w:ascii="宋体" w:hAnsi="宋体"/>
                <w:color w:val="auto"/>
                <w:sz w:val="22"/>
                <w:szCs w:val="22"/>
                <w:highlight w:val="none"/>
              </w:rPr>
              <w:t>防刺服</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244600" cy="1659890"/>
                  <wp:effectExtent l="0" t="0" r="12700" b="16510"/>
                  <wp:docPr id="36" name="图片 32" descr="b89fd779cc31769d688462998d0bb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descr="b89fd779cc31769d688462998d0bb97"/>
                          <pic:cNvPicPr>
                            <a:picLocks noChangeAspect="1"/>
                          </pic:cNvPicPr>
                        </pic:nvPicPr>
                        <pic:blipFill>
                          <a:blip r:embed="rId43"/>
                          <a:stretch>
                            <a:fillRect/>
                          </a:stretch>
                        </pic:blipFill>
                        <pic:spPr>
                          <a:xfrm>
                            <a:off x="0" y="0"/>
                            <a:ext cx="1244600" cy="1659890"/>
                          </a:xfrm>
                          <a:prstGeom prst="rect">
                            <a:avLst/>
                          </a:prstGeom>
                          <a:noFill/>
                          <a:ln>
                            <a:noFill/>
                          </a:ln>
                        </pic:spPr>
                      </pic:pic>
                    </a:graphicData>
                  </a:graphic>
                </wp:inline>
              </w:drawing>
            </w:r>
          </w:p>
        </w:tc>
        <w:tc>
          <w:tcPr>
            <w:tcW w:w="2847" w:type="pct"/>
            <w:noWrap w:val="0"/>
            <w:vAlign w:val="center"/>
          </w:tcPr>
          <w:p>
            <w:pPr>
              <w:tabs>
                <w:tab w:val="left" w:pos="0"/>
              </w:tabs>
              <w:spacing w:line="276" w:lineRule="auto"/>
              <w:jc w:val="left"/>
              <w:rPr>
                <w:rFonts w:ascii="宋体" w:hAnsi="宋体"/>
                <w:color w:val="auto"/>
                <w:sz w:val="22"/>
                <w:szCs w:val="22"/>
                <w:highlight w:val="none"/>
              </w:rPr>
            </w:pPr>
            <w:r>
              <w:rPr>
                <w:rFonts w:ascii="宋体" w:hAnsi="宋体"/>
                <w:color w:val="auto"/>
                <w:sz w:val="22"/>
                <w:szCs w:val="22"/>
                <w:highlight w:val="none"/>
              </w:rPr>
              <w:t>1、</w:t>
            </w:r>
            <w:r>
              <w:rPr>
                <w:rFonts w:hint="eastAsia" w:ascii="宋体" w:hAnsi="宋体"/>
                <w:color w:val="auto"/>
                <w:sz w:val="22"/>
                <w:szCs w:val="22"/>
                <w:highlight w:val="none"/>
              </w:rPr>
              <w:t>执行标准：</w:t>
            </w:r>
            <w:r>
              <w:rPr>
                <w:rFonts w:ascii="宋体" w:hAnsi="宋体"/>
                <w:color w:val="auto"/>
                <w:sz w:val="22"/>
                <w:szCs w:val="22"/>
                <w:highlight w:val="none"/>
              </w:rPr>
              <w:t>《GA141-2010 警用防弹衣》、《GA68-2019 警用防刺服》</w:t>
            </w:r>
            <w:r>
              <w:rPr>
                <w:rFonts w:hint="eastAsia" w:ascii="宋体" w:hAnsi="宋体"/>
                <w:color w:val="auto"/>
                <w:sz w:val="22"/>
                <w:szCs w:val="22"/>
                <w:highlight w:val="none"/>
              </w:rPr>
              <w:t>；</w:t>
            </w:r>
          </w:p>
          <w:p>
            <w:pPr>
              <w:tabs>
                <w:tab w:val="left" w:pos="0"/>
              </w:tabs>
              <w:spacing w:line="276" w:lineRule="auto"/>
              <w:jc w:val="left"/>
              <w:rPr>
                <w:rFonts w:ascii="宋体" w:hAnsi="宋体"/>
                <w:color w:val="auto"/>
                <w:sz w:val="22"/>
                <w:szCs w:val="22"/>
                <w:highlight w:val="none"/>
              </w:rPr>
            </w:pPr>
            <w:r>
              <w:rPr>
                <w:rFonts w:hint="eastAsia" w:ascii="宋体" w:hAnsi="宋体"/>
                <w:color w:val="auto"/>
                <w:sz w:val="22"/>
                <w:szCs w:val="22"/>
                <w:highlight w:val="none"/>
              </w:rPr>
              <w:t>2、颜色：警用藏蓝色；</w:t>
            </w:r>
          </w:p>
          <w:p>
            <w:pPr>
              <w:tabs>
                <w:tab w:val="left" w:pos="0"/>
              </w:tabs>
              <w:spacing w:line="276" w:lineRule="auto"/>
              <w:jc w:val="left"/>
              <w:rPr>
                <w:rFonts w:ascii="宋体" w:hAnsi="宋体"/>
                <w:color w:val="auto"/>
                <w:sz w:val="22"/>
                <w:szCs w:val="22"/>
                <w:highlight w:val="none"/>
              </w:rPr>
            </w:pPr>
            <w:r>
              <w:rPr>
                <w:rFonts w:hint="eastAsia" w:ascii="宋体" w:hAnsi="宋体"/>
                <w:color w:val="auto"/>
                <w:sz w:val="22"/>
                <w:szCs w:val="22"/>
                <w:highlight w:val="none"/>
              </w:rPr>
              <w:t>3、材质：采用芳纶纤维无纬布等制成；</w:t>
            </w:r>
          </w:p>
          <w:p>
            <w:pPr>
              <w:tabs>
                <w:tab w:val="left" w:pos="0"/>
              </w:tabs>
              <w:spacing w:line="276" w:lineRule="auto"/>
              <w:jc w:val="left"/>
              <w:rPr>
                <w:rFonts w:ascii="宋体" w:hAnsi="宋体"/>
                <w:color w:val="auto"/>
                <w:sz w:val="22"/>
                <w:szCs w:val="22"/>
                <w:highlight w:val="none"/>
              </w:rPr>
            </w:pPr>
            <w:r>
              <w:rPr>
                <w:rFonts w:hint="eastAsia" w:ascii="宋体" w:hAnsi="宋体"/>
                <w:color w:val="auto"/>
                <w:sz w:val="22"/>
                <w:szCs w:val="22"/>
                <w:highlight w:val="none"/>
              </w:rPr>
              <w:t>4、</w:t>
            </w:r>
            <w:r>
              <w:rPr>
                <w:rFonts w:ascii="宋体" w:hAnsi="宋体"/>
                <w:color w:val="auto"/>
                <w:sz w:val="22"/>
                <w:szCs w:val="22"/>
                <w:highlight w:val="none"/>
              </w:rPr>
              <w:t>防弹等级：三级</w:t>
            </w:r>
            <w:r>
              <w:rPr>
                <w:rFonts w:hint="eastAsia" w:ascii="宋体" w:hAnsi="宋体"/>
                <w:color w:val="auto"/>
                <w:sz w:val="22"/>
                <w:szCs w:val="22"/>
                <w:highlight w:val="none"/>
              </w:rPr>
              <w:t>；</w:t>
            </w:r>
          </w:p>
          <w:p>
            <w:pPr>
              <w:tabs>
                <w:tab w:val="left" w:pos="0"/>
              </w:tabs>
              <w:spacing w:line="276" w:lineRule="auto"/>
              <w:jc w:val="left"/>
              <w:rPr>
                <w:rFonts w:ascii="宋体" w:hAnsi="宋体"/>
                <w:color w:val="auto"/>
                <w:sz w:val="22"/>
                <w:szCs w:val="22"/>
                <w:highlight w:val="none"/>
              </w:rPr>
            </w:pPr>
            <w:r>
              <w:rPr>
                <w:rFonts w:ascii="宋体" w:hAnsi="宋体" w:cs="Arial"/>
                <w:color w:val="auto"/>
                <w:sz w:val="22"/>
                <w:szCs w:val="22"/>
                <w:highlight w:val="none"/>
              </w:rPr>
              <w:t>▲</w:t>
            </w:r>
            <w:r>
              <w:rPr>
                <w:rFonts w:hint="eastAsia" w:ascii="宋体" w:hAnsi="宋体"/>
                <w:color w:val="auto"/>
                <w:sz w:val="22"/>
                <w:szCs w:val="22"/>
                <w:highlight w:val="none"/>
              </w:rPr>
              <w:t>5、</w:t>
            </w:r>
            <w:r>
              <w:rPr>
                <w:rFonts w:ascii="宋体" w:hAnsi="宋体"/>
                <w:color w:val="auto"/>
                <w:sz w:val="22"/>
                <w:szCs w:val="22"/>
                <w:highlight w:val="none"/>
              </w:rPr>
              <w:t>防护面积：防护层应覆盖人体主要内脏器官（包括前、后及侧面防护），防护面积≥0</w:t>
            </w:r>
            <w:r>
              <w:rPr>
                <w:rFonts w:hint="eastAsia" w:ascii="宋体" w:hAnsi="宋体"/>
                <w:color w:val="auto"/>
                <w:sz w:val="22"/>
                <w:szCs w:val="22"/>
                <w:highlight w:val="none"/>
              </w:rPr>
              <w:t>.</w:t>
            </w:r>
            <w:r>
              <w:rPr>
                <w:rFonts w:ascii="宋体" w:hAnsi="宋体"/>
                <w:color w:val="auto"/>
                <w:sz w:val="22"/>
                <w:szCs w:val="22"/>
                <w:highlight w:val="none"/>
              </w:rPr>
              <w:t>3</w:t>
            </w:r>
            <w:r>
              <w:rPr>
                <w:rFonts w:hint="eastAsia" w:ascii="宋体" w:hAnsi="宋体" w:cs="Batang"/>
                <w:color w:val="auto"/>
                <w:sz w:val="22"/>
                <w:szCs w:val="22"/>
                <w:highlight w:val="none"/>
              </w:rPr>
              <w:t>㎡</w:t>
            </w:r>
            <w:r>
              <w:rPr>
                <w:rFonts w:hint="eastAsia" w:ascii="宋体" w:hAnsi="宋体"/>
                <w:color w:val="auto"/>
                <w:sz w:val="22"/>
                <w:szCs w:val="22"/>
                <w:highlight w:val="none"/>
              </w:rPr>
              <w:t>；（需在检测报告中体现）</w:t>
            </w:r>
          </w:p>
          <w:p>
            <w:pPr>
              <w:tabs>
                <w:tab w:val="left" w:pos="0"/>
              </w:tabs>
              <w:spacing w:line="276" w:lineRule="auto"/>
              <w:jc w:val="left"/>
              <w:rPr>
                <w:rFonts w:ascii="宋体" w:hAnsi="宋体"/>
                <w:color w:val="auto"/>
                <w:sz w:val="22"/>
                <w:szCs w:val="22"/>
                <w:highlight w:val="none"/>
              </w:rPr>
            </w:pPr>
            <w:r>
              <w:rPr>
                <w:rFonts w:hint="eastAsia" w:ascii="宋体" w:hAnsi="宋体"/>
                <w:color w:val="auto"/>
                <w:sz w:val="22"/>
                <w:szCs w:val="22"/>
                <w:highlight w:val="none"/>
              </w:rPr>
              <w:t>6、</w:t>
            </w:r>
            <w:r>
              <w:rPr>
                <w:rFonts w:ascii="宋体" w:hAnsi="宋体"/>
                <w:color w:val="auto"/>
                <w:sz w:val="22"/>
                <w:szCs w:val="22"/>
                <w:highlight w:val="none"/>
              </w:rPr>
              <w:t>防弹防刺服的总重量≤</w:t>
            </w:r>
            <w:r>
              <w:rPr>
                <w:rFonts w:hint="eastAsia" w:ascii="宋体" w:hAnsi="宋体"/>
                <w:color w:val="auto"/>
                <w:sz w:val="22"/>
                <w:szCs w:val="22"/>
                <w:highlight w:val="none"/>
              </w:rPr>
              <w:t xml:space="preserve"> 2.8</w:t>
            </w:r>
            <w:r>
              <w:rPr>
                <w:rFonts w:ascii="宋体" w:hAnsi="宋体"/>
                <w:color w:val="auto"/>
                <w:sz w:val="22"/>
                <w:szCs w:val="22"/>
                <w:highlight w:val="none"/>
              </w:rPr>
              <w:t>kg</w:t>
            </w:r>
            <w:r>
              <w:rPr>
                <w:rFonts w:hint="eastAsia" w:ascii="宋体" w:hAnsi="宋体"/>
                <w:color w:val="auto"/>
                <w:sz w:val="22"/>
                <w:szCs w:val="22"/>
                <w:highlight w:val="none"/>
              </w:rPr>
              <w:t>（不含外套）；</w:t>
            </w:r>
            <w:r>
              <w:rPr>
                <w:rFonts w:ascii="宋体" w:hAnsi="宋体"/>
                <w:color w:val="auto"/>
                <w:sz w:val="22"/>
                <w:szCs w:val="22"/>
                <w:highlight w:val="none"/>
              </w:rPr>
              <w:t xml:space="preserve"> </w:t>
            </w:r>
          </w:p>
          <w:p>
            <w:pPr>
              <w:tabs>
                <w:tab w:val="left" w:pos="0"/>
              </w:tabs>
              <w:spacing w:line="276" w:lineRule="auto"/>
              <w:jc w:val="left"/>
              <w:rPr>
                <w:rFonts w:ascii="宋体" w:hAnsi="宋体"/>
                <w:color w:val="auto"/>
                <w:sz w:val="22"/>
                <w:szCs w:val="22"/>
                <w:highlight w:val="none"/>
              </w:rPr>
            </w:pPr>
            <w:r>
              <w:rPr>
                <w:rFonts w:hint="eastAsia" w:ascii="宋体" w:hAnsi="宋体"/>
                <w:color w:val="auto"/>
                <w:sz w:val="22"/>
                <w:szCs w:val="22"/>
                <w:highlight w:val="none"/>
              </w:rPr>
              <w:t>7、</w:t>
            </w:r>
            <w:r>
              <w:rPr>
                <w:rFonts w:ascii="宋体" w:hAnsi="宋体"/>
                <w:color w:val="auto"/>
                <w:sz w:val="22"/>
                <w:szCs w:val="22"/>
                <w:highlight w:val="none"/>
              </w:rPr>
              <w:t>防弹性能：</w:t>
            </w:r>
            <w:r>
              <w:rPr>
                <w:rFonts w:hint="eastAsia" w:ascii="宋体" w:hAnsi="宋体"/>
                <w:color w:val="auto"/>
                <w:sz w:val="22"/>
                <w:szCs w:val="22"/>
                <w:highlight w:val="none"/>
              </w:rPr>
              <w:t>使用</w:t>
            </w:r>
            <w:r>
              <w:rPr>
                <w:rFonts w:hint="eastAsia" w:ascii="宋体" w:hAnsi="宋体" w:cs="宋体"/>
                <w:bCs/>
                <w:snapToGrid w:val="0"/>
                <w:color w:val="auto"/>
                <w:sz w:val="22"/>
                <w:szCs w:val="22"/>
                <w:highlight w:val="none"/>
              </w:rPr>
              <w:t>1979年式7.62mm 轻型冲锋枪发射的1951年式7.62mm 手枪弹(铅心)，背衬最大凹陷深度应小于等于25mm</w:t>
            </w:r>
            <w:r>
              <w:rPr>
                <w:rFonts w:hint="eastAsia" w:ascii="宋体" w:hAnsi="宋体"/>
                <w:color w:val="auto"/>
                <w:sz w:val="22"/>
                <w:szCs w:val="22"/>
                <w:highlight w:val="none"/>
              </w:rPr>
              <w:t>；</w:t>
            </w:r>
          </w:p>
          <w:p>
            <w:pPr>
              <w:tabs>
                <w:tab w:val="left" w:pos="0"/>
              </w:tabs>
              <w:spacing w:line="276" w:lineRule="auto"/>
              <w:jc w:val="left"/>
              <w:rPr>
                <w:rFonts w:ascii="宋体" w:hAnsi="宋体"/>
                <w:color w:val="auto"/>
                <w:sz w:val="22"/>
                <w:szCs w:val="22"/>
                <w:highlight w:val="none"/>
              </w:rPr>
            </w:pPr>
            <w:r>
              <w:rPr>
                <w:rFonts w:hint="eastAsia" w:ascii="宋体" w:hAnsi="宋体"/>
                <w:color w:val="auto"/>
                <w:sz w:val="22"/>
                <w:szCs w:val="22"/>
                <w:highlight w:val="none"/>
              </w:rPr>
              <w:t>8、防刺性能：符合</w:t>
            </w:r>
            <w:r>
              <w:rPr>
                <w:rFonts w:ascii="宋体" w:hAnsi="宋体"/>
                <w:color w:val="auto"/>
                <w:sz w:val="22"/>
                <w:szCs w:val="22"/>
                <w:highlight w:val="none"/>
              </w:rPr>
              <w:t>GA68-2019</w:t>
            </w:r>
            <w:r>
              <w:rPr>
                <w:rFonts w:hint="eastAsia" w:ascii="宋体" w:hAnsi="宋体"/>
                <w:color w:val="auto"/>
                <w:sz w:val="22"/>
                <w:szCs w:val="22"/>
                <w:highlight w:val="none"/>
              </w:rPr>
              <w:t xml:space="preserve">（警用防刺服）的A类相应规定，能有效阻止24J下的穿透；； </w:t>
            </w:r>
          </w:p>
          <w:p>
            <w:pPr>
              <w:tabs>
                <w:tab w:val="left" w:pos="0"/>
              </w:tabs>
              <w:spacing w:line="276" w:lineRule="auto"/>
              <w:jc w:val="left"/>
              <w:rPr>
                <w:rFonts w:ascii="宋体" w:hAnsi="宋体"/>
                <w:color w:val="auto"/>
                <w:sz w:val="22"/>
                <w:szCs w:val="22"/>
                <w:highlight w:val="none"/>
              </w:rPr>
            </w:pPr>
            <w:r>
              <w:rPr>
                <w:rFonts w:hint="eastAsia" w:ascii="宋体" w:hAnsi="宋体"/>
                <w:color w:val="auto"/>
                <w:sz w:val="22"/>
                <w:szCs w:val="22"/>
                <w:highlight w:val="none"/>
              </w:rPr>
              <w:t>9</w:t>
            </w:r>
            <w:r>
              <w:rPr>
                <w:rFonts w:ascii="宋体" w:hAnsi="宋体"/>
                <w:color w:val="auto"/>
                <w:sz w:val="22"/>
                <w:szCs w:val="22"/>
                <w:highlight w:val="none"/>
              </w:rPr>
              <w:t>、耐浸水性能：符合GA141-2010（警用防弹衣）的相应规定</w:t>
            </w:r>
            <w:r>
              <w:rPr>
                <w:rFonts w:hint="eastAsia" w:ascii="宋体" w:hAnsi="宋体"/>
                <w:color w:val="auto"/>
                <w:sz w:val="22"/>
                <w:szCs w:val="22"/>
                <w:highlight w:val="none"/>
              </w:rPr>
              <w:t>；</w:t>
            </w:r>
          </w:p>
          <w:p>
            <w:pPr>
              <w:tabs>
                <w:tab w:val="left" w:pos="0"/>
              </w:tabs>
              <w:spacing w:line="276" w:lineRule="auto"/>
              <w:jc w:val="left"/>
              <w:rPr>
                <w:rFonts w:ascii="宋体" w:hAnsi="宋体"/>
                <w:color w:val="auto"/>
                <w:sz w:val="22"/>
                <w:szCs w:val="22"/>
                <w:highlight w:val="none"/>
              </w:rPr>
            </w:pPr>
            <w:r>
              <w:rPr>
                <w:rFonts w:hint="eastAsia" w:ascii="宋体" w:hAnsi="宋体"/>
                <w:color w:val="auto"/>
                <w:sz w:val="22"/>
                <w:szCs w:val="22"/>
                <w:highlight w:val="none"/>
              </w:rPr>
              <w:t>10</w:t>
            </w:r>
            <w:r>
              <w:rPr>
                <w:rFonts w:ascii="宋体" w:hAnsi="宋体"/>
                <w:color w:val="auto"/>
                <w:sz w:val="22"/>
                <w:szCs w:val="22"/>
                <w:highlight w:val="none"/>
              </w:rPr>
              <w:t>、气候环境适应性：符合GA141-2010（警用防弹衣）和GA68-2019（警用防刺服）的相应规定</w:t>
            </w:r>
            <w:r>
              <w:rPr>
                <w:rFonts w:hint="eastAsia" w:ascii="宋体" w:hAnsi="宋体"/>
                <w:color w:val="auto"/>
                <w:sz w:val="22"/>
                <w:szCs w:val="22"/>
                <w:highlight w:val="none"/>
              </w:rPr>
              <w:t>；</w:t>
            </w:r>
          </w:p>
          <w:p>
            <w:pPr>
              <w:pStyle w:val="315"/>
              <w:spacing w:line="276" w:lineRule="auto"/>
              <w:ind w:firstLine="0" w:firstLineChars="0"/>
              <w:jc w:val="left"/>
              <w:rPr>
                <w:rFonts w:ascii="宋体" w:hAnsi="宋体"/>
                <w:color w:val="auto"/>
                <w:sz w:val="22"/>
                <w:szCs w:val="22"/>
                <w:highlight w:val="none"/>
              </w:rPr>
            </w:pPr>
            <w:r>
              <w:rPr>
                <w:rFonts w:hint="eastAsia" w:ascii="宋体" w:hAnsi="宋体"/>
                <w:color w:val="auto"/>
                <w:sz w:val="22"/>
                <w:szCs w:val="22"/>
                <w:highlight w:val="none"/>
              </w:rPr>
              <w:t>11、提供产品八年质量责任保险金额应≥</w:t>
            </w:r>
            <w:r>
              <w:rPr>
                <w:rFonts w:ascii="宋体" w:hAnsi="宋体"/>
                <w:color w:val="auto"/>
                <w:sz w:val="22"/>
                <w:szCs w:val="22"/>
                <w:highlight w:val="none"/>
              </w:rPr>
              <w:t>800</w:t>
            </w:r>
            <w:r>
              <w:rPr>
                <w:rFonts w:hint="eastAsia" w:ascii="宋体" w:hAnsi="宋体"/>
                <w:color w:val="auto"/>
                <w:sz w:val="22"/>
                <w:szCs w:val="22"/>
                <w:highlight w:val="none"/>
              </w:rPr>
              <w:t>万元，提供保险证明材料复印件；</w:t>
            </w:r>
          </w:p>
          <w:p>
            <w:pPr>
              <w:spacing w:line="276" w:lineRule="auto"/>
              <w:jc w:val="left"/>
              <w:rPr>
                <w:rFonts w:ascii="宋体" w:hAnsi="宋体"/>
                <w:color w:val="auto"/>
                <w:sz w:val="22"/>
                <w:szCs w:val="22"/>
                <w:highlight w:val="none"/>
              </w:rPr>
            </w:pPr>
            <w:r>
              <w:rPr>
                <w:rFonts w:hint="eastAsia" w:ascii="宋体" w:hAnsi="宋体" w:cs="宋体"/>
                <w:color w:val="auto"/>
                <w:sz w:val="22"/>
                <w:szCs w:val="22"/>
                <w:highlight w:val="none"/>
              </w:rPr>
              <w:t>▲</w:t>
            </w:r>
            <w:r>
              <w:rPr>
                <w:rFonts w:hint="eastAsia" w:ascii="宋体" w:hAnsi="宋体"/>
                <w:color w:val="auto"/>
                <w:sz w:val="22"/>
                <w:szCs w:val="22"/>
                <w:highlight w:val="none"/>
              </w:rPr>
              <w:t>12</w:t>
            </w:r>
            <w:r>
              <w:rPr>
                <w:rFonts w:ascii="宋体" w:hAnsi="宋体"/>
                <w:color w:val="auto"/>
                <w:sz w:val="22"/>
                <w:szCs w:val="22"/>
                <w:highlight w:val="none"/>
              </w:rPr>
              <w:t>、</w:t>
            </w:r>
            <w:r>
              <w:rPr>
                <w:rFonts w:hint="eastAsia" w:ascii="宋体" w:hAnsi="宋体"/>
                <w:color w:val="auto"/>
                <w:sz w:val="22"/>
                <w:szCs w:val="22"/>
                <w:highlight w:val="none"/>
              </w:rPr>
              <w:t>须提供由“通过国家认证认可监督管理委员会资质审批的检验检测机构”出具的检测报告（复印件加盖投标人公章）。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3</w:t>
            </w:r>
            <w:r>
              <w:rPr>
                <w:rFonts w:hint="eastAsia" w:ascii="宋体" w:hAnsi="宋体"/>
                <w:color w:val="auto"/>
                <w:sz w:val="22"/>
                <w:szCs w:val="22"/>
                <w:highlight w:val="none"/>
                <w:lang w:val="en-US" w:eastAsia="zh-CN"/>
              </w:rPr>
              <w:t>2</w:t>
            </w:r>
          </w:p>
        </w:tc>
        <w:tc>
          <w:tcPr>
            <w:tcW w:w="411" w:type="pct"/>
            <w:noWrap w:val="0"/>
            <w:vAlign w:val="center"/>
          </w:tcPr>
          <w:p>
            <w:pPr>
              <w:widowControl/>
              <w:spacing w:line="276" w:lineRule="auto"/>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防弹头盔</w:t>
            </w:r>
          </w:p>
        </w:tc>
        <w:tc>
          <w:tcPr>
            <w:tcW w:w="1459" w:type="pct"/>
            <w:noWrap w:val="0"/>
            <w:vAlign w:val="center"/>
          </w:tcPr>
          <w:p>
            <w:pPr>
              <w:spacing w:line="276" w:lineRule="auto"/>
              <w:jc w:val="center"/>
              <w:rPr>
                <w:rFonts w:ascii="宋体" w:hAnsi="宋体" w:cs="宋体"/>
                <w:color w:val="auto"/>
                <w:sz w:val="22"/>
                <w:szCs w:val="22"/>
                <w:highlight w:val="none"/>
              </w:rPr>
            </w:pPr>
            <w:r>
              <w:rPr>
                <w:rFonts w:ascii="宋体" w:hAnsi="宋体" w:cs="宋体"/>
                <w:color w:val="auto"/>
                <w:sz w:val="22"/>
                <w:szCs w:val="22"/>
                <w:highlight w:val="none"/>
              </w:rPr>
              <w:drawing>
                <wp:inline distT="0" distB="0" distL="114300" distR="114300">
                  <wp:extent cx="1048385" cy="1096645"/>
                  <wp:effectExtent l="0" t="0" r="18415" b="8255"/>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44"/>
                          <a:stretch>
                            <a:fillRect/>
                          </a:stretch>
                        </pic:blipFill>
                        <pic:spPr>
                          <a:xfrm>
                            <a:off x="0" y="0"/>
                            <a:ext cx="1048385" cy="1096645"/>
                          </a:xfrm>
                          <a:prstGeom prst="rect">
                            <a:avLst/>
                          </a:prstGeom>
                          <a:noFill/>
                          <a:ln>
                            <a:noFill/>
                          </a:ln>
                        </pic:spPr>
                      </pic:pic>
                    </a:graphicData>
                  </a:graphic>
                </wp:inline>
              </w:drawing>
            </w:r>
          </w:p>
        </w:tc>
        <w:tc>
          <w:tcPr>
            <w:tcW w:w="2847" w:type="pct"/>
            <w:noWrap w:val="0"/>
            <w:vAlign w:val="center"/>
          </w:tcPr>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1、颜色：99式藏蓝；</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2、防护等级：GA 2级；</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3、材质：芳纶，盔壳由芳纶浸胶机织布层压成型；</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4、组成结构：由壳体、缓冲层、佩戴装置等组成；</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5、外形尺寸：长轴L为243mm±2mm，短轴B为224mm±2mm，高度H为172mm±2mm；</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▲6、重量：≤1.5kg；（需在检测报告中体现）</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7、防护面积：≥0.12m²；</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8、内衬和“三点式”固定悬挂带结构多重可调节，可满足各种头型，头围尺寸的人员佩戴使用；</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▲9、盔壳侧向刚性检验：盔壳最大变形量≤9.0mm，残余变形量≤6.0mm；（需在检测报告中体现）</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10、盔壳材质阻燃性能良好，外表面续燃时间小于5s；</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11、防弹性能：使用1954年式7.62mm手枪，1951年式7.62mm手枪弹(铅心)，射距5m，头盔内表面最大弹痕高度小于等于25mm，在弹头速度（430-450m/s）弹痕高度：顶部≤6.0mm、前部≤8.0mm、右部≤7.0mm、左部≤7.0mm、后部≤8.0mm；</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12、环境温度-25℃-+55℃条件下：弹头速度（440-450m/s）前部≤8.0mm；</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13、执行标准：GA293-2012《警用防弹头盔及面罩》；</w:t>
            </w:r>
          </w:p>
          <w:p>
            <w:pPr>
              <w:pStyle w:val="818"/>
              <w:ind w:firstLine="0" w:firstLineChars="0"/>
              <w:rPr>
                <w:rFonts w:hint="eastAsia"/>
                <w:color w:val="auto"/>
                <w:sz w:val="22"/>
                <w:szCs w:val="22"/>
                <w:highlight w:val="none"/>
              </w:rPr>
            </w:pPr>
            <w:r>
              <w:rPr>
                <w:rFonts w:hint="eastAsia" w:ascii="宋体" w:hAnsi="宋体" w:cs="宋体"/>
                <w:color w:val="auto"/>
                <w:sz w:val="22"/>
                <w:szCs w:val="22"/>
                <w:highlight w:val="none"/>
              </w:rPr>
              <w:t>▲</w:t>
            </w:r>
            <w:r>
              <w:rPr>
                <w:rFonts w:hint="eastAsia"/>
                <w:color w:val="auto"/>
                <w:sz w:val="22"/>
                <w:szCs w:val="22"/>
                <w:highlight w:val="none"/>
              </w:rPr>
              <w:t>14、在常温状态下1.1破片的弹道极限V50值：＞700m/s</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▲15、提供公安部特种警用装备质量检测中心出具的检测报告复印件；</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▲16、</w:t>
            </w:r>
            <w:r>
              <w:rPr>
                <w:rFonts w:hint="eastAsia" w:ascii="宋体" w:hAnsi="宋体" w:cs="宋体"/>
                <w:bCs/>
                <w:color w:val="auto"/>
                <w:sz w:val="22"/>
                <w:szCs w:val="22"/>
                <w:highlight w:val="none"/>
              </w:rPr>
              <w:t>提供产品不低于8年</w:t>
            </w:r>
            <w:r>
              <w:rPr>
                <w:rFonts w:ascii="宋体" w:hAnsi="宋体" w:cs="宋体"/>
                <w:bCs/>
                <w:color w:val="auto"/>
                <w:sz w:val="22"/>
                <w:szCs w:val="22"/>
                <w:highlight w:val="none"/>
              </w:rPr>
              <w:t>800</w:t>
            </w:r>
            <w:r>
              <w:rPr>
                <w:rFonts w:hint="eastAsia" w:ascii="宋体" w:hAnsi="宋体" w:cs="宋体"/>
                <w:bCs/>
                <w:color w:val="auto"/>
                <w:sz w:val="22"/>
                <w:szCs w:val="22"/>
                <w:highlight w:val="none"/>
              </w:rPr>
              <w:t>万人民币责任险</w:t>
            </w:r>
            <w:r>
              <w:rPr>
                <w:rFonts w:hint="eastAsia" w:ascii="宋体" w:hAnsi="宋体" w:cs="宋体"/>
                <w:color w:val="auto"/>
                <w:sz w:val="22"/>
                <w:szCs w:val="22"/>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33</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防暴</w:t>
            </w:r>
            <w:r>
              <w:rPr>
                <w:rFonts w:ascii="宋体" w:hAnsi="宋体"/>
                <w:color w:val="auto"/>
                <w:sz w:val="22"/>
                <w:szCs w:val="22"/>
                <w:highlight w:val="none"/>
              </w:rPr>
              <w:t>头盔</w:t>
            </w:r>
          </w:p>
        </w:tc>
        <w:tc>
          <w:tcPr>
            <w:tcW w:w="1459" w:type="pct"/>
            <w:noWrap w:val="0"/>
            <w:vAlign w:val="center"/>
          </w:tcPr>
          <w:p>
            <w:pPr>
              <w:spacing w:line="276" w:lineRule="auto"/>
              <w:jc w:val="center"/>
              <w:rPr>
                <w:rFonts w:ascii="宋体" w:hAnsi="宋体" w:cs="宋体"/>
                <w:color w:val="auto"/>
                <w:sz w:val="22"/>
                <w:szCs w:val="22"/>
                <w:highlight w:val="none"/>
              </w:rPr>
            </w:pPr>
            <w:r>
              <w:rPr>
                <w:rFonts w:ascii="宋体" w:hAnsi="宋体" w:cs="宋体"/>
                <w:color w:val="auto"/>
                <w:sz w:val="22"/>
                <w:szCs w:val="22"/>
                <w:highlight w:val="none"/>
              </w:rPr>
              <w:drawing>
                <wp:inline distT="0" distB="0" distL="114300" distR="114300">
                  <wp:extent cx="1181100" cy="1000125"/>
                  <wp:effectExtent l="0" t="0" r="0" b="9525"/>
                  <wp:docPr id="43" name="图片 34" descr="]I@]L2QL`GUXRGON1FZXH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descr="]I@]L2QL`GUXRGON1FZXHW3"/>
                          <pic:cNvPicPr>
                            <a:picLocks noChangeAspect="1"/>
                          </pic:cNvPicPr>
                        </pic:nvPicPr>
                        <pic:blipFill>
                          <a:blip r:embed="rId45"/>
                          <a:stretch>
                            <a:fillRect/>
                          </a:stretch>
                        </pic:blipFill>
                        <pic:spPr>
                          <a:xfrm>
                            <a:off x="0" y="0"/>
                            <a:ext cx="1181100" cy="1000125"/>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1、材质：壳体使用工程塑料制作，缓冲层使用泡沫加软质吸能材料制作，面罩使用PC材料制作；</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2、产品结构：由壳体、缓冲层、衬垫（能拆洗）、面罩、佩戴装置（系带、下颏托、佩带扣和盔顶悬挂系统）、护颈等组成；</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3、颜色：壳体表面颜色应为藏蓝色，盔体上印有“警察”字样；</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4、透光率性能：头盔面罩透光率≥89%；</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5、面罩的光畸变最大量应小于等于4′；</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6、重量：≤1.55kg；</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7、执行标准：GA294-2012《警用防暴头盔》；</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8、外观：警用防暴头盔外表面涂层应均匀平滑，表面无杂质、起泡、脱皮、剥落等缺陷；</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▲9、提供产品不低于5年</w:t>
            </w:r>
            <w:r>
              <w:rPr>
                <w:rFonts w:ascii="宋体" w:hAnsi="宋体" w:cs="宋体"/>
                <w:color w:val="auto"/>
                <w:sz w:val="22"/>
                <w:szCs w:val="22"/>
                <w:highlight w:val="none"/>
              </w:rPr>
              <w:t>800</w:t>
            </w:r>
            <w:r>
              <w:rPr>
                <w:rFonts w:hint="eastAsia" w:ascii="宋体" w:hAnsi="宋体" w:cs="宋体"/>
                <w:color w:val="auto"/>
                <w:sz w:val="22"/>
                <w:szCs w:val="22"/>
                <w:highlight w:val="none"/>
              </w:rPr>
              <w:t>万人民币责任险，提供保险证明材料复印件（加盖生产企业公章）；</w:t>
            </w:r>
          </w:p>
          <w:p>
            <w:pPr>
              <w:widowControl/>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▲10、须提供开标日期前两年由公安部特种警用装备质量监督检测中心出具的检测报告复印件；</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▲11、所提供产品需为公装财（2003）46号警用防暴头盔列装入围企业产品，并提供列装入围证明（加盖生产企业公章）；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3</w:t>
            </w:r>
            <w:r>
              <w:rPr>
                <w:rFonts w:hint="eastAsia" w:ascii="宋体" w:hAnsi="宋体"/>
                <w:color w:val="auto"/>
                <w:sz w:val="22"/>
                <w:szCs w:val="22"/>
                <w:highlight w:val="none"/>
                <w:lang w:val="en-US" w:eastAsia="zh-CN"/>
              </w:rPr>
              <w:t>4</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巡逻</w:t>
            </w:r>
            <w:r>
              <w:rPr>
                <w:rFonts w:ascii="宋体" w:hAnsi="宋体"/>
                <w:color w:val="auto"/>
                <w:sz w:val="22"/>
                <w:szCs w:val="22"/>
                <w:highlight w:val="none"/>
              </w:rPr>
              <w:t>头盔（</w:t>
            </w:r>
            <w:r>
              <w:rPr>
                <w:rFonts w:hint="eastAsia" w:ascii="宋体" w:hAnsi="宋体"/>
                <w:color w:val="auto"/>
                <w:sz w:val="22"/>
                <w:szCs w:val="22"/>
                <w:highlight w:val="none"/>
              </w:rPr>
              <w:t>防风</w:t>
            </w:r>
            <w:r>
              <w:rPr>
                <w:rFonts w:ascii="宋体" w:hAnsi="宋体"/>
                <w:color w:val="auto"/>
                <w:sz w:val="22"/>
                <w:szCs w:val="22"/>
                <w:highlight w:val="none"/>
              </w:rPr>
              <w:t>）</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829310" cy="943610"/>
                  <wp:effectExtent l="0" t="0" r="8890" b="8890"/>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pic:cNvPicPr>
                            <a:picLocks noChangeAspect="1"/>
                          </pic:cNvPicPr>
                        </pic:nvPicPr>
                        <pic:blipFill>
                          <a:blip r:embed="rId46"/>
                          <a:stretch>
                            <a:fillRect/>
                          </a:stretch>
                        </pic:blipFill>
                        <pic:spPr>
                          <a:xfrm>
                            <a:off x="0" y="0"/>
                            <a:ext cx="829310" cy="943610"/>
                          </a:xfrm>
                          <a:prstGeom prst="rect">
                            <a:avLst/>
                          </a:prstGeom>
                          <a:noFill/>
                          <a:ln>
                            <a:noFill/>
                          </a:ln>
                        </pic:spPr>
                      </pic:pic>
                    </a:graphicData>
                  </a:graphic>
                </wp:inline>
              </w:drawing>
            </w:r>
          </w:p>
        </w:tc>
        <w:tc>
          <w:tcPr>
            <w:tcW w:w="2847" w:type="pct"/>
            <w:noWrap w:val="0"/>
            <w:vAlign w:val="center"/>
          </w:tcPr>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1、壳体材质：ABS(丙烯腈-苯乙烯-丁二烯共聚物)；</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2、镜片材料 ：PC，表面处理或PC板材热压成型；</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3、结构 ：由壳体、缓冲层、佩戴装置、面罩等组成；</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4、重量 ：≤1kg。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35</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巡逻头盔</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s="宋体"/>
                <w:color w:val="auto"/>
                <w:sz w:val="22"/>
                <w:szCs w:val="22"/>
                <w:highlight w:val="none"/>
              </w:rPr>
              <w:drawing>
                <wp:inline distT="0" distB="0" distL="114300" distR="114300">
                  <wp:extent cx="1405255" cy="1522730"/>
                  <wp:effectExtent l="0" t="0" r="4445" b="1270"/>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47"/>
                          <a:stretch>
                            <a:fillRect/>
                          </a:stretch>
                        </pic:blipFill>
                        <pic:spPr>
                          <a:xfrm>
                            <a:off x="0" y="0"/>
                            <a:ext cx="1405255" cy="1522730"/>
                          </a:xfrm>
                          <a:prstGeom prst="rect">
                            <a:avLst/>
                          </a:prstGeom>
                          <a:noFill/>
                          <a:ln>
                            <a:noFill/>
                          </a:ln>
                        </pic:spPr>
                      </pic:pic>
                    </a:graphicData>
                  </a:graphic>
                </wp:inline>
              </w:drawing>
            </w:r>
          </w:p>
        </w:tc>
        <w:tc>
          <w:tcPr>
            <w:tcW w:w="2847" w:type="pct"/>
            <w:noWrap w:val="0"/>
            <w:vAlign w:val="center"/>
          </w:tcPr>
          <w:p>
            <w:pPr>
              <w:numPr>
                <w:ilvl w:val="0"/>
                <w:numId w:val="47"/>
              </w:num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头盔由工程塑料壳体、佩戴装置等组成；</w:t>
            </w:r>
          </w:p>
          <w:p>
            <w:pPr>
              <w:numPr>
                <w:ilvl w:val="0"/>
                <w:numId w:val="47"/>
              </w:num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颜色：黑色；</w:t>
            </w:r>
          </w:p>
          <w:p>
            <w:pPr>
              <w:numPr>
                <w:ilvl w:val="0"/>
                <w:numId w:val="47"/>
              </w:num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壳体标识向视图左侧黏贴黑体正楷“POLICE”字高33mm,字长108mm，黑体中文“警察”或督察等，字高40mm,字长108mm；材料为蓝色反光膜；</w:t>
            </w:r>
          </w:p>
          <w:p>
            <w:pPr>
              <w:numPr>
                <w:ilvl w:val="0"/>
                <w:numId w:val="47"/>
              </w:num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壳体不应有凹痕、碎裂、尖锐角刺等缺陷；外表面不应有超出7mm硬凸物；内表面不应有超出3mm硬凸物；</w:t>
            </w:r>
          </w:p>
          <w:p>
            <w:pPr>
              <w:numPr>
                <w:ilvl w:val="0"/>
                <w:numId w:val="47"/>
              </w:num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佩戴装置结构应保证佩戴牢靠舒适，解脱方便，系带宽度：20mm±2mm,施加23kg±0.5kg的载荷，维持2min，头盔不得出现系带断裂；且不出现连接件脱落及搭扣松脱的现象</w:t>
            </w:r>
          </w:p>
          <w:p>
            <w:pPr>
              <w:numPr>
                <w:ilvl w:val="0"/>
                <w:numId w:val="47"/>
              </w:num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重量≤1kg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36</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防暴盾牌</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s="宋体"/>
                <w:color w:val="auto"/>
                <w:sz w:val="22"/>
                <w:szCs w:val="22"/>
                <w:highlight w:val="none"/>
              </w:rPr>
              <w:drawing>
                <wp:inline distT="0" distB="0" distL="114300" distR="114300">
                  <wp:extent cx="570865" cy="1097280"/>
                  <wp:effectExtent l="0" t="0" r="635" b="7620"/>
                  <wp:docPr id="18" name="图片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7" descr="1"/>
                          <pic:cNvPicPr>
                            <a:picLocks noChangeAspect="1"/>
                          </pic:cNvPicPr>
                        </pic:nvPicPr>
                        <pic:blipFill>
                          <a:blip r:embed="rId48"/>
                          <a:stretch>
                            <a:fillRect/>
                          </a:stretch>
                        </pic:blipFill>
                        <pic:spPr>
                          <a:xfrm>
                            <a:off x="0" y="0"/>
                            <a:ext cx="570865" cy="1097280"/>
                          </a:xfrm>
                          <a:prstGeom prst="rect">
                            <a:avLst/>
                          </a:prstGeom>
                          <a:noFill/>
                          <a:ln>
                            <a:noFill/>
                          </a:ln>
                        </pic:spPr>
                      </pic:pic>
                    </a:graphicData>
                  </a:graphic>
                </wp:inline>
              </w:drawing>
            </w:r>
          </w:p>
        </w:tc>
        <w:tc>
          <w:tcPr>
            <w:tcW w:w="2847" w:type="pct"/>
            <w:noWrap w:val="0"/>
            <w:vAlign w:val="center"/>
          </w:tcPr>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1、盾体材质：优质PC材料；</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2、盾体厚度：3.5mm；</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3、盾体尺寸：高度≥900mm；宽度≥500mm；</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4、防护面积≥0.45㎡；</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5、透光率≥89%；</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6、重量≤2.4kg；</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7、握把连接处应能承受≥500N的拉力，不应有断裂、松动或脱落现象；</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8、臂带与盾体间的链接应能承受≥500N的拉力，不应有脱落、松动、脱扣或臂带断裂现象；</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9、盾体应能承受147J动能的冲击，冲击后盾体受力点不应有洞穿或在受力点半径50mm之外出现破裂；</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10、盾体应能承受147J动能的穿刺，穿刺后盾体受力点不应有大于6mm的穿洞或在受力点半径20mm之外出现破裂；</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11、防暴盾牌应能承受击打试验机的击打，击打点线速度为18m/s±0.3m/s，击打能量为342J±13J；击打后盾体不应破碎或出现长度大于50mm的裂纹；</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12、防暴盾牌经低温处理（-30℃±2℃，4h后），5min内进行耐击打强度试验，试验结果应符合耐击打强度试验要求；</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13、防暴盾牌经高温处理（+55℃±2℃，4h后），5min内进行耐击打强度试验，试验结果应符合耐击打强度试验要求；</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14、执行标准：《GA 422-2008防暴盾牌》；</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15、▲提供产品不低于5年</w:t>
            </w:r>
            <w:r>
              <w:rPr>
                <w:rFonts w:ascii="宋体" w:hAnsi="宋体" w:cs="宋体"/>
                <w:color w:val="auto"/>
                <w:kern w:val="0"/>
                <w:sz w:val="22"/>
                <w:szCs w:val="22"/>
                <w:highlight w:val="none"/>
              </w:rPr>
              <w:t>800</w:t>
            </w:r>
            <w:r>
              <w:rPr>
                <w:rFonts w:hint="eastAsia" w:ascii="宋体" w:hAnsi="宋体" w:cs="宋体"/>
                <w:color w:val="auto"/>
                <w:kern w:val="0"/>
                <w:sz w:val="22"/>
                <w:szCs w:val="22"/>
                <w:highlight w:val="none"/>
              </w:rPr>
              <w:t>万人民币责任险，提供保险证明材料复印件（加盖生产企业公章）；</w:t>
            </w:r>
          </w:p>
          <w:p>
            <w:pPr>
              <w:pStyle w:val="202"/>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16、▲需提供公安部特种警用装备质量监督检验中心出具的检验报告复印件；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3</w:t>
            </w:r>
            <w:r>
              <w:rPr>
                <w:rFonts w:hint="eastAsia" w:ascii="宋体" w:hAnsi="宋体"/>
                <w:color w:val="auto"/>
                <w:sz w:val="22"/>
                <w:szCs w:val="22"/>
                <w:highlight w:val="none"/>
                <w:lang w:val="en-US" w:eastAsia="zh-CN"/>
              </w:rPr>
              <w:t>7</w:t>
            </w:r>
          </w:p>
        </w:tc>
        <w:tc>
          <w:tcPr>
            <w:tcW w:w="411" w:type="pct"/>
            <w:noWrap w:val="0"/>
            <w:vAlign w:val="center"/>
          </w:tcPr>
          <w:p>
            <w:pPr>
              <w:pStyle w:val="315"/>
              <w:spacing w:line="276" w:lineRule="auto"/>
              <w:ind w:firstLine="0" w:firstLineChars="0"/>
              <w:jc w:val="center"/>
              <w:rPr>
                <w:rFonts w:ascii="宋体" w:hAnsi="宋体" w:cs="宋体"/>
                <w:color w:val="auto"/>
                <w:sz w:val="22"/>
                <w:szCs w:val="22"/>
                <w:highlight w:val="none"/>
              </w:rPr>
            </w:pPr>
            <w:r>
              <w:rPr>
                <w:rFonts w:hint="eastAsia" w:ascii="宋体" w:hAnsi="宋体" w:cs="宋体"/>
                <w:color w:val="auto"/>
                <w:sz w:val="22"/>
                <w:szCs w:val="22"/>
                <w:highlight w:val="none"/>
              </w:rPr>
              <w:t>半圆钢叉</w:t>
            </w:r>
          </w:p>
        </w:tc>
        <w:tc>
          <w:tcPr>
            <w:tcW w:w="1459" w:type="pct"/>
            <w:noWrap w:val="0"/>
            <w:vAlign w:val="center"/>
          </w:tcPr>
          <w:p>
            <w:pPr>
              <w:spacing w:line="276" w:lineRule="auto"/>
              <w:jc w:val="center"/>
              <w:rPr>
                <w:rFonts w:ascii="宋体" w:hAnsi="宋体" w:cs="宋体"/>
                <w:color w:val="auto"/>
                <w:sz w:val="22"/>
                <w:szCs w:val="22"/>
                <w:highlight w:val="none"/>
              </w:rPr>
            </w:pPr>
            <w:r>
              <w:rPr>
                <w:rFonts w:ascii="宋体" w:hAnsi="宋体" w:cs="宋体"/>
                <w:color w:val="auto"/>
                <w:sz w:val="22"/>
                <w:szCs w:val="22"/>
                <w:highlight w:val="none"/>
              </w:rPr>
              <w:drawing>
                <wp:inline distT="0" distB="0" distL="114300" distR="114300">
                  <wp:extent cx="600075" cy="1396365"/>
                  <wp:effectExtent l="0" t="0" r="9525" b="13335"/>
                  <wp:docPr id="3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pic:cNvPicPr>
                            <a:picLocks noChangeAspect="1"/>
                          </pic:cNvPicPr>
                        </pic:nvPicPr>
                        <pic:blipFill>
                          <a:blip r:embed="rId49"/>
                          <a:stretch>
                            <a:fillRect/>
                          </a:stretch>
                        </pic:blipFill>
                        <pic:spPr>
                          <a:xfrm>
                            <a:off x="0" y="0"/>
                            <a:ext cx="600075" cy="1396365"/>
                          </a:xfrm>
                          <a:prstGeom prst="rect">
                            <a:avLst/>
                          </a:prstGeom>
                          <a:noFill/>
                          <a:ln>
                            <a:noFill/>
                          </a:ln>
                        </pic:spPr>
                      </pic:pic>
                    </a:graphicData>
                  </a:graphic>
                </wp:inline>
              </w:drawing>
            </w:r>
          </w:p>
        </w:tc>
        <w:tc>
          <w:tcPr>
            <w:tcW w:w="2847" w:type="pct"/>
            <w:noWrap w:val="0"/>
            <w:vAlign w:val="center"/>
          </w:tcPr>
          <w:p>
            <w:pPr>
              <w:widowControl/>
              <w:spacing w:line="276" w:lineRule="auto"/>
              <w:jc w:val="left"/>
              <w:rPr>
                <w:rFonts w:ascii="宋体" w:hAnsi="宋体" w:cs="宋体"/>
                <w:color w:val="auto"/>
                <w:kern w:val="0"/>
                <w:sz w:val="22"/>
                <w:szCs w:val="22"/>
                <w:highlight w:val="none"/>
              </w:rPr>
            </w:pPr>
            <w:r>
              <w:rPr>
                <w:rFonts w:ascii="宋体" w:hAnsi="宋体" w:cs="宋体"/>
                <w:color w:val="auto"/>
                <w:kern w:val="0"/>
                <w:sz w:val="22"/>
                <w:szCs w:val="22"/>
                <w:highlight w:val="none"/>
              </w:rPr>
              <w:t>1、颜色：不锈钢本色；</w:t>
            </w:r>
            <w:r>
              <w:rPr>
                <w:rFonts w:ascii="宋体" w:hAnsi="宋体" w:cs="宋体"/>
                <w:color w:val="auto"/>
                <w:kern w:val="0"/>
                <w:sz w:val="22"/>
                <w:szCs w:val="22"/>
                <w:highlight w:val="none"/>
              </w:rPr>
              <w:br w:type="textWrapping"/>
            </w:r>
            <w:r>
              <w:rPr>
                <w:rFonts w:ascii="宋体" w:hAnsi="宋体" w:cs="宋体"/>
                <w:color w:val="auto"/>
                <w:kern w:val="0"/>
                <w:sz w:val="22"/>
                <w:szCs w:val="22"/>
                <w:highlight w:val="none"/>
              </w:rPr>
              <w:t>2、不锈钢伸缩防暴叉由底座、手持握杆、加长杆、月牙环等组成</w:t>
            </w:r>
            <w:r>
              <w:rPr>
                <w:rFonts w:ascii="宋体" w:hAnsi="宋体" w:cs="宋体"/>
                <w:color w:val="auto"/>
                <w:kern w:val="0"/>
                <w:sz w:val="22"/>
                <w:szCs w:val="22"/>
                <w:highlight w:val="none"/>
              </w:rPr>
              <w:br w:type="textWrapping"/>
            </w:r>
            <w:r>
              <w:rPr>
                <w:rFonts w:ascii="宋体" w:hAnsi="宋体" w:cs="宋体"/>
                <w:color w:val="auto"/>
                <w:kern w:val="0"/>
                <w:sz w:val="22"/>
                <w:szCs w:val="22"/>
                <w:highlight w:val="none"/>
              </w:rPr>
              <w:t>3、材质：SUS304不锈钢+塑料材质，壁厚≥1mm </w:t>
            </w:r>
            <w:r>
              <w:rPr>
                <w:rFonts w:ascii="宋体" w:hAnsi="宋体" w:cs="宋体"/>
                <w:color w:val="auto"/>
                <w:kern w:val="0"/>
                <w:sz w:val="22"/>
                <w:szCs w:val="22"/>
                <w:highlight w:val="none"/>
              </w:rPr>
              <w:br w:type="textWrapping"/>
            </w:r>
            <w:r>
              <w:rPr>
                <w:rFonts w:ascii="宋体" w:hAnsi="宋体" w:cs="宋体"/>
                <w:color w:val="auto"/>
                <w:kern w:val="0"/>
                <w:sz w:val="22"/>
                <w:szCs w:val="22"/>
                <w:highlight w:val="none"/>
              </w:rPr>
              <w:t>4、伸/缩长度：2050mm±10mm/1350mm±10mm</w:t>
            </w:r>
            <w:r>
              <w:rPr>
                <w:rFonts w:ascii="宋体" w:hAnsi="宋体" w:cs="宋体"/>
                <w:color w:val="auto"/>
                <w:kern w:val="0"/>
                <w:sz w:val="22"/>
                <w:szCs w:val="22"/>
                <w:highlight w:val="none"/>
              </w:rPr>
              <w:br w:type="textWrapping"/>
            </w:r>
            <w:r>
              <w:rPr>
                <w:rFonts w:ascii="宋体" w:hAnsi="宋体" w:cs="宋体"/>
                <w:color w:val="auto"/>
                <w:kern w:val="0"/>
                <w:sz w:val="22"/>
                <w:szCs w:val="22"/>
                <w:highlight w:val="none"/>
              </w:rPr>
              <w:t>5、手持握杆直径：25mm±10mm</w:t>
            </w:r>
            <w:r>
              <w:rPr>
                <w:rFonts w:ascii="宋体" w:hAnsi="宋体" w:cs="宋体"/>
                <w:color w:val="auto"/>
                <w:kern w:val="0"/>
                <w:sz w:val="22"/>
                <w:szCs w:val="22"/>
                <w:highlight w:val="none"/>
              </w:rPr>
              <w:br w:type="textWrapping"/>
            </w:r>
            <w:r>
              <w:rPr>
                <w:rFonts w:ascii="宋体" w:hAnsi="宋体" w:cs="宋体"/>
                <w:color w:val="auto"/>
                <w:kern w:val="0"/>
                <w:sz w:val="22"/>
                <w:szCs w:val="22"/>
                <w:highlight w:val="none"/>
              </w:rPr>
              <w:t>6、月牙环最大间距：510mm±10mm</w:t>
            </w:r>
            <w:r>
              <w:rPr>
                <w:rFonts w:ascii="宋体" w:hAnsi="宋体" w:cs="宋体"/>
                <w:color w:val="auto"/>
                <w:kern w:val="0"/>
                <w:sz w:val="22"/>
                <w:szCs w:val="22"/>
                <w:highlight w:val="none"/>
              </w:rPr>
              <w:br w:type="textWrapping"/>
            </w:r>
            <w:r>
              <w:rPr>
                <w:rFonts w:ascii="宋体" w:hAnsi="宋体" w:cs="宋体"/>
                <w:color w:val="auto"/>
                <w:kern w:val="0"/>
                <w:sz w:val="22"/>
                <w:szCs w:val="22"/>
                <w:highlight w:val="none"/>
              </w:rPr>
              <w:t>7、抗拉力强度：最大工作长度承受900N静拉力1min，应能正常使用；</w:t>
            </w:r>
            <w:r>
              <w:rPr>
                <w:rFonts w:ascii="宋体" w:hAnsi="宋体" w:cs="宋体"/>
                <w:color w:val="auto"/>
                <w:kern w:val="0"/>
                <w:sz w:val="22"/>
                <w:szCs w:val="22"/>
                <w:highlight w:val="none"/>
              </w:rPr>
              <w:br w:type="textWrapping"/>
            </w:r>
            <w:r>
              <w:rPr>
                <w:rFonts w:ascii="宋体" w:hAnsi="宋体" w:cs="宋体"/>
                <w:color w:val="auto"/>
                <w:kern w:val="0"/>
                <w:sz w:val="22"/>
                <w:szCs w:val="22"/>
                <w:highlight w:val="none"/>
              </w:rPr>
              <w:t>8、重量≤1.72kg</w:t>
            </w:r>
            <w:r>
              <w:rPr>
                <w:rFonts w:ascii="宋体" w:hAnsi="宋体" w:cs="宋体"/>
                <w:color w:val="auto"/>
                <w:kern w:val="0"/>
                <w:sz w:val="22"/>
                <w:szCs w:val="22"/>
                <w:highlight w:val="none"/>
              </w:rPr>
              <w:br w:type="textWrapping"/>
            </w:r>
            <w:r>
              <w:rPr>
                <w:rFonts w:hint="eastAsia" w:ascii="宋体" w:hAnsi="宋体" w:cs="宋体"/>
                <w:color w:val="auto"/>
                <w:sz w:val="22"/>
                <w:szCs w:val="22"/>
                <w:highlight w:val="none"/>
              </w:rPr>
              <w:t>▲</w:t>
            </w:r>
            <w:r>
              <w:rPr>
                <w:rFonts w:ascii="宋体" w:hAnsi="宋体" w:cs="宋体"/>
                <w:color w:val="auto"/>
                <w:kern w:val="0"/>
                <w:sz w:val="22"/>
                <w:szCs w:val="22"/>
                <w:highlight w:val="none"/>
              </w:rPr>
              <w:t>9、需提供公安部安全与警用电子产品质量检测中心出具的检测报告复印件盖公章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spacing w:line="276" w:lineRule="auto"/>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3</w:t>
            </w:r>
            <w:r>
              <w:rPr>
                <w:rFonts w:hint="eastAsia" w:ascii="宋体" w:hAnsi="宋体"/>
                <w:color w:val="auto"/>
                <w:sz w:val="22"/>
                <w:szCs w:val="22"/>
                <w:highlight w:val="none"/>
                <w:lang w:val="en-US" w:eastAsia="zh-CN"/>
              </w:rPr>
              <w:t>8</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设卡警灯</w:t>
            </w:r>
          </w:p>
        </w:tc>
        <w:tc>
          <w:tcPr>
            <w:tcW w:w="1459" w:type="pct"/>
            <w:noWrap w:val="0"/>
            <w:vAlign w:val="center"/>
          </w:tcPr>
          <w:p>
            <w:pPr>
              <w:spacing w:line="276" w:lineRule="auto"/>
              <w:jc w:val="center"/>
              <w:rPr>
                <w:rFonts w:ascii="宋体" w:hAnsi="宋体" w:cs="宋体"/>
                <w:color w:val="auto"/>
                <w:sz w:val="22"/>
                <w:szCs w:val="22"/>
                <w:highlight w:val="none"/>
              </w:rPr>
            </w:pPr>
            <w:r>
              <w:rPr>
                <w:rFonts w:ascii="宋体" w:hAnsi="宋体" w:cs="宋体"/>
                <w:color w:val="auto"/>
                <w:sz w:val="22"/>
                <w:szCs w:val="22"/>
                <w:highlight w:val="none"/>
              </w:rPr>
              <w:drawing>
                <wp:inline distT="0" distB="0" distL="114300" distR="114300">
                  <wp:extent cx="1014730" cy="1690370"/>
                  <wp:effectExtent l="0" t="0" r="13970" b="4445"/>
                  <wp:docPr id="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9"/>
                          <pic:cNvPicPr>
                            <a:picLocks noChangeAspect="1"/>
                          </pic:cNvPicPr>
                        </pic:nvPicPr>
                        <pic:blipFill>
                          <a:blip r:embed="rId50"/>
                          <a:srcRect l="25937" t="22960"/>
                          <a:stretch>
                            <a:fillRect/>
                          </a:stretch>
                        </pic:blipFill>
                        <pic:spPr>
                          <a:xfrm>
                            <a:off x="0" y="0"/>
                            <a:ext cx="1014730" cy="1690370"/>
                          </a:xfrm>
                          <a:prstGeom prst="rect">
                            <a:avLst/>
                          </a:prstGeom>
                          <a:noFill/>
                          <a:ln>
                            <a:noFill/>
                          </a:ln>
                        </pic:spPr>
                      </pic:pic>
                    </a:graphicData>
                  </a:graphic>
                </wp:inline>
              </w:drawing>
            </w:r>
          </w:p>
        </w:tc>
        <w:tc>
          <w:tcPr>
            <w:tcW w:w="2847" w:type="pct"/>
            <w:noWrap w:val="0"/>
            <w:vAlign w:val="center"/>
          </w:tcPr>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1、尺寸：540 mm *166 mm *116mm（±10mm）</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2、蓄电池：12v7ah</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3、材质：铝型材+PC+ABS</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4、工作时间：≥160小时</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5、灯珠：超高亮</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6、灯珠数量：≥30颗</w:t>
            </w:r>
          </w:p>
          <w:p>
            <w:pPr>
              <w:spacing w:line="276" w:lineRule="auto"/>
              <w:jc w:val="left"/>
              <w:rPr>
                <w:rFonts w:hint="eastAsia" w:ascii="宋体" w:hAnsi="宋体"/>
                <w:color w:val="auto"/>
                <w:sz w:val="22"/>
                <w:szCs w:val="22"/>
                <w:highlight w:val="none"/>
              </w:rPr>
            </w:pPr>
            <w:r>
              <w:rPr>
                <w:rFonts w:hint="eastAsia" w:ascii="宋体" w:hAnsi="宋体"/>
                <w:color w:val="auto"/>
                <w:sz w:val="22"/>
                <w:szCs w:val="22"/>
                <w:highlight w:val="none"/>
              </w:rPr>
              <w:t>7、警示距离：≥2000米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125"/>
              <w:spacing w:line="276" w:lineRule="auto"/>
              <w:ind w:right="105" w:firstLine="0" w:firstLineChars="0"/>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39</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新型指挥棒</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675640" cy="1111885"/>
                  <wp:effectExtent l="0" t="0" r="10160" b="12065"/>
                  <wp:docPr id="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pic:cNvPicPr>
                            <a:picLocks noChangeAspect="1"/>
                          </pic:cNvPicPr>
                        </pic:nvPicPr>
                        <pic:blipFill>
                          <a:blip r:embed="rId51"/>
                          <a:stretch>
                            <a:fillRect/>
                          </a:stretch>
                        </pic:blipFill>
                        <pic:spPr>
                          <a:xfrm>
                            <a:off x="0" y="0"/>
                            <a:ext cx="675640" cy="1111885"/>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ascii="宋体" w:hAnsi="宋体"/>
                <w:color w:val="auto"/>
                <w:sz w:val="22"/>
                <w:szCs w:val="22"/>
                <w:highlight w:val="none"/>
              </w:rPr>
              <w:t>1、外观：产品表面光滑，无划痕、磨损和污渍，色泽均匀。</w:t>
            </w:r>
            <w:r>
              <w:rPr>
                <w:rFonts w:ascii="宋体" w:hAnsi="宋体"/>
                <w:color w:val="auto"/>
                <w:sz w:val="22"/>
                <w:szCs w:val="22"/>
                <w:highlight w:val="none"/>
              </w:rPr>
              <w:br w:type="textWrapping"/>
            </w:r>
            <w:r>
              <w:rPr>
                <w:rFonts w:ascii="宋体" w:hAnsi="宋体"/>
                <w:color w:val="auto"/>
                <w:sz w:val="22"/>
                <w:szCs w:val="22"/>
                <w:highlight w:val="none"/>
              </w:rPr>
              <w:t>2、手柄区域有防滑设计，握持舒适。</w:t>
            </w:r>
            <w:r>
              <w:rPr>
                <w:rFonts w:ascii="宋体" w:hAnsi="宋体"/>
                <w:color w:val="auto"/>
                <w:sz w:val="22"/>
                <w:szCs w:val="22"/>
                <w:highlight w:val="none"/>
              </w:rPr>
              <w:br w:type="textWrapping"/>
            </w:r>
            <w:r>
              <w:rPr>
                <w:rFonts w:ascii="宋体" w:hAnsi="宋体"/>
                <w:color w:val="auto"/>
                <w:sz w:val="22"/>
                <w:szCs w:val="22"/>
                <w:highlight w:val="none"/>
              </w:rPr>
              <w:t>3、发光部分端面采用不透光材料。</w:t>
            </w:r>
            <w:r>
              <w:rPr>
                <w:rFonts w:ascii="宋体" w:hAnsi="宋体"/>
                <w:color w:val="auto"/>
                <w:sz w:val="22"/>
                <w:szCs w:val="22"/>
                <w:highlight w:val="none"/>
              </w:rPr>
              <w:br w:type="textWrapping"/>
            </w:r>
            <w:r>
              <w:rPr>
                <w:rFonts w:ascii="宋体" w:hAnsi="宋体"/>
                <w:color w:val="auto"/>
                <w:sz w:val="22"/>
                <w:szCs w:val="22"/>
                <w:highlight w:val="none"/>
              </w:rPr>
              <w:t>4、产品具有常亮、闪烁、电筒三种发光模式；常亮模式下工作时间达到≥8h；闪烁模式下工作时间达到≥40h；电筒模式下工作时间达到≥22h；</w:t>
            </w:r>
            <w:r>
              <w:rPr>
                <w:rFonts w:ascii="宋体" w:hAnsi="宋体"/>
                <w:color w:val="auto"/>
                <w:sz w:val="22"/>
                <w:szCs w:val="22"/>
                <w:highlight w:val="none"/>
              </w:rPr>
              <w:br w:type="textWrapping"/>
            </w:r>
            <w:r>
              <w:rPr>
                <w:rFonts w:ascii="宋体" w:hAnsi="宋体"/>
                <w:color w:val="auto"/>
                <w:sz w:val="22"/>
                <w:szCs w:val="22"/>
                <w:highlight w:val="none"/>
              </w:rPr>
              <w:t>5、内置可充电锂电池，充电时有明显的充电完成指示；充电时间≤6小时。</w:t>
            </w:r>
            <w:r>
              <w:rPr>
                <w:rFonts w:ascii="宋体" w:hAnsi="宋体"/>
                <w:color w:val="auto"/>
                <w:sz w:val="22"/>
                <w:szCs w:val="22"/>
                <w:highlight w:val="none"/>
              </w:rPr>
              <w:br w:type="textWrapping"/>
            </w:r>
            <w:r>
              <w:rPr>
                <w:rFonts w:hint="eastAsia" w:ascii="宋体" w:hAnsi="宋体"/>
                <w:color w:val="auto"/>
                <w:sz w:val="22"/>
                <w:szCs w:val="22"/>
                <w:highlight w:val="none"/>
              </w:rPr>
              <w:t>▲</w:t>
            </w:r>
            <w:r>
              <w:rPr>
                <w:rFonts w:ascii="宋体" w:hAnsi="宋体"/>
                <w:color w:val="auto"/>
                <w:sz w:val="22"/>
                <w:szCs w:val="22"/>
                <w:highlight w:val="none"/>
              </w:rPr>
              <w:t>6、功能：应具有口哨警示声和手电筒照明功能。电子警哨声压：距离 10cm 处，电子警哨声压应≥109dB，在距离100cm处，电子警哨声压应≥97dB；手电筒照明功能：要求在7.5m处照明亮度不小于0.981x；</w:t>
            </w:r>
            <w:r>
              <w:rPr>
                <w:rFonts w:hint="eastAsia" w:ascii="宋体" w:hAnsi="宋体" w:cs="宋体"/>
                <w:bCs/>
                <w:color w:val="auto"/>
                <w:sz w:val="22"/>
                <w:szCs w:val="22"/>
                <w:highlight w:val="none"/>
              </w:rPr>
              <w:t>（需检测报告中体现）；</w:t>
            </w:r>
            <w:r>
              <w:rPr>
                <w:rFonts w:ascii="宋体" w:hAnsi="宋体"/>
                <w:color w:val="auto"/>
                <w:sz w:val="22"/>
                <w:szCs w:val="22"/>
                <w:highlight w:val="none"/>
              </w:rPr>
              <w:br w:type="textWrapping"/>
            </w:r>
            <w:r>
              <w:rPr>
                <w:rFonts w:ascii="宋体" w:hAnsi="宋体"/>
                <w:color w:val="auto"/>
                <w:sz w:val="22"/>
                <w:szCs w:val="22"/>
                <w:highlight w:val="none"/>
              </w:rPr>
              <w:t>7、发光强度：警示LED发光强度为≥4cd，满足要求。</w:t>
            </w:r>
            <w:r>
              <w:rPr>
                <w:rFonts w:ascii="宋体" w:hAnsi="宋体"/>
                <w:color w:val="auto"/>
                <w:sz w:val="22"/>
                <w:szCs w:val="22"/>
                <w:highlight w:val="none"/>
              </w:rPr>
              <w:br w:type="textWrapping"/>
            </w:r>
            <w:r>
              <w:rPr>
                <w:rFonts w:hint="eastAsia" w:ascii="宋体" w:hAnsi="宋体"/>
                <w:color w:val="auto"/>
                <w:sz w:val="22"/>
                <w:szCs w:val="22"/>
                <w:highlight w:val="none"/>
              </w:rPr>
              <w:t>▲</w:t>
            </w:r>
            <w:r>
              <w:rPr>
                <w:rFonts w:ascii="宋体" w:hAnsi="宋体"/>
                <w:color w:val="auto"/>
                <w:sz w:val="22"/>
                <w:szCs w:val="22"/>
                <w:highlight w:val="none"/>
              </w:rPr>
              <w:t>8、自由跌落性能：从不低于2m的高度向水泥地面自由落下，产品能正常使用。</w:t>
            </w:r>
            <w:r>
              <w:rPr>
                <w:rFonts w:hint="eastAsia" w:ascii="宋体" w:hAnsi="宋体" w:cs="宋体"/>
                <w:bCs/>
                <w:color w:val="auto"/>
                <w:sz w:val="22"/>
                <w:szCs w:val="22"/>
                <w:highlight w:val="none"/>
              </w:rPr>
              <w:t>（需检测报告中体现）；</w:t>
            </w:r>
            <w:r>
              <w:rPr>
                <w:rFonts w:ascii="宋体" w:hAnsi="宋体"/>
                <w:color w:val="auto"/>
                <w:sz w:val="22"/>
                <w:szCs w:val="22"/>
                <w:highlight w:val="none"/>
              </w:rPr>
              <w:br w:type="textWrapping"/>
            </w:r>
            <w:r>
              <w:rPr>
                <w:rFonts w:ascii="宋体" w:hAnsi="宋体"/>
                <w:color w:val="auto"/>
                <w:sz w:val="22"/>
                <w:szCs w:val="22"/>
                <w:highlight w:val="none"/>
              </w:rPr>
              <w:t>9、外壳防护等级：符合 GB4208-2008中IP55及以上的要求</w:t>
            </w:r>
            <w:r>
              <w:rPr>
                <w:rFonts w:ascii="宋体" w:hAnsi="宋体"/>
                <w:color w:val="auto"/>
                <w:sz w:val="22"/>
                <w:szCs w:val="22"/>
                <w:highlight w:val="none"/>
              </w:rPr>
              <w:br w:type="textWrapping"/>
            </w:r>
            <w:r>
              <w:rPr>
                <w:rFonts w:hint="eastAsia" w:ascii="宋体" w:hAnsi="宋体"/>
                <w:color w:val="auto"/>
                <w:sz w:val="22"/>
                <w:szCs w:val="22"/>
                <w:highlight w:val="none"/>
              </w:rPr>
              <w:t>▲</w:t>
            </w:r>
            <w:r>
              <w:rPr>
                <w:rFonts w:ascii="宋体" w:hAnsi="宋体"/>
                <w:color w:val="auto"/>
                <w:sz w:val="22"/>
                <w:szCs w:val="22"/>
                <w:highlight w:val="none"/>
              </w:rPr>
              <w:t>10、需提供公安部安全与警用电子产品质量检测中心的检测报告复印件。</w:t>
            </w:r>
          </w:p>
          <w:p>
            <w:pPr>
              <w:spacing w:line="276" w:lineRule="auto"/>
              <w:jc w:val="left"/>
              <w:rPr>
                <w:rFonts w:hint="eastAsia" w:ascii="宋体" w:hAnsi="宋体"/>
                <w:color w:val="auto"/>
                <w:sz w:val="22"/>
                <w:szCs w:val="22"/>
                <w:highlight w:val="none"/>
              </w:rPr>
            </w:pPr>
            <w:r>
              <w:rPr>
                <w:rFonts w:hint="eastAsia" w:ascii="宋体" w:hAnsi="宋体" w:cs="宋体"/>
                <w:color w:val="auto"/>
                <w:kern w:val="0"/>
                <w:sz w:val="22"/>
                <w:szCs w:val="22"/>
                <w:highlight w:val="none"/>
              </w:rPr>
              <w:t>▲1</w:t>
            </w:r>
            <w:r>
              <w:rPr>
                <w:rFonts w:ascii="宋体" w:hAnsi="宋体" w:cs="宋体"/>
                <w:color w:val="auto"/>
                <w:kern w:val="0"/>
                <w:sz w:val="22"/>
                <w:szCs w:val="22"/>
                <w:highlight w:val="none"/>
              </w:rPr>
              <w:t>1</w:t>
            </w:r>
            <w:r>
              <w:rPr>
                <w:rFonts w:hint="eastAsia" w:ascii="宋体" w:hAnsi="宋体" w:cs="宋体"/>
                <w:color w:val="auto"/>
                <w:kern w:val="0"/>
                <w:sz w:val="22"/>
                <w:szCs w:val="22"/>
                <w:highlight w:val="none"/>
              </w:rPr>
              <w:t>、投标现场提供样品；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125"/>
              <w:spacing w:line="276" w:lineRule="auto"/>
              <w:ind w:right="105" w:firstLine="0" w:firstLineChars="0"/>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0</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警用防暴护臂</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388745" cy="923290"/>
                  <wp:effectExtent l="0" t="0" r="1905" b="10160"/>
                  <wp:docPr id="50" name="图片 41" descr="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1" descr="3333.jpg"/>
                          <pic:cNvPicPr>
                            <a:picLocks noChangeAspect="1"/>
                          </pic:cNvPicPr>
                        </pic:nvPicPr>
                        <pic:blipFill>
                          <a:blip r:embed="rId52"/>
                          <a:stretch>
                            <a:fillRect/>
                          </a:stretch>
                        </pic:blipFill>
                        <pic:spPr>
                          <a:xfrm>
                            <a:off x="0" y="0"/>
                            <a:ext cx="1388745" cy="923290"/>
                          </a:xfrm>
                          <a:prstGeom prst="rect">
                            <a:avLst/>
                          </a:prstGeom>
                          <a:noFill/>
                          <a:ln>
                            <a:noFill/>
                          </a:ln>
                        </pic:spPr>
                      </pic:pic>
                    </a:graphicData>
                  </a:graphic>
                </wp:inline>
              </w:drawing>
            </w:r>
          </w:p>
        </w:tc>
        <w:tc>
          <w:tcPr>
            <w:tcW w:w="2847" w:type="pct"/>
            <w:noWrap w:val="0"/>
            <w:vAlign w:val="center"/>
          </w:tcPr>
          <w:p>
            <w:pPr>
              <w:widowControl/>
              <w:spacing w:line="276" w:lineRule="auto"/>
              <w:jc w:val="left"/>
              <w:rPr>
                <w:rFonts w:ascii="宋体" w:hAnsi="宋体" w:cs="宋体"/>
                <w:bCs/>
                <w:color w:val="auto"/>
                <w:sz w:val="22"/>
                <w:szCs w:val="22"/>
                <w:highlight w:val="none"/>
              </w:rPr>
            </w:pPr>
            <w:r>
              <w:rPr>
                <w:rFonts w:hint="eastAsia" w:ascii="宋体" w:hAnsi="宋体" w:cs="宋体"/>
                <w:bCs/>
                <w:color w:val="auto"/>
                <w:sz w:val="22"/>
                <w:szCs w:val="22"/>
                <w:highlight w:val="none"/>
              </w:rPr>
              <w:t>1、盾体：采用高硬度、高韧性5052合金铝材及软质阻燃材料制作</w:t>
            </w:r>
          </w:p>
          <w:p>
            <w:pPr>
              <w:widowControl/>
              <w:spacing w:line="276" w:lineRule="auto"/>
              <w:jc w:val="left"/>
              <w:rPr>
                <w:rFonts w:ascii="宋体" w:hAnsi="宋体" w:cs="宋体"/>
                <w:bCs/>
                <w:color w:val="auto"/>
                <w:sz w:val="22"/>
                <w:szCs w:val="22"/>
                <w:highlight w:val="none"/>
              </w:rPr>
            </w:pPr>
            <w:r>
              <w:rPr>
                <w:rFonts w:hint="eastAsia" w:ascii="宋体" w:hAnsi="宋体" w:cs="宋体"/>
                <w:bCs/>
                <w:color w:val="auto"/>
                <w:sz w:val="22"/>
                <w:szCs w:val="22"/>
                <w:highlight w:val="none"/>
              </w:rPr>
              <w:t>2、受冲级面固定个有三排不锈钢倒刺钉，臂盾盾体颜色应为黑色，倒刺钉应为不锈钢金属本色,齿条尺寸：边齿条齿数17个尺寸268x8x8mm；中齿条齿数20个尺寸308x8x8mm；</w:t>
            </w:r>
          </w:p>
          <w:p>
            <w:pPr>
              <w:widowControl/>
              <w:spacing w:line="276" w:lineRule="auto"/>
              <w:jc w:val="left"/>
              <w:rPr>
                <w:rFonts w:ascii="宋体" w:hAnsi="宋体" w:cs="宋体"/>
                <w:bCs/>
                <w:color w:val="auto"/>
                <w:sz w:val="22"/>
                <w:szCs w:val="22"/>
                <w:highlight w:val="none"/>
              </w:rPr>
            </w:pPr>
            <w:r>
              <w:rPr>
                <w:rFonts w:hint="eastAsia" w:ascii="宋体" w:hAnsi="宋体" w:cs="宋体"/>
                <w:bCs/>
                <w:color w:val="auto"/>
                <w:sz w:val="22"/>
                <w:szCs w:val="22"/>
                <w:highlight w:val="none"/>
              </w:rPr>
              <w:t>3、倒挂齿条：采用高强度钢条，可防刀砍、卡住刀具防止刀具滑动</w:t>
            </w:r>
          </w:p>
          <w:p>
            <w:pPr>
              <w:widowControl/>
              <w:spacing w:line="276" w:lineRule="auto"/>
              <w:jc w:val="left"/>
              <w:rPr>
                <w:rFonts w:ascii="宋体" w:hAnsi="宋体" w:cs="宋体"/>
                <w:bCs/>
                <w:color w:val="auto"/>
                <w:sz w:val="22"/>
                <w:szCs w:val="22"/>
                <w:highlight w:val="none"/>
              </w:rPr>
            </w:pPr>
            <w:r>
              <w:rPr>
                <w:rFonts w:hint="eastAsia" w:ascii="宋体" w:hAnsi="宋体" w:cs="宋体"/>
                <w:bCs/>
                <w:color w:val="auto"/>
                <w:sz w:val="22"/>
                <w:szCs w:val="22"/>
                <w:highlight w:val="none"/>
              </w:rPr>
              <w:t>4、臂带：采用高强度耐水、抗老化、阻燃固定带。臂带的搭扣搭合好后，臂带与盾体间连接应能承受500N拉力,不应有脱扣、松动、脱落或臂带断裂现象</w:t>
            </w:r>
          </w:p>
          <w:p>
            <w:pPr>
              <w:widowControl/>
              <w:spacing w:line="276" w:lineRule="auto"/>
              <w:jc w:val="left"/>
              <w:rPr>
                <w:rFonts w:ascii="宋体" w:hAnsi="宋体" w:cs="宋体"/>
                <w:bCs/>
                <w:color w:val="auto"/>
                <w:sz w:val="22"/>
                <w:szCs w:val="22"/>
                <w:highlight w:val="none"/>
              </w:rPr>
            </w:pPr>
            <w:r>
              <w:rPr>
                <w:rFonts w:hint="eastAsia" w:ascii="宋体" w:hAnsi="宋体"/>
                <w:color w:val="auto"/>
                <w:sz w:val="22"/>
                <w:szCs w:val="22"/>
                <w:highlight w:val="none"/>
              </w:rPr>
              <w:t>▲</w:t>
            </w:r>
            <w:r>
              <w:rPr>
                <w:rFonts w:hint="eastAsia" w:ascii="宋体" w:hAnsi="宋体" w:cs="宋体"/>
                <w:bCs/>
                <w:color w:val="auto"/>
                <w:sz w:val="22"/>
                <w:szCs w:val="22"/>
                <w:highlight w:val="none"/>
              </w:rPr>
              <w:t>5、臂盾的防护面涂层附着力不低于 GB/T 9286中规定的3级（需检测报告中体现）；</w:t>
            </w:r>
          </w:p>
          <w:p>
            <w:pPr>
              <w:widowControl/>
              <w:spacing w:line="276" w:lineRule="auto"/>
              <w:jc w:val="left"/>
              <w:rPr>
                <w:rFonts w:ascii="宋体" w:hAnsi="宋体" w:cs="宋体"/>
                <w:bCs/>
                <w:color w:val="auto"/>
                <w:sz w:val="22"/>
                <w:szCs w:val="22"/>
                <w:highlight w:val="none"/>
              </w:rPr>
            </w:pPr>
            <w:r>
              <w:rPr>
                <w:rFonts w:hint="eastAsia" w:ascii="宋体" w:hAnsi="宋体" w:cs="宋体"/>
                <w:bCs/>
                <w:color w:val="auto"/>
                <w:sz w:val="22"/>
                <w:szCs w:val="22"/>
                <w:highlight w:val="none"/>
              </w:rPr>
              <w:t>6、臂盾软质材料部分表面燃烧后续然时间应不大于10S；</w:t>
            </w:r>
          </w:p>
          <w:p>
            <w:pPr>
              <w:widowControl/>
              <w:spacing w:line="276" w:lineRule="auto"/>
              <w:jc w:val="left"/>
              <w:rPr>
                <w:rFonts w:ascii="宋体" w:hAnsi="宋体" w:cs="宋体"/>
                <w:bCs/>
                <w:color w:val="auto"/>
                <w:sz w:val="22"/>
                <w:szCs w:val="22"/>
                <w:highlight w:val="none"/>
              </w:rPr>
            </w:pPr>
            <w:r>
              <w:rPr>
                <w:rFonts w:hint="eastAsia" w:ascii="宋体" w:hAnsi="宋体" w:cs="宋体"/>
                <w:bCs/>
                <w:color w:val="auto"/>
                <w:sz w:val="22"/>
                <w:szCs w:val="22"/>
                <w:highlight w:val="none"/>
              </w:rPr>
              <w:t>7、臂盾应能抵御刀具击砍，刀具及配重击砍速度为8.5m/s±0.3m/s，击砍能量为 100J±5J；</w:t>
            </w:r>
          </w:p>
          <w:p>
            <w:pPr>
              <w:widowControl/>
              <w:spacing w:line="276" w:lineRule="auto"/>
              <w:jc w:val="left"/>
              <w:rPr>
                <w:rFonts w:ascii="宋体" w:hAnsi="宋体" w:cs="宋体"/>
                <w:bCs/>
                <w:color w:val="auto"/>
                <w:sz w:val="22"/>
                <w:szCs w:val="22"/>
                <w:highlight w:val="none"/>
              </w:rPr>
            </w:pPr>
            <w:r>
              <w:rPr>
                <w:rFonts w:hint="eastAsia" w:ascii="宋体" w:hAnsi="宋体"/>
                <w:color w:val="auto"/>
                <w:sz w:val="22"/>
                <w:szCs w:val="22"/>
                <w:highlight w:val="none"/>
              </w:rPr>
              <w:t>▲</w:t>
            </w:r>
            <w:r>
              <w:rPr>
                <w:rFonts w:hint="eastAsia" w:ascii="宋体" w:hAnsi="宋体" w:cs="宋体"/>
                <w:bCs/>
                <w:color w:val="auto"/>
                <w:sz w:val="22"/>
                <w:szCs w:val="22"/>
                <w:highlight w:val="none"/>
              </w:rPr>
              <w:t>8、防护面积：≥0.05㎡（需检测报告中体现）；</w:t>
            </w:r>
          </w:p>
          <w:p>
            <w:pPr>
              <w:widowControl/>
              <w:spacing w:line="276" w:lineRule="auto"/>
              <w:jc w:val="left"/>
              <w:rPr>
                <w:rFonts w:ascii="宋体" w:hAnsi="宋体" w:cs="宋体"/>
                <w:bCs/>
                <w:color w:val="auto"/>
                <w:sz w:val="22"/>
                <w:szCs w:val="22"/>
                <w:highlight w:val="none"/>
              </w:rPr>
            </w:pPr>
            <w:r>
              <w:rPr>
                <w:rFonts w:hint="eastAsia" w:ascii="宋体" w:hAnsi="宋体"/>
                <w:color w:val="auto"/>
                <w:sz w:val="22"/>
                <w:szCs w:val="22"/>
                <w:highlight w:val="none"/>
              </w:rPr>
              <w:t>▲</w:t>
            </w:r>
            <w:r>
              <w:rPr>
                <w:rFonts w:hint="eastAsia" w:ascii="宋体" w:hAnsi="宋体" w:cs="宋体"/>
                <w:bCs/>
                <w:color w:val="auto"/>
                <w:sz w:val="22"/>
                <w:szCs w:val="22"/>
                <w:highlight w:val="none"/>
              </w:rPr>
              <w:t>9、尺寸≥385mm×190 mm；（需检测报告中体现）</w:t>
            </w:r>
          </w:p>
          <w:p>
            <w:pPr>
              <w:widowControl/>
              <w:spacing w:line="276" w:lineRule="auto"/>
              <w:jc w:val="left"/>
              <w:rPr>
                <w:rFonts w:ascii="宋体" w:hAnsi="宋体" w:cs="宋体"/>
                <w:bCs/>
                <w:color w:val="auto"/>
                <w:sz w:val="22"/>
                <w:szCs w:val="22"/>
                <w:highlight w:val="none"/>
              </w:rPr>
            </w:pPr>
            <w:r>
              <w:rPr>
                <w:rFonts w:hint="eastAsia" w:ascii="宋体" w:hAnsi="宋体"/>
                <w:color w:val="auto"/>
                <w:sz w:val="22"/>
                <w:szCs w:val="22"/>
                <w:highlight w:val="none"/>
              </w:rPr>
              <w:t>▲</w:t>
            </w:r>
            <w:r>
              <w:rPr>
                <w:rFonts w:hint="eastAsia" w:ascii="宋体" w:hAnsi="宋体" w:cs="宋体"/>
                <w:bCs/>
                <w:color w:val="auto"/>
                <w:sz w:val="22"/>
                <w:szCs w:val="22"/>
                <w:highlight w:val="none"/>
              </w:rPr>
              <w:t>10、重量：≤900g ；（需检测报告中体现）</w:t>
            </w:r>
          </w:p>
          <w:p>
            <w:pPr>
              <w:spacing w:line="276" w:lineRule="auto"/>
              <w:jc w:val="left"/>
              <w:rPr>
                <w:rFonts w:ascii="宋体" w:hAnsi="宋体" w:cs="宋体"/>
                <w:color w:val="auto"/>
                <w:sz w:val="22"/>
                <w:szCs w:val="22"/>
                <w:highlight w:val="none"/>
              </w:rPr>
            </w:pPr>
            <w:r>
              <w:rPr>
                <w:rFonts w:hint="eastAsia" w:ascii="宋体" w:hAnsi="宋体"/>
                <w:color w:val="auto"/>
                <w:sz w:val="22"/>
                <w:szCs w:val="22"/>
                <w:highlight w:val="none"/>
              </w:rPr>
              <w:t>11、提供产品三年质量责任保险金额应≥</w:t>
            </w:r>
            <w:r>
              <w:rPr>
                <w:rFonts w:ascii="宋体" w:hAnsi="宋体"/>
                <w:color w:val="auto"/>
                <w:sz w:val="22"/>
                <w:szCs w:val="22"/>
                <w:highlight w:val="none"/>
              </w:rPr>
              <w:t>8</w:t>
            </w:r>
            <w:r>
              <w:rPr>
                <w:rFonts w:hint="eastAsia" w:ascii="宋体" w:hAnsi="宋体"/>
                <w:color w:val="auto"/>
                <w:sz w:val="22"/>
                <w:szCs w:val="22"/>
                <w:highlight w:val="none"/>
              </w:rPr>
              <w:t>00万元，提供保险证明材料复印件；</w:t>
            </w:r>
          </w:p>
          <w:p>
            <w:pPr>
              <w:spacing w:line="276" w:lineRule="auto"/>
              <w:jc w:val="left"/>
              <w:rPr>
                <w:rFonts w:hint="eastAsia" w:ascii="宋体" w:hAnsi="宋体" w:cs="宋体"/>
                <w:color w:val="auto"/>
                <w:kern w:val="0"/>
                <w:sz w:val="22"/>
                <w:szCs w:val="22"/>
                <w:highlight w:val="none"/>
              </w:rPr>
            </w:pPr>
            <w:r>
              <w:rPr>
                <w:rFonts w:hint="eastAsia" w:ascii="宋体" w:hAnsi="宋体" w:cs="宋体"/>
                <w:color w:val="auto"/>
                <w:sz w:val="22"/>
                <w:szCs w:val="22"/>
                <w:highlight w:val="none"/>
              </w:rPr>
              <w:t>▲</w:t>
            </w:r>
            <w:r>
              <w:rPr>
                <w:rFonts w:hint="eastAsia" w:ascii="宋体" w:hAnsi="宋体" w:cs="宋体"/>
                <w:color w:val="auto"/>
                <w:kern w:val="0"/>
                <w:sz w:val="22"/>
                <w:szCs w:val="22"/>
                <w:highlight w:val="none"/>
              </w:rPr>
              <w:t>12、需提供公安部安全与警用电子产品质量检测中心出具的检测报告；</w:t>
            </w:r>
          </w:p>
          <w:p>
            <w:pPr>
              <w:spacing w:line="276" w:lineRule="auto"/>
              <w:jc w:val="left"/>
              <w:rPr>
                <w:rFonts w:ascii="宋体" w:hAnsi="宋体"/>
                <w:color w:val="auto"/>
                <w:sz w:val="22"/>
                <w:szCs w:val="22"/>
                <w:highlight w:val="none"/>
              </w:rPr>
            </w:pPr>
            <w:r>
              <w:rPr>
                <w:rFonts w:hint="eastAsia" w:ascii="宋体" w:hAnsi="宋体" w:cs="宋体"/>
                <w:color w:val="auto"/>
                <w:kern w:val="0"/>
                <w:sz w:val="22"/>
                <w:szCs w:val="22"/>
                <w:highlight w:val="none"/>
              </w:rPr>
              <w:t>▲13、投标现场提供样品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125"/>
              <w:spacing w:line="276" w:lineRule="auto"/>
              <w:ind w:right="105" w:firstLine="0" w:firstLineChars="0"/>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1</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救生衣</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s="宋体"/>
                <w:color w:val="auto"/>
                <w:sz w:val="22"/>
                <w:szCs w:val="22"/>
                <w:highlight w:val="none"/>
              </w:rPr>
              <w:drawing>
                <wp:inline distT="0" distB="0" distL="114300" distR="114300">
                  <wp:extent cx="702310" cy="682625"/>
                  <wp:effectExtent l="0" t="0" r="2540" b="3175"/>
                  <wp:docPr id="25" name="图片 42" descr="救生衣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2" descr="救生衣图片"/>
                          <pic:cNvPicPr>
                            <a:picLocks noChangeAspect="1"/>
                          </pic:cNvPicPr>
                        </pic:nvPicPr>
                        <pic:blipFill>
                          <a:blip r:embed="rId53"/>
                          <a:srcRect r="9412"/>
                          <a:stretch>
                            <a:fillRect/>
                          </a:stretch>
                        </pic:blipFill>
                        <pic:spPr>
                          <a:xfrm>
                            <a:off x="0" y="0"/>
                            <a:ext cx="702310" cy="682625"/>
                          </a:xfrm>
                          <a:prstGeom prst="rect">
                            <a:avLst/>
                          </a:prstGeom>
                          <a:noFill/>
                          <a:ln>
                            <a:noFill/>
                          </a:ln>
                        </pic:spPr>
                      </pic:pic>
                    </a:graphicData>
                  </a:graphic>
                </wp:inline>
              </w:drawing>
            </w:r>
          </w:p>
        </w:tc>
        <w:tc>
          <w:tcPr>
            <w:tcW w:w="2847" w:type="pct"/>
            <w:noWrap w:val="0"/>
            <w:vAlign w:val="center"/>
          </w:tcPr>
          <w:p>
            <w:pPr>
              <w:pStyle w:val="202"/>
              <w:rPr>
                <w:rFonts w:ascii="宋体" w:hAnsi="宋体" w:cs="宋体"/>
                <w:color w:val="auto"/>
                <w:sz w:val="22"/>
                <w:szCs w:val="22"/>
                <w:highlight w:val="none"/>
              </w:rPr>
            </w:pPr>
            <w:r>
              <w:rPr>
                <w:rFonts w:hint="eastAsia" w:ascii="宋体" w:hAnsi="宋体" w:cs="宋体"/>
                <w:color w:val="auto"/>
                <w:sz w:val="22"/>
                <w:szCs w:val="22"/>
                <w:highlight w:val="none"/>
              </w:rPr>
              <w:t>1.加厚牛津面料，加厚加密浮水材质，浮力更大</w:t>
            </w:r>
          </w:p>
          <w:p>
            <w:pPr>
              <w:pStyle w:val="202"/>
              <w:rPr>
                <w:rFonts w:ascii="宋体" w:hAnsi="宋体" w:cs="宋体"/>
                <w:color w:val="auto"/>
                <w:sz w:val="22"/>
                <w:szCs w:val="22"/>
                <w:highlight w:val="none"/>
              </w:rPr>
            </w:pPr>
            <w:r>
              <w:rPr>
                <w:rFonts w:hint="eastAsia" w:ascii="宋体" w:hAnsi="宋体" w:cs="宋体"/>
                <w:color w:val="auto"/>
                <w:sz w:val="22"/>
                <w:szCs w:val="22"/>
                <w:highlight w:val="none"/>
              </w:rPr>
              <w:t>2.拉链加卡扣，安全性能更高</w:t>
            </w:r>
          </w:p>
          <w:p>
            <w:pPr>
              <w:spacing w:line="276" w:lineRule="auto"/>
              <w:jc w:val="left"/>
              <w:rPr>
                <w:rFonts w:ascii="宋体" w:hAnsi="宋体"/>
                <w:color w:val="auto"/>
                <w:sz w:val="22"/>
                <w:szCs w:val="22"/>
                <w:highlight w:val="none"/>
              </w:rPr>
            </w:pPr>
            <w:r>
              <w:rPr>
                <w:rFonts w:hint="eastAsia" w:ascii="宋体" w:hAnsi="宋体" w:cs="宋体"/>
                <w:color w:val="auto"/>
                <w:sz w:val="22"/>
                <w:szCs w:val="22"/>
                <w:highlight w:val="none"/>
              </w:rPr>
              <w:t>3.颜色：橘色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125"/>
              <w:spacing w:line="276" w:lineRule="auto"/>
              <w:ind w:right="105" w:firstLine="0" w:firstLineChars="0"/>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2</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警用装备包</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267460" cy="833120"/>
                  <wp:effectExtent l="0" t="0" r="8890" b="5080"/>
                  <wp:docPr id="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pic:cNvPicPr>
                            <a:picLocks noChangeAspect="1"/>
                          </pic:cNvPicPr>
                        </pic:nvPicPr>
                        <pic:blipFill>
                          <a:blip r:embed="rId54"/>
                          <a:stretch>
                            <a:fillRect/>
                          </a:stretch>
                        </pic:blipFill>
                        <pic:spPr>
                          <a:xfrm>
                            <a:off x="0" y="0"/>
                            <a:ext cx="1267460" cy="833120"/>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宋体" w:hAnsi="宋体"/>
                <w:bCs/>
                <w:color w:val="auto"/>
                <w:sz w:val="22"/>
                <w:szCs w:val="22"/>
                <w:highlight w:val="none"/>
              </w:rPr>
              <w:t>、</w:t>
            </w:r>
            <w:r>
              <w:rPr>
                <w:rFonts w:hint="eastAsia" w:ascii="宋体" w:hAnsi="宋体" w:cs="宋体"/>
                <w:color w:val="auto"/>
                <w:sz w:val="22"/>
                <w:szCs w:val="22"/>
                <w:highlight w:val="none"/>
              </w:rPr>
              <w:t>主要存放装备：警服、防刺服、多功能腰带、手铐、急救包、防割手套、警棍、催泪喷射器、强光手电；</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2</w:t>
            </w:r>
            <w:r>
              <w:rPr>
                <w:rFonts w:hint="eastAsia" w:ascii="宋体" w:hAnsi="宋体"/>
                <w:bCs/>
                <w:color w:val="auto"/>
                <w:sz w:val="22"/>
                <w:szCs w:val="22"/>
                <w:highlight w:val="none"/>
              </w:rPr>
              <w:t>、</w:t>
            </w:r>
            <w:r>
              <w:rPr>
                <w:rFonts w:hint="eastAsia" w:ascii="宋体" w:hAnsi="宋体" w:cs="宋体"/>
                <w:color w:val="auto"/>
                <w:sz w:val="22"/>
                <w:szCs w:val="22"/>
                <w:highlight w:val="none"/>
              </w:rPr>
              <w:t>使用方法:可肩背、可手提；</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3</w:t>
            </w:r>
            <w:r>
              <w:rPr>
                <w:rFonts w:hint="eastAsia" w:ascii="宋体" w:hAnsi="宋体"/>
                <w:bCs/>
                <w:color w:val="auto"/>
                <w:sz w:val="22"/>
                <w:szCs w:val="22"/>
                <w:highlight w:val="none"/>
              </w:rPr>
              <w:t>、</w:t>
            </w:r>
            <w:r>
              <w:rPr>
                <w:rFonts w:hint="eastAsia" w:ascii="宋体" w:hAnsi="宋体" w:cs="宋体"/>
                <w:color w:val="auto"/>
                <w:sz w:val="22"/>
                <w:szCs w:val="22"/>
                <w:highlight w:val="none"/>
              </w:rPr>
              <w:t>内层数:内设有三层（按说明书规定存放装备）；</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4</w:t>
            </w:r>
            <w:r>
              <w:rPr>
                <w:rFonts w:hint="eastAsia" w:ascii="宋体" w:hAnsi="宋体"/>
                <w:bCs/>
                <w:color w:val="auto"/>
                <w:sz w:val="22"/>
                <w:szCs w:val="22"/>
                <w:highlight w:val="none"/>
              </w:rPr>
              <w:t>、</w:t>
            </w:r>
            <w:r>
              <w:rPr>
                <w:rFonts w:hint="eastAsia" w:ascii="宋体" w:hAnsi="宋体" w:cs="宋体"/>
                <w:color w:val="auto"/>
                <w:sz w:val="22"/>
                <w:szCs w:val="22"/>
                <w:highlight w:val="none"/>
              </w:rPr>
              <w:t>材质:涤纶长丝防雨牛津布及防水拉链；</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5</w:t>
            </w:r>
            <w:r>
              <w:rPr>
                <w:rFonts w:hint="eastAsia" w:ascii="宋体" w:hAnsi="宋体"/>
                <w:bCs/>
                <w:color w:val="auto"/>
                <w:sz w:val="22"/>
                <w:szCs w:val="22"/>
                <w:highlight w:val="none"/>
              </w:rPr>
              <w:t>、</w:t>
            </w:r>
            <w:r>
              <w:rPr>
                <w:rFonts w:hint="eastAsia" w:ascii="宋体" w:hAnsi="宋体" w:cs="宋体"/>
                <w:color w:val="auto"/>
                <w:sz w:val="22"/>
                <w:szCs w:val="22"/>
                <w:highlight w:val="none"/>
              </w:rPr>
              <w:t>功能:阻燃、防雨淋、防尘、耐磨；</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6</w:t>
            </w:r>
            <w:r>
              <w:rPr>
                <w:rFonts w:hint="eastAsia" w:ascii="宋体" w:hAnsi="宋体"/>
                <w:bCs/>
                <w:color w:val="auto"/>
                <w:sz w:val="22"/>
                <w:szCs w:val="22"/>
                <w:highlight w:val="none"/>
              </w:rPr>
              <w:t>、</w:t>
            </w:r>
            <w:r>
              <w:rPr>
                <w:rFonts w:hint="eastAsia" w:ascii="宋体" w:hAnsi="宋体" w:cs="宋体"/>
                <w:color w:val="auto"/>
                <w:sz w:val="22"/>
                <w:szCs w:val="22"/>
                <w:highlight w:val="none"/>
              </w:rPr>
              <w:t>尺寸:警用装备包体积：56×39×18cm（±2cm）, 内部多功能腰带包体积：34×24×10cm（±2cm）；</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7</w:t>
            </w:r>
            <w:r>
              <w:rPr>
                <w:rFonts w:hint="eastAsia" w:ascii="宋体" w:hAnsi="宋体"/>
                <w:bCs/>
                <w:color w:val="auto"/>
                <w:sz w:val="22"/>
                <w:szCs w:val="22"/>
                <w:highlight w:val="none"/>
              </w:rPr>
              <w:t>、</w:t>
            </w:r>
            <w:r>
              <w:rPr>
                <w:rFonts w:hint="eastAsia" w:ascii="宋体" w:hAnsi="宋体" w:cs="宋体"/>
                <w:color w:val="auto"/>
                <w:sz w:val="22"/>
                <w:szCs w:val="22"/>
                <w:highlight w:val="none"/>
              </w:rPr>
              <w:t>质量 2.5kg（±0.2kg）；</w:t>
            </w:r>
          </w:p>
          <w:p>
            <w:pPr>
              <w:spacing w:line="276" w:lineRule="auto"/>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8.执行标准：GA888-2010《警用装备包》。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125"/>
              <w:spacing w:line="276" w:lineRule="auto"/>
              <w:ind w:right="105" w:firstLine="0" w:firstLineChars="0"/>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3</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急救绳</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839470" cy="731520"/>
                  <wp:effectExtent l="0" t="0" r="17780" b="11430"/>
                  <wp:docPr id="48"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descr="IMG_256"/>
                          <pic:cNvPicPr>
                            <a:picLocks noChangeAspect="1"/>
                          </pic:cNvPicPr>
                        </pic:nvPicPr>
                        <pic:blipFill>
                          <a:blip r:embed="rId55"/>
                          <a:stretch>
                            <a:fillRect/>
                          </a:stretch>
                        </pic:blipFill>
                        <pic:spPr>
                          <a:xfrm>
                            <a:off x="0" y="0"/>
                            <a:ext cx="839470" cy="731520"/>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1、规格：8mm</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2、长度：</w:t>
            </w:r>
            <w:r>
              <w:rPr>
                <w:rFonts w:hint="eastAsia" w:ascii="宋体" w:hAnsi="宋体" w:cs="宋体"/>
                <w:color w:val="auto"/>
                <w:sz w:val="22"/>
                <w:szCs w:val="22"/>
                <w:highlight w:val="none"/>
              </w:rPr>
              <w:t>≥</w:t>
            </w:r>
            <w:r>
              <w:rPr>
                <w:rFonts w:hint="eastAsia" w:ascii="宋体" w:hAnsi="宋体"/>
                <w:color w:val="auto"/>
                <w:sz w:val="22"/>
                <w:szCs w:val="22"/>
                <w:highlight w:val="none"/>
              </w:rPr>
              <w:t xml:space="preserve"> 30米</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3、材质：高强丙纶长丝线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125"/>
              <w:spacing w:line="276" w:lineRule="auto"/>
              <w:ind w:right="105" w:firstLine="0" w:firstLineChars="0"/>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4</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大铁头</w:t>
            </w:r>
            <w:r>
              <w:rPr>
                <w:rFonts w:ascii="宋体" w:hAnsi="宋体"/>
                <w:color w:val="auto"/>
                <w:sz w:val="22"/>
                <w:szCs w:val="22"/>
                <w:highlight w:val="none"/>
              </w:rPr>
              <w:t>脚叉</w:t>
            </w:r>
          </w:p>
        </w:tc>
        <w:tc>
          <w:tcPr>
            <w:tcW w:w="1459" w:type="pct"/>
            <w:noWrap w:val="0"/>
            <w:vAlign w:val="center"/>
          </w:tcPr>
          <w:p>
            <w:pPr>
              <w:spacing w:line="276" w:lineRule="auto"/>
              <w:jc w:val="center"/>
              <w:rPr>
                <w:rFonts w:ascii="宋体" w:hAnsi="宋体"/>
                <w:color w:val="auto"/>
                <w:sz w:val="22"/>
                <w:szCs w:val="22"/>
                <w:highlight w:val="none"/>
              </w:rPr>
            </w:pPr>
            <w:r>
              <w:rPr>
                <w:color w:val="auto"/>
                <w:sz w:val="22"/>
                <w:szCs w:val="22"/>
                <w:highlight w:val="none"/>
              </w:rPr>
              <w:drawing>
                <wp:inline distT="0" distB="0" distL="114300" distR="114300">
                  <wp:extent cx="705485" cy="2544445"/>
                  <wp:effectExtent l="0" t="0" r="18415" b="8255"/>
                  <wp:docPr id="4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5"/>
                          <pic:cNvPicPr>
                            <a:picLocks noChangeAspect="1"/>
                          </pic:cNvPicPr>
                        </pic:nvPicPr>
                        <pic:blipFill>
                          <a:blip r:embed="rId56"/>
                          <a:stretch>
                            <a:fillRect/>
                          </a:stretch>
                        </pic:blipFill>
                        <pic:spPr>
                          <a:xfrm>
                            <a:off x="0" y="0"/>
                            <a:ext cx="705485" cy="2544445"/>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ascii="宋体" w:hAnsi="宋体"/>
                <w:color w:val="auto"/>
                <w:sz w:val="22"/>
                <w:szCs w:val="22"/>
                <w:highlight w:val="none"/>
              </w:rPr>
              <w:t>1、材质：6061铝合金 </w:t>
            </w:r>
            <w:r>
              <w:rPr>
                <w:rFonts w:ascii="宋体" w:hAnsi="宋体"/>
                <w:color w:val="auto"/>
                <w:sz w:val="22"/>
                <w:szCs w:val="22"/>
                <w:highlight w:val="none"/>
              </w:rPr>
              <w:br w:type="textWrapping"/>
            </w:r>
            <w:r>
              <w:rPr>
                <w:rFonts w:ascii="宋体" w:hAnsi="宋体"/>
                <w:color w:val="auto"/>
                <w:sz w:val="22"/>
                <w:szCs w:val="22"/>
                <w:highlight w:val="none"/>
              </w:rPr>
              <w:t>2、工艺：无焊接锻造工艺，经过T4T6热处理 </w:t>
            </w:r>
            <w:r>
              <w:rPr>
                <w:rFonts w:ascii="宋体" w:hAnsi="宋体"/>
                <w:color w:val="auto"/>
                <w:sz w:val="22"/>
                <w:szCs w:val="22"/>
                <w:highlight w:val="none"/>
              </w:rPr>
              <w:br w:type="textWrapping"/>
            </w:r>
            <w:r>
              <w:rPr>
                <w:rFonts w:ascii="宋体" w:hAnsi="宋体"/>
                <w:color w:val="auto"/>
                <w:sz w:val="22"/>
                <w:szCs w:val="22"/>
                <w:highlight w:val="none"/>
              </w:rPr>
              <w:t>3、质量：脚叉：</w:t>
            </w:r>
            <w:r>
              <w:rPr>
                <w:rFonts w:hint="eastAsia" w:ascii="宋体" w:hAnsi="宋体"/>
                <w:color w:val="auto"/>
                <w:sz w:val="22"/>
                <w:szCs w:val="22"/>
                <w:highlight w:val="none"/>
              </w:rPr>
              <w:t>≤</w:t>
            </w:r>
            <w:r>
              <w:rPr>
                <w:rFonts w:ascii="宋体" w:hAnsi="宋体"/>
                <w:color w:val="auto"/>
                <w:sz w:val="22"/>
                <w:szCs w:val="22"/>
                <w:highlight w:val="none"/>
              </w:rPr>
              <w:t>2.4kg</w:t>
            </w:r>
            <w:r>
              <w:rPr>
                <w:rFonts w:ascii="宋体" w:hAnsi="宋体"/>
                <w:color w:val="auto"/>
                <w:sz w:val="22"/>
                <w:szCs w:val="22"/>
                <w:highlight w:val="none"/>
              </w:rPr>
              <w:br w:type="textWrapping"/>
            </w:r>
            <w:r>
              <w:rPr>
                <w:rFonts w:ascii="宋体" w:hAnsi="宋体"/>
                <w:color w:val="auto"/>
                <w:sz w:val="22"/>
                <w:szCs w:val="22"/>
                <w:highlight w:val="none"/>
              </w:rPr>
              <w:t>     腰叉：</w:t>
            </w:r>
            <w:r>
              <w:rPr>
                <w:rFonts w:hint="eastAsia" w:ascii="宋体" w:hAnsi="宋体"/>
                <w:color w:val="auto"/>
                <w:sz w:val="22"/>
                <w:szCs w:val="22"/>
                <w:highlight w:val="none"/>
              </w:rPr>
              <w:t>≤</w:t>
            </w:r>
            <w:r>
              <w:rPr>
                <w:rFonts w:ascii="宋体" w:hAnsi="宋体"/>
                <w:color w:val="auto"/>
                <w:sz w:val="22"/>
                <w:szCs w:val="22"/>
                <w:highlight w:val="none"/>
              </w:rPr>
              <w:t>2.7kg</w:t>
            </w:r>
            <w:r>
              <w:rPr>
                <w:rFonts w:ascii="宋体" w:hAnsi="宋体"/>
                <w:color w:val="auto"/>
                <w:sz w:val="22"/>
                <w:szCs w:val="22"/>
                <w:highlight w:val="none"/>
              </w:rPr>
              <w:br w:type="textWrapping"/>
            </w:r>
            <w:r>
              <w:rPr>
                <w:rFonts w:ascii="宋体" w:hAnsi="宋体"/>
                <w:color w:val="auto"/>
                <w:sz w:val="22"/>
                <w:szCs w:val="22"/>
                <w:highlight w:val="none"/>
              </w:rPr>
              <w:t>4、叉杆握持部位直径：30mm～35mm</w:t>
            </w:r>
            <w:r>
              <w:rPr>
                <w:rFonts w:ascii="宋体" w:hAnsi="宋体"/>
                <w:color w:val="auto"/>
                <w:sz w:val="22"/>
                <w:szCs w:val="22"/>
                <w:highlight w:val="none"/>
              </w:rPr>
              <w:br w:type="textWrapping"/>
            </w:r>
            <w:r>
              <w:rPr>
                <w:rFonts w:ascii="宋体" w:hAnsi="宋体"/>
                <w:color w:val="auto"/>
                <w:sz w:val="22"/>
                <w:szCs w:val="22"/>
                <w:highlight w:val="none"/>
              </w:rPr>
              <w:t>5、叉头闭合缝隙：≤18mm</w:t>
            </w:r>
            <w:r>
              <w:rPr>
                <w:rFonts w:ascii="宋体" w:hAnsi="宋体"/>
                <w:color w:val="auto"/>
                <w:sz w:val="22"/>
                <w:szCs w:val="22"/>
                <w:highlight w:val="none"/>
              </w:rPr>
              <w:br w:type="textWrapping"/>
            </w:r>
            <w:r>
              <w:rPr>
                <w:rFonts w:ascii="宋体" w:hAnsi="宋体"/>
                <w:color w:val="auto"/>
                <w:sz w:val="22"/>
                <w:szCs w:val="22"/>
                <w:highlight w:val="none"/>
              </w:rPr>
              <w:t>6、长度：折叠长：1133mm （</w:t>
            </w:r>
            <w:r>
              <w:rPr>
                <w:rFonts w:hint="eastAsia" w:ascii="宋体" w:hAnsi="宋体"/>
                <w:color w:val="auto"/>
                <w:sz w:val="22"/>
                <w:szCs w:val="22"/>
                <w:highlight w:val="none"/>
              </w:rPr>
              <w:t>±10mm）</w:t>
            </w:r>
            <w:r>
              <w:rPr>
                <w:rFonts w:ascii="宋体" w:hAnsi="宋体"/>
                <w:color w:val="auto"/>
                <w:sz w:val="22"/>
                <w:szCs w:val="22"/>
                <w:highlight w:val="none"/>
              </w:rPr>
              <w:t>， 展开长：2266mm（</w:t>
            </w:r>
            <w:r>
              <w:rPr>
                <w:rFonts w:hint="eastAsia" w:ascii="宋体" w:hAnsi="宋体"/>
                <w:color w:val="auto"/>
                <w:sz w:val="22"/>
                <w:szCs w:val="22"/>
                <w:highlight w:val="none"/>
              </w:rPr>
              <w:t>±10mm）</w:t>
            </w:r>
            <w:r>
              <w:rPr>
                <w:rFonts w:ascii="宋体" w:hAnsi="宋体"/>
                <w:color w:val="auto"/>
                <w:sz w:val="22"/>
                <w:szCs w:val="22"/>
                <w:highlight w:val="none"/>
              </w:rPr>
              <w:br w:type="textWrapping"/>
            </w:r>
            <w:r>
              <w:rPr>
                <w:rFonts w:ascii="宋体" w:hAnsi="宋体"/>
                <w:color w:val="auto"/>
                <w:sz w:val="22"/>
                <w:szCs w:val="22"/>
                <w:highlight w:val="none"/>
              </w:rPr>
              <w:t>7、质量：</w:t>
            </w:r>
            <w:r>
              <w:rPr>
                <w:rFonts w:hint="eastAsia" w:ascii="宋体" w:hAnsi="宋体"/>
                <w:color w:val="auto"/>
                <w:sz w:val="22"/>
                <w:szCs w:val="22"/>
                <w:highlight w:val="none"/>
              </w:rPr>
              <w:t>≤</w:t>
            </w:r>
            <w:r>
              <w:rPr>
                <w:rFonts w:ascii="宋体" w:hAnsi="宋体"/>
                <w:color w:val="auto"/>
                <w:sz w:val="22"/>
                <w:szCs w:val="22"/>
                <w:highlight w:val="none"/>
              </w:rPr>
              <w:t>2.8kg</w:t>
            </w:r>
            <w:r>
              <w:rPr>
                <w:rFonts w:ascii="宋体" w:hAnsi="宋体"/>
                <w:color w:val="auto"/>
                <w:sz w:val="22"/>
                <w:szCs w:val="22"/>
                <w:highlight w:val="none"/>
              </w:rPr>
              <w:br w:type="textWrapping"/>
            </w:r>
            <w:r>
              <w:rPr>
                <w:rFonts w:ascii="宋体" w:hAnsi="宋体"/>
                <w:color w:val="auto"/>
                <w:sz w:val="22"/>
                <w:szCs w:val="22"/>
                <w:highlight w:val="none"/>
              </w:rPr>
              <w:t>8、宽度：腰叉：495mm（</w:t>
            </w:r>
            <w:r>
              <w:rPr>
                <w:rFonts w:hint="eastAsia" w:ascii="宋体" w:hAnsi="宋体"/>
                <w:color w:val="auto"/>
                <w:sz w:val="22"/>
                <w:szCs w:val="22"/>
                <w:highlight w:val="none"/>
              </w:rPr>
              <w:t>±10mm）</w:t>
            </w:r>
            <w:r>
              <w:rPr>
                <w:rFonts w:ascii="宋体" w:hAnsi="宋体"/>
                <w:color w:val="auto"/>
                <w:sz w:val="22"/>
                <w:szCs w:val="22"/>
                <w:highlight w:val="none"/>
              </w:rPr>
              <w:br w:type="textWrapping"/>
            </w:r>
            <w:r>
              <w:rPr>
                <w:rFonts w:ascii="宋体" w:hAnsi="宋体"/>
                <w:color w:val="auto"/>
                <w:sz w:val="22"/>
                <w:szCs w:val="22"/>
                <w:highlight w:val="none"/>
              </w:rPr>
              <w:t>     脚叉：255mm（</w:t>
            </w:r>
            <w:r>
              <w:rPr>
                <w:rFonts w:hint="eastAsia" w:ascii="宋体" w:hAnsi="宋体"/>
                <w:color w:val="auto"/>
                <w:sz w:val="22"/>
                <w:szCs w:val="22"/>
                <w:highlight w:val="none"/>
              </w:rPr>
              <w:t>±10mm）</w:t>
            </w:r>
            <w:r>
              <w:rPr>
                <w:rFonts w:ascii="宋体" w:hAnsi="宋体"/>
                <w:color w:val="auto"/>
                <w:sz w:val="22"/>
                <w:szCs w:val="22"/>
                <w:highlight w:val="none"/>
              </w:rPr>
              <w:br w:type="textWrapping"/>
            </w:r>
            <w:r>
              <w:rPr>
                <w:rFonts w:ascii="宋体" w:hAnsi="宋体"/>
                <w:color w:val="auto"/>
                <w:sz w:val="22"/>
                <w:szCs w:val="22"/>
                <w:highlight w:val="none"/>
              </w:rPr>
              <w:t>9、 硬度和韧性：达到HRB55-65度</w:t>
            </w:r>
            <w:r>
              <w:rPr>
                <w:rFonts w:ascii="宋体" w:hAnsi="宋体"/>
                <w:color w:val="auto"/>
                <w:sz w:val="22"/>
                <w:szCs w:val="22"/>
                <w:highlight w:val="none"/>
              </w:rPr>
              <w:br w:type="textWrapping"/>
            </w:r>
            <w:r>
              <w:rPr>
                <w:rFonts w:ascii="宋体" w:hAnsi="宋体"/>
                <w:color w:val="auto"/>
                <w:sz w:val="22"/>
                <w:szCs w:val="22"/>
                <w:highlight w:val="none"/>
              </w:rPr>
              <w:t>10、 特点：折叠钢叉末端装半月弧形插头，没有锐利棱角。这种工具既可保证保安人员的安全，也能有效制服歹徒，且可避免对歹徒的人身伤害。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125"/>
              <w:spacing w:line="276" w:lineRule="auto"/>
              <w:ind w:right="105" w:firstLine="0" w:firstLineChars="0"/>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5</w:t>
            </w:r>
          </w:p>
        </w:tc>
        <w:tc>
          <w:tcPr>
            <w:tcW w:w="411" w:type="pct"/>
            <w:noWrap w:val="0"/>
            <w:vAlign w:val="center"/>
          </w:tcPr>
          <w:p>
            <w:pPr>
              <w:spacing w:line="276" w:lineRule="auto"/>
              <w:jc w:val="center"/>
              <w:rPr>
                <w:rFonts w:hint="eastAsia" w:ascii="宋体" w:hAnsi="宋体"/>
                <w:color w:val="auto"/>
                <w:sz w:val="22"/>
                <w:szCs w:val="22"/>
                <w:highlight w:val="none"/>
              </w:rPr>
            </w:pPr>
            <w:r>
              <w:rPr>
                <w:rFonts w:hint="eastAsia" w:ascii="宋体" w:hAnsi="宋体"/>
                <w:color w:val="auto"/>
                <w:sz w:val="22"/>
                <w:szCs w:val="22"/>
                <w:highlight w:val="none"/>
              </w:rPr>
              <w:t>小铁</w:t>
            </w:r>
            <w:r>
              <w:rPr>
                <w:rFonts w:ascii="宋体" w:hAnsi="宋体"/>
                <w:color w:val="auto"/>
                <w:sz w:val="22"/>
                <w:szCs w:val="22"/>
                <w:highlight w:val="none"/>
              </w:rPr>
              <w:t>头脚叉</w:t>
            </w:r>
          </w:p>
        </w:tc>
        <w:tc>
          <w:tcPr>
            <w:tcW w:w="1459" w:type="pct"/>
            <w:noWrap w:val="0"/>
            <w:vAlign w:val="center"/>
          </w:tcPr>
          <w:p>
            <w:pPr>
              <w:spacing w:line="276" w:lineRule="auto"/>
              <w:jc w:val="center"/>
              <w:rPr>
                <w:rFonts w:ascii="宋体" w:hAnsi="宋体"/>
                <w:color w:val="auto"/>
                <w:sz w:val="22"/>
                <w:szCs w:val="22"/>
                <w:highlight w:val="none"/>
              </w:rPr>
            </w:pPr>
            <w:r>
              <w:rPr>
                <w:color w:val="auto"/>
                <w:sz w:val="22"/>
                <w:szCs w:val="22"/>
                <w:highlight w:val="none"/>
              </w:rPr>
              <w:drawing>
                <wp:inline distT="0" distB="0" distL="114300" distR="114300">
                  <wp:extent cx="457200" cy="2844165"/>
                  <wp:effectExtent l="0" t="0" r="0" b="13335"/>
                  <wp:docPr id="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pic:cNvPicPr>
                            <a:picLocks noChangeAspect="1"/>
                          </pic:cNvPicPr>
                        </pic:nvPicPr>
                        <pic:blipFill>
                          <a:blip r:embed="rId57"/>
                          <a:stretch>
                            <a:fillRect/>
                          </a:stretch>
                        </pic:blipFill>
                        <pic:spPr>
                          <a:xfrm>
                            <a:off x="0" y="0"/>
                            <a:ext cx="457200" cy="2844165"/>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color w:val="auto"/>
                <w:sz w:val="22"/>
                <w:szCs w:val="22"/>
                <w:highlight w:val="none"/>
              </w:rPr>
              <w:t> 1、材质：6061铝合金 </w:t>
            </w:r>
            <w:r>
              <w:rPr>
                <w:color w:val="auto"/>
                <w:sz w:val="22"/>
                <w:szCs w:val="22"/>
                <w:highlight w:val="none"/>
              </w:rPr>
              <w:br w:type="textWrapping"/>
            </w:r>
            <w:r>
              <w:rPr>
                <w:color w:val="auto"/>
                <w:sz w:val="22"/>
                <w:szCs w:val="22"/>
                <w:highlight w:val="none"/>
              </w:rPr>
              <w:t>2、工艺：无焊接锻造工艺，经过T4T6热处理 </w:t>
            </w:r>
            <w:r>
              <w:rPr>
                <w:color w:val="auto"/>
                <w:sz w:val="22"/>
                <w:szCs w:val="22"/>
                <w:highlight w:val="none"/>
              </w:rPr>
              <w:br w:type="textWrapping"/>
            </w:r>
            <w:r>
              <w:rPr>
                <w:color w:val="auto"/>
                <w:sz w:val="22"/>
                <w:szCs w:val="22"/>
                <w:highlight w:val="none"/>
              </w:rPr>
              <w:t>3、质量：脚叉：</w:t>
            </w:r>
            <w:r>
              <w:rPr>
                <w:rFonts w:hint="eastAsia" w:ascii="宋体" w:hAnsi="宋体"/>
                <w:color w:val="auto"/>
                <w:sz w:val="22"/>
                <w:szCs w:val="22"/>
                <w:highlight w:val="none"/>
              </w:rPr>
              <w:t>≤</w:t>
            </w:r>
            <w:r>
              <w:rPr>
                <w:color w:val="auto"/>
                <w:sz w:val="22"/>
                <w:szCs w:val="22"/>
                <w:highlight w:val="none"/>
              </w:rPr>
              <w:t>2.4kg    </w:t>
            </w:r>
            <w:r>
              <w:rPr>
                <w:color w:val="auto"/>
                <w:sz w:val="22"/>
                <w:szCs w:val="22"/>
                <w:highlight w:val="none"/>
              </w:rPr>
              <w:br w:type="textWrapping"/>
            </w:r>
            <w:r>
              <w:rPr>
                <w:color w:val="auto"/>
                <w:sz w:val="22"/>
                <w:szCs w:val="22"/>
                <w:highlight w:val="none"/>
              </w:rPr>
              <w:t>4、叉杆握持部位直径：30mm～35mm</w:t>
            </w:r>
            <w:r>
              <w:rPr>
                <w:rFonts w:ascii="宋体" w:hAnsi="宋体"/>
                <w:color w:val="auto"/>
                <w:sz w:val="22"/>
                <w:szCs w:val="22"/>
                <w:highlight w:val="none"/>
              </w:rPr>
              <w:t>（</w:t>
            </w:r>
            <w:r>
              <w:rPr>
                <w:rFonts w:hint="eastAsia" w:ascii="宋体" w:hAnsi="宋体"/>
                <w:color w:val="auto"/>
                <w:sz w:val="22"/>
                <w:szCs w:val="22"/>
                <w:highlight w:val="none"/>
              </w:rPr>
              <w:t>±5mm）</w:t>
            </w:r>
            <w:r>
              <w:rPr>
                <w:color w:val="auto"/>
                <w:sz w:val="22"/>
                <w:szCs w:val="22"/>
                <w:highlight w:val="none"/>
              </w:rPr>
              <w:br w:type="textWrapping"/>
            </w:r>
            <w:r>
              <w:rPr>
                <w:color w:val="auto"/>
                <w:sz w:val="22"/>
                <w:szCs w:val="22"/>
                <w:highlight w:val="none"/>
              </w:rPr>
              <w:t>5、叉头闭合缝隙：≤18mm</w:t>
            </w:r>
            <w:r>
              <w:rPr>
                <w:color w:val="auto"/>
                <w:sz w:val="22"/>
                <w:szCs w:val="22"/>
                <w:highlight w:val="none"/>
              </w:rPr>
              <w:br w:type="textWrapping"/>
            </w:r>
            <w:r>
              <w:rPr>
                <w:color w:val="auto"/>
                <w:sz w:val="22"/>
                <w:szCs w:val="22"/>
                <w:highlight w:val="none"/>
              </w:rPr>
              <w:t>6、长度：折叠长：1133mm</w:t>
            </w:r>
            <w:r>
              <w:rPr>
                <w:rFonts w:ascii="宋体" w:hAnsi="宋体"/>
                <w:color w:val="auto"/>
                <w:sz w:val="22"/>
                <w:szCs w:val="22"/>
                <w:highlight w:val="none"/>
              </w:rPr>
              <w:t>（</w:t>
            </w:r>
            <w:r>
              <w:rPr>
                <w:rFonts w:hint="eastAsia" w:ascii="宋体" w:hAnsi="宋体"/>
                <w:color w:val="auto"/>
                <w:sz w:val="22"/>
                <w:szCs w:val="22"/>
                <w:highlight w:val="none"/>
              </w:rPr>
              <w:t>±10mm）</w:t>
            </w:r>
            <w:r>
              <w:rPr>
                <w:color w:val="auto"/>
                <w:sz w:val="22"/>
                <w:szCs w:val="22"/>
                <w:highlight w:val="none"/>
              </w:rPr>
              <w:br w:type="textWrapping"/>
            </w:r>
            <w:r>
              <w:rPr>
                <w:color w:val="auto"/>
                <w:sz w:val="22"/>
                <w:szCs w:val="22"/>
                <w:highlight w:val="none"/>
              </w:rPr>
              <w:t>展开长：2266mm</w:t>
            </w:r>
            <w:r>
              <w:rPr>
                <w:rFonts w:ascii="宋体" w:hAnsi="宋体"/>
                <w:color w:val="auto"/>
                <w:sz w:val="22"/>
                <w:szCs w:val="22"/>
                <w:highlight w:val="none"/>
              </w:rPr>
              <w:t>（</w:t>
            </w:r>
            <w:r>
              <w:rPr>
                <w:rFonts w:hint="eastAsia" w:ascii="宋体" w:hAnsi="宋体"/>
                <w:color w:val="auto"/>
                <w:sz w:val="22"/>
                <w:szCs w:val="22"/>
                <w:highlight w:val="none"/>
              </w:rPr>
              <w:t>±10mm）</w:t>
            </w:r>
            <w:r>
              <w:rPr>
                <w:color w:val="auto"/>
                <w:sz w:val="22"/>
                <w:szCs w:val="22"/>
                <w:highlight w:val="none"/>
              </w:rPr>
              <w:br w:type="textWrapping"/>
            </w:r>
            <w:r>
              <w:rPr>
                <w:color w:val="auto"/>
                <w:sz w:val="22"/>
                <w:szCs w:val="22"/>
                <w:highlight w:val="none"/>
              </w:rPr>
              <w:t>7、质量：</w:t>
            </w:r>
            <w:r>
              <w:rPr>
                <w:rFonts w:hint="eastAsia" w:ascii="宋体" w:hAnsi="宋体"/>
                <w:color w:val="auto"/>
                <w:sz w:val="22"/>
                <w:szCs w:val="22"/>
                <w:highlight w:val="none"/>
              </w:rPr>
              <w:t>≤</w:t>
            </w:r>
            <w:r>
              <w:rPr>
                <w:color w:val="auto"/>
                <w:sz w:val="22"/>
                <w:szCs w:val="22"/>
                <w:highlight w:val="none"/>
              </w:rPr>
              <w:t>2.8kg</w:t>
            </w:r>
            <w:r>
              <w:rPr>
                <w:color w:val="auto"/>
                <w:sz w:val="22"/>
                <w:szCs w:val="22"/>
                <w:highlight w:val="none"/>
              </w:rPr>
              <w:br w:type="textWrapping"/>
            </w:r>
            <w:r>
              <w:rPr>
                <w:color w:val="auto"/>
                <w:sz w:val="22"/>
                <w:szCs w:val="22"/>
                <w:highlight w:val="none"/>
              </w:rPr>
              <w:t>8、宽度： 脚叉：255mm</w:t>
            </w:r>
            <w:r>
              <w:rPr>
                <w:rFonts w:ascii="宋体" w:hAnsi="宋体"/>
                <w:color w:val="auto"/>
                <w:sz w:val="22"/>
                <w:szCs w:val="22"/>
                <w:highlight w:val="none"/>
              </w:rPr>
              <w:t>（</w:t>
            </w:r>
            <w:r>
              <w:rPr>
                <w:rFonts w:hint="eastAsia" w:ascii="宋体" w:hAnsi="宋体"/>
                <w:color w:val="auto"/>
                <w:sz w:val="22"/>
                <w:szCs w:val="22"/>
                <w:highlight w:val="none"/>
              </w:rPr>
              <w:t>±10mm）</w:t>
            </w:r>
            <w:r>
              <w:rPr>
                <w:color w:val="auto"/>
                <w:sz w:val="22"/>
                <w:szCs w:val="22"/>
                <w:highlight w:val="none"/>
              </w:rPr>
              <w:br w:type="textWrapping"/>
            </w:r>
            <w:r>
              <w:rPr>
                <w:color w:val="auto"/>
                <w:sz w:val="22"/>
                <w:szCs w:val="22"/>
                <w:highlight w:val="none"/>
              </w:rPr>
              <w:t>9、 硬度和韧性：达到HRB55-65度</w:t>
            </w:r>
            <w:r>
              <w:rPr>
                <w:color w:val="auto"/>
                <w:sz w:val="22"/>
                <w:szCs w:val="22"/>
                <w:highlight w:val="none"/>
              </w:rPr>
              <w:br w:type="textWrapping"/>
            </w:r>
            <w:r>
              <w:rPr>
                <w:color w:val="auto"/>
                <w:sz w:val="22"/>
                <w:szCs w:val="22"/>
                <w:highlight w:val="none"/>
              </w:rPr>
              <w:t>10、 特点：折叠钢叉末端装半月弧形插头，没有锐利棱角。这种工具既可保证保安人员的安全，也能有效制服歹徒，且可避免对歹徒的人身伤害。</w:t>
            </w:r>
            <w:r>
              <w:rPr>
                <w:color w:val="auto"/>
                <w:sz w:val="22"/>
                <w:szCs w:val="22"/>
                <w:highlight w:val="none"/>
              </w:rPr>
              <w:br w:type="textWrapping"/>
            </w:r>
            <w:r>
              <w:rPr>
                <w:color w:val="auto"/>
                <w:sz w:val="22"/>
                <w:szCs w:val="22"/>
                <w:highlight w:val="none"/>
              </w:rPr>
              <w:t>11、执行标准：《GA/T1145-2014Jing用约束叉》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125"/>
              <w:spacing w:line="276" w:lineRule="auto"/>
              <w:ind w:right="105" w:firstLine="0" w:firstLineChars="0"/>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6</w:t>
            </w:r>
          </w:p>
        </w:tc>
        <w:tc>
          <w:tcPr>
            <w:tcW w:w="411" w:type="pct"/>
            <w:noWrap w:val="0"/>
            <w:vAlign w:val="center"/>
          </w:tcPr>
          <w:p>
            <w:pPr>
              <w:spacing w:line="276" w:lineRule="auto"/>
              <w:jc w:val="center"/>
              <w:rPr>
                <w:rFonts w:hint="eastAsia" w:ascii="宋体" w:hAnsi="宋体"/>
                <w:color w:val="auto"/>
                <w:sz w:val="22"/>
                <w:szCs w:val="22"/>
                <w:highlight w:val="none"/>
              </w:rPr>
            </w:pPr>
            <w:r>
              <w:rPr>
                <w:rFonts w:hint="eastAsia" w:ascii="宋体" w:hAnsi="宋体"/>
                <w:color w:val="auto"/>
                <w:sz w:val="22"/>
                <w:szCs w:val="22"/>
                <w:highlight w:val="none"/>
              </w:rPr>
              <w:t>消防</w:t>
            </w:r>
            <w:r>
              <w:rPr>
                <w:rFonts w:ascii="宋体" w:hAnsi="宋体"/>
                <w:color w:val="auto"/>
                <w:sz w:val="22"/>
                <w:szCs w:val="22"/>
                <w:highlight w:val="none"/>
              </w:rPr>
              <w:t>逃生绳</w:t>
            </w:r>
          </w:p>
        </w:tc>
        <w:tc>
          <w:tcPr>
            <w:tcW w:w="1459" w:type="pct"/>
            <w:noWrap w:val="0"/>
            <w:vAlign w:val="center"/>
          </w:tcPr>
          <w:p>
            <w:pPr>
              <w:spacing w:line="276" w:lineRule="auto"/>
              <w:jc w:val="center"/>
              <w:rPr>
                <w:rFonts w:ascii="宋体" w:hAnsi="宋体"/>
                <w:color w:val="auto"/>
                <w:sz w:val="22"/>
                <w:szCs w:val="22"/>
                <w:highlight w:val="none"/>
              </w:rPr>
            </w:pPr>
            <w:r>
              <w:rPr>
                <w:color w:val="auto"/>
                <w:sz w:val="22"/>
                <w:szCs w:val="22"/>
                <w:highlight w:val="none"/>
              </w:rPr>
              <w:drawing>
                <wp:inline distT="0" distB="0" distL="114300" distR="114300">
                  <wp:extent cx="1296035" cy="1050925"/>
                  <wp:effectExtent l="0" t="0" r="18415" b="15875"/>
                  <wp:docPr id="54" name="图片 47" descr="D:\Documents\Tencent Files\992605216\Image\C2C\LYFG8Y$V[%XA$2O1KE94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7" descr="D:\Documents\Tencent Files\992605216\Image\C2C\LYFG8Y$V[%XA$2O1KE94I[5.png"/>
                          <pic:cNvPicPr>
                            <a:picLocks noChangeAspect="1"/>
                          </pic:cNvPicPr>
                        </pic:nvPicPr>
                        <pic:blipFill>
                          <a:blip r:embed="rId58"/>
                          <a:stretch>
                            <a:fillRect/>
                          </a:stretch>
                        </pic:blipFill>
                        <pic:spPr>
                          <a:xfrm>
                            <a:off x="0" y="0"/>
                            <a:ext cx="1296035" cy="1050925"/>
                          </a:xfrm>
                          <a:prstGeom prst="rect">
                            <a:avLst/>
                          </a:prstGeom>
                          <a:noFill/>
                          <a:ln>
                            <a:noFill/>
                          </a:ln>
                        </pic:spPr>
                      </pic:pic>
                    </a:graphicData>
                  </a:graphic>
                </wp:inline>
              </w:drawing>
            </w:r>
          </w:p>
        </w:tc>
        <w:tc>
          <w:tcPr>
            <w:tcW w:w="2847" w:type="pct"/>
            <w:noWrap w:val="0"/>
            <w:vAlign w:val="center"/>
          </w:tcPr>
          <w:p>
            <w:pPr>
              <w:rPr>
                <w:color w:val="auto"/>
                <w:sz w:val="22"/>
                <w:szCs w:val="22"/>
                <w:highlight w:val="none"/>
              </w:rPr>
            </w:pPr>
            <w:r>
              <w:rPr>
                <w:rFonts w:hint="eastAsia"/>
                <w:color w:val="auto"/>
                <w:sz w:val="22"/>
                <w:szCs w:val="22"/>
                <w:highlight w:val="none"/>
              </w:rPr>
              <w:t>1、长度：≥20m</w:t>
            </w:r>
          </w:p>
          <w:p>
            <w:pPr>
              <w:rPr>
                <w:color w:val="auto"/>
                <w:sz w:val="22"/>
                <w:szCs w:val="22"/>
                <w:highlight w:val="none"/>
              </w:rPr>
            </w:pPr>
            <w:r>
              <w:rPr>
                <w:rFonts w:hint="eastAsia"/>
                <w:color w:val="auto"/>
                <w:sz w:val="22"/>
                <w:szCs w:val="22"/>
                <w:highlight w:val="none"/>
              </w:rPr>
              <w:t>2、直径：14mm（±1mm）</w:t>
            </w:r>
          </w:p>
          <w:p>
            <w:pPr>
              <w:spacing w:line="276" w:lineRule="auto"/>
              <w:jc w:val="left"/>
              <w:rPr>
                <w:rFonts w:ascii="宋体" w:hAnsi="宋体"/>
                <w:color w:val="auto"/>
                <w:sz w:val="22"/>
                <w:szCs w:val="22"/>
                <w:highlight w:val="none"/>
              </w:rPr>
            </w:pPr>
            <w:r>
              <w:rPr>
                <w:rFonts w:hint="eastAsia"/>
                <w:color w:val="auto"/>
                <w:sz w:val="22"/>
                <w:szCs w:val="22"/>
                <w:highlight w:val="none"/>
              </w:rPr>
              <w:t>3、配挂钩，内部带钢丝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125"/>
              <w:spacing w:line="276" w:lineRule="auto"/>
              <w:ind w:right="105" w:firstLine="0" w:firstLineChars="0"/>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4</w:t>
            </w:r>
            <w:r>
              <w:rPr>
                <w:rFonts w:hint="eastAsia" w:ascii="宋体" w:hAnsi="宋体"/>
                <w:color w:val="auto"/>
                <w:sz w:val="22"/>
                <w:szCs w:val="22"/>
                <w:highlight w:val="none"/>
                <w:lang w:val="en-US" w:eastAsia="zh-CN"/>
              </w:rPr>
              <w:t>7</w:t>
            </w:r>
          </w:p>
        </w:tc>
        <w:tc>
          <w:tcPr>
            <w:tcW w:w="411" w:type="pct"/>
            <w:noWrap w:val="0"/>
            <w:vAlign w:val="center"/>
          </w:tcPr>
          <w:p>
            <w:pPr>
              <w:spacing w:line="276" w:lineRule="auto"/>
              <w:jc w:val="center"/>
              <w:rPr>
                <w:rFonts w:hint="eastAsia" w:ascii="宋体" w:hAnsi="宋体"/>
                <w:color w:val="auto"/>
                <w:sz w:val="22"/>
                <w:szCs w:val="22"/>
                <w:highlight w:val="none"/>
              </w:rPr>
            </w:pPr>
            <w:r>
              <w:rPr>
                <w:rFonts w:hint="eastAsia" w:ascii="宋体" w:hAnsi="宋体"/>
                <w:color w:val="auto"/>
                <w:sz w:val="22"/>
                <w:szCs w:val="22"/>
                <w:highlight w:val="none"/>
              </w:rPr>
              <w:t>360°警灯</w:t>
            </w:r>
          </w:p>
        </w:tc>
        <w:tc>
          <w:tcPr>
            <w:tcW w:w="1459" w:type="pct"/>
            <w:noWrap w:val="0"/>
            <w:vAlign w:val="center"/>
          </w:tcPr>
          <w:p>
            <w:pPr>
              <w:widowControl/>
              <w:jc w:val="center"/>
              <w:rPr>
                <w:rFonts w:hint="eastAsia" w:ascii="宋体" w:hAnsi="宋体" w:cs="宋体"/>
                <w:color w:val="auto"/>
                <w:kern w:val="0"/>
                <w:sz w:val="22"/>
                <w:szCs w:val="22"/>
                <w:highlight w:val="none"/>
              </w:rPr>
            </w:pPr>
            <w:r>
              <w:rPr>
                <w:rFonts w:ascii="宋体" w:hAnsi="宋体" w:cs="宋体"/>
                <w:color w:val="auto"/>
                <w:kern w:val="0"/>
                <w:sz w:val="22"/>
                <w:szCs w:val="22"/>
                <w:highlight w:val="none"/>
              </w:rPr>
              <w:fldChar w:fldCharType="begin"/>
            </w:r>
            <w:r>
              <w:rPr>
                <w:rFonts w:ascii="宋体" w:hAnsi="宋体" w:cs="宋体"/>
                <w:color w:val="auto"/>
                <w:kern w:val="0"/>
                <w:sz w:val="22"/>
                <w:szCs w:val="22"/>
                <w:highlight w:val="none"/>
              </w:rPr>
              <w:instrText xml:space="preserve"> INCLUDEPICTURE "../../SG253/Documents/WeChat%20Files/wxid_ff94r9w1ajhi22/FileStorage/File/AppData/Roaming/Tencent/Users/519410748/QQ/WinTemp/RichOle/7ORY%7bN64_@HG$CEP%7dM%25%5dZ2U.png" \* MERGEFORMAT </w:instrText>
            </w:r>
            <w:r>
              <w:rPr>
                <w:rFonts w:ascii="宋体" w:hAnsi="宋体" w:cs="宋体"/>
                <w:color w:val="auto"/>
                <w:kern w:val="0"/>
                <w:sz w:val="22"/>
                <w:szCs w:val="22"/>
                <w:highlight w:val="none"/>
              </w:rPr>
              <w:fldChar w:fldCharType="separate"/>
            </w:r>
            <w:r>
              <w:rPr>
                <w:rFonts w:ascii="宋体" w:hAnsi="宋体" w:cs="宋体"/>
                <w:color w:val="auto"/>
                <w:kern w:val="0"/>
                <w:sz w:val="22"/>
                <w:szCs w:val="22"/>
                <w:highlight w:val="none"/>
              </w:rPr>
              <w:drawing>
                <wp:inline distT="0" distB="0" distL="114300" distR="114300">
                  <wp:extent cx="1676400" cy="1577340"/>
                  <wp:effectExtent l="0" t="0" r="0" b="3810"/>
                  <wp:docPr id="40" name="图片 48" descr="7ORY{N64_@HG$CEP}M%]Z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8" descr="7ORY{N64_@HG$CEP}M%]Z2U"/>
                          <pic:cNvPicPr>
                            <a:picLocks noChangeAspect="1"/>
                          </pic:cNvPicPr>
                        </pic:nvPicPr>
                        <pic:blipFill>
                          <a:blip r:embed="rId59"/>
                          <a:stretch>
                            <a:fillRect/>
                          </a:stretch>
                        </pic:blipFill>
                        <pic:spPr>
                          <a:xfrm>
                            <a:off x="0" y="0"/>
                            <a:ext cx="1676400" cy="1577340"/>
                          </a:xfrm>
                          <a:prstGeom prst="rect">
                            <a:avLst/>
                          </a:prstGeom>
                          <a:noFill/>
                          <a:ln>
                            <a:noFill/>
                          </a:ln>
                        </pic:spPr>
                      </pic:pic>
                    </a:graphicData>
                  </a:graphic>
                </wp:inline>
              </w:drawing>
            </w:r>
            <w:r>
              <w:rPr>
                <w:rFonts w:ascii="宋体" w:hAnsi="宋体" w:cs="宋体"/>
                <w:color w:val="auto"/>
                <w:kern w:val="0"/>
                <w:sz w:val="22"/>
                <w:szCs w:val="22"/>
                <w:highlight w:val="none"/>
              </w:rPr>
              <w:fldChar w:fldCharType="end"/>
            </w:r>
          </w:p>
        </w:tc>
        <w:tc>
          <w:tcPr>
            <w:tcW w:w="2847" w:type="pct"/>
            <w:noWrap w:val="0"/>
            <w:vAlign w:val="center"/>
          </w:tcPr>
          <w:p>
            <w:pPr>
              <w:rPr>
                <w:rFonts w:ascii="宋体" w:hAnsi="宋体"/>
                <w:color w:val="auto"/>
                <w:sz w:val="22"/>
                <w:szCs w:val="22"/>
                <w:highlight w:val="none"/>
              </w:rPr>
            </w:pPr>
            <w:r>
              <w:rPr>
                <w:rFonts w:hint="eastAsia" w:ascii="宋体" w:hAnsi="宋体"/>
                <w:color w:val="auto"/>
                <w:sz w:val="22"/>
                <w:szCs w:val="22"/>
                <w:highlight w:val="none"/>
              </w:rPr>
              <w:t>1、警灯内置高强磁铁，可以吸附在铁制品表面。</w:t>
            </w:r>
          </w:p>
          <w:p>
            <w:pPr>
              <w:rPr>
                <w:rFonts w:ascii="宋体" w:hAnsi="宋体"/>
                <w:color w:val="auto"/>
                <w:sz w:val="22"/>
                <w:szCs w:val="22"/>
                <w:highlight w:val="none"/>
              </w:rPr>
            </w:pPr>
            <w:r>
              <w:rPr>
                <w:rFonts w:hint="eastAsia" w:ascii="宋体" w:hAnsi="宋体"/>
                <w:color w:val="auto"/>
                <w:sz w:val="22"/>
                <w:szCs w:val="22"/>
                <w:highlight w:val="none"/>
              </w:rPr>
              <w:t>▲2、警灯具有磁吸充电功能。</w:t>
            </w:r>
            <w:r>
              <w:rPr>
                <w:rFonts w:hint="eastAsia" w:ascii="宋体" w:hAnsi="宋体" w:cs="宋体"/>
                <w:bCs/>
                <w:color w:val="auto"/>
                <w:sz w:val="22"/>
                <w:szCs w:val="22"/>
                <w:highlight w:val="none"/>
              </w:rPr>
              <w:t>（需检测报告中体现）</w:t>
            </w:r>
          </w:p>
          <w:p>
            <w:pPr>
              <w:rPr>
                <w:rFonts w:ascii="宋体" w:hAnsi="宋体"/>
                <w:color w:val="auto"/>
                <w:sz w:val="22"/>
                <w:szCs w:val="22"/>
                <w:highlight w:val="none"/>
              </w:rPr>
            </w:pPr>
            <w:r>
              <w:rPr>
                <w:rFonts w:hint="eastAsia" w:ascii="宋体" w:hAnsi="宋体"/>
                <w:color w:val="auto"/>
                <w:sz w:val="22"/>
                <w:szCs w:val="22"/>
                <w:highlight w:val="none"/>
              </w:rPr>
              <w:t>3、警灯具有照明警示一体化功能、具有红蓝警示灯、白光照明灯。</w:t>
            </w:r>
          </w:p>
          <w:p>
            <w:pPr>
              <w:rPr>
                <w:rFonts w:ascii="宋体" w:hAnsi="宋体"/>
                <w:color w:val="auto"/>
                <w:sz w:val="22"/>
                <w:szCs w:val="22"/>
                <w:highlight w:val="none"/>
              </w:rPr>
            </w:pPr>
            <w:r>
              <w:rPr>
                <w:rFonts w:hint="eastAsia" w:ascii="宋体" w:hAnsi="宋体"/>
                <w:color w:val="auto"/>
                <w:sz w:val="22"/>
                <w:szCs w:val="22"/>
                <w:highlight w:val="none"/>
              </w:rPr>
              <w:t>4、警灯续航时间：单一模式下≥20小时。</w:t>
            </w:r>
          </w:p>
          <w:p>
            <w:pPr>
              <w:rPr>
                <w:rFonts w:ascii="宋体" w:hAnsi="宋体"/>
                <w:color w:val="auto"/>
                <w:sz w:val="22"/>
                <w:szCs w:val="22"/>
                <w:highlight w:val="none"/>
              </w:rPr>
            </w:pPr>
            <w:r>
              <w:rPr>
                <w:rFonts w:hint="eastAsia" w:ascii="宋体" w:hAnsi="宋体"/>
                <w:color w:val="auto"/>
                <w:sz w:val="22"/>
                <w:szCs w:val="22"/>
                <w:highlight w:val="none"/>
              </w:rPr>
              <w:t>5、警灯具有多机联机同步闪烁功能；（开启第一只灯后，后开启的灯自动和第一只闪烁模式同步。）</w:t>
            </w:r>
          </w:p>
          <w:p>
            <w:pPr>
              <w:rPr>
                <w:rFonts w:ascii="宋体" w:hAnsi="宋体"/>
                <w:color w:val="auto"/>
                <w:sz w:val="22"/>
                <w:szCs w:val="22"/>
                <w:highlight w:val="none"/>
              </w:rPr>
            </w:pPr>
            <w:r>
              <w:rPr>
                <w:rFonts w:hint="eastAsia" w:ascii="宋体" w:hAnsi="宋体"/>
                <w:color w:val="auto"/>
                <w:sz w:val="22"/>
                <w:szCs w:val="22"/>
                <w:highlight w:val="none"/>
              </w:rPr>
              <w:t>▲6、警灯联机工作模式下具有≥4种闪烁模式。</w:t>
            </w:r>
            <w:r>
              <w:rPr>
                <w:rFonts w:hint="eastAsia" w:ascii="宋体" w:hAnsi="宋体" w:cs="宋体"/>
                <w:bCs/>
                <w:color w:val="auto"/>
                <w:sz w:val="22"/>
                <w:szCs w:val="22"/>
                <w:highlight w:val="none"/>
              </w:rPr>
              <w:t>（需检测报告中体现）</w:t>
            </w:r>
          </w:p>
          <w:p>
            <w:pPr>
              <w:rPr>
                <w:rFonts w:ascii="宋体" w:hAnsi="宋体"/>
                <w:color w:val="auto"/>
                <w:sz w:val="22"/>
                <w:szCs w:val="22"/>
                <w:highlight w:val="none"/>
              </w:rPr>
            </w:pPr>
            <w:r>
              <w:rPr>
                <w:rFonts w:hint="eastAsia" w:ascii="宋体" w:hAnsi="宋体"/>
                <w:color w:val="auto"/>
                <w:sz w:val="22"/>
                <w:szCs w:val="22"/>
                <w:highlight w:val="none"/>
              </w:rPr>
              <w:t>▲7、警灯单机工作模式下具有≥12种闪烁模式。</w:t>
            </w:r>
            <w:r>
              <w:rPr>
                <w:rFonts w:hint="eastAsia" w:ascii="宋体" w:hAnsi="宋体" w:cs="宋体"/>
                <w:bCs/>
                <w:color w:val="auto"/>
                <w:sz w:val="22"/>
                <w:szCs w:val="22"/>
                <w:highlight w:val="none"/>
              </w:rPr>
              <w:t>（需检测报告中体现）</w:t>
            </w:r>
          </w:p>
          <w:p>
            <w:pPr>
              <w:rPr>
                <w:rFonts w:ascii="宋体" w:hAnsi="宋体"/>
                <w:color w:val="auto"/>
                <w:sz w:val="22"/>
                <w:szCs w:val="22"/>
                <w:highlight w:val="none"/>
              </w:rPr>
            </w:pPr>
            <w:r>
              <w:rPr>
                <w:rFonts w:hint="eastAsia" w:ascii="宋体" w:hAnsi="宋体"/>
                <w:color w:val="auto"/>
                <w:sz w:val="22"/>
                <w:szCs w:val="22"/>
                <w:highlight w:val="none"/>
              </w:rPr>
              <w:t>8、警灯侧边闪灯可视距离：≥500M，正面闪灯可视距离：≥500M。</w:t>
            </w:r>
          </w:p>
          <w:p>
            <w:pPr>
              <w:rPr>
                <w:rFonts w:ascii="宋体" w:hAnsi="宋体"/>
                <w:color w:val="auto"/>
                <w:sz w:val="22"/>
                <w:szCs w:val="22"/>
                <w:highlight w:val="none"/>
              </w:rPr>
            </w:pPr>
            <w:r>
              <w:rPr>
                <w:rFonts w:hint="eastAsia" w:ascii="宋体" w:hAnsi="宋体"/>
                <w:color w:val="auto"/>
                <w:sz w:val="22"/>
                <w:szCs w:val="22"/>
                <w:highlight w:val="none"/>
              </w:rPr>
              <w:t>9、警灯光源类型：采用LED，数量≥27颗。</w:t>
            </w:r>
          </w:p>
          <w:p>
            <w:pPr>
              <w:rPr>
                <w:rFonts w:ascii="宋体" w:hAnsi="宋体"/>
                <w:color w:val="auto"/>
                <w:sz w:val="22"/>
                <w:szCs w:val="22"/>
                <w:highlight w:val="none"/>
              </w:rPr>
            </w:pPr>
            <w:r>
              <w:rPr>
                <w:rFonts w:hint="eastAsia" w:ascii="宋体" w:hAnsi="宋体"/>
                <w:color w:val="auto"/>
                <w:sz w:val="22"/>
                <w:szCs w:val="22"/>
                <w:highlight w:val="none"/>
              </w:rPr>
              <w:t>10、警灯尺寸：≤95mm×85mm×26mm。</w:t>
            </w:r>
          </w:p>
          <w:p>
            <w:pPr>
              <w:rPr>
                <w:rFonts w:ascii="宋体" w:hAnsi="宋体"/>
                <w:color w:val="auto"/>
                <w:sz w:val="22"/>
                <w:szCs w:val="22"/>
                <w:highlight w:val="none"/>
              </w:rPr>
            </w:pPr>
            <w:r>
              <w:rPr>
                <w:rFonts w:hint="eastAsia" w:ascii="宋体" w:hAnsi="宋体"/>
                <w:color w:val="auto"/>
                <w:sz w:val="22"/>
                <w:szCs w:val="22"/>
                <w:highlight w:val="none"/>
              </w:rPr>
              <w:t>11、警灯单只重量：≤165g。</w:t>
            </w:r>
          </w:p>
          <w:p>
            <w:pPr>
              <w:rPr>
                <w:rFonts w:ascii="宋体" w:hAnsi="宋体"/>
                <w:color w:val="auto"/>
                <w:sz w:val="22"/>
                <w:szCs w:val="22"/>
                <w:highlight w:val="none"/>
              </w:rPr>
            </w:pPr>
            <w:r>
              <w:rPr>
                <w:rFonts w:hint="eastAsia" w:ascii="宋体" w:hAnsi="宋体"/>
                <w:color w:val="auto"/>
                <w:sz w:val="22"/>
                <w:szCs w:val="22"/>
                <w:highlight w:val="none"/>
              </w:rPr>
              <w:t>▲12、警灯防水等级：IP65及以上。</w:t>
            </w:r>
            <w:r>
              <w:rPr>
                <w:rFonts w:hint="eastAsia" w:ascii="宋体" w:hAnsi="宋体" w:cs="宋体"/>
                <w:bCs/>
                <w:color w:val="auto"/>
                <w:sz w:val="22"/>
                <w:szCs w:val="22"/>
                <w:highlight w:val="none"/>
              </w:rPr>
              <w:t>（需检测报告中体现）</w:t>
            </w:r>
          </w:p>
          <w:p>
            <w:pPr>
              <w:rPr>
                <w:rFonts w:ascii="宋体" w:hAnsi="宋体"/>
                <w:color w:val="auto"/>
                <w:sz w:val="22"/>
                <w:szCs w:val="22"/>
                <w:highlight w:val="none"/>
              </w:rPr>
            </w:pPr>
            <w:r>
              <w:rPr>
                <w:rFonts w:hint="eastAsia" w:ascii="宋体" w:hAnsi="宋体"/>
                <w:color w:val="auto"/>
                <w:sz w:val="22"/>
                <w:szCs w:val="22"/>
                <w:highlight w:val="none"/>
              </w:rPr>
              <w:t>13、警灯具有铝材质底座。</w:t>
            </w:r>
          </w:p>
          <w:p>
            <w:pPr>
              <w:rPr>
                <w:rFonts w:ascii="宋体" w:hAnsi="宋体"/>
                <w:color w:val="auto"/>
                <w:sz w:val="22"/>
                <w:szCs w:val="22"/>
                <w:highlight w:val="none"/>
              </w:rPr>
            </w:pPr>
            <w:r>
              <w:rPr>
                <w:rFonts w:hint="eastAsia" w:ascii="宋体" w:hAnsi="宋体"/>
                <w:color w:val="auto"/>
                <w:sz w:val="22"/>
                <w:szCs w:val="22"/>
                <w:highlight w:val="none"/>
              </w:rPr>
              <w:t>14、设备可承受≥2米跌落一次，内部线路、电路板和内部接口等插件不应有脱落、松动或接触不良现象。跌落后设备能正常工作。</w:t>
            </w:r>
          </w:p>
          <w:p>
            <w:pPr>
              <w:rPr>
                <w:rFonts w:ascii="宋体" w:hAnsi="宋体"/>
                <w:color w:val="auto"/>
                <w:sz w:val="22"/>
                <w:szCs w:val="22"/>
                <w:highlight w:val="none"/>
              </w:rPr>
            </w:pPr>
            <w:r>
              <w:rPr>
                <w:rFonts w:hint="eastAsia" w:ascii="宋体" w:hAnsi="宋体"/>
                <w:color w:val="auto"/>
                <w:sz w:val="22"/>
                <w:szCs w:val="22"/>
                <w:highlight w:val="none"/>
              </w:rPr>
              <w:t>15、工作温度：-30℃—+50℃。</w:t>
            </w:r>
          </w:p>
          <w:p>
            <w:pPr>
              <w:jc w:val="left"/>
              <w:rPr>
                <w:rFonts w:hint="eastAsia" w:ascii="宋体" w:hAnsi="宋体" w:eastAsia="宋体" w:cs="宋体"/>
                <w:color w:val="auto"/>
                <w:sz w:val="22"/>
                <w:szCs w:val="22"/>
                <w:highlight w:val="none"/>
                <w:lang w:eastAsia="zh-CN"/>
              </w:rPr>
            </w:pPr>
            <w:r>
              <w:rPr>
                <w:rFonts w:hint="eastAsia" w:ascii="宋体" w:hAnsi="宋体"/>
                <w:color w:val="auto"/>
                <w:sz w:val="22"/>
                <w:szCs w:val="22"/>
                <w:highlight w:val="none"/>
              </w:rPr>
              <w:t>▲</w:t>
            </w:r>
            <w:r>
              <w:rPr>
                <w:rFonts w:hint="eastAsia" w:ascii="宋体" w:hAnsi="宋体" w:cs="宋体"/>
                <w:color w:val="auto"/>
                <w:sz w:val="22"/>
                <w:szCs w:val="22"/>
                <w:highlight w:val="none"/>
              </w:rPr>
              <w:t>16、</w:t>
            </w:r>
            <w:r>
              <w:rPr>
                <w:rFonts w:hint="eastAsia" w:ascii="宋体" w:hAnsi="宋体"/>
                <w:color w:val="auto"/>
                <w:sz w:val="22"/>
                <w:szCs w:val="22"/>
                <w:highlight w:val="none"/>
              </w:rPr>
              <w:t>须提供开标日期前两年由</w:t>
            </w:r>
            <w:r>
              <w:rPr>
                <w:rFonts w:hint="eastAsia" w:ascii="宋体" w:hAnsi="宋体" w:cs="宋体"/>
                <w:color w:val="auto"/>
                <w:sz w:val="22"/>
                <w:szCs w:val="22"/>
                <w:highlight w:val="none"/>
              </w:rPr>
              <w:t>“通过国家认证认可监督管理委员会资质审批的检验检测机构”出具的本投标产品的检测报告</w:t>
            </w:r>
          </w:p>
          <w:p>
            <w:pPr>
              <w:jc w:val="left"/>
              <w:rPr>
                <w:rFonts w:hint="eastAsia" w:ascii="宋体" w:hAnsi="宋体" w:cs="宋体"/>
                <w:color w:val="auto"/>
                <w:sz w:val="22"/>
                <w:szCs w:val="22"/>
                <w:highlight w:val="none"/>
              </w:rPr>
            </w:pPr>
            <w:r>
              <w:rPr>
                <w:rFonts w:hint="eastAsia" w:ascii="宋体" w:hAnsi="宋体" w:cs="宋体"/>
                <w:color w:val="auto"/>
                <w:kern w:val="0"/>
                <w:sz w:val="22"/>
                <w:szCs w:val="22"/>
                <w:highlight w:val="none"/>
              </w:rPr>
              <w:t>▲1</w:t>
            </w:r>
            <w:r>
              <w:rPr>
                <w:rFonts w:ascii="宋体" w:hAnsi="宋体" w:cs="宋体"/>
                <w:color w:val="auto"/>
                <w:kern w:val="0"/>
                <w:sz w:val="22"/>
                <w:szCs w:val="22"/>
                <w:highlight w:val="none"/>
              </w:rPr>
              <w:t>7</w:t>
            </w:r>
            <w:r>
              <w:rPr>
                <w:rFonts w:hint="eastAsia" w:ascii="宋体" w:hAnsi="宋体" w:cs="宋体"/>
                <w:color w:val="auto"/>
                <w:kern w:val="0"/>
                <w:sz w:val="22"/>
                <w:szCs w:val="22"/>
                <w:highlight w:val="none"/>
              </w:rPr>
              <w:t>、投标现场提供样品；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kern w:val="0"/>
                <w:sz w:val="22"/>
                <w:szCs w:val="22"/>
                <w:highlight w:val="none"/>
                <w:lang w:eastAsia="zh-CN"/>
              </w:rPr>
            </w:pPr>
            <w:r>
              <w:rPr>
                <w:rFonts w:ascii="宋体" w:hAnsi="宋体"/>
                <w:color w:val="auto"/>
                <w:sz w:val="22"/>
                <w:szCs w:val="22"/>
                <w:highlight w:val="none"/>
              </w:rPr>
              <w:t>4</w:t>
            </w:r>
            <w:r>
              <w:rPr>
                <w:rFonts w:hint="eastAsia" w:ascii="宋体" w:hAnsi="宋体"/>
                <w:color w:val="auto"/>
                <w:sz w:val="22"/>
                <w:szCs w:val="22"/>
                <w:highlight w:val="none"/>
                <w:lang w:val="en-US" w:eastAsia="zh-CN"/>
              </w:rPr>
              <w:t>8</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荧光浮力绳</w:t>
            </w:r>
          </w:p>
        </w:tc>
        <w:tc>
          <w:tcPr>
            <w:tcW w:w="1459" w:type="pct"/>
            <w:noWrap w:val="0"/>
            <w:vAlign w:val="center"/>
          </w:tcPr>
          <w:p>
            <w:pPr>
              <w:widowControl/>
              <w:jc w:val="center"/>
              <w:rPr>
                <w:rFonts w:ascii="宋体" w:hAnsi="宋体" w:cs="宋体"/>
                <w:color w:val="auto"/>
                <w:kern w:val="0"/>
                <w:sz w:val="22"/>
                <w:szCs w:val="22"/>
                <w:highlight w:val="none"/>
              </w:rPr>
            </w:pPr>
            <w:r>
              <w:rPr>
                <w:rFonts w:ascii="宋体" w:hAnsi="宋体" w:cs="宋体"/>
                <w:color w:val="auto"/>
                <w:kern w:val="0"/>
                <w:sz w:val="22"/>
                <w:szCs w:val="22"/>
                <w:highlight w:val="none"/>
              </w:rPr>
              <w:drawing>
                <wp:inline distT="0" distB="0" distL="114300" distR="114300">
                  <wp:extent cx="1080770" cy="1106170"/>
                  <wp:effectExtent l="0" t="0" r="5080" b="17780"/>
                  <wp:docPr id="5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9"/>
                          <pic:cNvPicPr>
                            <a:picLocks noChangeAspect="1"/>
                          </pic:cNvPicPr>
                        </pic:nvPicPr>
                        <pic:blipFill>
                          <a:blip r:embed="rId60"/>
                          <a:stretch>
                            <a:fillRect/>
                          </a:stretch>
                        </pic:blipFill>
                        <pic:spPr>
                          <a:xfrm>
                            <a:off x="0" y="0"/>
                            <a:ext cx="1080770" cy="1106170"/>
                          </a:xfrm>
                          <a:prstGeom prst="rect">
                            <a:avLst/>
                          </a:prstGeom>
                          <a:noFill/>
                          <a:ln>
                            <a:noFill/>
                          </a:ln>
                        </pic:spPr>
                      </pic:pic>
                    </a:graphicData>
                  </a:graphic>
                </wp:inline>
              </w:drawing>
            </w:r>
          </w:p>
        </w:tc>
        <w:tc>
          <w:tcPr>
            <w:tcW w:w="2847" w:type="pct"/>
            <w:noWrap w:val="0"/>
            <w:vAlign w:val="center"/>
          </w:tcPr>
          <w:p>
            <w:pPr>
              <w:rPr>
                <w:rFonts w:hint="eastAsia" w:ascii="宋体" w:hAnsi="宋体"/>
                <w:color w:val="auto"/>
                <w:sz w:val="22"/>
                <w:szCs w:val="22"/>
                <w:highlight w:val="none"/>
              </w:rPr>
            </w:pPr>
            <w:r>
              <w:rPr>
                <w:rFonts w:hint="eastAsia" w:ascii="宋体" w:hAnsi="宋体"/>
                <w:color w:val="auto"/>
                <w:sz w:val="22"/>
                <w:szCs w:val="22"/>
                <w:highlight w:val="none"/>
              </w:rPr>
              <w:t>1、长度：≥30m</w:t>
            </w:r>
          </w:p>
          <w:p>
            <w:pPr>
              <w:rPr>
                <w:rFonts w:hint="eastAsia" w:ascii="宋体" w:hAnsi="宋体"/>
                <w:color w:val="auto"/>
                <w:sz w:val="22"/>
                <w:szCs w:val="22"/>
                <w:highlight w:val="none"/>
              </w:rPr>
            </w:pPr>
            <w:r>
              <w:rPr>
                <w:rFonts w:hint="eastAsia" w:ascii="宋体" w:hAnsi="宋体"/>
                <w:color w:val="auto"/>
                <w:sz w:val="22"/>
                <w:szCs w:val="22"/>
                <w:highlight w:val="none"/>
              </w:rPr>
              <w:t>2、直径：8mm（±1mm）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49</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训练假人</w:t>
            </w:r>
          </w:p>
        </w:tc>
        <w:tc>
          <w:tcPr>
            <w:tcW w:w="1459" w:type="pct"/>
            <w:noWrap w:val="0"/>
            <w:vAlign w:val="center"/>
          </w:tcPr>
          <w:p>
            <w:pPr>
              <w:widowControl/>
              <w:jc w:val="center"/>
              <w:rPr>
                <w:rFonts w:ascii="宋体" w:hAnsi="宋体" w:cs="宋体"/>
                <w:color w:val="auto"/>
                <w:kern w:val="0"/>
                <w:sz w:val="22"/>
                <w:szCs w:val="22"/>
                <w:highlight w:val="none"/>
              </w:rPr>
            </w:pPr>
            <w:r>
              <w:rPr>
                <w:color w:val="auto"/>
                <w:sz w:val="22"/>
                <w:szCs w:val="22"/>
                <w:highlight w:val="none"/>
              </w:rPr>
              <w:drawing>
                <wp:inline distT="0" distB="0" distL="114300" distR="114300">
                  <wp:extent cx="461010" cy="1253490"/>
                  <wp:effectExtent l="0" t="0" r="15240" b="3810"/>
                  <wp:docPr id="5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0"/>
                          <pic:cNvPicPr>
                            <a:picLocks noChangeAspect="1"/>
                          </pic:cNvPicPr>
                        </pic:nvPicPr>
                        <pic:blipFill>
                          <a:blip r:embed="rId61"/>
                          <a:stretch>
                            <a:fillRect/>
                          </a:stretch>
                        </pic:blipFill>
                        <pic:spPr>
                          <a:xfrm>
                            <a:off x="0" y="0"/>
                            <a:ext cx="461010" cy="1253490"/>
                          </a:xfrm>
                          <a:prstGeom prst="rect">
                            <a:avLst/>
                          </a:prstGeom>
                          <a:noFill/>
                          <a:ln>
                            <a:noFill/>
                          </a:ln>
                        </pic:spPr>
                      </pic:pic>
                    </a:graphicData>
                  </a:graphic>
                </wp:inline>
              </w:drawing>
            </w:r>
          </w:p>
        </w:tc>
        <w:tc>
          <w:tcPr>
            <w:tcW w:w="2847" w:type="pct"/>
            <w:noWrap w:val="0"/>
            <w:vAlign w:val="center"/>
          </w:tcPr>
          <w:p>
            <w:pPr>
              <w:rPr>
                <w:color w:val="auto"/>
                <w:sz w:val="22"/>
                <w:szCs w:val="22"/>
                <w:highlight w:val="none"/>
              </w:rPr>
            </w:pPr>
            <w:r>
              <w:rPr>
                <w:rFonts w:hint="eastAsia"/>
                <w:color w:val="auto"/>
                <w:sz w:val="22"/>
                <w:szCs w:val="22"/>
                <w:highlight w:val="none"/>
              </w:rPr>
              <w:t>1、材质：防暴皮革</w:t>
            </w:r>
          </w:p>
          <w:p>
            <w:pPr>
              <w:rPr>
                <w:color w:val="auto"/>
                <w:sz w:val="22"/>
                <w:szCs w:val="22"/>
                <w:highlight w:val="none"/>
              </w:rPr>
            </w:pPr>
            <w:r>
              <w:rPr>
                <w:rFonts w:hint="eastAsia"/>
                <w:color w:val="auto"/>
                <w:sz w:val="22"/>
                <w:szCs w:val="22"/>
                <w:highlight w:val="none"/>
              </w:rPr>
              <w:t>2、重量：60kg</w:t>
            </w:r>
          </w:p>
          <w:p>
            <w:pPr>
              <w:rPr>
                <w:rFonts w:hint="eastAsia" w:ascii="宋体" w:hAnsi="宋体"/>
                <w:color w:val="auto"/>
                <w:sz w:val="22"/>
                <w:szCs w:val="22"/>
                <w:highlight w:val="none"/>
              </w:rPr>
            </w:pPr>
            <w:r>
              <w:rPr>
                <w:rFonts w:hint="eastAsia"/>
                <w:color w:val="auto"/>
                <w:sz w:val="22"/>
                <w:szCs w:val="22"/>
                <w:highlight w:val="none"/>
              </w:rPr>
              <w:t>3、高度：175cm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5</w:t>
            </w:r>
            <w:r>
              <w:rPr>
                <w:rFonts w:hint="eastAsia" w:ascii="宋体" w:hAnsi="宋体"/>
                <w:color w:val="auto"/>
                <w:sz w:val="22"/>
                <w:szCs w:val="22"/>
                <w:highlight w:val="none"/>
                <w:lang w:val="en-US" w:eastAsia="zh-CN"/>
              </w:rPr>
              <w:t>0</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软式担架</w:t>
            </w:r>
          </w:p>
        </w:tc>
        <w:tc>
          <w:tcPr>
            <w:tcW w:w="1459" w:type="pct"/>
            <w:noWrap w:val="0"/>
            <w:vAlign w:val="center"/>
          </w:tcPr>
          <w:p>
            <w:pPr>
              <w:widowControl/>
              <w:jc w:val="center"/>
              <w:rPr>
                <w:rFonts w:ascii="宋体" w:hAnsi="宋体" w:cs="宋体"/>
                <w:color w:val="auto"/>
                <w:kern w:val="0"/>
                <w:sz w:val="22"/>
                <w:szCs w:val="22"/>
                <w:highlight w:val="none"/>
              </w:rPr>
            </w:pPr>
            <w:r>
              <w:rPr>
                <w:rFonts w:ascii="宋体" w:hAnsi="宋体" w:cs="宋体"/>
                <w:color w:val="auto"/>
                <w:kern w:val="0"/>
                <w:sz w:val="22"/>
                <w:szCs w:val="22"/>
                <w:highlight w:val="none"/>
              </w:rPr>
              <w:drawing>
                <wp:inline distT="0" distB="0" distL="114300" distR="114300">
                  <wp:extent cx="1663065" cy="1056005"/>
                  <wp:effectExtent l="0" t="0" r="13335" b="1079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2"/>
                          <a:stretch>
                            <a:fillRect/>
                          </a:stretch>
                        </pic:blipFill>
                        <pic:spPr>
                          <a:xfrm>
                            <a:off x="0" y="0"/>
                            <a:ext cx="1663065" cy="1056005"/>
                          </a:xfrm>
                          <a:prstGeom prst="rect">
                            <a:avLst/>
                          </a:prstGeom>
                          <a:noFill/>
                          <a:ln>
                            <a:noFill/>
                          </a:ln>
                        </pic:spPr>
                      </pic:pic>
                    </a:graphicData>
                  </a:graphic>
                </wp:inline>
              </w:drawing>
            </w:r>
          </w:p>
        </w:tc>
        <w:tc>
          <w:tcPr>
            <w:tcW w:w="2847" w:type="pct"/>
            <w:noWrap w:val="0"/>
            <w:vAlign w:val="center"/>
          </w:tcPr>
          <w:p>
            <w:pPr>
              <w:rPr>
                <w:rFonts w:hint="eastAsia" w:ascii="宋体" w:hAnsi="宋体"/>
                <w:color w:val="auto"/>
                <w:sz w:val="22"/>
                <w:szCs w:val="22"/>
                <w:highlight w:val="none"/>
              </w:rPr>
            </w:pPr>
            <w:r>
              <w:rPr>
                <w:rFonts w:hint="eastAsia" w:ascii="宋体" w:hAnsi="宋体"/>
                <w:color w:val="auto"/>
                <w:sz w:val="22"/>
                <w:szCs w:val="22"/>
                <w:highlight w:val="none"/>
              </w:rPr>
              <w:t>1、展开尺寸：205*70cm（±5cm）</w:t>
            </w:r>
          </w:p>
          <w:p>
            <w:pPr>
              <w:rPr>
                <w:rFonts w:hint="eastAsia" w:ascii="宋体" w:hAnsi="宋体"/>
                <w:color w:val="auto"/>
                <w:sz w:val="22"/>
                <w:szCs w:val="22"/>
                <w:highlight w:val="none"/>
              </w:rPr>
            </w:pPr>
            <w:r>
              <w:rPr>
                <w:rFonts w:hint="eastAsia" w:ascii="宋体" w:hAnsi="宋体"/>
                <w:color w:val="auto"/>
                <w:sz w:val="22"/>
                <w:szCs w:val="22"/>
                <w:highlight w:val="none"/>
              </w:rPr>
              <w:t>2、折叠尺寸：88*24cm（±5cm）</w:t>
            </w:r>
          </w:p>
          <w:p>
            <w:pPr>
              <w:rPr>
                <w:rFonts w:hint="eastAsia" w:ascii="宋体" w:hAnsi="宋体"/>
                <w:color w:val="auto"/>
                <w:sz w:val="22"/>
                <w:szCs w:val="22"/>
                <w:highlight w:val="none"/>
              </w:rPr>
            </w:pPr>
            <w:r>
              <w:rPr>
                <w:rFonts w:hint="eastAsia" w:ascii="宋体" w:hAnsi="宋体"/>
                <w:color w:val="auto"/>
                <w:sz w:val="22"/>
                <w:szCs w:val="22"/>
                <w:highlight w:val="none"/>
              </w:rPr>
              <w:t>3、承重：≤159kg</w:t>
            </w:r>
          </w:p>
          <w:p>
            <w:pPr>
              <w:rPr>
                <w:rFonts w:hint="eastAsia" w:ascii="宋体" w:hAnsi="宋体"/>
                <w:color w:val="auto"/>
                <w:sz w:val="22"/>
                <w:szCs w:val="22"/>
                <w:highlight w:val="none"/>
              </w:rPr>
            </w:pPr>
            <w:r>
              <w:rPr>
                <w:rFonts w:hint="eastAsia" w:ascii="宋体" w:hAnsi="宋体"/>
                <w:color w:val="auto"/>
                <w:sz w:val="22"/>
                <w:szCs w:val="22"/>
                <w:highlight w:val="none"/>
              </w:rPr>
              <w:t>4、净重：≥2.9kg</w:t>
            </w:r>
          </w:p>
          <w:p>
            <w:pPr>
              <w:rPr>
                <w:rFonts w:hint="eastAsia" w:ascii="宋体" w:hAnsi="宋体"/>
                <w:color w:val="auto"/>
                <w:sz w:val="22"/>
                <w:szCs w:val="22"/>
                <w:highlight w:val="none"/>
              </w:rPr>
            </w:pPr>
            <w:r>
              <w:rPr>
                <w:rFonts w:hint="eastAsia" w:ascii="宋体" w:hAnsi="宋体"/>
                <w:color w:val="auto"/>
                <w:sz w:val="22"/>
                <w:szCs w:val="22"/>
                <w:highlight w:val="none"/>
              </w:rPr>
              <w:t>5、材质：尼龙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5</w:t>
            </w:r>
            <w:r>
              <w:rPr>
                <w:rFonts w:hint="eastAsia" w:ascii="宋体" w:hAnsi="宋体"/>
                <w:color w:val="auto"/>
                <w:sz w:val="22"/>
                <w:szCs w:val="22"/>
                <w:highlight w:val="none"/>
                <w:lang w:val="en-US" w:eastAsia="zh-CN"/>
              </w:rPr>
              <w:t>1</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激流救生衣</w:t>
            </w:r>
          </w:p>
        </w:tc>
        <w:tc>
          <w:tcPr>
            <w:tcW w:w="1459" w:type="pct"/>
            <w:noWrap w:val="0"/>
            <w:vAlign w:val="center"/>
          </w:tcPr>
          <w:p>
            <w:pPr>
              <w:widowControl/>
              <w:jc w:val="center"/>
              <w:rPr>
                <w:rFonts w:ascii="宋体" w:hAnsi="宋体" w:cs="宋体"/>
                <w:color w:val="auto"/>
                <w:kern w:val="0"/>
                <w:sz w:val="22"/>
                <w:szCs w:val="22"/>
                <w:highlight w:val="none"/>
              </w:rPr>
            </w:pPr>
            <w:r>
              <w:rPr>
                <w:rFonts w:ascii="宋体" w:hAnsi="宋体" w:cs="宋体"/>
                <w:color w:val="auto"/>
                <w:kern w:val="0"/>
                <w:sz w:val="22"/>
                <w:szCs w:val="22"/>
                <w:highlight w:val="none"/>
              </w:rPr>
              <w:drawing>
                <wp:inline distT="0" distB="0" distL="114300" distR="114300">
                  <wp:extent cx="1342390" cy="1791970"/>
                  <wp:effectExtent l="0" t="0" r="10160" b="17780"/>
                  <wp:docPr id="32" name="图片 52" descr="f5f1238c7214bad1feae3917a050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2" descr="f5f1238c7214bad1feae3917a0507ee"/>
                          <pic:cNvPicPr>
                            <a:picLocks noChangeAspect="1"/>
                          </pic:cNvPicPr>
                        </pic:nvPicPr>
                        <pic:blipFill>
                          <a:blip r:embed="rId63"/>
                          <a:stretch>
                            <a:fillRect/>
                          </a:stretch>
                        </pic:blipFill>
                        <pic:spPr>
                          <a:xfrm>
                            <a:off x="0" y="0"/>
                            <a:ext cx="1342390" cy="1791970"/>
                          </a:xfrm>
                          <a:prstGeom prst="rect">
                            <a:avLst/>
                          </a:prstGeom>
                          <a:noFill/>
                          <a:ln>
                            <a:noFill/>
                          </a:ln>
                        </pic:spPr>
                      </pic:pic>
                    </a:graphicData>
                  </a:graphic>
                </wp:inline>
              </w:drawing>
            </w:r>
          </w:p>
        </w:tc>
        <w:tc>
          <w:tcPr>
            <w:tcW w:w="2847" w:type="pct"/>
            <w:noWrap w:val="0"/>
            <w:vAlign w:val="center"/>
          </w:tcPr>
          <w:p>
            <w:pPr>
              <w:rPr>
                <w:rFonts w:hint="eastAsia" w:ascii="宋体" w:hAnsi="宋体"/>
                <w:color w:val="auto"/>
                <w:sz w:val="22"/>
                <w:szCs w:val="22"/>
                <w:highlight w:val="none"/>
              </w:rPr>
            </w:pPr>
            <w:r>
              <w:rPr>
                <w:rFonts w:hint="eastAsia" w:ascii="宋体" w:hAnsi="宋体"/>
                <w:color w:val="auto"/>
                <w:sz w:val="22"/>
                <w:szCs w:val="22"/>
                <w:highlight w:val="none"/>
              </w:rPr>
              <w:t>1、材质采用210D 加厚牛津布，优质防水面料，内层设有防水涂层，特点是触感顺滑、抗撕裂性强，吸水少，浮力大；</w:t>
            </w:r>
          </w:p>
          <w:p>
            <w:pPr>
              <w:rPr>
                <w:rFonts w:hint="eastAsia" w:ascii="宋体" w:hAnsi="宋体"/>
                <w:color w:val="auto"/>
                <w:sz w:val="22"/>
                <w:szCs w:val="22"/>
                <w:highlight w:val="none"/>
              </w:rPr>
            </w:pPr>
            <w:r>
              <w:rPr>
                <w:rFonts w:hint="eastAsia" w:ascii="宋体" w:hAnsi="宋体"/>
                <w:color w:val="auto"/>
                <w:sz w:val="22"/>
                <w:szCs w:val="22"/>
                <w:highlight w:val="none"/>
              </w:rPr>
              <w:t>2、填充材质：高浮泡沫，最大承重≥100KG；</w:t>
            </w:r>
          </w:p>
          <w:p>
            <w:pPr>
              <w:rPr>
                <w:rFonts w:hint="eastAsia" w:ascii="宋体" w:hAnsi="宋体"/>
                <w:color w:val="auto"/>
                <w:sz w:val="22"/>
                <w:szCs w:val="22"/>
                <w:highlight w:val="none"/>
              </w:rPr>
            </w:pPr>
            <w:r>
              <w:rPr>
                <w:rFonts w:hint="eastAsia" w:ascii="宋体" w:hAnsi="宋体"/>
                <w:color w:val="auto"/>
                <w:sz w:val="22"/>
                <w:szCs w:val="22"/>
                <w:highlight w:val="none"/>
              </w:rPr>
              <w:t>3、采用3排加强型卡扣，宽度4-5cm，子母扣设计：插扣采用3排全新POM材料可调长短，适合多种身型调节松紧，使衣服贴合身体；</w:t>
            </w:r>
          </w:p>
          <w:p>
            <w:pPr>
              <w:rPr>
                <w:rFonts w:hint="eastAsia" w:ascii="宋体" w:hAnsi="宋体"/>
                <w:color w:val="auto"/>
                <w:sz w:val="22"/>
                <w:szCs w:val="22"/>
                <w:highlight w:val="none"/>
              </w:rPr>
            </w:pPr>
            <w:r>
              <w:rPr>
                <w:rFonts w:hint="eastAsia" w:ascii="宋体" w:hAnsi="宋体"/>
                <w:color w:val="auto"/>
                <w:sz w:val="22"/>
                <w:szCs w:val="22"/>
                <w:highlight w:val="none"/>
              </w:rPr>
              <w:t>4、额外增加下摆安全跨带，下摆跨带可以使衣服在水中不会脱落，上浮。双重设计保障水中安全。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5</w:t>
            </w:r>
            <w:r>
              <w:rPr>
                <w:rFonts w:hint="eastAsia" w:ascii="宋体" w:hAnsi="宋体"/>
                <w:color w:val="auto"/>
                <w:sz w:val="22"/>
                <w:szCs w:val="22"/>
                <w:highlight w:val="none"/>
                <w:lang w:val="en-US" w:eastAsia="zh-CN"/>
              </w:rPr>
              <w:t>2</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冲锋枪绳(黑鹰)</w:t>
            </w:r>
          </w:p>
        </w:tc>
        <w:tc>
          <w:tcPr>
            <w:tcW w:w="1459" w:type="pct"/>
            <w:noWrap w:val="0"/>
            <w:vAlign w:val="center"/>
          </w:tcPr>
          <w:p>
            <w:pPr>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216025" cy="1381125"/>
                  <wp:effectExtent l="0" t="0" r="3175" b="9525"/>
                  <wp:docPr id="5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3"/>
                          <pic:cNvPicPr>
                            <a:picLocks noChangeAspect="1"/>
                          </pic:cNvPicPr>
                        </pic:nvPicPr>
                        <pic:blipFill>
                          <a:blip r:embed="rId64"/>
                          <a:srcRect l="34021"/>
                          <a:stretch>
                            <a:fillRect/>
                          </a:stretch>
                        </pic:blipFill>
                        <pic:spPr>
                          <a:xfrm>
                            <a:off x="0" y="0"/>
                            <a:ext cx="1216025" cy="1381125"/>
                          </a:xfrm>
                          <a:prstGeom prst="rect">
                            <a:avLst/>
                          </a:prstGeom>
                          <a:noFill/>
                          <a:ln>
                            <a:noFill/>
                          </a:ln>
                        </pic:spPr>
                      </pic:pic>
                    </a:graphicData>
                  </a:graphic>
                </wp:inline>
              </w:drawing>
            </w:r>
          </w:p>
        </w:tc>
        <w:tc>
          <w:tcPr>
            <w:tcW w:w="2847" w:type="pct"/>
            <w:noWrap w:val="0"/>
            <w:vAlign w:val="center"/>
          </w:tcPr>
          <w:p>
            <w:pPr>
              <w:pStyle w:val="202"/>
              <w:rPr>
                <w:rFonts w:ascii="宋体" w:hAnsi="宋体" w:cs="宋体"/>
                <w:color w:val="auto"/>
                <w:sz w:val="22"/>
                <w:szCs w:val="22"/>
                <w:highlight w:val="none"/>
              </w:rPr>
            </w:pPr>
            <w:r>
              <w:rPr>
                <w:rFonts w:hint="eastAsia" w:ascii="宋体" w:hAnsi="宋体" w:cs="宋体"/>
                <w:color w:val="auto"/>
                <w:sz w:val="22"/>
                <w:szCs w:val="22"/>
                <w:highlight w:val="none"/>
              </w:rPr>
              <w:t>1. 枪绳为弹性手枪枪绳；PU塑胶加钢丝股芯，钢丝数48根；</w:t>
            </w:r>
            <w:r>
              <w:rPr>
                <w:rFonts w:hint="eastAsia" w:ascii="宋体" w:hAnsi="宋体" w:cs="宋体"/>
                <w:bCs/>
                <w:color w:val="auto"/>
                <w:sz w:val="22"/>
                <w:szCs w:val="22"/>
                <w:highlight w:val="none"/>
              </w:rPr>
              <w:t>枪扣：为电昹珠旦钢扣。</w:t>
            </w:r>
            <w:r>
              <w:rPr>
                <w:rFonts w:hint="eastAsia" w:ascii="宋体" w:hAnsi="宋体" w:cs="宋体"/>
                <w:color w:val="auto"/>
                <w:sz w:val="22"/>
                <w:szCs w:val="22"/>
                <w:highlight w:val="none"/>
              </w:rPr>
              <w:t>弹性手枪枪绳可伸缩，不用枪时枪绳收缩不影响自然动作，出枪时枪绳伸长保证枪不离身和不影响持枪战术动作，48根钢丝股芯和连接枪把的</w:t>
            </w:r>
            <w:r>
              <w:rPr>
                <w:rFonts w:hint="eastAsia" w:ascii="宋体" w:hAnsi="宋体" w:cs="宋体"/>
                <w:bCs/>
                <w:color w:val="auto"/>
                <w:sz w:val="22"/>
                <w:szCs w:val="22"/>
                <w:highlight w:val="none"/>
              </w:rPr>
              <w:t>珠旦钢扣，有效</w:t>
            </w:r>
            <w:r>
              <w:rPr>
                <w:rFonts w:hint="eastAsia" w:ascii="宋体" w:hAnsi="宋体" w:cs="宋体"/>
                <w:color w:val="auto"/>
                <w:sz w:val="22"/>
                <w:szCs w:val="22"/>
                <w:highlight w:val="none"/>
              </w:rPr>
              <w:t>防患跌失抢夺。本型枪绳已被欧洲澳洲警察广泛使用。</w:t>
            </w:r>
          </w:p>
          <w:p>
            <w:pPr>
              <w:pStyle w:val="202"/>
              <w:rPr>
                <w:rFonts w:ascii="宋体" w:hAnsi="宋体" w:cs="宋体"/>
                <w:color w:val="auto"/>
                <w:sz w:val="22"/>
                <w:szCs w:val="22"/>
                <w:highlight w:val="none"/>
              </w:rPr>
            </w:pPr>
            <w:r>
              <w:rPr>
                <w:rFonts w:hint="eastAsia" w:ascii="宋体" w:hAnsi="宋体" w:cs="宋体"/>
                <w:color w:val="auto"/>
                <w:sz w:val="22"/>
                <w:szCs w:val="22"/>
                <w:highlight w:val="none"/>
              </w:rPr>
              <w:t>2. 直径3mm 、环径16mm；收缩圈长度140mm；80拉直长度：1700mm 。</w:t>
            </w:r>
          </w:p>
          <w:p>
            <w:pPr>
              <w:pStyle w:val="202"/>
              <w:rPr>
                <w:rFonts w:ascii="宋体" w:hAnsi="宋体" w:cs="宋体"/>
                <w:color w:val="auto"/>
                <w:sz w:val="22"/>
                <w:szCs w:val="22"/>
                <w:highlight w:val="none"/>
              </w:rPr>
            </w:pPr>
            <w:r>
              <w:rPr>
                <w:rFonts w:hint="eastAsia" w:ascii="宋体" w:hAnsi="宋体" w:cs="宋体"/>
                <w:color w:val="auto"/>
                <w:sz w:val="22"/>
                <w:szCs w:val="22"/>
                <w:highlight w:val="none"/>
              </w:rPr>
              <w:t>3. 拉力：≥30公斤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5</w:t>
            </w:r>
            <w:r>
              <w:rPr>
                <w:rFonts w:hint="eastAsia" w:ascii="宋体" w:hAnsi="宋体"/>
                <w:color w:val="auto"/>
                <w:sz w:val="22"/>
                <w:szCs w:val="22"/>
                <w:highlight w:val="none"/>
                <w:lang w:val="en-US" w:eastAsia="zh-CN"/>
              </w:rPr>
              <w:t>3</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突击队防弹面罩</w:t>
            </w:r>
          </w:p>
        </w:tc>
        <w:tc>
          <w:tcPr>
            <w:tcW w:w="1459" w:type="pct"/>
            <w:noWrap w:val="0"/>
            <w:vAlign w:val="center"/>
          </w:tcPr>
          <w:p>
            <w:pPr>
              <w:spacing w:line="360" w:lineRule="auto"/>
              <w:jc w:val="center"/>
              <w:rPr>
                <w:rFonts w:hint="eastAsia" w:ascii="宋体" w:hAnsi="宋体" w:cs="宋体"/>
                <w:b/>
                <w:bCs/>
                <w:color w:val="auto"/>
                <w:sz w:val="22"/>
                <w:szCs w:val="22"/>
                <w:highlight w:val="none"/>
              </w:rPr>
            </w:pPr>
            <w:r>
              <w:rPr>
                <w:rFonts w:ascii="宋体" w:hAnsi="宋体" w:cs="宋体"/>
                <w:b/>
                <w:color w:val="auto"/>
                <w:sz w:val="22"/>
                <w:szCs w:val="22"/>
                <w:highlight w:val="none"/>
              </w:rPr>
              <w:drawing>
                <wp:inline distT="0" distB="0" distL="114300" distR="114300">
                  <wp:extent cx="1399540" cy="976630"/>
                  <wp:effectExtent l="0" t="0" r="10160" b="13970"/>
                  <wp:docPr id="33" name="图片 54" descr="C@}KVRH76}9CZFJ2~H~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4" descr="C@}KVRH76}9CZFJ2~H~P}~U"/>
                          <pic:cNvPicPr>
                            <a:picLocks noChangeAspect="1"/>
                          </pic:cNvPicPr>
                        </pic:nvPicPr>
                        <pic:blipFill>
                          <a:blip r:embed="rId65"/>
                          <a:srcRect l="4880" t="6587" r="25229" b="11107"/>
                          <a:stretch>
                            <a:fillRect/>
                          </a:stretch>
                        </pic:blipFill>
                        <pic:spPr>
                          <a:xfrm>
                            <a:off x="0" y="0"/>
                            <a:ext cx="1399540" cy="976630"/>
                          </a:xfrm>
                          <a:prstGeom prst="rect">
                            <a:avLst/>
                          </a:prstGeom>
                          <a:noFill/>
                          <a:ln>
                            <a:noFill/>
                          </a:ln>
                        </pic:spPr>
                      </pic:pic>
                    </a:graphicData>
                  </a:graphic>
                </wp:inline>
              </w:drawing>
            </w:r>
          </w:p>
        </w:tc>
        <w:tc>
          <w:tcPr>
            <w:tcW w:w="2847" w:type="pct"/>
            <w:noWrap w:val="0"/>
            <w:vAlign w:val="center"/>
          </w:tcPr>
          <w:p>
            <w:pPr>
              <w:pStyle w:val="202"/>
              <w:numPr>
                <w:ilvl w:val="0"/>
                <w:numId w:val="48"/>
              </w:numPr>
              <w:ind w:left="425" w:leftChars="0" w:hanging="425"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材料：PC  </w:t>
            </w:r>
          </w:p>
          <w:p>
            <w:pPr>
              <w:pStyle w:val="202"/>
              <w:numPr>
                <w:ilvl w:val="0"/>
                <w:numId w:val="48"/>
              </w:numPr>
              <w:ind w:left="425" w:leftChars="0" w:hanging="425"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防弹面罩由透明面板和连接锁紧装置组成、透明面板结构由弹击面开始依次为为 1mm厚PC+1.25mm厚PU+10mm厚亚克力板+1.25厚PU+8mm厚PC               </w:t>
            </w:r>
          </w:p>
          <w:p>
            <w:pPr>
              <w:pStyle w:val="202"/>
              <w:numPr>
                <w:ilvl w:val="0"/>
                <w:numId w:val="48"/>
              </w:numPr>
              <w:ind w:left="425" w:leftChars="0" w:hanging="425"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防弹等级：2级 </w:t>
            </w:r>
          </w:p>
          <w:p>
            <w:pPr>
              <w:pStyle w:val="202"/>
              <w:numPr>
                <w:ilvl w:val="0"/>
                <w:numId w:val="48"/>
              </w:numPr>
              <w:ind w:left="425" w:leftChars="0" w:hanging="425"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透明面板的高度H应大于等于143mm，圆弧长度L应大于等于333mm               </w:t>
            </w:r>
          </w:p>
          <w:p>
            <w:pPr>
              <w:pStyle w:val="202"/>
              <w:numPr>
                <w:ilvl w:val="0"/>
                <w:numId w:val="48"/>
              </w:numPr>
              <w:ind w:left="425" w:leftChars="0" w:hanging="425"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透明面板内表面不应结雾</w:t>
            </w:r>
          </w:p>
          <w:p>
            <w:pPr>
              <w:pStyle w:val="202"/>
              <w:numPr>
                <w:ilvl w:val="0"/>
                <w:numId w:val="48"/>
              </w:numPr>
              <w:ind w:left="425" w:leftChars="0" w:hanging="425"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透光率≥83%</w:t>
            </w:r>
          </w:p>
          <w:p>
            <w:pPr>
              <w:pStyle w:val="202"/>
              <w:numPr>
                <w:ilvl w:val="0"/>
                <w:numId w:val="48"/>
              </w:numPr>
              <w:ind w:left="425" w:leftChars="0" w:hanging="425"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透明面板光畸变量应小于等于6″</w:t>
            </w:r>
          </w:p>
          <w:p>
            <w:pPr>
              <w:pStyle w:val="202"/>
              <w:numPr>
                <w:ilvl w:val="0"/>
                <w:numId w:val="48"/>
              </w:numPr>
              <w:ind w:left="425" w:leftChars="0" w:hanging="425"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防弹面罩中的透明面板及连接锁紧装置的续然时间应小于等于5S</w:t>
            </w:r>
          </w:p>
          <w:p>
            <w:pPr>
              <w:pStyle w:val="202"/>
              <w:numPr>
                <w:ilvl w:val="0"/>
                <w:numId w:val="48"/>
              </w:numPr>
              <w:ind w:left="425" w:leftChars="0" w:hanging="425"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防弹性能：防1954年式7.62mm手枪，1951年式7.62手枪弹（铅芯）           </w:t>
            </w:r>
          </w:p>
          <w:p>
            <w:pPr>
              <w:pStyle w:val="202"/>
              <w:numPr>
                <w:ilvl w:val="0"/>
                <w:numId w:val="48"/>
              </w:numPr>
              <w:ind w:left="425" w:leftChars="0" w:hanging="425"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重量≤1.46kg  </w:t>
            </w:r>
          </w:p>
          <w:p>
            <w:pPr>
              <w:pStyle w:val="202"/>
              <w:numPr>
                <w:ilvl w:val="0"/>
                <w:numId w:val="48"/>
              </w:numPr>
              <w:ind w:left="425" w:leftChars="0" w:hanging="425"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执行标准：GA293-2012《警用防弹头盔及面罩》</w:t>
            </w:r>
          </w:p>
          <w:p>
            <w:pPr>
              <w:pStyle w:val="202"/>
              <w:numPr>
                <w:ilvl w:val="0"/>
                <w:numId w:val="48"/>
              </w:numPr>
              <w:ind w:left="425" w:leftChars="0" w:hanging="425"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▲提供公安部特种警用装备质量检测中心出具的检测报告复印件</w:t>
            </w:r>
          </w:p>
          <w:p>
            <w:pPr>
              <w:pStyle w:val="202"/>
              <w:numPr>
                <w:ilvl w:val="0"/>
                <w:numId w:val="48"/>
              </w:numPr>
              <w:ind w:left="425" w:leftChars="0" w:hanging="425" w:firstLineChars="0"/>
              <w:rPr>
                <w:rFonts w:hint="eastAsia" w:ascii="宋体" w:hAnsi="宋体" w:cs="宋体"/>
                <w:color w:val="auto"/>
                <w:sz w:val="22"/>
                <w:szCs w:val="22"/>
                <w:highlight w:val="none"/>
              </w:rPr>
            </w:pPr>
            <w:r>
              <w:rPr>
                <w:rFonts w:hint="eastAsia" w:ascii="宋体" w:hAnsi="宋体" w:cs="宋体"/>
                <w:color w:val="auto"/>
                <w:sz w:val="22"/>
                <w:szCs w:val="22"/>
                <w:highlight w:val="none"/>
              </w:rPr>
              <w:t>▲产品质量责任保险金额≥800万，保险年限≥5年，提供保险证明材料复印件（加盖生产企业公章）；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ascii="宋体" w:hAnsi="宋体"/>
                <w:color w:val="auto"/>
                <w:sz w:val="22"/>
                <w:szCs w:val="22"/>
                <w:highlight w:val="none"/>
              </w:rPr>
              <w:t>5</w:t>
            </w:r>
            <w:r>
              <w:rPr>
                <w:rFonts w:hint="eastAsia" w:ascii="宋体" w:hAnsi="宋体"/>
                <w:color w:val="auto"/>
                <w:sz w:val="22"/>
                <w:szCs w:val="22"/>
                <w:highlight w:val="none"/>
                <w:lang w:val="en-US" w:eastAsia="zh-CN"/>
              </w:rPr>
              <w:t>4</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防暴钢叉</w:t>
            </w:r>
          </w:p>
        </w:tc>
        <w:tc>
          <w:tcPr>
            <w:tcW w:w="1459" w:type="pct"/>
            <w:noWrap w:val="0"/>
            <w:vAlign w:val="center"/>
          </w:tcPr>
          <w:p>
            <w:pPr>
              <w:widowControl/>
              <w:jc w:val="center"/>
              <w:rPr>
                <w:rFonts w:ascii="宋体" w:hAnsi="宋体" w:cs="宋体"/>
                <w:color w:val="auto"/>
                <w:kern w:val="0"/>
                <w:sz w:val="22"/>
                <w:szCs w:val="22"/>
                <w:highlight w:val="none"/>
              </w:rPr>
            </w:pPr>
            <w:r>
              <w:rPr>
                <w:rFonts w:ascii="宋体" w:hAnsi="宋体"/>
                <w:color w:val="auto"/>
                <w:sz w:val="22"/>
                <w:szCs w:val="22"/>
                <w:highlight w:val="none"/>
              </w:rPr>
              <w:drawing>
                <wp:inline distT="0" distB="0" distL="114300" distR="114300">
                  <wp:extent cx="705485" cy="2544445"/>
                  <wp:effectExtent l="0" t="0" r="18415" b="8255"/>
                  <wp:docPr id="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5"/>
                          <pic:cNvPicPr>
                            <a:picLocks noChangeAspect="1"/>
                          </pic:cNvPicPr>
                        </pic:nvPicPr>
                        <pic:blipFill>
                          <a:blip r:embed="rId56"/>
                          <a:stretch>
                            <a:fillRect/>
                          </a:stretch>
                        </pic:blipFill>
                        <pic:spPr>
                          <a:xfrm>
                            <a:off x="0" y="0"/>
                            <a:ext cx="705485" cy="2544445"/>
                          </a:xfrm>
                          <a:prstGeom prst="rect">
                            <a:avLst/>
                          </a:prstGeom>
                          <a:noFill/>
                          <a:ln>
                            <a:noFill/>
                          </a:ln>
                        </pic:spPr>
                      </pic:pic>
                    </a:graphicData>
                  </a:graphic>
                </wp:inline>
              </w:drawing>
            </w:r>
          </w:p>
        </w:tc>
        <w:tc>
          <w:tcPr>
            <w:tcW w:w="2847" w:type="pct"/>
            <w:noWrap w:val="0"/>
            <w:vAlign w:val="center"/>
          </w:tcPr>
          <w:p>
            <w:pPr>
              <w:rPr>
                <w:rFonts w:hint="eastAsia" w:ascii="宋体" w:hAnsi="宋体"/>
                <w:color w:val="auto"/>
                <w:sz w:val="22"/>
                <w:szCs w:val="22"/>
                <w:highlight w:val="none"/>
              </w:rPr>
            </w:pPr>
            <w:r>
              <w:rPr>
                <w:rFonts w:ascii="宋体" w:hAnsi="宋体"/>
                <w:color w:val="auto"/>
                <w:sz w:val="22"/>
                <w:szCs w:val="22"/>
                <w:highlight w:val="none"/>
              </w:rPr>
              <w:t>1、材质：6061铝合金 </w:t>
            </w:r>
            <w:r>
              <w:rPr>
                <w:rFonts w:ascii="宋体" w:hAnsi="宋体"/>
                <w:color w:val="auto"/>
                <w:sz w:val="22"/>
                <w:szCs w:val="22"/>
                <w:highlight w:val="none"/>
              </w:rPr>
              <w:br w:type="textWrapping"/>
            </w:r>
            <w:r>
              <w:rPr>
                <w:rFonts w:ascii="宋体" w:hAnsi="宋体"/>
                <w:color w:val="auto"/>
                <w:sz w:val="22"/>
                <w:szCs w:val="22"/>
                <w:highlight w:val="none"/>
              </w:rPr>
              <w:t>2、工艺：无焊接锻造工艺，经过T4T6热处理 </w:t>
            </w:r>
            <w:r>
              <w:rPr>
                <w:rFonts w:ascii="宋体" w:hAnsi="宋体"/>
                <w:color w:val="auto"/>
                <w:sz w:val="22"/>
                <w:szCs w:val="22"/>
                <w:highlight w:val="none"/>
              </w:rPr>
              <w:br w:type="textWrapping"/>
            </w:r>
            <w:r>
              <w:rPr>
                <w:rFonts w:ascii="宋体" w:hAnsi="宋体"/>
                <w:color w:val="auto"/>
                <w:sz w:val="22"/>
                <w:szCs w:val="22"/>
                <w:highlight w:val="none"/>
              </w:rPr>
              <w:t>3、质量：脚叉：</w:t>
            </w:r>
            <w:r>
              <w:rPr>
                <w:rFonts w:hint="eastAsia" w:ascii="宋体" w:hAnsi="宋体"/>
                <w:color w:val="auto"/>
                <w:sz w:val="22"/>
                <w:szCs w:val="22"/>
                <w:highlight w:val="none"/>
              </w:rPr>
              <w:t>≤</w:t>
            </w:r>
            <w:r>
              <w:rPr>
                <w:rFonts w:ascii="宋体" w:hAnsi="宋体"/>
                <w:color w:val="auto"/>
                <w:sz w:val="22"/>
                <w:szCs w:val="22"/>
                <w:highlight w:val="none"/>
              </w:rPr>
              <w:t>2.4kg</w:t>
            </w:r>
            <w:r>
              <w:rPr>
                <w:rFonts w:ascii="宋体" w:hAnsi="宋体"/>
                <w:color w:val="auto"/>
                <w:sz w:val="22"/>
                <w:szCs w:val="22"/>
                <w:highlight w:val="none"/>
              </w:rPr>
              <w:br w:type="textWrapping"/>
            </w:r>
            <w:r>
              <w:rPr>
                <w:rFonts w:ascii="宋体" w:hAnsi="宋体"/>
                <w:color w:val="auto"/>
                <w:sz w:val="22"/>
                <w:szCs w:val="22"/>
                <w:highlight w:val="none"/>
              </w:rPr>
              <w:t>     腰叉：</w:t>
            </w:r>
            <w:r>
              <w:rPr>
                <w:rFonts w:hint="eastAsia" w:ascii="宋体" w:hAnsi="宋体"/>
                <w:color w:val="auto"/>
                <w:sz w:val="22"/>
                <w:szCs w:val="22"/>
                <w:highlight w:val="none"/>
              </w:rPr>
              <w:t>≤</w:t>
            </w:r>
            <w:r>
              <w:rPr>
                <w:rFonts w:ascii="宋体" w:hAnsi="宋体"/>
                <w:color w:val="auto"/>
                <w:sz w:val="22"/>
                <w:szCs w:val="22"/>
                <w:highlight w:val="none"/>
              </w:rPr>
              <w:t>2.7kg</w:t>
            </w:r>
            <w:r>
              <w:rPr>
                <w:rFonts w:ascii="宋体" w:hAnsi="宋体"/>
                <w:color w:val="auto"/>
                <w:sz w:val="22"/>
                <w:szCs w:val="22"/>
                <w:highlight w:val="none"/>
              </w:rPr>
              <w:br w:type="textWrapping"/>
            </w:r>
            <w:r>
              <w:rPr>
                <w:rFonts w:ascii="宋体" w:hAnsi="宋体"/>
                <w:color w:val="auto"/>
                <w:sz w:val="22"/>
                <w:szCs w:val="22"/>
                <w:highlight w:val="none"/>
              </w:rPr>
              <w:t>4、叉杆握持部位直径：30mm～35mm</w:t>
            </w:r>
            <w:r>
              <w:rPr>
                <w:rFonts w:ascii="宋体" w:hAnsi="宋体"/>
                <w:color w:val="auto"/>
                <w:sz w:val="22"/>
                <w:szCs w:val="22"/>
                <w:highlight w:val="none"/>
              </w:rPr>
              <w:br w:type="textWrapping"/>
            </w:r>
            <w:r>
              <w:rPr>
                <w:rFonts w:ascii="宋体" w:hAnsi="宋体"/>
                <w:color w:val="auto"/>
                <w:sz w:val="22"/>
                <w:szCs w:val="22"/>
                <w:highlight w:val="none"/>
              </w:rPr>
              <w:t>5、叉头闭合缝隙：≤18mm</w:t>
            </w:r>
            <w:r>
              <w:rPr>
                <w:rFonts w:ascii="宋体" w:hAnsi="宋体"/>
                <w:color w:val="auto"/>
                <w:sz w:val="22"/>
                <w:szCs w:val="22"/>
                <w:highlight w:val="none"/>
              </w:rPr>
              <w:br w:type="textWrapping"/>
            </w:r>
            <w:r>
              <w:rPr>
                <w:rFonts w:ascii="宋体" w:hAnsi="宋体"/>
                <w:color w:val="auto"/>
                <w:sz w:val="22"/>
                <w:szCs w:val="22"/>
                <w:highlight w:val="none"/>
              </w:rPr>
              <w:t>6、长度：折叠长：1133mm （</w:t>
            </w:r>
            <w:r>
              <w:rPr>
                <w:rFonts w:hint="eastAsia" w:ascii="宋体" w:hAnsi="宋体"/>
                <w:color w:val="auto"/>
                <w:sz w:val="22"/>
                <w:szCs w:val="22"/>
                <w:highlight w:val="none"/>
              </w:rPr>
              <w:t>±10mm）</w:t>
            </w:r>
            <w:r>
              <w:rPr>
                <w:rFonts w:ascii="宋体" w:hAnsi="宋体"/>
                <w:color w:val="auto"/>
                <w:sz w:val="22"/>
                <w:szCs w:val="22"/>
                <w:highlight w:val="none"/>
              </w:rPr>
              <w:t>， 展开长：2266mm（</w:t>
            </w:r>
            <w:r>
              <w:rPr>
                <w:rFonts w:hint="eastAsia" w:ascii="宋体" w:hAnsi="宋体"/>
                <w:color w:val="auto"/>
                <w:sz w:val="22"/>
                <w:szCs w:val="22"/>
                <w:highlight w:val="none"/>
              </w:rPr>
              <w:t>±10mm）</w:t>
            </w:r>
            <w:r>
              <w:rPr>
                <w:rFonts w:ascii="宋体" w:hAnsi="宋体"/>
                <w:color w:val="auto"/>
                <w:sz w:val="22"/>
                <w:szCs w:val="22"/>
                <w:highlight w:val="none"/>
              </w:rPr>
              <w:br w:type="textWrapping"/>
            </w:r>
            <w:r>
              <w:rPr>
                <w:rFonts w:ascii="宋体" w:hAnsi="宋体"/>
                <w:color w:val="auto"/>
                <w:sz w:val="22"/>
                <w:szCs w:val="22"/>
                <w:highlight w:val="none"/>
              </w:rPr>
              <w:t>7、质量：</w:t>
            </w:r>
            <w:r>
              <w:rPr>
                <w:rFonts w:hint="eastAsia" w:ascii="宋体" w:hAnsi="宋体"/>
                <w:color w:val="auto"/>
                <w:sz w:val="22"/>
                <w:szCs w:val="22"/>
                <w:highlight w:val="none"/>
              </w:rPr>
              <w:t>≤</w:t>
            </w:r>
            <w:r>
              <w:rPr>
                <w:rFonts w:ascii="宋体" w:hAnsi="宋体"/>
                <w:color w:val="auto"/>
                <w:sz w:val="22"/>
                <w:szCs w:val="22"/>
                <w:highlight w:val="none"/>
              </w:rPr>
              <w:t>2.8kg</w:t>
            </w:r>
            <w:r>
              <w:rPr>
                <w:rFonts w:ascii="宋体" w:hAnsi="宋体"/>
                <w:color w:val="auto"/>
                <w:sz w:val="22"/>
                <w:szCs w:val="22"/>
                <w:highlight w:val="none"/>
              </w:rPr>
              <w:br w:type="textWrapping"/>
            </w:r>
            <w:r>
              <w:rPr>
                <w:rFonts w:ascii="宋体" w:hAnsi="宋体"/>
                <w:color w:val="auto"/>
                <w:sz w:val="22"/>
                <w:szCs w:val="22"/>
                <w:highlight w:val="none"/>
              </w:rPr>
              <w:t>8、宽度：腰叉：495mm（</w:t>
            </w:r>
            <w:r>
              <w:rPr>
                <w:rFonts w:hint="eastAsia" w:ascii="宋体" w:hAnsi="宋体"/>
                <w:color w:val="auto"/>
                <w:sz w:val="22"/>
                <w:szCs w:val="22"/>
                <w:highlight w:val="none"/>
              </w:rPr>
              <w:t>±10mm）</w:t>
            </w:r>
            <w:r>
              <w:rPr>
                <w:rFonts w:ascii="宋体" w:hAnsi="宋体"/>
                <w:color w:val="auto"/>
                <w:sz w:val="22"/>
                <w:szCs w:val="22"/>
                <w:highlight w:val="none"/>
              </w:rPr>
              <w:br w:type="textWrapping"/>
            </w:r>
            <w:r>
              <w:rPr>
                <w:rFonts w:ascii="宋体" w:hAnsi="宋体"/>
                <w:color w:val="auto"/>
                <w:sz w:val="22"/>
                <w:szCs w:val="22"/>
                <w:highlight w:val="none"/>
              </w:rPr>
              <w:t>     脚叉：255mm（</w:t>
            </w:r>
            <w:r>
              <w:rPr>
                <w:rFonts w:hint="eastAsia" w:ascii="宋体" w:hAnsi="宋体"/>
                <w:color w:val="auto"/>
                <w:sz w:val="22"/>
                <w:szCs w:val="22"/>
                <w:highlight w:val="none"/>
              </w:rPr>
              <w:t>±10mm）</w:t>
            </w:r>
            <w:r>
              <w:rPr>
                <w:rFonts w:ascii="宋体" w:hAnsi="宋体"/>
                <w:color w:val="auto"/>
                <w:sz w:val="22"/>
                <w:szCs w:val="22"/>
                <w:highlight w:val="none"/>
              </w:rPr>
              <w:br w:type="textWrapping"/>
            </w:r>
            <w:r>
              <w:rPr>
                <w:rFonts w:ascii="宋体" w:hAnsi="宋体"/>
                <w:color w:val="auto"/>
                <w:sz w:val="22"/>
                <w:szCs w:val="22"/>
                <w:highlight w:val="none"/>
              </w:rPr>
              <w:t>9、 硬度和韧性：达到HRB55-65度</w:t>
            </w:r>
            <w:r>
              <w:rPr>
                <w:rFonts w:ascii="宋体" w:hAnsi="宋体"/>
                <w:color w:val="auto"/>
                <w:sz w:val="22"/>
                <w:szCs w:val="22"/>
                <w:highlight w:val="none"/>
              </w:rPr>
              <w:br w:type="textWrapping"/>
            </w:r>
            <w:r>
              <w:rPr>
                <w:rFonts w:ascii="宋体" w:hAnsi="宋体"/>
                <w:color w:val="auto"/>
                <w:sz w:val="22"/>
                <w:szCs w:val="22"/>
                <w:highlight w:val="none"/>
              </w:rPr>
              <w:t>10、 特点：折叠钢叉末端装半月弧形插头，没有锐利棱角。这种工具既可保证保安人员的安全，也能有效制服歹徒，且可避免对歹徒的人身伤害。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5</w:t>
            </w:r>
            <w:r>
              <w:rPr>
                <w:rFonts w:hint="eastAsia" w:ascii="宋体" w:hAnsi="宋体"/>
                <w:color w:val="auto"/>
                <w:sz w:val="22"/>
                <w:szCs w:val="22"/>
                <w:highlight w:val="none"/>
                <w:lang w:val="en-US" w:eastAsia="zh-CN"/>
              </w:rPr>
              <w:t>5</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双筒夜视仪（已</w:t>
            </w:r>
            <w:r>
              <w:rPr>
                <w:rFonts w:ascii="宋体" w:hAnsi="宋体"/>
                <w:color w:val="auto"/>
                <w:sz w:val="22"/>
                <w:szCs w:val="22"/>
                <w:highlight w:val="none"/>
              </w:rPr>
              <w:t>换产品</w:t>
            </w:r>
            <w:r>
              <w:rPr>
                <w:rFonts w:hint="eastAsia" w:ascii="宋体" w:hAnsi="宋体"/>
                <w:color w:val="auto"/>
                <w:sz w:val="22"/>
                <w:szCs w:val="22"/>
                <w:highlight w:val="none"/>
              </w:rPr>
              <w:t>）</w:t>
            </w:r>
          </w:p>
        </w:tc>
        <w:tc>
          <w:tcPr>
            <w:tcW w:w="1459" w:type="pct"/>
            <w:noWrap w:val="0"/>
            <w:vAlign w:val="center"/>
          </w:tcPr>
          <w:p>
            <w:pPr>
              <w:widowControl/>
              <w:jc w:val="center"/>
              <w:rPr>
                <w:rFonts w:ascii="宋体" w:hAnsi="宋体" w:cs="宋体"/>
                <w:color w:val="auto"/>
                <w:kern w:val="0"/>
                <w:sz w:val="22"/>
                <w:szCs w:val="22"/>
                <w:highlight w:val="none"/>
              </w:rPr>
            </w:pPr>
            <w:r>
              <w:rPr>
                <w:color w:val="auto"/>
                <w:sz w:val="22"/>
                <w:szCs w:val="22"/>
                <w:highlight w:val="none"/>
              </w:rPr>
              <w:drawing>
                <wp:inline distT="0" distB="0" distL="114300" distR="114300">
                  <wp:extent cx="1549400" cy="1381760"/>
                  <wp:effectExtent l="0" t="0" r="12700" b="8890"/>
                  <wp:docPr id="72" name="图片 56" descr="侦察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6" descr="侦察兵6"/>
                          <pic:cNvPicPr>
                            <a:picLocks noChangeAspect="1"/>
                          </pic:cNvPicPr>
                        </pic:nvPicPr>
                        <pic:blipFill>
                          <a:blip r:embed="rId66"/>
                          <a:stretch>
                            <a:fillRect/>
                          </a:stretch>
                        </pic:blipFill>
                        <pic:spPr>
                          <a:xfrm>
                            <a:off x="0" y="0"/>
                            <a:ext cx="1549400" cy="1381760"/>
                          </a:xfrm>
                          <a:prstGeom prst="rect">
                            <a:avLst/>
                          </a:prstGeom>
                          <a:noFill/>
                          <a:ln>
                            <a:noFill/>
                          </a:ln>
                        </pic:spPr>
                      </pic:pic>
                    </a:graphicData>
                  </a:graphic>
                </wp:inline>
              </w:drawing>
            </w:r>
          </w:p>
        </w:tc>
        <w:tc>
          <w:tcPr>
            <w:tcW w:w="2847" w:type="pct"/>
            <w:noWrap w:val="0"/>
            <w:vAlign w:val="center"/>
          </w:tcPr>
          <w:p>
            <w:pPr>
              <w:rPr>
                <w:color w:val="auto"/>
                <w:sz w:val="22"/>
                <w:szCs w:val="22"/>
                <w:highlight w:val="none"/>
              </w:rPr>
            </w:pPr>
            <w:r>
              <w:rPr>
                <w:rFonts w:hint="eastAsia"/>
                <w:color w:val="auto"/>
                <w:sz w:val="22"/>
                <w:szCs w:val="22"/>
                <w:highlight w:val="none"/>
              </w:rPr>
              <w:t>1、自动打开或关闭系统</w:t>
            </w:r>
            <w:r>
              <w:rPr>
                <w:color w:val="auto"/>
                <w:sz w:val="22"/>
                <w:szCs w:val="22"/>
                <w:highlight w:val="none"/>
              </w:rPr>
              <w:t> </w:t>
            </w:r>
          </w:p>
          <w:p>
            <w:pPr>
              <w:rPr>
                <w:color w:val="auto"/>
                <w:sz w:val="22"/>
                <w:szCs w:val="22"/>
                <w:highlight w:val="none"/>
              </w:rPr>
            </w:pPr>
            <w:r>
              <w:rPr>
                <w:rFonts w:hint="eastAsia"/>
                <w:color w:val="auto"/>
                <w:sz w:val="22"/>
                <w:szCs w:val="22"/>
                <w:highlight w:val="none"/>
              </w:rPr>
              <w:t>2、多层的先进的光学系统</w:t>
            </w:r>
          </w:p>
          <w:p>
            <w:pPr>
              <w:rPr>
                <w:color w:val="auto"/>
                <w:sz w:val="22"/>
                <w:szCs w:val="22"/>
                <w:highlight w:val="none"/>
              </w:rPr>
            </w:pPr>
            <w:r>
              <w:rPr>
                <w:rFonts w:hint="eastAsia"/>
                <w:color w:val="auto"/>
                <w:sz w:val="22"/>
                <w:szCs w:val="22"/>
                <w:highlight w:val="none"/>
              </w:rPr>
              <w:t>3、远距离的辅助光源</w:t>
            </w:r>
            <w:r>
              <w:rPr>
                <w:color w:val="auto"/>
                <w:sz w:val="22"/>
                <w:szCs w:val="22"/>
                <w:highlight w:val="none"/>
              </w:rPr>
              <w:t>   </w:t>
            </w:r>
          </w:p>
          <w:p>
            <w:pPr>
              <w:rPr>
                <w:color w:val="auto"/>
                <w:sz w:val="22"/>
                <w:szCs w:val="22"/>
                <w:highlight w:val="none"/>
              </w:rPr>
            </w:pPr>
            <w:r>
              <w:rPr>
                <w:rFonts w:hint="eastAsia"/>
                <w:color w:val="auto"/>
                <w:sz w:val="22"/>
                <w:szCs w:val="22"/>
                <w:highlight w:val="none"/>
              </w:rPr>
              <w:t>4、防水防雾</w:t>
            </w:r>
            <w:r>
              <w:rPr>
                <w:color w:val="auto"/>
                <w:sz w:val="22"/>
                <w:szCs w:val="22"/>
                <w:highlight w:val="none"/>
              </w:rPr>
              <w:t> </w:t>
            </w:r>
          </w:p>
          <w:p>
            <w:pPr>
              <w:rPr>
                <w:color w:val="auto"/>
                <w:sz w:val="22"/>
                <w:szCs w:val="22"/>
                <w:highlight w:val="none"/>
              </w:rPr>
            </w:pPr>
            <w:r>
              <w:rPr>
                <w:rFonts w:hint="eastAsia"/>
                <w:color w:val="auto"/>
                <w:sz w:val="22"/>
                <w:szCs w:val="22"/>
                <w:highlight w:val="none"/>
              </w:rPr>
              <w:t>5、全黑环境：是</w:t>
            </w:r>
          </w:p>
          <w:p>
            <w:pPr>
              <w:rPr>
                <w:color w:val="auto"/>
                <w:sz w:val="22"/>
                <w:szCs w:val="22"/>
                <w:highlight w:val="none"/>
              </w:rPr>
            </w:pPr>
            <w:r>
              <w:rPr>
                <w:rFonts w:hint="eastAsia"/>
                <w:color w:val="auto"/>
                <w:sz w:val="22"/>
                <w:szCs w:val="22"/>
                <w:highlight w:val="none"/>
              </w:rPr>
              <w:t>6、像素等级：1+</w:t>
            </w:r>
          </w:p>
          <w:p>
            <w:pPr>
              <w:rPr>
                <w:color w:val="auto"/>
                <w:sz w:val="22"/>
                <w:szCs w:val="22"/>
                <w:highlight w:val="none"/>
              </w:rPr>
            </w:pPr>
            <w:r>
              <w:rPr>
                <w:rFonts w:hint="eastAsia"/>
                <w:color w:val="auto"/>
                <w:sz w:val="22"/>
                <w:szCs w:val="22"/>
                <w:highlight w:val="none"/>
              </w:rPr>
              <w:t>7、分辨率：40</w:t>
            </w:r>
          </w:p>
          <w:p>
            <w:pPr>
              <w:rPr>
                <w:color w:val="auto"/>
                <w:sz w:val="22"/>
                <w:szCs w:val="22"/>
                <w:highlight w:val="none"/>
              </w:rPr>
            </w:pPr>
            <w:r>
              <w:rPr>
                <w:rFonts w:hint="eastAsia"/>
                <w:color w:val="auto"/>
                <w:sz w:val="22"/>
                <w:szCs w:val="22"/>
                <w:highlight w:val="none"/>
              </w:rPr>
              <w:t>8、放大倍率：5</w:t>
            </w:r>
          </w:p>
          <w:p>
            <w:pPr>
              <w:rPr>
                <w:color w:val="auto"/>
                <w:sz w:val="22"/>
                <w:szCs w:val="22"/>
                <w:highlight w:val="none"/>
              </w:rPr>
            </w:pPr>
            <w:r>
              <w:rPr>
                <w:rFonts w:hint="eastAsia"/>
                <w:color w:val="auto"/>
                <w:sz w:val="22"/>
                <w:szCs w:val="22"/>
                <w:highlight w:val="none"/>
              </w:rPr>
              <w:t>9、透镜系统：f1.2,90mm</w:t>
            </w:r>
          </w:p>
          <w:p>
            <w:pPr>
              <w:rPr>
                <w:color w:val="auto"/>
                <w:sz w:val="22"/>
                <w:szCs w:val="22"/>
                <w:highlight w:val="none"/>
              </w:rPr>
            </w:pPr>
            <w:r>
              <w:rPr>
                <w:rFonts w:hint="eastAsia"/>
                <w:color w:val="auto"/>
                <w:sz w:val="22"/>
                <w:szCs w:val="22"/>
                <w:highlight w:val="none"/>
              </w:rPr>
              <w:t>10、视度：20</w:t>
            </w:r>
          </w:p>
          <w:p>
            <w:pPr>
              <w:rPr>
                <w:color w:val="auto"/>
                <w:sz w:val="22"/>
                <w:szCs w:val="22"/>
                <w:highlight w:val="none"/>
              </w:rPr>
            </w:pPr>
            <w:r>
              <w:rPr>
                <w:rFonts w:hint="eastAsia"/>
                <w:color w:val="auto"/>
                <w:sz w:val="22"/>
                <w:szCs w:val="22"/>
                <w:highlight w:val="none"/>
              </w:rPr>
              <w:t>11、调焦范围：大于20m</w:t>
            </w:r>
          </w:p>
          <w:p>
            <w:pPr>
              <w:rPr>
                <w:color w:val="auto"/>
                <w:sz w:val="22"/>
                <w:szCs w:val="22"/>
                <w:highlight w:val="none"/>
              </w:rPr>
            </w:pPr>
            <w:r>
              <w:rPr>
                <w:rFonts w:hint="eastAsia"/>
                <w:color w:val="auto"/>
                <w:sz w:val="22"/>
                <w:szCs w:val="22"/>
                <w:highlight w:val="none"/>
              </w:rPr>
              <w:t>12、屈光度：-5—+5</w:t>
            </w:r>
          </w:p>
          <w:p>
            <w:pPr>
              <w:rPr>
                <w:color w:val="auto"/>
                <w:sz w:val="22"/>
                <w:szCs w:val="22"/>
                <w:highlight w:val="none"/>
              </w:rPr>
            </w:pPr>
            <w:r>
              <w:rPr>
                <w:rFonts w:hint="eastAsia"/>
                <w:color w:val="auto"/>
                <w:sz w:val="22"/>
                <w:szCs w:val="22"/>
                <w:highlight w:val="none"/>
              </w:rPr>
              <w:t>13、自动亮度控制：否</w:t>
            </w:r>
          </w:p>
          <w:p>
            <w:pPr>
              <w:rPr>
                <w:color w:val="auto"/>
                <w:sz w:val="22"/>
                <w:szCs w:val="22"/>
                <w:highlight w:val="none"/>
              </w:rPr>
            </w:pPr>
            <w:r>
              <w:rPr>
                <w:rFonts w:hint="eastAsia"/>
                <w:color w:val="auto"/>
                <w:sz w:val="22"/>
                <w:szCs w:val="22"/>
                <w:highlight w:val="none"/>
              </w:rPr>
              <w:t>14、自动关闭系统：是</w:t>
            </w:r>
          </w:p>
          <w:p>
            <w:pPr>
              <w:rPr>
                <w:color w:val="auto"/>
                <w:sz w:val="22"/>
                <w:szCs w:val="22"/>
                <w:highlight w:val="none"/>
              </w:rPr>
            </w:pPr>
            <w:r>
              <w:rPr>
                <w:rFonts w:hint="eastAsia"/>
                <w:color w:val="auto"/>
                <w:sz w:val="22"/>
                <w:szCs w:val="22"/>
                <w:highlight w:val="none"/>
              </w:rPr>
              <w:t>15、辅助光源：是</w:t>
            </w:r>
          </w:p>
          <w:p>
            <w:pPr>
              <w:rPr>
                <w:color w:val="auto"/>
                <w:sz w:val="22"/>
                <w:szCs w:val="22"/>
                <w:highlight w:val="none"/>
              </w:rPr>
            </w:pPr>
            <w:r>
              <w:rPr>
                <w:rFonts w:hint="eastAsia"/>
                <w:color w:val="auto"/>
                <w:sz w:val="22"/>
                <w:szCs w:val="22"/>
                <w:highlight w:val="none"/>
              </w:rPr>
              <w:t>16、IR批示灯：是</w:t>
            </w:r>
          </w:p>
          <w:p>
            <w:pPr>
              <w:rPr>
                <w:color w:val="auto"/>
                <w:sz w:val="22"/>
                <w:szCs w:val="22"/>
                <w:highlight w:val="none"/>
              </w:rPr>
            </w:pPr>
            <w:r>
              <w:rPr>
                <w:rFonts w:hint="eastAsia"/>
                <w:color w:val="auto"/>
                <w:sz w:val="22"/>
                <w:szCs w:val="22"/>
                <w:highlight w:val="none"/>
              </w:rPr>
              <w:t>17、低电源提示：是</w:t>
            </w:r>
          </w:p>
          <w:p>
            <w:pPr>
              <w:rPr>
                <w:color w:val="auto"/>
                <w:sz w:val="22"/>
                <w:szCs w:val="22"/>
                <w:highlight w:val="none"/>
              </w:rPr>
            </w:pPr>
            <w:r>
              <w:rPr>
                <w:rFonts w:hint="eastAsia"/>
                <w:color w:val="auto"/>
                <w:sz w:val="22"/>
                <w:szCs w:val="22"/>
                <w:highlight w:val="none"/>
              </w:rPr>
              <w:t>18、电源：2X3V CR</w:t>
            </w:r>
          </w:p>
          <w:p>
            <w:pPr>
              <w:rPr>
                <w:color w:val="auto"/>
                <w:sz w:val="22"/>
                <w:szCs w:val="22"/>
                <w:highlight w:val="none"/>
              </w:rPr>
            </w:pPr>
            <w:r>
              <w:rPr>
                <w:rFonts w:hint="eastAsia"/>
                <w:color w:val="auto"/>
                <w:sz w:val="22"/>
                <w:szCs w:val="22"/>
                <w:highlight w:val="none"/>
              </w:rPr>
              <w:t>19、电池寿命：20 w/o IR</w:t>
            </w:r>
          </w:p>
          <w:p>
            <w:pPr>
              <w:rPr>
                <w:color w:val="auto"/>
                <w:sz w:val="22"/>
                <w:szCs w:val="22"/>
                <w:highlight w:val="none"/>
              </w:rPr>
            </w:pPr>
            <w:r>
              <w:rPr>
                <w:rFonts w:hint="eastAsia"/>
                <w:color w:val="auto"/>
                <w:sz w:val="22"/>
                <w:szCs w:val="22"/>
                <w:highlight w:val="none"/>
              </w:rPr>
              <w:t>20、适应环境等级：耐候抗雾</w:t>
            </w:r>
          </w:p>
          <w:p>
            <w:pPr>
              <w:rPr>
                <w:color w:val="auto"/>
                <w:sz w:val="22"/>
                <w:szCs w:val="22"/>
                <w:highlight w:val="none"/>
              </w:rPr>
            </w:pPr>
            <w:r>
              <w:rPr>
                <w:rFonts w:hint="eastAsia"/>
                <w:color w:val="auto"/>
                <w:sz w:val="22"/>
                <w:szCs w:val="22"/>
                <w:highlight w:val="none"/>
              </w:rPr>
              <w:t>21、操作温度：-40—+50 °C</w:t>
            </w:r>
          </w:p>
          <w:p>
            <w:pPr>
              <w:rPr>
                <w:color w:val="auto"/>
                <w:sz w:val="22"/>
                <w:szCs w:val="22"/>
                <w:highlight w:val="none"/>
              </w:rPr>
            </w:pPr>
            <w:r>
              <w:rPr>
                <w:rFonts w:hint="eastAsia"/>
                <w:color w:val="auto"/>
                <w:sz w:val="22"/>
                <w:szCs w:val="22"/>
                <w:highlight w:val="none"/>
              </w:rPr>
              <w:t>22、储藏温度：-50—+70 °C</w:t>
            </w:r>
          </w:p>
          <w:p>
            <w:pPr>
              <w:rPr>
                <w:color w:val="auto"/>
                <w:sz w:val="22"/>
                <w:szCs w:val="22"/>
                <w:highlight w:val="none"/>
              </w:rPr>
            </w:pPr>
            <w:r>
              <w:rPr>
                <w:rFonts w:hint="eastAsia"/>
                <w:color w:val="auto"/>
                <w:sz w:val="22"/>
                <w:szCs w:val="22"/>
                <w:highlight w:val="none"/>
              </w:rPr>
              <w:t>23、尺寸（mm）： 225X150X60</w:t>
            </w:r>
          </w:p>
          <w:p>
            <w:pPr>
              <w:rPr>
                <w:color w:val="auto"/>
                <w:sz w:val="22"/>
                <w:szCs w:val="22"/>
                <w:highlight w:val="none"/>
              </w:rPr>
            </w:pPr>
            <w:r>
              <w:rPr>
                <w:rFonts w:hint="eastAsia"/>
                <w:color w:val="auto"/>
                <w:sz w:val="22"/>
                <w:szCs w:val="22"/>
                <w:highlight w:val="none"/>
              </w:rPr>
              <w:t>24、重量（kg）：1.5</w:t>
            </w:r>
          </w:p>
          <w:p>
            <w:pPr>
              <w:rPr>
                <w:rFonts w:hint="eastAsia" w:ascii="宋体" w:hAnsi="宋体"/>
                <w:color w:val="auto"/>
                <w:sz w:val="22"/>
                <w:szCs w:val="22"/>
                <w:highlight w:val="none"/>
              </w:rPr>
            </w:pPr>
            <w:r>
              <w:rPr>
                <w:rFonts w:hint="eastAsia"/>
                <w:color w:val="auto"/>
                <w:sz w:val="22"/>
                <w:szCs w:val="22"/>
                <w:highlight w:val="none"/>
              </w:rPr>
              <w:t>25、保质期：1年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ascii="宋体" w:hAnsi="宋体"/>
                <w:color w:val="auto"/>
                <w:sz w:val="22"/>
                <w:szCs w:val="22"/>
                <w:highlight w:val="none"/>
              </w:rPr>
              <w:t>5</w:t>
            </w:r>
            <w:r>
              <w:rPr>
                <w:rFonts w:hint="eastAsia" w:ascii="宋体" w:hAnsi="宋体"/>
                <w:color w:val="auto"/>
                <w:sz w:val="22"/>
                <w:szCs w:val="22"/>
                <w:highlight w:val="none"/>
                <w:lang w:val="en-US" w:eastAsia="zh-CN"/>
              </w:rPr>
              <w:t>6</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防刺服</w:t>
            </w:r>
          </w:p>
        </w:tc>
        <w:tc>
          <w:tcPr>
            <w:tcW w:w="1459" w:type="pct"/>
            <w:noWrap w:val="0"/>
            <w:vAlign w:val="center"/>
          </w:tcPr>
          <w:p>
            <w:pPr>
              <w:widowControl/>
              <w:jc w:val="center"/>
              <w:rPr>
                <w:rFonts w:ascii="宋体" w:hAnsi="宋体" w:cs="宋体"/>
                <w:color w:val="auto"/>
                <w:kern w:val="0"/>
                <w:sz w:val="22"/>
                <w:szCs w:val="22"/>
                <w:highlight w:val="none"/>
              </w:rPr>
            </w:pPr>
            <w:r>
              <w:rPr>
                <w:rFonts w:hint="eastAsia" w:ascii="宋体" w:hAnsi="宋体"/>
                <w:color w:val="auto"/>
                <w:sz w:val="22"/>
                <w:szCs w:val="22"/>
                <w:highlight w:val="none"/>
              </w:rPr>
              <w:drawing>
                <wp:inline distT="0" distB="0" distL="114300" distR="114300">
                  <wp:extent cx="1275715" cy="1821815"/>
                  <wp:effectExtent l="0" t="0" r="635" b="6985"/>
                  <wp:docPr id="7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7"/>
                          <pic:cNvPicPr>
                            <a:picLocks noChangeAspect="1"/>
                          </pic:cNvPicPr>
                        </pic:nvPicPr>
                        <pic:blipFill>
                          <a:blip r:embed="rId67"/>
                          <a:stretch>
                            <a:fillRect/>
                          </a:stretch>
                        </pic:blipFill>
                        <pic:spPr>
                          <a:xfrm>
                            <a:off x="0" y="0"/>
                            <a:ext cx="1275715" cy="1821815"/>
                          </a:xfrm>
                          <a:prstGeom prst="rect">
                            <a:avLst/>
                          </a:prstGeom>
                          <a:noFill/>
                          <a:ln>
                            <a:noFill/>
                          </a:ln>
                        </pic:spPr>
                      </pic:pic>
                    </a:graphicData>
                  </a:graphic>
                </wp:inline>
              </w:drawing>
            </w:r>
          </w:p>
        </w:tc>
        <w:tc>
          <w:tcPr>
            <w:tcW w:w="2847" w:type="pct"/>
            <w:noWrap w:val="0"/>
            <w:vAlign w:val="center"/>
          </w:tcPr>
          <w:p>
            <w:pPr>
              <w:rPr>
                <w:rFonts w:hint="eastAsia"/>
                <w:color w:val="auto"/>
                <w:sz w:val="22"/>
                <w:szCs w:val="22"/>
                <w:highlight w:val="none"/>
              </w:rPr>
            </w:pPr>
            <w:r>
              <w:rPr>
                <w:rFonts w:hint="eastAsia"/>
                <w:color w:val="auto"/>
                <w:sz w:val="22"/>
                <w:szCs w:val="22"/>
                <w:highlight w:val="none"/>
              </w:rPr>
              <w:t>▲1、执行标准：《GA68-2019 警用防刺服》；</w:t>
            </w:r>
          </w:p>
          <w:p>
            <w:pPr>
              <w:rPr>
                <w:rFonts w:hint="eastAsia"/>
                <w:color w:val="auto"/>
                <w:sz w:val="22"/>
                <w:szCs w:val="22"/>
                <w:highlight w:val="none"/>
              </w:rPr>
            </w:pPr>
            <w:r>
              <w:rPr>
                <w:rFonts w:hint="eastAsia"/>
                <w:color w:val="auto"/>
                <w:sz w:val="22"/>
                <w:szCs w:val="22"/>
                <w:highlight w:val="none"/>
              </w:rPr>
              <w:t>2、颜色：藏蓝色；</w:t>
            </w:r>
          </w:p>
          <w:p>
            <w:pPr>
              <w:rPr>
                <w:rFonts w:hint="eastAsia"/>
                <w:color w:val="auto"/>
                <w:sz w:val="22"/>
                <w:szCs w:val="22"/>
                <w:highlight w:val="none"/>
              </w:rPr>
            </w:pPr>
            <w:r>
              <w:rPr>
                <w:rFonts w:hint="eastAsia"/>
                <w:color w:val="auto"/>
                <w:sz w:val="22"/>
                <w:szCs w:val="22"/>
                <w:highlight w:val="none"/>
              </w:rPr>
              <w:t>3、防刺芯片有效防护面积：均码≥0.28㎡；</w:t>
            </w:r>
          </w:p>
          <w:p>
            <w:pPr>
              <w:rPr>
                <w:rFonts w:hint="eastAsia"/>
                <w:color w:val="auto"/>
                <w:sz w:val="22"/>
                <w:szCs w:val="22"/>
                <w:highlight w:val="none"/>
              </w:rPr>
            </w:pPr>
            <w:r>
              <w:rPr>
                <w:rFonts w:hint="eastAsia"/>
                <w:color w:val="auto"/>
                <w:sz w:val="22"/>
                <w:szCs w:val="22"/>
                <w:highlight w:val="none"/>
              </w:rPr>
              <w:t>4、防刺层材质：采用特殊超柔整体合金材料；</w:t>
            </w:r>
          </w:p>
          <w:p>
            <w:pPr>
              <w:rPr>
                <w:rFonts w:hint="eastAsia"/>
                <w:color w:val="auto"/>
                <w:sz w:val="22"/>
                <w:szCs w:val="22"/>
                <w:highlight w:val="none"/>
              </w:rPr>
            </w:pPr>
            <w:r>
              <w:rPr>
                <w:rFonts w:hint="eastAsia"/>
                <w:color w:val="auto"/>
                <w:sz w:val="22"/>
                <w:szCs w:val="22"/>
                <w:highlight w:val="none"/>
              </w:rPr>
              <w:t>5、质量（含外套）：≤2.3kg；</w:t>
            </w:r>
          </w:p>
          <w:p>
            <w:pPr>
              <w:rPr>
                <w:rFonts w:hint="eastAsia"/>
                <w:color w:val="auto"/>
                <w:sz w:val="22"/>
                <w:szCs w:val="22"/>
                <w:highlight w:val="none"/>
              </w:rPr>
            </w:pPr>
            <w:r>
              <w:rPr>
                <w:rFonts w:hint="eastAsia"/>
                <w:color w:val="auto"/>
                <w:sz w:val="22"/>
                <w:szCs w:val="22"/>
                <w:highlight w:val="none"/>
              </w:rPr>
              <w:t>6、防刺性能：A 类防刺服应用D1刀具、测试体以24 J±0.5 J 撞击能量对防刺服进行穿刺，在有效穿刺情况下，防刺服不应出现穿透。</w:t>
            </w:r>
          </w:p>
          <w:p>
            <w:pPr>
              <w:rPr>
                <w:rFonts w:hint="eastAsia"/>
                <w:color w:val="auto"/>
                <w:sz w:val="22"/>
                <w:szCs w:val="22"/>
                <w:highlight w:val="none"/>
              </w:rPr>
            </w:pPr>
            <w:r>
              <w:rPr>
                <w:rFonts w:hint="eastAsia"/>
                <w:color w:val="auto"/>
                <w:sz w:val="22"/>
                <w:szCs w:val="22"/>
                <w:highlight w:val="none"/>
              </w:rPr>
              <w:t>8、防刺服防刺层保护套材料的抗静水压性能应能达到GB/T 4744-2013 中规定的3级或以上；</w:t>
            </w:r>
          </w:p>
          <w:p>
            <w:pPr>
              <w:rPr>
                <w:rFonts w:hint="eastAsia"/>
                <w:color w:val="auto"/>
                <w:sz w:val="22"/>
                <w:szCs w:val="22"/>
                <w:highlight w:val="none"/>
              </w:rPr>
            </w:pPr>
            <w:r>
              <w:rPr>
                <w:rFonts w:hint="eastAsia"/>
                <w:color w:val="auto"/>
                <w:sz w:val="22"/>
                <w:szCs w:val="22"/>
                <w:highlight w:val="none"/>
              </w:rPr>
              <w:t>9、穿着灵活度：防刺服穿着灵活、外形美观、易于穿脱，穿着后两臂自由运动、人体跪、跳、蹲、跑、俯仰、转体等动作不受明显限制；</w:t>
            </w:r>
          </w:p>
          <w:p>
            <w:pPr>
              <w:rPr>
                <w:rFonts w:hint="eastAsia"/>
                <w:color w:val="auto"/>
                <w:sz w:val="22"/>
                <w:szCs w:val="22"/>
                <w:highlight w:val="none"/>
              </w:rPr>
            </w:pPr>
            <w:r>
              <w:rPr>
                <w:rFonts w:hint="eastAsia"/>
                <w:color w:val="auto"/>
                <w:sz w:val="22"/>
                <w:szCs w:val="22"/>
                <w:highlight w:val="none"/>
              </w:rPr>
              <w:t>10、适应环境温度：-20℃~+55℃；</w:t>
            </w:r>
          </w:p>
          <w:p>
            <w:pPr>
              <w:rPr>
                <w:rFonts w:hint="eastAsia"/>
                <w:color w:val="auto"/>
                <w:sz w:val="22"/>
                <w:szCs w:val="22"/>
                <w:highlight w:val="none"/>
              </w:rPr>
            </w:pPr>
            <w:r>
              <w:rPr>
                <w:rFonts w:hint="eastAsia"/>
                <w:color w:val="auto"/>
                <w:sz w:val="22"/>
                <w:szCs w:val="22"/>
                <w:highlight w:val="none"/>
              </w:rPr>
              <w:t>11、产品比传统防刺层轻30%以上；</w:t>
            </w:r>
          </w:p>
          <w:p>
            <w:pPr>
              <w:rPr>
                <w:rFonts w:hint="eastAsia"/>
                <w:color w:val="auto"/>
                <w:sz w:val="22"/>
                <w:szCs w:val="22"/>
                <w:highlight w:val="none"/>
              </w:rPr>
            </w:pPr>
            <w:r>
              <w:rPr>
                <w:rFonts w:hint="eastAsia"/>
                <w:color w:val="auto"/>
                <w:sz w:val="22"/>
                <w:szCs w:val="22"/>
                <w:highlight w:val="none"/>
              </w:rPr>
              <w:t>▲12、面料带具有抑菌功效，抑菌功能材料提供近一年（招标公告发布日起前一年内）通过国家认证认可监督管理委员会资质认定（CMA）和中国合格评定国家认可委员会试验室认可（CNAS）的省级和省级以上检测机构出具的报告；</w:t>
            </w:r>
          </w:p>
          <w:p>
            <w:pPr>
              <w:rPr>
                <w:rFonts w:hint="eastAsia"/>
                <w:color w:val="auto"/>
                <w:sz w:val="22"/>
                <w:szCs w:val="22"/>
                <w:highlight w:val="none"/>
              </w:rPr>
            </w:pPr>
            <w:r>
              <w:rPr>
                <w:rFonts w:hint="eastAsia"/>
                <w:color w:val="auto"/>
                <w:sz w:val="22"/>
                <w:szCs w:val="22"/>
                <w:highlight w:val="none"/>
              </w:rPr>
              <w:t>▲12、提供产品八年质量责任保险金额应≥250万元，提供保险证明材料复印件（金额及年限以保险单为主）；</w:t>
            </w:r>
          </w:p>
          <w:p>
            <w:pPr>
              <w:rPr>
                <w:rFonts w:hint="eastAsia"/>
                <w:color w:val="auto"/>
                <w:sz w:val="22"/>
                <w:szCs w:val="22"/>
                <w:highlight w:val="none"/>
              </w:rPr>
            </w:pPr>
            <w:r>
              <w:rPr>
                <w:rFonts w:hint="eastAsia"/>
                <w:color w:val="auto"/>
                <w:sz w:val="22"/>
                <w:szCs w:val="22"/>
                <w:highlight w:val="none"/>
              </w:rPr>
              <w:t>▲13、提供公安部特种装备质量监督检验中心出具的检测报告复印件；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ascii="宋体" w:hAnsi="宋体"/>
                <w:color w:val="auto"/>
                <w:sz w:val="22"/>
                <w:szCs w:val="22"/>
                <w:highlight w:val="none"/>
              </w:rPr>
              <w:t>5</w:t>
            </w:r>
            <w:r>
              <w:rPr>
                <w:rFonts w:hint="eastAsia" w:ascii="宋体" w:hAnsi="宋体"/>
                <w:color w:val="auto"/>
                <w:sz w:val="22"/>
                <w:szCs w:val="22"/>
                <w:highlight w:val="none"/>
                <w:lang w:val="en-US" w:eastAsia="zh-CN"/>
              </w:rPr>
              <w:t>7</w:t>
            </w:r>
          </w:p>
        </w:tc>
        <w:tc>
          <w:tcPr>
            <w:tcW w:w="411" w:type="pct"/>
            <w:noWrap w:val="0"/>
            <w:vAlign w:val="center"/>
          </w:tcPr>
          <w:p>
            <w:pPr>
              <w:pStyle w:val="202"/>
              <w:jc w:val="center"/>
              <w:rPr>
                <w:rFonts w:ascii="宋体" w:hAnsi="宋体"/>
                <w:color w:val="auto"/>
                <w:sz w:val="22"/>
                <w:szCs w:val="22"/>
                <w:highlight w:val="none"/>
              </w:rPr>
            </w:pPr>
            <w:r>
              <w:rPr>
                <w:rFonts w:hint="eastAsia" w:ascii="宋体" w:hAnsi="宋体"/>
                <w:color w:val="auto"/>
                <w:sz w:val="22"/>
                <w:szCs w:val="22"/>
                <w:highlight w:val="none"/>
              </w:rPr>
              <w:t>警用防暴盾牌</w:t>
            </w:r>
          </w:p>
        </w:tc>
        <w:tc>
          <w:tcPr>
            <w:tcW w:w="1459" w:type="pct"/>
            <w:noWrap w:val="0"/>
            <w:vAlign w:val="center"/>
          </w:tcPr>
          <w:p>
            <w:pPr>
              <w:jc w:val="center"/>
              <w:rPr>
                <w:color w:val="auto"/>
                <w:sz w:val="22"/>
                <w:szCs w:val="22"/>
                <w:highlight w:val="none"/>
              </w:rPr>
            </w:pPr>
            <w:r>
              <w:rPr>
                <w:rFonts w:ascii="宋体" w:hAnsi="宋体" w:cs="宋体"/>
                <w:color w:val="auto"/>
                <w:sz w:val="22"/>
                <w:szCs w:val="22"/>
                <w:highlight w:val="none"/>
              </w:rPr>
              <w:drawing>
                <wp:inline distT="0" distB="0" distL="114300" distR="114300">
                  <wp:extent cx="1355090" cy="1342390"/>
                  <wp:effectExtent l="0" t="0" r="16510" b="10160"/>
                  <wp:docPr id="8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8"/>
                          <pic:cNvPicPr>
                            <a:picLocks noChangeAspect="1"/>
                          </pic:cNvPicPr>
                        </pic:nvPicPr>
                        <pic:blipFill>
                          <a:blip r:embed="rId68"/>
                          <a:stretch>
                            <a:fillRect/>
                          </a:stretch>
                        </pic:blipFill>
                        <pic:spPr>
                          <a:xfrm>
                            <a:off x="0" y="0"/>
                            <a:ext cx="1355090" cy="1342390"/>
                          </a:xfrm>
                          <a:prstGeom prst="rect">
                            <a:avLst/>
                          </a:prstGeom>
                          <a:noFill/>
                          <a:ln>
                            <a:noFill/>
                          </a:ln>
                        </pic:spPr>
                      </pic:pic>
                    </a:graphicData>
                  </a:graphic>
                </wp:inline>
              </w:drawing>
            </w:r>
          </w:p>
        </w:tc>
        <w:tc>
          <w:tcPr>
            <w:tcW w:w="2847" w:type="pct"/>
            <w:noWrap w:val="0"/>
            <w:vAlign w:val="center"/>
          </w:tcPr>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1、材质：盾体采用双层PC板制成，直径580mm，周边有金属包边；</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2、防护面积：≥0.26㎡；</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3、盾牌宽度：≥0.58m；</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▲4、透明防暴盾牌的透光率：≥</w:t>
            </w:r>
            <w:r>
              <w:rPr>
                <w:rFonts w:ascii="宋体" w:hAnsi="宋体" w:cs="宋体"/>
                <w:color w:val="auto"/>
                <w:sz w:val="22"/>
                <w:szCs w:val="22"/>
                <w:highlight w:val="none"/>
              </w:rPr>
              <w:t>75</w:t>
            </w:r>
            <w:r>
              <w:rPr>
                <w:rFonts w:hint="eastAsia" w:ascii="宋体" w:hAnsi="宋体" w:cs="宋体"/>
                <w:color w:val="auto"/>
                <w:sz w:val="22"/>
                <w:szCs w:val="22"/>
                <w:highlight w:val="none"/>
              </w:rPr>
              <w:t>%（需在检测报告中体现）；</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▲5、重量≤2.</w:t>
            </w:r>
            <w:r>
              <w:rPr>
                <w:rFonts w:ascii="宋体" w:hAnsi="宋体" w:cs="宋体"/>
                <w:color w:val="auto"/>
                <w:sz w:val="22"/>
                <w:szCs w:val="22"/>
                <w:highlight w:val="none"/>
              </w:rPr>
              <w:t>3</w:t>
            </w:r>
            <w:r>
              <w:rPr>
                <w:rFonts w:hint="eastAsia" w:ascii="宋体" w:hAnsi="宋体" w:cs="宋体"/>
                <w:color w:val="auto"/>
                <w:sz w:val="22"/>
                <w:szCs w:val="22"/>
                <w:highlight w:val="none"/>
              </w:rPr>
              <w:t>kg（需在检测报告中体现）；</w:t>
            </w:r>
          </w:p>
          <w:p>
            <w:pPr>
              <w:pStyle w:val="25"/>
              <w:rPr>
                <w:rFonts w:ascii="宋体" w:hAnsi="宋体" w:cs="宋体"/>
                <w:color w:val="auto"/>
                <w:sz w:val="22"/>
                <w:szCs w:val="22"/>
                <w:highlight w:val="none"/>
              </w:rPr>
            </w:pPr>
            <w:r>
              <w:rPr>
                <w:rFonts w:hint="eastAsia" w:ascii="宋体" w:hAnsi="宋体" w:cs="宋体"/>
                <w:color w:val="auto"/>
                <w:sz w:val="22"/>
                <w:szCs w:val="22"/>
                <w:highlight w:val="none"/>
              </w:rPr>
              <w:t>6、耐刀砍性能：圆形盾牌的.上边沿应能抵御线速度为8.5 m/s+0.5 m/s、能量为100J土5J的击砍，试验后刀砍痕迹深度应小于或等于</w:t>
            </w:r>
            <w:r>
              <w:rPr>
                <w:rFonts w:ascii="宋体" w:hAnsi="宋体" w:cs="宋体"/>
                <w:color w:val="auto"/>
                <w:sz w:val="22"/>
                <w:szCs w:val="22"/>
                <w:highlight w:val="none"/>
              </w:rPr>
              <w:t>6</w:t>
            </w:r>
            <w:r>
              <w:rPr>
                <w:rFonts w:hint="eastAsia" w:ascii="宋体" w:hAnsi="宋体" w:cs="宋体"/>
                <w:color w:val="auto"/>
                <w:sz w:val="22"/>
                <w:szCs w:val="22"/>
                <w:highlight w:val="none"/>
              </w:rPr>
              <w:t xml:space="preserve"> mm</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w:t>
            </w:r>
            <w:r>
              <w:rPr>
                <w:rFonts w:ascii="宋体" w:hAnsi="宋体" w:cs="宋体"/>
                <w:color w:val="auto"/>
                <w:sz w:val="22"/>
                <w:szCs w:val="22"/>
                <w:highlight w:val="none"/>
              </w:rPr>
              <w:t>7</w:t>
            </w:r>
            <w:r>
              <w:rPr>
                <w:rFonts w:hint="eastAsia" w:ascii="宋体" w:hAnsi="宋体" w:cs="宋体"/>
                <w:color w:val="auto"/>
                <w:sz w:val="22"/>
                <w:szCs w:val="22"/>
                <w:highlight w:val="none"/>
              </w:rPr>
              <w:t>、执行标准：GA422-2019《防暴盾牌》</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w:t>
            </w:r>
            <w:r>
              <w:rPr>
                <w:rFonts w:ascii="宋体" w:hAnsi="宋体" w:cs="宋体"/>
                <w:color w:val="auto"/>
                <w:sz w:val="22"/>
                <w:szCs w:val="22"/>
                <w:highlight w:val="none"/>
              </w:rPr>
              <w:t>8</w:t>
            </w:r>
            <w:r>
              <w:rPr>
                <w:rFonts w:hint="eastAsia" w:ascii="宋体" w:hAnsi="宋体" w:cs="宋体"/>
                <w:color w:val="auto"/>
                <w:sz w:val="22"/>
                <w:szCs w:val="22"/>
                <w:highlight w:val="none"/>
              </w:rPr>
              <w:t>、提供公安部特种警用装备质量检测中心出具的检测报告</w:t>
            </w:r>
          </w:p>
          <w:p>
            <w:pPr>
              <w:pStyle w:val="161"/>
              <w:tabs>
                <w:tab w:val="left" w:pos="420"/>
              </w:tabs>
              <w:ind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w:t>
            </w:r>
            <w:r>
              <w:rPr>
                <w:rFonts w:ascii="宋体" w:hAnsi="宋体" w:cs="宋体"/>
                <w:color w:val="auto"/>
                <w:sz w:val="22"/>
                <w:szCs w:val="22"/>
                <w:highlight w:val="none"/>
              </w:rPr>
              <w:t>9</w:t>
            </w:r>
            <w:r>
              <w:rPr>
                <w:rFonts w:hint="eastAsia" w:ascii="宋体" w:hAnsi="宋体" w:cs="宋体"/>
                <w:color w:val="auto"/>
                <w:sz w:val="22"/>
                <w:szCs w:val="22"/>
                <w:highlight w:val="none"/>
              </w:rPr>
              <w:t>、提供产品八年质量责任保险金额应≥800万元，提供保险证明材料复印件（金额及年限以保险单为主）；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5</w:t>
            </w:r>
            <w:r>
              <w:rPr>
                <w:rFonts w:hint="eastAsia" w:ascii="宋体" w:hAnsi="宋体"/>
                <w:color w:val="auto"/>
                <w:sz w:val="22"/>
                <w:szCs w:val="22"/>
                <w:highlight w:val="none"/>
                <w:lang w:val="en-US" w:eastAsia="zh-CN"/>
              </w:rPr>
              <w:t>8</w:t>
            </w:r>
          </w:p>
        </w:tc>
        <w:tc>
          <w:tcPr>
            <w:tcW w:w="411" w:type="pct"/>
            <w:noWrap w:val="0"/>
            <w:vAlign w:val="center"/>
          </w:tcPr>
          <w:p>
            <w:pPr>
              <w:spacing w:line="276" w:lineRule="auto"/>
              <w:jc w:val="center"/>
              <w:rPr>
                <w:rFonts w:ascii="宋体" w:hAnsi="宋体"/>
                <w:color w:val="auto"/>
                <w:sz w:val="22"/>
                <w:szCs w:val="22"/>
                <w:highlight w:val="none"/>
              </w:rPr>
            </w:pPr>
            <w:r>
              <w:rPr>
                <w:rFonts w:hint="eastAsia" w:ascii="宋体" w:hAnsi="宋体"/>
                <w:color w:val="auto"/>
                <w:sz w:val="22"/>
                <w:szCs w:val="22"/>
                <w:highlight w:val="none"/>
              </w:rPr>
              <w:t>新型催泪瓦斯</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487170" cy="1924685"/>
                  <wp:effectExtent l="0" t="0" r="17780" b="18415"/>
                  <wp:docPr id="65" name="图片 59" descr="F:\产品图片\竖喷催泪\$(5YNTV~MCBC]1DWD2QM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9" descr="F:\产品图片\竖喷催泪\$(5YNTV~MCBC]1DWD2QMY`Q.png"/>
                          <pic:cNvPicPr>
                            <a:picLocks noChangeAspect="1"/>
                          </pic:cNvPicPr>
                        </pic:nvPicPr>
                        <pic:blipFill>
                          <a:blip r:embed="rId17"/>
                          <a:stretch>
                            <a:fillRect/>
                          </a:stretch>
                        </pic:blipFill>
                        <pic:spPr>
                          <a:xfrm>
                            <a:off x="0" y="0"/>
                            <a:ext cx="1487170" cy="1924685"/>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1、结构：罐体、囊袋组件、催泪剂溶液、喷射组件和保护帽组件构成；喷嘴与催泪剂之间应具有良好的相溶性，使催泪剂定向喷射并呈射流状，袋阀由阀体系统和囊袋组成。</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2、尺寸：催泪喷射的高度为176mm±2mm，最大外径为39mm±0.5mm ，罐体外径为37.5mm±0.5mm,</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3、灌液量：70ml±2 ml</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4、催泪剂：OC，其含量为1.5%-1.8%，</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5、喷射性能：催泪喷射器喷射应为定向射流状，喷射距离应大于或等于5m，有效喷射时间大于或等于7s。</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6、稳定性：催泪喷射器产品在包装完好并满足贮存条件的情况下，三年内产品应表面无剥落、不解体、不泄露、不爆裂、能正常喷射，且符合喷射性能的要求。</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7、跌落可靠性：催泪喷射器自1.5m高度进行跌落试验，应不解体、不泄露、不爆裂、能正常使用，且符合喷射性能的要求。</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8、密封性能：经振动，跌落试验后的催泪喷射器置于0.5m深的水中，应无泄漏。能正常使用，且符合喷射性能的要求。</w:t>
            </w:r>
          </w:p>
          <w:p>
            <w:pPr>
              <w:spacing w:line="276"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9、重量：≤210g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59</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软式内穿防弹背心</w:t>
            </w:r>
          </w:p>
        </w:tc>
        <w:tc>
          <w:tcPr>
            <w:tcW w:w="1459" w:type="pct"/>
            <w:noWrap w:val="0"/>
            <w:vAlign w:val="center"/>
          </w:tcPr>
          <w:p>
            <w:pPr>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105535" cy="1222375"/>
                  <wp:effectExtent l="0" t="0" r="18415" b="15875"/>
                  <wp:docPr id="7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0"/>
                          <pic:cNvPicPr>
                            <a:picLocks noChangeAspect="1"/>
                          </pic:cNvPicPr>
                        </pic:nvPicPr>
                        <pic:blipFill>
                          <a:blip r:embed="rId69"/>
                          <a:stretch>
                            <a:fillRect/>
                          </a:stretch>
                        </pic:blipFill>
                        <pic:spPr>
                          <a:xfrm>
                            <a:off x="0" y="0"/>
                            <a:ext cx="1105535" cy="1222375"/>
                          </a:xfrm>
                          <a:prstGeom prst="rect">
                            <a:avLst/>
                          </a:prstGeom>
                          <a:noFill/>
                          <a:ln>
                            <a:noFill/>
                          </a:ln>
                        </pic:spPr>
                      </pic:pic>
                    </a:graphicData>
                  </a:graphic>
                </wp:inline>
              </w:drawing>
            </w:r>
          </w:p>
        </w:tc>
        <w:tc>
          <w:tcPr>
            <w:tcW w:w="2847" w:type="pct"/>
            <w:noWrap w:val="0"/>
            <w:vAlign w:val="center"/>
          </w:tcPr>
          <w:p>
            <w:pPr>
              <w:rPr>
                <w:rFonts w:hint="eastAsia"/>
                <w:color w:val="auto"/>
                <w:sz w:val="22"/>
                <w:szCs w:val="22"/>
                <w:highlight w:val="none"/>
              </w:rPr>
            </w:pPr>
            <w:r>
              <w:rPr>
                <w:rFonts w:hint="eastAsia"/>
                <w:color w:val="auto"/>
                <w:sz w:val="22"/>
                <w:szCs w:val="22"/>
                <w:highlight w:val="none"/>
              </w:rPr>
              <w:t>1、颜色：警服蓝色；</w:t>
            </w:r>
          </w:p>
          <w:p>
            <w:pPr>
              <w:rPr>
                <w:rFonts w:hint="eastAsia"/>
                <w:color w:val="auto"/>
                <w:sz w:val="22"/>
                <w:szCs w:val="22"/>
                <w:highlight w:val="none"/>
              </w:rPr>
            </w:pPr>
            <w:r>
              <w:rPr>
                <w:rFonts w:hint="eastAsia"/>
                <w:color w:val="auto"/>
                <w:sz w:val="22"/>
                <w:szCs w:val="22"/>
                <w:highlight w:val="none"/>
              </w:rPr>
              <w:t>2、防弹层材料：高性能聚乙烯；</w:t>
            </w:r>
          </w:p>
          <w:p>
            <w:pPr>
              <w:rPr>
                <w:rFonts w:hint="eastAsia"/>
                <w:color w:val="auto"/>
                <w:sz w:val="22"/>
                <w:szCs w:val="22"/>
                <w:highlight w:val="none"/>
              </w:rPr>
            </w:pPr>
            <w:r>
              <w:rPr>
                <w:rFonts w:hint="eastAsia"/>
                <w:color w:val="auto"/>
                <w:sz w:val="22"/>
                <w:szCs w:val="22"/>
                <w:highlight w:val="none"/>
              </w:rPr>
              <w:t>▲3、防护面积:≥0.30㎡（需在检测报告中体现）；</w:t>
            </w:r>
          </w:p>
          <w:p>
            <w:pPr>
              <w:rPr>
                <w:rFonts w:hint="eastAsia"/>
                <w:color w:val="auto"/>
                <w:sz w:val="22"/>
                <w:szCs w:val="22"/>
                <w:highlight w:val="none"/>
              </w:rPr>
            </w:pPr>
            <w:r>
              <w:rPr>
                <w:rFonts w:hint="eastAsia"/>
                <w:color w:val="auto"/>
                <w:sz w:val="22"/>
                <w:szCs w:val="22"/>
                <w:highlight w:val="none"/>
              </w:rPr>
              <w:t>4、防护等级：GA3级 ；</w:t>
            </w:r>
          </w:p>
          <w:p>
            <w:pPr>
              <w:rPr>
                <w:rFonts w:hint="eastAsia"/>
                <w:color w:val="auto"/>
                <w:sz w:val="22"/>
                <w:szCs w:val="22"/>
                <w:highlight w:val="none"/>
              </w:rPr>
            </w:pPr>
            <w:r>
              <w:rPr>
                <w:rFonts w:hint="eastAsia"/>
                <w:color w:val="auto"/>
                <w:sz w:val="22"/>
                <w:szCs w:val="22"/>
                <w:highlight w:val="none"/>
              </w:rPr>
              <w:t>▲5、在常温（自然温度）；弹头速度m/s（515±10），背衬材料凹陷深度≤25mm（需在检测报告中体现）；</w:t>
            </w:r>
          </w:p>
          <w:p>
            <w:pPr>
              <w:rPr>
                <w:rFonts w:hint="eastAsia"/>
                <w:color w:val="auto"/>
                <w:sz w:val="22"/>
                <w:szCs w:val="22"/>
                <w:highlight w:val="none"/>
              </w:rPr>
            </w:pPr>
            <w:r>
              <w:rPr>
                <w:rFonts w:hint="eastAsia"/>
                <w:color w:val="auto"/>
                <w:sz w:val="22"/>
                <w:szCs w:val="22"/>
                <w:highlight w:val="none"/>
              </w:rPr>
              <w:t xml:space="preserve">▲6、重量（含外套）≤2.3kg（需在检测报告中体现）； </w:t>
            </w:r>
          </w:p>
          <w:p>
            <w:pPr>
              <w:rPr>
                <w:rFonts w:hint="eastAsia"/>
                <w:color w:val="auto"/>
                <w:sz w:val="22"/>
                <w:szCs w:val="22"/>
                <w:highlight w:val="none"/>
              </w:rPr>
            </w:pPr>
            <w:r>
              <w:rPr>
                <w:rFonts w:hint="eastAsia"/>
                <w:color w:val="auto"/>
                <w:sz w:val="22"/>
                <w:szCs w:val="22"/>
                <w:highlight w:val="none"/>
              </w:rPr>
              <w:t>7、执行标准：GA141-2010《警用防弹衣》；</w:t>
            </w:r>
          </w:p>
          <w:p>
            <w:pPr>
              <w:rPr>
                <w:rFonts w:hint="eastAsia"/>
                <w:color w:val="auto"/>
                <w:sz w:val="22"/>
                <w:szCs w:val="22"/>
                <w:highlight w:val="none"/>
              </w:rPr>
            </w:pPr>
            <w:r>
              <w:rPr>
                <w:rFonts w:hint="eastAsia"/>
                <w:color w:val="auto"/>
                <w:sz w:val="22"/>
                <w:szCs w:val="22"/>
                <w:highlight w:val="none"/>
              </w:rPr>
              <w:t>▲8、提供中国兵器装备集团兵器装备研究所测试实验中心、中国兵器装备特种产品质量监督检测中心出具的检测报告复印件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6</w:t>
            </w:r>
            <w:r>
              <w:rPr>
                <w:rFonts w:hint="eastAsia" w:ascii="宋体" w:hAnsi="宋体"/>
                <w:color w:val="auto"/>
                <w:sz w:val="22"/>
                <w:szCs w:val="22"/>
                <w:highlight w:val="none"/>
                <w:lang w:val="en-US" w:eastAsia="zh-CN"/>
              </w:rPr>
              <w:t>0</w:t>
            </w:r>
          </w:p>
        </w:tc>
        <w:tc>
          <w:tcPr>
            <w:tcW w:w="411" w:type="pct"/>
            <w:noWrap w:val="0"/>
            <w:vAlign w:val="center"/>
          </w:tcPr>
          <w:p>
            <w:pPr>
              <w:pStyle w:val="202"/>
              <w:jc w:val="center"/>
              <w:rPr>
                <w:rFonts w:ascii="宋体" w:hAnsi="宋体"/>
                <w:color w:val="auto"/>
                <w:sz w:val="22"/>
                <w:szCs w:val="22"/>
                <w:highlight w:val="none"/>
              </w:rPr>
            </w:pPr>
            <w:r>
              <w:rPr>
                <w:rFonts w:hint="eastAsia" w:ascii="宋体" w:hAnsi="宋体"/>
                <w:color w:val="auto"/>
                <w:sz w:val="22"/>
                <w:szCs w:val="22"/>
                <w:highlight w:val="none"/>
              </w:rPr>
              <w:t>防弹头盔</w:t>
            </w:r>
          </w:p>
        </w:tc>
        <w:tc>
          <w:tcPr>
            <w:tcW w:w="1459" w:type="pct"/>
            <w:noWrap w:val="0"/>
            <w:vAlign w:val="center"/>
          </w:tcPr>
          <w:p>
            <w:pPr>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022350" cy="1021080"/>
                  <wp:effectExtent l="0" t="0" r="6350" b="7620"/>
                  <wp:docPr id="7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1"/>
                          <pic:cNvPicPr>
                            <a:picLocks noChangeAspect="1"/>
                          </pic:cNvPicPr>
                        </pic:nvPicPr>
                        <pic:blipFill>
                          <a:blip r:embed="rId70"/>
                          <a:stretch>
                            <a:fillRect/>
                          </a:stretch>
                        </pic:blipFill>
                        <pic:spPr>
                          <a:xfrm>
                            <a:off x="0" y="0"/>
                            <a:ext cx="1022350" cy="1021080"/>
                          </a:xfrm>
                          <a:prstGeom prst="rect">
                            <a:avLst/>
                          </a:prstGeom>
                          <a:noFill/>
                          <a:ln>
                            <a:noFill/>
                          </a:ln>
                        </pic:spPr>
                      </pic:pic>
                    </a:graphicData>
                  </a:graphic>
                </wp:inline>
              </w:drawing>
            </w:r>
          </w:p>
        </w:tc>
        <w:tc>
          <w:tcPr>
            <w:tcW w:w="2847" w:type="pct"/>
            <w:noWrap w:val="0"/>
            <w:vAlign w:val="center"/>
          </w:tcPr>
          <w:p>
            <w:pPr>
              <w:jc w:val="left"/>
              <w:rPr>
                <w:rFonts w:ascii="宋体" w:hAnsi="宋体" w:cs="宋体"/>
                <w:color w:val="auto"/>
                <w:sz w:val="22"/>
                <w:szCs w:val="22"/>
                <w:highlight w:val="none"/>
              </w:rPr>
            </w:pPr>
            <w:r>
              <w:rPr>
                <w:rFonts w:hint="eastAsia" w:ascii="宋体" w:hAnsi="宋体" w:cs="宋体"/>
                <w:color w:val="auto"/>
                <w:sz w:val="22"/>
                <w:szCs w:val="22"/>
                <w:highlight w:val="none"/>
              </w:rPr>
              <w:t>1、颜色：99式藏蓝；</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t>2、防护等级：GA 3级；</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t>3、材质：芳纶，盔壳由芳纶浸胶机织布层压成型；</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t>4、组成结构：由壳体、缓冲层、佩戴装置等组成；</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t>5、重量：≤1.6kg；</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t>7、防护面积：≥0.12m²；</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t>8、盔壳侧向刚性检验：盔壳最大变形量≤25mm，残余变形量≤10mm；</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t>9、盔壳材质阻燃性能良好，外表面续燃时间小于5s；</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t>10、防弹性能：防护1979年式7.62mm 轻型冲锋枪发射的1951年式7.62mm 手枪弹(铅心)，射距5m，头盔内表面最大弹痕高度小于等于25mm；</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t>11、环境温度-25℃-+55℃条件下：弹头速度（505--525m/s）前部≤15.0mm；</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t>12、执行标准：GA293-2012《警用防弹头盔及面罩》；</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t>▲13、提供公安部特种警用装备质量检测中心出具的检测报告复印件加盖公章；</w:t>
            </w:r>
          </w:p>
          <w:p>
            <w:pPr>
              <w:jc w:val="left"/>
              <w:rPr>
                <w:rFonts w:ascii="宋体" w:hAnsi="宋体" w:cs="宋体"/>
                <w:color w:val="auto"/>
                <w:sz w:val="22"/>
                <w:szCs w:val="22"/>
                <w:highlight w:val="none"/>
              </w:rPr>
            </w:pPr>
            <w:r>
              <w:rPr>
                <w:rFonts w:hint="eastAsia" w:ascii="宋体" w:hAnsi="宋体" w:cs="宋体"/>
                <w:color w:val="auto"/>
                <w:sz w:val="22"/>
                <w:szCs w:val="22"/>
                <w:highlight w:val="none"/>
              </w:rPr>
              <w:t>▲14、提供产品八年质量责任保险金额应≥800万元，提供保险证明材料复印件（金额及年限以保险单为主）；；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6</w:t>
            </w:r>
            <w:r>
              <w:rPr>
                <w:rFonts w:hint="eastAsia" w:ascii="宋体" w:hAnsi="宋体"/>
                <w:color w:val="auto"/>
                <w:sz w:val="22"/>
                <w:szCs w:val="22"/>
                <w:highlight w:val="none"/>
                <w:lang w:val="en-US" w:eastAsia="zh-CN"/>
              </w:rPr>
              <w:t>1</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防弹衣</w:t>
            </w:r>
          </w:p>
        </w:tc>
        <w:tc>
          <w:tcPr>
            <w:tcW w:w="1459" w:type="pct"/>
            <w:noWrap w:val="0"/>
            <w:vAlign w:val="center"/>
          </w:tcPr>
          <w:p>
            <w:pPr>
              <w:widowControl/>
              <w:jc w:val="center"/>
              <w:rPr>
                <w:rFonts w:ascii="宋体" w:hAnsi="宋体" w:cs="宋体"/>
                <w:color w:val="auto"/>
                <w:kern w:val="0"/>
                <w:sz w:val="22"/>
                <w:szCs w:val="22"/>
                <w:highlight w:val="none"/>
              </w:rPr>
            </w:pPr>
            <w:r>
              <w:rPr>
                <w:rFonts w:hint="eastAsia" w:ascii="宋体" w:hAnsi="宋体"/>
                <w:color w:val="auto"/>
                <w:sz w:val="22"/>
                <w:szCs w:val="22"/>
                <w:highlight w:val="none"/>
              </w:rPr>
              <w:drawing>
                <wp:inline distT="0" distB="0" distL="114300" distR="114300">
                  <wp:extent cx="1069975" cy="1643380"/>
                  <wp:effectExtent l="0" t="0" r="15875" b="13970"/>
                  <wp:docPr id="7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2"/>
                          <pic:cNvPicPr>
                            <a:picLocks noChangeAspect="1"/>
                          </pic:cNvPicPr>
                        </pic:nvPicPr>
                        <pic:blipFill>
                          <a:blip r:embed="rId42"/>
                          <a:stretch>
                            <a:fillRect/>
                          </a:stretch>
                        </pic:blipFill>
                        <pic:spPr>
                          <a:xfrm>
                            <a:off x="0" y="0"/>
                            <a:ext cx="1069975" cy="1643380"/>
                          </a:xfrm>
                          <a:prstGeom prst="rect">
                            <a:avLst/>
                          </a:prstGeom>
                          <a:noFill/>
                          <a:ln>
                            <a:noFill/>
                          </a:ln>
                        </pic:spPr>
                      </pic:pic>
                    </a:graphicData>
                  </a:graphic>
                </wp:inline>
              </w:drawing>
            </w:r>
          </w:p>
        </w:tc>
        <w:tc>
          <w:tcPr>
            <w:tcW w:w="2847" w:type="pct"/>
            <w:noWrap w:val="0"/>
            <w:vAlign w:val="center"/>
          </w:tcPr>
          <w:p>
            <w:pPr>
              <w:rPr>
                <w:rFonts w:hint="eastAsia" w:ascii="宋体" w:hAnsi="宋体"/>
                <w:color w:val="auto"/>
                <w:sz w:val="22"/>
                <w:szCs w:val="22"/>
                <w:highlight w:val="none"/>
              </w:rPr>
            </w:pPr>
            <w:r>
              <w:rPr>
                <w:rFonts w:ascii="宋体" w:hAnsi="宋体"/>
                <w:color w:val="auto"/>
                <w:sz w:val="22"/>
                <w:szCs w:val="22"/>
                <w:highlight w:val="none"/>
              </w:rPr>
              <w:t>1、颜色：警服蓝色；</w:t>
            </w:r>
            <w:r>
              <w:rPr>
                <w:rFonts w:ascii="宋体" w:hAnsi="宋体"/>
                <w:color w:val="auto"/>
                <w:sz w:val="22"/>
                <w:szCs w:val="22"/>
                <w:highlight w:val="none"/>
              </w:rPr>
              <w:br w:type="textWrapping"/>
            </w:r>
            <w:r>
              <w:rPr>
                <w:rFonts w:ascii="宋体" w:hAnsi="宋体"/>
                <w:color w:val="auto"/>
                <w:sz w:val="22"/>
                <w:szCs w:val="22"/>
                <w:highlight w:val="none"/>
              </w:rPr>
              <w:t>2、防弹层结构：34层芳纶无纬布+2层芳纶浸胶机织板+1层1.0mm厚PC板+1层7mm泡沫；</w:t>
            </w:r>
            <w:r>
              <w:rPr>
                <w:rFonts w:ascii="宋体" w:hAnsi="宋体"/>
                <w:color w:val="auto"/>
                <w:sz w:val="22"/>
                <w:szCs w:val="22"/>
                <w:highlight w:val="none"/>
              </w:rPr>
              <w:br w:type="textWrapping"/>
            </w:r>
            <w:r>
              <w:rPr>
                <w:rFonts w:ascii="宋体" w:hAnsi="宋体"/>
                <w:color w:val="auto"/>
                <w:sz w:val="22"/>
                <w:szCs w:val="22"/>
                <w:highlight w:val="none"/>
              </w:rPr>
              <w:t>3、防护面积:≥0.3</w:t>
            </w:r>
            <w:r>
              <w:rPr>
                <w:rFonts w:hint="eastAsia" w:ascii="宋体" w:hAnsi="宋体"/>
                <w:color w:val="auto"/>
                <w:sz w:val="22"/>
                <w:szCs w:val="22"/>
                <w:highlight w:val="none"/>
              </w:rPr>
              <w:t>0</w:t>
            </w:r>
            <w:r>
              <w:rPr>
                <w:rFonts w:ascii="宋体" w:hAnsi="宋体"/>
                <w:color w:val="auto"/>
                <w:sz w:val="22"/>
                <w:szCs w:val="22"/>
                <w:highlight w:val="none"/>
              </w:rPr>
              <w:t>㎡ ；</w:t>
            </w:r>
            <w:r>
              <w:rPr>
                <w:rFonts w:ascii="宋体" w:hAnsi="宋体"/>
                <w:color w:val="auto"/>
                <w:sz w:val="22"/>
                <w:szCs w:val="22"/>
                <w:highlight w:val="none"/>
              </w:rPr>
              <w:br w:type="textWrapping"/>
            </w:r>
            <w:r>
              <w:rPr>
                <w:rFonts w:ascii="宋体" w:hAnsi="宋体"/>
                <w:color w:val="auto"/>
                <w:sz w:val="22"/>
                <w:szCs w:val="22"/>
                <w:highlight w:val="none"/>
              </w:rPr>
              <w:t>4、防护等级：GA3级 ；</w:t>
            </w:r>
            <w:r>
              <w:rPr>
                <w:rFonts w:ascii="宋体" w:hAnsi="宋体"/>
                <w:color w:val="auto"/>
                <w:sz w:val="22"/>
                <w:szCs w:val="22"/>
                <w:highlight w:val="none"/>
              </w:rPr>
              <w:br w:type="textWrapping"/>
            </w:r>
            <w:r>
              <w:rPr>
                <w:rFonts w:ascii="宋体" w:hAnsi="宋体"/>
                <w:color w:val="auto"/>
                <w:sz w:val="22"/>
                <w:szCs w:val="22"/>
                <w:highlight w:val="none"/>
              </w:rPr>
              <w:t>5、在常温（自然温度）；弹头速度m/s（500-530），背衬材料凹陷深度≤9mm；</w:t>
            </w:r>
            <w:r>
              <w:rPr>
                <w:rFonts w:ascii="宋体" w:hAnsi="宋体"/>
                <w:color w:val="auto"/>
                <w:sz w:val="22"/>
                <w:szCs w:val="22"/>
                <w:highlight w:val="none"/>
              </w:rPr>
              <w:br w:type="textWrapping"/>
            </w:r>
            <w:r>
              <w:rPr>
                <w:rFonts w:ascii="宋体" w:hAnsi="宋体"/>
                <w:color w:val="auto"/>
                <w:sz w:val="22"/>
                <w:szCs w:val="22"/>
                <w:highlight w:val="none"/>
              </w:rPr>
              <w:t>6、重量≤3.5kg；</w:t>
            </w:r>
            <w:r>
              <w:rPr>
                <w:rFonts w:ascii="宋体" w:hAnsi="宋体"/>
                <w:color w:val="auto"/>
                <w:sz w:val="22"/>
                <w:szCs w:val="22"/>
                <w:highlight w:val="none"/>
              </w:rPr>
              <w:br w:type="textWrapping"/>
            </w:r>
            <w:r>
              <w:rPr>
                <w:rFonts w:ascii="宋体" w:hAnsi="宋体"/>
                <w:color w:val="auto"/>
                <w:sz w:val="22"/>
                <w:szCs w:val="22"/>
                <w:highlight w:val="none"/>
              </w:rPr>
              <w:t>7</w:t>
            </w:r>
            <w:r>
              <w:rPr>
                <w:rFonts w:hint="eastAsia" w:ascii="宋体" w:hAnsi="宋体"/>
                <w:color w:val="auto"/>
                <w:sz w:val="22"/>
                <w:szCs w:val="22"/>
                <w:highlight w:val="none"/>
              </w:rPr>
              <w:t>、执行标准：</w:t>
            </w:r>
            <w:r>
              <w:rPr>
                <w:rFonts w:ascii="宋体" w:hAnsi="宋体"/>
                <w:color w:val="auto"/>
                <w:sz w:val="22"/>
                <w:szCs w:val="22"/>
                <w:highlight w:val="none"/>
              </w:rPr>
              <w:t>GA141-2010</w:t>
            </w:r>
            <w:r>
              <w:rPr>
                <w:rFonts w:hint="eastAsia" w:ascii="宋体" w:hAnsi="宋体"/>
                <w:color w:val="auto"/>
                <w:sz w:val="22"/>
                <w:szCs w:val="22"/>
                <w:highlight w:val="none"/>
              </w:rPr>
              <w:t>《警用防弹衣》；</w:t>
            </w:r>
            <w:r>
              <w:rPr>
                <w:rFonts w:ascii="宋体" w:hAnsi="宋体"/>
                <w:color w:val="auto"/>
                <w:sz w:val="22"/>
                <w:szCs w:val="22"/>
                <w:highlight w:val="none"/>
              </w:rPr>
              <w:br w:type="textWrapping"/>
            </w:r>
            <w:r>
              <w:rPr>
                <w:rFonts w:hint="eastAsia" w:ascii="宋体" w:hAnsi="宋体"/>
                <w:color w:val="auto"/>
                <w:sz w:val="22"/>
                <w:szCs w:val="22"/>
                <w:highlight w:val="none"/>
              </w:rPr>
              <w:t>▲</w:t>
            </w:r>
            <w:r>
              <w:rPr>
                <w:rFonts w:ascii="宋体" w:hAnsi="宋体"/>
                <w:color w:val="auto"/>
                <w:sz w:val="22"/>
                <w:szCs w:val="22"/>
                <w:highlight w:val="none"/>
              </w:rPr>
              <w:t>8</w:t>
            </w:r>
            <w:r>
              <w:rPr>
                <w:rFonts w:hint="eastAsia" w:ascii="宋体" w:hAnsi="宋体"/>
                <w:color w:val="auto"/>
                <w:sz w:val="22"/>
                <w:szCs w:val="22"/>
                <w:highlight w:val="none"/>
              </w:rPr>
              <w:t>、须提供公安部特种警用装备质量监督检验中心出具的检测合格的检验报告复印件；</w:t>
            </w:r>
            <w:r>
              <w:rPr>
                <w:rFonts w:ascii="宋体" w:hAnsi="宋体"/>
                <w:color w:val="auto"/>
                <w:sz w:val="22"/>
                <w:szCs w:val="22"/>
                <w:highlight w:val="none"/>
              </w:rPr>
              <w:br w:type="textWrapping"/>
            </w:r>
            <w:r>
              <w:rPr>
                <w:rFonts w:hint="eastAsia" w:ascii="宋体" w:hAnsi="宋体" w:cs="宋体"/>
                <w:color w:val="auto"/>
                <w:sz w:val="22"/>
                <w:szCs w:val="22"/>
                <w:highlight w:val="none"/>
              </w:rPr>
              <w:t>▲</w:t>
            </w:r>
            <w:r>
              <w:rPr>
                <w:rFonts w:ascii="宋体" w:hAnsi="宋体" w:cs="Calibri"/>
                <w:color w:val="auto"/>
                <w:sz w:val="22"/>
                <w:szCs w:val="22"/>
                <w:highlight w:val="none"/>
              </w:rPr>
              <w:t>1</w:t>
            </w:r>
            <w:r>
              <w:rPr>
                <w:rFonts w:hint="eastAsia" w:ascii="宋体" w:hAnsi="宋体" w:cs="Calibri"/>
                <w:color w:val="auto"/>
                <w:sz w:val="22"/>
                <w:szCs w:val="22"/>
                <w:highlight w:val="none"/>
              </w:rPr>
              <w:t>8</w:t>
            </w:r>
            <w:r>
              <w:rPr>
                <w:rFonts w:hint="eastAsia" w:ascii="宋体" w:hAnsi="宋体" w:cs="宋体"/>
                <w:color w:val="auto"/>
                <w:sz w:val="22"/>
                <w:szCs w:val="22"/>
                <w:highlight w:val="none"/>
              </w:rPr>
              <w:t>、</w:t>
            </w:r>
            <w:r>
              <w:rPr>
                <w:rFonts w:hint="eastAsia" w:ascii="宋体" w:hAnsi="宋体"/>
                <w:color w:val="auto"/>
                <w:sz w:val="22"/>
                <w:szCs w:val="22"/>
                <w:highlight w:val="none"/>
              </w:rPr>
              <w:t>提供产品八年质量责任保险金额应≥800万元，提供保险证明材料复印件（金额及年限以保险单为主）；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6</w:t>
            </w:r>
            <w:r>
              <w:rPr>
                <w:rFonts w:hint="eastAsia" w:ascii="宋体" w:hAnsi="宋体"/>
                <w:color w:val="auto"/>
                <w:sz w:val="22"/>
                <w:szCs w:val="22"/>
                <w:highlight w:val="none"/>
                <w:lang w:val="en-US" w:eastAsia="zh-CN"/>
              </w:rPr>
              <w:t>2</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防暴盔甲服（头盔含通讯）</w:t>
            </w:r>
          </w:p>
        </w:tc>
        <w:tc>
          <w:tcPr>
            <w:tcW w:w="1459" w:type="pct"/>
            <w:noWrap w:val="0"/>
            <w:vAlign w:val="center"/>
          </w:tcPr>
          <w:p>
            <w:pPr>
              <w:widowControl/>
              <w:jc w:val="center"/>
              <w:rPr>
                <w:rFonts w:ascii="宋体" w:hAnsi="宋体" w:cs="宋体"/>
                <w:color w:val="auto"/>
                <w:kern w:val="0"/>
                <w:sz w:val="22"/>
                <w:szCs w:val="22"/>
                <w:highlight w:val="none"/>
              </w:rPr>
            </w:pPr>
            <w:r>
              <w:rPr>
                <w:color w:val="auto"/>
                <w:sz w:val="22"/>
                <w:szCs w:val="22"/>
                <w:highlight w:val="none"/>
              </w:rPr>
              <w:drawing>
                <wp:inline distT="0" distB="0" distL="114300" distR="114300">
                  <wp:extent cx="906145" cy="2236470"/>
                  <wp:effectExtent l="0" t="0" r="8255" b="11430"/>
                  <wp:docPr id="6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3"/>
                          <pic:cNvPicPr>
                            <a:picLocks noChangeAspect="1"/>
                          </pic:cNvPicPr>
                        </pic:nvPicPr>
                        <pic:blipFill>
                          <a:blip r:embed="rId71"/>
                          <a:stretch>
                            <a:fillRect/>
                          </a:stretch>
                        </pic:blipFill>
                        <pic:spPr>
                          <a:xfrm>
                            <a:off x="0" y="0"/>
                            <a:ext cx="906145" cy="2236470"/>
                          </a:xfrm>
                          <a:prstGeom prst="rect">
                            <a:avLst/>
                          </a:prstGeom>
                          <a:noFill/>
                          <a:ln>
                            <a:noFill/>
                          </a:ln>
                        </pic:spPr>
                      </pic:pic>
                    </a:graphicData>
                  </a:graphic>
                </wp:inline>
              </w:drawing>
            </w:r>
          </w:p>
          <w:p>
            <w:pPr>
              <w:widowControl/>
              <w:jc w:val="center"/>
              <w:rPr>
                <w:rFonts w:hint="eastAsia" w:ascii="宋体" w:hAnsi="宋体" w:cs="宋体"/>
                <w:color w:val="auto"/>
                <w:kern w:val="0"/>
                <w:sz w:val="22"/>
                <w:szCs w:val="22"/>
                <w:highlight w:val="none"/>
              </w:rPr>
            </w:pPr>
            <w:r>
              <w:rPr>
                <w:color w:val="auto"/>
                <w:sz w:val="22"/>
                <w:szCs w:val="22"/>
                <w:highlight w:val="none"/>
              </w:rPr>
              <w:drawing>
                <wp:inline distT="0" distB="0" distL="114300" distR="114300">
                  <wp:extent cx="1695450" cy="1570990"/>
                  <wp:effectExtent l="0" t="0" r="0" b="10160"/>
                  <wp:docPr id="74" name="图片 64" descr="新型通信防暴头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4" descr="新型通信防暴头盔.jpg"/>
                          <pic:cNvPicPr>
                            <a:picLocks noChangeAspect="1"/>
                          </pic:cNvPicPr>
                        </pic:nvPicPr>
                        <pic:blipFill>
                          <a:blip r:embed="rId72"/>
                          <a:stretch>
                            <a:fillRect/>
                          </a:stretch>
                        </pic:blipFill>
                        <pic:spPr>
                          <a:xfrm>
                            <a:off x="0" y="0"/>
                            <a:ext cx="1695450" cy="1570990"/>
                          </a:xfrm>
                          <a:prstGeom prst="rect">
                            <a:avLst/>
                          </a:prstGeom>
                          <a:noFill/>
                          <a:ln>
                            <a:noFill/>
                          </a:ln>
                        </pic:spPr>
                      </pic:pic>
                    </a:graphicData>
                  </a:graphic>
                </wp:inline>
              </w:drawing>
            </w:r>
          </w:p>
        </w:tc>
        <w:tc>
          <w:tcPr>
            <w:tcW w:w="2847" w:type="pct"/>
            <w:noWrap w:val="0"/>
            <w:vAlign w:val="center"/>
          </w:tcPr>
          <w:p>
            <w:pPr>
              <w:pStyle w:val="125"/>
              <w:widowControl/>
              <w:ind w:firstLine="0" w:firstLineChars="0"/>
              <w:jc w:val="left"/>
              <w:textAlignment w:val="center"/>
              <w:rPr>
                <w:rFonts w:hint="eastAsia" w:ascii="宋体" w:hAnsi="宋体" w:cs="宋体"/>
                <w:color w:val="auto"/>
                <w:sz w:val="22"/>
                <w:szCs w:val="22"/>
                <w:highlight w:val="none"/>
              </w:rPr>
            </w:pPr>
            <w:r>
              <w:rPr>
                <w:rFonts w:ascii="宋体" w:hAnsi="宋体" w:cs="宋体"/>
                <w:color w:val="auto"/>
                <w:sz w:val="22"/>
                <w:szCs w:val="22"/>
                <w:highlight w:val="none"/>
              </w:rPr>
              <w:t>防暴盔甲服：</w:t>
            </w:r>
          </w:p>
          <w:p>
            <w:pPr>
              <w:spacing w:line="276" w:lineRule="auto"/>
              <w:jc w:val="left"/>
              <w:rPr>
                <w:rFonts w:hint="eastAsia" w:ascii="宋体" w:hAnsi="宋体" w:eastAsia="宋体"/>
                <w:b/>
                <w:color w:val="auto"/>
                <w:sz w:val="22"/>
                <w:szCs w:val="22"/>
                <w:highlight w:val="none"/>
              </w:rPr>
            </w:pPr>
            <w:r>
              <w:rPr>
                <w:rFonts w:hint="eastAsia" w:ascii="宋体" w:hAnsi="宋体" w:eastAsia="宋体"/>
                <w:b/>
                <w:color w:val="auto"/>
                <w:sz w:val="22"/>
                <w:szCs w:val="22"/>
                <w:highlight w:val="none"/>
              </w:rPr>
              <w:t>功能用途:</w:t>
            </w:r>
          </w:p>
          <w:p>
            <w:pPr>
              <w:spacing w:line="276" w:lineRule="auto"/>
              <w:ind w:firstLine="440" w:firstLineChars="200"/>
              <w:jc w:val="left"/>
              <w:rPr>
                <w:rFonts w:cs="宋体"/>
                <w:b w:val="0"/>
                <w:bCs w:val="0"/>
                <w:color w:val="auto"/>
                <w:sz w:val="22"/>
                <w:szCs w:val="22"/>
                <w:highlight w:val="none"/>
              </w:rPr>
            </w:pPr>
            <w:r>
              <w:rPr>
                <w:rFonts w:hint="eastAsia" w:cs="宋体"/>
                <w:b w:val="0"/>
                <w:bCs w:val="0"/>
                <w:color w:val="auto"/>
                <w:sz w:val="22"/>
                <w:szCs w:val="22"/>
                <w:highlight w:val="none"/>
              </w:rPr>
              <w:t>防暴服主要用于执行防暴任务时，为处置暴乱人员提供自身防护。能有效防护利器、棍棒、投掷物对人体大部以及关键部位的袭击，同时具有穿着灵活自如、着装时间短及方便携行等特点。</w:t>
            </w:r>
          </w:p>
          <w:p>
            <w:pPr>
              <w:spacing w:line="276" w:lineRule="auto"/>
              <w:rPr>
                <w:rFonts w:ascii="宋体" w:hAnsi="宋体"/>
                <w:b/>
                <w:color w:val="auto"/>
                <w:spacing w:val="-3"/>
                <w:kern w:val="0"/>
                <w:sz w:val="22"/>
                <w:szCs w:val="22"/>
                <w:highlight w:val="none"/>
              </w:rPr>
            </w:pPr>
            <w:r>
              <w:rPr>
                <w:rFonts w:hint="eastAsia" w:ascii="宋体" w:hAnsi="宋体"/>
                <w:b/>
                <w:color w:val="auto"/>
                <w:spacing w:val="-3"/>
                <w:kern w:val="0"/>
                <w:sz w:val="22"/>
                <w:szCs w:val="22"/>
                <w:highlight w:val="none"/>
              </w:rPr>
              <w:t>防暴服规格尺寸：</w:t>
            </w:r>
          </w:p>
          <w:p>
            <w:pPr>
              <w:spacing w:line="276"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应符合165cm-185cm身高的人员穿着，规格为一种，使用者可以根据自身高度截止连接带自行调节。防暴服应穿脱简单方便，着装后不能使两臂的自由运动及人体跪、跳、蹲、跑、俯仰、转体等动作受到明显限制</w:t>
            </w:r>
          </w:p>
          <w:p>
            <w:pPr>
              <w:spacing w:line="276" w:lineRule="auto"/>
              <w:jc w:val="left"/>
              <w:rPr>
                <w:rFonts w:ascii="宋体" w:hAnsi="宋体" w:eastAsia="宋体"/>
                <w:b/>
                <w:color w:val="auto"/>
                <w:sz w:val="22"/>
                <w:szCs w:val="22"/>
                <w:highlight w:val="none"/>
              </w:rPr>
            </w:pPr>
            <w:r>
              <w:rPr>
                <w:rFonts w:hint="eastAsia" w:ascii="宋体" w:hAnsi="宋体" w:eastAsia="宋体"/>
                <w:b/>
                <w:color w:val="auto"/>
                <w:sz w:val="22"/>
                <w:szCs w:val="22"/>
                <w:highlight w:val="none"/>
              </w:rPr>
              <w:t>技术参数：</w:t>
            </w:r>
          </w:p>
          <w:p>
            <w:pPr>
              <w:widowControl/>
              <w:spacing w:line="276" w:lineRule="auto"/>
              <w:jc w:val="left"/>
              <w:textAlignment w:val="center"/>
              <w:rPr>
                <w:rFonts w:ascii="宋体" w:hAnsi="宋体" w:cs="宋体"/>
                <w:bCs/>
                <w:color w:val="auto"/>
                <w:sz w:val="22"/>
                <w:szCs w:val="22"/>
                <w:highlight w:val="none"/>
              </w:rPr>
            </w:pPr>
            <w:r>
              <w:rPr>
                <w:rFonts w:hint="eastAsia"/>
                <w:color w:val="auto"/>
                <w:sz w:val="22"/>
                <w:szCs w:val="22"/>
                <w:highlight w:val="none"/>
              </w:rPr>
              <w:t>▲</w:t>
            </w:r>
            <w:r>
              <w:rPr>
                <w:rFonts w:hint="eastAsia" w:ascii="宋体" w:hAnsi="宋体" w:cs="宋体"/>
                <w:bCs/>
                <w:color w:val="auto"/>
                <w:sz w:val="22"/>
                <w:szCs w:val="22"/>
                <w:highlight w:val="none"/>
              </w:rPr>
              <w:t>1</w:t>
            </w:r>
            <w:r>
              <w:rPr>
                <w:rFonts w:hint="eastAsia" w:ascii="宋体" w:hAnsi="宋体" w:cs="宋体"/>
                <w:color w:val="auto"/>
                <w:sz w:val="22"/>
                <w:szCs w:val="22"/>
                <w:highlight w:val="none"/>
              </w:rPr>
              <w:t>、</w:t>
            </w:r>
            <w:r>
              <w:rPr>
                <w:rFonts w:hint="eastAsia" w:ascii="宋体" w:hAnsi="宋体" w:cs="宋体"/>
                <w:bCs/>
                <w:color w:val="auto"/>
                <w:sz w:val="22"/>
                <w:szCs w:val="22"/>
                <w:highlight w:val="none"/>
              </w:rPr>
              <w:t>前胸、后背、四肢防护层均使用工程塑料成型盔甲及软质吸能材料制作，护挡使用2.5mm厚整体铝板及泡沫制作；</w:t>
            </w:r>
            <w:r>
              <w:rPr>
                <w:rFonts w:hint="eastAsia"/>
                <w:color w:val="auto"/>
                <w:sz w:val="22"/>
                <w:szCs w:val="22"/>
                <w:highlight w:val="none"/>
              </w:rPr>
              <w:t>（须在检测报告中体现）</w:t>
            </w:r>
          </w:p>
          <w:p>
            <w:pPr>
              <w:pStyle w:val="202"/>
              <w:rPr>
                <w:color w:val="auto"/>
                <w:sz w:val="22"/>
                <w:szCs w:val="22"/>
                <w:highlight w:val="none"/>
              </w:rPr>
            </w:pPr>
            <w:r>
              <w:rPr>
                <w:rFonts w:hint="eastAsia"/>
                <w:color w:val="auto"/>
                <w:sz w:val="22"/>
                <w:szCs w:val="22"/>
                <w:highlight w:val="none"/>
              </w:rPr>
              <w:t>▲</w:t>
            </w:r>
            <w:r>
              <w:rPr>
                <w:rFonts w:hint="eastAsia" w:ascii="宋体" w:hAnsi="宋体" w:cs="宋体"/>
                <w:bCs/>
                <w:color w:val="auto"/>
                <w:sz w:val="22"/>
                <w:szCs w:val="22"/>
                <w:highlight w:val="none"/>
              </w:rPr>
              <w:t>2</w:t>
            </w:r>
            <w:r>
              <w:rPr>
                <w:rFonts w:hint="eastAsia" w:ascii="宋体" w:hAnsi="宋体" w:cs="宋体"/>
                <w:color w:val="auto"/>
                <w:sz w:val="22"/>
                <w:szCs w:val="22"/>
                <w:highlight w:val="none"/>
              </w:rPr>
              <w:t>、</w:t>
            </w:r>
            <w:r>
              <w:rPr>
                <w:rFonts w:hint="eastAsia"/>
                <w:color w:val="auto"/>
                <w:sz w:val="22"/>
                <w:szCs w:val="22"/>
                <w:highlight w:val="none"/>
              </w:rPr>
              <w:t>标准型防护面积：前胸及裆部 ≥0.10㎡、后背≥0.10㎡、上肢≥0.18㎡、下肢（含脚背） ≥0.30㎡（须在检测报告中体现）；</w:t>
            </w:r>
          </w:p>
          <w:p>
            <w:pPr>
              <w:widowControl/>
              <w:spacing w:line="276" w:lineRule="auto"/>
              <w:jc w:val="left"/>
              <w:textAlignment w:val="center"/>
              <w:rPr>
                <w:rFonts w:ascii="宋体" w:hAnsi="宋体" w:cs="宋体"/>
                <w:bCs/>
                <w:color w:val="auto"/>
                <w:sz w:val="22"/>
                <w:szCs w:val="22"/>
                <w:highlight w:val="none"/>
              </w:rPr>
            </w:pPr>
            <w:r>
              <w:rPr>
                <w:rFonts w:hint="eastAsia"/>
                <w:color w:val="auto"/>
                <w:sz w:val="22"/>
                <w:szCs w:val="22"/>
                <w:highlight w:val="none"/>
              </w:rPr>
              <w:t>▲</w:t>
            </w:r>
            <w:r>
              <w:rPr>
                <w:rFonts w:hint="eastAsia" w:ascii="宋体" w:hAnsi="宋体" w:cs="宋体"/>
                <w:bCs/>
                <w:color w:val="auto"/>
                <w:sz w:val="22"/>
                <w:szCs w:val="22"/>
                <w:highlight w:val="none"/>
              </w:rPr>
              <w:t>3</w:t>
            </w:r>
            <w:r>
              <w:rPr>
                <w:rFonts w:hint="eastAsia" w:ascii="宋体" w:hAnsi="宋体" w:cs="宋体"/>
                <w:color w:val="auto"/>
                <w:sz w:val="22"/>
                <w:szCs w:val="22"/>
                <w:highlight w:val="none"/>
              </w:rPr>
              <w:t>、</w:t>
            </w:r>
            <w:r>
              <w:rPr>
                <w:rFonts w:hint="eastAsia" w:ascii="宋体" w:hAnsi="宋体" w:cs="宋体"/>
                <w:bCs/>
                <w:color w:val="auto"/>
                <w:sz w:val="22"/>
                <w:szCs w:val="22"/>
                <w:highlight w:val="none"/>
              </w:rPr>
              <w:t>总质量≤7.</w:t>
            </w:r>
            <w:r>
              <w:rPr>
                <w:rFonts w:ascii="宋体" w:hAnsi="宋体" w:cs="宋体"/>
                <w:bCs/>
                <w:color w:val="auto"/>
                <w:sz w:val="22"/>
                <w:szCs w:val="22"/>
                <w:highlight w:val="none"/>
              </w:rPr>
              <w:t>1</w:t>
            </w:r>
            <w:r>
              <w:rPr>
                <w:rFonts w:hint="eastAsia" w:ascii="宋体" w:hAnsi="宋体" w:cs="宋体"/>
                <w:bCs/>
                <w:color w:val="auto"/>
                <w:sz w:val="22"/>
                <w:szCs w:val="22"/>
                <w:highlight w:val="none"/>
              </w:rPr>
              <w:t>kg</w:t>
            </w:r>
            <w:r>
              <w:rPr>
                <w:rFonts w:hint="eastAsia"/>
                <w:color w:val="auto"/>
                <w:sz w:val="22"/>
                <w:szCs w:val="22"/>
                <w:highlight w:val="none"/>
              </w:rPr>
              <w:t>（须在检测报告中体现）</w:t>
            </w:r>
          </w:p>
          <w:p>
            <w:pPr>
              <w:widowControl/>
              <w:spacing w:line="276" w:lineRule="auto"/>
              <w:jc w:val="left"/>
              <w:textAlignment w:val="center"/>
              <w:rPr>
                <w:rFonts w:ascii="宋体" w:hAnsi="宋体" w:cs="宋体"/>
                <w:bCs/>
                <w:color w:val="auto"/>
                <w:sz w:val="22"/>
                <w:szCs w:val="22"/>
                <w:highlight w:val="none"/>
              </w:rPr>
            </w:pPr>
            <w:r>
              <w:rPr>
                <w:rFonts w:hint="eastAsia"/>
                <w:color w:val="auto"/>
                <w:sz w:val="22"/>
                <w:szCs w:val="22"/>
                <w:highlight w:val="none"/>
              </w:rPr>
              <w:t>▲</w:t>
            </w:r>
            <w:r>
              <w:rPr>
                <w:rFonts w:hint="eastAsia" w:ascii="宋体" w:hAnsi="宋体" w:cs="宋体"/>
                <w:bCs/>
                <w:color w:val="auto"/>
                <w:sz w:val="22"/>
                <w:szCs w:val="22"/>
                <w:highlight w:val="none"/>
              </w:rPr>
              <w:t>4</w:t>
            </w:r>
            <w:r>
              <w:rPr>
                <w:rFonts w:hint="eastAsia" w:ascii="宋体" w:hAnsi="宋体" w:cs="宋体"/>
                <w:color w:val="auto"/>
                <w:sz w:val="22"/>
                <w:szCs w:val="22"/>
                <w:highlight w:val="none"/>
              </w:rPr>
              <w:t>、</w:t>
            </w:r>
            <w:r>
              <w:rPr>
                <w:rFonts w:hint="eastAsia" w:ascii="宋体" w:hAnsi="宋体" w:cs="宋体"/>
                <w:bCs/>
                <w:color w:val="auto"/>
                <w:sz w:val="22"/>
                <w:szCs w:val="22"/>
                <w:highlight w:val="none"/>
              </w:rPr>
              <w:t>结构连接强度检验：插扣强力＞5</w:t>
            </w:r>
            <w:r>
              <w:rPr>
                <w:rFonts w:ascii="宋体" w:hAnsi="宋体" w:cs="宋体"/>
                <w:bCs/>
                <w:color w:val="auto"/>
                <w:sz w:val="22"/>
                <w:szCs w:val="22"/>
                <w:highlight w:val="none"/>
              </w:rPr>
              <w:t>00</w:t>
            </w:r>
            <w:r>
              <w:rPr>
                <w:rFonts w:hint="eastAsia" w:ascii="宋体" w:hAnsi="宋体" w:cs="宋体"/>
                <w:bCs/>
                <w:color w:val="auto"/>
                <w:sz w:val="22"/>
                <w:szCs w:val="22"/>
                <w:highlight w:val="none"/>
              </w:rPr>
              <w:t>N；尼龙搭扣的扣合强度＞7.0N</w:t>
            </w:r>
            <w:r>
              <w:rPr>
                <w:rFonts w:ascii="宋体" w:hAnsi="宋体" w:cs="宋体"/>
                <w:bCs/>
                <w:color w:val="auto"/>
                <w:sz w:val="22"/>
                <w:szCs w:val="22"/>
                <w:highlight w:val="none"/>
              </w:rPr>
              <w:t>/cm²；</w:t>
            </w:r>
            <w:r>
              <w:rPr>
                <w:rFonts w:hint="eastAsia" w:ascii="宋体" w:hAnsi="宋体" w:cs="宋体"/>
                <w:bCs/>
                <w:color w:val="auto"/>
                <w:sz w:val="22"/>
                <w:szCs w:val="22"/>
                <w:highlight w:val="none"/>
              </w:rPr>
              <w:t>连接带强力＞2000N；</w:t>
            </w:r>
            <w:r>
              <w:rPr>
                <w:rFonts w:hint="eastAsia"/>
                <w:color w:val="auto"/>
                <w:sz w:val="22"/>
                <w:szCs w:val="22"/>
                <w:highlight w:val="none"/>
              </w:rPr>
              <w:t>（须在检测报告中体现）</w:t>
            </w:r>
          </w:p>
          <w:p>
            <w:pPr>
              <w:widowControl/>
              <w:spacing w:line="276" w:lineRule="auto"/>
              <w:jc w:val="left"/>
              <w:textAlignment w:val="center"/>
              <w:rPr>
                <w:rFonts w:ascii="宋体" w:hAnsi="宋体" w:cs="宋体"/>
                <w:bCs/>
                <w:color w:val="auto"/>
                <w:sz w:val="22"/>
                <w:szCs w:val="22"/>
                <w:highlight w:val="none"/>
              </w:rPr>
            </w:pPr>
            <w:r>
              <w:rPr>
                <w:rFonts w:ascii="宋体" w:hAnsi="宋体" w:cs="宋体"/>
                <w:bCs/>
                <w:color w:val="auto"/>
                <w:sz w:val="22"/>
                <w:szCs w:val="22"/>
                <w:highlight w:val="none"/>
              </w:rPr>
              <w:t>5</w:t>
            </w:r>
            <w:r>
              <w:rPr>
                <w:rFonts w:hint="eastAsia" w:ascii="宋体" w:hAnsi="宋体" w:cs="宋体"/>
                <w:color w:val="auto"/>
                <w:sz w:val="22"/>
                <w:szCs w:val="22"/>
                <w:highlight w:val="none"/>
              </w:rPr>
              <w:t>、</w:t>
            </w:r>
            <w:r>
              <w:rPr>
                <w:rFonts w:hint="eastAsia" w:ascii="宋体" w:hAnsi="宋体" w:cs="宋体"/>
                <w:bCs/>
                <w:color w:val="auto"/>
                <w:sz w:val="22"/>
                <w:szCs w:val="22"/>
                <w:highlight w:val="none"/>
              </w:rPr>
              <w:t>防刺性能：防暴服的前胸、后背及裤裆（不包含拼缝）用GA68-2008规定的标准试验刀具，以20J动能垂直刺入防护部件，刀尖不应穿透</w:t>
            </w:r>
          </w:p>
          <w:p>
            <w:pPr>
              <w:widowControl/>
              <w:spacing w:line="276" w:lineRule="auto"/>
              <w:jc w:val="left"/>
              <w:textAlignment w:val="center"/>
              <w:rPr>
                <w:rFonts w:ascii="宋体" w:hAnsi="宋体" w:cs="宋体"/>
                <w:bCs/>
                <w:color w:val="auto"/>
                <w:sz w:val="22"/>
                <w:szCs w:val="22"/>
                <w:highlight w:val="none"/>
              </w:rPr>
            </w:pPr>
            <w:r>
              <w:rPr>
                <w:rFonts w:hint="eastAsia"/>
                <w:color w:val="auto"/>
                <w:sz w:val="22"/>
                <w:szCs w:val="22"/>
                <w:highlight w:val="none"/>
              </w:rPr>
              <w:t>▲</w:t>
            </w:r>
            <w:r>
              <w:rPr>
                <w:rFonts w:hint="eastAsia" w:ascii="宋体" w:hAnsi="宋体" w:cs="宋体"/>
                <w:bCs/>
                <w:color w:val="auto"/>
                <w:sz w:val="22"/>
                <w:szCs w:val="22"/>
                <w:highlight w:val="none"/>
              </w:rPr>
              <w:t>6、防护部件表面燃烧后的续燃时间 应小于等于10s</w:t>
            </w:r>
            <w:r>
              <w:rPr>
                <w:rFonts w:hint="eastAsia"/>
                <w:color w:val="auto"/>
                <w:sz w:val="22"/>
                <w:szCs w:val="22"/>
                <w:highlight w:val="none"/>
              </w:rPr>
              <w:t>（须在检测报告中体现）</w:t>
            </w:r>
          </w:p>
          <w:p>
            <w:pPr>
              <w:widowControl/>
              <w:spacing w:line="276" w:lineRule="auto"/>
              <w:jc w:val="left"/>
              <w:textAlignment w:val="center"/>
              <w:rPr>
                <w:rFonts w:ascii="宋体" w:hAnsi="宋体" w:cs="宋体"/>
                <w:bCs/>
                <w:color w:val="auto"/>
                <w:sz w:val="22"/>
                <w:szCs w:val="22"/>
                <w:highlight w:val="none"/>
              </w:rPr>
            </w:pPr>
            <w:r>
              <w:rPr>
                <w:rFonts w:hint="eastAsia" w:ascii="宋体" w:hAnsi="宋体" w:cs="宋体"/>
                <w:bCs/>
                <w:color w:val="auto"/>
                <w:sz w:val="22"/>
                <w:szCs w:val="22"/>
                <w:highlight w:val="none"/>
              </w:rPr>
              <w:t>7</w:t>
            </w:r>
            <w:r>
              <w:rPr>
                <w:rFonts w:hint="eastAsia" w:ascii="宋体" w:hAnsi="宋体" w:cs="宋体"/>
                <w:color w:val="auto"/>
                <w:sz w:val="22"/>
                <w:szCs w:val="22"/>
                <w:highlight w:val="none"/>
              </w:rPr>
              <w:t>、</w:t>
            </w:r>
            <w:r>
              <w:rPr>
                <w:rFonts w:hint="eastAsia" w:ascii="宋体" w:hAnsi="宋体" w:cs="宋体"/>
                <w:bCs/>
                <w:color w:val="auto"/>
                <w:sz w:val="22"/>
                <w:szCs w:val="22"/>
                <w:highlight w:val="none"/>
              </w:rPr>
              <w:t>耐冲击试验：将防暴服任意防护部件置于刚性平面上，以120J能量冲击，相应部件不应破损、开裂；</w:t>
            </w:r>
          </w:p>
          <w:p>
            <w:pPr>
              <w:widowControl/>
              <w:spacing w:line="276" w:lineRule="auto"/>
              <w:jc w:val="left"/>
              <w:textAlignment w:val="center"/>
              <w:rPr>
                <w:rFonts w:ascii="宋体" w:hAnsi="宋体" w:cs="宋体"/>
                <w:bCs/>
                <w:color w:val="auto"/>
                <w:sz w:val="22"/>
                <w:szCs w:val="22"/>
                <w:highlight w:val="none"/>
              </w:rPr>
            </w:pPr>
            <w:r>
              <w:rPr>
                <w:rFonts w:hint="eastAsia"/>
                <w:color w:val="auto"/>
                <w:sz w:val="22"/>
                <w:szCs w:val="22"/>
                <w:highlight w:val="none"/>
              </w:rPr>
              <w:t>▲</w:t>
            </w:r>
            <w:r>
              <w:rPr>
                <w:rFonts w:ascii="宋体" w:hAnsi="宋体" w:cs="宋体"/>
                <w:bCs/>
                <w:color w:val="auto"/>
                <w:sz w:val="22"/>
                <w:szCs w:val="22"/>
                <w:highlight w:val="none"/>
              </w:rPr>
              <w:t>8、</w:t>
            </w:r>
            <w:r>
              <w:rPr>
                <w:rFonts w:hint="eastAsia" w:ascii="宋体" w:hAnsi="宋体" w:cs="宋体"/>
                <w:bCs/>
                <w:color w:val="auto"/>
                <w:sz w:val="22"/>
                <w:szCs w:val="22"/>
                <w:highlight w:val="none"/>
              </w:rPr>
              <w:t>击打能量吸收性能检验：将防暴服的前胸、后背分别平放于标准胶泥上，以100J的能量冲击，胶泥压痕深度不超过20mm</w:t>
            </w:r>
            <w:r>
              <w:rPr>
                <w:rFonts w:hint="eastAsia"/>
                <w:color w:val="auto"/>
                <w:sz w:val="22"/>
                <w:szCs w:val="22"/>
                <w:highlight w:val="none"/>
              </w:rPr>
              <w:t>（须在检测报告中体现）</w:t>
            </w:r>
          </w:p>
          <w:p>
            <w:pPr>
              <w:widowControl/>
              <w:spacing w:line="276" w:lineRule="auto"/>
              <w:jc w:val="left"/>
              <w:textAlignment w:val="center"/>
              <w:rPr>
                <w:rFonts w:ascii="宋体" w:hAnsi="宋体" w:cs="宋体"/>
                <w:bCs/>
                <w:color w:val="auto"/>
                <w:sz w:val="22"/>
                <w:szCs w:val="22"/>
                <w:highlight w:val="none"/>
              </w:rPr>
            </w:pPr>
            <w:r>
              <w:rPr>
                <w:rFonts w:ascii="宋体" w:hAnsi="宋体" w:cs="宋体"/>
                <w:bCs/>
                <w:color w:val="auto"/>
                <w:sz w:val="22"/>
                <w:szCs w:val="22"/>
                <w:highlight w:val="none"/>
              </w:rPr>
              <w:t>9、</w:t>
            </w:r>
            <w:r>
              <w:rPr>
                <w:rFonts w:hint="eastAsia" w:ascii="宋体" w:hAnsi="宋体" w:cs="宋体"/>
                <w:bCs/>
                <w:color w:val="auto"/>
                <w:sz w:val="22"/>
                <w:szCs w:val="22"/>
                <w:highlight w:val="none"/>
              </w:rPr>
              <w:t>高低温性能：将防暴服放入在高温+55℃±2℃ - 低温-20±2℃恒温箱内保持4h后，进行防刺性能，检验结果应该满足防刺性能要求</w:t>
            </w:r>
          </w:p>
          <w:p>
            <w:pPr>
              <w:spacing w:line="276" w:lineRule="auto"/>
              <w:rPr>
                <w:rFonts w:ascii="宋体" w:hAnsi="宋体" w:eastAsia="宋体"/>
                <w:color w:val="auto"/>
                <w:sz w:val="22"/>
                <w:szCs w:val="22"/>
                <w:highlight w:val="none"/>
              </w:rPr>
            </w:pPr>
            <w:r>
              <w:rPr>
                <w:rFonts w:hint="eastAsia" w:eastAsia="宋体"/>
                <w:color w:val="auto"/>
                <w:sz w:val="22"/>
                <w:szCs w:val="22"/>
                <w:highlight w:val="none"/>
              </w:rPr>
              <w:t>▲10、防暴服</w:t>
            </w:r>
            <w:r>
              <w:rPr>
                <w:rFonts w:hint="eastAsia" w:ascii="宋体" w:hAnsi="宋体" w:eastAsia="宋体"/>
                <w:color w:val="auto"/>
                <w:sz w:val="22"/>
                <w:szCs w:val="22"/>
                <w:highlight w:val="none"/>
              </w:rPr>
              <w:t>缓冲层材料（PA6片材）：</w:t>
            </w:r>
            <w:r>
              <w:rPr>
                <w:rFonts w:hint="eastAsia" w:ascii="宋体" w:hAnsi="宋体" w:eastAsia="宋体"/>
                <w:color w:val="auto"/>
                <w:spacing w:val="0"/>
                <w:kern w:val="2"/>
                <w:sz w:val="22"/>
                <w:szCs w:val="22"/>
                <w:highlight w:val="none"/>
              </w:rPr>
              <w:t>拉伸强度</w:t>
            </w:r>
            <w:r>
              <w:rPr>
                <w:rFonts w:ascii="宋体" w:hAnsi="宋体" w:eastAsia="宋体"/>
                <w:color w:val="auto"/>
                <w:spacing w:val="0"/>
                <w:kern w:val="2"/>
                <w:sz w:val="22"/>
                <w:szCs w:val="22"/>
                <w:highlight w:val="none"/>
              </w:rPr>
              <w:t>( 10mm/min)：≥</w:t>
            </w:r>
            <w:r>
              <w:rPr>
                <w:rFonts w:hint="eastAsia" w:ascii="宋体" w:hAnsi="宋体" w:eastAsia="宋体"/>
                <w:color w:val="auto"/>
                <w:spacing w:val="0"/>
                <w:kern w:val="2"/>
                <w:sz w:val="22"/>
                <w:szCs w:val="22"/>
                <w:highlight w:val="none"/>
              </w:rPr>
              <w:t>20MPa、断裂伸长率</w:t>
            </w:r>
            <w:r>
              <w:rPr>
                <w:rFonts w:ascii="宋体" w:hAnsi="宋体" w:eastAsia="宋体"/>
                <w:color w:val="auto"/>
                <w:spacing w:val="0"/>
                <w:kern w:val="2"/>
                <w:sz w:val="22"/>
                <w:szCs w:val="22"/>
                <w:highlight w:val="none"/>
              </w:rPr>
              <w:t>( 10mm/min) ：≥</w:t>
            </w:r>
            <w:r>
              <w:rPr>
                <w:rFonts w:hint="eastAsia" w:ascii="宋体" w:hAnsi="宋体" w:eastAsia="宋体"/>
                <w:color w:val="auto"/>
                <w:spacing w:val="0"/>
                <w:kern w:val="2"/>
                <w:sz w:val="22"/>
                <w:szCs w:val="22"/>
                <w:highlight w:val="none"/>
              </w:rPr>
              <w:t>100%、垂直燃烧后10s内自动熄灭；提供国家认证认可监督管理委员会资质认定（CMA）报告</w:t>
            </w:r>
            <w:r>
              <w:rPr>
                <w:rFonts w:hint="eastAsia" w:ascii="宋体" w:hAnsi="宋体" w:eastAsia="宋体"/>
                <w:color w:val="auto"/>
                <w:sz w:val="22"/>
                <w:szCs w:val="22"/>
                <w:highlight w:val="none"/>
              </w:rPr>
              <w:t>；</w:t>
            </w:r>
          </w:p>
          <w:p>
            <w:pPr>
              <w:spacing w:line="276" w:lineRule="auto"/>
              <w:rPr>
                <w:rFonts w:hint="eastAsia" w:eastAsia="宋体"/>
                <w:color w:val="auto"/>
                <w:sz w:val="22"/>
                <w:szCs w:val="22"/>
                <w:highlight w:val="none"/>
                <w:lang w:eastAsia="zh-CN"/>
              </w:rPr>
            </w:pPr>
            <w:r>
              <w:rPr>
                <w:rFonts w:hint="eastAsia" w:eastAsia="宋体"/>
                <w:color w:val="auto"/>
                <w:sz w:val="22"/>
                <w:szCs w:val="22"/>
                <w:highlight w:val="none"/>
              </w:rPr>
              <w:t>▲</w:t>
            </w:r>
            <w:r>
              <w:rPr>
                <w:rFonts w:hint="eastAsia" w:ascii="宋体" w:hAnsi="宋体" w:eastAsia="宋体"/>
                <w:color w:val="auto"/>
                <w:sz w:val="22"/>
                <w:szCs w:val="22"/>
                <w:highlight w:val="none"/>
              </w:rPr>
              <w:t>1</w:t>
            </w:r>
            <w:r>
              <w:rPr>
                <w:rFonts w:ascii="宋体" w:hAnsi="宋体" w:eastAsia="宋体"/>
                <w:color w:val="auto"/>
                <w:sz w:val="22"/>
                <w:szCs w:val="22"/>
                <w:highlight w:val="none"/>
              </w:rPr>
              <w:t>1、</w:t>
            </w:r>
            <w:r>
              <w:rPr>
                <w:rFonts w:hint="eastAsia" w:ascii="宋体" w:hAnsi="宋体" w:eastAsia="宋体"/>
                <w:color w:val="auto"/>
                <w:sz w:val="22"/>
                <w:szCs w:val="22"/>
                <w:highlight w:val="none"/>
              </w:rPr>
              <w:t>防暴服主面料：耐光色牢度(级) ＞4，耐刷洗色牢度(级) ＞4；提供公安部出具的检测报告复印件；</w:t>
            </w:r>
          </w:p>
          <w:p>
            <w:pPr>
              <w:widowControl/>
              <w:spacing w:line="276" w:lineRule="auto"/>
              <w:jc w:val="left"/>
              <w:textAlignment w:val="center"/>
              <w:rPr>
                <w:rFonts w:ascii="宋体" w:hAnsi="宋体" w:cs="宋体"/>
                <w:bCs/>
                <w:color w:val="auto"/>
                <w:sz w:val="22"/>
                <w:szCs w:val="22"/>
                <w:highlight w:val="none"/>
              </w:rPr>
            </w:pPr>
            <w:r>
              <w:rPr>
                <w:rFonts w:ascii="宋体" w:hAnsi="宋体" w:cs="宋体"/>
                <w:bCs/>
                <w:color w:val="auto"/>
                <w:sz w:val="22"/>
                <w:szCs w:val="22"/>
                <w:highlight w:val="none"/>
              </w:rPr>
              <w:t>12</w:t>
            </w:r>
            <w:r>
              <w:rPr>
                <w:rFonts w:hint="eastAsia" w:ascii="宋体" w:hAnsi="宋体" w:cs="宋体"/>
                <w:bCs/>
                <w:color w:val="auto"/>
                <w:sz w:val="22"/>
                <w:szCs w:val="22"/>
                <w:highlight w:val="none"/>
              </w:rPr>
              <w:t>、执行标准：GA420-2008警用防暴服</w:t>
            </w:r>
          </w:p>
          <w:p>
            <w:pPr>
              <w:widowControl/>
              <w:spacing w:line="276" w:lineRule="auto"/>
              <w:jc w:val="left"/>
              <w:textAlignment w:val="center"/>
              <w:rPr>
                <w:rFonts w:ascii="宋体" w:hAnsi="宋体" w:cs="宋体"/>
                <w:b/>
                <w:color w:val="auto"/>
                <w:sz w:val="22"/>
                <w:szCs w:val="22"/>
                <w:highlight w:val="none"/>
              </w:rPr>
            </w:pPr>
            <w:r>
              <w:rPr>
                <w:rFonts w:hint="eastAsia"/>
                <w:color w:val="auto"/>
                <w:sz w:val="22"/>
                <w:szCs w:val="22"/>
                <w:highlight w:val="none"/>
              </w:rPr>
              <w:t>▲</w:t>
            </w:r>
            <w:r>
              <w:rPr>
                <w:rFonts w:ascii="宋体" w:hAnsi="宋体" w:cs="宋体"/>
                <w:bCs/>
                <w:color w:val="auto"/>
                <w:sz w:val="22"/>
                <w:szCs w:val="22"/>
                <w:highlight w:val="none"/>
              </w:rPr>
              <w:t>13</w:t>
            </w:r>
            <w:r>
              <w:rPr>
                <w:rFonts w:hint="eastAsia" w:ascii="宋体" w:hAnsi="宋体" w:cs="宋体"/>
                <w:bCs/>
                <w:color w:val="auto"/>
                <w:sz w:val="22"/>
                <w:szCs w:val="22"/>
                <w:highlight w:val="none"/>
              </w:rPr>
              <w:t>、提</w:t>
            </w:r>
            <w:r>
              <w:rPr>
                <w:rFonts w:hint="eastAsia" w:ascii="宋体" w:hAnsi="宋体" w:cs="宋体"/>
                <w:b/>
                <w:bCs/>
                <w:color w:val="auto"/>
                <w:sz w:val="22"/>
                <w:szCs w:val="22"/>
                <w:highlight w:val="none"/>
              </w:rPr>
              <w:t>供公安部特种警用装备质量检验中心出具的</w:t>
            </w:r>
            <w:r>
              <w:rPr>
                <w:rFonts w:hint="eastAsia" w:ascii="宋体" w:hAnsi="宋体" w:cs="宋体"/>
                <w:b/>
                <w:color w:val="auto"/>
                <w:sz w:val="22"/>
                <w:szCs w:val="22"/>
                <w:highlight w:val="none"/>
              </w:rPr>
              <w:t>检测报告复印件</w:t>
            </w:r>
          </w:p>
          <w:p>
            <w:pPr>
              <w:widowControl/>
              <w:spacing w:line="276" w:lineRule="auto"/>
              <w:jc w:val="left"/>
              <w:textAlignment w:val="center"/>
              <w:rPr>
                <w:rFonts w:ascii="宋体" w:hAnsi="宋体" w:cs="宋体"/>
                <w:b/>
                <w:color w:val="auto"/>
                <w:sz w:val="22"/>
                <w:szCs w:val="22"/>
                <w:highlight w:val="none"/>
              </w:rPr>
            </w:pPr>
            <w:r>
              <w:rPr>
                <w:rFonts w:ascii="宋体" w:hAnsi="宋体" w:cs="宋体"/>
                <w:b/>
                <w:color w:val="auto"/>
                <w:sz w:val="22"/>
                <w:szCs w:val="22"/>
                <w:highlight w:val="none"/>
              </w:rPr>
              <w:t>14</w:t>
            </w:r>
            <w:r>
              <w:rPr>
                <w:rFonts w:hint="eastAsia" w:ascii="宋体" w:hAnsi="宋体" w:cs="宋体"/>
                <w:b/>
                <w:color w:val="auto"/>
                <w:sz w:val="22"/>
                <w:szCs w:val="22"/>
                <w:highlight w:val="none"/>
              </w:rPr>
              <w:t>、提供产品不低于5年600万人民币责任险，提供保险证明材料复印件（加盖生产企业公章）；</w:t>
            </w:r>
          </w:p>
          <w:p>
            <w:pPr>
              <w:spacing w:before="156" w:beforeLines="50" w:line="276" w:lineRule="auto"/>
              <w:rPr>
                <w:rFonts w:ascii="宋体" w:hAnsi="宋体"/>
                <w:color w:val="auto"/>
                <w:sz w:val="22"/>
                <w:szCs w:val="22"/>
                <w:highlight w:val="none"/>
              </w:rPr>
            </w:pPr>
            <w:r>
              <w:rPr>
                <w:rFonts w:ascii="宋体" w:hAnsi="宋体"/>
                <w:color w:val="auto"/>
                <w:sz w:val="22"/>
                <w:szCs w:val="22"/>
                <w:highlight w:val="none"/>
              </w:rPr>
              <w:t>15</w:t>
            </w:r>
            <w:r>
              <w:rPr>
                <w:rFonts w:hint="eastAsia" w:ascii="宋体" w:hAnsi="宋体"/>
                <w:color w:val="auto"/>
                <w:sz w:val="22"/>
                <w:szCs w:val="22"/>
                <w:highlight w:val="none"/>
              </w:rPr>
              <w:t>、提供公安部特种装备质量监督检验中心出具的检测报告复印件；；</w:t>
            </w:r>
          </w:p>
          <w:p>
            <w:pPr>
              <w:spacing w:line="276" w:lineRule="auto"/>
              <w:rPr>
                <w:rFonts w:eastAsia="宋体"/>
                <w:color w:val="auto"/>
                <w:sz w:val="22"/>
                <w:szCs w:val="22"/>
                <w:highlight w:val="none"/>
              </w:rPr>
            </w:pPr>
            <w:r>
              <w:rPr>
                <w:rFonts w:hint="eastAsia" w:eastAsia="宋体"/>
                <w:color w:val="auto"/>
                <w:sz w:val="22"/>
                <w:szCs w:val="22"/>
                <w:highlight w:val="none"/>
              </w:rPr>
              <w:t xml:space="preserve">▲ </w:t>
            </w:r>
            <w:r>
              <w:rPr>
                <w:rFonts w:eastAsia="宋体"/>
                <w:color w:val="auto"/>
                <w:sz w:val="22"/>
                <w:szCs w:val="22"/>
                <w:highlight w:val="none"/>
              </w:rPr>
              <w:t>16</w:t>
            </w:r>
            <w:r>
              <w:rPr>
                <w:rFonts w:hint="eastAsia" w:eastAsia="宋体"/>
                <w:color w:val="auto"/>
                <w:sz w:val="22"/>
                <w:szCs w:val="22"/>
                <w:highlight w:val="none"/>
              </w:rPr>
              <w:t>、携行包面料：牛津布，防水、防污涂层，具有防尘耐油污、耐磨和防泼水性；</w:t>
            </w:r>
          </w:p>
          <w:p>
            <w:pPr>
              <w:spacing w:line="276" w:lineRule="auto"/>
              <w:rPr>
                <w:rFonts w:eastAsia="宋体"/>
                <w:color w:val="auto"/>
                <w:sz w:val="22"/>
                <w:szCs w:val="22"/>
                <w:highlight w:val="none"/>
              </w:rPr>
            </w:pPr>
            <w:r>
              <w:rPr>
                <w:rFonts w:hint="eastAsia" w:eastAsia="宋体"/>
                <w:color w:val="auto"/>
                <w:sz w:val="22"/>
                <w:szCs w:val="22"/>
                <w:highlight w:val="none"/>
              </w:rPr>
              <w:t>▲</w:t>
            </w:r>
            <w:r>
              <w:rPr>
                <w:rFonts w:eastAsia="宋体"/>
                <w:color w:val="auto"/>
                <w:sz w:val="22"/>
                <w:szCs w:val="22"/>
                <w:highlight w:val="none"/>
              </w:rPr>
              <w:t>17、</w:t>
            </w:r>
            <w:r>
              <w:rPr>
                <w:rFonts w:hint="eastAsia" w:eastAsia="宋体"/>
                <w:color w:val="auto"/>
                <w:sz w:val="22"/>
                <w:szCs w:val="22"/>
                <w:highlight w:val="none"/>
              </w:rPr>
              <w:t>所用尼龙机织带，断裂强力（N）≥2000，断裂伸长率(%)≥45，按照FZ/T 65002-1995标准测试，检测报告封面具有CMA和CNAS 标志。提供检测报告扫描件；</w:t>
            </w:r>
          </w:p>
          <w:p>
            <w:pPr>
              <w:spacing w:line="276" w:lineRule="auto"/>
              <w:rPr>
                <w:rFonts w:eastAsia="宋体"/>
                <w:color w:val="auto"/>
                <w:sz w:val="22"/>
                <w:szCs w:val="22"/>
                <w:highlight w:val="none"/>
              </w:rPr>
            </w:pPr>
            <w:r>
              <w:rPr>
                <w:rFonts w:hint="eastAsia" w:eastAsia="宋体"/>
                <w:color w:val="auto"/>
                <w:sz w:val="22"/>
                <w:szCs w:val="22"/>
                <w:highlight w:val="none"/>
              </w:rPr>
              <w:t>▲</w:t>
            </w:r>
            <w:r>
              <w:rPr>
                <w:rFonts w:eastAsia="宋体"/>
                <w:color w:val="auto"/>
                <w:sz w:val="22"/>
                <w:szCs w:val="22"/>
                <w:highlight w:val="none"/>
              </w:rPr>
              <w:t>18</w:t>
            </w:r>
            <w:r>
              <w:rPr>
                <w:rFonts w:hint="eastAsia" w:eastAsia="宋体"/>
                <w:color w:val="auto"/>
                <w:sz w:val="22"/>
                <w:szCs w:val="22"/>
                <w:highlight w:val="none"/>
              </w:rPr>
              <w:t>、面料带具有抑菌功效，抑菌功能材料提供通过国家认证认可监督管理委员会资质认定（CMA）和中国合格评定国家认可委员会试验室认可（CNAS）的省级和省级以上检测机构出具的报告；</w:t>
            </w:r>
          </w:p>
          <w:p>
            <w:pPr>
              <w:spacing w:line="276" w:lineRule="auto"/>
              <w:rPr>
                <w:rFonts w:eastAsia="宋体"/>
                <w:color w:val="auto"/>
                <w:sz w:val="22"/>
                <w:szCs w:val="22"/>
                <w:highlight w:val="none"/>
              </w:rPr>
            </w:pPr>
            <w:r>
              <w:rPr>
                <w:rFonts w:hint="eastAsia" w:eastAsia="宋体"/>
                <w:color w:val="auto"/>
                <w:sz w:val="22"/>
                <w:szCs w:val="22"/>
                <w:highlight w:val="none"/>
              </w:rPr>
              <w:t>▲</w:t>
            </w:r>
            <w:r>
              <w:rPr>
                <w:rFonts w:eastAsia="宋体"/>
                <w:color w:val="auto"/>
                <w:sz w:val="22"/>
                <w:szCs w:val="22"/>
                <w:highlight w:val="none"/>
              </w:rPr>
              <w:t>19</w:t>
            </w:r>
            <w:r>
              <w:rPr>
                <w:rFonts w:hint="eastAsia" w:eastAsia="宋体"/>
                <w:color w:val="auto"/>
                <w:sz w:val="22"/>
                <w:szCs w:val="22"/>
                <w:highlight w:val="none"/>
              </w:rPr>
              <w:t>、护手套由半指皮手套(带缓冲垫)和手背防护件组成；须提供由“通过国家认证认可监督管理委员会资质审批的检验检测机构”出具的本投标产品的检测报告（复印件加盖投标人公章）。</w:t>
            </w:r>
          </w:p>
          <w:p>
            <w:pPr>
              <w:numPr>
                <w:ilvl w:val="0"/>
                <w:numId w:val="49"/>
              </w:numPr>
              <w:rPr>
                <w:rFonts w:ascii="宋体" w:hAnsi="宋体"/>
                <w:b/>
                <w:color w:val="auto"/>
                <w:sz w:val="22"/>
                <w:szCs w:val="22"/>
                <w:highlight w:val="none"/>
              </w:rPr>
            </w:pPr>
            <w:r>
              <w:rPr>
                <w:rFonts w:ascii="宋体" w:hAnsi="宋体"/>
                <w:b/>
                <w:color w:val="auto"/>
                <w:sz w:val="22"/>
                <w:szCs w:val="22"/>
                <w:highlight w:val="none"/>
              </w:rPr>
              <w:t>通信防暴头盔：</w:t>
            </w:r>
          </w:p>
          <w:p>
            <w:pPr>
              <w:rPr>
                <w:rFonts w:ascii="宋体" w:hAnsi="宋体"/>
                <w:color w:val="auto"/>
                <w:sz w:val="22"/>
                <w:szCs w:val="22"/>
                <w:highlight w:val="none"/>
              </w:rPr>
            </w:pPr>
            <w:r>
              <w:rPr>
                <w:rFonts w:hint="eastAsia" w:ascii="宋体" w:hAnsi="宋体"/>
                <w:color w:val="auto"/>
                <w:sz w:val="22"/>
                <w:szCs w:val="22"/>
                <w:highlight w:val="none"/>
              </w:rPr>
              <w:t>1、头盔部分除盔型以外其他技术参数完全符合公安部《GA 294-2012警用防暴头盔》的标准；</w:t>
            </w:r>
          </w:p>
          <w:p>
            <w:pPr>
              <w:rPr>
                <w:rFonts w:ascii="宋体" w:hAnsi="宋体"/>
                <w:color w:val="auto"/>
                <w:sz w:val="22"/>
                <w:szCs w:val="22"/>
                <w:highlight w:val="none"/>
              </w:rPr>
            </w:pPr>
            <w:r>
              <w:rPr>
                <w:rFonts w:hint="eastAsia" w:ascii="宋体" w:hAnsi="宋体"/>
                <w:color w:val="auto"/>
                <w:sz w:val="22"/>
                <w:szCs w:val="22"/>
                <w:highlight w:val="none"/>
              </w:rPr>
              <w:t>2、壳体材料为ABS/PC合金，内衬为悬挂通风透气系统，护耳可拆洗，帽顶深浅可调可拆洗，头围大小可调节，帽圈上有可拆卸吸汗网眼布，护颈可防砍、可拆卸；</w:t>
            </w:r>
          </w:p>
          <w:p>
            <w:pPr>
              <w:rPr>
                <w:rFonts w:ascii="宋体" w:hAnsi="宋体"/>
                <w:color w:val="auto"/>
                <w:sz w:val="22"/>
                <w:szCs w:val="22"/>
                <w:highlight w:val="none"/>
              </w:rPr>
            </w:pPr>
            <w:r>
              <w:rPr>
                <w:rFonts w:hint="eastAsia" w:ascii="宋体" w:hAnsi="宋体"/>
                <w:color w:val="auto"/>
                <w:sz w:val="22"/>
                <w:szCs w:val="22"/>
                <w:highlight w:val="none"/>
              </w:rPr>
              <w:t>3、通信部分完全按照公安部列入装备序列的“新型防暴通信头盔”技术标准执行。通话器为嵌入式，线材为凯夫拉线材，耐拉，摇摆1万次不破损。五芯插座耐插拔次数大于4000次，线间PTT和手指PTT使用次数大于3万次。需要根据对讲机型号匹配连接对讲机的线材；</w:t>
            </w:r>
          </w:p>
          <w:p>
            <w:pPr>
              <w:rPr>
                <w:rFonts w:ascii="宋体" w:hAnsi="宋体"/>
                <w:color w:val="auto"/>
                <w:sz w:val="22"/>
                <w:szCs w:val="22"/>
                <w:highlight w:val="none"/>
              </w:rPr>
            </w:pPr>
            <w:r>
              <w:rPr>
                <w:rFonts w:hint="eastAsia" w:ascii="宋体" w:hAnsi="宋体"/>
                <w:color w:val="auto"/>
                <w:sz w:val="22"/>
                <w:szCs w:val="22"/>
                <w:highlight w:val="none"/>
              </w:rPr>
              <w:t>4、壳体材料:头盔壳体采用ABS材料一次性高压注塑成型；</w:t>
            </w:r>
          </w:p>
          <w:p>
            <w:pPr>
              <w:rPr>
                <w:rFonts w:ascii="宋体" w:hAnsi="宋体"/>
                <w:color w:val="auto"/>
                <w:sz w:val="22"/>
                <w:szCs w:val="22"/>
                <w:highlight w:val="none"/>
              </w:rPr>
            </w:pPr>
            <w:r>
              <w:rPr>
                <w:rFonts w:hint="eastAsia" w:ascii="宋体" w:hAnsi="宋体"/>
                <w:color w:val="auto"/>
                <w:sz w:val="22"/>
                <w:szCs w:val="22"/>
                <w:highlight w:val="none"/>
              </w:rPr>
              <w:t>5.面罩材料:头盔防护面罩采用进口聚碳酸酯（PC）原料一次性高压注塑成型，并进行了内防雾，外硬化的工艺处理。面罩连接配件和耳件全部采用不锈钢材质，使用寿命长，不生锈。根据人的脸部外形设计为凸面造型，有效拉开镜片与眼、鼻的接触距离；</w:t>
            </w:r>
          </w:p>
          <w:p>
            <w:pPr>
              <w:rPr>
                <w:rFonts w:ascii="宋体" w:hAnsi="宋体"/>
                <w:color w:val="auto"/>
                <w:sz w:val="22"/>
                <w:szCs w:val="22"/>
                <w:highlight w:val="none"/>
              </w:rPr>
            </w:pPr>
            <w:r>
              <w:rPr>
                <w:rFonts w:hint="eastAsia" w:ascii="宋体" w:hAnsi="宋体"/>
                <w:color w:val="auto"/>
                <w:sz w:val="22"/>
                <w:szCs w:val="22"/>
                <w:highlight w:val="none"/>
              </w:rPr>
              <w:t>6.内饰特点:头盔缓冲层为进口可发性EPS材料，对人体无毒、无害。头盔帽顶设计为六点四带软连接，帽顶深浅可调节。帽顶、后托、护耳可拆洗，帽顶、帽箍可调节。头盔带有后托：佩戴牢固稳定、前后不出现晃动现象。帽带卡扣采用黄铜电镀处理装配工艺，抗拉力强、防腐蚀、不生锈，连接牢固，解脱方便；</w:t>
            </w:r>
          </w:p>
          <w:p>
            <w:pPr>
              <w:rPr>
                <w:rFonts w:ascii="宋体" w:hAnsi="宋体"/>
                <w:color w:val="auto"/>
                <w:sz w:val="22"/>
                <w:szCs w:val="22"/>
                <w:highlight w:val="none"/>
              </w:rPr>
            </w:pPr>
            <w:r>
              <w:rPr>
                <w:rFonts w:hint="eastAsia" w:ascii="宋体" w:hAnsi="宋体"/>
                <w:color w:val="auto"/>
                <w:sz w:val="22"/>
                <w:szCs w:val="22"/>
                <w:highlight w:val="none"/>
              </w:rPr>
              <w:t>7.表面装璜:采用美国3M工程级反光膜，长年经风吹、日晒、雨淋均不变色、不脱落；</w:t>
            </w:r>
          </w:p>
          <w:p>
            <w:pPr>
              <w:rPr>
                <w:rFonts w:ascii="宋体" w:hAnsi="宋体"/>
                <w:color w:val="auto"/>
                <w:sz w:val="22"/>
                <w:szCs w:val="22"/>
                <w:highlight w:val="none"/>
              </w:rPr>
            </w:pPr>
            <w:r>
              <w:rPr>
                <w:rFonts w:hint="eastAsia" w:ascii="宋体" w:hAnsi="宋体"/>
                <w:color w:val="auto"/>
                <w:sz w:val="22"/>
                <w:szCs w:val="22"/>
                <w:highlight w:val="none"/>
              </w:rPr>
              <w:t>通信系统：我厂防暴头盔配有通信系统；</w:t>
            </w:r>
          </w:p>
          <w:p>
            <w:pPr>
              <w:rPr>
                <w:rFonts w:ascii="宋体" w:hAnsi="宋体"/>
                <w:color w:val="auto"/>
                <w:sz w:val="22"/>
                <w:szCs w:val="22"/>
                <w:highlight w:val="none"/>
              </w:rPr>
            </w:pPr>
            <w:r>
              <w:rPr>
                <w:rFonts w:hint="eastAsia" w:ascii="宋体" w:hAnsi="宋体"/>
                <w:color w:val="auto"/>
                <w:sz w:val="22"/>
                <w:szCs w:val="22"/>
                <w:highlight w:val="none"/>
              </w:rPr>
              <w:t>8.通话器：通话器采用嵌入式；</w:t>
            </w:r>
          </w:p>
          <w:p>
            <w:pPr>
              <w:rPr>
                <w:rFonts w:ascii="宋体" w:hAnsi="宋体"/>
                <w:color w:val="auto"/>
                <w:sz w:val="22"/>
                <w:szCs w:val="22"/>
                <w:highlight w:val="none"/>
              </w:rPr>
            </w:pPr>
            <w:r>
              <w:rPr>
                <w:rFonts w:hint="eastAsia" w:ascii="宋体" w:hAnsi="宋体"/>
                <w:color w:val="auto"/>
                <w:sz w:val="22"/>
                <w:szCs w:val="22"/>
                <w:highlight w:val="none"/>
              </w:rPr>
              <w:t>9.凯芙拉线材：抗折耐拉，摇摆1万次不破损；</w:t>
            </w:r>
          </w:p>
          <w:p>
            <w:pPr>
              <w:rPr>
                <w:rFonts w:ascii="宋体" w:hAnsi="宋体"/>
                <w:color w:val="auto"/>
                <w:sz w:val="22"/>
                <w:szCs w:val="22"/>
                <w:highlight w:val="none"/>
              </w:rPr>
            </w:pPr>
            <w:r>
              <w:rPr>
                <w:rFonts w:hint="eastAsia" w:ascii="宋体" w:hAnsi="宋体"/>
                <w:color w:val="auto"/>
                <w:sz w:val="22"/>
                <w:szCs w:val="22"/>
                <w:highlight w:val="none"/>
              </w:rPr>
              <w:t>10.五芯插座耐插拔次数：大于4千次；</w:t>
            </w:r>
          </w:p>
          <w:p>
            <w:pPr>
              <w:rPr>
                <w:rFonts w:ascii="宋体" w:hAnsi="宋体"/>
                <w:color w:val="auto"/>
                <w:sz w:val="22"/>
                <w:szCs w:val="22"/>
                <w:highlight w:val="none"/>
              </w:rPr>
            </w:pPr>
            <w:r>
              <w:rPr>
                <w:rFonts w:hint="eastAsia" w:ascii="宋体" w:hAnsi="宋体"/>
                <w:color w:val="auto"/>
                <w:sz w:val="22"/>
                <w:szCs w:val="22"/>
                <w:highlight w:val="none"/>
              </w:rPr>
              <w:t>11.In-line PTT使用次数 大于3万次；</w:t>
            </w:r>
          </w:p>
          <w:p>
            <w:pPr>
              <w:rPr>
                <w:rFonts w:ascii="宋体" w:hAnsi="宋体"/>
                <w:color w:val="auto"/>
                <w:sz w:val="22"/>
                <w:szCs w:val="22"/>
                <w:highlight w:val="none"/>
              </w:rPr>
            </w:pPr>
            <w:r>
              <w:rPr>
                <w:rFonts w:hint="eastAsia" w:ascii="宋体" w:hAnsi="宋体"/>
                <w:color w:val="auto"/>
                <w:sz w:val="22"/>
                <w:szCs w:val="22"/>
                <w:highlight w:val="none"/>
              </w:rPr>
              <w:t>12.手指PTT使用次数 大于3万次；</w:t>
            </w:r>
          </w:p>
          <w:p>
            <w:pPr>
              <w:rPr>
                <w:rFonts w:ascii="宋体" w:hAnsi="宋体"/>
                <w:color w:val="auto"/>
                <w:sz w:val="22"/>
                <w:szCs w:val="22"/>
                <w:highlight w:val="none"/>
              </w:rPr>
            </w:pPr>
            <w:r>
              <w:rPr>
                <w:rFonts w:hint="eastAsia" w:ascii="宋体" w:hAnsi="宋体"/>
                <w:color w:val="auto"/>
                <w:sz w:val="22"/>
                <w:szCs w:val="22"/>
                <w:highlight w:val="none"/>
              </w:rPr>
              <w:t>13.扬声器阻抗 8Ω；</w:t>
            </w:r>
          </w:p>
          <w:p>
            <w:pPr>
              <w:rPr>
                <w:rFonts w:ascii="宋体" w:hAnsi="宋体"/>
                <w:color w:val="auto"/>
                <w:sz w:val="22"/>
                <w:szCs w:val="22"/>
                <w:highlight w:val="none"/>
              </w:rPr>
            </w:pPr>
            <w:r>
              <w:rPr>
                <w:rFonts w:hint="eastAsia" w:ascii="宋体" w:hAnsi="宋体"/>
                <w:color w:val="auto"/>
                <w:sz w:val="22"/>
                <w:szCs w:val="22"/>
                <w:highlight w:val="none"/>
              </w:rPr>
              <w:t>14.扬声器灵敏度122dB；</w:t>
            </w:r>
          </w:p>
          <w:p>
            <w:pPr>
              <w:rPr>
                <w:rFonts w:ascii="宋体" w:hAnsi="宋体"/>
                <w:color w:val="auto"/>
                <w:sz w:val="22"/>
                <w:szCs w:val="22"/>
                <w:highlight w:val="none"/>
              </w:rPr>
            </w:pPr>
            <w:r>
              <w:rPr>
                <w:rFonts w:hint="eastAsia" w:ascii="宋体" w:hAnsi="宋体"/>
                <w:color w:val="auto"/>
                <w:sz w:val="22"/>
                <w:szCs w:val="22"/>
                <w:highlight w:val="none"/>
              </w:rPr>
              <w:t>15.扬声器额定功率0.5W；</w:t>
            </w:r>
          </w:p>
          <w:p>
            <w:pPr>
              <w:rPr>
                <w:rFonts w:ascii="宋体" w:hAnsi="宋体"/>
                <w:color w:val="auto"/>
                <w:sz w:val="22"/>
                <w:szCs w:val="22"/>
                <w:highlight w:val="none"/>
              </w:rPr>
            </w:pPr>
            <w:r>
              <w:rPr>
                <w:rFonts w:hint="eastAsia" w:ascii="宋体" w:hAnsi="宋体"/>
                <w:color w:val="auto"/>
                <w:sz w:val="22"/>
                <w:szCs w:val="22"/>
                <w:highlight w:val="none"/>
              </w:rPr>
              <w:t>16.扬声器最大输入功率1.0W；</w:t>
            </w:r>
          </w:p>
          <w:p>
            <w:pPr>
              <w:rPr>
                <w:rFonts w:ascii="宋体" w:hAnsi="宋体"/>
                <w:color w:val="auto"/>
                <w:sz w:val="22"/>
                <w:szCs w:val="22"/>
                <w:highlight w:val="none"/>
              </w:rPr>
            </w:pPr>
            <w:r>
              <w:rPr>
                <w:rFonts w:hint="eastAsia" w:ascii="宋体" w:hAnsi="宋体"/>
                <w:color w:val="auto"/>
                <w:sz w:val="22"/>
                <w:szCs w:val="22"/>
                <w:highlight w:val="none"/>
              </w:rPr>
              <w:t>17.麦克风灵敏度-46dB；</w:t>
            </w:r>
          </w:p>
          <w:p>
            <w:pPr>
              <w:rPr>
                <w:rFonts w:ascii="宋体" w:hAnsi="宋体"/>
                <w:color w:val="auto"/>
                <w:sz w:val="22"/>
                <w:szCs w:val="22"/>
                <w:highlight w:val="none"/>
              </w:rPr>
            </w:pPr>
            <w:r>
              <w:rPr>
                <w:rFonts w:hint="eastAsia" w:ascii="宋体" w:hAnsi="宋体"/>
                <w:color w:val="auto"/>
                <w:sz w:val="22"/>
                <w:szCs w:val="22"/>
                <w:highlight w:val="none"/>
              </w:rPr>
              <w:t>18.麦克风输出阻抗≤2000Ω；</w:t>
            </w:r>
          </w:p>
          <w:p>
            <w:pPr>
              <w:rPr>
                <w:rFonts w:ascii="宋体" w:hAnsi="宋体"/>
                <w:color w:val="auto"/>
                <w:sz w:val="22"/>
                <w:szCs w:val="22"/>
                <w:highlight w:val="none"/>
              </w:rPr>
            </w:pPr>
            <w:r>
              <w:rPr>
                <w:rFonts w:hint="eastAsia" w:ascii="宋体" w:hAnsi="宋体"/>
                <w:color w:val="auto"/>
                <w:sz w:val="22"/>
                <w:szCs w:val="22"/>
                <w:highlight w:val="none"/>
              </w:rPr>
              <w:t>19.麦克风工作电压1.0V — 7.5V；</w:t>
            </w:r>
          </w:p>
          <w:p>
            <w:pPr>
              <w:rPr>
                <w:rFonts w:ascii="宋体" w:hAnsi="宋体"/>
                <w:color w:val="auto"/>
                <w:sz w:val="22"/>
                <w:szCs w:val="22"/>
                <w:highlight w:val="none"/>
              </w:rPr>
            </w:pPr>
            <w:r>
              <w:rPr>
                <w:rFonts w:hint="eastAsia" w:ascii="宋体" w:hAnsi="宋体" w:cs="宋体"/>
                <w:color w:val="auto"/>
                <w:sz w:val="22"/>
                <w:szCs w:val="22"/>
                <w:highlight w:val="none"/>
              </w:rPr>
              <w:t>▲</w:t>
            </w:r>
            <w:r>
              <w:rPr>
                <w:rFonts w:ascii="宋体" w:hAnsi="宋体"/>
                <w:color w:val="auto"/>
                <w:sz w:val="22"/>
                <w:szCs w:val="22"/>
                <w:highlight w:val="none"/>
              </w:rPr>
              <w:t>20.所投产品生产厂家需为</w:t>
            </w:r>
            <w:r>
              <w:rPr>
                <w:rFonts w:hint="eastAsia" w:ascii="宋体" w:hAnsi="宋体"/>
                <w:color w:val="auto"/>
                <w:sz w:val="22"/>
                <w:szCs w:val="22"/>
                <w:highlight w:val="none"/>
              </w:rPr>
              <w:t>新型防暴通信头盔生产企业，需提供证明材料复印件；</w:t>
            </w:r>
          </w:p>
          <w:p>
            <w:pPr>
              <w:rPr>
                <w:rFonts w:hint="eastAsia" w:ascii="宋体" w:hAnsi="宋体"/>
                <w:color w:val="auto"/>
                <w:sz w:val="22"/>
                <w:szCs w:val="22"/>
                <w:highlight w:val="none"/>
              </w:rPr>
            </w:pPr>
            <w:r>
              <w:rPr>
                <w:rFonts w:hint="eastAsia" w:ascii="宋体" w:hAnsi="宋体" w:cs="宋体"/>
                <w:color w:val="auto"/>
                <w:sz w:val="22"/>
                <w:szCs w:val="22"/>
                <w:highlight w:val="none"/>
              </w:rPr>
              <w:t>▲</w:t>
            </w:r>
            <w:r>
              <w:rPr>
                <w:rFonts w:hint="eastAsia" w:ascii="宋体" w:hAnsi="宋体"/>
                <w:color w:val="auto"/>
                <w:sz w:val="22"/>
                <w:szCs w:val="22"/>
                <w:highlight w:val="none"/>
              </w:rPr>
              <w:t>2</w:t>
            </w:r>
            <w:r>
              <w:rPr>
                <w:rFonts w:ascii="宋体" w:hAnsi="宋体"/>
                <w:color w:val="auto"/>
                <w:sz w:val="22"/>
                <w:szCs w:val="22"/>
                <w:highlight w:val="none"/>
              </w:rPr>
              <w:t>1.需提供公安部安全与警用电子产品质量检测中心提供的产品检测报告复印件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ascii="宋体" w:hAnsi="宋体"/>
                <w:color w:val="auto"/>
                <w:sz w:val="22"/>
                <w:szCs w:val="22"/>
                <w:highlight w:val="none"/>
              </w:rPr>
              <w:t>6</w:t>
            </w:r>
            <w:r>
              <w:rPr>
                <w:rFonts w:hint="eastAsia" w:ascii="宋体" w:hAnsi="宋体"/>
                <w:color w:val="auto"/>
                <w:sz w:val="22"/>
                <w:szCs w:val="22"/>
                <w:highlight w:val="none"/>
                <w:lang w:val="en-US" w:eastAsia="zh-CN"/>
              </w:rPr>
              <w:t>3</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窖井钩</w:t>
            </w:r>
          </w:p>
        </w:tc>
        <w:tc>
          <w:tcPr>
            <w:tcW w:w="1459" w:type="pct"/>
            <w:noWrap w:val="0"/>
            <w:vAlign w:val="center"/>
          </w:tcPr>
          <w:p>
            <w:pPr>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412875" cy="772795"/>
                  <wp:effectExtent l="0" t="0" r="15875" b="8255"/>
                  <wp:docPr id="2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5"/>
                          <pic:cNvPicPr>
                            <a:picLocks noChangeAspect="1"/>
                          </pic:cNvPicPr>
                        </pic:nvPicPr>
                        <pic:blipFill>
                          <a:blip r:embed="rId73"/>
                          <a:stretch>
                            <a:fillRect/>
                          </a:stretch>
                        </pic:blipFill>
                        <pic:spPr>
                          <a:xfrm>
                            <a:off x="0" y="0"/>
                            <a:ext cx="1412875" cy="772795"/>
                          </a:xfrm>
                          <a:prstGeom prst="rect">
                            <a:avLst/>
                          </a:prstGeom>
                          <a:noFill/>
                          <a:ln>
                            <a:noFill/>
                          </a:ln>
                        </pic:spPr>
                      </pic:pic>
                    </a:graphicData>
                  </a:graphic>
                </wp:inline>
              </w:drawing>
            </w:r>
          </w:p>
        </w:tc>
        <w:tc>
          <w:tcPr>
            <w:tcW w:w="2847" w:type="pct"/>
            <w:noWrap w:val="0"/>
            <w:vAlign w:val="center"/>
          </w:tcPr>
          <w:p>
            <w:pPr>
              <w:rPr>
                <w:rFonts w:ascii="宋体" w:hAnsi="宋体"/>
                <w:color w:val="auto"/>
                <w:sz w:val="22"/>
                <w:szCs w:val="22"/>
                <w:highlight w:val="none"/>
              </w:rPr>
            </w:pPr>
            <w:r>
              <w:rPr>
                <w:rFonts w:hint="eastAsia" w:ascii="宋体" w:hAnsi="宋体"/>
                <w:color w:val="auto"/>
                <w:sz w:val="22"/>
                <w:szCs w:val="22"/>
                <w:highlight w:val="none"/>
              </w:rPr>
              <w:t>1、材质：电镀冷钢</w:t>
            </w:r>
          </w:p>
          <w:p>
            <w:pPr>
              <w:rPr>
                <w:rFonts w:ascii="宋体" w:hAnsi="宋体"/>
                <w:color w:val="auto"/>
                <w:sz w:val="22"/>
                <w:szCs w:val="22"/>
                <w:highlight w:val="none"/>
              </w:rPr>
            </w:pPr>
            <w:r>
              <w:rPr>
                <w:rFonts w:hint="eastAsia" w:ascii="宋体" w:hAnsi="宋体"/>
                <w:color w:val="auto"/>
                <w:sz w:val="22"/>
                <w:szCs w:val="22"/>
                <w:highlight w:val="none"/>
              </w:rPr>
              <w:t>2、长度：</w:t>
            </w:r>
            <w:r>
              <w:rPr>
                <w:rFonts w:hint="eastAsia" w:ascii="宋体" w:hAnsi="宋体" w:cs="宋体"/>
                <w:color w:val="auto"/>
                <w:kern w:val="0"/>
                <w:sz w:val="22"/>
                <w:szCs w:val="22"/>
                <w:highlight w:val="none"/>
              </w:rPr>
              <w:t>≥</w:t>
            </w:r>
            <w:r>
              <w:rPr>
                <w:rFonts w:hint="eastAsia" w:ascii="宋体" w:hAnsi="宋体"/>
                <w:color w:val="auto"/>
                <w:sz w:val="22"/>
                <w:szCs w:val="22"/>
                <w:highlight w:val="none"/>
              </w:rPr>
              <w:t>40cm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6</w:t>
            </w:r>
            <w:r>
              <w:rPr>
                <w:rFonts w:hint="eastAsia" w:ascii="宋体" w:hAnsi="宋体"/>
                <w:color w:val="auto"/>
                <w:sz w:val="22"/>
                <w:szCs w:val="22"/>
                <w:highlight w:val="none"/>
                <w:lang w:val="en-US" w:eastAsia="zh-CN"/>
              </w:rPr>
              <w:t>4</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伸缩式攀登梯</w:t>
            </w:r>
          </w:p>
        </w:tc>
        <w:tc>
          <w:tcPr>
            <w:tcW w:w="1459" w:type="pct"/>
            <w:noWrap w:val="0"/>
            <w:vAlign w:val="center"/>
          </w:tcPr>
          <w:p>
            <w:pPr>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514985" cy="669290"/>
                  <wp:effectExtent l="0" t="0" r="18415" b="16510"/>
                  <wp:docPr id="66" name="图片 6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63"/>
                          <pic:cNvPicPr>
                            <a:picLocks noChangeAspect="1"/>
                          </pic:cNvPicPr>
                        </pic:nvPicPr>
                        <pic:blipFill>
                          <a:blip r:embed="rId74"/>
                          <a:stretch>
                            <a:fillRect/>
                          </a:stretch>
                        </pic:blipFill>
                        <pic:spPr>
                          <a:xfrm>
                            <a:off x="0" y="0"/>
                            <a:ext cx="514985" cy="669290"/>
                          </a:xfrm>
                          <a:prstGeom prst="rect">
                            <a:avLst/>
                          </a:prstGeom>
                          <a:noFill/>
                          <a:ln>
                            <a:noFill/>
                          </a:ln>
                        </pic:spPr>
                      </pic:pic>
                    </a:graphicData>
                  </a:graphic>
                </wp:inline>
              </w:drawing>
            </w:r>
          </w:p>
        </w:tc>
        <w:tc>
          <w:tcPr>
            <w:tcW w:w="2847" w:type="pct"/>
            <w:noWrap w:val="0"/>
            <w:vAlign w:val="center"/>
          </w:tcPr>
          <w:p>
            <w:pPr>
              <w:rPr>
                <w:rFonts w:ascii="宋体" w:hAnsi="宋体"/>
                <w:color w:val="auto"/>
                <w:sz w:val="22"/>
                <w:szCs w:val="22"/>
                <w:highlight w:val="none"/>
              </w:rPr>
            </w:pPr>
            <w:r>
              <w:rPr>
                <w:rFonts w:hint="eastAsia" w:ascii="宋体" w:hAnsi="宋体"/>
                <w:color w:val="auto"/>
                <w:sz w:val="22"/>
                <w:szCs w:val="22"/>
                <w:highlight w:val="none"/>
              </w:rPr>
              <w:t>1、材质：铝合金；</w:t>
            </w:r>
          </w:p>
          <w:p>
            <w:pPr>
              <w:rPr>
                <w:rFonts w:ascii="宋体" w:hAnsi="宋体"/>
                <w:color w:val="auto"/>
                <w:sz w:val="22"/>
                <w:szCs w:val="22"/>
                <w:highlight w:val="none"/>
              </w:rPr>
            </w:pPr>
            <w:r>
              <w:rPr>
                <w:rFonts w:hint="eastAsia" w:ascii="宋体" w:hAnsi="宋体"/>
                <w:color w:val="auto"/>
                <w:sz w:val="22"/>
                <w:szCs w:val="22"/>
                <w:highlight w:val="none"/>
              </w:rPr>
              <w:t>2、高度：</w:t>
            </w:r>
            <w:r>
              <w:rPr>
                <w:rFonts w:hint="eastAsia" w:ascii="宋体" w:hAnsi="宋体" w:cs="宋体"/>
                <w:color w:val="auto"/>
                <w:kern w:val="0"/>
                <w:sz w:val="22"/>
                <w:szCs w:val="22"/>
                <w:highlight w:val="none"/>
              </w:rPr>
              <w:t>≥</w:t>
            </w:r>
            <w:r>
              <w:rPr>
                <w:rFonts w:hint="eastAsia" w:ascii="宋体" w:hAnsi="宋体"/>
                <w:color w:val="auto"/>
                <w:sz w:val="22"/>
                <w:szCs w:val="22"/>
                <w:highlight w:val="none"/>
              </w:rPr>
              <w:t>3.8m；</w:t>
            </w:r>
          </w:p>
          <w:p>
            <w:pPr>
              <w:rPr>
                <w:rFonts w:ascii="宋体" w:hAnsi="宋体"/>
                <w:color w:val="auto"/>
                <w:sz w:val="22"/>
                <w:szCs w:val="22"/>
                <w:highlight w:val="none"/>
              </w:rPr>
            </w:pPr>
            <w:r>
              <w:rPr>
                <w:rFonts w:hint="eastAsia" w:ascii="宋体" w:hAnsi="宋体"/>
                <w:color w:val="auto"/>
                <w:sz w:val="22"/>
                <w:szCs w:val="22"/>
                <w:highlight w:val="none"/>
              </w:rPr>
              <w:t>3、净重：≤9.8kg；</w:t>
            </w:r>
          </w:p>
          <w:p>
            <w:pPr>
              <w:rPr>
                <w:rFonts w:ascii="宋体" w:hAnsi="宋体"/>
                <w:color w:val="auto"/>
                <w:sz w:val="22"/>
                <w:szCs w:val="22"/>
                <w:highlight w:val="none"/>
              </w:rPr>
            </w:pPr>
            <w:r>
              <w:rPr>
                <w:rFonts w:hint="eastAsia" w:ascii="宋体" w:hAnsi="宋体"/>
                <w:color w:val="auto"/>
                <w:sz w:val="22"/>
                <w:szCs w:val="22"/>
                <w:highlight w:val="none"/>
              </w:rPr>
              <w:t>4、荷重：≤150kg。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6</w:t>
            </w:r>
            <w:r>
              <w:rPr>
                <w:rFonts w:hint="eastAsia" w:ascii="宋体" w:hAnsi="宋体"/>
                <w:color w:val="auto"/>
                <w:sz w:val="22"/>
                <w:szCs w:val="22"/>
                <w:highlight w:val="none"/>
                <w:lang w:val="en-US" w:eastAsia="zh-CN"/>
              </w:rPr>
              <w:t>5</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搜索头灯</w:t>
            </w:r>
          </w:p>
        </w:tc>
        <w:tc>
          <w:tcPr>
            <w:tcW w:w="1459" w:type="pct"/>
            <w:noWrap w:val="0"/>
            <w:vAlign w:val="center"/>
          </w:tcPr>
          <w:p>
            <w:pPr>
              <w:spacing w:line="276" w:lineRule="auto"/>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381125" cy="1198880"/>
                  <wp:effectExtent l="0" t="0" r="9525" b="1270"/>
                  <wp:docPr id="7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7"/>
                          <pic:cNvPicPr>
                            <a:picLocks noChangeAspect="1"/>
                          </pic:cNvPicPr>
                        </pic:nvPicPr>
                        <pic:blipFill>
                          <a:blip r:embed="rId75"/>
                          <a:stretch>
                            <a:fillRect/>
                          </a:stretch>
                        </pic:blipFill>
                        <pic:spPr>
                          <a:xfrm>
                            <a:off x="0" y="0"/>
                            <a:ext cx="1381125" cy="1198880"/>
                          </a:xfrm>
                          <a:prstGeom prst="rect">
                            <a:avLst/>
                          </a:prstGeom>
                          <a:noFill/>
                          <a:ln>
                            <a:noFill/>
                          </a:ln>
                        </pic:spPr>
                      </pic:pic>
                    </a:graphicData>
                  </a:graphic>
                </wp:inline>
              </w:drawing>
            </w:r>
          </w:p>
          <w:p>
            <w:pPr>
              <w:widowControl/>
              <w:jc w:val="center"/>
              <w:rPr>
                <w:rFonts w:ascii="宋体" w:hAnsi="宋体" w:cs="宋体"/>
                <w:color w:val="auto"/>
                <w:kern w:val="0"/>
                <w:sz w:val="22"/>
                <w:szCs w:val="22"/>
                <w:highlight w:val="none"/>
              </w:rPr>
            </w:pPr>
            <w:r>
              <w:rPr>
                <w:rFonts w:ascii="宋体" w:hAnsi="宋体"/>
                <w:color w:val="auto"/>
                <w:sz w:val="22"/>
                <w:szCs w:val="22"/>
                <w:highlight w:val="none"/>
              </w:rPr>
              <w:drawing>
                <wp:inline distT="0" distB="0" distL="114300" distR="114300">
                  <wp:extent cx="1195705" cy="988060"/>
                  <wp:effectExtent l="0" t="0" r="4445" b="2540"/>
                  <wp:docPr id="6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8"/>
                          <pic:cNvPicPr>
                            <a:picLocks noChangeAspect="1"/>
                          </pic:cNvPicPr>
                        </pic:nvPicPr>
                        <pic:blipFill>
                          <a:blip r:embed="rId76"/>
                          <a:stretch>
                            <a:fillRect/>
                          </a:stretch>
                        </pic:blipFill>
                        <pic:spPr>
                          <a:xfrm>
                            <a:off x="0" y="0"/>
                            <a:ext cx="1195705" cy="988060"/>
                          </a:xfrm>
                          <a:prstGeom prst="rect">
                            <a:avLst/>
                          </a:prstGeom>
                          <a:noFill/>
                          <a:ln>
                            <a:noFill/>
                          </a:ln>
                        </pic:spPr>
                      </pic:pic>
                    </a:graphicData>
                  </a:graphic>
                </wp:inline>
              </w:drawing>
            </w:r>
          </w:p>
        </w:tc>
        <w:tc>
          <w:tcPr>
            <w:tcW w:w="2847" w:type="pct"/>
            <w:noWrap w:val="0"/>
            <w:vAlign w:val="center"/>
          </w:tcPr>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1、额定电压：3.7V</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2、额定容量：1.7Ah</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3、灯泡</w:t>
            </w:r>
            <w:r>
              <w:rPr>
                <w:rFonts w:hint="eastAsia" w:ascii="宋体" w:hAnsi="宋体"/>
                <w:color w:val="auto"/>
                <w:sz w:val="22"/>
                <w:szCs w:val="22"/>
                <w:highlight w:val="none"/>
              </w:rPr>
              <w:tab/>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强光电流：</w:t>
            </w:r>
            <w:r>
              <w:rPr>
                <w:rFonts w:hint="eastAsia" w:ascii="宋体" w:hAnsi="宋体" w:cs="宋体"/>
                <w:color w:val="auto"/>
                <w:kern w:val="0"/>
                <w:sz w:val="22"/>
                <w:szCs w:val="22"/>
                <w:highlight w:val="none"/>
              </w:rPr>
              <w:t>≥</w:t>
            </w:r>
            <w:r>
              <w:rPr>
                <w:rFonts w:hint="eastAsia" w:ascii="宋体" w:hAnsi="宋体"/>
                <w:color w:val="auto"/>
                <w:sz w:val="22"/>
                <w:szCs w:val="22"/>
                <w:highlight w:val="none"/>
              </w:rPr>
              <w:t>600mA</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强光光通量：</w:t>
            </w:r>
            <w:r>
              <w:rPr>
                <w:rFonts w:hint="eastAsia" w:ascii="宋体" w:hAnsi="宋体" w:cs="宋体"/>
                <w:color w:val="auto"/>
                <w:kern w:val="0"/>
                <w:sz w:val="22"/>
                <w:szCs w:val="22"/>
                <w:highlight w:val="none"/>
              </w:rPr>
              <w:t>≥</w:t>
            </w:r>
            <w:r>
              <w:rPr>
                <w:rFonts w:hint="eastAsia" w:ascii="宋体" w:hAnsi="宋体"/>
                <w:color w:val="auto"/>
                <w:sz w:val="22"/>
                <w:szCs w:val="22"/>
                <w:highlight w:val="none"/>
              </w:rPr>
              <w:t>390lm</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平均使用寿命：</w:t>
            </w:r>
            <w:r>
              <w:rPr>
                <w:rFonts w:hint="eastAsia" w:ascii="宋体" w:hAnsi="宋体" w:cs="宋体"/>
                <w:color w:val="auto"/>
                <w:kern w:val="0"/>
                <w:sz w:val="22"/>
                <w:szCs w:val="22"/>
                <w:highlight w:val="none"/>
              </w:rPr>
              <w:t>≥</w:t>
            </w:r>
            <w:r>
              <w:rPr>
                <w:rFonts w:hint="eastAsia" w:ascii="宋体" w:hAnsi="宋体"/>
                <w:color w:val="auto"/>
                <w:sz w:val="22"/>
                <w:szCs w:val="22"/>
                <w:highlight w:val="none"/>
              </w:rPr>
              <w:t>100000h</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4、连续放电时间</w:t>
            </w:r>
            <w:r>
              <w:rPr>
                <w:rFonts w:hint="eastAsia" w:ascii="宋体" w:hAnsi="宋体"/>
                <w:color w:val="auto"/>
                <w:sz w:val="22"/>
                <w:szCs w:val="22"/>
                <w:highlight w:val="none"/>
              </w:rPr>
              <w:tab/>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强光：</w:t>
            </w:r>
            <w:r>
              <w:rPr>
                <w:rFonts w:hint="eastAsia" w:ascii="宋体" w:hAnsi="宋体" w:cs="宋体"/>
                <w:color w:val="auto"/>
                <w:kern w:val="0"/>
                <w:sz w:val="22"/>
                <w:szCs w:val="22"/>
                <w:highlight w:val="none"/>
              </w:rPr>
              <w:t>≥</w:t>
            </w:r>
            <w:r>
              <w:rPr>
                <w:rFonts w:hint="eastAsia" w:ascii="宋体" w:hAnsi="宋体"/>
                <w:color w:val="auto"/>
                <w:sz w:val="22"/>
                <w:szCs w:val="22"/>
                <w:highlight w:val="none"/>
              </w:rPr>
              <w:t>6h</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工作光：</w:t>
            </w:r>
            <w:r>
              <w:rPr>
                <w:rFonts w:hint="eastAsia" w:ascii="宋体" w:hAnsi="宋体" w:cs="宋体"/>
                <w:color w:val="auto"/>
                <w:kern w:val="0"/>
                <w:sz w:val="22"/>
                <w:szCs w:val="22"/>
                <w:highlight w:val="none"/>
              </w:rPr>
              <w:t>≥</w:t>
            </w:r>
            <w:r>
              <w:rPr>
                <w:rFonts w:hint="eastAsia" w:ascii="宋体" w:hAnsi="宋体"/>
                <w:color w:val="auto"/>
                <w:sz w:val="22"/>
                <w:szCs w:val="22"/>
                <w:highlight w:val="none"/>
              </w:rPr>
              <w:t>12h</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5、充电时间（电池耗尽后）：6h</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6、电池使用寿命：1000次循环</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7、外形尺寸：</w:t>
            </w:r>
          </w:p>
          <w:p>
            <w:pPr>
              <w:spacing w:line="276" w:lineRule="auto"/>
              <w:jc w:val="left"/>
              <w:rPr>
                <w:rFonts w:ascii="宋体" w:hAnsi="宋体"/>
                <w:color w:val="auto"/>
                <w:sz w:val="22"/>
                <w:szCs w:val="22"/>
                <w:highlight w:val="none"/>
              </w:rPr>
            </w:pPr>
            <w:r>
              <w:rPr>
                <w:rFonts w:hint="eastAsia" w:ascii="宋体" w:hAnsi="宋体"/>
                <w:color w:val="auto"/>
                <w:sz w:val="22"/>
                <w:szCs w:val="22"/>
                <w:highlight w:val="none"/>
              </w:rPr>
              <w:t>长：65mm</w:t>
            </w:r>
            <w:r>
              <w:rPr>
                <w:rFonts w:ascii="宋体" w:hAnsi="宋体"/>
                <w:color w:val="auto"/>
                <w:sz w:val="22"/>
                <w:szCs w:val="22"/>
                <w:highlight w:val="none"/>
              </w:rPr>
              <w:t xml:space="preserve"> </w:t>
            </w:r>
            <w:r>
              <w:rPr>
                <w:rFonts w:hint="eastAsia" w:ascii="宋体" w:hAnsi="宋体"/>
                <w:color w:val="auto"/>
                <w:sz w:val="22"/>
                <w:szCs w:val="22"/>
                <w:highlight w:val="none"/>
              </w:rPr>
              <w:t>*</w:t>
            </w:r>
            <w:r>
              <w:rPr>
                <w:rFonts w:ascii="宋体" w:hAnsi="宋体"/>
                <w:color w:val="auto"/>
                <w:sz w:val="22"/>
                <w:szCs w:val="22"/>
                <w:highlight w:val="none"/>
              </w:rPr>
              <w:t xml:space="preserve"> </w:t>
            </w:r>
            <w:r>
              <w:rPr>
                <w:rFonts w:hint="eastAsia" w:ascii="宋体" w:hAnsi="宋体"/>
                <w:color w:val="auto"/>
                <w:sz w:val="22"/>
                <w:szCs w:val="22"/>
                <w:highlight w:val="none"/>
              </w:rPr>
              <w:t>宽：80mm</w:t>
            </w:r>
            <w:r>
              <w:rPr>
                <w:rFonts w:ascii="宋体" w:hAnsi="宋体"/>
                <w:color w:val="auto"/>
                <w:sz w:val="22"/>
                <w:szCs w:val="22"/>
                <w:highlight w:val="none"/>
              </w:rPr>
              <w:t xml:space="preserve"> </w:t>
            </w:r>
            <w:r>
              <w:rPr>
                <w:rFonts w:hint="eastAsia" w:ascii="宋体" w:hAnsi="宋体"/>
                <w:color w:val="auto"/>
                <w:sz w:val="22"/>
                <w:szCs w:val="22"/>
                <w:highlight w:val="none"/>
              </w:rPr>
              <w:t>*</w:t>
            </w:r>
            <w:r>
              <w:rPr>
                <w:rFonts w:ascii="宋体" w:hAnsi="宋体"/>
                <w:color w:val="auto"/>
                <w:sz w:val="22"/>
                <w:szCs w:val="22"/>
                <w:highlight w:val="none"/>
              </w:rPr>
              <w:t xml:space="preserve"> </w:t>
            </w:r>
            <w:r>
              <w:rPr>
                <w:rFonts w:hint="eastAsia" w:ascii="宋体" w:hAnsi="宋体"/>
                <w:color w:val="auto"/>
                <w:sz w:val="22"/>
                <w:szCs w:val="22"/>
                <w:highlight w:val="none"/>
              </w:rPr>
              <w:t>高：68mm（±2mm）</w:t>
            </w:r>
          </w:p>
          <w:p>
            <w:pPr>
              <w:rPr>
                <w:rFonts w:hint="eastAsia" w:ascii="宋体" w:hAnsi="宋体"/>
                <w:color w:val="auto"/>
                <w:sz w:val="22"/>
                <w:szCs w:val="22"/>
                <w:highlight w:val="none"/>
              </w:rPr>
            </w:pPr>
            <w:r>
              <w:rPr>
                <w:rFonts w:hint="eastAsia" w:ascii="宋体" w:hAnsi="宋体"/>
                <w:color w:val="auto"/>
                <w:sz w:val="22"/>
                <w:szCs w:val="22"/>
                <w:highlight w:val="none"/>
              </w:rPr>
              <w:t>8、重量：120g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ascii="宋体" w:hAnsi="宋体"/>
                <w:color w:val="auto"/>
                <w:sz w:val="22"/>
                <w:szCs w:val="22"/>
                <w:highlight w:val="none"/>
              </w:rPr>
              <w:t>6</w:t>
            </w:r>
            <w:r>
              <w:rPr>
                <w:rFonts w:hint="eastAsia" w:ascii="宋体" w:hAnsi="宋体"/>
                <w:color w:val="auto"/>
                <w:sz w:val="22"/>
                <w:szCs w:val="22"/>
                <w:highlight w:val="none"/>
                <w:lang w:val="en-US" w:eastAsia="zh-CN"/>
              </w:rPr>
              <w:t>6</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手提</w:t>
            </w:r>
            <w:r>
              <w:rPr>
                <w:rFonts w:ascii="宋体" w:hAnsi="宋体"/>
                <w:color w:val="auto"/>
                <w:sz w:val="22"/>
                <w:szCs w:val="22"/>
                <w:highlight w:val="none"/>
              </w:rPr>
              <w:t>式</w:t>
            </w:r>
            <w:r>
              <w:rPr>
                <w:rFonts w:hint="eastAsia" w:ascii="宋体" w:hAnsi="宋体"/>
                <w:color w:val="auto"/>
                <w:sz w:val="22"/>
                <w:szCs w:val="22"/>
                <w:highlight w:val="none"/>
              </w:rPr>
              <w:t>搜索灯</w:t>
            </w:r>
          </w:p>
        </w:tc>
        <w:tc>
          <w:tcPr>
            <w:tcW w:w="1459" w:type="pct"/>
            <w:noWrap w:val="0"/>
            <w:vAlign w:val="center"/>
          </w:tcPr>
          <w:p>
            <w:pPr>
              <w:widowControl/>
              <w:jc w:val="center"/>
              <w:rPr>
                <w:rFonts w:ascii="宋体" w:hAnsi="宋体" w:cs="宋体"/>
                <w:color w:val="auto"/>
                <w:kern w:val="0"/>
                <w:sz w:val="22"/>
                <w:szCs w:val="22"/>
                <w:highlight w:val="none"/>
              </w:rPr>
            </w:pPr>
            <w:r>
              <w:rPr>
                <w:rFonts w:ascii="宋体" w:hAnsi="宋体"/>
                <w:color w:val="auto"/>
                <w:sz w:val="22"/>
                <w:szCs w:val="22"/>
                <w:highlight w:val="none"/>
              </w:rPr>
              <w:drawing>
                <wp:inline distT="0" distB="0" distL="114300" distR="114300">
                  <wp:extent cx="1478280" cy="1308100"/>
                  <wp:effectExtent l="0" t="0" r="7620" b="6350"/>
                  <wp:docPr id="6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9"/>
                          <pic:cNvPicPr>
                            <a:picLocks noChangeAspect="1"/>
                          </pic:cNvPicPr>
                        </pic:nvPicPr>
                        <pic:blipFill>
                          <a:blip r:embed="rId38"/>
                          <a:stretch>
                            <a:fillRect/>
                          </a:stretch>
                        </pic:blipFill>
                        <pic:spPr>
                          <a:xfrm>
                            <a:off x="0" y="0"/>
                            <a:ext cx="1478280" cy="1308100"/>
                          </a:xfrm>
                          <a:prstGeom prst="rect">
                            <a:avLst/>
                          </a:prstGeom>
                          <a:noFill/>
                          <a:ln>
                            <a:noFill/>
                          </a:ln>
                        </pic:spPr>
                      </pic:pic>
                    </a:graphicData>
                  </a:graphic>
                </wp:inline>
              </w:drawing>
            </w:r>
          </w:p>
        </w:tc>
        <w:tc>
          <w:tcPr>
            <w:tcW w:w="2847" w:type="pct"/>
            <w:noWrap w:val="0"/>
            <w:vAlign w:val="center"/>
          </w:tcPr>
          <w:p>
            <w:pPr>
              <w:rPr>
                <w:rFonts w:hint="eastAsia" w:ascii="宋体" w:hAnsi="宋体"/>
                <w:color w:val="auto"/>
                <w:sz w:val="22"/>
                <w:szCs w:val="22"/>
                <w:highlight w:val="none"/>
              </w:rPr>
            </w:pPr>
            <w:r>
              <w:rPr>
                <w:rFonts w:ascii="宋体" w:hAnsi="宋体"/>
                <w:color w:val="auto"/>
                <w:sz w:val="22"/>
                <w:szCs w:val="22"/>
                <w:highlight w:val="none"/>
              </w:rPr>
              <w:t>1、额定电压：7.6v</w:t>
            </w:r>
            <w:r>
              <w:rPr>
                <w:rFonts w:ascii="宋体" w:hAnsi="宋体"/>
                <w:color w:val="auto"/>
                <w:sz w:val="22"/>
                <w:szCs w:val="22"/>
                <w:highlight w:val="none"/>
              </w:rPr>
              <w:br w:type="textWrapping"/>
            </w:r>
            <w:r>
              <w:rPr>
                <w:rFonts w:ascii="宋体" w:hAnsi="宋体"/>
                <w:color w:val="auto"/>
                <w:sz w:val="22"/>
                <w:szCs w:val="22"/>
                <w:highlight w:val="none"/>
              </w:rPr>
              <w:t>2、额定容量：3.3Ah</w:t>
            </w:r>
            <w:r>
              <w:rPr>
                <w:rFonts w:ascii="宋体" w:hAnsi="宋体"/>
                <w:color w:val="auto"/>
                <w:sz w:val="22"/>
                <w:szCs w:val="22"/>
                <w:highlight w:val="none"/>
              </w:rPr>
              <w:br w:type="textWrapping"/>
            </w:r>
            <w:r>
              <w:rPr>
                <w:rFonts w:ascii="宋体" w:hAnsi="宋体"/>
                <w:color w:val="auto"/>
                <w:sz w:val="22"/>
                <w:szCs w:val="22"/>
                <w:highlight w:val="none"/>
              </w:rPr>
              <w:t>3、光源：3*3WLED光源</w:t>
            </w:r>
            <w:r>
              <w:rPr>
                <w:rFonts w:ascii="宋体" w:hAnsi="宋体"/>
                <w:color w:val="auto"/>
                <w:sz w:val="22"/>
                <w:szCs w:val="22"/>
                <w:highlight w:val="none"/>
              </w:rPr>
              <w:br w:type="textWrapping"/>
            </w:r>
            <w:r>
              <w:rPr>
                <w:rFonts w:ascii="宋体" w:hAnsi="宋体"/>
                <w:color w:val="auto"/>
                <w:sz w:val="22"/>
                <w:szCs w:val="22"/>
                <w:highlight w:val="none"/>
              </w:rPr>
              <w:t>4、强光电流：0.7A</w:t>
            </w:r>
            <w:r>
              <w:rPr>
                <w:rFonts w:ascii="宋体" w:hAnsi="宋体"/>
                <w:color w:val="auto"/>
                <w:sz w:val="22"/>
                <w:szCs w:val="22"/>
                <w:highlight w:val="none"/>
              </w:rPr>
              <w:br w:type="textWrapping"/>
            </w:r>
            <w:r>
              <w:rPr>
                <w:rFonts w:ascii="宋体" w:hAnsi="宋体"/>
                <w:color w:val="auto"/>
                <w:sz w:val="22"/>
                <w:szCs w:val="22"/>
                <w:highlight w:val="none"/>
              </w:rPr>
              <w:t>5、工作光电流：</w:t>
            </w:r>
            <w:r>
              <w:rPr>
                <w:rFonts w:hint="eastAsia" w:ascii="宋体" w:hAnsi="宋体"/>
                <w:color w:val="auto"/>
                <w:sz w:val="22"/>
                <w:szCs w:val="22"/>
                <w:highlight w:val="none"/>
              </w:rPr>
              <w:t>≥</w:t>
            </w:r>
            <w:r>
              <w:rPr>
                <w:rFonts w:ascii="宋体" w:hAnsi="宋体"/>
                <w:color w:val="auto"/>
                <w:sz w:val="22"/>
                <w:szCs w:val="22"/>
                <w:highlight w:val="none"/>
              </w:rPr>
              <w:t>0.35A</w:t>
            </w:r>
            <w:r>
              <w:rPr>
                <w:rFonts w:ascii="宋体" w:hAnsi="宋体"/>
                <w:color w:val="auto"/>
                <w:sz w:val="22"/>
                <w:szCs w:val="22"/>
                <w:highlight w:val="none"/>
              </w:rPr>
              <w:br w:type="textWrapping"/>
            </w:r>
            <w:r>
              <w:rPr>
                <w:rFonts w:ascii="宋体" w:hAnsi="宋体"/>
                <w:color w:val="auto"/>
                <w:sz w:val="22"/>
                <w:szCs w:val="22"/>
                <w:highlight w:val="none"/>
              </w:rPr>
              <w:t>6、强光光通量：</w:t>
            </w:r>
            <w:r>
              <w:rPr>
                <w:rFonts w:hint="eastAsia" w:ascii="宋体" w:hAnsi="宋体"/>
                <w:color w:val="auto"/>
                <w:sz w:val="22"/>
                <w:szCs w:val="22"/>
                <w:highlight w:val="none"/>
              </w:rPr>
              <w:t>≥</w:t>
            </w:r>
            <w:r>
              <w:rPr>
                <w:rFonts w:ascii="宋体" w:hAnsi="宋体"/>
                <w:color w:val="auto"/>
                <w:sz w:val="22"/>
                <w:szCs w:val="22"/>
                <w:highlight w:val="none"/>
              </w:rPr>
              <w:t>960lm</w:t>
            </w:r>
            <w:r>
              <w:rPr>
                <w:rFonts w:ascii="宋体" w:hAnsi="宋体"/>
                <w:color w:val="auto"/>
                <w:sz w:val="22"/>
                <w:szCs w:val="22"/>
                <w:highlight w:val="none"/>
              </w:rPr>
              <w:br w:type="textWrapping"/>
            </w:r>
            <w:r>
              <w:rPr>
                <w:rFonts w:ascii="宋体" w:hAnsi="宋体"/>
                <w:color w:val="auto"/>
                <w:sz w:val="22"/>
                <w:szCs w:val="22"/>
                <w:highlight w:val="none"/>
              </w:rPr>
              <w:t>7、工作光光通量：</w:t>
            </w:r>
            <w:r>
              <w:rPr>
                <w:rFonts w:hint="eastAsia" w:ascii="宋体" w:hAnsi="宋体"/>
                <w:color w:val="auto"/>
                <w:sz w:val="22"/>
                <w:szCs w:val="22"/>
                <w:highlight w:val="none"/>
              </w:rPr>
              <w:t>≥</w:t>
            </w:r>
            <w:r>
              <w:rPr>
                <w:rFonts w:ascii="宋体" w:hAnsi="宋体"/>
                <w:color w:val="auto"/>
                <w:sz w:val="22"/>
                <w:szCs w:val="22"/>
                <w:highlight w:val="none"/>
              </w:rPr>
              <w:t>420lm</w:t>
            </w:r>
            <w:r>
              <w:rPr>
                <w:rFonts w:ascii="宋体" w:hAnsi="宋体"/>
                <w:color w:val="auto"/>
                <w:sz w:val="22"/>
                <w:szCs w:val="22"/>
                <w:highlight w:val="none"/>
              </w:rPr>
              <w:br w:type="textWrapping"/>
            </w:r>
            <w:r>
              <w:rPr>
                <w:rFonts w:ascii="宋体" w:hAnsi="宋体"/>
                <w:color w:val="auto"/>
                <w:sz w:val="22"/>
                <w:szCs w:val="22"/>
                <w:highlight w:val="none"/>
              </w:rPr>
              <w:t>8、平均使用寿命：</w:t>
            </w:r>
            <w:r>
              <w:rPr>
                <w:rFonts w:hint="eastAsia" w:ascii="宋体" w:hAnsi="宋体"/>
                <w:color w:val="auto"/>
                <w:sz w:val="22"/>
                <w:szCs w:val="22"/>
                <w:highlight w:val="none"/>
              </w:rPr>
              <w:t>≥</w:t>
            </w:r>
            <w:r>
              <w:rPr>
                <w:rFonts w:ascii="宋体" w:hAnsi="宋体"/>
                <w:color w:val="auto"/>
                <w:sz w:val="22"/>
                <w:szCs w:val="22"/>
                <w:highlight w:val="none"/>
              </w:rPr>
              <w:t>10万h</w:t>
            </w:r>
            <w:r>
              <w:rPr>
                <w:rFonts w:ascii="宋体" w:hAnsi="宋体"/>
                <w:color w:val="auto"/>
                <w:sz w:val="22"/>
                <w:szCs w:val="22"/>
                <w:highlight w:val="none"/>
              </w:rPr>
              <w:br w:type="textWrapping"/>
            </w:r>
            <w:r>
              <w:rPr>
                <w:rFonts w:ascii="宋体" w:hAnsi="宋体"/>
                <w:color w:val="auto"/>
                <w:sz w:val="22"/>
                <w:szCs w:val="22"/>
                <w:highlight w:val="none"/>
              </w:rPr>
              <w:t>9、强光连续放电时间：≥6h</w:t>
            </w:r>
            <w:r>
              <w:rPr>
                <w:rFonts w:ascii="宋体" w:hAnsi="宋体"/>
                <w:color w:val="auto"/>
                <w:sz w:val="22"/>
                <w:szCs w:val="22"/>
                <w:highlight w:val="none"/>
              </w:rPr>
              <w:br w:type="textWrapping"/>
            </w:r>
            <w:r>
              <w:rPr>
                <w:rFonts w:ascii="宋体" w:hAnsi="宋体"/>
                <w:color w:val="auto"/>
                <w:sz w:val="22"/>
                <w:szCs w:val="22"/>
                <w:highlight w:val="none"/>
              </w:rPr>
              <w:t>10、工作光续放电时间：≥12h</w:t>
            </w:r>
            <w:r>
              <w:rPr>
                <w:rFonts w:ascii="宋体" w:hAnsi="宋体"/>
                <w:color w:val="auto"/>
                <w:sz w:val="22"/>
                <w:szCs w:val="22"/>
                <w:highlight w:val="none"/>
              </w:rPr>
              <w:br w:type="textWrapping"/>
            </w:r>
            <w:r>
              <w:rPr>
                <w:rFonts w:ascii="宋体" w:hAnsi="宋体"/>
                <w:color w:val="auto"/>
                <w:sz w:val="22"/>
                <w:szCs w:val="22"/>
                <w:highlight w:val="none"/>
              </w:rPr>
              <w:t>11、充电时间：＜6h</w:t>
            </w:r>
            <w:r>
              <w:rPr>
                <w:rFonts w:ascii="宋体" w:hAnsi="宋体"/>
                <w:color w:val="auto"/>
                <w:sz w:val="22"/>
                <w:szCs w:val="22"/>
                <w:highlight w:val="none"/>
              </w:rPr>
              <w:br w:type="textWrapping"/>
            </w:r>
            <w:r>
              <w:rPr>
                <w:rFonts w:ascii="宋体" w:hAnsi="宋体"/>
                <w:color w:val="auto"/>
                <w:sz w:val="22"/>
                <w:szCs w:val="22"/>
                <w:highlight w:val="none"/>
              </w:rPr>
              <w:t>12、电池使用寿命：循环约1500</w:t>
            </w:r>
            <w:r>
              <w:rPr>
                <w:rFonts w:ascii="宋体" w:hAnsi="宋体"/>
                <w:color w:val="auto"/>
                <w:sz w:val="22"/>
                <w:szCs w:val="22"/>
                <w:highlight w:val="none"/>
              </w:rPr>
              <w:br w:type="textWrapping"/>
            </w:r>
            <w:r>
              <w:rPr>
                <w:rFonts w:ascii="宋体" w:hAnsi="宋体"/>
                <w:color w:val="auto"/>
                <w:sz w:val="22"/>
                <w:szCs w:val="22"/>
                <w:highlight w:val="none"/>
              </w:rPr>
              <w:t>13、外形尺寸长：185mm</w:t>
            </w:r>
            <w:r>
              <w:rPr>
                <w:rFonts w:hint="eastAsia" w:ascii="宋体" w:hAnsi="宋体"/>
                <w:color w:val="auto"/>
                <w:sz w:val="22"/>
                <w:szCs w:val="22"/>
                <w:highlight w:val="none"/>
              </w:rPr>
              <w:t>（</w:t>
            </w:r>
            <w:r>
              <w:rPr>
                <w:rFonts w:ascii="宋体" w:hAnsi="宋体"/>
                <w:color w:val="auto"/>
                <w:sz w:val="22"/>
                <w:szCs w:val="22"/>
                <w:highlight w:val="none"/>
              </w:rPr>
              <w:t>±5mm</w:t>
            </w:r>
            <w:r>
              <w:rPr>
                <w:rFonts w:hint="eastAsia" w:ascii="宋体" w:hAnsi="宋体"/>
                <w:color w:val="auto"/>
                <w:sz w:val="22"/>
                <w:szCs w:val="22"/>
                <w:highlight w:val="none"/>
              </w:rPr>
              <w:t>）</w:t>
            </w:r>
            <w:r>
              <w:rPr>
                <w:rFonts w:ascii="宋体" w:hAnsi="宋体"/>
                <w:color w:val="auto"/>
                <w:sz w:val="22"/>
                <w:szCs w:val="22"/>
                <w:highlight w:val="none"/>
              </w:rPr>
              <w:t>，直径Ø67mm~70mm</w:t>
            </w:r>
            <w:r>
              <w:rPr>
                <w:rFonts w:ascii="宋体" w:hAnsi="宋体"/>
                <w:color w:val="auto"/>
                <w:sz w:val="22"/>
                <w:szCs w:val="22"/>
                <w:highlight w:val="none"/>
              </w:rPr>
              <w:br w:type="textWrapping"/>
            </w:r>
            <w:r>
              <w:rPr>
                <w:rFonts w:ascii="宋体" w:hAnsi="宋体"/>
                <w:color w:val="auto"/>
                <w:sz w:val="22"/>
                <w:szCs w:val="22"/>
                <w:highlight w:val="none"/>
              </w:rPr>
              <w:t>14、防爆标志：Exia IIC T6</w:t>
            </w:r>
            <w:r>
              <w:rPr>
                <w:rFonts w:ascii="宋体" w:hAnsi="宋体"/>
                <w:color w:val="auto"/>
                <w:sz w:val="22"/>
                <w:szCs w:val="22"/>
                <w:highlight w:val="none"/>
              </w:rPr>
              <w:br w:type="textWrapping"/>
            </w:r>
            <w:r>
              <w:rPr>
                <w:rFonts w:ascii="宋体" w:hAnsi="宋体" w:cs="Arial"/>
                <w:color w:val="auto"/>
                <w:sz w:val="22"/>
                <w:szCs w:val="22"/>
                <w:highlight w:val="none"/>
              </w:rPr>
              <w:t>▲</w:t>
            </w:r>
            <w:r>
              <w:rPr>
                <w:rFonts w:hint="eastAsia" w:ascii="宋体" w:hAnsi="宋体"/>
                <w:color w:val="auto"/>
                <w:sz w:val="22"/>
                <w:szCs w:val="22"/>
                <w:highlight w:val="none"/>
              </w:rPr>
              <w:t>15、</w:t>
            </w:r>
            <w:r>
              <w:rPr>
                <w:rFonts w:ascii="宋体" w:hAnsi="宋体"/>
                <w:color w:val="auto"/>
                <w:sz w:val="22"/>
                <w:szCs w:val="22"/>
                <w:highlight w:val="none"/>
              </w:rPr>
              <w:t>提供由国家低压防爆电器质量监督检验中心出具的检测报告具有CMA或CNAS标志扫描件</w:t>
            </w:r>
            <w:r>
              <w:rPr>
                <w:rFonts w:hint="eastAsia" w:ascii="宋体" w:hAnsi="宋体"/>
                <w:color w:val="auto"/>
                <w:sz w:val="22"/>
                <w:szCs w:val="22"/>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6</w:t>
            </w:r>
            <w:r>
              <w:rPr>
                <w:rFonts w:hint="eastAsia" w:ascii="宋体" w:hAnsi="宋体"/>
                <w:color w:val="auto"/>
                <w:sz w:val="22"/>
                <w:szCs w:val="22"/>
                <w:highlight w:val="none"/>
                <w:lang w:val="en-US" w:eastAsia="zh-CN"/>
              </w:rPr>
              <w:t>7</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天棚检查镜</w:t>
            </w:r>
          </w:p>
        </w:tc>
        <w:tc>
          <w:tcPr>
            <w:tcW w:w="1459" w:type="pct"/>
            <w:noWrap w:val="0"/>
            <w:vAlign w:val="center"/>
          </w:tcPr>
          <w:p>
            <w:pPr>
              <w:jc w:val="center"/>
              <w:rPr>
                <w:rFonts w:ascii="宋体" w:hAnsi="宋体"/>
                <w:color w:val="auto"/>
                <w:sz w:val="22"/>
                <w:szCs w:val="22"/>
                <w:highlight w:val="none"/>
              </w:rPr>
            </w:pPr>
            <w:r>
              <w:rPr>
                <w:rFonts w:ascii="宋体" w:hAnsi="宋体" w:cs="Arial"/>
                <w:b/>
                <w:color w:val="auto"/>
                <w:sz w:val="22"/>
                <w:szCs w:val="22"/>
                <w:highlight w:val="none"/>
                <w:shd w:val="clear" w:color="auto" w:fill="FFFFFF"/>
              </w:rPr>
              <w:drawing>
                <wp:inline distT="0" distB="0" distL="114300" distR="114300">
                  <wp:extent cx="1530985" cy="1184275"/>
                  <wp:effectExtent l="0" t="0" r="12065" b="15875"/>
                  <wp:docPr id="89" name="图片 70" descr="车底检查镜HY2809JC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0" descr="车底检查镜HY2809JC中性"/>
                          <pic:cNvPicPr>
                            <a:picLocks noChangeAspect="1"/>
                          </pic:cNvPicPr>
                        </pic:nvPicPr>
                        <pic:blipFill>
                          <a:blip r:embed="rId77"/>
                          <a:srcRect b="22598"/>
                          <a:stretch>
                            <a:fillRect/>
                          </a:stretch>
                        </pic:blipFill>
                        <pic:spPr>
                          <a:xfrm>
                            <a:off x="0" y="0"/>
                            <a:ext cx="1530985" cy="1184275"/>
                          </a:xfrm>
                          <a:prstGeom prst="rect">
                            <a:avLst/>
                          </a:prstGeom>
                          <a:noFill/>
                          <a:ln>
                            <a:noFill/>
                          </a:ln>
                        </pic:spPr>
                      </pic:pic>
                    </a:graphicData>
                  </a:graphic>
                </wp:inline>
              </w:drawing>
            </w:r>
          </w:p>
        </w:tc>
        <w:tc>
          <w:tcPr>
            <w:tcW w:w="2847" w:type="pct"/>
            <w:noWrap w:val="0"/>
            <w:vAlign w:val="center"/>
          </w:tcPr>
          <w:p>
            <w:pPr>
              <w:rPr>
                <w:rFonts w:ascii="宋体" w:hAnsi="宋体"/>
                <w:color w:val="auto"/>
                <w:sz w:val="22"/>
                <w:szCs w:val="22"/>
                <w:highlight w:val="none"/>
              </w:rPr>
            </w:pPr>
            <w:r>
              <w:rPr>
                <w:rFonts w:hint="eastAsia" w:ascii="宋体" w:hAnsi="宋体"/>
                <w:color w:val="auto"/>
                <w:sz w:val="22"/>
                <w:szCs w:val="22"/>
                <w:highlight w:val="none"/>
              </w:rPr>
              <w:t>1、</w:t>
            </w:r>
            <w:r>
              <w:rPr>
                <w:rFonts w:ascii="宋体" w:hAnsi="宋体"/>
                <w:color w:val="auto"/>
                <w:sz w:val="22"/>
                <w:szCs w:val="22"/>
                <w:highlight w:val="none"/>
              </w:rPr>
              <w:t>高清视频显示器，</w:t>
            </w:r>
            <w:r>
              <w:rPr>
                <w:rFonts w:hint="eastAsia" w:ascii="宋体" w:hAnsi="宋体"/>
                <w:color w:val="auto"/>
                <w:sz w:val="22"/>
                <w:szCs w:val="22"/>
                <w:highlight w:val="none"/>
              </w:rPr>
              <w:t>液晶屏90度翻转设计，</w:t>
            </w:r>
            <w:r>
              <w:rPr>
                <w:rFonts w:ascii="宋体" w:hAnsi="宋体"/>
                <w:color w:val="auto"/>
                <w:sz w:val="22"/>
                <w:szCs w:val="22"/>
                <w:highlight w:val="none"/>
              </w:rPr>
              <w:t>检查画面清晰直观。</w:t>
            </w:r>
            <w:r>
              <w:rPr>
                <w:rFonts w:ascii="宋体" w:hAnsi="宋体"/>
                <w:color w:val="auto"/>
                <w:sz w:val="22"/>
                <w:szCs w:val="22"/>
                <w:highlight w:val="none"/>
              </w:rPr>
              <w:br w:type="textWrapping"/>
            </w:r>
            <w:r>
              <w:rPr>
                <w:rFonts w:ascii="宋体" w:hAnsi="宋体"/>
                <w:color w:val="auto"/>
                <w:sz w:val="22"/>
                <w:szCs w:val="22"/>
                <w:highlight w:val="none"/>
              </w:rPr>
              <w:t>2、细小超导360度可卷曲软管，120度超宽范围观察广角镜头。让搜索视觉无死角。</w:t>
            </w:r>
            <w:r>
              <w:rPr>
                <w:rFonts w:ascii="宋体" w:hAnsi="宋体"/>
                <w:color w:val="auto"/>
                <w:sz w:val="22"/>
                <w:szCs w:val="22"/>
                <w:highlight w:val="none"/>
              </w:rPr>
              <w:br w:type="textWrapping"/>
            </w:r>
            <w:r>
              <w:rPr>
                <w:rFonts w:ascii="宋体" w:hAnsi="宋体"/>
                <w:color w:val="auto"/>
                <w:sz w:val="22"/>
                <w:szCs w:val="22"/>
                <w:highlight w:val="none"/>
              </w:rPr>
              <w:t>3、兰宝石摄像头镜片，不锈钢摄像头外壳，并自带12VLED摄像头补光灯</w:t>
            </w:r>
            <w:r>
              <w:rPr>
                <w:rFonts w:hint="eastAsia" w:ascii="宋体" w:hAnsi="宋体"/>
                <w:color w:val="auto"/>
                <w:sz w:val="22"/>
                <w:szCs w:val="22"/>
                <w:highlight w:val="none"/>
              </w:rPr>
              <w:t>（LED灯开/关定制）</w:t>
            </w:r>
            <w:r>
              <w:rPr>
                <w:rFonts w:ascii="宋体" w:hAnsi="宋体"/>
                <w:color w:val="auto"/>
                <w:sz w:val="22"/>
                <w:szCs w:val="22"/>
                <w:highlight w:val="none"/>
              </w:rPr>
              <w:t>。让本仪器可轻松适应黑暗、缝隙等各种复杂环境。</w:t>
            </w:r>
            <w:r>
              <w:rPr>
                <w:rFonts w:ascii="宋体" w:hAnsi="宋体"/>
                <w:color w:val="auto"/>
                <w:sz w:val="22"/>
                <w:szCs w:val="22"/>
                <w:highlight w:val="none"/>
              </w:rPr>
              <w:br w:type="textWrapping"/>
            </w:r>
            <w:r>
              <w:rPr>
                <w:rFonts w:ascii="宋体" w:hAnsi="宋体"/>
                <w:color w:val="auto"/>
                <w:sz w:val="22"/>
                <w:szCs w:val="22"/>
                <w:highlight w:val="none"/>
              </w:rPr>
              <w:t>4、高档铝盒包装，更利于产品的保存于维护。</w:t>
            </w:r>
          </w:p>
          <w:p>
            <w:pPr>
              <w:rPr>
                <w:rFonts w:ascii="宋体" w:hAnsi="宋体"/>
                <w:color w:val="auto"/>
                <w:sz w:val="22"/>
                <w:szCs w:val="22"/>
                <w:highlight w:val="none"/>
              </w:rPr>
            </w:pPr>
            <w:r>
              <w:rPr>
                <w:rFonts w:ascii="宋体" w:hAnsi="宋体"/>
                <w:color w:val="auto"/>
                <w:sz w:val="22"/>
                <w:szCs w:val="22"/>
                <w:highlight w:val="none"/>
              </w:rPr>
              <w:t>防水摄像头</w:t>
            </w:r>
            <w:r>
              <w:rPr>
                <w:rFonts w:ascii="宋体" w:hAnsi="宋体"/>
                <w:color w:val="auto"/>
                <w:sz w:val="22"/>
                <w:szCs w:val="22"/>
                <w:highlight w:val="none"/>
              </w:rPr>
              <w:br w:type="textWrapping"/>
            </w:r>
            <w:r>
              <w:rPr>
                <w:rFonts w:ascii="宋体" w:hAnsi="宋体"/>
                <w:color w:val="auto"/>
                <w:sz w:val="22"/>
                <w:szCs w:val="22"/>
                <w:highlight w:val="none"/>
              </w:rPr>
              <w:t>1、摄像头尺寸：23mmx50mm</w:t>
            </w:r>
            <w:r>
              <w:rPr>
                <w:rFonts w:ascii="宋体" w:hAnsi="宋体"/>
                <w:color w:val="auto"/>
                <w:sz w:val="22"/>
                <w:szCs w:val="22"/>
                <w:highlight w:val="none"/>
              </w:rPr>
              <w:br w:type="textWrapping"/>
            </w:r>
            <w:r>
              <w:rPr>
                <w:rFonts w:ascii="宋体" w:hAnsi="宋体"/>
                <w:color w:val="auto"/>
                <w:sz w:val="22"/>
                <w:szCs w:val="22"/>
                <w:highlight w:val="none"/>
              </w:rPr>
              <w:t>2、摄像头外壳材料：不锈钢304</w:t>
            </w:r>
            <w:r>
              <w:rPr>
                <w:rFonts w:ascii="宋体" w:hAnsi="宋体"/>
                <w:color w:val="auto"/>
                <w:sz w:val="22"/>
                <w:szCs w:val="22"/>
                <w:highlight w:val="none"/>
              </w:rPr>
              <w:br w:type="textWrapping"/>
            </w:r>
            <w:r>
              <w:rPr>
                <w:rFonts w:ascii="宋体" w:hAnsi="宋体"/>
                <w:color w:val="auto"/>
                <w:sz w:val="22"/>
                <w:szCs w:val="22"/>
                <w:highlight w:val="none"/>
              </w:rPr>
              <w:t>3、摄像头镜片材料：蓝宝石</w:t>
            </w:r>
            <w:r>
              <w:rPr>
                <w:rFonts w:ascii="宋体" w:hAnsi="宋体"/>
                <w:color w:val="auto"/>
                <w:sz w:val="22"/>
                <w:szCs w:val="22"/>
                <w:highlight w:val="none"/>
              </w:rPr>
              <w:br w:type="textWrapping"/>
            </w:r>
            <w:r>
              <w:rPr>
                <w:rFonts w:ascii="宋体" w:hAnsi="宋体"/>
                <w:color w:val="auto"/>
                <w:sz w:val="22"/>
                <w:szCs w:val="22"/>
                <w:highlight w:val="none"/>
              </w:rPr>
              <w:t>4、传感器尺寸：1/4英寸</w:t>
            </w:r>
            <w:r>
              <w:rPr>
                <w:rFonts w:ascii="宋体" w:hAnsi="宋体"/>
                <w:color w:val="auto"/>
                <w:sz w:val="22"/>
                <w:szCs w:val="22"/>
                <w:highlight w:val="none"/>
              </w:rPr>
              <w:br w:type="textWrapping"/>
            </w:r>
            <w:r>
              <w:rPr>
                <w:rFonts w:ascii="宋体" w:hAnsi="宋体"/>
                <w:color w:val="auto"/>
                <w:sz w:val="22"/>
                <w:szCs w:val="22"/>
                <w:highlight w:val="none"/>
              </w:rPr>
              <w:t>5、</w:t>
            </w:r>
            <w:r>
              <w:rPr>
                <w:rFonts w:hint="eastAsia" w:ascii="宋体" w:hAnsi="宋体"/>
                <w:color w:val="auto"/>
                <w:sz w:val="22"/>
                <w:szCs w:val="22"/>
                <w:highlight w:val="none"/>
              </w:rPr>
              <w:t>50</w:t>
            </w:r>
            <w:r>
              <w:rPr>
                <w:rFonts w:ascii="宋体" w:hAnsi="宋体"/>
                <w:color w:val="auto"/>
                <w:sz w:val="22"/>
                <w:szCs w:val="22"/>
                <w:highlight w:val="none"/>
              </w:rPr>
              <w:t>0万像素高清</w:t>
            </w:r>
            <w:r>
              <w:rPr>
                <w:rFonts w:hint="eastAsia" w:ascii="宋体" w:hAnsi="宋体"/>
                <w:color w:val="auto"/>
                <w:sz w:val="22"/>
                <w:szCs w:val="22"/>
                <w:highlight w:val="none"/>
              </w:rPr>
              <w:t>摄像头</w:t>
            </w:r>
            <w:r>
              <w:rPr>
                <w:rFonts w:ascii="宋体" w:hAnsi="宋体"/>
                <w:color w:val="auto"/>
                <w:sz w:val="22"/>
                <w:szCs w:val="22"/>
                <w:highlight w:val="none"/>
              </w:rPr>
              <w:br w:type="textWrapping"/>
            </w:r>
            <w:r>
              <w:rPr>
                <w:rFonts w:ascii="宋体" w:hAnsi="宋体"/>
                <w:color w:val="auto"/>
                <w:sz w:val="22"/>
                <w:szCs w:val="22"/>
                <w:highlight w:val="none"/>
              </w:rPr>
              <w:t>6、镜头可视角度:120度</w:t>
            </w:r>
            <w:r>
              <w:rPr>
                <w:rFonts w:ascii="宋体" w:hAnsi="宋体"/>
                <w:color w:val="auto"/>
                <w:sz w:val="22"/>
                <w:szCs w:val="22"/>
                <w:highlight w:val="none"/>
              </w:rPr>
              <w:br w:type="textWrapping"/>
            </w:r>
            <w:r>
              <w:rPr>
                <w:rFonts w:ascii="宋体" w:hAnsi="宋体"/>
                <w:color w:val="auto"/>
                <w:sz w:val="22"/>
                <w:szCs w:val="22"/>
                <w:highlight w:val="none"/>
              </w:rPr>
              <w:t>7、摄像头可调节角度：任意角度</w:t>
            </w:r>
            <w:r>
              <w:rPr>
                <w:rFonts w:ascii="宋体" w:hAnsi="宋体"/>
                <w:color w:val="auto"/>
                <w:sz w:val="22"/>
                <w:szCs w:val="22"/>
                <w:highlight w:val="none"/>
              </w:rPr>
              <w:br w:type="textWrapping"/>
            </w:r>
            <w:r>
              <w:rPr>
                <w:rFonts w:ascii="宋体" w:hAnsi="宋体"/>
                <w:color w:val="auto"/>
                <w:sz w:val="22"/>
                <w:szCs w:val="22"/>
                <w:highlight w:val="none"/>
              </w:rPr>
              <w:t>8、摄像头光源：12V</w:t>
            </w:r>
            <w:r>
              <w:rPr>
                <w:rFonts w:hint="eastAsia" w:ascii="宋体" w:hAnsi="宋体"/>
                <w:color w:val="auto"/>
                <w:sz w:val="22"/>
                <w:szCs w:val="22"/>
                <w:highlight w:val="none"/>
              </w:rPr>
              <w:t>红外</w:t>
            </w:r>
            <w:r>
              <w:rPr>
                <w:rFonts w:ascii="宋体" w:hAnsi="宋体"/>
                <w:color w:val="auto"/>
                <w:sz w:val="22"/>
                <w:szCs w:val="22"/>
                <w:highlight w:val="none"/>
              </w:rPr>
              <w:t>LED补光灯</w:t>
            </w:r>
            <w:r>
              <w:rPr>
                <w:rFonts w:ascii="宋体" w:hAnsi="宋体"/>
                <w:color w:val="auto"/>
                <w:sz w:val="22"/>
                <w:szCs w:val="22"/>
                <w:highlight w:val="none"/>
              </w:rPr>
              <w:br w:type="textWrapping"/>
            </w:r>
            <w:r>
              <w:rPr>
                <w:rFonts w:ascii="宋体" w:hAnsi="宋体"/>
                <w:color w:val="auto"/>
                <w:sz w:val="22"/>
                <w:szCs w:val="22"/>
                <w:highlight w:val="none"/>
              </w:rPr>
              <w:t>9、摄像头防水等级：IP68</w:t>
            </w:r>
            <w:r>
              <w:rPr>
                <w:rFonts w:ascii="宋体" w:hAnsi="宋体"/>
                <w:color w:val="auto"/>
                <w:sz w:val="22"/>
                <w:szCs w:val="22"/>
                <w:highlight w:val="none"/>
              </w:rPr>
              <w:br w:type="textWrapping"/>
            </w:r>
            <w:r>
              <w:rPr>
                <w:rFonts w:ascii="宋体" w:hAnsi="宋体"/>
                <w:color w:val="auto"/>
                <w:sz w:val="22"/>
                <w:szCs w:val="22"/>
                <w:highlight w:val="none"/>
              </w:rPr>
              <w:t>10、总度长:3.</w:t>
            </w:r>
            <w:r>
              <w:rPr>
                <w:rFonts w:hint="eastAsia" w:ascii="宋体" w:hAnsi="宋体"/>
                <w:color w:val="auto"/>
                <w:sz w:val="22"/>
                <w:szCs w:val="22"/>
                <w:highlight w:val="none"/>
              </w:rPr>
              <w:t>5</w:t>
            </w:r>
            <w:r>
              <w:rPr>
                <w:rFonts w:ascii="宋体" w:hAnsi="宋体"/>
                <w:color w:val="auto"/>
                <w:sz w:val="22"/>
                <w:szCs w:val="22"/>
                <w:highlight w:val="none"/>
              </w:rPr>
              <w:t>米</w:t>
            </w:r>
            <w:r>
              <w:rPr>
                <w:rFonts w:ascii="宋体" w:hAnsi="宋体"/>
                <w:color w:val="auto"/>
                <w:sz w:val="22"/>
                <w:szCs w:val="22"/>
                <w:highlight w:val="none"/>
              </w:rPr>
              <w:br w:type="textWrapping"/>
            </w:r>
            <w:r>
              <w:rPr>
                <w:rFonts w:ascii="宋体" w:hAnsi="宋体"/>
                <w:color w:val="auto"/>
                <w:sz w:val="22"/>
                <w:szCs w:val="22"/>
                <w:highlight w:val="none"/>
              </w:rPr>
              <w:t>11、工作温度：-10</w:t>
            </w:r>
            <w:r>
              <w:rPr>
                <w:rFonts w:hint="eastAsia" w:ascii="宋体" w:hAnsi="宋体" w:cs="宋体"/>
                <w:color w:val="auto"/>
                <w:sz w:val="22"/>
                <w:szCs w:val="22"/>
                <w:highlight w:val="none"/>
              </w:rPr>
              <w:t>℃</w:t>
            </w:r>
            <w:r>
              <w:rPr>
                <w:rFonts w:ascii="宋体" w:hAnsi="宋体" w:cs="Calibri"/>
                <w:color w:val="auto"/>
                <w:sz w:val="22"/>
                <w:szCs w:val="22"/>
                <w:highlight w:val="none"/>
              </w:rPr>
              <w:t>-50</w:t>
            </w:r>
            <w:r>
              <w:rPr>
                <w:rFonts w:hint="eastAsia" w:ascii="宋体" w:hAnsi="宋体" w:cs="宋体"/>
                <w:color w:val="auto"/>
                <w:sz w:val="22"/>
                <w:szCs w:val="22"/>
                <w:highlight w:val="none"/>
              </w:rPr>
              <w:t>℃</w:t>
            </w:r>
          </w:p>
          <w:p>
            <w:pPr>
              <w:rPr>
                <w:rFonts w:ascii="宋体" w:hAnsi="宋体"/>
                <w:color w:val="auto"/>
                <w:sz w:val="22"/>
                <w:szCs w:val="22"/>
                <w:highlight w:val="none"/>
              </w:rPr>
            </w:pPr>
            <w:r>
              <w:rPr>
                <w:rFonts w:hint="eastAsia" w:ascii="宋体" w:hAnsi="宋体"/>
                <w:color w:val="auto"/>
                <w:sz w:val="22"/>
                <w:szCs w:val="22"/>
                <w:highlight w:val="none"/>
              </w:rPr>
              <w:t>12、红外LED补光灯</w:t>
            </w:r>
            <w:r>
              <w:rPr>
                <w:rFonts w:ascii="宋体" w:hAnsi="宋体"/>
                <w:color w:val="auto"/>
                <w:sz w:val="22"/>
                <w:szCs w:val="22"/>
                <w:highlight w:val="none"/>
              </w:rPr>
              <w:br w:type="textWrapping"/>
            </w:r>
            <w:r>
              <w:rPr>
                <w:rFonts w:ascii="宋体" w:hAnsi="宋体"/>
                <w:color w:val="auto"/>
                <w:sz w:val="22"/>
                <w:szCs w:val="22"/>
                <w:highlight w:val="none"/>
              </w:rPr>
              <w:t> 液晶显示器</w:t>
            </w:r>
            <w:r>
              <w:rPr>
                <w:rFonts w:ascii="宋体" w:hAnsi="宋体"/>
                <w:color w:val="auto"/>
                <w:sz w:val="22"/>
                <w:szCs w:val="22"/>
                <w:highlight w:val="none"/>
              </w:rPr>
              <w:br w:type="textWrapping"/>
            </w:r>
            <w:r>
              <w:rPr>
                <w:rFonts w:ascii="宋体" w:hAnsi="宋体"/>
                <w:color w:val="auto"/>
                <w:sz w:val="22"/>
                <w:szCs w:val="22"/>
                <w:highlight w:val="none"/>
              </w:rPr>
              <w:t>1、屏幕尺寸：</w:t>
            </w:r>
            <w:r>
              <w:rPr>
                <w:rFonts w:hint="eastAsia" w:ascii="宋体" w:hAnsi="宋体"/>
                <w:color w:val="auto"/>
                <w:sz w:val="22"/>
                <w:szCs w:val="22"/>
                <w:highlight w:val="none"/>
              </w:rPr>
              <w:t>7</w:t>
            </w:r>
            <w:r>
              <w:rPr>
                <w:rFonts w:ascii="宋体" w:hAnsi="宋体"/>
                <w:color w:val="auto"/>
                <w:sz w:val="22"/>
                <w:szCs w:val="22"/>
                <w:highlight w:val="none"/>
              </w:rPr>
              <w:t>英寸16：9</w:t>
            </w:r>
          </w:p>
          <w:p>
            <w:pPr>
              <w:rPr>
                <w:rFonts w:ascii="宋体" w:hAnsi="宋体"/>
                <w:color w:val="auto"/>
                <w:sz w:val="22"/>
                <w:szCs w:val="22"/>
                <w:highlight w:val="none"/>
              </w:rPr>
            </w:pPr>
            <w:r>
              <w:rPr>
                <w:rFonts w:hint="eastAsia" w:ascii="宋体" w:hAnsi="宋体"/>
                <w:color w:val="auto"/>
                <w:sz w:val="22"/>
                <w:szCs w:val="22"/>
                <w:highlight w:val="none"/>
              </w:rPr>
              <w:t xml:space="preserve">2、像素：800*480 </w:t>
            </w:r>
            <w:r>
              <w:rPr>
                <w:rFonts w:ascii="宋体" w:hAnsi="宋体"/>
                <w:color w:val="auto"/>
                <w:sz w:val="22"/>
                <w:szCs w:val="22"/>
                <w:highlight w:val="none"/>
              </w:rPr>
              <w:br w:type="textWrapping"/>
            </w:r>
            <w:r>
              <w:rPr>
                <w:rFonts w:hint="eastAsia" w:ascii="宋体" w:hAnsi="宋体"/>
                <w:color w:val="auto"/>
                <w:sz w:val="22"/>
                <w:szCs w:val="22"/>
                <w:highlight w:val="none"/>
              </w:rPr>
              <w:t>3</w:t>
            </w:r>
            <w:r>
              <w:rPr>
                <w:rFonts w:ascii="宋体" w:hAnsi="宋体"/>
                <w:color w:val="auto"/>
                <w:sz w:val="22"/>
                <w:szCs w:val="22"/>
                <w:highlight w:val="none"/>
              </w:rPr>
              <w:t>、工作电源：DC：12V</w:t>
            </w:r>
            <w:r>
              <w:rPr>
                <w:rFonts w:ascii="宋体" w:hAnsi="宋体"/>
                <w:color w:val="auto"/>
                <w:sz w:val="22"/>
                <w:szCs w:val="22"/>
                <w:highlight w:val="none"/>
              </w:rPr>
              <w:br w:type="textWrapping"/>
            </w:r>
            <w:r>
              <w:rPr>
                <w:rFonts w:hint="eastAsia" w:ascii="宋体" w:hAnsi="宋体"/>
                <w:color w:val="auto"/>
                <w:sz w:val="22"/>
                <w:szCs w:val="22"/>
                <w:highlight w:val="none"/>
              </w:rPr>
              <w:t>4、</w:t>
            </w:r>
            <w:r>
              <w:rPr>
                <w:rFonts w:ascii="宋体" w:hAnsi="宋体"/>
                <w:color w:val="auto"/>
                <w:sz w:val="22"/>
                <w:szCs w:val="22"/>
                <w:highlight w:val="none"/>
              </w:rPr>
              <w:t>包装：高硬度铝合金手提箱</w:t>
            </w:r>
            <w:r>
              <w:rPr>
                <w:rFonts w:ascii="宋体" w:hAnsi="宋体"/>
                <w:color w:val="auto"/>
                <w:sz w:val="22"/>
                <w:szCs w:val="22"/>
                <w:highlight w:val="none"/>
              </w:rPr>
              <w:br w:type="textWrapping"/>
            </w:r>
            <w:r>
              <w:rPr>
                <w:rFonts w:hint="eastAsia" w:ascii="宋体" w:hAnsi="宋体"/>
                <w:color w:val="auto"/>
                <w:sz w:val="22"/>
                <w:szCs w:val="22"/>
                <w:highlight w:val="none"/>
              </w:rPr>
              <w:t>5、</w:t>
            </w:r>
            <w:r>
              <w:rPr>
                <w:rFonts w:ascii="宋体" w:hAnsi="宋体"/>
                <w:color w:val="auto"/>
                <w:sz w:val="22"/>
                <w:szCs w:val="22"/>
                <w:highlight w:val="none"/>
              </w:rPr>
              <w:t>电源：大容量可充电电池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68</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防爆围栏毯</w:t>
            </w:r>
          </w:p>
        </w:tc>
        <w:tc>
          <w:tcPr>
            <w:tcW w:w="1459" w:type="pct"/>
            <w:noWrap w:val="0"/>
            <w:vAlign w:val="center"/>
          </w:tcPr>
          <w:p>
            <w:pPr>
              <w:spacing w:line="360" w:lineRule="auto"/>
              <w:jc w:val="center"/>
              <w:rPr>
                <w:rFonts w:ascii="宋体" w:hAnsi="宋体" w:cs="宋体"/>
                <w:color w:val="auto"/>
                <w:sz w:val="22"/>
                <w:szCs w:val="22"/>
                <w:highlight w:val="none"/>
              </w:rPr>
            </w:pPr>
            <w:r>
              <w:rPr>
                <w:rFonts w:ascii="宋体" w:hAnsi="宋体" w:cs="宋体"/>
                <w:color w:val="auto"/>
                <w:sz w:val="22"/>
                <w:szCs w:val="22"/>
                <w:highlight w:val="none"/>
              </w:rPr>
              <w:drawing>
                <wp:inline distT="0" distB="0" distL="114300" distR="114300">
                  <wp:extent cx="1287145" cy="643255"/>
                  <wp:effectExtent l="0" t="0" r="8255" b="4445"/>
                  <wp:docPr id="6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1"/>
                          <pic:cNvPicPr>
                            <a:picLocks noChangeAspect="1"/>
                          </pic:cNvPicPr>
                        </pic:nvPicPr>
                        <pic:blipFill>
                          <a:blip r:embed="rId78"/>
                          <a:stretch>
                            <a:fillRect/>
                          </a:stretch>
                        </pic:blipFill>
                        <pic:spPr>
                          <a:xfrm>
                            <a:off x="0" y="0"/>
                            <a:ext cx="1287145" cy="643255"/>
                          </a:xfrm>
                          <a:prstGeom prst="rect">
                            <a:avLst/>
                          </a:prstGeom>
                          <a:noFill/>
                          <a:ln>
                            <a:noFill/>
                          </a:ln>
                        </pic:spPr>
                      </pic:pic>
                    </a:graphicData>
                  </a:graphic>
                </wp:inline>
              </w:drawing>
            </w:r>
          </w:p>
        </w:tc>
        <w:tc>
          <w:tcPr>
            <w:tcW w:w="2847" w:type="pct"/>
            <w:noWrap w:val="0"/>
            <w:vAlign w:val="center"/>
          </w:tcPr>
          <w:p>
            <w:pPr>
              <w:spacing w:line="276" w:lineRule="auto"/>
              <w:rPr>
                <w:rFonts w:ascii="宋体" w:hAnsi="宋体"/>
                <w:color w:val="auto"/>
                <w:sz w:val="22"/>
                <w:szCs w:val="22"/>
                <w:highlight w:val="none"/>
              </w:rPr>
            </w:pPr>
            <w:r>
              <w:rPr>
                <w:rFonts w:hint="eastAsia" w:ascii="宋体" w:hAnsi="宋体" w:cs="仿宋_GB2312"/>
                <w:color w:val="auto"/>
                <w:kern w:val="0"/>
                <w:sz w:val="22"/>
                <w:szCs w:val="22"/>
                <w:highlight w:val="none"/>
              </w:rPr>
              <w:t>1、防暴毯由</w:t>
            </w:r>
            <w:r>
              <w:rPr>
                <w:rFonts w:hint="eastAsia" w:ascii="宋体" w:hAnsi="宋体"/>
                <w:color w:val="auto"/>
                <w:sz w:val="22"/>
                <w:szCs w:val="22"/>
                <w:highlight w:val="none"/>
              </w:rPr>
              <w:t>一条盖毯和内径大、小不同的两个围栏组成。</w:t>
            </w:r>
          </w:p>
          <w:p>
            <w:pPr>
              <w:spacing w:line="276" w:lineRule="auto"/>
              <w:rPr>
                <w:rFonts w:ascii="宋体" w:hAnsi="宋体"/>
                <w:color w:val="auto"/>
                <w:sz w:val="22"/>
                <w:szCs w:val="22"/>
                <w:highlight w:val="none"/>
              </w:rPr>
            </w:pPr>
            <w:r>
              <w:rPr>
                <w:rFonts w:hint="eastAsia" w:ascii="宋体" w:hAnsi="宋体"/>
                <w:color w:val="auto"/>
                <w:sz w:val="22"/>
                <w:szCs w:val="22"/>
                <w:highlight w:val="none"/>
              </w:rPr>
              <w:t>2、盖毯的外形尺寸为1600mm×1600mm，盖毯结构由内至外依次为：50层600mm×600mm高分子量聚乙烯纤维无纬布加强层＋5层1600mm×1600mm机织布+2层1600mm×1600高分子量聚乙烯纤维机织布+2层1600mm×1600mm机织布+1层1600mm×1600mm浸胶机织布+1层1600mm×1600mm机织布+1层1600mm×1600mm浸胶机织布，盖毯中间有1个直径为Φ300mm的泄爆孔。盖毯质量为12.2kg。</w:t>
            </w:r>
          </w:p>
          <w:p>
            <w:pPr>
              <w:spacing w:line="276" w:lineRule="auto"/>
              <w:rPr>
                <w:rFonts w:ascii="宋体" w:hAnsi="宋体"/>
                <w:color w:val="auto"/>
                <w:sz w:val="22"/>
                <w:szCs w:val="22"/>
                <w:highlight w:val="none"/>
              </w:rPr>
            </w:pPr>
            <w:r>
              <w:rPr>
                <w:rFonts w:hint="eastAsia" w:ascii="宋体" w:hAnsi="宋体"/>
                <w:color w:val="auto"/>
                <w:sz w:val="22"/>
                <w:szCs w:val="22"/>
                <w:highlight w:val="none"/>
              </w:rPr>
              <w:t>3、外围栏的高度为150mm，内径为Φ600mm，围栏由78层高分子量聚乙烯纤维无纬布缠绕制作。外围栏质量为4.6kg。</w:t>
            </w:r>
          </w:p>
          <w:p>
            <w:pPr>
              <w:spacing w:line="276" w:lineRule="auto"/>
              <w:rPr>
                <w:rFonts w:ascii="宋体" w:hAnsi="宋体"/>
                <w:color w:val="auto"/>
                <w:sz w:val="22"/>
                <w:szCs w:val="22"/>
                <w:highlight w:val="none"/>
              </w:rPr>
            </w:pPr>
            <w:r>
              <w:rPr>
                <w:rFonts w:hint="eastAsia" w:ascii="宋体" w:hAnsi="宋体"/>
                <w:color w:val="auto"/>
                <w:sz w:val="22"/>
                <w:szCs w:val="22"/>
                <w:highlight w:val="none"/>
              </w:rPr>
              <w:t>内围栏的高度为300mm。内径为Φ450mm，围栏由176层高分子量聚乙烯纤维无纬布缠绕制作。外围栏质量为12.6kg。</w:t>
            </w:r>
          </w:p>
          <w:p>
            <w:pPr>
              <w:spacing w:line="276" w:lineRule="auto"/>
              <w:rPr>
                <w:rFonts w:ascii="宋体" w:hAnsi="宋体" w:cs="Calibri"/>
                <w:color w:val="auto"/>
                <w:sz w:val="22"/>
                <w:szCs w:val="22"/>
                <w:highlight w:val="none"/>
              </w:rPr>
            </w:pPr>
            <w:r>
              <w:rPr>
                <w:rFonts w:hint="eastAsia" w:ascii="宋体" w:hAnsi="宋体"/>
                <w:color w:val="auto"/>
                <w:sz w:val="22"/>
                <w:szCs w:val="22"/>
                <w:highlight w:val="none"/>
              </w:rPr>
              <w:t>4、重量：≤29.4kg。</w:t>
            </w:r>
          </w:p>
          <w:p>
            <w:pPr>
              <w:spacing w:line="276" w:lineRule="auto"/>
              <w:rPr>
                <w:rFonts w:ascii="宋体" w:hAnsi="宋体"/>
                <w:bCs/>
                <w:color w:val="auto"/>
                <w:sz w:val="22"/>
                <w:szCs w:val="22"/>
                <w:highlight w:val="none"/>
              </w:rPr>
            </w:pPr>
            <w:r>
              <w:rPr>
                <w:rFonts w:hint="eastAsia" w:ascii="宋体" w:hAnsi="宋体"/>
                <w:bCs/>
                <w:color w:val="auto"/>
                <w:sz w:val="22"/>
                <w:szCs w:val="22"/>
                <w:highlight w:val="none"/>
              </w:rPr>
              <w:t>5、检验依据： GA 2007防爆毯</w:t>
            </w:r>
          </w:p>
          <w:p>
            <w:pPr>
              <w:spacing w:line="276" w:lineRule="auto"/>
              <w:rPr>
                <w:rFonts w:ascii="宋体" w:hAnsi="宋体"/>
                <w:b/>
                <w:bCs/>
                <w:color w:val="auto"/>
                <w:sz w:val="22"/>
                <w:szCs w:val="22"/>
                <w:highlight w:val="none"/>
              </w:rPr>
            </w:pPr>
            <w:r>
              <w:rPr>
                <w:rFonts w:hint="eastAsia" w:ascii="宋体" w:hAnsi="宋体"/>
                <w:b/>
                <w:color w:val="auto"/>
                <w:kern w:val="0"/>
                <w:sz w:val="22"/>
                <w:szCs w:val="22"/>
                <w:highlight w:val="none"/>
              </w:rPr>
              <w:t>▲</w:t>
            </w:r>
            <w:r>
              <w:rPr>
                <w:rFonts w:hint="eastAsia" w:ascii="宋体" w:hAnsi="宋体" w:cs="Arial"/>
                <w:b/>
                <w:color w:val="auto"/>
                <w:sz w:val="22"/>
                <w:szCs w:val="22"/>
                <w:highlight w:val="none"/>
              </w:rPr>
              <w:t>6、</w:t>
            </w:r>
            <w:r>
              <w:rPr>
                <w:rFonts w:hint="eastAsia" w:ascii="宋体" w:hAnsi="宋体"/>
                <w:b/>
                <w:color w:val="auto"/>
                <w:sz w:val="22"/>
                <w:szCs w:val="22"/>
                <w:highlight w:val="none"/>
              </w:rPr>
              <w:t>质保年限</w:t>
            </w:r>
            <w:r>
              <w:rPr>
                <w:rFonts w:hint="eastAsia" w:ascii="宋体" w:hAnsi="宋体" w:cs="Arial"/>
                <w:b/>
                <w:color w:val="auto"/>
                <w:sz w:val="22"/>
                <w:szCs w:val="22"/>
                <w:highlight w:val="none"/>
              </w:rPr>
              <w:t>：八年， 保险金额：800万</w:t>
            </w:r>
            <w:r>
              <w:rPr>
                <w:rFonts w:hint="eastAsia" w:ascii="宋体" w:hAnsi="宋体" w:cs="宋体"/>
                <w:b/>
                <w:color w:val="auto"/>
                <w:kern w:val="0"/>
                <w:sz w:val="22"/>
                <w:szCs w:val="22"/>
                <w:highlight w:val="none"/>
              </w:rPr>
              <w:t>（需提供保险证明）</w:t>
            </w:r>
          </w:p>
          <w:p>
            <w:pPr>
              <w:spacing w:line="276" w:lineRule="auto"/>
              <w:rPr>
                <w:rFonts w:ascii="宋体" w:hAnsi="宋体"/>
                <w:color w:val="auto"/>
                <w:sz w:val="22"/>
                <w:szCs w:val="22"/>
                <w:highlight w:val="none"/>
              </w:rPr>
            </w:pPr>
            <w:r>
              <w:rPr>
                <w:rFonts w:hint="eastAsia" w:ascii="宋体" w:hAnsi="宋体"/>
                <w:b/>
                <w:color w:val="auto"/>
                <w:kern w:val="0"/>
                <w:sz w:val="22"/>
                <w:szCs w:val="22"/>
                <w:highlight w:val="none"/>
              </w:rPr>
              <w:t>▲</w:t>
            </w:r>
            <w:r>
              <w:rPr>
                <w:rFonts w:hint="eastAsia" w:ascii="宋体" w:hAnsi="宋体"/>
                <w:b/>
                <w:bCs/>
                <w:color w:val="auto"/>
                <w:sz w:val="22"/>
                <w:szCs w:val="22"/>
                <w:highlight w:val="none"/>
              </w:rPr>
              <w:t>7、提供2016年及之后的公安部特种警用装备质量监督检验中心出具的检测报告</w:t>
            </w:r>
            <w:r>
              <w:rPr>
                <w:rFonts w:hint="eastAsia" w:ascii="宋体" w:hAnsi="宋体" w:cs="宋体"/>
                <w:b/>
                <w:color w:val="auto"/>
                <w:kern w:val="0"/>
                <w:sz w:val="22"/>
                <w:szCs w:val="22"/>
                <w:highlight w:val="none"/>
              </w:rPr>
              <w:t>（</w:t>
            </w:r>
            <w:r>
              <w:rPr>
                <w:rFonts w:hint="eastAsia" w:ascii="宋体" w:hAnsi="宋体"/>
                <w:b/>
                <w:color w:val="auto"/>
                <w:sz w:val="22"/>
                <w:szCs w:val="22"/>
                <w:highlight w:val="none"/>
              </w:rPr>
              <w:t>复印件加盖生产厂家公章</w:t>
            </w:r>
            <w:r>
              <w:rPr>
                <w:rFonts w:hint="eastAsia" w:ascii="宋体" w:hAnsi="宋体" w:cs="宋体"/>
                <w:b/>
                <w:color w:val="auto"/>
                <w:kern w:val="0"/>
                <w:sz w:val="22"/>
                <w:szCs w:val="22"/>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69</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手持式金属探测仪</w:t>
            </w:r>
          </w:p>
        </w:tc>
        <w:tc>
          <w:tcPr>
            <w:tcW w:w="1459" w:type="pct"/>
            <w:noWrap w:val="0"/>
            <w:vAlign w:val="bottom"/>
          </w:tcPr>
          <w:p>
            <w:pPr>
              <w:widowControl/>
              <w:spacing w:line="276" w:lineRule="auto"/>
              <w:jc w:val="center"/>
              <w:rPr>
                <w:rFonts w:hint="eastAsia" w:ascii="宋体" w:hAnsi="宋体" w:cs="宋体"/>
                <w:color w:val="auto"/>
                <w:kern w:val="0"/>
                <w:sz w:val="22"/>
                <w:szCs w:val="22"/>
                <w:highlight w:val="none"/>
              </w:rPr>
            </w:pPr>
            <w:r>
              <w:rPr>
                <w:rFonts w:ascii="宋体" w:hAnsi="宋体" w:cs="宋体"/>
                <w:color w:val="auto"/>
                <w:kern w:val="0"/>
                <w:sz w:val="22"/>
                <w:szCs w:val="22"/>
                <w:highlight w:val="none"/>
              </w:rPr>
              <w:drawing>
                <wp:inline distT="0" distB="0" distL="114300" distR="114300">
                  <wp:extent cx="1781175" cy="828675"/>
                  <wp:effectExtent l="402590" t="85725" r="407035" b="95250"/>
                  <wp:docPr id="8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2"/>
                          <pic:cNvPicPr>
                            <a:picLocks noChangeAspect="1"/>
                          </pic:cNvPicPr>
                        </pic:nvPicPr>
                        <pic:blipFill>
                          <a:blip r:embed="rId79"/>
                          <a:stretch>
                            <a:fillRect/>
                          </a:stretch>
                        </pic:blipFill>
                        <pic:spPr>
                          <a:xfrm rot="-3519490">
                            <a:off x="0" y="0"/>
                            <a:ext cx="1781175" cy="828675"/>
                          </a:xfrm>
                          <a:prstGeom prst="rect">
                            <a:avLst/>
                          </a:prstGeom>
                          <a:noFill/>
                          <a:ln>
                            <a:noFill/>
                          </a:ln>
                        </pic:spPr>
                      </pic:pic>
                    </a:graphicData>
                  </a:graphic>
                </wp:inline>
              </w:drawing>
            </w:r>
          </w:p>
        </w:tc>
        <w:tc>
          <w:tcPr>
            <w:tcW w:w="2847" w:type="pct"/>
            <w:noWrap w:val="0"/>
            <w:vAlign w:val="center"/>
          </w:tcPr>
          <w:p>
            <w:pPr>
              <w:spacing w:line="276" w:lineRule="auto"/>
              <w:rPr>
                <w:rFonts w:hint="eastAsia" w:ascii="宋体" w:hAnsi="宋体"/>
                <w:color w:val="auto"/>
                <w:sz w:val="22"/>
                <w:szCs w:val="22"/>
                <w:highlight w:val="none"/>
              </w:rPr>
            </w:pPr>
            <w:r>
              <w:rPr>
                <w:rFonts w:hint="eastAsia" w:ascii="宋体" w:hAnsi="宋体"/>
                <w:color w:val="auto"/>
                <w:sz w:val="22"/>
                <w:szCs w:val="22"/>
                <w:highlight w:val="none"/>
              </w:rPr>
              <w:t>探测性能：符合GB12899-2018手持式金属探测器通用技术规范，探测距离满足A级标准。</w:t>
            </w:r>
          </w:p>
          <w:p>
            <w:pPr>
              <w:spacing w:line="276" w:lineRule="auto"/>
              <w:rPr>
                <w:rFonts w:hint="eastAsia" w:ascii="宋体" w:hAnsi="宋体"/>
                <w:color w:val="auto"/>
                <w:sz w:val="22"/>
                <w:szCs w:val="22"/>
                <w:highlight w:val="none"/>
              </w:rPr>
            </w:pPr>
            <w:r>
              <w:rPr>
                <w:rFonts w:hint="eastAsia" w:ascii="宋体" w:hAnsi="宋体"/>
                <w:color w:val="auto"/>
                <w:sz w:val="22"/>
                <w:szCs w:val="22"/>
                <w:highlight w:val="none"/>
              </w:rPr>
              <w:t>▲报警声音：符合GB12899-2018手持式金属探测距离0.8M处最大声音大于等于85dB。（需在检测报告中体现）</w:t>
            </w:r>
          </w:p>
          <w:p>
            <w:pPr>
              <w:spacing w:line="276" w:lineRule="auto"/>
              <w:rPr>
                <w:rFonts w:hint="eastAsia" w:ascii="宋体" w:hAnsi="宋体"/>
                <w:color w:val="auto"/>
                <w:sz w:val="22"/>
                <w:szCs w:val="22"/>
                <w:highlight w:val="none"/>
              </w:rPr>
            </w:pPr>
            <w:r>
              <w:rPr>
                <w:rFonts w:hint="eastAsia" w:ascii="宋体" w:hAnsi="宋体"/>
                <w:color w:val="auto"/>
                <w:sz w:val="22"/>
                <w:szCs w:val="22"/>
                <w:highlight w:val="none"/>
              </w:rPr>
              <w:t>▲辐射磁感应强度：符合GB12899-2018手持式金属探测器通用技术规范，小于等于9μT。（需在检测报告中体现）</w:t>
            </w:r>
          </w:p>
          <w:p>
            <w:pPr>
              <w:spacing w:line="276" w:lineRule="auto"/>
              <w:rPr>
                <w:rFonts w:hint="eastAsia" w:ascii="宋体" w:hAnsi="宋体"/>
                <w:color w:val="auto"/>
                <w:sz w:val="22"/>
                <w:szCs w:val="22"/>
                <w:highlight w:val="none"/>
              </w:rPr>
            </w:pPr>
            <w:r>
              <w:rPr>
                <w:rFonts w:hint="eastAsia" w:ascii="宋体" w:hAnsi="宋体"/>
                <w:color w:val="auto"/>
                <w:sz w:val="22"/>
                <w:szCs w:val="22"/>
                <w:highlight w:val="none"/>
              </w:rPr>
              <w:t>▲高温试验:室外型：+60℃±2℃、2h。试验期间功能应正常。（需在检测报告中体现）</w:t>
            </w:r>
          </w:p>
          <w:p>
            <w:pPr>
              <w:spacing w:line="276" w:lineRule="auto"/>
              <w:rPr>
                <w:rFonts w:hint="eastAsia" w:ascii="宋体" w:hAnsi="宋体"/>
                <w:color w:val="auto"/>
                <w:sz w:val="22"/>
                <w:szCs w:val="22"/>
                <w:highlight w:val="none"/>
              </w:rPr>
            </w:pPr>
            <w:r>
              <w:rPr>
                <w:rFonts w:hint="eastAsia" w:ascii="宋体" w:hAnsi="宋体"/>
                <w:color w:val="auto"/>
                <w:sz w:val="22"/>
                <w:szCs w:val="22"/>
                <w:highlight w:val="none"/>
              </w:rPr>
              <w:t>▲低温试验:室外型：-30℃±3℃、2h。试验期间功能应正常。（需在检测报告中体现）</w:t>
            </w:r>
          </w:p>
          <w:p>
            <w:pPr>
              <w:spacing w:line="276" w:lineRule="auto"/>
              <w:rPr>
                <w:rFonts w:hint="eastAsia" w:ascii="宋体" w:hAnsi="宋体"/>
                <w:color w:val="auto"/>
                <w:sz w:val="22"/>
                <w:szCs w:val="22"/>
                <w:highlight w:val="none"/>
              </w:rPr>
            </w:pPr>
            <w:r>
              <w:rPr>
                <w:rFonts w:hint="eastAsia" w:ascii="宋体" w:hAnsi="宋体"/>
                <w:color w:val="auto"/>
                <w:sz w:val="22"/>
                <w:szCs w:val="22"/>
                <w:highlight w:val="none"/>
              </w:rPr>
              <w:t>节能模式检查:设备开启后，2分钟不使用应进入休眠模式，在休眠模式下按任意键应自动进入检测模式。</w:t>
            </w:r>
          </w:p>
          <w:p>
            <w:pPr>
              <w:spacing w:line="276" w:lineRule="auto"/>
              <w:rPr>
                <w:rFonts w:hint="eastAsia" w:ascii="宋体" w:hAnsi="宋体"/>
                <w:color w:val="auto"/>
                <w:sz w:val="22"/>
                <w:szCs w:val="22"/>
                <w:highlight w:val="none"/>
              </w:rPr>
            </w:pPr>
            <w:r>
              <w:rPr>
                <w:rFonts w:hint="eastAsia" w:ascii="宋体" w:hAnsi="宋体"/>
                <w:color w:val="auto"/>
                <w:sz w:val="22"/>
                <w:szCs w:val="22"/>
                <w:highlight w:val="none"/>
              </w:rPr>
              <w:t>▲灵敏度调节:手探应能通过按键在8档灵敏度之间进行切换，应有指示灯提示，灵敏度越高，指示灯亮的越多。（需在检测报告中体现）</w:t>
            </w:r>
          </w:p>
          <w:p>
            <w:pPr>
              <w:spacing w:line="276" w:lineRule="auto"/>
              <w:rPr>
                <w:rFonts w:hint="eastAsia" w:ascii="宋体" w:hAnsi="宋体"/>
                <w:color w:val="auto"/>
                <w:sz w:val="22"/>
                <w:szCs w:val="22"/>
                <w:highlight w:val="none"/>
              </w:rPr>
            </w:pPr>
            <w:r>
              <w:rPr>
                <w:rFonts w:hint="eastAsia" w:ascii="宋体" w:hAnsi="宋体"/>
                <w:color w:val="auto"/>
                <w:sz w:val="22"/>
                <w:szCs w:val="22"/>
                <w:highlight w:val="none"/>
              </w:rPr>
              <w:t>▲金属量提示功能检查:探测到金属时，设备应能通过指示灯提示金属量的大小，金属量越大，指示灯亮的越多。（需在检测报告中体现）</w:t>
            </w:r>
          </w:p>
          <w:p>
            <w:pPr>
              <w:spacing w:line="276" w:lineRule="auto"/>
              <w:rPr>
                <w:rFonts w:hint="eastAsia" w:ascii="宋体" w:hAnsi="宋体"/>
                <w:color w:val="auto"/>
                <w:sz w:val="22"/>
                <w:szCs w:val="22"/>
                <w:highlight w:val="none"/>
              </w:rPr>
            </w:pPr>
            <w:r>
              <w:rPr>
                <w:rFonts w:hint="eastAsia" w:ascii="宋体" w:hAnsi="宋体"/>
                <w:color w:val="auto"/>
                <w:sz w:val="22"/>
                <w:szCs w:val="22"/>
                <w:highlight w:val="none"/>
              </w:rPr>
              <w:t>▲工作电流检查：工作时手探最大工作声光报警电流应小于0.65MA、振动光报警应小于1MA。（需在检测报告中体现）</w:t>
            </w:r>
          </w:p>
          <w:p>
            <w:pPr>
              <w:spacing w:line="276" w:lineRule="auto"/>
              <w:rPr>
                <w:rFonts w:hint="eastAsia" w:ascii="宋体" w:hAnsi="宋体"/>
                <w:color w:val="auto"/>
                <w:sz w:val="22"/>
                <w:szCs w:val="22"/>
                <w:highlight w:val="none"/>
              </w:rPr>
            </w:pPr>
            <w:r>
              <w:rPr>
                <w:rFonts w:hint="eastAsia" w:ascii="宋体" w:hAnsi="宋体"/>
                <w:color w:val="auto"/>
                <w:sz w:val="22"/>
                <w:szCs w:val="22"/>
                <w:highlight w:val="none"/>
              </w:rPr>
              <w:t>电池防反接功能检查：电池反接开机后，手探也不应损坏。更换电池级性后重新开机，手探应能正常使用。</w:t>
            </w:r>
          </w:p>
          <w:p>
            <w:pPr>
              <w:spacing w:line="276" w:lineRule="auto"/>
              <w:rPr>
                <w:rFonts w:hint="eastAsia" w:ascii="宋体" w:hAnsi="宋体"/>
                <w:color w:val="auto"/>
                <w:sz w:val="22"/>
                <w:szCs w:val="22"/>
                <w:highlight w:val="none"/>
              </w:rPr>
            </w:pPr>
            <w:r>
              <w:rPr>
                <w:rFonts w:hint="eastAsia" w:ascii="宋体" w:hAnsi="宋体"/>
                <w:color w:val="auto"/>
                <w:sz w:val="22"/>
                <w:szCs w:val="22"/>
                <w:highlight w:val="none"/>
              </w:rPr>
              <w:t>▲探测器整机总量：整机（含电池）小于等于270g（需在检测报告中体现）</w:t>
            </w:r>
          </w:p>
          <w:p>
            <w:pPr>
              <w:spacing w:line="276" w:lineRule="auto"/>
              <w:rPr>
                <w:rFonts w:ascii="宋体" w:hAnsi="宋体"/>
                <w:b/>
                <w:color w:val="auto"/>
                <w:sz w:val="22"/>
                <w:szCs w:val="22"/>
                <w:highlight w:val="none"/>
              </w:rPr>
            </w:pPr>
            <w:r>
              <w:rPr>
                <w:rFonts w:hint="eastAsia" w:ascii="宋体" w:hAnsi="宋体"/>
                <w:color w:val="auto"/>
                <w:sz w:val="22"/>
                <w:szCs w:val="22"/>
                <w:highlight w:val="none"/>
              </w:rPr>
              <w:t>▲</w:t>
            </w:r>
            <w:r>
              <w:rPr>
                <w:rFonts w:hint="eastAsia" w:ascii="宋体" w:hAnsi="宋体"/>
                <w:b/>
                <w:color w:val="auto"/>
                <w:sz w:val="22"/>
                <w:szCs w:val="22"/>
                <w:highlight w:val="none"/>
              </w:rPr>
              <w:t>需提供公安部出具的检测报告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7</w:t>
            </w:r>
            <w:r>
              <w:rPr>
                <w:rFonts w:hint="eastAsia" w:ascii="宋体" w:hAnsi="宋体"/>
                <w:color w:val="auto"/>
                <w:sz w:val="22"/>
                <w:szCs w:val="22"/>
                <w:highlight w:val="none"/>
                <w:lang w:val="en-US" w:eastAsia="zh-CN"/>
              </w:rPr>
              <w:t>0</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无磁探针</w:t>
            </w:r>
          </w:p>
        </w:tc>
        <w:tc>
          <w:tcPr>
            <w:tcW w:w="1459" w:type="pct"/>
            <w:noWrap w:val="0"/>
            <w:vAlign w:val="center"/>
          </w:tcPr>
          <w:p>
            <w:pPr>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417320" cy="645160"/>
                  <wp:effectExtent l="0" t="0" r="11430" b="2540"/>
                  <wp:docPr id="87" name="图片 73" descr="fd7aafe27a5c4879784bdc430f7f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3" descr="fd7aafe27a5c4879784bdc430f7f2ef"/>
                          <pic:cNvPicPr>
                            <a:picLocks noChangeAspect="1"/>
                          </pic:cNvPicPr>
                        </pic:nvPicPr>
                        <pic:blipFill>
                          <a:blip r:embed="rId80"/>
                          <a:stretch>
                            <a:fillRect/>
                          </a:stretch>
                        </pic:blipFill>
                        <pic:spPr>
                          <a:xfrm>
                            <a:off x="0" y="0"/>
                            <a:ext cx="1417320" cy="645160"/>
                          </a:xfrm>
                          <a:prstGeom prst="rect">
                            <a:avLst/>
                          </a:prstGeom>
                          <a:noFill/>
                          <a:ln>
                            <a:noFill/>
                          </a:ln>
                        </pic:spPr>
                      </pic:pic>
                    </a:graphicData>
                  </a:graphic>
                </wp:inline>
              </w:drawing>
            </w:r>
          </w:p>
        </w:tc>
        <w:tc>
          <w:tcPr>
            <w:tcW w:w="2847" w:type="pct"/>
            <w:noWrap w:val="0"/>
            <w:vAlign w:val="center"/>
          </w:tcPr>
          <w:p>
            <w:pPr>
              <w:pStyle w:val="125"/>
              <w:numPr>
                <w:ilvl w:val="0"/>
                <w:numId w:val="50"/>
              </w:numPr>
              <w:ind w:firstLineChars="0"/>
              <w:rPr>
                <w:rFonts w:ascii="宋体" w:hAnsi="宋体"/>
                <w:color w:val="auto"/>
                <w:sz w:val="22"/>
                <w:szCs w:val="22"/>
                <w:highlight w:val="none"/>
              </w:rPr>
            </w:pPr>
            <w:r>
              <w:rPr>
                <w:rFonts w:hint="eastAsia" w:ascii="宋体" w:hAnsi="宋体"/>
                <w:color w:val="auto"/>
                <w:sz w:val="22"/>
                <w:szCs w:val="22"/>
                <w:highlight w:val="none"/>
              </w:rPr>
              <w:t>探针参数：采用铍青铜材料</w:t>
            </w:r>
          </w:p>
          <w:p>
            <w:pPr>
              <w:pStyle w:val="125"/>
              <w:numPr>
                <w:ilvl w:val="0"/>
                <w:numId w:val="50"/>
              </w:numPr>
              <w:ind w:firstLineChars="0"/>
              <w:rPr>
                <w:rFonts w:ascii="宋体" w:hAnsi="宋体"/>
                <w:color w:val="auto"/>
                <w:sz w:val="22"/>
                <w:szCs w:val="22"/>
                <w:highlight w:val="none"/>
              </w:rPr>
            </w:pPr>
            <w:r>
              <w:rPr>
                <w:rFonts w:hint="eastAsia" w:ascii="宋体" w:hAnsi="宋体"/>
                <w:color w:val="auto"/>
                <w:sz w:val="22"/>
                <w:szCs w:val="22"/>
                <w:highlight w:val="none"/>
              </w:rPr>
              <w:t>手柄参数：采用无磁绝缘材质</w:t>
            </w:r>
          </w:p>
          <w:p>
            <w:pPr>
              <w:pStyle w:val="125"/>
              <w:numPr>
                <w:ilvl w:val="0"/>
                <w:numId w:val="50"/>
              </w:numPr>
              <w:ind w:firstLineChars="0"/>
              <w:rPr>
                <w:rFonts w:ascii="宋体" w:hAnsi="宋体"/>
                <w:color w:val="auto"/>
                <w:sz w:val="22"/>
                <w:szCs w:val="22"/>
                <w:highlight w:val="none"/>
              </w:rPr>
            </w:pPr>
            <w:r>
              <w:rPr>
                <w:rFonts w:hint="eastAsia" w:ascii="宋体" w:hAnsi="宋体"/>
                <w:color w:val="auto"/>
                <w:sz w:val="22"/>
                <w:szCs w:val="22"/>
                <w:highlight w:val="none"/>
              </w:rPr>
              <w:t>工作长度：总长度：</w:t>
            </w:r>
            <w:r>
              <w:rPr>
                <w:rFonts w:hint="eastAsia" w:ascii="宋体" w:hAnsi="宋体" w:cs="宋体"/>
                <w:color w:val="auto"/>
                <w:kern w:val="0"/>
                <w:sz w:val="22"/>
                <w:szCs w:val="22"/>
                <w:highlight w:val="none"/>
              </w:rPr>
              <w:t>≥</w:t>
            </w:r>
            <w:r>
              <w:rPr>
                <w:rFonts w:hint="eastAsia" w:ascii="宋体" w:hAnsi="宋体"/>
                <w:color w:val="auto"/>
                <w:sz w:val="22"/>
                <w:szCs w:val="22"/>
                <w:highlight w:val="none"/>
              </w:rPr>
              <w:t xml:space="preserve">50cm   </w:t>
            </w:r>
          </w:p>
          <w:p>
            <w:pPr>
              <w:pStyle w:val="125"/>
              <w:numPr>
                <w:ilvl w:val="0"/>
                <w:numId w:val="50"/>
              </w:numPr>
              <w:ind w:firstLineChars="0"/>
              <w:rPr>
                <w:rFonts w:hint="eastAsia" w:ascii="宋体" w:hAnsi="宋体"/>
                <w:color w:val="auto"/>
                <w:sz w:val="22"/>
                <w:szCs w:val="22"/>
                <w:highlight w:val="none"/>
              </w:rPr>
            </w:pPr>
            <w:r>
              <w:rPr>
                <w:rFonts w:hint="eastAsia" w:ascii="宋体" w:hAnsi="宋体"/>
                <w:color w:val="auto"/>
                <w:sz w:val="22"/>
                <w:szCs w:val="22"/>
                <w:highlight w:val="none"/>
              </w:rPr>
              <w:t>探针露出部分：</w:t>
            </w:r>
            <w:r>
              <w:rPr>
                <w:rFonts w:hint="eastAsia" w:ascii="宋体" w:hAnsi="宋体" w:cs="宋体"/>
                <w:color w:val="auto"/>
                <w:kern w:val="0"/>
                <w:sz w:val="22"/>
                <w:szCs w:val="22"/>
                <w:highlight w:val="none"/>
              </w:rPr>
              <w:t>≥</w:t>
            </w:r>
            <w:r>
              <w:rPr>
                <w:rFonts w:hint="eastAsia" w:ascii="宋体" w:hAnsi="宋体"/>
                <w:color w:val="auto"/>
                <w:sz w:val="22"/>
                <w:szCs w:val="22"/>
                <w:highlight w:val="none"/>
              </w:rPr>
              <w:t>30cm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7</w:t>
            </w:r>
            <w:r>
              <w:rPr>
                <w:rFonts w:hint="eastAsia" w:ascii="宋体" w:hAnsi="宋体"/>
                <w:color w:val="auto"/>
                <w:sz w:val="22"/>
                <w:szCs w:val="22"/>
                <w:highlight w:val="none"/>
                <w:lang w:val="en-US" w:eastAsia="zh-CN"/>
              </w:rPr>
              <w:t>1</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扫雷器</w:t>
            </w:r>
          </w:p>
        </w:tc>
        <w:tc>
          <w:tcPr>
            <w:tcW w:w="1459" w:type="pct"/>
            <w:noWrap w:val="0"/>
            <w:vAlign w:val="center"/>
          </w:tcPr>
          <w:p>
            <w:pPr>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581785" cy="1401445"/>
                  <wp:effectExtent l="0" t="0" r="18415" b="8255"/>
                  <wp:docPr id="8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4"/>
                          <pic:cNvPicPr>
                            <a:picLocks noChangeAspect="1"/>
                          </pic:cNvPicPr>
                        </pic:nvPicPr>
                        <pic:blipFill>
                          <a:blip r:embed="rId81"/>
                          <a:stretch>
                            <a:fillRect/>
                          </a:stretch>
                        </pic:blipFill>
                        <pic:spPr>
                          <a:xfrm>
                            <a:off x="0" y="0"/>
                            <a:ext cx="1581785" cy="1401445"/>
                          </a:xfrm>
                          <a:prstGeom prst="rect">
                            <a:avLst/>
                          </a:prstGeom>
                          <a:noFill/>
                          <a:ln>
                            <a:noFill/>
                          </a:ln>
                        </pic:spPr>
                      </pic:pic>
                    </a:graphicData>
                  </a:graphic>
                </wp:inline>
              </w:drawing>
            </w:r>
          </w:p>
        </w:tc>
        <w:tc>
          <w:tcPr>
            <w:tcW w:w="2847" w:type="pct"/>
            <w:noWrap w:val="0"/>
            <w:vAlign w:val="center"/>
          </w:tcPr>
          <w:p>
            <w:pPr>
              <w:jc w:val="left"/>
              <w:rPr>
                <w:rFonts w:ascii="宋体" w:hAnsi="宋体"/>
                <w:color w:val="auto"/>
                <w:sz w:val="22"/>
                <w:szCs w:val="22"/>
                <w:highlight w:val="none"/>
              </w:rPr>
            </w:pPr>
            <w:r>
              <w:rPr>
                <w:rFonts w:hint="eastAsia" w:ascii="宋体" w:hAnsi="宋体"/>
                <w:color w:val="auto"/>
                <w:sz w:val="22"/>
                <w:szCs w:val="22"/>
                <w:highlight w:val="none"/>
              </w:rPr>
              <w:t>1、电池要求：3节1号电池供电；</w:t>
            </w:r>
          </w:p>
          <w:p>
            <w:pPr>
              <w:jc w:val="left"/>
              <w:rPr>
                <w:rFonts w:ascii="宋体" w:hAnsi="宋体"/>
                <w:color w:val="auto"/>
                <w:sz w:val="22"/>
                <w:szCs w:val="22"/>
                <w:highlight w:val="none"/>
              </w:rPr>
            </w:pPr>
            <w:r>
              <w:rPr>
                <w:rFonts w:hint="eastAsia" w:ascii="宋体" w:hAnsi="宋体"/>
                <w:color w:val="auto"/>
                <w:sz w:val="22"/>
                <w:szCs w:val="22"/>
                <w:highlight w:val="none"/>
              </w:rPr>
              <w:t>2、电池寿命：在保持高灵敏度工作时，可持续工作12个小时，间断和中低灵敏度工作时，可持续工作18个小时；</w:t>
            </w:r>
          </w:p>
          <w:p>
            <w:pPr>
              <w:jc w:val="left"/>
              <w:rPr>
                <w:rFonts w:ascii="宋体" w:hAnsi="宋体"/>
                <w:color w:val="auto"/>
                <w:sz w:val="22"/>
                <w:szCs w:val="22"/>
                <w:highlight w:val="none"/>
              </w:rPr>
            </w:pPr>
            <w:r>
              <w:rPr>
                <w:rFonts w:hint="eastAsia" w:ascii="宋体" w:hAnsi="宋体"/>
                <w:color w:val="auto"/>
                <w:sz w:val="22"/>
                <w:szCs w:val="22"/>
                <w:highlight w:val="none"/>
              </w:rPr>
              <w:t>▲3、整机重量（不含电池）≤2100g（需在检验检测报告中体现）；</w:t>
            </w:r>
          </w:p>
          <w:p>
            <w:pPr>
              <w:jc w:val="left"/>
              <w:rPr>
                <w:rFonts w:ascii="宋体" w:hAnsi="宋体"/>
                <w:color w:val="auto"/>
                <w:sz w:val="22"/>
                <w:szCs w:val="22"/>
                <w:highlight w:val="none"/>
              </w:rPr>
            </w:pPr>
            <w:r>
              <w:rPr>
                <w:rFonts w:hint="eastAsia" w:ascii="宋体" w:hAnsi="宋体"/>
                <w:color w:val="auto"/>
                <w:sz w:val="22"/>
                <w:szCs w:val="22"/>
                <w:highlight w:val="none"/>
              </w:rPr>
              <w:t>▲4、探测器展开尺寸≥150cm（需在检验检测报告中体现）；</w:t>
            </w:r>
          </w:p>
          <w:p>
            <w:pPr>
              <w:jc w:val="left"/>
              <w:rPr>
                <w:rFonts w:ascii="宋体" w:hAnsi="宋体"/>
                <w:color w:val="auto"/>
                <w:sz w:val="22"/>
                <w:szCs w:val="22"/>
                <w:highlight w:val="none"/>
              </w:rPr>
            </w:pPr>
            <w:r>
              <w:rPr>
                <w:rFonts w:hint="eastAsia" w:ascii="宋体" w:hAnsi="宋体"/>
                <w:color w:val="auto"/>
                <w:sz w:val="22"/>
                <w:szCs w:val="22"/>
                <w:highlight w:val="none"/>
              </w:rPr>
              <w:t>▲5、探测器收缩尺寸≤120cm（需在检验检测报告中体现）；</w:t>
            </w:r>
          </w:p>
          <w:p>
            <w:pPr>
              <w:jc w:val="left"/>
              <w:rPr>
                <w:rFonts w:ascii="宋体" w:hAnsi="宋体"/>
                <w:color w:val="auto"/>
                <w:sz w:val="22"/>
                <w:szCs w:val="22"/>
                <w:highlight w:val="none"/>
              </w:rPr>
            </w:pPr>
            <w:r>
              <w:rPr>
                <w:rFonts w:hint="eastAsia" w:ascii="宋体" w:hAnsi="宋体"/>
                <w:color w:val="auto"/>
                <w:sz w:val="22"/>
                <w:szCs w:val="22"/>
                <w:highlight w:val="none"/>
              </w:rPr>
              <w:t>6、灵敏度：应具有三档灵敏度可调整；</w:t>
            </w:r>
          </w:p>
          <w:p>
            <w:pPr>
              <w:jc w:val="left"/>
              <w:rPr>
                <w:rFonts w:ascii="宋体" w:hAnsi="宋体"/>
                <w:color w:val="auto"/>
                <w:sz w:val="22"/>
                <w:szCs w:val="22"/>
                <w:highlight w:val="none"/>
              </w:rPr>
            </w:pPr>
            <w:r>
              <w:rPr>
                <w:rFonts w:hint="eastAsia" w:ascii="宋体" w:hAnsi="宋体"/>
                <w:color w:val="auto"/>
                <w:sz w:val="22"/>
                <w:szCs w:val="22"/>
                <w:highlight w:val="none"/>
              </w:rPr>
              <w:t>▲7、探测性能：在二级灵敏度下探测器应能分别在距离刃长14.5cm，刃宽3.5cm的匕首21cm处，距离刃宽2cm的美工刀17cm处，距离一元硬币13cm处探测到并报警（需在检验检测报告中体现）；</w:t>
            </w:r>
          </w:p>
          <w:p>
            <w:pPr>
              <w:jc w:val="left"/>
              <w:rPr>
                <w:rFonts w:ascii="宋体" w:hAnsi="宋体"/>
                <w:color w:val="auto"/>
                <w:sz w:val="22"/>
                <w:szCs w:val="22"/>
                <w:highlight w:val="none"/>
              </w:rPr>
            </w:pPr>
            <w:r>
              <w:rPr>
                <w:rFonts w:hint="eastAsia" w:ascii="宋体" w:hAnsi="宋体"/>
                <w:color w:val="auto"/>
                <w:sz w:val="22"/>
                <w:szCs w:val="22"/>
                <w:highlight w:val="none"/>
              </w:rPr>
              <w:t>▲8、报警指示：应具有报警指示灯，应能根据探测到的金属量显示不同数目的指示灯（需在检验检测报告中体现）；</w:t>
            </w:r>
          </w:p>
          <w:p>
            <w:pPr>
              <w:jc w:val="left"/>
              <w:rPr>
                <w:rFonts w:ascii="宋体" w:hAnsi="宋体"/>
                <w:b/>
                <w:bCs/>
                <w:color w:val="auto"/>
                <w:sz w:val="22"/>
                <w:szCs w:val="22"/>
                <w:highlight w:val="none"/>
              </w:rPr>
            </w:pPr>
            <w:r>
              <w:rPr>
                <w:rFonts w:hint="eastAsia" w:ascii="宋体" w:hAnsi="宋体"/>
                <w:color w:val="auto"/>
                <w:sz w:val="22"/>
                <w:szCs w:val="22"/>
                <w:highlight w:val="none"/>
              </w:rPr>
              <w:t>▲9、地雷探测功能：将直径28cm、高度8cm的金属反坦克雷埋于10cm厚的沙土下，在一级灵敏度下探测器在地雷上方距离地面17cm处应能报警。在二级灵敏度下探测器在地雷上方距离地面21cm处应能报警。在三级灵敏度下探测器在地雷上方距离地面24cm处应能报警（需在检验检测报告中体现）；</w:t>
            </w:r>
          </w:p>
          <w:p>
            <w:pPr>
              <w:jc w:val="left"/>
              <w:rPr>
                <w:rFonts w:ascii="宋体" w:hAnsi="宋体"/>
                <w:b w:val="0"/>
                <w:bCs w:val="0"/>
                <w:color w:val="auto"/>
                <w:sz w:val="22"/>
                <w:szCs w:val="22"/>
                <w:highlight w:val="none"/>
              </w:rPr>
            </w:pPr>
            <w:r>
              <w:rPr>
                <w:rFonts w:ascii="宋体" w:hAnsi="宋体"/>
                <w:b w:val="0"/>
                <w:bCs w:val="0"/>
                <w:color w:val="auto"/>
                <w:sz w:val="22"/>
                <w:szCs w:val="22"/>
                <w:highlight w:val="none"/>
              </w:rPr>
              <w:t>▲投标时需提供厂家针对本项目的授权书原件；</w:t>
            </w:r>
          </w:p>
          <w:p>
            <w:pPr>
              <w:jc w:val="left"/>
              <w:rPr>
                <w:rFonts w:hint="eastAsia" w:ascii="宋体" w:hAnsi="宋体"/>
                <w:b/>
                <w:color w:val="auto"/>
                <w:sz w:val="22"/>
                <w:szCs w:val="22"/>
                <w:highlight w:val="none"/>
              </w:rPr>
            </w:pPr>
            <w:r>
              <w:rPr>
                <w:rFonts w:ascii="宋体" w:hAnsi="宋体"/>
                <w:b/>
                <w:color w:val="auto"/>
                <w:sz w:val="22"/>
                <w:szCs w:val="22"/>
                <w:highlight w:val="none"/>
              </w:rPr>
              <w:t>▲投标时需提供公安部安全防范报警系统产品质量监督检验测试中心出具的检验检测报告复印件并加盖厂家公章。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ascii="宋体" w:hAnsi="宋体"/>
                <w:color w:val="auto"/>
                <w:sz w:val="22"/>
                <w:szCs w:val="22"/>
                <w:highlight w:val="none"/>
              </w:rPr>
              <w:t>7</w:t>
            </w:r>
            <w:r>
              <w:rPr>
                <w:rFonts w:hint="eastAsia" w:ascii="宋体" w:hAnsi="宋体"/>
                <w:color w:val="auto"/>
                <w:sz w:val="22"/>
                <w:szCs w:val="22"/>
                <w:highlight w:val="none"/>
                <w:lang w:val="en-US" w:eastAsia="zh-CN"/>
              </w:rPr>
              <w:t>2</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手提式灭火器</w:t>
            </w:r>
          </w:p>
        </w:tc>
        <w:tc>
          <w:tcPr>
            <w:tcW w:w="1459" w:type="pct"/>
            <w:noWrap w:val="0"/>
            <w:vAlign w:val="center"/>
          </w:tcPr>
          <w:p>
            <w:pPr>
              <w:jc w:val="center"/>
              <w:rPr>
                <w:rFonts w:ascii="宋体" w:hAnsi="宋体"/>
                <w:color w:val="auto"/>
                <w:sz w:val="22"/>
                <w:szCs w:val="22"/>
                <w:highlight w:val="none"/>
              </w:rPr>
            </w:pPr>
            <w:r>
              <w:rPr>
                <w:rFonts w:ascii="宋体" w:hAnsi="宋体" w:cs="宋体"/>
                <w:color w:val="auto"/>
                <w:kern w:val="0"/>
                <w:sz w:val="22"/>
                <w:szCs w:val="22"/>
                <w:highlight w:val="none"/>
              </w:rPr>
              <w:drawing>
                <wp:inline distT="0" distB="0" distL="114300" distR="114300">
                  <wp:extent cx="972820" cy="494665"/>
                  <wp:effectExtent l="0" t="0" r="17780" b="635"/>
                  <wp:docPr id="8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5"/>
                          <pic:cNvPicPr>
                            <a:picLocks noChangeAspect="1"/>
                          </pic:cNvPicPr>
                        </pic:nvPicPr>
                        <pic:blipFill>
                          <a:blip r:embed="rId82"/>
                          <a:stretch>
                            <a:fillRect/>
                          </a:stretch>
                        </pic:blipFill>
                        <pic:spPr>
                          <a:xfrm>
                            <a:off x="0" y="0"/>
                            <a:ext cx="972820" cy="494665"/>
                          </a:xfrm>
                          <a:prstGeom prst="rect">
                            <a:avLst/>
                          </a:prstGeom>
                          <a:noFill/>
                          <a:ln>
                            <a:noFill/>
                          </a:ln>
                        </pic:spPr>
                      </pic:pic>
                    </a:graphicData>
                  </a:graphic>
                </wp:inline>
              </w:drawing>
            </w:r>
          </w:p>
        </w:tc>
        <w:tc>
          <w:tcPr>
            <w:tcW w:w="2847" w:type="pct"/>
            <w:noWrap w:val="0"/>
            <w:vAlign w:val="center"/>
          </w:tcPr>
          <w:p>
            <w:pPr>
              <w:rPr>
                <w:rFonts w:hint="eastAsia" w:ascii="宋体" w:hAnsi="宋体"/>
                <w:color w:val="auto"/>
                <w:sz w:val="22"/>
                <w:szCs w:val="22"/>
                <w:highlight w:val="none"/>
              </w:rPr>
            </w:pPr>
            <w:r>
              <w:rPr>
                <w:rFonts w:hint="eastAsia" w:ascii="宋体" w:hAnsi="宋体"/>
                <w:color w:val="auto"/>
                <w:sz w:val="22"/>
                <w:szCs w:val="22"/>
                <w:highlight w:val="none"/>
              </w:rPr>
              <w:t>1、灭火有效距离：≥3m</w:t>
            </w:r>
          </w:p>
          <w:p>
            <w:pPr>
              <w:rPr>
                <w:rFonts w:hint="eastAsia" w:ascii="宋体" w:hAnsi="宋体"/>
                <w:color w:val="auto"/>
                <w:sz w:val="22"/>
                <w:szCs w:val="22"/>
                <w:highlight w:val="none"/>
              </w:rPr>
            </w:pPr>
            <w:r>
              <w:rPr>
                <w:rFonts w:hint="eastAsia" w:ascii="宋体" w:hAnsi="宋体"/>
                <w:color w:val="auto"/>
                <w:sz w:val="22"/>
                <w:szCs w:val="22"/>
                <w:highlight w:val="none"/>
              </w:rPr>
              <w:t>2、单筒喷防时间：11s±1s</w:t>
            </w:r>
          </w:p>
          <w:p>
            <w:pPr>
              <w:rPr>
                <w:rFonts w:hint="eastAsia" w:ascii="宋体" w:hAnsi="宋体"/>
                <w:color w:val="auto"/>
                <w:sz w:val="22"/>
                <w:szCs w:val="22"/>
                <w:highlight w:val="none"/>
              </w:rPr>
            </w:pPr>
            <w:r>
              <w:rPr>
                <w:rFonts w:hint="eastAsia" w:ascii="宋体" w:hAnsi="宋体"/>
                <w:color w:val="auto"/>
                <w:sz w:val="22"/>
                <w:szCs w:val="22"/>
                <w:highlight w:val="none"/>
              </w:rPr>
              <w:t>3、长度：≥236mm</w:t>
            </w:r>
          </w:p>
          <w:p>
            <w:pPr>
              <w:rPr>
                <w:rFonts w:hint="eastAsia" w:ascii="宋体" w:hAnsi="宋体"/>
                <w:color w:val="auto"/>
                <w:sz w:val="22"/>
                <w:szCs w:val="22"/>
                <w:highlight w:val="none"/>
              </w:rPr>
            </w:pPr>
            <w:r>
              <w:rPr>
                <w:rFonts w:hint="eastAsia" w:ascii="宋体" w:hAnsi="宋体"/>
                <w:color w:val="auto"/>
                <w:sz w:val="22"/>
                <w:szCs w:val="22"/>
                <w:highlight w:val="none"/>
              </w:rPr>
              <w:t>4、最大径向尺寸：≥53mm</w:t>
            </w:r>
          </w:p>
          <w:p>
            <w:pPr>
              <w:rPr>
                <w:rFonts w:hint="eastAsia" w:ascii="宋体" w:hAnsi="宋体"/>
                <w:color w:val="auto"/>
                <w:sz w:val="22"/>
                <w:szCs w:val="22"/>
                <w:highlight w:val="none"/>
              </w:rPr>
            </w:pPr>
            <w:r>
              <w:rPr>
                <w:rFonts w:hint="eastAsia" w:ascii="宋体" w:hAnsi="宋体"/>
                <w:color w:val="auto"/>
                <w:sz w:val="22"/>
                <w:szCs w:val="22"/>
                <w:highlight w:val="none"/>
              </w:rPr>
              <w:t>5、产品净重：≤470g</w:t>
            </w:r>
          </w:p>
          <w:p>
            <w:pPr>
              <w:rPr>
                <w:rFonts w:hint="eastAsia" w:ascii="宋体" w:hAnsi="宋体"/>
                <w:color w:val="auto"/>
                <w:sz w:val="22"/>
                <w:szCs w:val="22"/>
                <w:highlight w:val="none"/>
              </w:rPr>
            </w:pPr>
            <w:r>
              <w:rPr>
                <w:rFonts w:hint="eastAsia" w:ascii="宋体" w:hAnsi="宋体"/>
                <w:color w:val="auto"/>
                <w:sz w:val="22"/>
                <w:szCs w:val="22"/>
                <w:highlight w:val="none"/>
              </w:rPr>
              <w:t>6、有效时间4年</w:t>
            </w:r>
          </w:p>
          <w:p>
            <w:pPr>
              <w:rPr>
                <w:rFonts w:hint="eastAsia" w:ascii="宋体" w:hAnsi="宋体"/>
                <w:color w:val="auto"/>
                <w:sz w:val="22"/>
                <w:szCs w:val="22"/>
                <w:highlight w:val="none"/>
              </w:rPr>
            </w:pPr>
            <w:r>
              <w:rPr>
                <w:rFonts w:hint="eastAsia" w:ascii="宋体" w:hAnsi="宋体"/>
                <w:color w:val="auto"/>
                <w:sz w:val="22"/>
                <w:szCs w:val="22"/>
                <w:highlight w:val="none"/>
              </w:rPr>
              <w:t>7、主药剂含量：≥50g</w:t>
            </w:r>
          </w:p>
          <w:p>
            <w:pPr>
              <w:rPr>
                <w:rFonts w:hint="eastAsia" w:ascii="宋体" w:hAnsi="宋体"/>
                <w:color w:val="auto"/>
                <w:sz w:val="22"/>
                <w:szCs w:val="22"/>
                <w:highlight w:val="none"/>
              </w:rPr>
            </w:pPr>
            <w:r>
              <w:rPr>
                <w:rFonts w:hint="eastAsia" w:ascii="宋体" w:hAnsi="宋体"/>
                <w:color w:val="auto"/>
                <w:sz w:val="22"/>
                <w:szCs w:val="22"/>
                <w:highlight w:val="none"/>
              </w:rPr>
              <w:t>8、灭火能力：8B、13B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7</w:t>
            </w:r>
            <w:r>
              <w:rPr>
                <w:rFonts w:hint="eastAsia" w:ascii="宋体" w:hAnsi="宋体"/>
                <w:color w:val="auto"/>
                <w:sz w:val="22"/>
                <w:szCs w:val="22"/>
                <w:highlight w:val="none"/>
                <w:lang w:val="en-US" w:eastAsia="zh-CN"/>
              </w:rPr>
              <w:t>3</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警告标语旗</w:t>
            </w:r>
          </w:p>
        </w:tc>
        <w:tc>
          <w:tcPr>
            <w:tcW w:w="1459" w:type="pct"/>
            <w:noWrap w:val="0"/>
            <w:vAlign w:val="center"/>
          </w:tcPr>
          <w:p>
            <w:pPr>
              <w:widowControl/>
              <w:jc w:val="center"/>
              <w:rPr>
                <w:rFonts w:ascii="宋体" w:hAnsi="宋体" w:cs="宋体"/>
                <w:color w:val="auto"/>
                <w:kern w:val="0"/>
                <w:sz w:val="22"/>
                <w:szCs w:val="22"/>
                <w:highlight w:val="none"/>
              </w:rPr>
            </w:pPr>
            <w:r>
              <w:rPr>
                <w:rFonts w:hint="eastAsia" w:ascii="宋体" w:hAnsi="宋体"/>
                <w:b/>
                <w:color w:val="auto"/>
                <w:highlight w:val="none"/>
              </w:rPr>
              <w:drawing>
                <wp:inline distT="0" distB="0" distL="114300" distR="114300">
                  <wp:extent cx="1828800" cy="1457325"/>
                  <wp:effectExtent l="0" t="0" r="0" b="9525"/>
                  <wp:docPr id="71" name="图片 1" descr="旗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descr="旗语"/>
                          <pic:cNvPicPr>
                            <a:picLocks noChangeAspect="1"/>
                          </pic:cNvPicPr>
                        </pic:nvPicPr>
                        <pic:blipFill>
                          <a:blip r:embed="rId83"/>
                          <a:stretch>
                            <a:fillRect/>
                          </a:stretch>
                        </pic:blipFill>
                        <pic:spPr>
                          <a:xfrm>
                            <a:off x="0" y="0"/>
                            <a:ext cx="1828800" cy="1457325"/>
                          </a:xfrm>
                          <a:prstGeom prst="rect">
                            <a:avLst/>
                          </a:prstGeom>
                          <a:noFill/>
                          <a:ln>
                            <a:noFill/>
                          </a:ln>
                        </pic:spPr>
                      </pic:pic>
                    </a:graphicData>
                  </a:graphic>
                </wp:inline>
              </w:drawing>
            </w:r>
          </w:p>
        </w:tc>
        <w:tc>
          <w:tcPr>
            <w:tcW w:w="2847" w:type="pct"/>
            <w:noWrap w:val="0"/>
            <w:vAlign w:val="center"/>
          </w:tcPr>
          <w:p>
            <w:pPr>
              <w:rPr>
                <w:rFonts w:hint="eastAsia" w:ascii="宋体" w:hAnsi="宋体"/>
                <w:color w:val="auto"/>
                <w:sz w:val="22"/>
                <w:szCs w:val="22"/>
                <w:highlight w:val="none"/>
              </w:rPr>
            </w:pPr>
            <w:r>
              <w:rPr>
                <w:rFonts w:hint="eastAsia" w:ascii="宋体" w:hAnsi="宋体"/>
                <w:color w:val="auto"/>
                <w:sz w:val="22"/>
                <w:szCs w:val="22"/>
                <w:highlight w:val="none"/>
              </w:rPr>
              <w:t>1．具体参数</w:t>
            </w:r>
          </w:p>
          <w:p>
            <w:pPr>
              <w:rPr>
                <w:rFonts w:hint="eastAsia" w:ascii="宋体" w:hAnsi="宋体"/>
                <w:color w:val="auto"/>
                <w:sz w:val="22"/>
                <w:szCs w:val="22"/>
                <w:highlight w:val="none"/>
              </w:rPr>
            </w:pPr>
            <w:r>
              <w:rPr>
                <w:rFonts w:hint="eastAsia" w:ascii="宋体" w:hAnsi="宋体"/>
                <w:color w:val="auto"/>
                <w:sz w:val="22"/>
                <w:szCs w:val="22"/>
                <w:highlight w:val="none"/>
              </w:rPr>
              <w:t>（1） 由蓝、黄、橙、红四种颜色的警告旗帜组成。</w:t>
            </w:r>
          </w:p>
          <w:p>
            <w:pPr>
              <w:rPr>
                <w:rFonts w:hint="eastAsia" w:ascii="宋体" w:hAnsi="宋体"/>
                <w:color w:val="auto"/>
                <w:sz w:val="22"/>
                <w:szCs w:val="22"/>
                <w:highlight w:val="none"/>
              </w:rPr>
            </w:pPr>
            <w:r>
              <w:rPr>
                <w:rFonts w:hint="eastAsia" w:ascii="宋体" w:hAnsi="宋体"/>
                <w:color w:val="auto"/>
                <w:sz w:val="22"/>
                <w:szCs w:val="22"/>
                <w:highlight w:val="none"/>
              </w:rPr>
              <w:t>（2） 旗帜尺寸：1000mm*600mm。</w:t>
            </w:r>
          </w:p>
          <w:p>
            <w:pPr>
              <w:rPr>
                <w:rFonts w:hint="eastAsia" w:ascii="宋体" w:hAnsi="宋体"/>
                <w:color w:val="auto"/>
                <w:sz w:val="22"/>
                <w:szCs w:val="22"/>
                <w:highlight w:val="none"/>
              </w:rPr>
            </w:pPr>
            <w:r>
              <w:rPr>
                <w:rFonts w:hint="eastAsia" w:ascii="宋体" w:hAnsi="宋体"/>
                <w:color w:val="auto"/>
                <w:sz w:val="22"/>
                <w:szCs w:val="22"/>
                <w:highlight w:val="none"/>
              </w:rPr>
              <w:t>（3）旗面为通风网布。</w:t>
            </w:r>
          </w:p>
          <w:p>
            <w:pPr>
              <w:rPr>
                <w:rFonts w:hint="eastAsia" w:ascii="宋体" w:hAnsi="宋体"/>
                <w:color w:val="auto"/>
                <w:sz w:val="22"/>
                <w:szCs w:val="22"/>
                <w:highlight w:val="none"/>
              </w:rPr>
            </w:pPr>
            <w:r>
              <w:rPr>
                <w:rFonts w:hint="eastAsia" w:ascii="宋体" w:hAnsi="宋体"/>
                <w:color w:val="auto"/>
                <w:sz w:val="22"/>
                <w:szCs w:val="22"/>
                <w:highlight w:val="none"/>
              </w:rPr>
              <w:t>（4）专用旗帜包装袋</w:t>
            </w:r>
          </w:p>
          <w:p>
            <w:pPr>
              <w:rPr>
                <w:rFonts w:hint="eastAsia" w:ascii="宋体" w:hAnsi="宋体"/>
                <w:color w:val="auto"/>
                <w:sz w:val="22"/>
                <w:szCs w:val="22"/>
                <w:highlight w:val="none"/>
              </w:rPr>
            </w:pPr>
            <w:r>
              <w:rPr>
                <w:rFonts w:hint="eastAsia" w:ascii="宋体" w:hAnsi="宋体"/>
                <w:color w:val="auto"/>
                <w:sz w:val="22"/>
                <w:szCs w:val="22"/>
                <w:highlight w:val="none"/>
              </w:rPr>
              <w:t>（5）握把有防滑套</w:t>
            </w:r>
          </w:p>
          <w:p>
            <w:pPr>
              <w:rPr>
                <w:rFonts w:hint="eastAsia" w:ascii="宋体" w:hAnsi="宋体"/>
                <w:color w:val="auto"/>
                <w:sz w:val="22"/>
                <w:szCs w:val="22"/>
                <w:highlight w:val="none"/>
              </w:rPr>
            </w:pPr>
            <w:r>
              <w:rPr>
                <w:rFonts w:hint="eastAsia" w:ascii="宋体" w:hAnsi="宋体"/>
                <w:color w:val="auto"/>
                <w:sz w:val="22"/>
                <w:szCs w:val="22"/>
                <w:highlight w:val="none"/>
              </w:rPr>
              <w:t>2．技术应用</w:t>
            </w:r>
          </w:p>
          <w:p>
            <w:pPr>
              <w:rPr>
                <w:rFonts w:hint="eastAsia" w:ascii="宋体" w:hAnsi="宋体"/>
                <w:color w:val="auto"/>
                <w:sz w:val="22"/>
                <w:szCs w:val="22"/>
                <w:highlight w:val="none"/>
              </w:rPr>
            </w:pPr>
            <w:r>
              <w:rPr>
                <w:rFonts w:hint="eastAsia" w:ascii="宋体" w:hAnsi="宋体"/>
                <w:color w:val="auto"/>
                <w:sz w:val="22"/>
                <w:szCs w:val="22"/>
                <w:highlight w:val="none"/>
              </w:rPr>
              <w:t>处置行动中使用催泪弹、武力、强制驱散及使用 武器前展示的一种警告标语，按照武力等级分为 蓝、黄、橙、红四种颜色。其中，蓝色旗语内容 为“警告，使用催泪气体”，黄色旗语内容为“警 告，可能使用武力”，橙色旗语内容为“立即离 开，否则强行驱散”，红色旗语内容为“立即停 止暴力行为，否则使用武器”。使用催泪弹前展示蓝色警告标语，强制驱散前展示红色警告标语。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74</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喊话器</w:t>
            </w:r>
          </w:p>
        </w:tc>
        <w:tc>
          <w:tcPr>
            <w:tcW w:w="1459" w:type="pct"/>
            <w:noWrap w:val="0"/>
            <w:vAlign w:val="center"/>
          </w:tcPr>
          <w:p>
            <w:pPr>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229360" cy="1478915"/>
                  <wp:effectExtent l="0" t="0" r="8890" b="6985"/>
                  <wp:docPr id="62" name="图片 77" descr="C:\Users\SG422\AppData\Local\Temp\WeChat Files\215ffa5e194a93ce8386e75462d27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7" descr="C:\Users\SG422\AppData\Local\Temp\WeChat Files\215ffa5e194a93ce8386e75462d27bd.png"/>
                          <pic:cNvPicPr>
                            <a:picLocks noChangeAspect="1"/>
                          </pic:cNvPicPr>
                        </pic:nvPicPr>
                        <pic:blipFill>
                          <a:blip r:embed="rId84"/>
                          <a:stretch>
                            <a:fillRect/>
                          </a:stretch>
                        </pic:blipFill>
                        <pic:spPr>
                          <a:xfrm>
                            <a:off x="0" y="0"/>
                            <a:ext cx="1229360" cy="1478915"/>
                          </a:xfrm>
                          <a:prstGeom prst="rect">
                            <a:avLst/>
                          </a:prstGeom>
                          <a:noFill/>
                          <a:ln>
                            <a:noFill/>
                          </a:ln>
                        </pic:spPr>
                      </pic:pic>
                    </a:graphicData>
                  </a:graphic>
                </wp:inline>
              </w:drawing>
            </w:r>
          </w:p>
        </w:tc>
        <w:tc>
          <w:tcPr>
            <w:tcW w:w="2847" w:type="pct"/>
            <w:noWrap w:val="0"/>
            <w:vAlign w:val="center"/>
          </w:tcPr>
          <w:p>
            <w:pPr>
              <w:pStyle w:val="202"/>
              <w:spacing w:line="276" w:lineRule="auto"/>
              <w:rPr>
                <w:rFonts w:hint="eastAsia" w:ascii="宋体" w:hAnsi="宋体"/>
                <w:color w:val="auto"/>
                <w:sz w:val="22"/>
                <w:szCs w:val="22"/>
                <w:highlight w:val="none"/>
              </w:rPr>
            </w:pPr>
            <w:r>
              <w:rPr>
                <w:rFonts w:ascii="宋体" w:hAnsi="宋体"/>
                <w:color w:val="auto"/>
                <w:sz w:val="22"/>
                <w:szCs w:val="22"/>
                <w:highlight w:val="none"/>
              </w:rPr>
              <w:t>1、</w:t>
            </w:r>
            <w:r>
              <w:rPr>
                <w:rFonts w:hint="eastAsia" w:ascii="宋体" w:hAnsi="宋体"/>
                <w:color w:val="auto"/>
                <w:sz w:val="22"/>
                <w:szCs w:val="22"/>
                <w:highlight w:val="none"/>
              </w:rPr>
              <w:t>扩音、哨音、录音、警音、TF卡、U盘、照明</w:t>
            </w:r>
          </w:p>
          <w:p>
            <w:pPr>
              <w:pStyle w:val="202"/>
              <w:spacing w:line="276" w:lineRule="auto"/>
              <w:rPr>
                <w:rFonts w:hint="eastAsia" w:ascii="宋体" w:hAnsi="宋体"/>
                <w:color w:val="auto"/>
                <w:sz w:val="22"/>
                <w:szCs w:val="22"/>
                <w:highlight w:val="none"/>
              </w:rPr>
            </w:pPr>
            <w:r>
              <w:rPr>
                <w:rFonts w:hint="eastAsia" w:ascii="宋体" w:hAnsi="宋体"/>
                <w:color w:val="auto"/>
                <w:sz w:val="22"/>
                <w:szCs w:val="22"/>
                <w:highlight w:val="none"/>
              </w:rPr>
              <w:t>2、5号电池或锂电池</w:t>
            </w:r>
          </w:p>
          <w:p>
            <w:pPr>
              <w:pStyle w:val="202"/>
              <w:spacing w:line="276" w:lineRule="auto"/>
              <w:rPr>
                <w:rFonts w:ascii="宋体" w:hAnsi="宋体"/>
                <w:color w:val="auto"/>
                <w:sz w:val="22"/>
                <w:szCs w:val="22"/>
                <w:highlight w:val="none"/>
              </w:rPr>
            </w:pPr>
            <w:r>
              <w:rPr>
                <w:rFonts w:ascii="宋体" w:hAnsi="宋体"/>
                <w:color w:val="auto"/>
                <w:sz w:val="22"/>
                <w:szCs w:val="22"/>
                <w:highlight w:val="none"/>
              </w:rPr>
              <w:t>3、50w</w:t>
            </w:r>
          </w:p>
          <w:p>
            <w:pPr>
              <w:pStyle w:val="202"/>
              <w:spacing w:line="276" w:lineRule="auto"/>
              <w:rPr>
                <w:rFonts w:ascii="宋体" w:hAnsi="宋体"/>
                <w:color w:val="auto"/>
                <w:sz w:val="22"/>
                <w:szCs w:val="22"/>
                <w:highlight w:val="none"/>
              </w:rPr>
            </w:pPr>
            <w:r>
              <w:rPr>
                <w:rFonts w:hint="eastAsia" w:ascii="宋体" w:hAnsi="宋体"/>
                <w:color w:val="auto"/>
                <w:sz w:val="22"/>
                <w:szCs w:val="22"/>
                <w:highlight w:val="none"/>
              </w:rPr>
              <w:t>3、1.2W(LED)</w:t>
            </w:r>
          </w:p>
          <w:p>
            <w:pPr>
              <w:pStyle w:val="202"/>
              <w:spacing w:line="276" w:lineRule="auto"/>
              <w:rPr>
                <w:rFonts w:ascii="宋体" w:hAnsi="宋体"/>
                <w:color w:val="auto"/>
                <w:sz w:val="22"/>
                <w:szCs w:val="22"/>
                <w:highlight w:val="none"/>
              </w:rPr>
            </w:pPr>
            <w:r>
              <w:rPr>
                <w:rFonts w:ascii="宋体" w:hAnsi="宋体"/>
                <w:color w:val="auto"/>
                <w:sz w:val="22"/>
                <w:szCs w:val="22"/>
                <w:highlight w:val="none"/>
              </w:rPr>
              <w:t>4、</w:t>
            </w:r>
            <w:r>
              <w:rPr>
                <w:rFonts w:hint="eastAsia" w:ascii="宋体" w:hAnsi="宋体"/>
                <w:color w:val="auto"/>
                <w:sz w:val="22"/>
                <w:szCs w:val="22"/>
                <w:highlight w:val="none"/>
              </w:rPr>
              <w:t>录音时间：240秒</w:t>
            </w:r>
          </w:p>
          <w:p>
            <w:pPr>
              <w:pStyle w:val="202"/>
              <w:spacing w:line="276" w:lineRule="auto"/>
              <w:rPr>
                <w:rFonts w:hint="eastAsia" w:ascii="宋体" w:hAnsi="宋体"/>
                <w:color w:val="auto"/>
                <w:sz w:val="22"/>
                <w:szCs w:val="22"/>
                <w:highlight w:val="none"/>
              </w:rPr>
            </w:pPr>
            <w:r>
              <w:rPr>
                <w:rFonts w:hint="eastAsia" w:ascii="宋体" w:hAnsi="宋体"/>
                <w:color w:val="auto"/>
                <w:sz w:val="22"/>
                <w:szCs w:val="22"/>
                <w:highlight w:val="none"/>
              </w:rPr>
              <w:t>5、</w:t>
            </w:r>
            <w:r>
              <w:rPr>
                <w:rFonts w:ascii="Arial" w:hAnsi="Arial" w:cs="Arial"/>
                <w:color w:val="auto"/>
                <w:sz w:val="22"/>
                <w:szCs w:val="22"/>
                <w:highlight w:val="none"/>
                <w:shd w:val="clear" w:color="auto" w:fill="FFFFFF"/>
              </w:rPr>
              <w:t>频率：</w:t>
            </w:r>
            <w:r>
              <w:rPr>
                <w:rFonts w:hint="eastAsia" w:ascii="宋体" w:hAnsi="宋体"/>
                <w:color w:val="auto"/>
                <w:sz w:val="22"/>
                <w:szCs w:val="22"/>
                <w:highlight w:val="none"/>
              </w:rPr>
              <w:t>300HZ—20KHZA</w:t>
            </w:r>
          </w:p>
          <w:p>
            <w:pPr>
              <w:pStyle w:val="202"/>
              <w:spacing w:line="276" w:lineRule="auto"/>
              <w:rPr>
                <w:rFonts w:hint="eastAsia" w:ascii="宋体" w:hAnsi="宋体"/>
                <w:color w:val="auto"/>
                <w:sz w:val="22"/>
                <w:szCs w:val="22"/>
                <w:highlight w:val="none"/>
              </w:rPr>
            </w:pPr>
            <w:r>
              <w:rPr>
                <w:rFonts w:hint="eastAsia" w:ascii="宋体" w:hAnsi="宋体"/>
                <w:color w:val="auto"/>
                <w:sz w:val="22"/>
                <w:szCs w:val="22"/>
                <w:highlight w:val="none"/>
              </w:rPr>
              <w:t>6、距离&gt;800米;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kern w:val="0"/>
                <w:sz w:val="22"/>
                <w:szCs w:val="22"/>
                <w:highlight w:val="none"/>
                <w:lang w:eastAsia="zh-CN"/>
              </w:rPr>
            </w:pPr>
            <w:r>
              <w:rPr>
                <w:rFonts w:hint="eastAsia" w:ascii="宋体" w:hAnsi="宋体"/>
                <w:color w:val="auto"/>
                <w:sz w:val="22"/>
                <w:szCs w:val="22"/>
                <w:highlight w:val="none"/>
              </w:rPr>
              <w:t>7</w:t>
            </w:r>
            <w:r>
              <w:rPr>
                <w:rFonts w:hint="eastAsia" w:ascii="宋体" w:hAnsi="宋体"/>
                <w:color w:val="auto"/>
                <w:sz w:val="22"/>
                <w:szCs w:val="22"/>
                <w:highlight w:val="none"/>
                <w:lang w:val="en-US" w:eastAsia="zh-CN"/>
              </w:rPr>
              <w:t>5</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急救包</w:t>
            </w:r>
          </w:p>
        </w:tc>
        <w:tc>
          <w:tcPr>
            <w:tcW w:w="1459" w:type="pct"/>
            <w:noWrap w:val="0"/>
            <w:vAlign w:val="center"/>
          </w:tcPr>
          <w:p>
            <w:pPr>
              <w:widowControl/>
              <w:jc w:val="center"/>
              <w:rPr>
                <w:rFonts w:ascii="宋体" w:hAnsi="宋体" w:cs="宋体"/>
                <w:color w:val="auto"/>
                <w:kern w:val="0"/>
                <w:sz w:val="22"/>
                <w:szCs w:val="22"/>
                <w:highlight w:val="none"/>
              </w:rPr>
            </w:pPr>
            <w:r>
              <w:rPr>
                <w:rFonts w:ascii="宋体" w:hAnsi="宋体"/>
                <w:color w:val="auto"/>
                <w:sz w:val="22"/>
                <w:szCs w:val="22"/>
                <w:highlight w:val="none"/>
              </w:rPr>
              <w:fldChar w:fldCharType="begin"/>
            </w:r>
            <w:r>
              <w:rPr>
                <w:rFonts w:ascii="宋体" w:hAnsi="宋体"/>
                <w:color w:val="auto"/>
                <w:sz w:val="22"/>
                <w:szCs w:val="22"/>
                <w:highlight w:val="none"/>
              </w:rPr>
              <w:instrText xml:space="preserve"> INCLUDEPICTURE "http://www.jingchazhuangbei.com/upfile/2010061921445428507.jpg" \* MERGEFORMAT </w:instrText>
            </w:r>
            <w:r>
              <w:rPr>
                <w:rFonts w:ascii="宋体" w:hAnsi="宋体"/>
                <w:color w:val="auto"/>
                <w:sz w:val="22"/>
                <w:szCs w:val="22"/>
                <w:highlight w:val="none"/>
              </w:rPr>
              <w:fldChar w:fldCharType="separate"/>
            </w:r>
            <w:r>
              <w:rPr>
                <w:rFonts w:ascii="宋体" w:hAnsi="宋体" w:cs="宋体"/>
                <w:color w:val="auto"/>
                <w:kern w:val="0"/>
                <w:sz w:val="22"/>
                <w:szCs w:val="22"/>
                <w:highlight w:val="none"/>
              </w:rPr>
              <w:drawing>
                <wp:inline distT="0" distB="0" distL="114300" distR="114300">
                  <wp:extent cx="1160145" cy="1256030"/>
                  <wp:effectExtent l="0" t="0" r="1905" b="1270"/>
                  <wp:docPr id="7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8"/>
                          <pic:cNvPicPr>
                            <a:picLocks noChangeAspect="1"/>
                          </pic:cNvPicPr>
                        </pic:nvPicPr>
                        <pic:blipFill>
                          <a:blip r:embed="rId85"/>
                          <a:stretch>
                            <a:fillRect/>
                          </a:stretch>
                        </pic:blipFill>
                        <pic:spPr>
                          <a:xfrm>
                            <a:off x="0" y="0"/>
                            <a:ext cx="1160145" cy="1256030"/>
                          </a:xfrm>
                          <a:prstGeom prst="rect">
                            <a:avLst/>
                          </a:prstGeom>
                          <a:noFill/>
                          <a:ln>
                            <a:noFill/>
                          </a:ln>
                        </pic:spPr>
                      </pic:pic>
                    </a:graphicData>
                  </a:graphic>
                </wp:inline>
              </w:drawing>
            </w:r>
            <w:r>
              <w:rPr>
                <w:rFonts w:ascii="宋体" w:hAnsi="宋体"/>
                <w:color w:val="auto"/>
                <w:sz w:val="22"/>
                <w:szCs w:val="22"/>
                <w:highlight w:val="none"/>
              </w:rPr>
              <w:fldChar w:fldCharType="end"/>
            </w:r>
          </w:p>
        </w:tc>
        <w:tc>
          <w:tcPr>
            <w:tcW w:w="2847" w:type="pct"/>
            <w:noWrap w:val="0"/>
            <w:vAlign w:val="center"/>
          </w:tcPr>
          <w:p>
            <w:pPr>
              <w:pBdr>
                <w:top w:val="none" w:color="auto" w:sz="0" w:space="1"/>
                <w:left w:val="none" w:color="auto" w:sz="0" w:space="4"/>
                <w:bottom w:val="none" w:color="auto" w:sz="0" w:space="1"/>
                <w:right w:val="none" w:color="auto" w:sz="0" w:space="4"/>
              </w:pBdr>
              <w:tabs>
                <w:tab w:val="center" w:pos="4153"/>
                <w:tab w:val="right" w:pos="8306"/>
              </w:tabs>
              <w:jc w:val="left"/>
              <w:rPr>
                <w:rFonts w:ascii="宋体" w:hAnsi="宋体" w:cs="宋体"/>
                <w:color w:val="auto"/>
                <w:spacing w:val="8"/>
                <w:sz w:val="22"/>
                <w:szCs w:val="22"/>
                <w:highlight w:val="none"/>
              </w:rPr>
            </w:pPr>
            <w:r>
              <w:rPr>
                <w:rFonts w:hint="eastAsia" w:ascii="宋体" w:hAnsi="宋体" w:cs="宋体"/>
                <w:color w:val="auto"/>
                <w:spacing w:val="8"/>
                <w:sz w:val="22"/>
                <w:szCs w:val="22"/>
                <w:highlight w:val="none"/>
              </w:rPr>
              <w:t>1、外观：移膜皮革、里衬表面无划痕、残次，皮面花纹一致，外形方正，边缘顺直，捏皱均匀，圆角对称；包正面烫印有警徽图案、中文“警察”、英文“POLICE”中文“急救包”字样。警徽图案应符合GA 244的规定，警徽高23mm;中文“警察”为黑体子，字高12mm,</w:t>
            </w:r>
          </w:p>
          <w:p>
            <w:pPr>
              <w:pBdr>
                <w:top w:val="none" w:color="auto" w:sz="0" w:space="1"/>
                <w:left w:val="none" w:color="auto" w:sz="0" w:space="4"/>
                <w:bottom w:val="none" w:color="auto" w:sz="0" w:space="1"/>
                <w:right w:val="none" w:color="auto" w:sz="0" w:space="4"/>
              </w:pBdr>
              <w:tabs>
                <w:tab w:val="center" w:pos="4153"/>
                <w:tab w:val="right" w:pos="8306"/>
              </w:tabs>
              <w:jc w:val="left"/>
              <w:rPr>
                <w:rFonts w:ascii="宋体" w:hAnsi="宋体" w:cs="宋体"/>
                <w:color w:val="auto"/>
                <w:spacing w:val="8"/>
                <w:sz w:val="22"/>
                <w:szCs w:val="22"/>
                <w:highlight w:val="none"/>
              </w:rPr>
            </w:pPr>
            <w:r>
              <w:rPr>
                <w:rFonts w:hint="eastAsia" w:ascii="宋体" w:hAnsi="宋体" w:cs="宋体"/>
                <w:color w:val="auto"/>
                <w:spacing w:val="8"/>
                <w:sz w:val="22"/>
                <w:szCs w:val="22"/>
                <w:highlight w:val="none"/>
              </w:rPr>
              <w:t>宽度为35mm,英文“POLICE”为黑体字，字高7mm;中文“警用急救包”为黑体字，字高9mm,j警徽图案底部距底边85mm,中文“警察”</w:t>
            </w:r>
          </w:p>
          <w:p>
            <w:pPr>
              <w:pBdr>
                <w:top w:val="none" w:color="auto" w:sz="0" w:space="1"/>
                <w:left w:val="none" w:color="auto" w:sz="0" w:space="4"/>
                <w:bottom w:val="none" w:color="auto" w:sz="0" w:space="1"/>
                <w:right w:val="none" w:color="auto" w:sz="0" w:space="4"/>
              </w:pBdr>
              <w:tabs>
                <w:tab w:val="center" w:pos="4153"/>
                <w:tab w:val="right" w:pos="8306"/>
              </w:tabs>
              <w:jc w:val="left"/>
              <w:rPr>
                <w:rFonts w:ascii="宋体" w:hAnsi="宋体" w:cs="宋体"/>
                <w:color w:val="auto"/>
                <w:spacing w:val="8"/>
                <w:sz w:val="22"/>
                <w:szCs w:val="22"/>
                <w:highlight w:val="none"/>
              </w:rPr>
            </w:pPr>
            <w:r>
              <w:rPr>
                <w:rFonts w:hint="eastAsia" w:ascii="宋体" w:hAnsi="宋体" w:cs="宋体"/>
                <w:color w:val="auto"/>
                <w:spacing w:val="8"/>
                <w:sz w:val="22"/>
                <w:szCs w:val="22"/>
                <w:highlight w:val="none"/>
              </w:rPr>
              <w:t>字底部距底边65mm,英文“POLICE”字底部距底边55mm, “警用急救包”字底部距底边20mm；</w:t>
            </w:r>
          </w:p>
          <w:p>
            <w:pPr>
              <w:pBdr>
                <w:top w:val="none" w:color="auto" w:sz="0" w:space="1"/>
                <w:left w:val="none" w:color="auto" w:sz="0" w:space="4"/>
                <w:bottom w:val="none" w:color="auto" w:sz="0" w:space="1"/>
                <w:right w:val="none" w:color="auto" w:sz="0" w:space="4"/>
              </w:pBdr>
              <w:tabs>
                <w:tab w:val="center" w:pos="4153"/>
                <w:tab w:val="right" w:pos="8306"/>
              </w:tabs>
              <w:jc w:val="left"/>
              <w:rPr>
                <w:rFonts w:ascii="宋体" w:hAnsi="宋体" w:cs="宋体"/>
                <w:color w:val="auto"/>
                <w:spacing w:val="8"/>
                <w:sz w:val="22"/>
                <w:szCs w:val="22"/>
                <w:highlight w:val="none"/>
              </w:rPr>
            </w:pPr>
            <w:r>
              <w:rPr>
                <w:rFonts w:hint="eastAsia" w:ascii="宋体" w:hAnsi="宋体" w:cs="宋体"/>
                <w:color w:val="auto"/>
                <w:spacing w:val="8"/>
                <w:sz w:val="22"/>
                <w:szCs w:val="22"/>
                <w:highlight w:val="none"/>
              </w:rPr>
              <w:t>2、颜色：急救包所用移膜皮革及其辅料配件的颜色为黑色，警徽图案和文字标识为银白色；</w:t>
            </w:r>
          </w:p>
          <w:p>
            <w:pPr>
              <w:pBdr>
                <w:top w:val="none" w:color="auto" w:sz="0" w:space="1"/>
                <w:left w:val="none" w:color="auto" w:sz="0" w:space="4"/>
                <w:bottom w:val="none" w:color="auto" w:sz="0" w:space="1"/>
                <w:right w:val="none" w:color="auto" w:sz="0" w:space="4"/>
              </w:pBdr>
              <w:tabs>
                <w:tab w:val="center" w:pos="4153"/>
                <w:tab w:val="right" w:pos="8306"/>
              </w:tabs>
              <w:jc w:val="left"/>
              <w:rPr>
                <w:rFonts w:ascii="宋体" w:hAnsi="宋体" w:cs="宋体"/>
                <w:color w:val="auto"/>
                <w:spacing w:val="8"/>
                <w:sz w:val="22"/>
                <w:szCs w:val="22"/>
                <w:highlight w:val="none"/>
              </w:rPr>
            </w:pPr>
            <w:r>
              <w:rPr>
                <w:rFonts w:hint="eastAsia" w:ascii="宋体" w:hAnsi="宋体" w:cs="宋体"/>
                <w:color w:val="auto"/>
                <w:spacing w:val="8"/>
                <w:sz w:val="22"/>
                <w:szCs w:val="22"/>
                <w:highlight w:val="none"/>
              </w:rPr>
              <w:t>3、结构：由包体、内装药品和器械组成。包体采用移膜皮革制成。</w:t>
            </w:r>
          </w:p>
          <w:p>
            <w:pPr>
              <w:pBdr>
                <w:top w:val="none" w:color="auto" w:sz="0" w:space="1"/>
                <w:left w:val="none" w:color="auto" w:sz="0" w:space="4"/>
                <w:bottom w:val="none" w:color="auto" w:sz="0" w:space="1"/>
                <w:right w:val="none" w:color="auto" w:sz="0" w:space="4"/>
              </w:pBdr>
              <w:tabs>
                <w:tab w:val="center" w:pos="4153"/>
                <w:tab w:val="right" w:pos="8306"/>
              </w:tabs>
              <w:jc w:val="left"/>
              <w:rPr>
                <w:rFonts w:ascii="宋体" w:hAnsi="宋体" w:cs="宋体"/>
                <w:color w:val="auto"/>
                <w:spacing w:val="8"/>
                <w:sz w:val="22"/>
                <w:szCs w:val="22"/>
                <w:highlight w:val="none"/>
              </w:rPr>
            </w:pPr>
            <w:r>
              <w:rPr>
                <w:rFonts w:hint="eastAsia" w:ascii="宋体" w:hAnsi="宋体" w:cs="宋体"/>
                <w:b/>
                <w:color w:val="auto"/>
                <w:sz w:val="22"/>
                <w:szCs w:val="22"/>
                <w:highlight w:val="none"/>
              </w:rPr>
              <w:t>▲</w:t>
            </w:r>
            <w:r>
              <w:rPr>
                <w:rFonts w:hint="eastAsia" w:ascii="宋体" w:hAnsi="宋体" w:cs="宋体"/>
                <w:color w:val="auto"/>
                <w:spacing w:val="8"/>
                <w:sz w:val="22"/>
                <w:szCs w:val="22"/>
                <w:highlight w:val="none"/>
              </w:rPr>
              <w:t>4、组成：包内装有整瓶硝酸甘油片、创口贴、橡胶止血带、无菌纱布片、带垫急救绷带、口对口呼吸膜、酒精消毒片、抗菌湿纸巾、小剪刀、别针等药品与器械；</w:t>
            </w:r>
          </w:p>
          <w:p>
            <w:pPr>
              <w:pBdr>
                <w:top w:val="none" w:color="auto" w:sz="0" w:space="1"/>
                <w:left w:val="none" w:color="auto" w:sz="0" w:space="4"/>
                <w:bottom w:val="none" w:color="auto" w:sz="0" w:space="1"/>
                <w:right w:val="none" w:color="auto" w:sz="0" w:space="4"/>
              </w:pBdr>
              <w:tabs>
                <w:tab w:val="center" w:pos="4153"/>
                <w:tab w:val="right" w:pos="8306"/>
              </w:tabs>
              <w:jc w:val="left"/>
              <w:rPr>
                <w:rFonts w:ascii="宋体" w:hAnsi="宋体" w:cs="宋体"/>
                <w:color w:val="auto"/>
                <w:spacing w:val="8"/>
                <w:sz w:val="22"/>
                <w:szCs w:val="22"/>
                <w:highlight w:val="none"/>
              </w:rPr>
            </w:pPr>
            <w:r>
              <w:rPr>
                <w:rFonts w:hint="eastAsia" w:ascii="宋体" w:hAnsi="宋体" w:cs="宋体"/>
                <w:color w:val="auto"/>
                <w:spacing w:val="8"/>
                <w:sz w:val="22"/>
                <w:szCs w:val="22"/>
                <w:highlight w:val="none"/>
              </w:rPr>
              <w:t>5、尺寸：急救包展开长应为220mm±5mm,宽125mm±3mm；</w:t>
            </w:r>
          </w:p>
          <w:p>
            <w:pPr>
              <w:pBdr>
                <w:top w:val="none" w:color="auto" w:sz="0" w:space="1"/>
                <w:left w:val="none" w:color="auto" w:sz="0" w:space="4"/>
                <w:bottom w:val="none" w:color="auto" w:sz="0" w:space="1"/>
                <w:right w:val="none" w:color="auto" w:sz="0" w:space="4"/>
              </w:pBdr>
              <w:tabs>
                <w:tab w:val="center" w:pos="4153"/>
                <w:tab w:val="right" w:pos="8306"/>
              </w:tabs>
              <w:jc w:val="left"/>
              <w:rPr>
                <w:rFonts w:ascii="宋体" w:hAnsi="宋体" w:cs="宋体"/>
                <w:color w:val="auto"/>
                <w:sz w:val="22"/>
                <w:szCs w:val="22"/>
                <w:highlight w:val="none"/>
              </w:rPr>
            </w:pPr>
            <w:r>
              <w:rPr>
                <w:rFonts w:hint="eastAsia" w:ascii="宋体" w:hAnsi="宋体" w:cs="宋体"/>
                <w:color w:val="auto"/>
                <w:sz w:val="22"/>
                <w:szCs w:val="22"/>
                <w:highlight w:val="none"/>
              </w:rPr>
              <w:t>6、执行标准：《GA 891-2010 公安单警装备 警用急救包》；</w:t>
            </w:r>
          </w:p>
          <w:p>
            <w:pPr>
              <w:jc w:val="left"/>
              <w:rPr>
                <w:rFonts w:ascii="宋体" w:hAnsi="宋体" w:cs="宋体"/>
                <w:b/>
                <w:color w:val="auto"/>
                <w:sz w:val="22"/>
                <w:szCs w:val="22"/>
                <w:highlight w:val="none"/>
              </w:rPr>
            </w:pPr>
            <w:r>
              <w:rPr>
                <w:rFonts w:hint="eastAsia" w:ascii="宋体" w:hAnsi="宋体" w:cs="宋体"/>
                <w:b/>
                <w:color w:val="auto"/>
                <w:sz w:val="22"/>
                <w:szCs w:val="22"/>
                <w:highlight w:val="none"/>
              </w:rPr>
              <w:t>▲7、需提供公安部特种警用装备质量监督检验中心出具的检测报告复印件。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7</w:t>
            </w:r>
            <w:r>
              <w:rPr>
                <w:rFonts w:hint="eastAsia" w:ascii="宋体" w:hAnsi="宋体"/>
                <w:color w:val="auto"/>
                <w:sz w:val="22"/>
                <w:szCs w:val="22"/>
                <w:highlight w:val="none"/>
                <w:lang w:val="en-US" w:eastAsia="zh-CN"/>
              </w:rPr>
              <w:t>6</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应急照明灯</w:t>
            </w:r>
          </w:p>
        </w:tc>
        <w:tc>
          <w:tcPr>
            <w:tcW w:w="1459" w:type="pct"/>
            <w:noWrap w:val="0"/>
            <w:vAlign w:val="center"/>
          </w:tcPr>
          <w:p>
            <w:pPr>
              <w:widowControl/>
              <w:jc w:val="center"/>
              <w:rPr>
                <w:rFonts w:ascii="宋体" w:hAnsi="宋体" w:cs="宋体"/>
                <w:color w:val="auto"/>
                <w:kern w:val="0"/>
                <w:sz w:val="22"/>
                <w:szCs w:val="22"/>
                <w:highlight w:val="none"/>
              </w:rPr>
            </w:pPr>
            <w:r>
              <w:rPr>
                <w:rFonts w:ascii="宋体" w:hAnsi="宋体"/>
                <w:color w:val="auto"/>
                <w:sz w:val="22"/>
                <w:szCs w:val="22"/>
                <w:highlight w:val="none"/>
              </w:rPr>
              <w:drawing>
                <wp:inline distT="0" distB="0" distL="114300" distR="114300">
                  <wp:extent cx="1871980" cy="1871980"/>
                  <wp:effectExtent l="0" t="0" r="13970" b="13970"/>
                  <wp:docPr id="8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9"/>
                          <pic:cNvPicPr>
                            <a:picLocks noChangeAspect="1"/>
                          </pic:cNvPicPr>
                        </pic:nvPicPr>
                        <pic:blipFill>
                          <a:blip r:embed="rId86"/>
                          <a:stretch>
                            <a:fillRect/>
                          </a:stretch>
                        </pic:blipFill>
                        <pic:spPr>
                          <a:xfrm>
                            <a:off x="0" y="0"/>
                            <a:ext cx="1871980" cy="1871980"/>
                          </a:xfrm>
                          <a:prstGeom prst="rect">
                            <a:avLst/>
                          </a:prstGeom>
                          <a:noFill/>
                          <a:ln>
                            <a:noFill/>
                          </a:ln>
                        </pic:spPr>
                      </pic:pic>
                    </a:graphicData>
                  </a:graphic>
                </wp:inline>
              </w:drawing>
            </w:r>
          </w:p>
        </w:tc>
        <w:tc>
          <w:tcPr>
            <w:tcW w:w="2847" w:type="pct"/>
            <w:noWrap w:val="0"/>
            <w:vAlign w:val="center"/>
          </w:tcPr>
          <w:p>
            <w:pPr>
              <w:widowControl/>
              <w:spacing w:line="276" w:lineRule="auto"/>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1、额定电压：</w:t>
            </w:r>
            <w:r>
              <w:rPr>
                <w:rFonts w:ascii="宋体" w:hAnsi="宋体" w:cs="宋体"/>
                <w:color w:val="auto"/>
                <w:kern w:val="0"/>
                <w:sz w:val="22"/>
                <w:szCs w:val="22"/>
                <w:highlight w:val="none"/>
              </w:rPr>
              <w:t>11.1V；</w:t>
            </w:r>
          </w:p>
          <w:p>
            <w:pPr>
              <w:widowControl/>
              <w:spacing w:line="276" w:lineRule="auto"/>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2、额定容量：</w:t>
            </w:r>
            <w:r>
              <w:rPr>
                <w:rFonts w:ascii="宋体" w:hAnsi="宋体" w:cs="宋体"/>
                <w:color w:val="auto"/>
                <w:kern w:val="0"/>
                <w:sz w:val="22"/>
                <w:szCs w:val="22"/>
                <w:highlight w:val="none"/>
              </w:rPr>
              <w:t>5.0</w:t>
            </w:r>
            <w:r>
              <w:rPr>
                <w:rFonts w:hint="eastAsia" w:ascii="宋体" w:hAnsi="宋体" w:cs="宋体"/>
                <w:color w:val="auto"/>
                <w:kern w:val="0"/>
                <w:sz w:val="22"/>
                <w:szCs w:val="22"/>
                <w:highlight w:val="none"/>
              </w:rPr>
              <w:t>Ah；</w:t>
            </w:r>
          </w:p>
          <w:p>
            <w:pPr>
              <w:widowControl/>
              <w:spacing w:line="276" w:lineRule="auto"/>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3、光源L</w:t>
            </w:r>
            <w:r>
              <w:rPr>
                <w:rFonts w:ascii="宋体" w:hAnsi="宋体" w:cs="宋体"/>
                <w:color w:val="auto"/>
                <w:kern w:val="0"/>
                <w:sz w:val="22"/>
                <w:szCs w:val="22"/>
                <w:highlight w:val="none"/>
              </w:rPr>
              <w:t>ED</w:t>
            </w:r>
            <w:r>
              <w:rPr>
                <w:rFonts w:hint="eastAsia" w:ascii="宋体" w:hAnsi="宋体" w:cs="宋体"/>
                <w:color w:val="auto"/>
                <w:kern w:val="0"/>
                <w:sz w:val="22"/>
                <w:szCs w:val="22"/>
                <w:highlight w:val="none"/>
              </w:rPr>
              <w:t>：</w:t>
            </w:r>
            <w:r>
              <w:rPr>
                <w:rFonts w:ascii="宋体" w:hAnsi="宋体" w:cs="宋体"/>
                <w:color w:val="auto"/>
                <w:kern w:val="0"/>
                <w:sz w:val="22"/>
                <w:szCs w:val="22"/>
                <w:highlight w:val="none"/>
              </w:rPr>
              <w:t>12W；</w:t>
            </w:r>
          </w:p>
          <w:p>
            <w:pPr>
              <w:widowControl/>
              <w:spacing w:line="276" w:lineRule="auto"/>
              <w:jc w:val="left"/>
              <w:textAlignment w:val="center"/>
              <w:rPr>
                <w:rFonts w:ascii="宋体" w:hAnsi="宋体" w:cs="宋体"/>
                <w:color w:val="auto"/>
                <w:kern w:val="0"/>
                <w:sz w:val="22"/>
                <w:szCs w:val="22"/>
                <w:highlight w:val="none"/>
              </w:rPr>
            </w:pPr>
            <w:r>
              <w:rPr>
                <w:rFonts w:ascii="宋体" w:hAnsi="宋体" w:cs="宋体"/>
                <w:color w:val="auto"/>
                <w:kern w:val="0"/>
                <w:sz w:val="22"/>
                <w:szCs w:val="22"/>
                <w:highlight w:val="none"/>
              </w:rPr>
              <w:t>4</w:t>
            </w:r>
            <w:r>
              <w:rPr>
                <w:rFonts w:hint="eastAsia" w:ascii="宋体" w:hAnsi="宋体" w:cs="宋体"/>
                <w:color w:val="auto"/>
                <w:kern w:val="0"/>
                <w:sz w:val="22"/>
                <w:szCs w:val="22"/>
                <w:highlight w:val="none"/>
              </w:rPr>
              <w:t>、光通：≥1</w:t>
            </w:r>
            <w:r>
              <w:rPr>
                <w:rFonts w:ascii="宋体" w:hAnsi="宋体" w:cs="宋体"/>
                <w:color w:val="auto"/>
                <w:kern w:val="0"/>
                <w:sz w:val="22"/>
                <w:szCs w:val="22"/>
                <w:highlight w:val="none"/>
              </w:rPr>
              <w:t>920</w:t>
            </w:r>
            <w:r>
              <w:rPr>
                <w:rFonts w:hint="eastAsia" w:ascii="宋体" w:hAnsi="宋体" w:cs="宋体"/>
                <w:color w:val="auto"/>
                <w:kern w:val="0"/>
                <w:sz w:val="22"/>
                <w:szCs w:val="22"/>
                <w:highlight w:val="none"/>
              </w:rPr>
              <w:t>lm；</w:t>
            </w:r>
          </w:p>
          <w:p>
            <w:pPr>
              <w:widowControl/>
              <w:spacing w:line="276" w:lineRule="auto"/>
              <w:jc w:val="left"/>
              <w:textAlignment w:val="center"/>
              <w:rPr>
                <w:rFonts w:ascii="宋体" w:hAnsi="宋体" w:cs="宋体"/>
                <w:color w:val="auto"/>
                <w:kern w:val="0"/>
                <w:sz w:val="22"/>
                <w:szCs w:val="22"/>
                <w:highlight w:val="none"/>
              </w:rPr>
            </w:pPr>
            <w:r>
              <w:rPr>
                <w:rFonts w:ascii="宋体" w:hAnsi="宋体" w:cs="宋体"/>
                <w:color w:val="auto"/>
                <w:kern w:val="0"/>
                <w:sz w:val="22"/>
                <w:szCs w:val="22"/>
                <w:highlight w:val="none"/>
              </w:rPr>
              <w:t>5</w:t>
            </w:r>
            <w:r>
              <w:rPr>
                <w:rFonts w:hint="eastAsia" w:ascii="宋体" w:hAnsi="宋体" w:cs="宋体"/>
                <w:color w:val="auto"/>
                <w:kern w:val="0"/>
                <w:sz w:val="22"/>
                <w:szCs w:val="22"/>
                <w:highlight w:val="none"/>
              </w:rPr>
              <w:t>、连续放电时间：</w:t>
            </w:r>
          </w:p>
          <w:p>
            <w:pPr>
              <w:widowControl/>
              <w:spacing w:line="276" w:lineRule="auto"/>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强光：≥</w:t>
            </w:r>
            <w:r>
              <w:rPr>
                <w:rFonts w:ascii="宋体" w:hAnsi="宋体" w:cs="宋体"/>
                <w:color w:val="auto"/>
                <w:kern w:val="0"/>
                <w:sz w:val="22"/>
                <w:szCs w:val="22"/>
                <w:highlight w:val="none"/>
              </w:rPr>
              <w:t>10</w:t>
            </w:r>
            <w:r>
              <w:rPr>
                <w:rFonts w:hint="eastAsia" w:ascii="宋体" w:hAnsi="宋体" w:cs="宋体"/>
                <w:color w:val="auto"/>
                <w:kern w:val="0"/>
                <w:sz w:val="22"/>
                <w:szCs w:val="22"/>
                <w:highlight w:val="none"/>
              </w:rPr>
              <w:t>h</w:t>
            </w:r>
          </w:p>
          <w:p>
            <w:pPr>
              <w:widowControl/>
              <w:spacing w:line="276" w:lineRule="auto"/>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工作光：≥</w:t>
            </w:r>
            <w:r>
              <w:rPr>
                <w:rFonts w:ascii="宋体" w:hAnsi="宋体" w:cs="宋体"/>
                <w:color w:val="auto"/>
                <w:kern w:val="0"/>
                <w:sz w:val="22"/>
                <w:szCs w:val="22"/>
                <w:highlight w:val="none"/>
              </w:rPr>
              <w:t>24</w:t>
            </w:r>
            <w:r>
              <w:rPr>
                <w:rFonts w:hint="eastAsia" w:ascii="宋体" w:hAnsi="宋体" w:cs="宋体"/>
                <w:color w:val="auto"/>
                <w:kern w:val="0"/>
                <w:sz w:val="22"/>
                <w:szCs w:val="22"/>
                <w:highlight w:val="none"/>
              </w:rPr>
              <w:t>h</w:t>
            </w:r>
          </w:p>
          <w:p>
            <w:pPr>
              <w:widowControl/>
              <w:spacing w:line="276" w:lineRule="auto"/>
              <w:jc w:val="left"/>
              <w:textAlignment w:val="center"/>
              <w:rPr>
                <w:rFonts w:ascii="宋体" w:hAnsi="宋体" w:cs="宋体"/>
                <w:color w:val="auto"/>
                <w:kern w:val="0"/>
                <w:sz w:val="22"/>
                <w:szCs w:val="22"/>
                <w:highlight w:val="none"/>
              </w:rPr>
            </w:pPr>
            <w:r>
              <w:rPr>
                <w:rFonts w:hint="eastAsia" w:ascii="宋体" w:hAnsi="宋体" w:cs="宋体"/>
                <w:color w:val="auto"/>
                <w:sz w:val="22"/>
                <w:szCs w:val="22"/>
                <w:highlight w:val="none"/>
              </w:rPr>
              <w:t>弱光</w:t>
            </w:r>
            <w:r>
              <w:rPr>
                <w:rFonts w:hint="eastAsia" w:ascii="宋体" w:hAnsi="宋体" w:cs="宋体"/>
                <w:color w:val="auto"/>
                <w:kern w:val="0"/>
                <w:sz w:val="22"/>
                <w:szCs w:val="22"/>
                <w:highlight w:val="none"/>
              </w:rPr>
              <w:t>：≥8</w:t>
            </w:r>
            <w:r>
              <w:rPr>
                <w:rFonts w:ascii="宋体" w:hAnsi="宋体" w:cs="宋体"/>
                <w:color w:val="auto"/>
                <w:kern w:val="0"/>
                <w:sz w:val="22"/>
                <w:szCs w:val="22"/>
                <w:highlight w:val="none"/>
              </w:rPr>
              <w:t>0</w:t>
            </w:r>
            <w:r>
              <w:rPr>
                <w:rFonts w:hint="eastAsia" w:ascii="宋体" w:hAnsi="宋体" w:cs="宋体"/>
                <w:color w:val="auto"/>
                <w:kern w:val="0"/>
                <w:sz w:val="22"/>
                <w:szCs w:val="22"/>
                <w:highlight w:val="none"/>
              </w:rPr>
              <w:t>h</w:t>
            </w:r>
          </w:p>
          <w:p>
            <w:pPr>
              <w:widowControl/>
              <w:spacing w:line="276" w:lineRule="auto"/>
              <w:jc w:val="left"/>
              <w:textAlignment w:val="center"/>
              <w:rPr>
                <w:rFonts w:ascii="宋体" w:hAnsi="宋体" w:cs="宋体"/>
                <w:b/>
                <w:bCs/>
                <w:color w:val="auto"/>
                <w:kern w:val="0"/>
                <w:sz w:val="22"/>
                <w:szCs w:val="22"/>
                <w:highlight w:val="none"/>
              </w:rPr>
            </w:pPr>
            <w:r>
              <w:rPr>
                <w:rFonts w:ascii="宋体" w:hAnsi="宋体" w:cs="宋体"/>
                <w:color w:val="auto"/>
                <w:kern w:val="0"/>
                <w:sz w:val="22"/>
                <w:szCs w:val="22"/>
                <w:highlight w:val="none"/>
              </w:rPr>
              <w:t>6</w:t>
            </w:r>
            <w:r>
              <w:rPr>
                <w:rFonts w:hint="eastAsia" w:ascii="宋体" w:hAnsi="宋体" w:cs="宋体"/>
                <w:color w:val="auto"/>
                <w:kern w:val="0"/>
                <w:sz w:val="22"/>
                <w:szCs w:val="22"/>
                <w:highlight w:val="none"/>
              </w:rPr>
              <w:t>、充电时间：≤</w:t>
            </w:r>
            <w:r>
              <w:rPr>
                <w:rFonts w:ascii="宋体" w:hAnsi="宋体" w:cs="宋体"/>
                <w:color w:val="auto"/>
                <w:kern w:val="0"/>
                <w:sz w:val="22"/>
                <w:szCs w:val="22"/>
                <w:highlight w:val="none"/>
              </w:rPr>
              <w:t>3.5</w:t>
            </w:r>
            <w:r>
              <w:rPr>
                <w:rFonts w:hint="eastAsia" w:ascii="宋体" w:hAnsi="宋体" w:cs="宋体"/>
                <w:color w:val="auto"/>
                <w:kern w:val="0"/>
                <w:sz w:val="22"/>
                <w:szCs w:val="22"/>
                <w:highlight w:val="none"/>
              </w:rPr>
              <w:t>h；</w:t>
            </w:r>
          </w:p>
          <w:p>
            <w:pPr>
              <w:widowControl/>
              <w:spacing w:line="276" w:lineRule="auto"/>
              <w:jc w:val="left"/>
              <w:textAlignment w:val="center"/>
              <w:rPr>
                <w:rFonts w:ascii="宋体" w:hAnsi="宋体" w:cs="宋体"/>
                <w:color w:val="auto"/>
                <w:kern w:val="0"/>
                <w:sz w:val="22"/>
                <w:szCs w:val="22"/>
                <w:highlight w:val="none"/>
              </w:rPr>
            </w:pPr>
            <w:r>
              <w:rPr>
                <w:rFonts w:ascii="宋体" w:hAnsi="宋体" w:cs="宋体"/>
                <w:color w:val="auto"/>
                <w:kern w:val="0"/>
                <w:sz w:val="22"/>
                <w:szCs w:val="22"/>
                <w:highlight w:val="none"/>
              </w:rPr>
              <w:t>7</w:t>
            </w:r>
            <w:r>
              <w:rPr>
                <w:rFonts w:hint="eastAsia" w:ascii="宋体" w:hAnsi="宋体" w:cs="宋体"/>
                <w:color w:val="auto"/>
                <w:kern w:val="0"/>
                <w:sz w:val="22"/>
                <w:szCs w:val="22"/>
                <w:highlight w:val="none"/>
              </w:rPr>
              <w:t>、电池使用寿命：</w:t>
            </w:r>
          </w:p>
          <w:p>
            <w:pPr>
              <w:widowControl/>
              <w:spacing w:line="276" w:lineRule="auto"/>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约1000次循环；</w:t>
            </w:r>
          </w:p>
          <w:p>
            <w:pPr>
              <w:widowControl/>
              <w:spacing w:line="276" w:lineRule="auto"/>
              <w:jc w:val="left"/>
              <w:textAlignment w:val="center"/>
              <w:rPr>
                <w:rFonts w:ascii="宋体" w:hAnsi="宋体" w:cs="宋体"/>
                <w:color w:val="auto"/>
                <w:kern w:val="0"/>
                <w:sz w:val="22"/>
                <w:szCs w:val="22"/>
                <w:highlight w:val="none"/>
              </w:rPr>
            </w:pPr>
            <w:r>
              <w:rPr>
                <w:rFonts w:ascii="宋体" w:hAnsi="宋体" w:cs="宋体"/>
                <w:color w:val="auto"/>
                <w:kern w:val="0"/>
                <w:sz w:val="22"/>
                <w:szCs w:val="22"/>
                <w:highlight w:val="none"/>
              </w:rPr>
              <w:t>8</w:t>
            </w:r>
            <w:r>
              <w:rPr>
                <w:rFonts w:hint="eastAsia" w:ascii="宋体" w:hAnsi="宋体" w:cs="宋体"/>
                <w:color w:val="auto"/>
                <w:kern w:val="0"/>
                <w:sz w:val="22"/>
                <w:szCs w:val="22"/>
                <w:highlight w:val="none"/>
              </w:rPr>
              <w:t>、尺寸：</w:t>
            </w:r>
            <w:r>
              <w:rPr>
                <w:rFonts w:ascii="宋体" w:hAnsi="宋体" w:cs="宋体"/>
                <w:color w:val="auto"/>
                <w:kern w:val="0"/>
                <w:sz w:val="22"/>
                <w:szCs w:val="22"/>
                <w:highlight w:val="none"/>
              </w:rPr>
              <w:t>171</w:t>
            </w:r>
            <w:r>
              <w:rPr>
                <w:rFonts w:hint="eastAsia" w:ascii="宋体" w:hAnsi="宋体" w:cs="宋体"/>
                <w:color w:val="auto"/>
                <w:kern w:val="0"/>
                <w:sz w:val="22"/>
                <w:szCs w:val="22"/>
                <w:highlight w:val="none"/>
              </w:rPr>
              <w:t>mm×</w:t>
            </w:r>
            <w:r>
              <w:rPr>
                <w:rFonts w:ascii="宋体" w:hAnsi="宋体" w:cs="宋体"/>
                <w:color w:val="auto"/>
                <w:kern w:val="0"/>
                <w:sz w:val="22"/>
                <w:szCs w:val="22"/>
                <w:highlight w:val="none"/>
              </w:rPr>
              <w:t>156</w:t>
            </w:r>
            <w:r>
              <w:rPr>
                <w:rFonts w:hint="eastAsia" w:ascii="宋体" w:hAnsi="宋体" w:cs="宋体"/>
                <w:color w:val="auto"/>
                <w:kern w:val="0"/>
                <w:sz w:val="22"/>
                <w:szCs w:val="22"/>
                <w:highlight w:val="none"/>
              </w:rPr>
              <w:t>mm×</w:t>
            </w:r>
            <w:r>
              <w:rPr>
                <w:rFonts w:ascii="宋体" w:hAnsi="宋体" w:cs="宋体"/>
                <w:color w:val="auto"/>
                <w:kern w:val="0"/>
                <w:sz w:val="22"/>
                <w:szCs w:val="22"/>
                <w:highlight w:val="none"/>
              </w:rPr>
              <w:t>208</w:t>
            </w:r>
            <w:r>
              <w:rPr>
                <w:rFonts w:hint="eastAsia" w:ascii="宋体" w:hAnsi="宋体" w:cs="宋体"/>
                <w:color w:val="auto"/>
                <w:kern w:val="0"/>
                <w:sz w:val="22"/>
                <w:szCs w:val="22"/>
                <w:highlight w:val="none"/>
              </w:rPr>
              <w:t>mm（长×宽×高）；</w:t>
            </w:r>
          </w:p>
          <w:p>
            <w:pPr>
              <w:rPr>
                <w:rFonts w:hint="eastAsia" w:ascii="宋体" w:hAnsi="宋体"/>
                <w:color w:val="auto"/>
                <w:sz w:val="22"/>
                <w:szCs w:val="22"/>
                <w:highlight w:val="none"/>
              </w:rPr>
            </w:pPr>
            <w:r>
              <w:rPr>
                <w:rFonts w:ascii="宋体" w:hAnsi="宋体" w:cs="宋体"/>
                <w:color w:val="auto"/>
                <w:kern w:val="0"/>
                <w:sz w:val="22"/>
                <w:szCs w:val="22"/>
                <w:highlight w:val="none"/>
              </w:rPr>
              <w:t>9</w:t>
            </w:r>
            <w:r>
              <w:rPr>
                <w:rFonts w:hint="eastAsia" w:ascii="宋体" w:hAnsi="宋体" w:cs="宋体"/>
                <w:color w:val="auto"/>
                <w:kern w:val="0"/>
                <w:sz w:val="22"/>
                <w:szCs w:val="22"/>
                <w:highlight w:val="none"/>
              </w:rPr>
              <w:t>、重量：</w:t>
            </w:r>
            <w:r>
              <w:rPr>
                <w:rFonts w:ascii="宋体" w:hAnsi="宋体" w:cs="宋体"/>
                <w:color w:val="auto"/>
                <w:kern w:val="0"/>
                <w:sz w:val="22"/>
                <w:szCs w:val="22"/>
                <w:highlight w:val="none"/>
              </w:rPr>
              <w:t>1.8</w:t>
            </w:r>
            <w:r>
              <w:rPr>
                <w:rFonts w:hint="eastAsia" w:ascii="宋体" w:hAnsi="宋体" w:cs="宋体"/>
                <w:color w:val="auto"/>
                <w:kern w:val="0"/>
                <w:sz w:val="22"/>
                <w:szCs w:val="22"/>
                <w:highlight w:val="none"/>
              </w:rPr>
              <w:t>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eastAsia" w:ascii="宋体" w:hAnsi="宋体" w:eastAsia="宋体"/>
                <w:color w:val="auto"/>
                <w:sz w:val="22"/>
                <w:szCs w:val="22"/>
                <w:highlight w:val="none"/>
                <w:lang w:eastAsia="zh-CN"/>
              </w:rPr>
            </w:pPr>
            <w:r>
              <w:rPr>
                <w:rFonts w:ascii="宋体" w:hAnsi="宋体"/>
                <w:color w:val="auto"/>
                <w:sz w:val="22"/>
                <w:szCs w:val="22"/>
                <w:highlight w:val="none"/>
              </w:rPr>
              <w:t>7</w:t>
            </w:r>
            <w:r>
              <w:rPr>
                <w:rFonts w:hint="eastAsia" w:ascii="宋体" w:hAnsi="宋体"/>
                <w:color w:val="auto"/>
                <w:sz w:val="22"/>
                <w:szCs w:val="22"/>
                <w:highlight w:val="none"/>
                <w:lang w:val="en-US" w:eastAsia="zh-CN"/>
              </w:rPr>
              <w:t>7</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圆盾</w:t>
            </w:r>
          </w:p>
        </w:tc>
        <w:tc>
          <w:tcPr>
            <w:tcW w:w="1459" w:type="pct"/>
            <w:noWrap w:val="0"/>
            <w:vAlign w:val="center"/>
          </w:tcPr>
          <w:p>
            <w:pPr>
              <w:widowControl/>
              <w:jc w:val="center"/>
              <w:rPr>
                <w:rFonts w:ascii="宋体" w:hAnsi="宋体" w:cs="宋体"/>
                <w:color w:val="auto"/>
                <w:kern w:val="0"/>
                <w:sz w:val="22"/>
                <w:szCs w:val="22"/>
                <w:highlight w:val="none"/>
              </w:rPr>
            </w:pPr>
            <w:r>
              <w:rPr>
                <w:rFonts w:ascii="宋体" w:hAnsi="宋体" w:cs="宋体"/>
                <w:color w:val="auto"/>
                <w:kern w:val="0"/>
                <w:sz w:val="22"/>
                <w:szCs w:val="22"/>
                <w:highlight w:val="none"/>
              </w:rPr>
              <w:drawing>
                <wp:inline distT="0" distB="0" distL="114300" distR="114300">
                  <wp:extent cx="1032510" cy="958215"/>
                  <wp:effectExtent l="0" t="0" r="15240" b="13335"/>
                  <wp:docPr id="8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0"/>
                          <pic:cNvPicPr>
                            <a:picLocks noChangeAspect="1"/>
                          </pic:cNvPicPr>
                        </pic:nvPicPr>
                        <pic:blipFill>
                          <a:blip r:embed="rId87"/>
                          <a:stretch>
                            <a:fillRect/>
                          </a:stretch>
                        </pic:blipFill>
                        <pic:spPr>
                          <a:xfrm>
                            <a:off x="0" y="0"/>
                            <a:ext cx="1032510" cy="958215"/>
                          </a:xfrm>
                          <a:prstGeom prst="rect">
                            <a:avLst/>
                          </a:prstGeom>
                          <a:noFill/>
                          <a:ln>
                            <a:noFill/>
                          </a:ln>
                        </pic:spPr>
                      </pic:pic>
                    </a:graphicData>
                  </a:graphic>
                </wp:inline>
              </w:drawing>
            </w:r>
          </w:p>
        </w:tc>
        <w:tc>
          <w:tcPr>
            <w:tcW w:w="2847" w:type="pct"/>
            <w:noWrap w:val="0"/>
            <w:vAlign w:val="center"/>
          </w:tcPr>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1、执行标准：GA422-2008《防暴盾牌》； </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2、盾牌尺寸：580×580×4mm； </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 xml:space="preserve">3、材质： PC； </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4、重量：1.67kg；</w:t>
            </w:r>
          </w:p>
          <w:p>
            <w:pPr>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5、透光率：89.1%；</w:t>
            </w:r>
          </w:p>
          <w:p>
            <w:pPr>
              <w:pStyle w:val="161"/>
              <w:tabs>
                <w:tab w:val="left" w:pos="420"/>
              </w:tabs>
              <w:ind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6、握把连接处应能承受≥500N的拉力，不应有断裂、松动或脱落现象；</w:t>
            </w:r>
          </w:p>
          <w:p>
            <w:pPr>
              <w:pStyle w:val="161"/>
              <w:tabs>
                <w:tab w:val="left" w:pos="420"/>
              </w:tabs>
              <w:ind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7、臂带与盾体间的链接应能承受≥500N的拉力，不应有脱落、松动、脱扣或臂带断裂现象；</w:t>
            </w:r>
          </w:p>
          <w:p>
            <w:pPr>
              <w:pStyle w:val="161"/>
              <w:tabs>
                <w:tab w:val="left" w:pos="420"/>
              </w:tabs>
              <w:ind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8、盾体应能承受147J动能的冲击，冲击后盾体受力点不应有洞穿或在受力点半径50mm之外出现破裂；</w:t>
            </w:r>
          </w:p>
          <w:p>
            <w:pPr>
              <w:pStyle w:val="161"/>
              <w:tabs>
                <w:tab w:val="left" w:pos="420"/>
              </w:tabs>
              <w:ind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9、盾体应能承受147J动能的穿刺，穿刺后盾体受力点不应有大于6mm的穿洞或在受力点半径20mm之外出现破裂；</w:t>
            </w:r>
          </w:p>
          <w:p>
            <w:pPr>
              <w:pStyle w:val="161"/>
              <w:tabs>
                <w:tab w:val="left" w:pos="420"/>
              </w:tabs>
              <w:ind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10、防暴盾牌应能承受击打试验机的击打，击打点线速度为18m/s±0.3m/s，击打能量为342J±13J；击打后盾体不应破碎或出现长度大于50mm的裂纹；</w:t>
            </w:r>
          </w:p>
          <w:p>
            <w:pPr>
              <w:pStyle w:val="161"/>
              <w:tabs>
                <w:tab w:val="left" w:pos="420"/>
              </w:tabs>
              <w:ind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11、防暴盾牌经低温处理（-30℃±2℃，4h后），5min内进行耐击打强度试验，试验结果应符合耐击打强度试验要求；</w:t>
            </w:r>
          </w:p>
          <w:p>
            <w:pPr>
              <w:pStyle w:val="161"/>
              <w:tabs>
                <w:tab w:val="left" w:pos="420"/>
              </w:tabs>
              <w:ind w:firstLine="0" w:firstLineChars="0"/>
              <w:rPr>
                <w:rFonts w:ascii="宋体" w:hAnsi="宋体" w:cs="宋体"/>
                <w:color w:val="auto"/>
                <w:sz w:val="22"/>
                <w:szCs w:val="22"/>
                <w:highlight w:val="none"/>
              </w:rPr>
            </w:pPr>
            <w:r>
              <w:rPr>
                <w:rFonts w:hint="eastAsia" w:ascii="宋体" w:hAnsi="宋体" w:cs="宋体"/>
                <w:color w:val="auto"/>
                <w:sz w:val="22"/>
                <w:szCs w:val="22"/>
                <w:highlight w:val="none"/>
              </w:rPr>
              <w:t>14、防暴盾牌经高温处理（+55℃±2℃，4h后），5min内进行耐击打强度试验，试验结果应符合耐击打强度试验要求；</w:t>
            </w:r>
          </w:p>
          <w:p>
            <w:pPr>
              <w:jc w:val="left"/>
              <w:rPr>
                <w:rFonts w:ascii="宋体" w:hAnsi="宋体" w:cs="宋体"/>
                <w:color w:val="auto"/>
                <w:sz w:val="22"/>
                <w:szCs w:val="22"/>
                <w:highlight w:val="none"/>
              </w:rPr>
            </w:pPr>
            <w:r>
              <w:rPr>
                <w:rFonts w:hint="eastAsia" w:ascii="宋体" w:hAnsi="宋体" w:cs="宋体"/>
                <w:b/>
                <w:color w:val="auto"/>
                <w:sz w:val="22"/>
                <w:szCs w:val="22"/>
                <w:highlight w:val="none"/>
              </w:rPr>
              <w:t>▲15、质保年限：5年，保险：600万（需提供保险证明）；</w:t>
            </w:r>
          </w:p>
          <w:p>
            <w:pPr>
              <w:widowControl/>
              <w:jc w:val="left"/>
              <w:rPr>
                <w:rFonts w:ascii="宋体" w:hAnsi="宋体" w:cs="宋体"/>
                <w:color w:val="auto"/>
                <w:sz w:val="22"/>
                <w:szCs w:val="22"/>
                <w:highlight w:val="none"/>
              </w:rPr>
            </w:pPr>
            <w:r>
              <w:rPr>
                <w:rFonts w:hint="eastAsia" w:ascii="宋体" w:hAnsi="宋体" w:cs="宋体"/>
                <w:b/>
                <w:color w:val="auto"/>
                <w:sz w:val="22"/>
                <w:szCs w:val="22"/>
                <w:highlight w:val="none"/>
              </w:rPr>
              <w:t>▲16、需提供公安部特种警用装备质量监督检验中心出具的检测报告复印件。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78</w:t>
            </w:r>
          </w:p>
        </w:tc>
        <w:tc>
          <w:tcPr>
            <w:tcW w:w="411" w:type="pct"/>
            <w:noWrap w:val="0"/>
            <w:vAlign w:val="center"/>
          </w:tcPr>
          <w:p>
            <w:pPr>
              <w:pStyle w:val="202"/>
              <w:jc w:val="center"/>
              <w:rPr>
                <w:rFonts w:ascii="宋体" w:hAnsi="宋体"/>
                <w:color w:val="auto"/>
                <w:sz w:val="22"/>
                <w:szCs w:val="22"/>
                <w:highlight w:val="none"/>
              </w:rPr>
            </w:pPr>
            <w:r>
              <w:rPr>
                <w:rFonts w:hint="eastAsia" w:ascii="宋体" w:hAnsi="宋体"/>
                <w:color w:val="auto"/>
                <w:sz w:val="22"/>
                <w:szCs w:val="22"/>
                <w:highlight w:val="none"/>
              </w:rPr>
              <w:t>手持式声波驱散器</w:t>
            </w:r>
          </w:p>
        </w:tc>
        <w:tc>
          <w:tcPr>
            <w:tcW w:w="1459" w:type="pct"/>
            <w:noWrap w:val="0"/>
            <w:vAlign w:val="center"/>
          </w:tcPr>
          <w:p>
            <w:pPr>
              <w:jc w:val="center"/>
              <w:rPr>
                <w:rFonts w:ascii="宋体" w:hAnsi="宋体" w:cs="宋体"/>
                <w:color w:val="auto"/>
                <w:sz w:val="22"/>
                <w:szCs w:val="22"/>
                <w:highlight w:val="none"/>
              </w:rPr>
            </w:pPr>
            <w:r>
              <w:rPr>
                <w:rFonts w:ascii="宋体" w:hAnsi="宋体" w:cs="宋体"/>
                <w:color w:val="auto"/>
                <w:sz w:val="22"/>
                <w:szCs w:val="22"/>
                <w:highlight w:val="none"/>
              </w:rPr>
              <w:drawing>
                <wp:inline distT="0" distB="0" distL="114300" distR="114300">
                  <wp:extent cx="1094740" cy="1237615"/>
                  <wp:effectExtent l="0" t="0" r="10160" b="635"/>
                  <wp:docPr id="7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1"/>
                          <pic:cNvPicPr>
                            <a:picLocks noChangeAspect="1"/>
                          </pic:cNvPicPr>
                        </pic:nvPicPr>
                        <pic:blipFill>
                          <a:blip r:embed="rId88"/>
                          <a:stretch>
                            <a:fillRect/>
                          </a:stretch>
                        </pic:blipFill>
                        <pic:spPr>
                          <a:xfrm>
                            <a:off x="0" y="0"/>
                            <a:ext cx="1094740" cy="1237615"/>
                          </a:xfrm>
                          <a:prstGeom prst="rect">
                            <a:avLst/>
                          </a:prstGeom>
                          <a:noFill/>
                          <a:ln>
                            <a:noFill/>
                          </a:ln>
                        </pic:spPr>
                      </pic:pic>
                    </a:graphicData>
                  </a:graphic>
                </wp:inline>
              </w:drawing>
            </w:r>
          </w:p>
        </w:tc>
        <w:tc>
          <w:tcPr>
            <w:tcW w:w="2847" w:type="pct"/>
            <w:noWrap w:val="0"/>
            <w:vAlign w:val="center"/>
          </w:tcPr>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宋体" w:hAnsi="宋体" w:cs="宋体"/>
                <w:color w:val="auto"/>
                <w:sz w:val="22"/>
                <w:szCs w:val="22"/>
                <w:highlight w:val="none"/>
              </w:rPr>
              <w:tab/>
            </w:r>
            <w:r>
              <w:rPr>
                <w:rFonts w:hint="eastAsia" w:ascii="宋体" w:hAnsi="宋体" w:cs="宋体"/>
                <w:color w:val="auto"/>
                <w:sz w:val="22"/>
                <w:szCs w:val="22"/>
                <w:highlight w:val="none"/>
              </w:rPr>
              <w:t>可通过录音键进行录音，并可播放录音文件、具有独立的广播音量控制旋钮；</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2、</w:t>
            </w:r>
            <w:r>
              <w:rPr>
                <w:rFonts w:hint="eastAsia" w:ascii="宋体" w:hAnsi="宋体" w:cs="宋体"/>
                <w:color w:val="auto"/>
                <w:sz w:val="22"/>
                <w:szCs w:val="22"/>
                <w:highlight w:val="none"/>
              </w:rPr>
              <w:tab/>
            </w:r>
            <w:r>
              <w:rPr>
                <w:rFonts w:hint="eastAsia" w:ascii="宋体" w:hAnsi="宋体" w:cs="宋体"/>
                <w:color w:val="auto"/>
                <w:sz w:val="22"/>
                <w:szCs w:val="22"/>
                <w:highlight w:val="none"/>
              </w:rPr>
              <w:t>可通过有线话筒、无线话筒进行喊话；有线喊话具有最高优先级；</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3、</w:t>
            </w:r>
            <w:r>
              <w:rPr>
                <w:rFonts w:hint="eastAsia" w:ascii="宋体" w:hAnsi="宋体" w:cs="宋体"/>
                <w:color w:val="auto"/>
                <w:sz w:val="22"/>
                <w:szCs w:val="22"/>
                <w:highlight w:val="none"/>
              </w:rPr>
              <w:tab/>
            </w:r>
            <w:r>
              <w:rPr>
                <w:rFonts w:hint="eastAsia" w:ascii="宋体" w:hAnsi="宋体" w:cs="宋体"/>
                <w:color w:val="auto"/>
                <w:sz w:val="22"/>
                <w:szCs w:val="22"/>
                <w:highlight w:val="none"/>
              </w:rPr>
              <w:t>驱散声压级：≥133dB/1M;</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4、</w:t>
            </w:r>
            <w:r>
              <w:rPr>
                <w:rFonts w:hint="eastAsia" w:ascii="宋体" w:hAnsi="宋体" w:cs="宋体"/>
                <w:color w:val="auto"/>
                <w:sz w:val="22"/>
                <w:szCs w:val="22"/>
                <w:highlight w:val="none"/>
              </w:rPr>
              <w:tab/>
            </w:r>
            <w:r>
              <w:rPr>
                <w:rFonts w:hint="eastAsia" w:ascii="宋体" w:hAnsi="宋体" w:cs="宋体"/>
                <w:color w:val="auto"/>
                <w:sz w:val="22"/>
                <w:szCs w:val="22"/>
                <w:highlight w:val="none"/>
              </w:rPr>
              <w:t>蓝牙喊话功能：手机联接蓝牙后支持本地喊话和远程扩音；</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5、</w:t>
            </w:r>
            <w:r>
              <w:rPr>
                <w:rFonts w:hint="eastAsia" w:ascii="宋体" w:hAnsi="宋体" w:cs="宋体"/>
                <w:color w:val="auto"/>
                <w:sz w:val="22"/>
                <w:szCs w:val="22"/>
                <w:highlight w:val="none"/>
              </w:rPr>
              <w:tab/>
            </w:r>
            <w:r>
              <w:rPr>
                <w:rFonts w:hint="eastAsia" w:ascii="宋体" w:hAnsi="宋体" w:cs="宋体"/>
                <w:color w:val="auto"/>
                <w:sz w:val="22"/>
                <w:szCs w:val="22"/>
                <w:highlight w:val="none"/>
              </w:rPr>
              <w:t>主机重量：小于8.2KG；</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6、</w:t>
            </w:r>
            <w:r>
              <w:rPr>
                <w:rFonts w:hint="eastAsia" w:ascii="宋体" w:hAnsi="宋体" w:cs="宋体"/>
                <w:color w:val="auto"/>
                <w:sz w:val="22"/>
                <w:szCs w:val="22"/>
                <w:highlight w:val="none"/>
              </w:rPr>
              <w:tab/>
            </w:r>
            <w:r>
              <w:rPr>
                <w:rFonts w:hint="eastAsia" w:ascii="宋体" w:hAnsi="宋体" w:cs="宋体"/>
                <w:color w:val="auto"/>
                <w:sz w:val="22"/>
                <w:szCs w:val="22"/>
                <w:highlight w:val="none"/>
              </w:rPr>
              <w:t>强光照度：距出光口1米处的照度应不小于108cd/m²；</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7、</w:t>
            </w:r>
            <w:r>
              <w:rPr>
                <w:rFonts w:hint="eastAsia" w:ascii="宋体" w:hAnsi="宋体" w:cs="宋体"/>
                <w:color w:val="auto"/>
                <w:sz w:val="22"/>
                <w:szCs w:val="22"/>
                <w:highlight w:val="none"/>
              </w:rPr>
              <w:tab/>
            </w:r>
            <w:r>
              <w:rPr>
                <w:rFonts w:hint="eastAsia" w:ascii="宋体" w:hAnsi="宋体" w:cs="宋体"/>
                <w:color w:val="auto"/>
                <w:sz w:val="22"/>
                <w:szCs w:val="22"/>
                <w:highlight w:val="none"/>
              </w:rPr>
              <w:t>强光色温：8000±800K；</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8、</w:t>
            </w:r>
            <w:r>
              <w:rPr>
                <w:rFonts w:hint="eastAsia" w:ascii="宋体" w:hAnsi="宋体" w:cs="宋体"/>
                <w:color w:val="auto"/>
                <w:sz w:val="22"/>
                <w:szCs w:val="22"/>
                <w:highlight w:val="none"/>
              </w:rPr>
              <w:tab/>
            </w:r>
            <w:r>
              <w:rPr>
                <w:rFonts w:hint="eastAsia" w:ascii="宋体" w:hAnsi="宋体" w:cs="宋体"/>
                <w:color w:val="auto"/>
                <w:sz w:val="22"/>
                <w:szCs w:val="22"/>
                <w:highlight w:val="none"/>
              </w:rPr>
              <w:t>强光光束角度：应小于20°；</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9、</w:t>
            </w:r>
            <w:r>
              <w:rPr>
                <w:rFonts w:hint="eastAsia" w:ascii="宋体" w:hAnsi="宋体" w:cs="宋体"/>
                <w:color w:val="auto"/>
                <w:sz w:val="22"/>
                <w:szCs w:val="22"/>
                <w:highlight w:val="none"/>
              </w:rPr>
              <w:tab/>
            </w:r>
            <w:r>
              <w:rPr>
                <w:rFonts w:hint="eastAsia" w:ascii="宋体" w:hAnsi="宋体" w:cs="宋体"/>
                <w:color w:val="auto"/>
                <w:sz w:val="22"/>
                <w:szCs w:val="22"/>
                <w:highlight w:val="none"/>
              </w:rPr>
              <w:t>无线喊话距离：≥80米；</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10、驱散指向性：±12°；</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11、操作面板应有“注意提示”标识，电压、容量、材质标识；</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12、高低温：-40~50℃；</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13、可接收播放FM调频广播；</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14、可通过AC220V、DC12V电源供电工作；</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15、可通过液晶屏显示电池电量；</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16、一键开启强光驱散功能；</w:t>
            </w:r>
          </w:p>
          <w:p>
            <w:pPr>
              <w:widowControl/>
              <w:jc w:val="left"/>
              <w:rPr>
                <w:rFonts w:ascii="宋体" w:hAnsi="宋体" w:cs="宋体"/>
                <w:color w:val="auto"/>
                <w:sz w:val="22"/>
                <w:szCs w:val="22"/>
                <w:highlight w:val="none"/>
              </w:rPr>
            </w:pPr>
            <w:r>
              <w:rPr>
                <w:rFonts w:hint="eastAsia" w:ascii="宋体" w:hAnsi="宋体" w:cs="宋体"/>
                <w:color w:val="auto"/>
                <w:sz w:val="22"/>
                <w:szCs w:val="22"/>
                <w:highlight w:val="none"/>
              </w:rPr>
              <w:t>▲1</w:t>
            </w:r>
            <w:r>
              <w:rPr>
                <w:rFonts w:ascii="宋体" w:hAnsi="宋体" w:cs="宋体"/>
                <w:color w:val="auto"/>
                <w:sz w:val="22"/>
                <w:szCs w:val="22"/>
                <w:highlight w:val="none"/>
              </w:rPr>
              <w:t>7</w:t>
            </w:r>
            <w:r>
              <w:rPr>
                <w:rFonts w:hint="eastAsia" w:ascii="宋体" w:hAnsi="宋体" w:cs="宋体"/>
                <w:color w:val="auto"/>
                <w:sz w:val="22"/>
                <w:szCs w:val="22"/>
                <w:highlight w:val="none"/>
              </w:rPr>
              <w:t>、提供公安部安全与警用电子产品质量检测中心或公</w:t>
            </w:r>
            <w:r>
              <w:rPr>
                <w:rFonts w:hint="eastAsia" w:ascii="宋体" w:hAnsi="宋体" w:cs="宋体"/>
                <w:bCs/>
                <w:snapToGrid w:val="0"/>
                <w:color w:val="auto"/>
                <w:sz w:val="22"/>
                <w:szCs w:val="22"/>
                <w:highlight w:val="none"/>
              </w:rPr>
              <w:t>安部特种警用装备质量监督检验中心出具的检测报告复印件加盖公章封面上带有</w:t>
            </w:r>
            <w:r>
              <w:rPr>
                <w:rFonts w:hint="eastAsia" w:ascii="宋体" w:hAnsi="宋体"/>
                <w:color w:val="auto"/>
                <w:sz w:val="22"/>
                <w:szCs w:val="22"/>
                <w:highlight w:val="none"/>
              </w:rPr>
              <w:t>（CMA）章</w:t>
            </w:r>
            <w:r>
              <w:rPr>
                <w:rFonts w:hint="eastAsia" w:ascii="宋体" w:hAnsi="宋体" w:cs="宋体"/>
                <w:bCs/>
                <w:snapToGrid w:val="0"/>
                <w:color w:val="auto"/>
                <w:sz w:val="22"/>
                <w:szCs w:val="22"/>
                <w:highlight w:val="none"/>
              </w:rPr>
              <w:t>；</w:t>
            </w:r>
          </w:p>
          <w:p>
            <w:pPr>
              <w:widowControl/>
              <w:jc w:val="left"/>
              <w:rPr>
                <w:rFonts w:ascii="宋体" w:hAnsi="宋体" w:cs="宋体"/>
                <w:color w:val="auto"/>
                <w:sz w:val="22"/>
                <w:szCs w:val="22"/>
                <w:highlight w:val="none"/>
              </w:rPr>
            </w:pPr>
            <w:r>
              <w:rPr>
                <w:rFonts w:hint="eastAsia" w:ascii="宋体" w:hAnsi="宋体" w:cs="宋体"/>
                <w:b/>
                <w:color w:val="auto"/>
                <w:sz w:val="22"/>
                <w:szCs w:val="22"/>
                <w:highlight w:val="none"/>
              </w:rPr>
              <w:t>▲</w:t>
            </w:r>
            <w:r>
              <w:rPr>
                <w:rFonts w:hint="eastAsia" w:ascii="宋体" w:hAnsi="宋体" w:cs="宋体"/>
                <w:color w:val="auto"/>
                <w:sz w:val="22"/>
                <w:szCs w:val="22"/>
                <w:highlight w:val="none"/>
              </w:rPr>
              <w:t>1</w:t>
            </w:r>
            <w:r>
              <w:rPr>
                <w:rFonts w:ascii="宋体" w:hAnsi="宋体" w:cs="宋体"/>
                <w:color w:val="auto"/>
                <w:sz w:val="22"/>
                <w:szCs w:val="22"/>
                <w:highlight w:val="none"/>
              </w:rPr>
              <w:t>8</w:t>
            </w:r>
            <w:r>
              <w:rPr>
                <w:rFonts w:hint="eastAsia" w:ascii="宋体" w:hAnsi="宋体" w:cs="宋体"/>
                <w:color w:val="auto"/>
                <w:sz w:val="22"/>
                <w:szCs w:val="22"/>
                <w:highlight w:val="none"/>
              </w:rPr>
              <w:t>、生产商具备2018-2019年度公安警用装备协议供货招标采购中标入围企业。提供复印件加盖生产商红公章。</w:t>
            </w:r>
          </w:p>
          <w:p>
            <w:pPr>
              <w:widowControl/>
              <w:jc w:val="left"/>
              <w:rPr>
                <w:rFonts w:ascii="宋体" w:hAnsi="宋体" w:cs="宋体"/>
                <w:b/>
                <w:color w:val="auto"/>
                <w:sz w:val="22"/>
                <w:szCs w:val="22"/>
                <w:highlight w:val="none"/>
              </w:rPr>
            </w:pPr>
            <w:r>
              <w:rPr>
                <w:rFonts w:hint="eastAsia" w:ascii="宋体" w:hAnsi="宋体" w:cs="宋体"/>
                <w:b/>
                <w:color w:val="auto"/>
                <w:sz w:val="22"/>
                <w:szCs w:val="22"/>
                <w:highlight w:val="none"/>
              </w:rPr>
              <w:t>▲</w:t>
            </w:r>
            <w:r>
              <w:rPr>
                <w:rFonts w:ascii="宋体" w:hAnsi="宋体" w:cs="宋体"/>
                <w:b/>
                <w:color w:val="auto"/>
                <w:sz w:val="22"/>
                <w:szCs w:val="22"/>
                <w:highlight w:val="none"/>
              </w:rPr>
              <w:t>19</w:t>
            </w:r>
            <w:r>
              <w:rPr>
                <w:rFonts w:hint="eastAsia" w:ascii="宋体" w:hAnsi="宋体" w:cs="宋体"/>
                <w:b/>
                <w:color w:val="auto"/>
                <w:sz w:val="22"/>
                <w:szCs w:val="22"/>
                <w:highlight w:val="none"/>
              </w:rPr>
              <w:t>、投标</w:t>
            </w:r>
            <w:r>
              <w:rPr>
                <w:rFonts w:ascii="宋体" w:hAnsi="宋体" w:cs="宋体"/>
                <w:b/>
                <w:color w:val="auto"/>
                <w:sz w:val="22"/>
                <w:szCs w:val="22"/>
                <w:highlight w:val="none"/>
              </w:rPr>
              <w:t>现场提供样品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79</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10人式警用帐篷</w:t>
            </w:r>
          </w:p>
        </w:tc>
        <w:tc>
          <w:tcPr>
            <w:tcW w:w="1459" w:type="pct"/>
            <w:noWrap w:val="0"/>
            <w:vAlign w:val="center"/>
          </w:tcPr>
          <w:p>
            <w:pPr>
              <w:jc w:val="center"/>
              <w:rPr>
                <w:rFonts w:ascii="宋体" w:hAnsi="宋体"/>
                <w:color w:val="auto"/>
                <w:sz w:val="22"/>
                <w:szCs w:val="22"/>
                <w:highlight w:val="none"/>
              </w:rPr>
            </w:pPr>
            <w:r>
              <w:rPr>
                <w:rFonts w:ascii="宋体" w:hAnsi="宋体"/>
                <w:color w:val="auto"/>
                <w:sz w:val="22"/>
                <w:szCs w:val="22"/>
                <w:highlight w:val="none"/>
              </w:rPr>
              <w:drawing>
                <wp:inline distT="0" distB="0" distL="114300" distR="114300">
                  <wp:extent cx="1334135" cy="1170940"/>
                  <wp:effectExtent l="0" t="0" r="18415" b="10160"/>
                  <wp:docPr id="85" name="图片 82" descr="D:\Administratorr\Desktop\小产品图片\警蓝色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2" descr="D:\Administratorr\Desktop\小产品图片\警蓝色93.JPG"/>
                          <pic:cNvPicPr>
                            <a:picLocks noChangeAspect="1"/>
                          </pic:cNvPicPr>
                        </pic:nvPicPr>
                        <pic:blipFill>
                          <a:blip r:embed="rId89"/>
                          <a:stretch>
                            <a:fillRect/>
                          </a:stretch>
                        </pic:blipFill>
                        <pic:spPr>
                          <a:xfrm>
                            <a:off x="0" y="0"/>
                            <a:ext cx="1334135" cy="1170940"/>
                          </a:xfrm>
                          <a:prstGeom prst="rect">
                            <a:avLst/>
                          </a:prstGeom>
                          <a:noFill/>
                          <a:ln>
                            <a:noFill/>
                          </a:ln>
                        </pic:spPr>
                      </pic:pic>
                    </a:graphicData>
                  </a:graphic>
                </wp:inline>
              </w:drawing>
            </w:r>
          </w:p>
        </w:tc>
        <w:tc>
          <w:tcPr>
            <w:tcW w:w="2847" w:type="pct"/>
            <w:noWrap w:val="0"/>
            <w:vAlign w:val="center"/>
          </w:tcPr>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尺寸：4米（长）X5米（宽）X1.8米（边高）。</w:t>
            </w:r>
          </w:p>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支架：整体采用38mm空心圆钢，壁厚1.2mm国标标准。抗震、防风能力强。框架钢管采用插头与插管对接，用松紧适度的弹簧卡锁定，插接应牢固、稳定。</w:t>
            </w:r>
          </w:p>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标准防水牛津布面，600D藏蓝，抗冻防寒，面料柔软，篷布防水指数: 大于3000MM。（具有防水、防霉、防老化、透气、耐磨等能）。</w:t>
            </w:r>
          </w:p>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内衬：防水白布，做工以军用帐篷为标准。帐篷两侧带窗户窗口都设有纱网和卷帘（卷帘材质与帐篷围墙材质相同），具有防蚊虫、通风等功能；外篷布和内衬中间加300g拉力毡，环保，防寒保暖。</w:t>
            </w:r>
          </w:p>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5.</w:t>
            </w:r>
            <w:r>
              <w:rPr>
                <w:rFonts w:hint="eastAsia" w:ascii="宋体" w:hAnsi="宋体" w:cs="宋体"/>
                <w:color w:val="auto"/>
                <w:sz w:val="22"/>
                <w:szCs w:val="22"/>
                <w:highlight w:val="none"/>
              </w:rPr>
              <w:t>帐篷带一个门，每个门带有一个卷帘，卷帘材质与帐篷围墙材质相同。</w:t>
            </w:r>
          </w:p>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6.</w:t>
            </w:r>
            <w:r>
              <w:rPr>
                <w:rFonts w:hint="eastAsia" w:ascii="宋体" w:hAnsi="宋体" w:cs="宋体"/>
                <w:color w:val="auto"/>
                <w:sz w:val="22"/>
                <w:szCs w:val="22"/>
                <w:highlight w:val="none"/>
              </w:rPr>
              <w:t>钢管尺寸：Ø38MM圆管，钢管厚度：1.2MM圆管，含地梁，地梁起到固定帐篷的作用，让帐篷更加牢固。。</w:t>
            </w:r>
          </w:p>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7.</w:t>
            </w:r>
            <w:r>
              <w:rPr>
                <w:rFonts w:hint="eastAsia" w:ascii="宋体" w:hAnsi="宋体" w:cs="宋体"/>
                <w:color w:val="auto"/>
                <w:sz w:val="22"/>
                <w:szCs w:val="22"/>
                <w:highlight w:val="none"/>
              </w:rPr>
              <w:t>配带拉绳、地钎、螺丝等安装帐篷过程中使用的一切配件。</w:t>
            </w:r>
          </w:p>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8.帐篷入口门帘正上方设有能放入A4纸大小的防水卡槽。卡槽距离门帘子上沿15CM。</w:t>
            </w:r>
          </w:p>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9.准备配套的蓝底白字“指挥室”，“休息室1”，“休息室2”印字卡片（黑体，高6CM,宽6CM）</w:t>
            </w:r>
          </w:p>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10.帐篷坡面印有“温州特警”黑体字样。</w:t>
            </w:r>
          </w:p>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11、帐篷为双坡面框架式结构，高频焊接镀锌钢管，使用寿命可达3年以上帐篷结构合理，安全可靠。可承受9级风力、自重和8cm厚的积雪荷载。可容纳 10人，帐篷构造简单、架撤方便便捷。</w:t>
            </w:r>
          </w:p>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12、帐篷支架有和说明书对应的编号</w:t>
            </w:r>
          </w:p>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13、帐篷需用木架包装，保证运输过程外袋完好无损。</w:t>
            </w:r>
          </w:p>
          <w:p>
            <w:pPr>
              <w:widowControl/>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14、包装附有详细说明书，电子版安装图纸等一切安装步骤。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1" w:type="pct"/>
            <w:noWrap w:val="0"/>
            <w:vAlign w:val="center"/>
          </w:tcPr>
          <w:p>
            <w:pPr>
              <w:pStyle w:val="202"/>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80</w:t>
            </w:r>
          </w:p>
        </w:tc>
        <w:tc>
          <w:tcPr>
            <w:tcW w:w="411" w:type="pct"/>
            <w:noWrap w:val="0"/>
            <w:vAlign w:val="center"/>
          </w:tcPr>
          <w:p>
            <w:pPr>
              <w:pStyle w:val="202"/>
              <w:jc w:val="center"/>
              <w:rPr>
                <w:rFonts w:hint="eastAsia" w:ascii="宋体" w:hAnsi="宋体"/>
                <w:color w:val="auto"/>
                <w:sz w:val="22"/>
                <w:szCs w:val="22"/>
                <w:highlight w:val="none"/>
              </w:rPr>
            </w:pPr>
            <w:r>
              <w:rPr>
                <w:rFonts w:hint="eastAsia" w:ascii="宋体" w:hAnsi="宋体"/>
                <w:color w:val="auto"/>
                <w:sz w:val="22"/>
                <w:szCs w:val="22"/>
                <w:highlight w:val="none"/>
              </w:rPr>
              <w:t>无人机反制类装备</w:t>
            </w:r>
          </w:p>
        </w:tc>
        <w:tc>
          <w:tcPr>
            <w:tcW w:w="1459" w:type="pct"/>
            <w:noWrap w:val="0"/>
            <w:vAlign w:val="center"/>
          </w:tcPr>
          <w:p>
            <w:pPr>
              <w:widowControl/>
              <w:jc w:val="center"/>
              <w:rPr>
                <w:rFonts w:hint="eastAsia" w:ascii="宋体" w:hAnsi="宋体"/>
                <w:color w:val="auto"/>
                <w:sz w:val="22"/>
                <w:szCs w:val="22"/>
                <w:highlight w:val="none"/>
              </w:rPr>
            </w:pPr>
            <w:r>
              <w:rPr>
                <w:rFonts w:ascii="宋体" w:hAnsi="宋体"/>
                <w:color w:val="auto"/>
                <w:sz w:val="22"/>
                <w:szCs w:val="22"/>
                <w:highlight w:val="none"/>
              </w:rPr>
              <w:drawing>
                <wp:inline distT="0" distB="0" distL="114300" distR="114300">
                  <wp:extent cx="1316355" cy="840105"/>
                  <wp:effectExtent l="0" t="0" r="17145" b="17145"/>
                  <wp:docPr id="8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3"/>
                          <pic:cNvPicPr>
                            <a:picLocks noChangeAspect="1"/>
                          </pic:cNvPicPr>
                        </pic:nvPicPr>
                        <pic:blipFill>
                          <a:blip r:embed="rId90"/>
                          <a:stretch>
                            <a:fillRect/>
                          </a:stretch>
                        </pic:blipFill>
                        <pic:spPr>
                          <a:xfrm>
                            <a:off x="0" y="0"/>
                            <a:ext cx="1316355" cy="840105"/>
                          </a:xfrm>
                          <a:prstGeom prst="rect">
                            <a:avLst/>
                          </a:prstGeom>
                          <a:noFill/>
                          <a:ln>
                            <a:noFill/>
                          </a:ln>
                        </pic:spPr>
                      </pic:pic>
                    </a:graphicData>
                  </a:graphic>
                </wp:inline>
              </w:drawing>
            </w:r>
            <w:r>
              <w:rPr>
                <w:rFonts w:ascii="宋体" w:hAnsi="宋体"/>
                <w:color w:val="auto"/>
                <w:sz w:val="22"/>
                <w:szCs w:val="22"/>
                <w:highlight w:val="none"/>
              </w:rPr>
              <w:drawing>
                <wp:inline distT="0" distB="0" distL="114300" distR="114300">
                  <wp:extent cx="1402080" cy="798830"/>
                  <wp:effectExtent l="0" t="0" r="7620" b="1270"/>
                  <wp:docPr id="6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4"/>
                          <pic:cNvPicPr>
                            <a:picLocks noChangeAspect="1"/>
                          </pic:cNvPicPr>
                        </pic:nvPicPr>
                        <pic:blipFill>
                          <a:blip r:embed="rId91"/>
                          <a:stretch>
                            <a:fillRect/>
                          </a:stretch>
                        </pic:blipFill>
                        <pic:spPr>
                          <a:xfrm>
                            <a:off x="0" y="0"/>
                            <a:ext cx="1402080" cy="798830"/>
                          </a:xfrm>
                          <a:prstGeom prst="rect">
                            <a:avLst/>
                          </a:prstGeom>
                          <a:noFill/>
                          <a:ln>
                            <a:noFill/>
                          </a:ln>
                        </pic:spPr>
                      </pic:pic>
                    </a:graphicData>
                  </a:graphic>
                </wp:inline>
              </w:drawing>
            </w:r>
          </w:p>
        </w:tc>
        <w:tc>
          <w:tcPr>
            <w:tcW w:w="2847" w:type="pct"/>
            <w:noWrap w:val="0"/>
            <w:vAlign w:val="center"/>
          </w:tcPr>
          <w:p>
            <w:pPr>
              <w:rPr>
                <w:rFonts w:hint="eastAsia" w:ascii="宋体" w:hAnsi="宋体"/>
                <w:color w:val="auto"/>
                <w:sz w:val="22"/>
                <w:szCs w:val="22"/>
                <w:highlight w:val="none"/>
              </w:rPr>
            </w:pPr>
            <w:r>
              <w:rPr>
                <w:rFonts w:hint="eastAsia" w:ascii="宋体" w:hAnsi="宋体"/>
                <w:color w:val="auto"/>
                <w:sz w:val="22"/>
                <w:szCs w:val="22"/>
                <w:highlight w:val="none"/>
              </w:rPr>
              <w:t>1.类型：无线电发射数字式干扰信号源；</w:t>
            </w:r>
          </w:p>
          <w:p>
            <w:pPr>
              <w:rPr>
                <w:rFonts w:hint="eastAsia" w:ascii="宋体" w:hAnsi="宋体"/>
                <w:color w:val="auto"/>
                <w:sz w:val="22"/>
                <w:szCs w:val="22"/>
                <w:highlight w:val="none"/>
              </w:rPr>
            </w:pPr>
            <w:r>
              <w:rPr>
                <w:rFonts w:hint="eastAsia" w:ascii="宋体" w:hAnsi="宋体"/>
                <w:color w:val="auto"/>
                <w:sz w:val="22"/>
                <w:szCs w:val="22"/>
                <w:highlight w:val="none"/>
              </w:rPr>
              <w:t>2.使用方式：便携手持式；</w:t>
            </w:r>
          </w:p>
          <w:p>
            <w:pPr>
              <w:rPr>
                <w:rFonts w:hint="eastAsia" w:ascii="宋体" w:hAnsi="宋体"/>
                <w:color w:val="auto"/>
                <w:sz w:val="22"/>
                <w:szCs w:val="22"/>
                <w:highlight w:val="none"/>
              </w:rPr>
            </w:pPr>
            <w:r>
              <w:rPr>
                <w:rFonts w:hint="eastAsia" w:ascii="宋体" w:hAnsi="宋体"/>
                <w:color w:val="auto"/>
                <w:sz w:val="22"/>
                <w:szCs w:val="22"/>
                <w:highlight w:val="none"/>
              </w:rPr>
              <w:t>3.供电形式：锂离子电池；</w:t>
            </w:r>
          </w:p>
          <w:p>
            <w:pPr>
              <w:rPr>
                <w:rFonts w:hint="eastAsia" w:ascii="宋体" w:hAnsi="宋体"/>
                <w:color w:val="auto"/>
                <w:sz w:val="22"/>
                <w:szCs w:val="22"/>
                <w:highlight w:val="none"/>
              </w:rPr>
            </w:pPr>
            <w:r>
              <w:rPr>
                <w:rFonts w:hint="eastAsia" w:ascii="宋体" w:hAnsi="宋体"/>
                <w:color w:val="auto"/>
                <w:sz w:val="22"/>
                <w:szCs w:val="22"/>
                <w:highlight w:val="none"/>
              </w:rPr>
              <w:t>4.干扰方式：电磁压制；</w:t>
            </w:r>
          </w:p>
          <w:p>
            <w:pPr>
              <w:rPr>
                <w:rFonts w:hint="eastAsia" w:ascii="宋体" w:hAnsi="宋体"/>
                <w:color w:val="auto"/>
                <w:sz w:val="22"/>
                <w:szCs w:val="22"/>
                <w:highlight w:val="none"/>
              </w:rPr>
            </w:pPr>
            <w:r>
              <w:rPr>
                <w:rFonts w:hint="eastAsia" w:ascii="宋体" w:hAnsi="宋体"/>
                <w:color w:val="auto"/>
                <w:sz w:val="22"/>
                <w:szCs w:val="22"/>
                <w:highlight w:val="none"/>
              </w:rPr>
              <w:t>▲5.干扰反应时间：≤1.5s；（需在检测报告中体现）</w:t>
            </w:r>
          </w:p>
          <w:p>
            <w:pPr>
              <w:rPr>
                <w:rFonts w:hint="eastAsia" w:ascii="宋体" w:hAnsi="宋体"/>
                <w:color w:val="auto"/>
                <w:sz w:val="22"/>
                <w:szCs w:val="22"/>
                <w:highlight w:val="none"/>
              </w:rPr>
            </w:pPr>
            <w:r>
              <w:rPr>
                <w:rFonts w:hint="eastAsia" w:ascii="宋体" w:hAnsi="宋体"/>
                <w:color w:val="auto"/>
                <w:sz w:val="22"/>
                <w:szCs w:val="22"/>
                <w:highlight w:val="none"/>
              </w:rPr>
              <w:t>▲6.发射频段：≥6个信道；（需在检测报告中体现）</w:t>
            </w:r>
          </w:p>
          <w:p>
            <w:pPr>
              <w:rPr>
                <w:rFonts w:hint="eastAsia" w:ascii="宋体" w:hAnsi="宋体"/>
                <w:color w:val="auto"/>
                <w:sz w:val="22"/>
                <w:szCs w:val="22"/>
                <w:highlight w:val="none"/>
              </w:rPr>
            </w:pPr>
            <w:r>
              <w:rPr>
                <w:rFonts w:hint="eastAsia" w:ascii="宋体" w:hAnsi="宋体"/>
                <w:color w:val="auto"/>
                <w:sz w:val="22"/>
                <w:szCs w:val="22"/>
                <w:highlight w:val="none"/>
              </w:rPr>
              <w:t>第1信道:793MHz~881MHz;</w:t>
            </w:r>
          </w:p>
          <w:p>
            <w:pPr>
              <w:rPr>
                <w:rFonts w:hint="eastAsia" w:ascii="宋体" w:hAnsi="宋体"/>
                <w:color w:val="auto"/>
                <w:sz w:val="22"/>
                <w:szCs w:val="22"/>
                <w:highlight w:val="none"/>
              </w:rPr>
            </w:pPr>
            <w:r>
              <w:rPr>
                <w:rFonts w:hint="eastAsia" w:ascii="宋体" w:hAnsi="宋体"/>
                <w:color w:val="auto"/>
                <w:sz w:val="22"/>
                <w:szCs w:val="22"/>
                <w:highlight w:val="none"/>
              </w:rPr>
              <w:t>第2信道:895MHz~948MHz;</w:t>
            </w:r>
          </w:p>
          <w:p>
            <w:pPr>
              <w:rPr>
                <w:rFonts w:hint="eastAsia" w:ascii="宋体" w:hAnsi="宋体"/>
                <w:color w:val="auto"/>
                <w:sz w:val="22"/>
                <w:szCs w:val="22"/>
                <w:highlight w:val="none"/>
              </w:rPr>
            </w:pPr>
            <w:r>
              <w:rPr>
                <w:rFonts w:hint="eastAsia" w:ascii="宋体" w:hAnsi="宋体"/>
                <w:color w:val="auto"/>
                <w:sz w:val="22"/>
                <w:szCs w:val="22"/>
                <w:highlight w:val="none"/>
              </w:rPr>
              <w:t>第3信道:1169MHz~1282MHz;</w:t>
            </w:r>
          </w:p>
          <w:p>
            <w:pPr>
              <w:rPr>
                <w:rFonts w:hint="eastAsia" w:ascii="宋体" w:hAnsi="宋体"/>
                <w:color w:val="auto"/>
                <w:sz w:val="22"/>
                <w:szCs w:val="22"/>
                <w:highlight w:val="none"/>
              </w:rPr>
            </w:pPr>
            <w:r>
              <w:rPr>
                <w:rFonts w:hint="eastAsia" w:ascii="宋体" w:hAnsi="宋体"/>
                <w:color w:val="auto"/>
                <w:sz w:val="22"/>
                <w:szCs w:val="22"/>
                <w:highlight w:val="none"/>
              </w:rPr>
              <w:t>第4信道:1550MHz~1639MHz;</w:t>
            </w:r>
          </w:p>
          <w:p>
            <w:pPr>
              <w:rPr>
                <w:rFonts w:hint="eastAsia" w:ascii="宋体" w:hAnsi="宋体"/>
                <w:color w:val="auto"/>
                <w:sz w:val="22"/>
                <w:szCs w:val="22"/>
                <w:highlight w:val="none"/>
              </w:rPr>
            </w:pPr>
            <w:r>
              <w:rPr>
                <w:rFonts w:hint="eastAsia" w:ascii="宋体" w:hAnsi="宋体"/>
                <w:color w:val="auto"/>
                <w:sz w:val="22"/>
                <w:szCs w:val="22"/>
                <w:highlight w:val="none"/>
              </w:rPr>
              <w:t>第5信道:2397MHz~2513MHz;</w:t>
            </w:r>
          </w:p>
          <w:p>
            <w:pPr>
              <w:rPr>
                <w:rFonts w:hint="eastAsia" w:ascii="宋体" w:hAnsi="宋体"/>
                <w:color w:val="auto"/>
                <w:sz w:val="22"/>
                <w:szCs w:val="22"/>
                <w:highlight w:val="none"/>
              </w:rPr>
            </w:pPr>
            <w:r>
              <w:rPr>
                <w:rFonts w:hint="eastAsia" w:ascii="宋体" w:hAnsi="宋体"/>
                <w:color w:val="auto"/>
                <w:sz w:val="22"/>
                <w:szCs w:val="22"/>
                <w:highlight w:val="none"/>
              </w:rPr>
              <w:t>第6信道:5708MHz ~5878MHz</w:t>
            </w:r>
          </w:p>
          <w:p>
            <w:pPr>
              <w:rPr>
                <w:rFonts w:hint="eastAsia" w:ascii="宋体" w:hAnsi="宋体"/>
                <w:color w:val="auto"/>
                <w:sz w:val="22"/>
                <w:szCs w:val="22"/>
                <w:highlight w:val="none"/>
              </w:rPr>
            </w:pPr>
            <w:r>
              <w:rPr>
                <w:rFonts w:hint="eastAsia" w:ascii="宋体" w:hAnsi="宋体"/>
                <w:color w:val="auto"/>
                <w:sz w:val="22"/>
                <w:szCs w:val="22"/>
                <w:highlight w:val="none"/>
              </w:rPr>
              <w:t>7.发射功率：（793MHz~881MHz;）±5Hz，发射功率40±1dBm；</w:t>
            </w:r>
          </w:p>
          <w:p>
            <w:pPr>
              <w:rPr>
                <w:rFonts w:hint="eastAsia" w:ascii="宋体" w:hAnsi="宋体"/>
                <w:color w:val="auto"/>
                <w:sz w:val="22"/>
                <w:szCs w:val="22"/>
                <w:highlight w:val="none"/>
              </w:rPr>
            </w:pPr>
            <w:r>
              <w:rPr>
                <w:rFonts w:hint="eastAsia" w:ascii="宋体" w:hAnsi="宋体"/>
                <w:color w:val="auto"/>
                <w:sz w:val="22"/>
                <w:szCs w:val="22"/>
                <w:highlight w:val="none"/>
              </w:rPr>
              <w:t>（895MHz~948MHz）±5Hz，发射功率40±1dBm ；</w:t>
            </w:r>
          </w:p>
          <w:p>
            <w:pPr>
              <w:rPr>
                <w:rFonts w:hint="eastAsia" w:ascii="宋体" w:hAnsi="宋体"/>
                <w:color w:val="auto"/>
                <w:sz w:val="22"/>
                <w:szCs w:val="22"/>
                <w:highlight w:val="none"/>
              </w:rPr>
            </w:pPr>
            <w:r>
              <w:rPr>
                <w:rFonts w:hint="eastAsia" w:ascii="宋体" w:hAnsi="宋体"/>
                <w:color w:val="auto"/>
                <w:sz w:val="22"/>
                <w:szCs w:val="22"/>
                <w:highlight w:val="none"/>
              </w:rPr>
              <w:t>（1169MHz~1282MHz;）±5Hz，发射功率40±1dBm ；</w:t>
            </w:r>
          </w:p>
          <w:p>
            <w:pPr>
              <w:rPr>
                <w:rFonts w:hint="eastAsia" w:ascii="宋体" w:hAnsi="宋体"/>
                <w:color w:val="auto"/>
                <w:sz w:val="22"/>
                <w:szCs w:val="22"/>
                <w:highlight w:val="none"/>
              </w:rPr>
            </w:pPr>
            <w:r>
              <w:rPr>
                <w:rFonts w:hint="eastAsia" w:ascii="宋体" w:hAnsi="宋体"/>
                <w:color w:val="auto"/>
                <w:sz w:val="22"/>
                <w:szCs w:val="22"/>
                <w:highlight w:val="none"/>
              </w:rPr>
              <w:t>（1550MHz~1639MHz;）±5Hz，发射功率40±1dBm ；</w:t>
            </w:r>
          </w:p>
          <w:p>
            <w:pPr>
              <w:rPr>
                <w:rFonts w:hint="eastAsia" w:ascii="宋体" w:hAnsi="宋体"/>
                <w:color w:val="auto"/>
                <w:sz w:val="22"/>
                <w:szCs w:val="22"/>
                <w:highlight w:val="none"/>
              </w:rPr>
            </w:pPr>
            <w:r>
              <w:rPr>
                <w:rFonts w:hint="eastAsia" w:ascii="宋体" w:hAnsi="宋体"/>
                <w:color w:val="auto"/>
                <w:sz w:val="22"/>
                <w:szCs w:val="22"/>
                <w:highlight w:val="none"/>
              </w:rPr>
              <w:t>（2397MHz~2513MHz;）±5Hz，发射功率40±1dBm；</w:t>
            </w:r>
          </w:p>
          <w:p>
            <w:pPr>
              <w:rPr>
                <w:rFonts w:hint="eastAsia" w:ascii="宋体" w:hAnsi="宋体"/>
                <w:color w:val="auto"/>
                <w:sz w:val="22"/>
                <w:szCs w:val="22"/>
                <w:highlight w:val="none"/>
              </w:rPr>
            </w:pPr>
            <w:r>
              <w:rPr>
                <w:rFonts w:hint="eastAsia" w:ascii="宋体" w:hAnsi="宋体"/>
                <w:color w:val="auto"/>
                <w:sz w:val="22"/>
                <w:szCs w:val="22"/>
                <w:highlight w:val="none"/>
              </w:rPr>
              <w:t>（5708MHz ~5878MHz）±5Hz ，发射功率41±1dBm ；</w:t>
            </w:r>
          </w:p>
          <w:p>
            <w:pPr>
              <w:rPr>
                <w:rFonts w:hint="eastAsia" w:ascii="宋体" w:hAnsi="宋体"/>
                <w:color w:val="auto"/>
                <w:sz w:val="22"/>
                <w:szCs w:val="22"/>
                <w:highlight w:val="none"/>
              </w:rPr>
            </w:pPr>
            <w:r>
              <w:rPr>
                <w:rFonts w:hint="eastAsia" w:ascii="宋体" w:hAnsi="宋体"/>
                <w:color w:val="auto"/>
                <w:sz w:val="22"/>
                <w:szCs w:val="22"/>
                <w:highlight w:val="none"/>
              </w:rPr>
              <w:t>▲8.干扰距离：≥2000；（需在检测报告中体现）</w:t>
            </w:r>
          </w:p>
          <w:p>
            <w:pPr>
              <w:rPr>
                <w:rFonts w:hint="eastAsia" w:ascii="宋体" w:hAnsi="宋体"/>
                <w:color w:val="auto"/>
                <w:sz w:val="22"/>
                <w:szCs w:val="22"/>
                <w:highlight w:val="none"/>
              </w:rPr>
            </w:pPr>
            <w:r>
              <w:rPr>
                <w:rFonts w:hint="eastAsia" w:ascii="宋体" w:hAnsi="宋体"/>
                <w:color w:val="auto"/>
                <w:sz w:val="22"/>
                <w:szCs w:val="22"/>
                <w:highlight w:val="none"/>
              </w:rPr>
              <w:t>▲9.干扰模式：具有模式手动切换功能，迫降、返航（需在检测报告中体现）</w:t>
            </w:r>
          </w:p>
          <w:p>
            <w:pPr>
              <w:rPr>
                <w:rFonts w:hint="eastAsia" w:ascii="宋体" w:hAnsi="宋体"/>
                <w:color w:val="auto"/>
                <w:sz w:val="22"/>
                <w:szCs w:val="22"/>
                <w:highlight w:val="none"/>
              </w:rPr>
            </w:pPr>
            <w:r>
              <w:rPr>
                <w:rFonts w:hint="eastAsia" w:ascii="宋体" w:hAnsi="宋体"/>
                <w:color w:val="auto"/>
                <w:sz w:val="22"/>
                <w:szCs w:val="22"/>
                <w:highlight w:val="none"/>
              </w:rPr>
              <w:t>▲10.待机时间应≥30h（需在检测报告中体现）</w:t>
            </w:r>
          </w:p>
          <w:p>
            <w:pPr>
              <w:rPr>
                <w:rFonts w:hint="eastAsia" w:ascii="宋体" w:hAnsi="宋体"/>
                <w:color w:val="auto"/>
                <w:sz w:val="22"/>
                <w:szCs w:val="22"/>
                <w:highlight w:val="none"/>
              </w:rPr>
            </w:pPr>
            <w:r>
              <w:rPr>
                <w:rFonts w:hint="eastAsia" w:ascii="宋体" w:hAnsi="宋体"/>
                <w:color w:val="auto"/>
                <w:sz w:val="22"/>
                <w:szCs w:val="22"/>
                <w:highlight w:val="none"/>
              </w:rPr>
              <w:t>▲11.连续工作时间应1.5h（需在检测报告中体现）</w:t>
            </w:r>
          </w:p>
          <w:p>
            <w:pPr>
              <w:rPr>
                <w:rFonts w:hint="eastAsia" w:ascii="宋体" w:hAnsi="宋体"/>
                <w:color w:val="auto"/>
                <w:sz w:val="22"/>
                <w:szCs w:val="22"/>
                <w:highlight w:val="none"/>
              </w:rPr>
            </w:pPr>
            <w:r>
              <w:rPr>
                <w:rFonts w:hint="eastAsia" w:ascii="宋体" w:hAnsi="宋体"/>
                <w:color w:val="auto"/>
                <w:sz w:val="22"/>
                <w:szCs w:val="22"/>
                <w:highlight w:val="none"/>
              </w:rPr>
              <w:t>▲12.作用角度</w:t>
            </w:r>
            <w:r>
              <w:rPr>
                <w:rFonts w:hint="eastAsia" w:ascii="宋体" w:hAnsi="宋体"/>
                <w:color w:val="auto"/>
                <w:sz w:val="22"/>
                <w:szCs w:val="22"/>
                <w:highlight w:val="none"/>
              </w:rPr>
              <w:tab/>
            </w:r>
            <w:r>
              <w:rPr>
                <w:rFonts w:hint="eastAsia" w:ascii="宋体" w:hAnsi="宋体"/>
                <w:color w:val="auto"/>
                <w:sz w:val="22"/>
                <w:szCs w:val="22"/>
                <w:highlight w:val="none"/>
              </w:rPr>
              <w:t>水平±35°垂直±35°（需在检测报告中体现）（需在检测报告中体现）</w:t>
            </w:r>
          </w:p>
          <w:p>
            <w:pPr>
              <w:rPr>
                <w:rFonts w:hint="eastAsia" w:ascii="宋体" w:hAnsi="宋体"/>
                <w:color w:val="auto"/>
                <w:sz w:val="22"/>
                <w:szCs w:val="22"/>
                <w:highlight w:val="none"/>
              </w:rPr>
            </w:pPr>
            <w:r>
              <w:rPr>
                <w:rFonts w:hint="eastAsia" w:ascii="宋体" w:hAnsi="宋体"/>
                <w:color w:val="auto"/>
                <w:sz w:val="22"/>
                <w:szCs w:val="22"/>
                <w:highlight w:val="none"/>
              </w:rPr>
              <w:t>▲13.压制距离比：16.8比1（需在检测报告中体现）</w:t>
            </w:r>
          </w:p>
          <w:p>
            <w:pPr>
              <w:rPr>
                <w:rFonts w:hint="eastAsia" w:ascii="宋体" w:hAnsi="宋体"/>
                <w:color w:val="auto"/>
                <w:sz w:val="22"/>
                <w:szCs w:val="22"/>
                <w:highlight w:val="none"/>
              </w:rPr>
            </w:pPr>
            <w:r>
              <w:rPr>
                <w:rFonts w:hint="eastAsia" w:ascii="宋体" w:hAnsi="宋体"/>
                <w:color w:val="auto"/>
                <w:sz w:val="22"/>
                <w:szCs w:val="22"/>
                <w:highlight w:val="none"/>
              </w:rPr>
              <w:t>14. 剩余电量显示：采用液晶屏显示。</w:t>
            </w:r>
          </w:p>
          <w:p>
            <w:pPr>
              <w:rPr>
                <w:rFonts w:hint="eastAsia" w:ascii="宋体" w:hAnsi="宋体"/>
                <w:color w:val="auto"/>
                <w:sz w:val="22"/>
                <w:szCs w:val="22"/>
                <w:highlight w:val="none"/>
              </w:rPr>
            </w:pPr>
            <w:r>
              <w:rPr>
                <w:rFonts w:hint="eastAsia" w:ascii="宋体" w:hAnsi="宋体"/>
                <w:color w:val="auto"/>
                <w:sz w:val="22"/>
                <w:szCs w:val="22"/>
                <w:highlight w:val="none"/>
              </w:rPr>
              <w:t>▲15工作状态指示：具有工作状态指示灯与蜂鸣提示音功能（需在检测报告中体现）</w:t>
            </w:r>
          </w:p>
          <w:p>
            <w:pPr>
              <w:rPr>
                <w:rFonts w:hint="eastAsia" w:ascii="宋体" w:hAnsi="宋体"/>
                <w:color w:val="auto"/>
                <w:sz w:val="22"/>
                <w:szCs w:val="22"/>
                <w:highlight w:val="none"/>
              </w:rPr>
            </w:pPr>
            <w:r>
              <w:rPr>
                <w:rFonts w:hint="eastAsia" w:ascii="宋体" w:hAnsi="宋体"/>
                <w:color w:val="auto"/>
                <w:sz w:val="22"/>
                <w:szCs w:val="22"/>
                <w:highlight w:val="none"/>
              </w:rPr>
              <w:t>16.观察辅助设备：配置望远镜12倍，与照明、红外灯等设备的导轨；</w:t>
            </w:r>
          </w:p>
          <w:p>
            <w:pPr>
              <w:rPr>
                <w:rFonts w:hint="eastAsia" w:ascii="宋体" w:hAnsi="宋体"/>
                <w:color w:val="auto"/>
                <w:sz w:val="22"/>
                <w:szCs w:val="22"/>
                <w:highlight w:val="none"/>
              </w:rPr>
            </w:pPr>
            <w:r>
              <w:rPr>
                <w:rFonts w:hint="eastAsia" w:ascii="宋体" w:hAnsi="宋体"/>
                <w:color w:val="auto"/>
                <w:sz w:val="22"/>
                <w:szCs w:val="22"/>
                <w:highlight w:val="none"/>
              </w:rPr>
              <w:t>17.干扰适应性：除GPS频段外，可干扰北斗、GLONASS卫星定位信号</w:t>
            </w:r>
          </w:p>
          <w:p>
            <w:pPr>
              <w:rPr>
                <w:rFonts w:hint="eastAsia" w:ascii="宋体" w:hAnsi="宋体"/>
                <w:color w:val="auto"/>
                <w:sz w:val="22"/>
                <w:szCs w:val="22"/>
                <w:highlight w:val="none"/>
              </w:rPr>
            </w:pPr>
            <w:r>
              <w:rPr>
                <w:rFonts w:hint="eastAsia" w:ascii="宋体" w:hAnsi="宋体"/>
                <w:color w:val="auto"/>
                <w:sz w:val="22"/>
                <w:szCs w:val="22"/>
                <w:highlight w:val="none"/>
              </w:rPr>
              <w:t>▲18.辐射安全性：距离设备轴向正后方300mm处对操作者的辐射应符合GB8702-2014标准（需在检测报告中体现）</w:t>
            </w:r>
          </w:p>
          <w:p>
            <w:pPr>
              <w:rPr>
                <w:rFonts w:hint="eastAsia" w:ascii="宋体" w:hAnsi="宋体"/>
                <w:color w:val="auto"/>
                <w:sz w:val="22"/>
                <w:szCs w:val="22"/>
                <w:highlight w:val="none"/>
              </w:rPr>
            </w:pPr>
            <w:r>
              <w:rPr>
                <w:rFonts w:hint="eastAsia" w:ascii="宋体" w:hAnsi="宋体"/>
                <w:color w:val="auto"/>
                <w:sz w:val="22"/>
                <w:szCs w:val="22"/>
                <w:highlight w:val="none"/>
              </w:rPr>
              <w:t>19.智能信息采集：支持设备组网，可以使用的4G/3G/2G标准，上传向管理平台发送反制装备位置信息，优先使用北斗或北斗和GPS双星，能够采集设备电量信息，能够采集设备状态数据（关机或待机状态、发射时间、发射持续时间），能够采集图像（反制目标）和现场声音状态等信息，同时可以接收管理平台发送的相关信息。</w:t>
            </w:r>
          </w:p>
          <w:p>
            <w:pPr>
              <w:rPr>
                <w:rFonts w:hint="eastAsia" w:ascii="宋体" w:hAnsi="宋体"/>
                <w:color w:val="auto"/>
                <w:sz w:val="22"/>
                <w:szCs w:val="22"/>
                <w:highlight w:val="none"/>
              </w:rPr>
            </w:pPr>
            <w:r>
              <w:rPr>
                <w:rFonts w:hint="eastAsia" w:ascii="宋体" w:hAnsi="宋体"/>
                <w:color w:val="auto"/>
                <w:sz w:val="22"/>
                <w:szCs w:val="22"/>
                <w:highlight w:val="none"/>
              </w:rPr>
              <w:t>20.静电放电抗扰度：按GB/T17626.2中严酷等级3级的静电放电要求进行:抗扰度性空气放电:±8kV;能接触放电:±6kV。</w:t>
            </w:r>
          </w:p>
          <w:p>
            <w:pPr>
              <w:rPr>
                <w:rFonts w:hint="eastAsia" w:ascii="宋体" w:hAnsi="宋体"/>
                <w:color w:val="auto"/>
                <w:sz w:val="22"/>
                <w:szCs w:val="22"/>
                <w:highlight w:val="none"/>
              </w:rPr>
            </w:pPr>
            <w:r>
              <w:rPr>
                <w:rFonts w:hint="eastAsia" w:ascii="宋体" w:hAnsi="宋体"/>
                <w:color w:val="auto"/>
                <w:sz w:val="22"/>
                <w:szCs w:val="22"/>
                <w:highlight w:val="none"/>
              </w:rPr>
              <w:t>21. 携带方式：手持、提供背带，可斜挎背负</w:t>
            </w:r>
          </w:p>
          <w:p>
            <w:pPr>
              <w:rPr>
                <w:rFonts w:hint="eastAsia" w:ascii="宋体" w:hAnsi="宋体"/>
                <w:color w:val="auto"/>
                <w:sz w:val="22"/>
                <w:szCs w:val="22"/>
                <w:highlight w:val="none"/>
              </w:rPr>
            </w:pPr>
            <w:r>
              <w:rPr>
                <w:rFonts w:hint="eastAsia" w:ascii="宋体" w:hAnsi="宋体"/>
                <w:color w:val="auto"/>
                <w:sz w:val="22"/>
                <w:szCs w:val="22"/>
                <w:highlight w:val="none"/>
              </w:rPr>
              <w:t>22.振动要求：频率: (10~ 100)Hz，加速度23.6m/s',X.Y、Z三个轴向，每个轴向各30min,试验后功能正常。</w:t>
            </w:r>
          </w:p>
          <w:p>
            <w:pPr>
              <w:rPr>
                <w:rFonts w:hint="eastAsia" w:ascii="宋体" w:hAnsi="宋体"/>
                <w:color w:val="auto"/>
                <w:sz w:val="22"/>
                <w:szCs w:val="22"/>
                <w:highlight w:val="none"/>
              </w:rPr>
            </w:pPr>
            <w:r>
              <w:rPr>
                <w:rFonts w:hint="eastAsia" w:ascii="宋体" w:hAnsi="宋体"/>
                <w:color w:val="auto"/>
                <w:sz w:val="22"/>
                <w:szCs w:val="22"/>
                <w:highlight w:val="none"/>
              </w:rPr>
              <w:t>▲23.防护等级：IP55（需在检测报告中体现）</w:t>
            </w:r>
          </w:p>
          <w:p>
            <w:pPr>
              <w:rPr>
                <w:rFonts w:hint="eastAsia" w:ascii="宋体" w:hAnsi="宋体"/>
                <w:color w:val="auto"/>
                <w:sz w:val="22"/>
                <w:szCs w:val="22"/>
                <w:highlight w:val="none"/>
              </w:rPr>
            </w:pPr>
            <w:r>
              <w:rPr>
                <w:rFonts w:hint="eastAsia" w:ascii="宋体" w:hAnsi="宋体"/>
                <w:color w:val="auto"/>
                <w:sz w:val="22"/>
                <w:szCs w:val="22"/>
                <w:highlight w:val="none"/>
              </w:rPr>
              <w:t>24.工作温度：-20°C-55°C</w:t>
            </w:r>
          </w:p>
          <w:p>
            <w:pPr>
              <w:rPr>
                <w:rFonts w:hint="eastAsia" w:ascii="宋体" w:hAnsi="宋体"/>
                <w:color w:val="auto"/>
                <w:sz w:val="22"/>
                <w:szCs w:val="22"/>
                <w:highlight w:val="none"/>
              </w:rPr>
            </w:pPr>
            <w:r>
              <w:rPr>
                <w:rFonts w:hint="eastAsia" w:ascii="宋体" w:hAnsi="宋体"/>
                <w:color w:val="auto"/>
                <w:sz w:val="22"/>
                <w:szCs w:val="22"/>
                <w:highlight w:val="none"/>
              </w:rPr>
              <w:t>25.设备尺寸：≥665×265×65</w:t>
            </w:r>
          </w:p>
          <w:p>
            <w:pPr>
              <w:rPr>
                <w:rFonts w:hint="eastAsia" w:ascii="宋体" w:hAnsi="宋体"/>
                <w:color w:val="auto"/>
                <w:sz w:val="22"/>
                <w:szCs w:val="22"/>
                <w:highlight w:val="none"/>
              </w:rPr>
            </w:pPr>
            <w:r>
              <w:rPr>
                <w:rFonts w:hint="eastAsia" w:ascii="宋体" w:hAnsi="宋体"/>
                <w:color w:val="auto"/>
                <w:sz w:val="22"/>
                <w:szCs w:val="22"/>
                <w:highlight w:val="none"/>
              </w:rPr>
              <w:t>26.主机重量4730g</w:t>
            </w:r>
          </w:p>
          <w:p>
            <w:pPr>
              <w:rPr>
                <w:rFonts w:hint="eastAsia" w:ascii="宋体" w:hAnsi="宋体"/>
                <w:color w:val="auto"/>
                <w:sz w:val="22"/>
                <w:szCs w:val="22"/>
                <w:highlight w:val="none"/>
              </w:rPr>
            </w:pPr>
            <w:r>
              <w:rPr>
                <w:rFonts w:hint="eastAsia" w:ascii="宋体" w:hAnsi="宋体"/>
                <w:color w:val="auto"/>
                <w:sz w:val="22"/>
                <w:szCs w:val="22"/>
                <w:highlight w:val="none"/>
              </w:rPr>
              <w:t>27. 携行包装：采用ABS全塑包装箱，整机设备及配件（主机、电池、充电器、专用工具等，可不含望远镜）可装在一个箱子里整体携行。</w:t>
            </w:r>
          </w:p>
          <w:p>
            <w:pPr>
              <w:rPr>
                <w:rFonts w:hint="eastAsia" w:ascii="宋体" w:hAnsi="宋体" w:cs="宋体"/>
                <w:b/>
                <w:color w:val="auto"/>
                <w:sz w:val="22"/>
                <w:szCs w:val="22"/>
                <w:highlight w:val="none"/>
              </w:rPr>
            </w:pPr>
            <w:r>
              <w:rPr>
                <w:rFonts w:hint="eastAsia" w:ascii="宋体" w:hAnsi="宋体"/>
                <w:color w:val="auto"/>
                <w:sz w:val="22"/>
                <w:szCs w:val="22"/>
                <w:highlight w:val="none"/>
              </w:rPr>
              <w:t>▲30.需提供产品公安部的检测报告。</w:t>
            </w:r>
          </w:p>
          <w:p>
            <w:pPr>
              <w:rPr>
                <w:rFonts w:hint="eastAsia" w:ascii="宋体" w:hAnsi="宋体"/>
                <w:color w:val="auto"/>
                <w:sz w:val="22"/>
                <w:szCs w:val="22"/>
                <w:highlight w:val="none"/>
              </w:rPr>
            </w:pPr>
            <w:r>
              <w:rPr>
                <w:rFonts w:hint="eastAsia" w:ascii="宋体" w:hAnsi="宋体" w:cs="宋体"/>
                <w:b/>
                <w:color w:val="auto"/>
                <w:sz w:val="22"/>
                <w:szCs w:val="22"/>
                <w:highlight w:val="none"/>
              </w:rPr>
              <w:t>▲31.投标</w:t>
            </w:r>
            <w:r>
              <w:rPr>
                <w:rFonts w:ascii="宋体" w:hAnsi="宋体" w:cs="宋体"/>
                <w:b/>
                <w:color w:val="auto"/>
                <w:sz w:val="22"/>
                <w:szCs w:val="22"/>
                <w:highlight w:val="none"/>
              </w:rPr>
              <w:t>现场</w:t>
            </w:r>
            <w:r>
              <w:rPr>
                <w:rFonts w:hint="eastAsia" w:ascii="宋体" w:hAnsi="宋体" w:cs="宋体"/>
                <w:b/>
                <w:color w:val="auto"/>
                <w:sz w:val="22"/>
                <w:szCs w:val="22"/>
                <w:highlight w:val="none"/>
              </w:rPr>
              <w:t>提供</w:t>
            </w:r>
            <w:r>
              <w:rPr>
                <w:rFonts w:ascii="宋体" w:hAnsi="宋体" w:cs="宋体"/>
                <w:b/>
                <w:color w:val="auto"/>
                <w:sz w:val="22"/>
                <w:szCs w:val="22"/>
                <w:highlight w:val="none"/>
              </w:rPr>
              <w:t>样品</w:t>
            </w:r>
          </w:p>
        </w:tc>
      </w:tr>
    </w:tbl>
    <w:p>
      <w:pPr>
        <w:autoSpaceDE w:val="0"/>
        <w:autoSpaceDN w:val="0"/>
        <w:adjustRightInd w:val="0"/>
        <w:snapToGrid w:val="0"/>
        <w:spacing w:line="460" w:lineRule="exact"/>
        <w:textAlignment w:val="bottom"/>
        <w:rPr>
          <w:rStyle w:val="817"/>
          <w:b/>
          <w:bCs/>
          <w:color w:val="auto"/>
          <w:sz w:val="22"/>
          <w:highlight w:val="none"/>
        </w:rPr>
      </w:pPr>
      <w:r>
        <w:rPr>
          <w:rStyle w:val="817"/>
          <w:rFonts w:hint="eastAsia"/>
          <w:b/>
          <w:bCs/>
          <w:color w:val="auto"/>
          <w:sz w:val="22"/>
          <w:szCs w:val="22"/>
          <w:highlight w:val="none"/>
        </w:rPr>
        <w:t>四、</w:t>
      </w:r>
      <w:r>
        <w:rPr>
          <w:rStyle w:val="817"/>
          <w:rFonts w:hint="eastAsia"/>
          <w:b/>
          <w:bCs/>
          <w:color w:val="auto"/>
          <w:sz w:val="22"/>
          <w:highlight w:val="none"/>
        </w:rPr>
        <w:t>投标样品</w:t>
      </w:r>
    </w:p>
    <w:p>
      <w:pPr>
        <w:tabs>
          <w:tab w:val="left" w:pos="900"/>
        </w:tabs>
        <w:autoSpaceDE w:val="0"/>
        <w:autoSpaceDN w:val="0"/>
        <w:adjustRightInd w:val="0"/>
        <w:snapToGrid w:val="0"/>
        <w:spacing w:line="460" w:lineRule="exact"/>
        <w:ind w:left="900"/>
        <w:textAlignment w:val="bottom"/>
        <w:rPr>
          <w:rFonts w:ascii="宋体" w:hAnsi="宋体"/>
          <w:color w:val="auto"/>
          <w:sz w:val="22"/>
          <w:szCs w:val="22"/>
          <w:highlight w:val="none"/>
        </w:rPr>
      </w:pPr>
      <w:r>
        <w:rPr>
          <w:rFonts w:hint="eastAsia" w:ascii="宋体" w:hAnsi="宋体"/>
          <w:color w:val="auto"/>
          <w:sz w:val="22"/>
          <w:szCs w:val="22"/>
          <w:highlight w:val="none"/>
        </w:rPr>
        <w:t>投标人须按需求规格提供以下清单一套样品：</w:t>
      </w:r>
    </w:p>
    <w:tbl>
      <w:tblPr>
        <w:tblStyle w:val="67"/>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6070"/>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96" w:type="pct"/>
          </w:tcPr>
          <w:p>
            <w:pPr>
              <w:tabs>
                <w:tab w:val="left" w:pos="900"/>
              </w:tabs>
              <w:autoSpaceDE w:val="0"/>
              <w:autoSpaceDN w:val="0"/>
              <w:adjustRightInd w:val="0"/>
              <w:snapToGrid w:val="0"/>
              <w:spacing w:line="460" w:lineRule="exact"/>
              <w:jc w:val="center"/>
              <w:textAlignment w:val="bottom"/>
              <w:rPr>
                <w:rFonts w:ascii="宋体" w:hAnsi="宋体"/>
                <w:b/>
                <w:color w:val="auto"/>
                <w:sz w:val="22"/>
                <w:szCs w:val="22"/>
                <w:highlight w:val="none"/>
              </w:rPr>
            </w:pPr>
            <w:r>
              <w:rPr>
                <w:rFonts w:hint="eastAsia" w:ascii="宋体" w:hAnsi="宋体"/>
                <w:b/>
                <w:color w:val="auto"/>
                <w:sz w:val="22"/>
                <w:szCs w:val="22"/>
                <w:highlight w:val="none"/>
              </w:rPr>
              <w:t>序号</w:t>
            </w:r>
          </w:p>
        </w:tc>
        <w:tc>
          <w:tcPr>
            <w:tcW w:w="3078" w:type="pct"/>
            <w:vAlign w:val="center"/>
          </w:tcPr>
          <w:p>
            <w:pPr>
              <w:tabs>
                <w:tab w:val="left" w:pos="900"/>
              </w:tabs>
              <w:autoSpaceDE w:val="0"/>
              <w:autoSpaceDN w:val="0"/>
              <w:adjustRightInd w:val="0"/>
              <w:snapToGrid w:val="0"/>
              <w:spacing w:line="460" w:lineRule="exact"/>
              <w:jc w:val="center"/>
              <w:textAlignment w:val="bottom"/>
              <w:rPr>
                <w:rFonts w:ascii="宋体" w:hAnsi="宋体"/>
                <w:b/>
                <w:color w:val="auto"/>
                <w:sz w:val="22"/>
                <w:szCs w:val="22"/>
                <w:highlight w:val="none"/>
              </w:rPr>
            </w:pPr>
            <w:r>
              <w:rPr>
                <w:rFonts w:hint="eastAsia" w:ascii="宋体" w:hAnsi="宋体"/>
                <w:b/>
                <w:color w:val="auto"/>
                <w:sz w:val="22"/>
                <w:szCs w:val="22"/>
                <w:highlight w:val="none"/>
              </w:rPr>
              <w:t>名称</w:t>
            </w:r>
          </w:p>
        </w:tc>
        <w:tc>
          <w:tcPr>
            <w:tcW w:w="1025" w:type="pct"/>
            <w:vAlign w:val="center"/>
          </w:tcPr>
          <w:p>
            <w:pPr>
              <w:tabs>
                <w:tab w:val="left" w:pos="900"/>
              </w:tabs>
              <w:autoSpaceDE w:val="0"/>
              <w:autoSpaceDN w:val="0"/>
              <w:adjustRightInd w:val="0"/>
              <w:snapToGrid w:val="0"/>
              <w:spacing w:line="460" w:lineRule="exact"/>
              <w:jc w:val="center"/>
              <w:textAlignment w:val="bottom"/>
              <w:rPr>
                <w:rFonts w:ascii="宋体" w:hAnsi="宋体"/>
                <w:b/>
                <w:color w:val="auto"/>
                <w:sz w:val="22"/>
                <w:szCs w:val="22"/>
                <w:highlight w:val="none"/>
              </w:rPr>
            </w:pPr>
            <w:r>
              <w:rPr>
                <w:rFonts w:hint="eastAsia" w:ascii="宋体" w:hAnsi="宋体"/>
                <w:b/>
                <w:color w:val="auto"/>
                <w:sz w:val="22"/>
                <w:szCs w:val="22"/>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96" w:type="pct"/>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1</w:t>
            </w:r>
          </w:p>
        </w:tc>
        <w:tc>
          <w:tcPr>
            <w:tcW w:w="3078" w:type="pct"/>
            <w:vAlign w:val="center"/>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伸缩警棍（基础型）</w:t>
            </w:r>
          </w:p>
        </w:tc>
        <w:tc>
          <w:tcPr>
            <w:tcW w:w="1025" w:type="pct"/>
            <w:vAlign w:val="center"/>
          </w:tcPr>
          <w:p>
            <w:pPr>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96" w:type="pct"/>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2</w:t>
            </w:r>
          </w:p>
        </w:tc>
        <w:tc>
          <w:tcPr>
            <w:tcW w:w="3078" w:type="pct"/>
            <w:vAlign w:val="center"/>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新型手铐</w:t>
            </w:r>
          </w:p>
        </w:tc>
        <w:tc>
          <w:tcPr>
            <w:tcW w:w="1025" w:type="pct"/>
            <w:vAlign w:val="center"/>
          </w:tcPr>
          <w:p>
            <w:pPr>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96" w:type="pct"/>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3</w:t>
            </w:r>
          </w:p>
        </w:tc>
        <w:tc>
          <w:tcPr>
            <w:tcW w:w="3078" w:type="pct"/>
            <w:vAlign w:val="center"/>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新型多功能腰带（六</w:t>
            </w:r>
            <w:r>
              <w:rPr>
                <w:rFonts w:ascii="宋体" w:hAnsi="宋体"/>
                <w:color w:val="auto"/>
                <w:sz w:val="22"/>
                <w:szCs w:val="22"/>
                <w:highlight w:val="none"/>
              </w:rPr>
              <w:t>件套</w:t>
            </w:r>
            <w:r>
              <w:rPr>
                <w:rFonts w:hint="eastAsia" w:ascii="宋体" w:hAnsi="宋体"/>
                <w:color w:val="auto"/>
                <w:sz w:val="22"/>
                <w:szCs w:val="22"/>
                <w:highlight w:val="none"/>
              </w:rPr>
              <w:t>）</w:t>
            </w:r>
          </w:p>
        </w:tc>
        <w:tc>
          <w:tcPr>
            <w:tcW w:w="1025" w:type="pct"/>
            <w:vAlign w:val="center"/>
          </w:tcPr>
          <w:p>
            <w:pPr>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96" w:type="pct"/>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4</w:t>
            </w:r>
          </w:p>
        </w:tc>
        <w:tc>
          <w:tcPr>
            <w:tcW w:w="3078" w:type="pct"/>
            <w:vAlign w:val="center"/>
          </w:tcPr>
          <w:p>
            <w:pPr>
              <w:tabs>
                <w:tab w:val="left" w:pos="900"/>
              </w:tabs>
              <w:autoSpaceDE w:val="0"/>
              <w:autoSpaceDN w:val="0"/>
              <w:adjustRightInd w:val="0"/>
              <w:snapToGrid w:val="0"/>
              <w:spacing w:line="460" w:lineRule="exact"/>
              <w:jc w:val="center"/>
              <w:textAlignment w:val="bottom"/>
              <w:rPr>
                <w:rFonts w:hint="eastAsia" w:ascii="宋体" w:hAnsi="宋体" w:eastAsia="宋体"/>
                <w:color w:val="auto"/>
                <w:sz w:val="22"/>
                <w:szCs w:val="22"/>
                <w:highlight w:val="none"/>
                <w:lang w:eastAsia="zh-CN"/>
              </w:rPr>
            </w:pPr>
            <w:r>
              <w:rPr>
                <w:rFonts w:hint="eastAsia" w:ascii="宋体" w:hAnsi="宋体"/>
                <w:color w:val="auto"/>
                <w:sz w:val="22"/>
                <w:szCs w:val="22"/>
                <w:highlight w:val="none"/>
              </w:rPr>
              <w:t>新款</w:t>
            </w:r>
            <w:r>
              <w:rPr>
                <w:rFonts w:ascii="宋体" w:hAnsi="宋体"/>
                <w:color w:val="auto"/>
                <w:sz w:val="22"/>
                <w:szCs w:val="22"/>
                <w:highlight w:val="none"/>
              </w:rPr>
              <w:t>强光手电</w:t>
            </w:r>
            <w:r>
              <w:rPr>
                <w:rFonts w:hint="eastAsia" w:ascii="宋体" w:hAnsi="宋体"/>
                <w:color w:val="auto"/>
                <w:sz w:val="22"/>
                <w:szCs w:val="22"/>
                <w:highlight w:val="none"/>
              </w:rPr>
              <w:t>（基础型</w:t>
            </w:r>
            <w:r>
              <w:rPr>
                <w:rFonts w:hint="eastAsia" w:ascii="宋体" w:hAnsi="宋体"/>
                <w:color w:val="auto"/>
                <w:sz w:val="22"/>
                <w:szCs w:val="22"/>
                <w:highlight w:val="none"/>
                <w:lang w:eastAsia="zh-CN"/>
              </w:rPr>
              <w:t>）</w:t>
            </w:r>
          </w:p>
        </w:tc>
        <w:tc>
          <w:tcPr>
            <w:tcW w:w="1025" w:type="pct"/>
            <w:vAlign w:val="center"/>
          </w:tcPr>
          <w:p>
            <w:pPr>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96" w:type="pct"/>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5</w:t>
            </w:r>
          </w:p>
        </w:tc>
        <w:tc>
          <w:tcPr>
            <w:tcW w:w="3078" w:type="pct"/>
            <w:vAlign w:val="center"/>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挂肩警示灯</w:t>
            </w:r>
          </w:p>
        </w:tc>
        <w:tc>
          <w:tcPr>
            <w:tcW w:w="1025" w:type="pct"/>
            <w:vAlign w:val="center"/>
          </w:tcPr>
          <w:p>
            <w:pPr>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96" w:type="pct"/>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6</w:t>
            </w:r>
          </w:p>
        </w:tc>
        <w:tc>
          <w:tcPr>
            <w:tcW w:w="3078" w:type="pct"/>
            <w:vAlign w:val="center"/>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新型停车示意牌</w:t>
            </w:r>
          </w:p>
        </w:tc>
        <w:tc>
          <w:tcPr>
            <w:tcW w:w="1025" w:type="pct"/>
            <w:vAlign w:val="center"/>
          </w:tcPr>
          <w:p>
            <w:pPr>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96" w:type="pct"/>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7</w:t>
            </w:r>
          </w:p>
        </w:tc>
        <w:tc>
          <w:tcPr>
            <w:tcW w:w="3078" w:type="pct"/>
            <w:vAlign w:val="center"/>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新型指挥棒</w:t>
            </w:r>
          </w:p>
        </w:tc>
        <w:tc>
          <w:tcPr>
            <w:tcW w:w="1025" w:type="pct"/>
            <w:vAlign w:val="center"/>
          </w:tcPr>
          <w:p>
            <w:pPr>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6" w:type="pct"/>
          </w:tcPr>
          <w:p>
            <w:pPr>
              <w:tabs>
                <w:tab w:val="left" w:pos="900"/>
              </w:tabs>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8</w:t>
            </w:r>
          </w:p>
        </w:tc>
        <w:tc>
          <w:tcPr>
            <w:tcW w:w="3078" w:type="pct"/>
            <w:vAlign w:val="center"/>
          </w:tcPr>
          <w:p>
            <w:pPr>
              <w:spacing w:line="0" w:lineRule="atLeast"/>
              <w:jc w:val="center"/>
              <w:rPr>
                <w:rFonts w:ascii="宋体" w:hAnsi="宋体"/>
                <w:color w:val="auto"/>
                <w:sz w:val="22"/>
                <w:szCs w:val="22"/>
                <w:highlight w:val="none"/>
              </w:rPr>
            </w:pPr>
            <w:r>
              <w:rPr>
                <w:rFonts w:hint="eastAsia" w:ascii="宋体" w:hAnsi="宋体"/>
                <w:color w:val="auto"/>
                <w:sz w:val="22"/>
                <w:szCs w:val="22"/>
                <w:highlight w:val="none"/>
              </w:rPr>
              <w:t>警用防暴护臂</w:t>
            </w:r>
          </w:p>
        </w:tc>
        <w:tc>
          <w:tcPr>
            <w:tcW w:w="1025" w:type="pct"/>
            <w:vAlign w:val="center"/>
          </w:tcPr>
          <w:p>
            <w:pPr>
              <w:autoSpaceDE w:val="0"/>
              <w:autoSpaceDN w:val="0"/>
              <w:adjustRightInd w:val="0"/>
              <w:snapToGrid w:val="0"/>
              <w:spacing w:line="460" w:lineRule="exact"/>
              <w:jc w:val="center"/>
              <w:textAlignment w:val="bottom"/>
              <w:rPr>
                <w:rFonts w:ascii="宋体" w:hAnsi="宋体"/>
                <w:color w:val="auto"/>
                <w:sz w:val="22"/>
                <w:szCs w:val="22"/>
                <w:highlight w:val="none"/>
              </w:rPr>
            </w:pPr>
            <w:r>
              <w:rPr>
                <w:rFonts w:hint="eastAsia" w:ascii="宋体" w:hAnsi="宋体"/>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6" w:type="pct"/>
          </w:tcPr>
          <w:p>
            <w:pPr>
              <w:tabs>
                <w:tab w:val="left" w:pos="900"/>
              </w:tabs>
              <w:autoSpaceDE w:val="0"/>
              <w:autoSpaceDN w:val="0"/>
              <w:adjustRightInd w:val="0"/>
              <w:snapToGrid w:val="0"/>
              <w:spacing w:line="460" w:lineRule="exact"/>
              <w:jc w:val="center"/>
              <w:textAlignment w:val="bottom"/>
              <w:rPr>
                <w:rFonts w:hint="eastAsia"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9</w:t>
            </w:r>
          </w:p>
        </w:tc>
        <w:tc>
          <w:tcPr>
            <w:tcW w:w="3078" w:type="pct"/>
            <w:vAlign w:val="center"/>
          </w:tcPr>
          <w:p>
            <w:pPr>
              <w:spacing w:line="0" w:lineRule="atLeast"/>
              <w:jc w:val="center"/>
              <w:rPr>
                <w:rFonts w:hint="eastAsia" w:ascii="宋体" w:hAnsi="宋体"/>
                <w:color w:val="auto"/>
                <w:sz w:val="22"/>
                <w:szCs w:val="22"/>
                <w:highlight w:val="none"/>
              </w:rPr>
            </w:pPr>
            <w:r>
              <w:rPr>
                <w:rFonts w:hint="eastAsia" w:ascii="宋体" w:hAnsi="宋体"/>
                <w:color w:val="auto"/>
                <w:sz w:val="22"/>
                <w:szCs w:val="22"/>
                <w:highlight w:val="none"/>
              </w:rPr>
              <w:t>360°警灯</w:t>
            </w:r>
          </w:p>
        </w:tc>
        <w:tc>
          <w:tcPr>
            <w:tcW w:w="1025" w:type="pct"/>
            <w:vAlign w:val="center"/>
          </w:tcPr>
          <w:p>
            <w:pPr>
              <w:autoSpaceDE w:val="0"/>
              <w:autoSpaceDN w:val="0"/>
              <w:adjustRightInd w:val="0"/>
              <w:snapToGrid w:val="0"/>
              <w:spacing w:line="460" w:lineRule="exact"/>
              <w:jc w:val="center"/>
              <w:textAlignment w:val="bottom"/>
              <w:rPr>
                <w:rFonts w:hint="eastAsia" w:ascii="宋体" w:hAnsi="宋体"/>
                <w:color w:val="auto"/>
                <w:sz w:val="22"/>
                <w:szCs w:val="22"/>
                <w:highlight w:val="none"/>
              </w:rPr>
            </w:pPr>
            <w:r>
              <w:rPr>
                <w:rFonts w:hint="eastAsia" w:ascii="宋体" w:hAnsi="宋体"/>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6" w:type="pct"/>
          </w:tcPr>
          <w:p>
            <w:pPr>
              <w:tabs>
                <w:tab w:val="left" w:pos="900"/>
              </w:tabs>
              <w:autoSpaceDE w:val="0"/>
              <w:autoSpaceDN w:val="0"/>
              <w:adjustRightInd w:val="0"/>
              <w:snapToGrid w:val="0"/>
              <w:spacing w:line="460" w:lineRule="exact"/>
              <w:jc w:val="center"/>
              <w:textAlignment w:val="bottom"/>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10</w:t>
            </w:r>
          </w:p>
        </w:tc>
        <w:tc>
          <w:tcPr>
            <w:tcW w:w="3078" w:type="pct"/>
            <w:vAlign w:val="center"/>
          </w:tcPr>
          <w:p>
            <w:pPr>
              <w:spacing w:line="0" w:lineRule="atLeast"/>
              <w:jc w:val="center"/>
              <w:rPr>
                <w:rFonts w:hint="eastAsia" w:ascii="宋体" w:hAnsi="宋体"/>
                <w:color w:val="auto"/>
                <w:sz w:val="22"/>
                <w:szCs w:val="22"/>
                <w:highlight w:val="none"/>
              </w:rPr>
            </w:pPr>
            <w:r>
              <w:rPr>
                <w:rFonts w:hint="eastAsia" w:ascii="宋体" w:hAnsi="宋体"/>
                <w:color w:val="auto"/>
                <w:sz w:val="22"/>
                <w:szCs w:val="22"/>
                <w:highlight w:val="none"/>
              </w:rPr>
              <w:t>手持式声波驱散器</w:t>
            </w:r>
          </w:p>
        </w:tc>
        <w:tc>
          <w:tcPr>
            <w:tcW w:w="1025" w:type="pct"/>
            <w:vAlign w:val="center"/>
          </w:tcPr>
          <w:p>
            <w:pPr>
              <w:autoSpaceDE w:val="0"/>
              <w:autoSpaceDN w:val="0"/>
              <w:adjustRightInd w:val="0"/>
              <w:snapToGrid w:val="0"/>
              <w:spacing w:line="460" w:lineRule="exact"/>
              <w:jc w:val="center"/>
              <w:textAlignment w:val="bottom"/>
              <w:rPr>
                <w:rFonts w:hint="eastAsia" w:ascii="宋体" w:hAnsi="宋体"/>
                <w:color w:val="auto"/>
                <w:sz w:val="22"/>
                <w:szCs w:val="22"/>
                <w:highlight w:val="none"/>
              </w:rPr>
            </w:pPr>
            <w:r>
              <w:rPr>
                <w:rFonts w:hint="eastAsia" w:ascii="宋体" w:hAnsi="宋体"/>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6" w:type="pct"/>
          </w:tcPr>
          <w:p>
            <w:pPr>
              <w:tabs>
                <w:tab w:val="left" w:pos="900"/>
              </w:tabs>
              <w:autoSpaceDE w:val="0"/>
              <w:autoSpaceDN w:val="0"/>
              <w:adjustRightInd w:val="0"/>
              <w:snapToGrid w:val="0"/>
              <w:spacing w:line="460" w:lineRule="exact"/>
              <w:jc w:val="center"/>
              <w:textAlignment w:val="bottom"/>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11</w:t>
            </w:r>
          </w:p>
        </w:tc>
        <w:tc>
          <w:tcPr>
            <w:tcW w:w="3078" w:type="pct"/>
            <w:vAlign w:val="center"/>
          </w:tcPr>
          <w:p>
            <w:pPr>
              <w:spacing w:line="0" w:lineRule="atLeast"/>
              <w:jc w:val="center"/>
              <w:rPr>
                <w:rFonts w:hint="eastAsia" w:ascii="宋体" w:hAnsi="宋体"/>
                <w:color w:val="auto"/>
                <w:sz w:val="22"/>
                <w:szCs w:val="22"/>
                <w:highlight w:val="none"/>
              </w:rPr>
            </w:pPr>
            <w:r>
              <w:rPr>
                <w:rFonts w:hint="eastAsia" w:ascii="宋体" w:hAnsi="宋体"/>
                <w:color w:val="auto"/>
                <w:sz w:val="22"/>
                <w:szCs w:val="22"/>
                <w:highlight w:val="none"/>
              </w:rPr>
              <w:t>无人机反制类装备</w:t>
            </w:r>
          </w:p>
        </w:tc>
        <w:tc>
          <w:tcPr>
            <w:tcW w:w="1025" w:type="pct"/>
            <w:vAlign w:val="center"/>
          </w:tcPr>
          <w:p>
            <w:pPr>
              <w:autoSpaceDE w:val="0"/>
              <w:autoSpaceDN w:val="0"/>
              <w:adjustRightInd w:val="0"/>
              <w:snapToGrid w:val="0"/>
              <w:spacing w:line="460" w:lineRule="exact"/>
              <w:jc w:val="center"/>
              <w:textAlignment w:val="bottom"/>
              <w:rPr>
                <w:rFonts w:hint="eastAsia" w:ascii="宋体" w:hAnsi="宋体"/>
                <w:color w:val="auto"/>
                <w:sz w:val="22"/>
                <w:szCs w:val="22"/>
                <w:highlight w:val="none"/>
              </w:rPr>
            </w:pPr>
            <w:r>
              <w:rPr>
                <w:rFonts w:hint="eastAsia" w:ascii="宋体" w:hAnsi="宋体"/>
                <w:color w:val="auto"/>
                <w:sz w:val="22"/>
                <w:szCs w:val="22"/>
                <w:highlight w:val="none"/>
              </w:rPr>
              <w:t>1</w:t>
            </w:r>
          </w:p>
        </w:tc>
      </w:tr>
    </w:tbl>
    <w:p>
      <w:pPr>
        <w:numPr>
          <w:ilvl w:val="2"/>
          <w:numId w:val="51"/>
        </w:numPr>
        <w:tabs>
          <w:tab w:val="left" w:pos="900"/>
          <w:tab w:val="clear" w:pos="1260"/>
        </w:tabs>
        <w:autoSpaceDE w:val="0"/>
        <w:autoSpaceDN w:val="0"/>
        <w:adjustRightInd w:val="0"/>
        <w:snapToGrid w:val="0"/>
        <w:spacing w:line="460" w:lineRule="exact"/>
        <w:ind w:left="900" w:hanging="540"/>
        <w:textAlignment w:val="bottom"/>
        <w:rPr>
          <w:rFonts w:ascii="宋体" w:hAnsi="宋体"/>
          <w:color w:val="auto"/>
          <w:sz w:val="22"/>
          <w:szCs w:val="22"/>
          <w:highlight w:val="none"/>
        </w:rPr>
      </w:pPr>
      <w:r>
        <w:rPr>
          <w:rFonts w:hint="eastAsia" w:ascii="宋体" w:hAnsi="宋体"/>
          <w:b/>
          <w:bCs/>
          <w:color w:val="auto"/>
          <w:sz w:val="22"/>
          <w:szCs w:val="22"/>
          <w:highlight w:val="none"/>
        </w:rPr>
        <w:t>投标样品上须标注投标人名称。</w:t>
      </w:r>
      <w:r>
        <w:rPr>
          <w:rFonts w:hint="eastAsia" w:ascii="宋体" w:hAnsi="宋体"/>
          <w:color w:val="auto"/>
          <w:sz w:val="22"/>
          <w:szCs w:val="22"/>
          <w:highlight w:val="none"/>
        </w:rPr>
        <w:t>投标样品在投标文件提交截止前在温州元信工程项目管理有限公司</w:t>
      </w:r>
      <w:r>
        <w:rPr>
          <w:rFonts w:hint="eastAsia" w:ascii="宋体" w:hAnsi="宋体"/>
          <w:color w:val="auto"/>
          <w:sz w:val="22"/>
          <w:szCs w:val="22"/>
          <w:highlight w:val="none"/>
          <w:lang w:val="en-US" w:eastAsia="zh-CN"/>
        </w:rPr>
        <w:t>收标区</w:t>
      </w:r>
      <w:r>
        <w:rPr>
          <w:rFonts w:hint="eastAsia" w:ascii="宋体" w:hAnsi="宋体"/>
          <w:color w:val="auto"/>
          <w:sz w:val="22"/>
          <w:szCs w:val="22"/>
          <w:highlight w:val="none"/>
        </w:rPr>
        <w:t xml:space="preserve"> (温州市车站大道时代广场南幢5楼05C1室)向招标代理机构提交；</w:t>
      </w:r>
    </w:p>
    <w:p>
      <w:pPr>
        <w:numPr>
          <w:ilvl w:val="2"/>
          <w:numId w:val="51"/>
        </w:numPr>
        <w:tabs>
          <w:tab w:val="left" w:pos="900"/>
          <w:tab w:val="clear" w:pos="1260"/>
        </w:tabs>
        <w:autoSpaceDE w:val="0"/>
        <w:autoSpaceDN w:val="0"/>
        <w:adjustRightInd w:val="0"/>
        <w:snapToGrid w:val="0"/>
        <w:spacing w:line="460" w:lineRule="exact"/>
        <w:ind w:left="900" w:hanging="540"/>
        <w:textAlignment w:val="bottom"/>
        <w:rPr>
          <w:rFonts w:ascii="宋体" w:hAnsi="宋体"/>
          <w:color w:val="auto"/>
          <w:sz w:val="22"/>
          <w:szCs w:val="22"/>
          <w:highlight w:val="none"/>
        </w:rPr>
      </w:pPr>
      <w:r>
        <w:rPr>
          <w:rFonts w:hint="eastAsia" w:ascii="宋体" w:hAnsi="宋体"/>
          <w:color w:val="auto"/>
          <w:sz w:val="22"/>
          <w:szCs w:val="22"/>
          <w:highlight w:val="none"/>
        </w:rPr>
        <w:t>投标人在样品提交完成后可以离开现场，招标代理机构在评审结束后会通知各个投标人取回投标样品。</w:t>
      </w:r>
    </w:p>
    <w:p>
      <w:pPr>
        <w:numPr>
          <w:ilvl w:val="2"/>
          <w:numId w:val="51"/>
        </w:numPr>
        <w:tabs>
          <w:tab w:val="left" w:pos="900"/>
          <w:tab w:val="clear" w:pos="1260"/>
        </w:tabs>
        <w:autoSpaceDE w:val="0"/>
        <w:autoSpaceDN w:val="0"/>
        <w:adjustRightInd w:val="0"/>
        <w:snapToGrid w:val="0"/>
        <w:spacing w:line="460" w:lineRule="exact"/>
        <w:ind w:left="900" w:hanging="540"/>
        <w:textAlignment w:val="bottom"/>
        <w:rPr>
          <w:rFonts w:ascii="宋体" w:hAnsi="宋体"/>
          <w:b/>
          <w:color w:val="auto"/>
          <w:sz w:val="22"/>
          <w:szCs w:val="22"/>
          <w:highlight w:val="none"/>
          <w:u w:val="single"/>
        </w:rPr>
      </w:pPr>
      <w:r>
        <w:rPr>
          <w:rFonts w:hint="eastAsia" w:ascii="宋体" w:hAnsi="宋体"/>
          <w:b/>
          <w:color w:val="auto"/>
          <w:sz w:val="22"/>
          <w:szCs w:val="22"/>
          <w:highlight w:val="none"/>
          <w:u w:val="single"/>
        </w:rPr>
        <w:t>未提供投标样品或未按招标文件要求提供投标样品，评标委员会可能对其作出不利评判；</w:t>
      </w:r>
    </w:p>
    <w:p>
      <w:pPr>
        <w:numPr>
          <w:ilvl w:val="2"/>
          <w:numId w:val="51"/>
        </w:numPr>
        <w:tabs>
          <w:tab w:val="left" w:pos="900"/>
          <w:tab w:val="clear" w:pos="1260"/>
        </w:tabs>
        <w:autoSpaceDE w:val="0"/>
        <w:autoSpaceDN w:val="0"/>
        <w:adjustRightInd w:val="0"/>
        <w:snapToGrid w:val="0"/>
        <w:spacing w:line="460" w:lineRule="exact"/>
        <w:ind w:left="900" w:hanging="540"/>
        <w:textAlignment w:val="bottom"/>
        <w:rPr>
          <w:rFonts w:ascii="宋体" w:hAnsi="宋体"/>
          <w:b/>
          <w:color w:val="auto"/>
          <w:sz w:val="22"/>
          <w:szCs w:val="22"/>
          <w:highlight w:val="none"/>
          <w:u w:val="single"/>
        </w:rPr>
      </w:pPr>
      <w:r>
        <w:rPr>
          <w:rFonts w:hint="eastAsia" w:ascii="宋体" w:hAnsi="宋体"/>
          <w:b/>
          <w:color w:val="auto"/>
          <w:sz w:val="22"/>
          <w:szCs w:val="22"/>
          <w:highlight w:val="none"/>
          <w:u w:val="single"/>
        </w:rPr>
        <w:t>评标委员会可能对其进行破坏性试验，投标人自行承担样品费用。中标样品由招标人封存，并作为验收标准；未中标样品在评标结束后退还。</w:t>
      </w:r>
    </w:p>
    <w:p>
      <w:pPr>
        <w:numPr>
          <w:ilvl w:val="2"/>
          <w:numId w:val="51"/>
        </w:numPr>
        <w:tabs>
          <w:tab w:val="left" w:pos="900"/>
          <w:tab w:val="clear" w:pos="1260"/>
        </w:tabs>
        <w:autoSpaceDE w:val="0"/>
        <w:autoSpaceDN w:val="0"/>
        <w:adjustRightInd w:val="0"/>
        <w:snapToGrid w:val="0"/>
        <w:spacing w:line="460" w:lineRule="exact"/>
        <w:ind w:left="900" w:hanging="540"/>
        <w:textAlignment w:val="bottom"/>
        <w:rPr>
          <w:rFonts w:ascii="宋体" w:hAnsi="宋体"/>
          <w:color w:val="auto"/>
          <w:sz w:val="22"/>
          <w:szCs w:val="22"/>
          <w:highlight w:val="none"/>
        </w:rPr>
      </w:pPr>
      <w:r>
        <w:rPr>
          <w:rFonts w:hint="eastAsia" w:ascii="宋体" w:hAnsi="宋体"/>
          <w:color w:val="auto"/>
          <w:sz w:val="22"/>
          <w:szCs w:val="22"/>
          <w:highlight w:val="none"/>
        </w:rPr>
        <w:t>中标候选人的实物样品送招标人处保存，确定中标人后，中标人须保证供货产品质量不低于投标样品，如低于样品质量和招标文件质量要求，招标人有权要求退货，调换合格的产品至招标人满意为止，所产生的一切费用由中标人自行承担。</w:t>
      </w:r>
    </w:p>
    <w:p>
      <w:pPr>
        <w:spacing w:line="440" w:lineRule="exact"/>
        <w:jc w:val="left"/>
        <w:rPr>
          <w:rFonts w:ascii="宋体" w:hAnsi="宋体"/>
          <w:b/>
          <w:color w:val="auto"/>
          <w:sz w:val="22"/>
          <w:szCs w:val="22"/>
          <w:highlight w:val="none"/>
        </w:rPr>
      </w:pPr>
      <w:r>
        <w:rPr>
          <w:rFonts w:hint="eastAsia" w:ascii="宋体" w:hAnsi="宋体"/>
          <w:b/>
          <w:color w:val="auto"/>
          <w:sz w:val="22"/>
          <w:szCs w:val="22"/>
          <w:highlight w:val="none"/>
        </w:rPr>
        <w:t>五、  其他要求</w:t>
      </w:r>
    </w:p>
    <w:p>
      <w:pPr>
        <w:widowControl/>
        <w:numPr>
          <w:ilvl w:val="0"/>
          <w:numId w:val="52"/>
        </w:numPr>
        <w:spacing w:line="420" w:lineRule="exact"/>
        <w:rPr>
          <w:rFonts w:ascii="宋体" w:hAnsi="宋体" w:cs="Arial"/>
          <w:color w:val="auto"/>
          <w:kern w:val="0"/>
          <w:sz w:val="22"/>
          <w:szCs w:val="22"/>
          <w:highlight w:val="none"/>
        </w:rPr>
      </w:pPr>
      <w:r>
        <w:rPr>
          <w:rFonts w:hint="eastAsia" w:ascii="宋体" w:hAnsi="宋体" w:cs="Arial"/>
          <w:b/>
          <w:color w:val="auto"/>
          <w:kern w:val="0"/>
          <w:sz w:val="22"/>
          <w:szCs w:val="22"/>
          <w:highlight w:val="none"/>
          <w:u w:val="single"/>
        </w:rPr>
        <w:t>本次采购所有产品要求全部部件均为原厂原装，投标人所报价的所有设备需需有产地证明、装箱清单、技术说明书等。</w:t>
      </w:r>
    </w:p>
    <w:p>
      <w:pPr>
        <w:widowControl/>
        <w:numPr>
          <w:ilvl w:val="0"/>
          <w:numId w:val="52"/>
        </w:numPr>
        <w:spacing w:line="420" w:lineRule="exact"/>
        <w:rPr>
          <w:rFonts w:ascii="宋体" w:hAnsi="宋体" w:cs="Arial"/>
          <w:b/>
          <w:bCs/>
          <w:color w:val="auto"/>
          <w:sz w:val="22"/>
          <w:szCs w:val="22"/>
          <w:highlight w:val="none"/>
          <w:u w:val="single"/>
        </w:rPr>
      </w:pPr>
      <w:r>
        <w:rPr>
          <w:rFonts w:hint="eastAsia" w:ascii="宋体" w:hAnsi="宋体"/>
          <w:b/>
          <w:bCs/>
          <w:color w:val="auto"/>
          <w:sz w:val="22"/>
          <w:szCs w:val="22"/>
          <w:highlight w:val="none"/>
        </w:rPr>
        <w:t>▲</w:t>
      </w:r>
      <w:r>
        <w:rPr>
          <w:rFonts w:hint="eastAsia" w:ascii="宋体" w:hAnsi="宋体" w:cs="Arial"/>
          <w:b/>
          <w:bCs/>
          <w:color w:val="auto"/>
          <w:sz w:val="22"/>
          <w:szCs w:val="22"/>
          <w:highlight w:val="none"/>
          <w:u w:val="single"/>
          <w:lang w:val="en-US" w:eastAsia="zh-CN"/>
        </w:rPr>
        <w:t>本次采购清单内第第2、3、4、7、9、10、11、13、22、26、27、29、31、33、47、62、66、71、78、80款等总共20项要求提供检测报告扫描件的，投标人必须在中标后5个工作日内向采购人提供检测报告原件进行核对。投标人必须提供相关承诺函，否则视为未实质性响应招标文件。</w:t>
      </w:r>
    </w:p>
    <w:p>
      <w:pPr>
        <w:widowControl/>
        <w:numPr>
          <w:ilvl w:val="0"/>
          <w:numId w:val="52"/>
        </w:numPr>
        <w:spacing w:line="420" w:lineRule="exact"/>
        <w:rPr>
          <w:rFonts w:ascii="宋体" w:hAnsi="宋体" w:cs="Arial"/>
          <w:color w:val="auto"/>
          <w:sz w:val="22"/>
          <w:szCs w:val="22"/>
          <w:highlight w:val="none"/>
        </w:rPr>
      </w:pPr>
      <w:r>
        <w:rPr>
          <w:rFonts w:hint="eastAsia" w:ascii="宋体" w:hAnsi="宋体" w:cs="Arial"/>
          <w:color w:val="auto"/>
          <w:kern w:val="0"/>
          <w:sz w:val="22"/>
          <w:szCs w:val="22"/>
          <w:highlight w:val="none"/>
        </w:rPr>
        <w:t>如采购内容及技术要求有所遗漏进而造成采购人不能正常使用，投标人须免费提供以上配置清单所需的所有配件并承担项目实施中产生的相关费用.</w:t>
      </w:r>
    </w:p>
    <w:p>
      <w:pPr>
        <w:widowControl/>
        <w:numPr>
          <w:ilvl w:val="0"/>
          <w:numId w:val="52"/>
        </w:numPr>
        <w:tabs>
          <w:tab w:val="left" w:pos="540"/>
        </w:tabs>
        <w:spacing w:line="420" w:lineRule="exact"/>
        <w:rPr>
          <w:rFonts w:ascii="宋体" w:hAnsi="宋体" w:cs="Arial"/>
          <w:b/>
          <w:color w:val="auto"/>
          <w:sz w:val="22"/>
          <w:szCs w:val="22"/>
          <w:highlight w:val="none"/>
        </w:rPr>
      </w:pPr>
      <w:r>
        <w:rPr>
          <w:rFonts w:hint="eastAsia" w:ascii="宋体" w:hAnsi="宋体" w:cs="Arial"/>
          <w:b/>
          <w:color w:val="auto"/>
          <w:sz w:val="22"/>
          <w:szCs w:val="22"/>
          <w:highlight w:val="none"/>
        </w:rPr>
        <w:t>交货及完工进度保证</w:t>
      </w:r>
    </w:p>
    <w:p>
      <w:pPr>
        <w:numPr>
          <w:ilvl w:val="0"/>
          <w:numId w:val="53"/>
        </w:numPr>
        <w:spacing w:line="420" w:lineRule="exact"/>
        <w:rPr>
          <w:rFonts w:hint="eastAsia" w:ascii="宋体" w:hAnsi="宋体" w:eastAsia="宋体" w:cs="Arial"/>
          <w:b/>
          <w:bCs/>
          <w:color w:val="auto"/>
          <w:sz w:val="22"/>
          <w:szCs w:val="22"/>
          <w:highlight w:val="none"/>
        </w:rPr>
      </w:pPr>
      <w:r>
        <w:rPr>
          <w:rFonts w:hint="eastAsia" w:ascii="宋体" w:hAnsi="宋体" w:eastAsia="宋体" w:cs="Arial"/>
          <w:color w:val="auto"/>
          <w:sz w:val="22"/>
          <w:szCs w:val="22"/>
          <w:highlight w:val="none"/>
        </w:rPr>
        <w:t>投标人对</w:t>
      </w:r>
      <w:r>
        <w:rPr>
          <w:rFonts w:hint="eastAsia" w:ascii="宋体" w:hAnsi="宋体" w:eastAsia="宋体" w:cs="Arial"/>
          <w:color w:val="auto"/>
          <w:sz w:val="22"/>
          <w:szCs w:val="22"/>
          <w:highlight w:val="none"/>
          <w:lang w:val="en-US" w:eastAsia="zh-CN"/>
        </w:rPr>
        <w:t>货物</w:t>
      </w:r>
      <w:r>
        <w:rPr>
          <w:rFonts w:hint="eastAsia" w:ascii="宋体" w:hAnsi="宋体" w:eastAsia="宋体" w:cs="Arial"/>
          <w:color w:val="auto"/>
          <w:sz w:val="22"/>
          <w:szCs w:val="22"/>
          <w:highlight w:val="none"/>
        </w:rPr>
        <w:t>的交货及</w:t>
      </w:r>
      <w:r>
        <w:rPr>
          <w:rFonts w:hint="eastAsia" w:ascii="宋体" w:hAnsi="宋体" w:eastAsia="宋体" w:cs="Arial"/>
          <w:color w:val="auto"/>
          <w:sz w:val="22"/>
          <w:szCs w:val="22"/>
          <w:highlight w:val="none"/>
          <w:lang w:val="en-US" w:eastAsia="zh-CN"/>
        </w:rPr>
        <w:t>供货</w:t>
      </w:r>
      <w:r>
        <w:rPr>
          <w:rFonts w:hint="eastAsia" w:ascii="宋体" w:hAnsi="宋体" w:eastAsia="宋体" w:cs="Arial"/>
          <w:color w:val="auto"/>
          <w:sz w:val="22"/>
          <w:szCs w:val="22"/>
          <w:highlight w:val="none"/>
        </w:rPr>
        <w:t>周期必须满足采购人的要求：</w:t>
      </w:r>
      <w:r>
        <w:rPr>
          <w:rFonts w:hint="eastAsia" w:ascii="宋体" w:hAnsi="宋体" w:eastAsia="宋体" w:cs="Arial"/>
          <w:b/>
          <w:bCs/>
          <w:color w:val="auto"/>
          <w:sz w:val="22"/>
          <w:szCs w:val="22"/>
          <w:highlight w:val="none"/>
        </w:rPr>
        <w:t>分批次供货。</w:t>
      </w:r>
      <w:r>
        <w:rPr>
          <w:rFonts w:hint="eastAsia" w:ascii="宋体" w:hAnsi="宋体" w:eastAsia="宋体" w:cs="Arial"/>
          <w:color w:val="auto"/>
          <w:sz w:val="22"/>
          <w:szCs w:val="22"/>
          <w:highlight w:val="none"/>
        </w:rPr>
        <w:t>在</w:t>
      </w:r>
      <w:r>
        <w:rPr>
          <w:rFonts w:hint="eastAsia" w:ascii="宋体" w:hAnsi="宋体" w:eastAsia="宋体" w:cs="Arial"/>
          <w:color w:val="auto"/>
          <w:sz w:val="22"/>
          <w:szCs w:val="22"/>
          <w:highlight w:val="none"/>
          <w:lang w:val="en-US" w:eastAsia="zh-CN"/>
        </w:rPr>
        <w:t>招标人</w:t>
      </w:r>
      <w:r>
        <w:rPr>
          <w:rFonts w:hint="eastAsia" w:ascii="宋体" w:hAnsi="宋体" w:eastAsia="宋体" w:cs="Arial"/>
          <w:color w:val="auto"/>
          <w:sz w:val="22"/>
          <w:szCs w:val="22"/>
          <w:highlight w:val="none"/>
        </w:rPr>
        <w:t>下达供货通知书后，</w:t>
      </w:r>
      <w:r>
        <w:rPr>
          <w:rFonts w:hint="eastAsia" w:ascii="宋体" w:hAnsi="宋体" w:eastAsia="宋体" w:cs="Arial"/>
          <w:b/>
          <w:bCs/>
          <w:color w:val="auto"/>
          <w:sz w:val="22"/>
          <w:szCs w:val="22"/>
          <w:highlight w:val="none"/>
        </w:rPr>
        <w:t>按通知书要求准备相应数量及种类的</w:t>
      </w:r>
      <w:r>
        <w:rPr>
          <w:rFonts w:hint="eastAsia" w:ascii="宋体" w:hAnsi="宋体" w:eastAsia="宋体" w:cs="Arial"/>
          <w:b/>
          <w:bCs/>
          <w:color w:val="auto"/>
          <w:sz w:val="22"/>
          <w:szCs w:val="22"/>
          <w:highlight w:val="none"/>
          <w:lang w:val="en-US" w:eastAsia="zh-CN"/>
        </w:rPr>
        <w:t>货物</w:t>
      </w:r>
      <w:r>
        <w:rPr>
          <w:rFonts w:hint="eastAsia" w:ascii="宋体" w:hAnsi="宋体" w:eastAsia="宋体" w:cs="Arial"/>
          <w:b/>
          <w:bCs/>
          <w:color w:val="auto"/>
          <w:sz w:val="22"/>
          <w:szCs w:val="22"/>
          <w:highlight w:val="none"/>
        </w:rPr>
        <w:t>，</w:t>
      </w:r>
      <w:r>
        <w:rPr>
          <w:rFonts w:hint="eastAsia" w:ascii="宋体" w:hAnsi="宋体" w:eastAsia="宋体" w:cs="Arial"/>
          <w:b/>
          <w:bCs/>
          <w:color w:val="auto"/>
          <w:sz w:val="22"/>
          <w:szCs w:val="22"/>
          <w:highlight w:val="none"/>
          <w:lang w:val="en-US" w:eastAsia="zh-CN"/>
        </w:rPr>
        <w:t>中标人</w:t>
      </w:r>
      <w:r>
        <w:rPr>
          <w:rFonts w:hint="eastAsia" w:ascii="宋体" w:hAnsi="宋体" w:eastAsia="宋体" w:cs="Arial"/>
          <w:b/>
          <w:bCs/>
          <w:color w:val="auto"/>
          <w:sz w:val="22"/>
          <w:szCs w:val="22"/>
          <w:highlight w:val="none"/>
        </w:rPr>
        <w:t>于</w:t>
      </w:r>
      <w:r>
        <w:rPr>
          <w:rFonts w:hint="eastAsia" w:ascii="宋体" w:hAnsi="宋体" w:eastAsia="宋体" w:cs="Arial"/>
          <w:b/>
          <w:bCs/>
          <w:color w:val="auto"/>
          <w:sz w:val="22"/>
          <w:szCs w:val="22"/>
          <w:highlight w:val="none"/>
          <w:lang w:val="en-US" w:eastAsia="zh-CN"/>
        </w:rPr>
        <w:t>7</w:t>
      </w:r>
      <w:r>
        <w:rPr>
          <w:rFonts w:hint="eastAsia" w:ascii="宋体" w:hAnsi="宋体" w:eastAsia="宋体" w:cs="Arial"/>
          <w:b/>
          <w:bCs/>
          <w:color w:val="auto"/>
          <w:sz w:val="22"/>
          <w:szCs w:val="22"/>
          <w:highlight w:val="none"/>
        </w:rPr>
        <w:t>天内完成供货。</w:t>
      </w:r>
    </w:p>
    <w:p>
      <w:pPr>
        <w:numPr>
          <w:ilvl w:val="0"/>
          <w:numId w:val="53"/>
        </w:numPr>
        <w:spacing w:line="420" w:lineRule="exact"/>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投标人须在投标文件技术标中针对本次采购制定详细的服务计划及供货计划，保证本次采购项目按时优质完成。</w:t>
      </w:r>
    </w:p>
    <w:p>
      <w:pPr>
        <w:numPr>
          <w:ilvl w:val="0"/>
          <w:numId w:val="53"/>
        </w:numPr>
        <w:spacing w:line="420" w:lineRule="exact"/>
        <w:rPr>
          <w:rFonts w:hint="default"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交货地点：采购人指定地点。</w:t>
      </w:r>
    </w:p>
    <w:p>
      <w:pPr>
        <w:widowControl/>
        <w:numPr>
          <w:ilvl w:val="0"/>
          <w:numId w:val="52"/>
        </w:numPr>
        <w:spacing w:line="420" w:lineRule="exact"/>
        <w:rPr>
          <w:rFonts w:ascii="宋体" w:hAnsi="宋体" w:eastAsia="宋体" w:cs="Arial"/>
          <w:color w:val="auto"/>
          <w:sz w:val="22"/>
          <w:szCs w:val="22"/>
          <w:highlight w:val="none"/>
        </w:rPr>
      </w:pPr>
      <w:r>
        <w:rPr>
          <w:rFonts w:hint="eastAsia" w:ascii="宋体" w:hAnsi="宋体" w:eastAsia="宋体" w:cs="Arial"/>
          <w:color w:val="auto"/>
          <w:sz w:val="22"/>
          <w:szCs w:val="22"/>
          <w:highlight w:val="none"/>
        </w:rPr>
        <w:t>质量保证</w:t>
      </w:r>
    </w:p>
    <w:p>
      <w:pPr>
        <w:numPr>
          <w:ilvl w:val="0"/>
          <w:numId w:val="54"/>
        </w:numPr>
        <w:spacing w:line="420" w:lineRule="exact"/>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本项目器材提供免费质保期为</w:t>
      </w:r>
      <w:r>
        <w:rPr>
          <w:rFonts w:hint="eastAsia" w:ascii="宋体" w:hAnsi="宋体" w:eastAsia="宋体" w:cs="Arial"/>
          <w:color w:val="auto"/>
          <w:sz w:val="22"/>
          <w:szCs w:val="22"/>
          <w:highlight w:val="none"/>
          <w:lang w:val="en-US" w:eastAsia="zh-CN"/>
        </w:rPr>
        <w:t>2</w:t>
      </w:r>
      <w:r>
        <w:rPr>
          <w:rFonts w:hint="eastAsia" w:ascii="宋体" w:hAnsi="宋体" w:eastAsia="宋体" w:cs="Arial"/>
          <w:color w:val="auto"/>
          <w:sz w:val="22"/>
          <w:szCs w:val="22"/>
          <w:highlight w:val="none"/>
        </w:rPr>
        <w:t>年（</w:t>
      </w:r>
      <w:r>
        <w:rPr>
          <w:rFonts w:hint="eastAsia" w:ascii="宋体" w:hAnsi="宋体" w:eastAsia="宋体" w:cs="Arial"/>
          <w:color w:val="auto"/>
          <w:sz w:val="22"/>
          <w:szCs w:val="22"/>
          <w:highlight w:val="none"/>
          <w:lang w:val="en-US" w:eastAsia="zh-CN"/>
        </w:rPr>
        <w:t>24</w:t>
      </w:r>
      <w:r>
        <w:rPr>
          <w:rFonts w:hint="eastAsia" w:ascii="宋体" w:hAnsi="宋体" w:eastAsia="宋体" w:cs="Arial"/>
          <w:color w:val="auto"/>
          <w:sz w:val="22"/>
          <w:szCs w:val="22"/>
          <w:highlight w:val="none"/>
        </w:rPr>
        <w:t>个月），终身维护；原厂商若有更高的保修期以原厂商提供为准，并在投标文件中明确承诺。</w:t>
      </w:r>
    </w:p>
    <w:p>
      <w:pPr>
        <w:numPr>
          <w:ilvl w:val="0"/>
          <w:numId w:val="54"/>
        </w:numPr>
        <w:spacing w:line="420" w:lineRule="exact"/>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lang w:val="en-US" w:eastAsia="zh-CN"/>
        </w:rPr>
        <w:t>中标人</w:t>
      </w:r>
      <w:r>
        <w:rPr>
          <w:rFonts w:hint="eastAsia" w:ascii="宋体" w:hAnsi="宋体" w:eastAsia="宋体" w:cs="Arial"/>
          <w:color w:val="auto"/>
          <w:sz w:val="22"/>
          <w:szCs w:val="22"/>
          <w:highlight w:val="none"/>
        </w:rPr>
        <w:t>提供24小时服务，而且维修人员需在接到维修电话后4小时内赶到现场，处理问题，提供不间断的服务直到结束。</w:t>
      </w:r>
    </w:p>
    <w:p>
      <w:pPr>
        <w:numPr>
          <w:ilvl w:val="0"/>
          <w:numId w:val="54"/>
        </w:numPr>
        <w:spacing w:line="420" w:lineRule="exact"/>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在质保期内的工作应包括对所有产品常规检查、调整等。</w:t>
      </w:r>
      <w:r>
        <w:rPr>
          <w:rFonts w:hint="eastAsia" w:ascii="宋体" w:hAnsi="宋体" w:eastAsia="宋体" w:cs="Arial"/>
          <w:color w:val="auto"/>
          <w:sz w:val="22"/>
          <w:szCs w:val="22"/>
          <w:highlight w:val="none"/>
          <w:lang w:val="en-US" w:eastAsia="zh-CN"/>
        </w:rPr>
        <w:t>中标人</w:t>
      </w:r>
      <w:r>
        <w:rPr>
          <w:rFonts w:hint="eastAsia" w:ascii="宋体" w:hAnsi="宋体" w:eastAsia="宋体" w:cs="Arial"/>
          <w:color w:val="auto"/>
          <w:sz w:val="22"/>
          <w:szCs w:val="22"/>
          <w:highlight w:val="none"/>
        </w:rPr>
        <w:t>须自行付费负责修理和更换任何由于产品自身的质量问题造成的损坏及故障。</w:t>
      </w:r>
    </w:p>
    <w:p>
      <w:pPr>
        <w:numPr>
          <w:ilvl w:val="0"/>
          <w:numId w:val="54"/>
        </w:numPr>
        <w:spacing w:line="420" w:lineRule="exact"/>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免费质保期满后，须以低于市场价的价格长期提供维修及日常保养及维修零部件。</w:t>
      </w:r>
    </w:p>
    <w:p>
      <w:pPr>
        <w:numPr>
          <w:ilvl w:val="0"/>
          <w:numId w:val="54"/>
        </w:numPr>
        <w:spacing w:line="420" w:lineRule="exact"/>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lang w:val="en-US" w:eastAsia="zh-CN"/>
        </w:rPr>
        <w:t>中标人需根据采购人实际需求，对一线操作员免费提供所投设备的教学培训服务。</w:t>
      </w:r>
    </w:p>
    <w:p>
      <w:pPr>
        <w:widowControl/>
        <w:numPr>
          <w:ilvl w:val="0"/>
          <w:numId w:val="52"/>
        </w:numPr>
        <w:spacing w:line="420" w:lineRule="exact"/>
        <w:rPr>
          <w:rFonts w:ascii="宋体" w:hAnsi="宋体" w:eastAsia="宋体" w:cs="Arial"/>
          <w:color w:val="auto"/>
          <w:sz w:val="22"/>
          <w:szCs w:val="22"/>
          <w:highlight w:val="none"/>
        </w:rPr>
      </w:pPr>
      <w:r>
        <w:rPr>
          <w:rFonts w:hint="eastAsia" w:ascii="宋体" w:hAnsi="宋体" w:eastAsia="宋体" w:cs="Arial"/>
          <w:color w:val="auto"/>
          <w:sz w:val="22"/>
          <w:szCs w:val="22"/>
          <w:highlight w:val="none"/>
        </w:rPr>
        <w:t>产品的检验</w:t>
      </w:r>
    </w:p>
    <w:p>
      <w:pPr>
        <w:numPr>
          <w:ilvl w:val="0"/>
          <w:numId w:val="55"/>
        </w:numPr>
        <w:spacing w:line="420" w:lineRule="exact"/>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中标人须按采购人的要求提供必要的技术数据和检验、试验报告。</w:t>
      </w:r>
    </w:p>
    <w:p>
      <w:pPr>
        <w:numPr>
          <w:ilvl w:val="0"/>
          <w:numId w:val="55"/>
        </w:numPr>
        <w:spacing w:line="420" w:lineRule="exact"/>
        <w:rPr>
          <w:rFonts w:hint="eastAsia" w:ascii="宋体" w:hAnsi="宋体" w:eastAsia="宋体" w:cs="Arial"/>
          <w:b/>
          <w:bCs/>
          <w:color w:val="auto"/>
          <w:sz w:val="22"/>
          <w:szCs w:val="22"/>
          <w:highlight w:val="none"/>
        </w:rPr>
      </w:pPr>
      <w:r>
        <w:rPr>
          <w:rFonts w:hint="eastAsia" w:ascii="宋体" w:hAnsi="宋体" w:eastAsia="宋体" w:cs="Arial"/>
          <w:b/>
          <w:bCs/>
          <w:color w:val="auto"/>
          <w:sz w:val="22"/>
          <w:szCs w:val="22"/>
          <w:highlight w:val="none"/>
        </w:rPr>
        <w:t>采购人有权委托浙江省或温州市产品质量监督单位按投标承诺的材质核对鉴定。如有不符者给予退货，并对中标投标人处以合同总金额10%的罚款，验收合格后签订合同。相关检测费用由中标人承担。</w:t>
      </w:r>
    </w:p>
    <w:p>
      <w:pPr>
        <w:numPr>
          <w:ilvl w:val="0"/>
          <w:numId w:val="55"/>
        </w:numPr>
        <w:spacing w:line="420" w:lineRule="exact"/>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中标人应派员在产品到交货地时进行到货验收。若发现任何损坏及质量问题，中标人应负责更换，并妥善处理直至采购人满意，由此发生的一切费用由中标人负责承担。</w:t>
      </w:r>
    </w:p>
    <w:p>
      <w:pPr>
        <w:widowControl/>
        <w:numPr>
          <w:ilvl w:val="0"/>
          <w:numId w:val="52"/>
        </w:numPr>
        <w:spacing w:line="420" w:lineRule="exact"/>
        <w:rPr>
          <w:rFonts w:ascii="宋体" w:hAnsi="宋体" w:cs="Arial"/>
          <w:color w:val="auto"/>
          <w:sz w:val="22"/>
          <w:szCs w:val="22"/>
          <w:highlight w:val="none"/>
        </w:rPr>
      </w:pPr>
      <w:r>
        <w:rPr>
          <w:rFonts w:hint="eastAsia" w:ascii="宋体" w:hAnsi="宋体" w:cs="Arial"/>
          <w:b/>
          <w:color w:val="auto"/>
          <w:sz w:val="22"/>
          <w:szCs w:val="22"/>
          <w:highlight w:val="none"/>
        </w:rPr>
        <w:t>提供资料要求</w:t>
      </w:r>
    </w:p>
    <w:p>
      <w:pPr>
        <w:numPr>
          <w:ilvl w:val="0"/>
          <w:numId w:val="56"/>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在中标并签定合同后，乙方应根据甲方的要求，免费向甲方提交详细的相关技术资料。</w:t>
      </w:r>
    </w:p>
    <w:p>
      <w:pPr>
        <w:numPr>
          <w:ilvl w:val="0"/>
          <w:numId w:val="56"/>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在供货时，乙方须向甲方提供产品的检验标准和检测报告、合格证书等。</w:t>
      </w:r>
    </w:p>
    <w:p>
      <w:pPr>
        <w:widowControl/>
        <w:numPr>
          <w:ilvl w:val="0"/>
          <w:numId w:val="52"/>
        </w:numPr>
        <w:spacing w:line="420" w:lineRule="exact"/>
        <w:rPr>
          <w:rFonts w:ascii="宋体" w:hAnsi="宋体" w:cs="Arial"/>
          <w:b/>
          <w:color w:val="auto"/>
          <w:sz w:val="22"/>
          <w:szCs w:val="22"/>
          <w:highlight w:val="none"/>
        </w:rPr>
      </w:pPr>
      <w:r>
        <w:rPr>
          <w:rFonts w:hint="eastAsia" w:ascii="宋体" w:hAnsi="宋体" w:cs="Arial"/>
          <w:b/>
          <w:color w:val="auto"/>
          <w:sz w:val="22"/>
          <w:szCs w:val="22"/>
          <w:highlight w:val="none"/>
        </w:rPr>
        <w:t>其他要求</w:t>
      </w:r>
    </w:p>
    <w:p>
      <w:pPr>
        <w:numPr>
          <w:ilvl w:val="0"/>
          <w:numId w:val="57"/>
        </w:numPr>
        <w:spacing w:line="420" w:lineRule="exact"/>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招标人保留在一定范围内调整协议采购数量的权力，定点供应商协供货时应予认可。</w:t>
      </w:r>
    </w:p>
    <w:p>
      <w:pPr>
        <w:numPr>
          <w:ilvl w:val="0"/>
          <w:numId w:val="57"/>
        </w:numPr>
        <w:spacing w:line="420" w:lineRule="exact"/>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中标人在协议期内如果发生重大企业变更，招标方有权取消其中标资格。</w:t>
      </w:r>
    </w:p>
    <w:p>
      <w:pPr>
        <w:spacing w:line="440" w:lineRule="exact"/>
        <w:ind w:firstLine="442" w:firstLineChars="200"/>
        <w:rPr>
          <w:rFonts w:hint="eastAsia" w:ascii="宋体" w:hAnsi="宋体" w:cs="Arial"/>
          <w:b/>
          <w:color w:val="auto"/>
          <w:sz w:val="22"/>
          <w:szCs w:val="22"/>
          <w:highlight w:val="none"/>
        </w:rPr>
      </w:pPr>
    </w:p>
    <w:p>
      <w:pPr>
        <w:spacing w:line="440" w:lineRule="exact"/>
        <w:ind w:firstLine="442" w:firstLineChars="200"/>
        <w:rPr>
          <w:rFonts w:ascii="宋体" w:hAnsi="宋体" w:cs="Arial"/>
          <w:b/>
          <w:color w:val="auto"/>
          <w:sz w:val="36"/>
          <w:szCs w:val="36"/>
          <w:highlight w:val="none"/>
        </w:rPr>
      </w:pPr>
      <w:r>
        <w:rPr>
          <w:rFonts w:hint="eastAsia" w:ascii="宋体" w:hAnsi="宋体" w:cs="Arial"/>
          <w:b/>
          <w:color w:val="auto"/>
          <w:sz w:val="22"/>
          <w:szCs w:val="22"/>
          <w:highlight w:val="none"/>
        </w:rPr>
        <w:t>投标人须在投标文件技术标中提出可以信赖的优惠条件，并在技术标中明确，评标委员会将针对各人的优惠承诺通过评分方式加以量化。</w:t>
      </w:r>
      <w:r>
        <w:rPr>
          <w:rFonts w:ascii="宋体" w:hAnsi="宋体" w:cs="Arial"/>
          <w:color w:val="auto"/>
          <w:sz w:val="22"/>
          <w:szCs w:val="22"/>
          <w:highlight w:val="none"/>
        </w:rPr>
        <w:br w:type="page"/>
      </w:r>
      <w:bookmarkStart w:id="191" w:name="_Toc241404209"/>
      <w:bookmarkStart w:id="192" w:name="_Toc262049426"/>
      <w:bookmarkStart w:id="193" w:name="_Toc221423626"/>
      <w:bookmarkStart w:id="194" w:name="_Toc249758872"/>
      <w:bookmarkStart w:id="195" w:name="_Toc262105511"/>
      <w:bookmarkStart w:id="196" w:name="_Toc223716005"/>
      <w:bookmarkStart w:id="197" w:name="_Toc246261272"/>
      <w:bookmarkStart w:id="198" w:name="_Toc249758722"/>
      <w:bookmarkStart w:id="199" w:name="_Toc245191321"/>
      <w:bookmarkStart w:id="200" w:name="_Toc245722288"/>
      <w:bookmarkStart w:id="201" w:name="_Toc222114886"/>
      <w:bookmarkStart w:id="202" w:name="_Toc239145361"/>
    </w:p>
    <w:p>
      <w:pPr>
        <w:pStyle w:val="4"/>
        <w:rPr>
          <w:rFonts w:ascii="宋体" w:hAnsi="宋体" w:eastAsia="宋体" w:cs="Arial"/>
          <w:color w:val="auto"/>
          <w:sz w:val="36"/>
          <w:szCs w:val="36"/>
          <w:highlight w:val="none"/>
        </w:rPr>
      </w:pPr>
      <w:bookmarkStart w:id="203" w:name="_Toc15938934"/>
      <w:r>
        <w:rPr>
          <w:rFonts w:hint="eastAsia" w:ascii="宋体" w:hAnsi="宋体" w:eastAsia="宋体" w:cs="Arial"/>
          <w:color w:val="auto"/>
          <w:sz w:val="36"/>
          <w:szCs w:val="36"/>
          <w:highlight w:val="none"/>
        </w:rPr>
        <w:t>第五部分   评标原则及方法</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pPr>
        <w:rPr>
          <w:rFonts w:ascii="宋体" w:hAnsi="宋体"/>
          <w:color w:val="auto"/>
          <w:highlight w:val="none"/>
        </w:rPr>
      </w:pPr>
    </w:p>
    <w:p>
      <w:pPr>
        <w:spacing w:line="420" w:lineRule="exact"/>
        <w:ind w:left="439" w:leftChars="209"/>
        <w:rPr>
          <w:rFonts w:ascii="宋体" w:hAnsi="宋体"/>
          <w:b/>
          <w:color w:val="auto"/>
          <w:sz w:val="22"/>
          <w:szCs w:val="22"/>
          <w:highlight w:val="none"/>
        </w:rPr>
      </w:pPr>
      <w:r>
        <w:rPr>
          <w:rFonts w:hint="eastAsia" w:ascii="宋体" w:hAnsi="宋体"/>
          <w:b/>
          <w:color w:val="auto"/>
          <w:sz w:val="22"/>
          <w:szCs w:val="22"/>
          <w:highlight w:val="none"/>
        </w:rPr>
        <w:t>据《中华人民共和国政府采购法》等相关法规特制定以下评标办法。</w:t>
      </w:r>
    </w:p>
    <w:p>
      <w:pPr>
        <w:pStyle w:val="25"/>
        <w:spacing w:before="120" w:beforeLines="50" w:afterLines="50"/>
        <w:rPr>
          <w:rFonts w:ascii="宋体" w:hAnsi="宋体" w:cs="Arial"/>
          <w:b/>
          <w:color w:val="auto"/>
          <w:highlight w:val="none"/>
        </w:rPr>
      </w:pPr>
      <w:bookmarkStart w:id="204" w:name="_Toc221356961"/>
      <w:bookmarkStart w:id="205" w:name="_Toc221356898"/>
      <w:r>
        <w:rPr>
          <w:rFonts w:hint="eastAsia" w:ascii="宋体" w:hAnsi="宋体" w:cs="Arial"/>
          <w:b/>
          <w:color w:val="auto"/>
          <w:highlight w:val="none"/>
        </w:rPr>
        <w:t>一. 总  则</w:t>
      </w:r>
      <w:bookmarkEnd w:id="204"/>
      <w:bookmarkEnd w:id="205"/>
    </w:p>
    <w:p>
      <w:pPr>
        <w:spacing w:line="420" w:lineRule="exact"/>
        <w:ind w:left="439" w:leftChars="209"/>
        <w:rPr>
          <w:rFonts w:ascii="宋体" w:hAnsi="宋体" w:cs="Arial"/>
          <w:color w:val="auto"/>
          <w:sz w:val="22"/>
          <w:szCs w:val="22"/>
          <w:highlight w:val="none"/>
        </w:rPr>
      </w:pPr>
      <w:r>
        <w:rPr>
          <w:rFonts w:hint="eastAsia" w:ascii="宋体" w:hAnsi="宋体" w:cs="Arial"/>
          <w:color w:val="auto"/>
          <w:sz w:val="22"/>
          <w:szCs w:val="22"/>
          <w:highlight w:val="none"/>
        </w:rPr>
        <w:t>评标工作遵循公平、公正、科学、择优原则和诚实、信誉、效率的服务原则。本着科学、严谨的态度，认真进行评标。择优选用，推进技术进步，确保工程质量、交货期，节约投资，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pPr>
        <w:spacing w:line="420" w:lineRule="exact"/>
        <w:rPr>
          <w:rFonts w:ascii="宋体" w:hAnsi="宋体" w:cs="Arial"/>
          <w:b/>
          <w:color w:val="auto"/>
          <w:sz w:val="22"/>
          <w:highlight w:val="none"/>
        </w:rPr>
      </w:pPr>
      <w:r>
        <w:rPr>
          <w:rFonts w:hint="eastAsia" w:ascii="宋体" w:hAnsi="宋体" w:cs="Arial"/>
          <w:b/>
          <w:color w:val="auto"/>
          <w:sz w:val="22"/>
          <w:highlight w:val="none"/>
        </w:rPr>
        <w:t>二、评标组织</w:t>
      </w:r>
    </w:p>
    <w:p>
      <w:pPr>
        <w:spacing w:line="420" w:lineRule="exact"/>
        <w:ind w:left="439" w:leftChars="209"/>
        <w:rPr>
          <w:rFonts w:ascii="宋体" w:hAnsi="宋体" w:cs="Arial"/>
          <w:color w:val="auto"/>
          <w:sz w:val="22"/>
          <w:szCs w:val="22"/>
          <w:highlight w:val="none"/>
        </w:rPr>
      </w:pPr>
      <w:r>
        <w:rPr>
          <w:rFonts w:hint="eastAsia" w:ascii="宋体" w:hAnsi="宋体"/>
          <w:color w:val="auto"/>
          <w:sz w:val="22"/>
          <w:szCs w:val="22"/>
          <w:highlight w:val="none"/>
        </w:rPr>
        <w:t>评标工作由招标人依法组建的评标委员会负责，评标全过程由有关部门指导监督。</w:t>
      </w:r>
    </w:p>
    <w:p>
      <w:pPr>
        <w:spacing w:line="420" w:lineRule="exact"/>
        <w:rPr>
          <w:rFonts w:ascii="宋体" w:hAnsi="宋体" w:cs="Arial"/>
          <w:b/>
          <w:color w:val="auto"/>
          <w:sz w:val="22"/>
          <w:highlight w:val="none"/>
        </w:rPr>
      </w:pPr>
      <w:r>
        <w:rPr>
          <w:rFonts w:hint="eastAsia" w:ascii="宋体" w:hAnsi="宋体" w:cs="Arial"/>
          <w:b/>
          <w:color w:val="auto"/>
          <w:sz w:val="22"/>
          <w:highlight w:val="none"/>
        </w:rPr>
        <w:t>三、评标办法</w:t>
      </w:r>
    </w:p>
    <w:p>
      <w:pPr>
        <w:spacing w:line="400" w:lineRule="exact"/>
        <w:ind w:left="439" w:leftChars="209"/>
        <w:rPr>
          <w:rFonts w:ascii="宋体" w:hAnsi="宋体" w:cs="Arial"/>
          <w:b/>
          <w:color w:val="auto"/>
          <w:sz w:val="22"/>
          <w:highlight w:val="none"/>
        </w:rPr>
      </w:pPr>
      <w:r>
        <w:rPr>
          <w:rFonts w:hint="eastAsia" w:ascii="宋体" w:hAnsi="宋体" w:cs="Arial"/>
          <w:color w:val="auto"/>
          <w:sz w:val="22"/>
          <w:highlight w:val="none"/>
        </w:rPr>
        <w:t>本次采购采用综合评分法，即投标人最大限度地满足招标文件实质性要求的基础上，按照招标文件的各项因素进行综合评审后，以评标总得分最高的投标人和次高的投标人作为第一和第二排序的中标候选人的评标方法。根据采购要求，</w:t>
      </w:r>
      <w:r>
        <w:rPr>
          <w:rFonts w:hint="eastAsia" w:ascii="宋体" w:hAnsi="宋体" w:cs="Arial"/>
          <w:b/>
          <w:color w:val="auto"/>
          <w:sz w:val="22"/>
          <w:highlight w:val="none"/>
        </w:rPr>
        <w:t>总分设定为100分；其中商务技术文件70分，报价文件（报价）30分。</w:t>
      </w:r>
    </w:p>
    <w:p>
      <w:pPr>
        <w:spacing w:line="420" w:lineRule="exact"/>
        <w:rPr>
          <w:rFonts w:ascii="宋体" w:hAnsi="宋体" w:cs="Arial"/>
          <w:b/>
          <w:color w:val="auto"/>
          <w:sz w:val="22"/>
          <w:highlight w:val="none"/>
        </w:rPr>
      </w:pPr>
      <w:bookmarkStart w:id="206" w:name="_Toc221356965"/>
      <w:bookmarkStart w:id="207" w:name="_Toc221356902"/>
      <w:r>
        <w:rPr>
          <w:rFonts w:hint="eastAsia" w:ascii="宋体" w:hAnsi="宋体" w:cs="Arial"/>
          <w:b/>
          <w:color w:val="auto"/>
          <w:sz w:val="22"/>
          <w:highlight w:val="none"/>
        </w:rPr>
        <w:t>四、评分细则</w:t>
      </w:r>
      <w:bookmarkEnd w:id="206"/>
      <w:bookmarkEnd w:id="207"/>
    </w:p>
    <w:p>
      <w:pPr>
        <w:spacing w:line="400" w:lineRule="exact"/>
        <w:rPr>
          <w:rFonts w:ascii="宋体" w:hAnsi="宋体" w:cs="Arial"/>
          <w:color w:val="auto"/>
          <w:sz w:val="22"/>
          <w:highlight w:val="none"/>
        </w:rPr>
      </w:pPr>
      <w:bookmarkStart w:id="208" w:name="_Toc221356966"/>
      <w:bookmarkStart w:id="209" w:name="_Toc221356903"/>
      <w:r>
        <w:rPr>
          <w:rFonts w:hint="eastAsia" w:ascii="宋体" w:hAnsi="宋体" w:cs="Arial"/>
          <w:color w:val="auto"/>
          <w:sz w:val="22"/>
          <w:highlight w:val="none"/>
        </w:rPr>
        <w:t>1、技术资信分的评定（70分）</w:t>
      </w:r>
    </w:p>
    <w:p>
      <w:pPr>
        <w:spacing w:line="400" w:lineRule="exact"/>
        <w:ind w:left="439" w:leftChars="209"/>
        <w:rPr>
          <w:rFonts w:hint="eastAsia" w:ascii="宋体" w:hAnsi="宋体" w:cs="Arial"/>
          <w:color w:val="auto"/>
          <w:sz w:val="22"/>
          <w:highlight w:val="none"/>
        </w:rPr>
      </w:pPr>
      <w:r>
        <w:rPr>
          <w:rFonts w:hint="eastAsia" w:ascii="宋体" w:hAnsi="宋体" w:cs="Arial"/>
          <w:color w:val="auto"/>
          <w:sz w:val="22"/>
          <w:highlight w:val="none"/>
        </w:rPr>
        <w:t>各评委成员按下列评分项目进行评定，每人一张评分计算表，由评标委员会成员各自评定打分并记实名。如任何一张表的一项评分内容分值超过规定的范围，则该张表无效。评标委员会成员对各投标人的各项评分内容评分的合计分的算术平均值为该投标人技术分的最终得分（四舍五入，保留小数点后二位）。</w:t>
      </w:r>
    </w:p>
    <w:tbl>
      <w:tblPr>
        <w:tblStyle w:val="67"/>
        <w:tblW w:w="49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3"/>
        <w:gridCol w:w="1677"/>
        <w:gridCol w:w="795"/>
        <w:gridCol w:w="65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jc w:val="center"/>
        </w:trPr>
        <w:tc>
          <w:tcPr>
            <w:tcW w:w="418" w:type="pct"/>
            <w:noWrap w:val="0"/>
            <w:vAlign w:val="center"/>
          </w:tcPr>
          <w:p>
            <w:pPr>
              <w:widowControl/>
              <w:spacing w:line="380" w:lineRule="exact"/>
              <w:jc w:val="center"/>
              <w:rPr>
                <w:rFonts w:ascii="宋体" w:hAnsi="宋体"/>
                <w:color w:val="auto"/>
                <w:kern w:val="0"/>
                <w:sz w:val="22"/>
                <w:szCs w:val="22"/>
                <w:highlight w:val="none"/>
              </w:rPr>
            </w:pPr>
            <w:r>
              <w:rPr>
                <w:rFonts w:hint="eastAsia" w:ascii="宋体" w:hAnsi="宋体"/>
                <w:color w:val="auto"/>
                <w:kern w:val="0"/>
                <w:sz w:val="22"/>
                <w:szCs w:val="22"/>
                <w:highlight w:val="none"/>
              </w:rPr>
              <w:t>序号</w:t>
            </w:r>
          </w:p>
        </w:tc>
        <w:tc>
          <w:tcPr>
            <w:tcW w:w="852" w:type="pct"/>
            <w:noWrap w:val="0"/>
            <w:vAlign w:val="center"/>
          </w:tcPr>
          <w:p>
            <w:pPr>
              <w:widowControl/>
              <w:spacing w:line="380" w:lineRule="exact"/>
              <w:jc w:val="center"/>
              <w:rPr>
                <w:rFonts w:ascii="宋体" w:hAnsi="宋体"/>
                <w:color w:val="auto"/>
                <w:kern w:val="0"/>
                <w:sz w:val="22"/>
                <w:szCs w:val="22"/>
                <w:highlight w:val="none"/>
              </w:rPr>
            </w:pPr>
            <w:r>
              <w:rPr>
                <w:rFonts w:hint="eastAsia" w:ascii="宋体" w:hAnsi="宋体"/>
                <w:color w:val="auto"/>
                <w:kern w:val="0"/>
                <w:sz w:val="22"/>
                <w:szCs w:val="22"/>
                <w:highlight w:val="none"/>
              </w:rPr>
              <w:t>评分内容</w:t>
            </w:r>
          </w:p>
        </w:tc>
        <w:tc>
          <w:tcPr>
            <w:tcW w:w="404" w:type="pct"/>
            <w:noWrap w:val="0"/>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分值</w:t>
            </w:r>
          </w:p>
        </w:tc>
        <w:tc>
          <w:tcPr>
            <w:tcW w:w="3325" w:type="pct"/>
            <w:noWrap w:val="0"/>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418" w:type="pct"/>
            <w:noWrap w:val="0"/>
            <w:vAlign w:val="center"/>
          </w:tcPr>
          <w:p>
            <w:pPr>
              <w:widowControl/>
              <w:spacing w:line="380" w:lineRule="exact"/>
              <w:jc w:val="center"/>
              <w:rPr>
                <w:rFonts w:ascii="宋体" w:hAnsi="宋体"/>
                <w:color w:val="auto"/>
                <w:kern w:val="0"/>
                <w:sz w:val="22"/>
                <w:szCs w:val="22"/>
                <w:highlight w:val="none"/>
              </w:rPr>
            </w:pPr>
            <w:r>
              <w:rPr>
                <w:rFonts w:hint="eastAsia" w:ascii="宋体" w:hAnsi="宋体"/>
                <w:color w:val="auto"/>
                <w:kern w:val="0"/>
                <w:sz w:val="22"/>
                <w:szCs w:val="22"/>
                <w:highlight w:val="none"/>
              </w:rPr>
              <w:t>1</w:t>
            </w:r>
          </w:p>
        </w:tc>
        <w:tc>
          <w:tcPr>
            <w:tcW w:w="852" w:type="pct"/>
            <w:noWrap w:val="0"/>
            <w:vAlign w:val="center"/>
          </w:tcPr>
          <w:p>
            <w:pPr>
              <w:pStyle w:val="125"/>
              <w:widowControl/>
              <w:spacing w:line="380" w:lineRule="exact"/>
              <w:ind w:firstLine="0" w:firstLineChars="0"/>
              <w:contextualSpacing/>
              <w:jc w:val="center"/>
              <w:rPr>
                <w:rFonts w:ascii="宋体" w:hAnsi="宋体" w:cs="宋体"/>
                <w:color w:val="auto"/>
                <w:sz w:val="22"/>
                <w:szCs w:val="22"/>
                <w:highlight w:val="none"/>
              </w:rPr>
            </w:pPr>
            <w:r>
              <w:rPr>
                <w:rFonts w:hint="eastAsia" w:ascii="宋体" w:eastAsia="宋体" w:cs="宋体"/>
                <w:color w:val="auto"/>
                <w:sz w:val="22"/>
                <w:szCs w:val="22"/>
                <w:highlight w:val="none"/>
              </w:rPr>
              <w:t>投标人实力</w:t>
            </w:r>
          </w:p>
        </w:tc>
        <w:tc>
          <w:tcPr>
            <w:tcW w:w="404" w:type="pct"/>
            <w:noWrap w:val="0"/>
            <w:vAlign w:val="center"/>
          </w:tcPr>
          <w:p>
            <w:pPr>
              <w:pStyle w:val="125"/>
              <w:widowControl/>
              <w:spacing w:line="380" w:lineRule="exact"/>
              <w:ind w:firstLine="0" w:firstLineChars="0"/>
              <w:contextualSpacing/>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7</w:t>
            </w:r>
          </w:p>
        </w:tc>
        <w:tc>
          <w:tcPr>
            <w:tcW w:w="3325" w:type="pct"/>
            <w:noWrap w:val="0"/>
            <w:vAlign w:val="center"/>
          </w:tcPr>
          <w:p>
            <w:pPr>
              <w:adjustRightInd w:val="0"/>
              <w:spacing w:line="276" w:lineRule="auto"/>
              <w:jc w:val="left"/>
              <w:rPr>
                <w:rFonts w:hint="eastAsia"/>
                <w:color w:val="auto"/>
                <w:highlight w:val="none"/>
              </w:rPr>
            </w:pPr>
            <w:r>
              <w:rPr>
                <w:rFonts w:hint="eastAsia"/>
                <w:color w:val="auto"/>
                <w:highlight w:val="none"/>
                <w:lang w:val="en-US" w:eastAsia="zh-CN"/>
              </w:rPr>
              <w:t>1</w:t>
            </w:r>
            <w:r>
              <w:rPr>
                <w:rFonts w:hint="eastAsia"/>
                <w:color w:val="auto"/>
                <w:highlight w:val="none"/>
              </w:rPr>
              <w:t>、投标人或制造商具有装备承制单位资格证书，提供有效的证明文件的得2分，不提供不得分</w:t>
            </w:r>
          </w:p>
          <w:p>
            <w:pPr>
              <w:adjustRightInd w:val="0"/>
              <w:spacing w:line="276" w:lineRule="auto"/>
              <w:jc w:val="left"/>
              <w:rPr>
                <w:rFonts w:hint="eastAsia"/>
                <w:color w:val="auto"/>
                <w:highlight w:val="none"/>
              </w:rPr>
            </w:pPr>
            <w:r>
              <w:rPr>
                <w:rFonts w:hint="eastAsia"/>
                <w:color w:val="auto"/>
                <w:highlight w:val="none"/>
                <w:lang w:val="en-US" w:eastAsia="zh-CN"/>
              </w:rPr>
              <w:t>2</w:t>
            </w:r>
            <w:r>
              <w:rPr>
                <w:rFonts w:hint="eastAsia"/>
                <w:color w:val="auto"/>
                <w:highlight w:val="none"/>
              </w:rPr>
              <w:t>、投标人提供省级以上（含省级）的高新技术企业证书（复印件加盖投标人公章），提供符合要求的证书得2分，未提供或提供的不符合要求为0分；</w:t>
            </w:r>
          </w:p>
          <w:p>
            <w:pPr>
              <w:pStyle w:val="61"/>
              <w:ind w:left="0" w:leftChars="0" w:firstLine="0" w:firstLineChars="0"/>
              <w:rPr>
                <w:rFonts w:hint="eastAsia" w:eastAsia="宋体"/>
                <w:color w:val="auto"/>
                <w:highlight w:val="none"/>
                <w:lang w:val="en-US" w:eastAsia="zh-CN"/>
              </w:rPr>
            </w:pPr>
            <w:r>
              <w:rPr>
                <w:rFonts w:hint="eastAsia"/>
                <w:color w:val="auto"/>
                <w:highlight w:val="none"/>
                <w:lang w:val="en-US" w:eastAsia="zh-CN"/>
              </w:rPr>
              <w:t>3、投标人具有有效期内的质量管理体系（ISO9001或GB/T19001）、知识产权管理体系（GB/T29490-2013）、信息化和工业化融合管理体系(GB/T23001-2017)的，每提供其中一个证书得1分，最多得3分。提供相应证书扫描件，未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418" w:type="pct"/>
            <w:noWrap w:val="0"/>
            <w:vAlign w:val="center"/>
          </w:tcPr>
          <w:p>
            <w:pPr>
              <w:spacing w:line="38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2</w:t>
            </w:r>
          </w:p>
        </w:tc>
        <w:tc>
          <w:tcPr>
            <w:tcW w:w="852" w:type="pct"/>
            <w:noWrap w:val="0"/>
            <w:vAlign w:val="center"/>
          </w:tcPr>
          <w:p>
            <w:pPr>
              <w:pStyle w:val="125"/>
              <w:widowControl/>
              <w:spacing w:line="380" w:lineRule="exact"/>
              <w:ind w:firstLine="0" w:firstLineChars="0"/>
              <w:contextualSpacing/>
              <w:jc w:val="center"/>
              <w:rPr>
                <w:rFonts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同类</w:t>
            </w:r>
            <w:r>
              <w:rPr>
                <w:rFonts w:hint="eastAsia" w:ascii="宋体" w:hAnsi="宋体" w:cs="宋体"/>
                <w:color w:val="auto"/>
                <w:sz w:val="22"/>
                <w:szCs w:val="22"/>
                <w:highlight w:val="none"/>
              </w:rPr>
              <w:t>业绩</w:t>
            </w:r>
          </w:p>
        </w:tc>
        <w:tc>
          <w:tcPr>
            <w:tcW w:w="404" w:type="pct"/>
            <w:noWrap w:val="0"/>
            <w:vAlign w:val="center"/>
          </w:tcPr>
          <w:p>
            <w:pPr>
              <w:pStyle w:val="125"/>
              <w:widowControl/>
              <w:spacing w:line="380" w:lineRule="exact"/>
              <w:ind w:firstLine="0" w:firstLineChars="0"/>
              <w:contextualSpacing/>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5</w:t>
            </w:r>
          </w:p>
        </w:tc>
        <w:tc>
          <w:tcPr>
            <w:tcW w:w="3325" w:type="pct"/>
            <w:noWrap w:val="0"/>
            <w:vAlign w:val="center"/>
          </w:tcPr>
          <w:p>
            <w:pPr>
              <w:rPr>
                <w:rFonts w:ascii="宋体" w:hAnsi="宋体" w:eastAsia="宋体" w:cs="Times New Roman"/>
                <w:bCs/>
                <w:color w:val="auto"/>
                <w:kern w:val="2"/>
                <w:sz w:val="22"/>
                <w:szCs w:val="22"/>
                <w:highlight w:val="none"/>
                <w:lang w:val="en-US" w:eastAsia="zh-CN" w:bidi="ar-SA"/>
              </w:rPr>
            </w:pPr>
            <w:r>
              <w:rPr>
                <w:rFonts w:hint="eastAsia" w:ascii="宋体" w:hAnsi="宋体"/>
                <w:color w:val="auto"/>
                <w:szCs w:val="21"/>
                <w:highlight w:val="none"/>
              </w:rPr>
              <w:t>根据投标人类似项目业绩情况评分，业绩是2018年1月1日以来类似项目，每提供1个得1分，最高得</w:t>
            </w:r>
            <w:r>
              <w:rPr>
                <w:rFonts w:hint="eastAsia" w:ascii="宋体" w:hAnsi="宋体"/>
                <w:color w:val="auto"/>
                <w:szCs w:val="21"/>
                <w:highlight w:val="none"/>
                <w:lang w:val="en-US" w:eastAsia="zh-CN"/>
              </w:rPr>
              <w:t>5</w:t>
            </w:r>
            <w:r>
              <w:rPr>
                <w:rFonts w:hint="eastAsia" w:ascii="宋体" w:hAnsi="宋体"/>
                <w:color w:val="auto"/>
                <w:szCs w:val="21"/>
                <w:highlight w:val="none"/>
              </w:rPr>
              <w:t>分。（时间以合同签订日期为准，投标文件中提供合同复印件并加盖公章）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jc w:val="center"/>
        </w:trPr>
        <w:tc>
          <w:tcPr>
            <w:tcW w:w="418" w:type="pct"/>
            <w:noWrap w:val="0"/>
            <w:vAlign w:val="center"/>
          </w:tcPr>
          <w:p>
            <w:pPr>
              <w:widowControl/>
              <w:spacing w:line="380" w:lineRule="exact"/>
              <w:jc w:val="center"/>
              <w:rPr>
                <w:rFonts w:ascii="宋体" w:hAnsi="宋体"/>
                <w:color w:val="auto"/>
                <w:kern w:val="0"/>
                <w:sz w:val="22"/>
                <w:szCs w:val="22"/>
                <w:highlight w:val="none"/>
              </w:rPr>
            </w:pPr>
            <w:r>
              <w:rPr>
                <w:rFonts w:hint="eastAsia" w:ascii="宋体" w:hAnsi="宋体"/>
                <w:color w:val="auto"/>
                <w:kern w:val="0"/>
                <w:sz w:val="22"/>
                <w:szCs w:val="22"/>
                <w:highlight w:val="none"/>
              </w:rPr>
              <w:t>3</w:t>
            </w:r>
          </w:p>
        </w:tc>
        <w:tc>
          <w:tcPr>
            <w:tcW w:w="852" w:type="pct"/>
            <w:noWrap w:val="0"/>
            <w:vAlign w:val="center"/>
          </w:tcPr>
          <w:p>
            <w:pPr>
              <w:widowControl/>
              <w:spacing w:line="380" w:lineRule="exact"/>
              <w:jc w:val="center"/>
              <w:rPr>
                <w:rFonts w:ascii="宋体" w:hAnsi="宋体" w:eastAsia="宋体" w:cs="Times New Roman"/>
                <w:color w:val="auto"/>
                <w:kern w:val="0"/>
                <w:sz w:val="22"/>
                <w:szCs w:val="22"/>
                <w:highlight w:val="none"/>
                <w:lang w:val="en-US" w:eastAsia="zh-CN" w:bidi="ar-SA"/>
              </w:rPr>
            </w:pPr>
            <w:r>
              <w:rPr>
                <w:rFonts w:hint="eastAsia" w:ascii="宋体" w:hAnsi="宋体" w:cs="宋体"/>
                <w:color w:val="auto"/>
                <w:sz w:val="22"/>
                <w:szCs w:val="22"/>
                <w:highlight w:val="none"/>
              </w:rPr>
              <w:t>售后服务方案</w:t>
            </w:r>
          </w:p>
        </w:tc>
        <w:tc>
          <w:tcPr>
            <w:tcW w:w="404" w:type="pct"/>
            <w:noWrap w:val="0"/>
            <w:vAlign w:val="center"/>
          </w:tcPr>
          <w:p>
            <w:pPr>
              <w:pStyle w:val="615"/>
              <w:spacing w:line="380" w:lineRule="exact"/>
              <w:ind w:firstLine="0" w:firstLineChars="0"/>
              <w:jc w:val="center"/>
              <w:rPr>
                <w:rFonts w:hint="eastAsia" w:ascii="宋体" w:hAnsi="宋体" w:eastAsia="宋体" w:cs="等线"/>
                <w:color w:val="auto"/>
                <w:kern w:val="0"/>
                <w:sz w:val="22"/>
                <w:szCs w:val="22"/>
                <w:highlight w:val="none"/>
                <w:lang w:val="en-US" w:eastAsia="zh-CN" w:bidi="ar-SA"/>
              </w:rPr>
            </w:pPr>
            <w:r>
              <w:rPr>
                <w:rFonts w:hint="eastAsia" w:ascii="宋体" w:hAnsi="宋体" w:eastAsia="宋体"/>
                <w:color w:val="auto"/>
                <w:sz w:val="22"/>
                <w:szCs w:val="22"/>
                <w:highlight w:val="none"/>
                <w:lang w:val="en-US" w:eastAsia="zh-CN"/>
              </w:rPr>
              <w:t>5</w:t>
            </w:r>
          </w:p>
        </w:tc>
        <w:tc>
          <w:tcPr>
            <w:tcW w:w="3325" w:type="pct"/>
            <w:noWrap w:val="0"/>
            <w:vAlign w:val="center"/>
          </w:tcPr>
          <w:p>
            <w:pPr>
              <w:jc w:val="left"/>
              <w:rPr>
                <w:color w:val="auto"/>
                <w:highlight w:val="none"/>
              </w:rPr>
            </w:pPr>
            <w:r>
              <w:rPr>
                <w:color w:val="auto"/>
                <w:highlight w:val="none"/>
              </w:rPr>
              <w:t>投标人提供售后服务本地适应性的书面方案，须包括但不限于以下内容：1、服务标准；2、服务内容；3、服务人员安排；</w:t>
            </w:r>
            <w:r>
              <w:rPr>
                <w:rFonts w:hint="eastAsia"/>
                <w:color w:val="auto"/>
                <w:highlight w:val="none"/>
              </w:rPr>
              <w:t>4</w:t>
            </w:r>
            <w:r>
              <w:rPr>
                <w:color w:val="auto"/>
                <w:highlight w:val="none"/>
              </w:rPr>
              <w:t>、售后服务响应时间；</w:t>
            </w:r>
          </w:p>
          <w:p>
            <w:pPr>
              <w:adjustRightInd w:val="0"/>
              <w:spacing w:line="276" w:lineRule="auto"/>
              <w:jc w:val="left"/>
              <w:rPr>
                <w:rFonts w:ascii="Times New Roman" w:hAnsi="Times New Roman" w:eastAsia="宋体" w:cs="Times New Roman"/>
                <w:color w:val="auto"/>
                <w:kern w:val="2"/>
                <w:sz w:val="21"/>
                <w:szCs w:val="24"/>
                <w:highlight w:val="none"/>
                <w:lang w:val="en-US" w:eastAsia="zh-CN" w:bidi="ar-SA"/>
              </w:rPr>
            </w:pPr>
            <w:r>
              <w:rPr>
                <w:color w:val="auto"/>
                <w:highlight w:val="none"/>
              </w:rPr>
              <w:t>根据投标人所提供售后服务方案</w:t>
            </w:r>
            <w:r>
              <w:rPr>
                <w:rFonts w:hint="eastAsia"/>
                <w:color w:val="auto"/>
                <w:highlight w:val="none"/>
              </w:rPr>
              <w:t>是否</w:t>
            </w:r>
            <w:r>
              <w:rPr>
                <w:color w:val="auto"/>
                <w:highlight w:val="none"/>
              </w:rPr>
              <w:t>充分考虑实际需求，售后能力、服务响应及时</w:t>
            </w:r>
            <w:r>
              <w:rPr>
                <w:rFonts w:hint="eastAsia"/>
                <w:color w:val="auto"/>
                <w:highlight w:val="none"/>
              </w:rPr>
              <w:t>与否</w:t>
            </w:r>
            <w:r>
              <w:rPr>
                <w:color w:val="auto"/>
                <w:highlight w:val="none"/>
              </w:rPr>
              <w:t>，技术人员力量多少</w:t>
            </w:r>
            <w:r>
              <w:rPr>
                <w:rFonts w:hint="eastAsia"/>
                <w:color w:val="auto"/>
                <w:highlight w:val="none"/>
              </w:rPr>
              <w:t>，</w:t>
            </w:r>
            <w:r>
              <w:rPr>
                <w:color w:val="auto"/>
                <w:highlight w:val="none"/>
              </w:rPr>
              <w:t>服务网点的位置、规模、性质和数量相比较而评分。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 w:hRule="atLeast"/>
          <w:jc w:val="center"/>
        </w:trPr>
        <w:tc>
          <w:tcPr>
            <w:tcW w:w="418" w:type="pct"/>
            <w:noWrap w:val="0"/>
            <w:vAlign w:val="center"/>
          </w:tcPr>
          <w:p>
            <w:pPr>
              <w:widowControl/>
              <w:spacing w:line="380" w:lineRule="exact"/>
              <w:jc w:val="center"/>
              <w:rPr>
                <w:rFonts w:ascii="宋体" w:hAnsi="宋体"/>
                <w:color w:val="auto"/>
                <w:kern w:val="0"/>
                <w:sz w:val="22"/>
                <w:szCs w:val="22"/>
                <w:highlight w:val="none"/>
              </w:rPr>
            </w:pPr>
            <w:r>
              <w:rPr>
                <w:rFonts w:hint="eastAsia" w:ascii="宋体" w:hAnsi="宋体"/>
                <w:color w:val="auto"/>
                <w:kern w:val="0"/>
                <w:sz w:val="22"/>
                <w:szCs w:val="22"/>
                <w:highlight w:val="none"/>
              </w:rPr>
              <w:t>4</w:t>
            </w:r>
          </w:p>
        </w:tc>
        <w:tc>
          <w:tcPr>
            <w:tcW w:w="852" w:type="pct"/>
            <w:noWrap w:val="0"/>
            <w:vAlign w:val="center"/>
          </w:tcPr>
          <w:p>
            <w:pPr>
              <w:pStyle w:val="125"/>
              <w:widowControl/>
              <w:spacing w:line="380" w:lineRule="exact"/>
              <w:ind w:firstLine="0" w:firstLineChars="0"/>
              <w:contextualSpacing/>
              <w:jc w:val="center"/>
              <w:rPr>
                <w:rFonts w:ascii="宋体" w:hAnsi="宋体" w:eastAsia="宋体" w:cs="宋体"/>
                <w:color w:val="auto"/>
                <w:kern w:val="2"/>
                <w:sz w:val="22"/>
                <w:szCs w:val="22"/>
                <w:highlight w:val="none"/>
                <w:lang w:val="en-US" w:eastAsia="zh-CN" w:bidi="ar-SA"/>
              </w:rPr>
            </w:pPr>
            <w:r>
              <w:rPr>
                <w:rFonts w:hint="eastAsia" w:ascii="宋体" w:hAnsi="宋体"/>
                <w:color w:val="auto"/>
                <w:sz w:val="22"/>
                <w:szCs w:val="22"/>
                <w:highlight w:val="none"/>
              </w:rPr>
              <w:t>售后服务体系</w:t>
            </w:r>
          </w:p>
        </w:tc>
        <w:tc>
          <w:tcPr>
            <w:tcW w:w="404" w:type="pct"/>
            <w:noWrap w:val="0"/>
            <w:vAlign w:val="center"/>
          </w:tcPr>
          <w:p>
            <w:pPr>
              <w:pStyle w:val="615"/>
              <w:spacing w:line="380" w:lineRule="exact"/>
              <w:ind w:firstLine="0" w:firstLineChars="0"/>
              <w:jc w:val="center"/>
              <w:rPr>
                <w:rFonts w:hint="eastAsia" w:ascii="宋体" w:hAnsi="宋体" w:eastAsia="宋体" w:cs="等线"/>
                <w:color w:val="auto"/>
                <w:kern w:val="0"/>
                <w:sz w:val="22"/>
                <w:szCs w:val="22"/>
                <w:highlight w:val="none"/>
                <w:lang w:val="en-US" w:eastAsia="zh-CN" w:bidi="ar-SA"/>
              </w:rPr>
            </w:pPr>
            <w:r>
              <w:rPr>
                <w:rFonts w:hint="eastAsia" w:ascii="宋体" w:hAnsi="宋体" w:eastAsia="宋体"/>
                <w:color w:val="auto"/>
                <w:sz w:val="22"/>
                <w:szCs w:val="22"/>
                <w:highlight w:val="none"/>
                <w:lang w:val="en-US" w:eastAsia="zh-CN"/>
              </w:rPr>
              <w:t>2</w:t>
            </w:r>
          </w:p>
        </w:tc>
        <w:tc>
          <w:tcPr>
            <w:tcW w:w="3325" w:type="pct"/>
            <w:noWrap w:val="0"/>
            <w:vAlign w:val="center"/>
          </w:tcPr>
          <w:p>
            <w:pPr>
              <w:adjustRightInd w:val="0"/>
              <w:spacing w:line="276" w:lineRule="auto"/>
              <w:jc w:val="left"/>
              <w:rPr>
                <w:rFonts w:ascii="宋体" w:hAnsi="宋体" w:eastAsia="宋体" w:cs="Times New Roman"/>
                <w:bCs/>
                <w:color w:val="auto"/>
                <w:kern w:val="2"/>
                <w:sz w:val="22"/>
                <w:szCs w:val="22"/>
                <w:highlight w:val="none"/>
                <w:lang w:val="en-US" w:eastAsia="zh-CN" w:bidi="ar-SA"/>
              </w:rPr>
            </w:pPr>
            <w:r>
              <w:rPr>
                <w:rFonts w:hint="eastAsia" w:ascii="宋体" w:hAnsi="宋体"/>
                <w:color w:val="auto"/>
                <w:szCs w:val="21"/>
                <w:highlight w:val="none"/>
              </w:rPr>
              <w:t>投标人售后服务能力已达到国家标准“商品售后服务评价体系GB/T27922-2011”，提供售后服务七星认证证书，得2分。提供售后服务五星认证证书，得1分；其它不得分。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418" w:type="pct"/>
            <w:noWrap w:val="0"/>
            <w:vAlign w:val="center"/>
          </w:tcPr>
          <w:p>
            <w:pPr>
              <w:widowControl/>
              <w:spacing w:line="380" w:lineRule="exact"/>
              <w:jc w:val="center"/>
              <w:rPr>
                <w:rFonts w:ascii="宋体" w:hAnsi="宋体"/>
                <w:color w:val="auto"/>
                <w:kern w:val="0"/>
                <w:sz w:val="22"/>
                <w:szCs w:val="22"/>
                <w:highlight w:val="none"/>
              </w:rPr>
            </w:pPr>
            <w:r>
              <w:rPr>
                <w:rFonts w:hint="eastAsia" w:ascii="宋体" w:hAnsi="宋体"/>
                <w:color w:val="auto"/>
                <w:kern w:val="0"/>
                <w:sz w:val="22"/>
                <w:szCs w:val="22"/>
                <w:highlight w:val="none"/>
              </w:rPr>
              <w:t>5</w:t>
            </w:r>
          </w:p>
        </w:tc>
        <w:tc>
          <w:tcPr>
            <w:tcW w:w="852" w:type="pct"/>
            <w:noWrap w:val="0"/>
            <w:vAlign w:val="center"/>
          </w:tcPr>
          <w:p>
            <w:pPr>
              <w:pStyle w:val="125"/>
              <w:widowControl/>
              <w:spacing w:line="380" w:lineRule="exact"/>
              <w:ind w:firstLine="0" w:firstLineChars="0"/>
              <w:contextualSpacing/>
              <w:jc w:val="center"/>
              <w:rPr>
                <w:rFonts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技术参数响应情况</w:t>
            </w:r>
          </w:p>
        </w:tc>
        <w:tc>
          <w:tcPr>
            <w:tcW w:w="404" w:type="pct"/>
            <w:noWrap w:val="0"/>
            <w:vAlign w:val="center"/>
          </w:tcPr>
          <w:p>
            <w:pPr>
              <w:widowControl/>
              <w:spacing w:line="380" w:lineRule="exact"/>
              <w:contextualSpacing/>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35</w:t>
            </w:r>
          </w:p>
        </w:tc>
        <w:tc>
          <w:tcPr>
            <w:tcW w:w="3325" w:type="pct"/>
            <w:noWrap w:val="0"/>
            <w:vAlign w:val="center"/>
          </w:tcPr>
          <w:p>
            <w:pPr>
              <w:adjustRightInd w:val="0"/>
              <w:spacing w:line="276" w:lineRule="auto"/>
              <w:jc w:val="left"/>
              <w:rPr>
                <w:rFonts w:hint="eastAsia" w:ascii="宋体" w:hAnsi="宋体" w:eastAsia="宋体" w:cs="宋体"/>
                <w:bCs/>
                <w:color w:val="auto"/>
                <w:sz w:val="21"/>
                <w:szCs w:val="21"/>
                <w:highlight w:val="none"/>
                <w:lang w:val="en-US" w:eastAsia="zh-CN"/>
              </w:rPr>
            </w:pPr>
            <w:r>
              <w:rPr>
                <w:rFonts w:ascii="宋体" w:hAnsi="宋体"/>
                <w:color w:val="auto"/>
                <w:szCs w:val="21"/>
                <w:highlight w:val="none"/>
              </w:rPr>
              <w:t>投标人根据招标文件产品技术参数要求响应，每有1项“</w:t>
            </w:r>
            <w:r>
              <w:rPr>
                <w:rFonts w:hint="eastAsia" w:ascii="宋体" w:hAnsi="宋体" w:cs="宋体"/>
                <w:color w:val="auto"/>
                <w:szCs w:val="21"/>
                <w:highlight w:val="none"/>
              </w:rPr>
              <w:t>▲</w:t>
            </w:r>
            <w:r>
              <w:rPr>
                <w:rFonts w:ascii="宋体" w:hAnsi="宋体"/>
                <w:color w:val="auto"/>
                <w:szCs w:val="21"/>
                <w:highlight w:val="none"/>
              </w:rPr>
              <w:t>”指标不满足（或负偏离），扣3分；每有1项</w:t>
            </w:r>
            <w:r>
              <w:rPr>
                <w:rFonts w:hint="eastAsia" w:ascii="宋体" w:hAnsi="宋体"/>
                <w:color w:val="auto"/>
                <w:szCs w:val="21"/>
                <w:highlight w:val="none"/>
              </w:rPr>
              <w:t>非</w:t>
            </w:r>
            <w:r>
              <w:rPr>
                <w:rFonts w:ascii="宋体" w:hAnsi="宋体"/>
                <w:color w:val="auto"/>
                <w:szCs w:val="21"/>
                <w:highlight w:val="none"/>
              </w:rPr>
              <w:t>“</w:t>
            </w:r>
            <w:r>
              <w:rPr>
                <w:rFonts w:hint="eastAsia" w:ascii="宋体" w:hAnsi="宋体" w:cs="宋体"/>
                <w:color w:val="auto"/>
                <w:szCs w:val="21"/>
                <w:highlight w:val="none"/>
              </w:rPr>
              <w:t>▲</w:t>
            </w:r>
            <w:r>
              <w:rPr>
                <w:rFonts w:ascii="宋体" w:hAnsi="宋体"/>
                <w:color w:val="auto"/>
                <w:szCs w:val="21"/>
                <w:highlight w:val="none"/>
              </w:rPr>
              <w:t>”指标不满足（或负偏离），扣1分</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扣完为止</w:t>
            </w:r>
            <w:r>
              <w:rPr>
                <w:rFonts w:hint="eastAsia" w:ascii="宋体" w:hAnsi="宋体" w:cs="宋体"/>
                <w:color w:val="auto"/>
                <w:sz w:val="22"/>
                <w:szCs w:val="22"/>
                <w:highlight w:val="none"/>
                <w:lang w:eastAsia="zh-CN"/>
              </w:rPr>
              <w:t>。</w:t>
            </w:r>
          </w:p>
          <w:p>
            <w:pPr>
              <w:widowControl/>
              <w:spacing w:line="276" w:lineRule="auto"/>
              <w:contextualSpacing/>
              <w:jc w:val="left"/>
              <w:rPr>
                <w:rFonts w:hint="eastAsia" w:ascii="宋体" w:hAnsi="宋体" w:eastAsia="宋体" w:cs="Times New Roman"/>
                <w:bCs/>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注：</w:t>
            </w:r>
            <w:r>
              <w:rPr>
                <w:rFonts w:hint="eastAsia" w:ascii="宋体" w:hAnsi="宋体" w:eastAsia="宋体" w:cs="宋体"/>
                <w:b/>
                <w:bCs/>
                <w:color w:val="auto"/>
                <w:sz w:val="22"/>
                <w:szCs w:val="22"/>
                <w:highlight w:val="none"/>
                <w:lang w:val="en-US" w:eastAsia="zh-CN"/>
              </w:rPr>
              <w:t>技术参数中需提供</w:t>
            </w:r>
            <w:r>
              <w:rPr>
                <w:rFonts w:hint="eastAsia" w:ascii="宋体" w:hAnsi="宋体" w:eastAsia="宋体" w:cs="宋体"/>
                <w:b/>
                <w:bCs/>
                <w:color w:val="auto"/>
                <w:sz w:val="22"/>
                <w:szCs w:val="22"/>
                <w:highlight w:val="none"/>
              </w:rPr>
              <w:t>检测报告证明文件，未</w:t>
            </w:r>
            <w:r>
              <w:rPr>
                <w:rFonts w:hint="eastAsia" w:ascii="宋体" w:hAnsi="宋体" w:eastAsia="宋体" w:cs="宋体"/>
                <w:b/>
                <w:bCs/>
                <w:color w:val="auto"/>
                <w:sz w:val="22"/>
                <w:szCs w:val="22"/>
                <w:highlight w:val="none"/>
                <w:lang w:val="en-US" w:eastAsia="zh-CN"/>
              </w:rPr>
              <w:t>按要求</w:t>
            </w:r>
            <w:r>
              <w:rPr>
                <w:rFonts w:hint="eastAsia" w:ascii="宋体" w:hAnsi="宋体" w:eastAsia="宋体" w:cs="宋体"/>
                <w:b/>
                <w:bCs/>
                <w:color w:val="auto"/>
                <w:sz w:val="22"/>
                <w:szCs w:val="22"/>
                <w:highlight w:val="none"/>
              </w:rPr>
              <w:t>提供检测报告</w:t>
            </w:r>
            <w:r>
              <w:rPr>
                <w:rFonts w:hint="eastAsia" w:ascii="宋体" w:hAnsi="宋体" w:eastAsia="宋体" w:cs="宋体"/>
                <w:b/>
                <w:bCs/>
                <w:color w:val="auto"/>
                <w:sz w:val="22"/>
                <w:szCs w:val="22"/>
                <w:highlight w:val="none"/>
                <w:lang w:val="en-US" w:eastAsia="zh-CN"/>
              </w:rPr>
              <w:t>的产品视为</w:t>
            </w:r>
            <w:r>
              <w:rPr>
                <w:rFonts w:hint="eastAsia" w:ascii="宋体" w:hAnsi="宋体" w:eastAsia="宋体" w:cs="宋体"/>
                <w:b/>
                <w:bCs/>
                <w:color w:val="auto"/>
                <w:sz w:val="21"/>
                <w:szCs w:val="21"/>
                <w:highlight w:val="none"/>
                <w:lang w:val="en-US" w:eastAsia="zh-CN"/>
              </w:rPr>
              <w:t>不满足</w:t>
            </w:r>
            <w:r>
              <w:rPr>
                <w:rFonts w:hint="eastAsia" w:ascii="宋体" w:hAnsi="宋体" w:eastAsia="宋体" w:cs="宋体"/>
                <w:b/>
                <w:bCs/>
                <w:color w:val="auto"/>
                <w:sz w:val="21"/>
                <w:szCs w:val="21"/>
                <w:highlight w:val="none"/>
              </w:rPr>
              <w:t>招标需求（负偏离</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jc w:val="center"/>
        </w:trPr>
        <w:tc>
          <w:tcPr>
            <w:tcW w:w="418" w:type="pct"/>
            <w:noWrap w:val="0"/>
            <w:vAlign w:val="center"/>
          </w:tcPr>
          <w:p>
            <w:pPr>
              <w:widowControl/>
              <w:spacing w:line="380" w:lineRule="exact"/>
              <w:jc w:val="center"/>
              <w:rPr>
                <w:rFonts w:ascii="宋体" w:hAnsi="宋体"/>
                <w:color w:val="auto"/>
                <w:kern w:val="0"/>
                <w:sz w:val="22"/>
                <w:szCs w:val="22"/>
                <w:highlight w:val="none"/>
              </w:rPr>
            </w:pPr>
            <w:r>
              <w:rPr>
                <w:rFonts w:hint="eastAsia" w:ascii="宋体" w:hAnsi="宋体"/>
                <w:color w:val="auto"/>
                <w:kern w:val="0"/>
                <w:sz w:val="22"/>
                <w:szCs w:val="22"/>
                <w:highlight w:val="none"/>
              </w:rPr>
              <w:t>6</w:t>
            </w:r>
          </w:p>
        </w:tc>
        <w:tc>
          <w:tcPr>
            <w:tcW w:w="852" w:type="pct"/>
            <w:noWrap w:val="0"/>
            <w:vAlign w:val="center"/>
          </w:tcPr>
          <w:p>
            <w:pPr>
              <w:widowControl/>
              <w:spacing w:line="380" w:lineRule="exact"/>
              <w:jc w:val="center"/>
              <w:rPr>
                <w:rFonts w:ascii="宋体" w:hAnsi="宋体" w:eastAsia="宋体" w:cs="Times New Roman"/>
                <w:color w:val="auto"/>
                <w:kern w:val="0"/>
                <w:sz w:val="22"/>
                <w:szCs w:val="22"/>
                <w:highlight w:val="none"/>
                <w:lang w:val="en-US" w:eastAsia="zh-CN" w:bidi="ar-SA"/>
              </w:rPr>
            </w:pPr>
            <w:r>
              <w:rPr>
                <w:rFonts w:hint="eastAsia" w:ascii="宋体" w:hAnsi="宋体"/>
                <w:color w:val="auto"/>
                <w:kern w:val="0"/>
                <w:sz w:val="22"/>
                <w:szCs w:val="22"/>
                <w:highlight w:val="none"/>
              </w:rPr>
              <w:t>样品评分</w:t>
            </w:r>
          </w:p>
        </w:tc>
        <w:tc>
          <w:tcPr>
            <w:tcW w:w="404" w:type="pct"/>
            <w:noWrap w:val="0"/>
            <w:vAlign w:val="center"/>
          </w:tcPr>
          <w:p>
            <w:pPr>
              <w:widowControl/>
              <w:spacing w:line="380" w:lineRule="exact"/>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10</w:t>
            </w:r>
          </w:p>
        </w:tc>
        <w:tc>
          <w:tcPr>
            <w:tcW w:w="3325" w:type="pct"/>
            <w:noWrap w:val="0"/>
            <w:vAlign w:val="center"/>
          </w:tcPr>
          <w:p>
            <w:pPr>
              <w:adjustRightInd w:val="0"/>
              <w:spacing w:line="276" w:lineRule="auto"/>
              <w:jc w:val="left"/>
              <w:rPr>
                <w:rFonts w:ascii="宋体" w:hAnsi="宋体"/>
                <w:color w:val="auto"/>
                <w:kern w:val="0"/>
                <w:sz w:val="22"/>
                <w:szCs w:val="22"/>
                <w:highlight w:val="none"/>
              </w:rPr>
            </w:pPr>
            <w:r>
              <w:rPr>
                <w:rFonts w:hint="eastAsia" w:ascii="宋体" w:hAnsi="宋体"/>
                <w:color w:val="auto"/>
                <w:kern w:val="0"/>
                <w:sz w:val="22"/>
                <w:szCs w:val="22"/>
                <w:highlight w:val="none"/>
              </w:rPr>
              <w:t>根据投标人提供投标样品的外观</w:t>
            </w:r>
            <w:r>
              <w:rPr>
                <w:rFonts w:hint="eastAsia" w:ascii="宋体" w:hAnsi="宋体"/>
                <w:bCs/>
                <w:color w:val="auto"/>
                <w:sz w:val="22"/>
                <w:szCs w:val="22"/>
                <w:highlight w:val="none"/>
              </w:rPr>
              <w:t>（0-</w:t>
            </w:r>
            <w:r>
              <w:rPr>
                <w:rFonts w:hint="eastAsia" w:ascii="宋体" w:hAnsi="宋体"/>
                <w:bCs/>
                <w:color w:val="auto"/>
                <w:sz w:val="22"/>
                <w:szCs w:val="22"/>
                <w:highlight w:val="none"/>
                <w:lang w:val="en-US" w:eastAsia="zh-CN"/>
              </w:rPr>
              <w:t>2</w:t>
            </w:r>
            <w:r>
              <w:rPr>
                <w:rFonts w:hint="eastAsia" w:ascii="宋体" w:hAnsi="宋体"/>
                <w:bCs/>
                <w:color w:val="auto"/>
                <w:sz w:val="22"/>
                <w:szCs w:val="22"/>
                <w:highlight w:val="none"/>
              </w:rPr>
              <w:t>分）</w:t>
            </w:r>
            <w:r>
              <w:rPr>
                <w:rFonts w:hint="eastAsia" w:ascii="宋体" w:hAnsi="宋体"/>
                <w:color w:val="auto"/>
                <w:kern w:val="0"/>
                <w:sz w:val="22"/>
                <w:szCs w:val="22"/>
                <w:highlight w:val="none"/>
              </w:rPr>
              <w:t>、材料</w:t>
            </w:r>
            <w:r>
              <w:rPr>
                <w:rFonts w:hint="eastAsia" w:ascii="宋体" w:hAnsi="宋体"/>
                <w:bCs/>
                <w:color w:val="auto"/>
                <w:sz w:val="22"/>
                <w:szCs w:val="22"/>
                <w:highlight w:val="none"/>
              </w:rPr>
              <w:t>（0-</w:t>
            </w:r>
            <w:r>
              <w:rPr>
                <w:rFonts w:hint="eastAsia" w:ascii="宋体" w:hAnsi="宋体"/>
                <w:bCs/>
                <w:color w:val="auto"/>
                <w:sz w:val="22"/>
                <w:szCs w:val="22"/>
                <w:highlight w:val="none"/>
                <w:lang w:val="en-US" w:eastAsia="zh-CN"/>
              </w:rPr>
              <w:t>2</w:t>
            </w:r>
            <w:r>
              <w:rPr>
                <w:rFonts w:hint="eastAsia" w:ascii="宋体" w:hAnsi="宋体"/>
                <w:bCs/>
                <w:color w:val="auto"/>
                <w:sz w:val="22"/>
                <w:szCs w:val="22"/>
                <w:highlight w:val="none"/>
              </w:rPr>
              <w:t>分</w:t>
            </w:r>
            <w:r>
              <w:rPr>
                <w:rFonts w:hint="eastAsia" w:ascii="宋体" w:hAnsi="宋体"/>
                <w:bCs/>
                <w:color w:val="auto"/>
                <w:sz w:val="22"/>
                <w:szCs w:val="22"/>
                <w:highlight w:val="none"/>
                <w:lang w:eastAsia="zh-CN"/>
              </w:rPr>
              <w:t>）</w:t>
            </w:r>
            <w:r>
              <w:rPr>
                <w:rFonts w:hint="eastAsia" w:ascii="宋体" w:hAnsi="宋体"/>
                <w:color w:val="auto"/>
                <w:kern w:val="0"/>
                <w:sz w:val="22"/>
                <w:szCs w:val="22"/>
                <w:highlight w:val="none"/>
              </w:rPr>
              <w:t>、工艺</w:t>
            </w:r>
            <w:r>
              <w:rPr>
                <w:rFonts w:hint="eastAsia" w:ascii="宋体" w:hAnsi="宋体"/>
                <w:bCs/>
                <w:color w:val="auto"/>
                <w:sz w:val="22"/>
                <w:szCs w:val="22"/>
                <w:highlight w:val="none"/>
              </w:rPr>
              <w:t>（0-</w:t>
            </w:r>
            <w:r>
              <w:rPr>
                <w:rFonts w:hint="eastAsia" w:ascii="宋体" w:hAnsi="宋体"/>
                <w:bCs/>
                <w:color w:val="auto"/>
                <w:sz w:val="22"/>
                <w:szCs w:val="22"/>
                <w:highlight w:val="none"/>
                <w:lang w:val="en-US" w:eastAsia="zh-CN"/>
              </w:rPr>
              <w:t>3</w:t>
            </w:r>
            <w:r>
              <w:rPr>
                <w:rFonts w:hint="eastAsia" w:ascii="宋体" w:hAnsi="宋体"/>
                <w:bCs/>
                <w:color w:val="auto"/>
                <w:sz w:val="22"/>
                <w:szCs w:val="22"/>
                <w:highlight w:val="none"/>
              </w:rPr>
              <w:t>分</w:t>
            </w:r>
            <w:r>
              <w:rPr>
                <w:rFonts w:hint="eastAsia" w:ascii="宋体" w:hAnsi="宋体"/>
                <w:bCs/>
                <w:color w:val="auto"/>
                <w:sz w:val="22"/>
                <w:szCs w:val="22"/>
                <w:highlight w:val="none"/>
                <w:lang w:eastAsia="zh-CN"/>
              </w:rPr>
              <w:t>）</w:t>
            </w:r>
            <w:r>
              <w:rPr>
                <w:rFonts w:hint="eastAsia" w:ascii="宋体" w:hAnsi="宋体"/>
                <w:color w:val="auto"/>
                <w:kern w:val="0"/>
                <w:sz w:val="22"/>
                <w:szCs w:val="22"/>
                <w:highlight w:val="none"/>
              </w:rPr>
              <w:t>、用户需求的符合性</w:t>
            </w:r>
            <w:r>
              <w:rPr>
                <w:rFonts w:hint="eastAsia" w:ascii="宋体" w:hAnsi="宋体"/>
                <w:bCs/>
                <w:color w:val="auto"/>
                <w:sz w:val="22"/>
                <w:szCs w:val="22"/>
                <w:highlight w:val="none"/>
              </w:rPr>
              <w:t>（0-</w:t>
            </w:r>
            <w:r>
              <w:rPr>
                <w:rFonts w:hint="eastAsia" w:ascii="宋体" w:hAnsi="宋体"/>
                <w:bCs/>
                <w:color w:val="auto"/>
                <w:sz w:val="22"/>
                <w:szCs w:val="22"/>
                <w:highlight w:val="none"/>
                <w:lang w:val="en-US" w:eastAsia="zh-CN"/>
              </w:rPr>
              <w:t>3</w:t>
            </w:r>
            <w:r>
              <w:rPr>
                <w:rFonts w:hint="eastAsia" w:ascii="宋体" w:hAnsi="宋体"/>
                <w:bCs/>
                <w:color w:val="auto"/>
                <w:sz w:val="22"/>
                <w:szCs w:val="22"/>
                <w:highlight w:val="none"/>
              </w:rPr>
              <w:t>分</w:t>
            </w:r>
            <w:r>
              <w:rPr>
                <w:rFonts w:hint="eastAsia" w:ascii="宋体" w:hAnsi="宋体"/>
                <w:bCs/>
                <w:color w:val="auto"/>
                <w:sz w:val="22"/>
                <w:szCs w:val="22"/>
                <w:highlight w:val="none"/>
                <w:lang w:eastAsia="zh-CN"/>
              </w:rPr>
              <w:t>）</w:t>
            </w:r>
            <w:r>
              <w:rPr>
                <w:rFonts w:hint="eastAsia" w:ascii="宋体" w:hAnsi="宋体"/>
                <w:color w:val="auto"/>
                <w:kern w:val="0"/>
                <w:sz w:val="22"/>
                <w:szCs w:val="22"/>
                <w:highlight w:val="none"/>
              </w:rPr>
              <w:t>等进行综合</w:t>
            </w:r>
            <w:r>
              <w:rPr>
                <w:rFonts w:hint="eastAsia" w:ascii="宋体" w:hAnsi="宋体"/>
                <w:color w:val="auto"/>
                <w:kern w:val="0"/>
                <w:sz w:val="22"/>
                <w:szCs w:val="22"/>
                <w:highlight w:val="none"/>
                <w:lang w:val="en-US" w:eastAsia="zh-CN"/>
              </w:rPr>
              <w:t>评分</w:t>
            </w:r>
            <w:r>
              <w:rPr>
                <w:rFonts w:hint="eastAsia" w:ascii="宋体" w:hAnsi="宋体"/>
                <w:color w:val="auto"/>
                <w:kern w:val="0"/>
                <w:sz w:val="22"/>
                <w:szCs w:val="22"/>
                <w:highlight w:val="none"/>
              </w:rPr>
              <w:t>。</w:t>
            </w:r>
          </w:p>
          <w:p>
            <w:pPr>
              <w:adjustRightInd w:val="0"/>
              <w:spacing w:line="276" w:lineRule="auto"/>
              <w:jc w:val="left"/>
              <w:rPr>
                <w:rFonts w:hint="eastAsia" w:ascii="宋体" w:hAnsi="宋体" w:eastAsia="宋体" w:cs="Times New Roman"/>
                <w:bCs/>
                <w:color w:val="auto"/>
                <w:kern w:val="2"/>
                <w:sz w:val="22"/>
                <w:szCs w:val="22"/>
                <w:highlight w:val="none"/>
                <w:lang w:val="en-US" w:eastAsia="zh-CN" w:bidi="ar-SA"/>
              </w:rPr>
            </w:pPr>
            <w:r>
              <w:rPr>
                <w:rFonts w:hint="eastAsia" w:ascii="宋体" w:hAnsi="宋体"/>
                <w:color w:val="auto"/>
                <w:kern w:val="0"/>
                <w:sz w:val="22"/>
                <w:szCs w:val="22"/>
                <w:highlight w:val="none"/>
              </w:rPr>
              <w:t>注：材料样品作为参考依据之一，如投标人未提供样品或</w:t>
            </w:r>
            <w:r>
              <w:rPr>
                <w:rFonts w:hint="eastAsia" w:ascii="宋体" w:hAnsi="宋体"/>
                <w:color w:val="auto"/>
                <w:kern w:val="0"/>
                <w:sz w:val="22"/>
                <w:szCs w:val="22"/>
                <w:highlight w:val="none"/>
                <w:lang w:val="en-US" w:eastAsia="zh-CN"/>
              </w:rPr>
              <w:t>未按要求</w:t>
            </w:r>
            <w:r>
              <w:rPr>
                <w:rFonts w:hint="eastAsia" w:ascii="宋体" w:hAnsi="宋体"/>
                <w:color w:val="auto"/>
                <w:kern w:val="0"/>
                <w:sz w:val="22"/>
                <w:szCs w:val="22"/>
                <w:highlight w:val="none"/>
              </w:rPr>
              <w:t>提供样品，评标委员会将对其做出不利评判。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7" w:hRule="atLeast"/>
          <w:jc w:val="center"/>
        </w:trPr>
        <w:tc>
          <w:tcPr>
            <w:tcW w:w="418" w:type="pct"/>
            <w:noWrap w:val="0"/>
            <w:vAlign w:val="center"/>
          </w:tcPr>
          <w:p>
            <w:pPr>
              <w:widowControl/>
              <w:spacing w:line="380" w:lineRule="exact"/>
              <w:jc w:val="center"/>
              <w:rPr>
                <w:rFonts w:ascii="宋体" w:hAnsi="宋体"/>
                <w:color w:val="auto"/>
                <w:kern w:val="0"/>
                <w:sz w:val="22"/>
                <w:szCs w:val="22"/>
                <w:highlight w:val="none"/>
              </w:rPr>
            </w:pPr>
            <w:r>
              <w:rPr>
                <w:rFonts w:hint="eastAsia" w:ascii="宋体" w:hAnsi="宋体"/>
                <w:color w:val="auto"/>
                <w:kern w:val="0"/>
                <w:sz w:val="22"/>
                <w:szCs w:val="22"/>
                <w:highlight w:val="none"/>
              </w:rPr>
              <w:t>7</w:t>
            </w:r>
          </w:p>
        </w:tc>
        <w:tc>
          <w:tcPr>
            <w:tcW w:w="852" w:type="pct"/>
            <w:noWrap w:val="0"/>
            <w:vAlign w:val="center"/>
          </w:tcPr>
          <w:p>
            <w:pPr>
              <w:widowControl/>
              <w:spacing w:line="380" w:lineRule="exact"/>
              <w:jc w:val="center"/>
              <w:rPr>
                <w:rFonts w:ascii="宋体" w:hAnsi="宋体" w:eastAsia="宋体" w:cs="Times New Roman"/>
                <w:color w:val="auto"/>
                <w:kern w:val="0"/>
                <w:sz w:val="22"/>
                <w:szCs w:val="22"/>
                <w:highlight w:val="none"/>
                <w:lang w:val="en-US" w:eastAsia="zh-CN" w:bidi="ar-SA"/>
              </w:rPr>
            </w:pPr>
            <w:r>
              <w:rPr>
                <w:rFonts w:hint="eastAsia" w:ascii="宋体" w:hAnsi="宋体"/>
                <w:color w:val="auto"/>
                <w:kern w:val="0"/>
                <w:sz w:val="22"/>
                <w:szCs w:val="22"/>
                <w:highlight w:val="none"/>
              </w:rPr>
              <w:t>项目实施方案</w:t>
            </w:r>
          </w:p>
        </w:tc>
        <w:tc>
          <w:tcPr>
            <w:tcW w:w="404" w:type="pct"/>
            <w:noWrap w:val="0"/>
            <w:vAlign w:val="center"/>
          </w:tcPr>
          <w:p>
            <w:pPr>
              <w:widowControl/>
              <w:spacing w:line="380" w:lineRule="exact"/>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5</w:t>
            </w:r>
          </w:p>
        </w:tc>
        <w:tc>
          <w:tcPr>
            <w:tcW w:w="3325" w:type="pct"/>
            <w:noWrap w:val="0"/>
            <w:vAlign w:val="center"/>
          </w:tcPr>
          <w:p>
            <w:pPr>
              <w:adjustRightInd w:val="0"/>
              <w:spacing w:line="276" w:lineRule="auto"/>
              <w:jc w:val="left"/>
              <w:rPr>
                <w:rFonts w:ascii="宋体" w:hAnsi="宋体" w:eastAsia="宋体" w:cs="Times New Roman"/>
                <w:bCs/>
                <w:color w:val="auto"/>
                <w:kern w:val="2"/>
                <w:sz w:val="22"/>
                <w:szCs w:val="22"/>
                <w:highlight w:val="none"/>
                <w:lang w:val="en-US" w:eastAsia="zh-CN" w:bidi="ar-SA"/>
              </w:rPr>
            </w:pPr>
            <w:r>
              <w:rPr>
                <w:rFonts w:hint="eastAsia" w:ascii="宋体" w:hAnsi="宋体"/>
                <w:bCs/>
                <w:color w:val="auto"/>
                <w:sz w:val="22"/>
                <w:szCs w:val="22"/>
                <w:highlight w:val="none"/>
              </w:rPr>
              <w:t>根据各投标人的项目实施方案进行综合评分，包括但不限于项目的运输方案、供货方案、验收方案、服务承诺等情况。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4" w:hRule="atLeast"/>
          <w:jc w:val="center"/>
        </w:trPr>
        <w:tc>
          <w:tcPr>
            <w:tcW w:w="418" w:type="pct"/>
            <w:noWrap w:val="0"/>
            <w:vAlign w:val="center"/>
          </w:tcPr>
          <w:p>
            <w:pPr>
              <w:widowControl/>
              <w:spacing w:line="380" w:lineRule="exact"/>
              <w:jc w:val="center"/>
              <w:rPr>
                <w:rFonts w:ascii="宋体" w:hAnsi="宋体"/>
                <w:color w:val="auto"/>
                <w:kern w:val="0"/>
                <w:sz w:val="22"/>
                <w:szCs w:val="22"/>
                <w:highlight w:val="none"/>
              </w:rPr>
            </w:pPr>
            <w:r>
              <w:rPr>
                <w:rFonts w:hint="eastAsia" w:ascii="宋体" w:hAnsi="宋体"/>
                <w:color w:val="auto"/>
                <w:kern w:val="0"/>
                <w:sz w:val="22"/>
                <w:szCs w:val="22"/>
                <w:highlight w:val="none"/>
              </w:rPr>
              <w:t>8</w:t>
            </w:r>
          </w:p>
        </w:tc>
        <w:tc>
          <w:tcPr>
            <w:tcW w:w="852" w:type="pct"/>
            <w:noWrap w:val="0"/>
            <w:vAlign w:val="center"/>
          </w:tcPr>
          <w:p>
            <w:pPr>
              <w:jc w:val="center"/>
              <w:rPr>
                <w:rFonts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节能环保</w:t>
            </w:r>
          </w:p>
        </w:tc>
        <w:tc>
          <w:tcPr>
            <w:tcW w:w="404" w:type="pct"/>
            <w:noWrap w:val="0"/>
            <w:vAlign w:val="center"/>
          </w:tcPr>
          <w:p>
            <w:pPr>
              <w:jc w:val="center"/>
              <w:rPr>
                <w:rFonts w:ascii="宋体" w:hAnsi="宋体" w:eastAsia="宋体" w:cs="Times New Roman"/>
                <w:color w:val="auto"/>
                <w:kern w:val="2"/>
                <w:sz w:val="22"/>
                <w:szCs w:val="22"/>
                <w:highlight w:val="none"/>
                <w:lang w:val="en-US" w:eastAsia="zh-CN" w:bidi="ar-SA"/>
              </w:rPr>
            </w:pPr>
            <w:r>
              <w:rPr>
                <w:rFonts w:hint="eastAsia" w:ascii="宋体" w:hAnsi="宋体"/>
                <w:color w:val="auto"/>
                <w:sz w:val="22"/>
                <w:szCs w:val="22"/>
                <w:highlight w:val="none"/>
              </w:rPr>
              <w:t>1</w:t>
            </w:r>
          </w:p>
        </w:tc>
        <w:tc>
          <w:tcPr>
            <w:tcW w:w="3325" w:type="pct"/>
            <w:noWrap w:val="0"/>
            <w:vAlign w:val="center"/>
          </w:tcPr>
          <w:p>
            <w:pPr>
              <w:adjustRightInd w:val="0"/>
              <w:spacing w:line="276" w:lineRule="auto"/>
              <w:jc w:val="left"/>
              <w:rPr>
                <w:rFonts w:ascii="宋体" w:hAnsi="宋体" w:eastAsia="宋体" w:cs="Times New Roman"/>
                <w:bCs/>
                <w:color w:val="auto"/>
                <w:kern w:val="2"/>
                <w:sz w:val="22"/>
                <w:szCs w:val="22"/>
                <w:highlight w:val="none"/>
                <w:lang w:val="en-US" w:eastAsia="zh-CN" w:bidi="ar-SA"/>
              </w:rPr>
            </w:pPr>
            <w:r>
              <w:rPr>
                <w:rFonts w:hint="eastAsia" w:ascii="宋体" w:hAnsi="宋体"/>
                <w:bCs/>
                <w:color w:val="auto"/>
                <w:sz w:val="22"/>
                <w:szCs w:val="22"/>
                <w:highlight w:val="none"/>
              </w:rPr>
              <w:t>所投产品具有国家认可的认证机构出具的有效的节能产品得0.5分，环境标志产品认证证书得0.5分。</w:t>
            </w:r>
          </w:p>
        </w:tc>
      </w:tr>
    </w:tbl>
    <w:p>
      <w:pPr>
        <w:spacing w:line="400" w:lineRule="exact"/>
        <w:rPr>
          <w:rFonts w:ascii="宋体" w:hAnsi="宋体" w:cs="Arial"/>
          <w:color w:val="auto"/>
          <w:sz w:val="22"/>
          <w:highlight w:val="none"/>
        </w:rPr>
      </w:pPr>
      <w:r>
        <w:rPr>
          <w:rFonts w:hint="eastAsia" w:ascii="宋体" w:hAnsi="宋体" w:cs="Arial"/>
          <w:color w:val="auto"/>
          <w:sz w:val="22"/>
          <w:highlight w:val="none"/>
        </w:rPr>
        <w:t>2、</w:t>
      </w:r>
      <w:r>
        <w:rPr>
          <w:rFonts w:hint="eastAsia" w:ascii="宋体" w:hAnsi="宋体" w:cs="Arial"/>
          <w:b/>
          <w:color w:val="auto"/>
          <w:sz w:val="22"/>
          <w:highlight w:val="none"/>
        </w:rPr>
        <w:t>商务评分（30分）</w:t>
      </w:r>
      <w:r>
        <w:rPr>
          <w:rFonts w:hint="eastAsia" w:ascii="宋体" w:hAnsi="宋体" w:cs="Arial"/>
          <w:color w:val="auto"/>
          <w:sz w:val="22"/>
          <w:highlight w:val="none"/>
        </w:rPr>
        <w:t>：</w:t>
      </w:r>
    </w:p>
    <w:p>
      <w:pPr>
        <w:spacing w:line="400" w:lineRule="exact"/>
        <w:ind w:left="328" w:leftChars="156"/>
        <w:rPr>
          <w:rFonts w:ascii="宋体" w:hAnsi="宋体" w:cs="Arial"/>
          <w:color w:val="auto"/>
          <w:sz w:val="22"/>
          <w:highlight w:val="none"/>
        </w:rPr>
      </w:pPr>
      <w:r>
        <w:rPr>
          <w:rFonts w:hint="eastAsia" w:ascii="宋体" w:hAnsi="宋体" w:cs="Arial"/>
          <w:color w:val="auto"/>
          <w:sz w:val="22"/>
          <w:highlight w:val="none"/>
        </w:rPr>
        <w:t>满足招标文件要求且报价最低的投标报价为评标基准价。</w:t>
      </w:r>
    </w:p>
    <w:p>
      <w:pPr>
        <w:spacing w:line="400" w:lineRule="exact"/>
        <w:ind w:firstLine="330" w:firstLineChars="150"/>
        <w:rPr>
          <w:rFonts w:ascii="宋体" w:hAnsi="宋体" w:cs="Arial"/>
          <w:color w:val="auto"/>
          <w:sz w:val="22"/>
          <w:highlight w:val="none"/>
        </w:rPr>
      </w:pPr>
      <w:r>
        <w:rPr>
          <w:rFonts w:hint="eastAsia" w:ascii="宋体" w:hAnsi="宋体" w:cs="Arial"/>
          <w:color w:val="auto"/>
          <w:sz w:val="22"/>
          <w:highlight w:val="none"/>
        </w:rPr>
        <w:t>1）有效投标人的投标报价等于评标基准价时其商务分为满分30分；</w:t>
      </w:r>
    </w:p>
    <w:p>
      <w:pPr>
        <w:spacing w:line="400" w:lineRule="exact"/>
        <w:ind w:firstLine="330" w:firstLineChars="150"/>
        <w:rPr>
          <w:rFonts w:ascii="宋体" w:hAnsi="宋体" w:cs="Arial"/>
          <w:color w:val="auto"/>
          <w:sz w:val="22"/>
          <w:highlight w:val="none"/>
        </w:rPr>
      </w:pPr>
      <w:r>
        <w:rPr>
          <w:rFonts w:hint="eastAsia" w:ascii="宋体" w:hAnsi="宋体" w:cs="Arial"/>
          <w:color w:val="auto"/>
          <w:sz w:val="22"/>
          <w:highlight w:val="none"/>
        </w:rPr>
        <w:t>2）其他投标人的价格分按以下公式计算：</w:t>
      </w:r>
    </w:p>
    <w:p>
      <w:pPr>
        <w:spacing w:line="400" w:lineRule="exact"/>
        <w:ind w:left="657" w:leftChars="313"/>
        <w:rPr>
          <w:rFonts w:ascii="宋体" w:hAnsi="宋体" w:cs="Arial"/>
          <w:color w:val="auto"/>
          <w:sz w:val="22"/>
          <w:highlight w:val="none"/>
        </w:rPr>
      </w:pPr>
      <w:r>
        <w:rPr>
          <w:rFonts w:hint="eastAsia" w:ascii="宋体" w:hAnsi="宋体" w:cs="Arial"/>
          <w:color w:val="auto"/>
          <w:sz w:val="22"/>
          <w:highlight w:val="none"/>
        </w:rPr>
        <w:t>商务分得分=（评标基准价/投标人投标总价）×30% ×100（四舍五入后保留小数2位）</w:t>
      </w:r>
    </w:p>
    <w:p>
      <w:pPr>
        <w:spacing w:line="400" w:lineRule="exact"/>
        <w:ind w:firstLine="221" w:firstLineChars="100"/>
        <w:rPr>
          <w:rFonts w:hint="eastAsia" w:ascii="宋体" w:hAnsi="宋体" w:cs="宋体"/>
          <w:b/>
          <w:color w:val="auto"/>
          <w:sz w:val="22"/>
          <w:szCs w:val="22"/>
          <w:highlight w:val="none"/>
        </w:rPr>
      </w:pPr>
      <w:r>
        <w:rPr>
          <w:rFonts w:hint="eastAsia" w:ascii="宋体" w:hAnsi="宋体" w:cs="宋体"/>
          <w:b/>
          <w:color w:val="auto"/>
          <w:sz w:val="22"/>
          <w:szCs w:val="22"/>
          <w:highlight w:val="none"/>
        </w:rPr>
        <w:t>3）本项目为对应的中小企业划分标准所属行业：</w:t>
      </w:r>
      <w:r>
        <w:rPr>
          <w:rFonts w:hint="eastAsia" w:ascii="宋体" w:hAnsi="宋体" w:cs="宋体"/>
          <w:b/>
          <w:color w:val="auto"/>
          <w:sz w:val="22"/>
          <w:szCs w:val="22"/>
          <w:highlight w:val="none"/>
          <w:u w:val="single"/>
        </w:rPr>
        <w:t xml:space="preserve"> </w:t>
      </w:r>
      <w:r>
        <w:rPr>
          <w:rFonts w:hint="eastAsia" w:ascii="宋体" w:hAnsi="宋体" w:cs="宋体"/>
          <w:b/>
          <w:color w:val="auto"/>
          <w:sz w:val="22"/>
          <w:szCs w:val="22"/>
          <w:highlight w:val="none"/>
          <w:u w:val="single"/>
          <w:lang w:val="en-US" w:eastAsia="zh-CN"/>
        </w:rPr>
        <w:t>工</w:t>
      </w:r>
      <w:r>
        <w:rPr>
          <w:rFonts w:hint="eastAsia" w:ascii="宋体" w:hAnsi="宋体" w:cs="宋体"/>
          <w:b/>
          <w:color w:val="auto"/>
          <w:sz w:val="22"/>
          <w:szCs w:val="22"/>
          <w:highlight w:val="none"/>
          <w:u w:val="single"/>
        </w:rPr>
        <w:t>业</w:t>
      </w:r>
      <w:r>
        <w:rPr>
          <w:rFonts w:hint="eastAsia" w:ascii="宋体" w:hAnsi="宋体" w:cs="宋体"/>
          <w:b/>
          <w:color w:val="auto"/>
          <w:sz w:val="22"/>
          <w:szCs w:val="22"/>
          <w:highlight w:val="none"/>
        </w:rPr>
        <w:t>。</w:t>
      </w:r>
    </w:p>
    <w:p>
      <w:pPr>
        <w:spacing w:line="400" w:lineRule="exact"/>
        <w:rPr>
          <w:rFonts w:hint="eastAsia" w:ascii="宋体" w:hAnsi="宋体" w:cs="Arial"/>
          <w:b/>
          <w:color w:val="auto"/>
          <w:sz w:val="22"/>
          <w:szCs w:val="22"/>
          <w:highlight w:val="none"/>
          <w:u w:val="single"/>
          <w:lang w:eastAsia="zh-CN"/>
        </w:rPr>
      </w:pPr>
      <w:r>
        <w:rPr>
          <w:rFonts w:hint="eastAsia" w:ascii="宋体" w:hAnsi="宋体" w:cs="Arial"/>
          <w:color w:val="auto"/>
          <w:sz w:val="22"/>
          <w:highlight w:val="none"/>
        </w:rPr>
        <w:t xml:space="preserve"> </w:t>
      </w:r>
      <w:r>
        <w:rPr>
          <w:rFonts w:hint="eastAsia" w:ascii="宋体" w:hAnsi="宋体" w:cs="Arial"/>
          <w:color w:val="auto"/>
          <w:sz w:val="22"/>
          <w:highlight w:val="none"/>
          <w:lang w:val="en-US" w:eastAsia="zh-CN"/>
        </w:rPr>
        <w:t xml:space="preserve"> </w:t>
      </w:r>
      <w:r>
        <w:rPr>
          <w:rFonts w:hint="eastAsia" w:ascii="宋体" w:hAnsi="宋体" w:cs="Arial"/>
          <w:color w:val="auto"/>
          <w:sz w:val="22"/>
          <w:highlight w:val="none"/>
        </w:rPr>
        <w:t>4）</w:t>
      </w:r>
      <w:r>
        <w:rPr>
          <w:rFonts w:hint="eastAsia" w:ascii="宋体" w:hAnsi="宋体" w:cs="Arial"/>
          <w:b/>
          <w:color w:val="auto"/>
          <w:sz w:val="22"/>
          <w:szCs w:val="22"/>
          <w:highlight w:val="none"/>
          <w:u w:val="single"/>
        </w:rPr>
        <w:t>本项目采购预算为135</w:t>
      </w:r>
      <w:r>
        <w:rPr>
          <w:rFonts w:hint="eastAsia" w:ascii="宋体" w:hAnsi="宋体" w:cs="Arial"/>
          <w:b/>
          <w:color w:val="auto"/>
          <w:sz w:val="22"/>
          <w:szCs w:val="22"/>
          <w:highlight w:val="none"/>
          <w:u w:val="single"/>
          <w:lang w:val="en-US" w:eastAsia="zh-CN"/>
        </w:rPr>
        <w:t>.</w:t>
      </w:r>
      <w:r>
        <w:rPr>
          <w:rFonts w:hint="eastAsia" w:ascii="宋体" w:hAnsi="宋体" w:cs="Arial"/>
          <w:b/>
          <w:color w:val="auto"/>
          <w:sz w:val="22"/>
          <w:szCs w:val="22"/>
          <w:highlight w:val="none"/>
          <w:u w:val="single"/>
        </w:rPr>
        <w:t>868</w:t>
      </w:r>
      <w:r>
        <w:rPr>
          <w:rFonts w:hint="eastAsia" w:ascii="宋体" w:hAnsi="宋体" w:cs="Arial"/>
          <w:b/>
          <w:color w:val="auto"/>
          <w:sz w:val="22"/>
          <w:szCs w:val="22"/>
          <w:highlight w:val="none"/>
          <w:u w:val="single"/>
          <w:lang w:val="en-US" w:eastAsia="zh-CN"/>
        </w:rPr>
        <w:t>万</w:t>
      </w:r>
      <w:r>
        <w:rPr>
          <w:rFonts w:hint="eastAsia" w:ascii="宋体" w:hAnsi="宋体" w:cs="Arial"/>
          <w:b/>
          <w:color w:val="auto"/>
          <w:sz w:val="22"/>
          <w:szCs w:val="22"/>
          <w:highlight w:val="none"/>
          <w:u w:val="single"/>
        </w:rPr>
        <w:t>元</w:t>
      </w:r>
      <w:r>
        <w:rPr>
          <w:rFonts w:hint="eastAsia" w:ascii="宋体" w:hAnsi="宋体" w:cs="宋体"/>
          <w:b/>
          <w:color w:val="auto"/>
          <w:sz w:val="22"/>
          <w:szCs w:val="22"/>
          <w:highlight w:val="none"/>
        </w:rPr>
        <w:t>。</w:t>
      </w:r>
    </w:p>
    <w:p>
      <w:pPr>
        <w:spacing w:line="400" w:lineRule="exact"/>
        <w:ind w:firstLine="220" w:firstLineChars="100"/>
        <w:rPr>
          <w:rFonts w:ascii="宋体" w:hAnsi="宋体" w:cs="Arial"/>
          <w:color w:val="auto"/>
          <w:sz w:val="22"/>
          <w:highlight w:val="none"/>
        </w:rPr>
      </w:pPr>
      <w:r>
        <w:rPr>
          <w:rFonts w:hint="eastAsia" w:ascii="宋体" w:hAnsi="宋体" w:cs="Arial"/>
          <w:color w:val="auto"/>
          <w:sz w:val="22"/>
          <w:highlight w:val="none"/>
          <w:lang w:val="en-US" w:eastAsia="zh-CN"/>
        </w:rPr>
        <w:t>5</w:t>
      </w:r>
      <w:r>
        <w:rPr>
          <w:rFonts w:hint="eastAsia" w:ascii="宋体" w:hAnsi="宋体" w:cs="Arial"/>
          <w:color w:val="auto"/>
          <w:sz w:val="22"/>
          <w:highlight w:val="none"/>
        </w:rPr>
        <w:t>）</w:t>
      </w:r>
      <w:r>
        <w:rPr>
          <w:rFonts w:hint="eastAsia" w:ascii="宋体" w:hAnsi="宋体"/>
          <w:b/>
          <w:bCs/>
          <w:color w:val="auto"/>
          <w:sz w:val="22"/>
          <w:szCs w:val="22"/>
          <w:highlight w:val="none"/>
        </w:rPr>
        <w:t>▲</w:t>
      </w:r>
      <w:r>
        <w:rPr>
          <w:rFonts w:hint="eastAsia" w:ascii="宋体" w:hAnsi="宋体" w:cs="Arial"/>
          <w:b/>
          <w:color w:val="auto"/>
          <w:sz w:val="22"/>
          <w:szCs w:val="22"/>
          <w:highlight w:val="none"/>
          <w:u w:val="single"/>
        </w:rPr>
        <w:t>本项目</w:t>
      </w:r>
      <w:r>
        <w:rPr>
          <w:rFonts w:hint="eastAsia" w:ascii="宋体" w:hAnsi="宋体" w:cs="Arial"/>
          <w:b/>
          <w:color w:val="auto"/>
          <w:sz w:val="22"/>
          <w:szCs w:val="22"/>
          <w:highlight w:val="none"/>
          <w:u w:val="single"/>
          <w:lang w:eastAsia="zh-CN"/>
        </w:rPr>
        <w:t>最高限价</w:t>
      </w:r>
      <w:r>
        <w:rPr>
          <w:rFonts w:hint="eastAsia" w:ascii="宋体" w:hAnsi="宋体" w:cs="Arial"/>
          <w:b/>
          <w:color w:val="auto"/>
          <w:sz w:val="22"/>
          <w:szCs w:val="22"/>
          <w:highlight w:val="none"/>
          <w:u w:val="single"/>
        </w:rPr>
        <w:t>为124</w:t>
      </w:r>
      <w:r>
        <w:rPr>
          <w:rFonts w:hint="eastAsia" w:ascii="宋体" w:hAnsi="宋体" w:cs="Arial"/>
          <w:b/>
          <w:color w:val="auto"/>
          <w:sz w:val="22"/>
          <w:szCs w:val="22"/>
          <w:highlight w:val="none"/>
          <w:u w:val="single"/>
          <w:lang w:eastAsia="zh-CN"/>
        </w:rPr>
        <w:t>.</w:t>
      </w:r>
      <w:r>
        <w:rPr>
          <w:rFonts w:hint="eastAsia" w:ascii="宋体" w:hAnsi="宋体" w:cs="Arial"/>
          <w:b/>
          <w:color w:val="auto"/>
          <w:sz w:val="22"/>
          <w:szCs w:val="22"/>
          <w:highlight w:val="none"/>
          <w:u w:val="single"/>
        </w:rPr>
        <w:t>221</w:t>
      </w:r>
      <w:r>
        <w:rPr>
          <w:rFonts w:hint="eastAsia" w:ascii="宋体" w:hAnsi="宋体" w:cs="Arial"/>
          <w:b/>
          <w:color w:val="auto"/>
          <w:sz w:val="22"/>
          <w:szCs w:val="22"/>
          <w:highlight w:val="none"/>
          <w:u w:val="single"/>
          <w:lang w:val="en-US" w:eastAsia="zh-CN"/>
        </w:rPr>
        <w:t>万</w:t>
      </w:r>
      <w:r>
        <w:rPr>
          <w:rFonts w:hint="eastAsia" w:ascii="宋体" w:hAnsi="宋体" w:cs="Arial"/>
          <w:b/>
          <w:color w:val="auto"/>
          <w:sz w:val="22"/>
          <w:szCs w:val="22"/>
          <w:highlight w:val="none"/>
          <w:u w:val="single"/>
        </w:rPr>
        <w:t>元</w:t>
      </w:r>
      <w:r>
        <w:rPr>
          <w:rFonts w:hint="eastAsia" w:ascii="宋体" w:hAnsi="宋体" w:cs="Arial"/>
          <w:b/>
          <w:color w:val="auto"/>
          <w:sz w:val="22"/>
          <w:szCs w:val="22"/>
          <w:highlight w:val="none"/>
          <w:u w:val="single"/>
          <w:lang w:eastAsia="zh-CN"/>
        </w:rPr>
        <w:t>,</w:t>
      </w:r>
      <w:r>
        <w:rPr>
          <w:rFonts w:hint="eastAsia" w:ascii="宋体" w:hAnsi="宋体"/>
          <w:b/>
          <w:color w:val="auto"/>
          <w:sz w:val="22"/>
          <w:szCs w:val="22"/>
          <w:highlight w:val="none"/>
          <w:u w:val="single"/>
        </w:rPr>
        <w:t>如投标人报价超过</w:t>
      </w:r>
      <w:r>
        <w:rPr>
          <w:rFonts w:hint="eastAsia" w:ascii="宋体" w:hAnsi="宋体"/>
          <w:b/>
          <w:color w:val="auto"/>
          <w:sz w:val="22"/>
          <w:szCs w:val="22"/>
          <w:highlight w:val="none"/>
          <w:u w:val="single"/>
          <w:lang w:eastAsia="zh-CN"/>
        </w:rPr>
        <w:t>最高限价</w:t>
      </w:r>
      <w:r>
        <w:rPr>
          <w:rFonts w:hint="eastAsia" w:ascii="宋体" w:hAnsi="宋体"/>
          <w:b/>
          <w:color w:val="auto"/>
          <w:sz w:val="22"/>
          <w:szCs w:val="22"/>
          <w:highlight w:val="none"/>
          <w:u w:val="single"/>
        </w:rPr>
        <w:t>，其投标文件作无效标处理</w:t>
      </w:r>
      <w:r>
        <w:rPr>
          <w:rFonts w:hint="eastAsia" w:ascii="宋体" w:hAnsi="宋体" w:cs="Arial"/>
          <w:color w:val="auto"/>
          <w:sz w:val="22"/>
          <w:highlight w:val="none"/>
        </w:rPr>
        <w:t>。</w:t>
      </w:r>
    </w:p>
    <w:p>
      <w:pPr>
        <w:spacing w:line="400" w:lineRule="exact"/>
        <w:ind w:firstLine="220" w:firstLineChars="100"/>
        <w:rPr>
          <w:rFonts w:ascii="宋体" w:hAnsi="宋体" w:cs="Arial"/>
          <w:b/>
          <w:color w:val="auto"/>
          <w:sz w:val="22"/>
          <w:szCs w:val="22"/>
          <w:highlight w:val="none"/>
          <w:u w:val="single"/>
        </w:rPr>
      </w:pPr>
      <w:r>
        <w:rPr>
          <w:rFonts w:hint="eastAsia" w:ascii="宋体" w:hAnsi="宋体" w:cs="Arial"/>
          <w:color w:val="auto"/>
          <w:sz w:val="22"/>
          <w:highlight w:val="none"/>
          <w:lang w:val="en-US" w:eastAsia="zh-CN"/>
        </w:rPr>
        <w:t>6</w:t>
      </w:r>
      <w:r>
        <w:rPr>
          <w:rFonts w:hint="eastAsia" w:ascii="宋体" w:hAnsi="宋体" w:cs="Arial"/>
          <w:color w:val="auto"/>
          <w:sz w:val="22"/>
          <w:highlight w:val="none"/>
        </w:rPr>
        <w:t>）</w:t>
      </w:r>
      <w:r>
        <w:rPr>
          <w:rFonts w:hint="eastAsia" w:ascii="宋体" w:hAnsi="宋体" w:cs="Arial"/>
          <w:color w:val="auto"/>
          <w:sz w:val="22"/>
          <w:szCs w:val="22"/>
          <w:highlight w:val="none"/>
        </w:rPr>
        <w:t>所有投标人商务报价均超采购预算，</w:t>
      </w:r>
      <w:r>
        <w:rPr>
          <w:rFonts w:hint="eastAsia" w:ascii="宋体" w:hAnsi="宋体"/>
          <w:color w:val="auto"/>
          <w:sz w:val="22"/>
          <w:szCs w:val="22"/>
          <w:highlight w:val="none"/>
        </w:rPr>
        <w:t>采购人无法支付的,</w:t>
      </w:r>
      <w:r>
        <w:rPr>
          <w:rFonts w:hint="eastAsia" w:ascii="宋体" w:hAnsi="宋体" w:cs="Arial"/>
          <w:color w:val="auto"/>
          <w:sz w:val="22"/>
          <w:szCs w:val="22"/>
          <w:highlight w:val="none"/>
        </w:rPr>
        <w:t>重新组织招标</w:t>
      </w:r>
      <w:r>
        <w:rPr>
          <w:rFonts w:hint="eastAsia" w:ascii="宋体" w:hAnsi="宋体" w:cs="Arial"/>
          <w:color w:val="auto"/>
          <w:sz w:val="22"/>
          <w:highlight w:val="none"/>
        </w:rPr>
        <w:t>。</w:t>
      </w:r>
    </w:p>
    <w:p>
      <w:pPr>
        <w:spacing w:line="400" w:lineRule="exact"/>
        <w:rPr>
          <w:rFonts w:ascii="宋体" w:hAnsi="宋体" w:cs="Arial"/>
          <w:color w:val="auto"/>
          <w:sz w:val="22"/>
          <w:highlight w:val="none"/>
        </w:rPr>
      </w:pPr>
      <w:r>
        <w:rPr>
          <w:rFonts w:hint="eastAsia" w:ascii="宋体" w:hAnsi="宋体" w:cs="Arial"/>
          <w:color w:val="auto"/>
          <w:sz w:val="22"/>
          <w:highlight w:val="none"/>
        </w:rPr>
        <w:t>3、 有效投标人的综合得分为技术资信分和商务（报价）分的总和。</w:t>
      </w:r>
    </w:p>
    <w:p>
      <w:pPr>
        <w:tabs>
          <w:tab w:val="left" w:pos="540"/>
        </w:tabs>
        <w:spacing w:line="440" w:lineRule="exact"/>
        <w:rPr>
          <w:rFonts w:ascii="宋体" w:hAnsi="宋体" w:cs="Arial"/>
          <w:color w:val="auto"/>
          <w:sz w:val="22"/>
          <w:highlight w:val="none"/>
        </w:rPr>
      </w:pPr>
      <w:r>
        <w:rPr>
          <w:rFonts w:hint="eastAsia" w:ascii="宋体" w:hAnsi="宋体" w:cs="Arial"/>
          <w:color w:val="auto"/>
          <w:sz w:val="22"/>
          <w:highlight w:val="none"/>
        </w:rPr>
        <w:t>4、评标委员会</w:t>
      </w:r>
      <w:r>
        <w:rPr>
          <w:rFonts w:hint="eastAsia" w:ascii="宋体" w:hAnsi="宋体" w:cs="hakuyoxingshu7000"/>
          <w:color w:val="auto"/>
          <w:kern w:val="0"/>
          <w:sz w:val="22"/>
          <w:szCs w:val="22"/>
          <w:highlight w:val="none"/>
        </w:rPr>
        <w:t>依据法律、法规及招标文件有关规定在有效标中按投标人的综合得分（即技术资信分与商务分之和）高低进行排序，综合得分前二名的投标人推荐为第一和第二中标候选人。（综合</w:t>
      </w:r>
      <w:r>
        <w:rPr>
          <w:rFonts w:hint="eastAsia" w:ascii="宋体" w:hAnsi="宋体" w:cs="hakuyoxingshu7000"/>
          <w:color w:val="auto"/>
          <w:sz w:val="22"/>
          <w:szCs w:val="22"/>
          <w:highlight w:val="none"/>
        </w:rPr>
        <w:t>得分相同的，按</w:t>
      </w:r>
      <w:r>
        <w:rPr>
          <w:rFonts w:hint="eastAsia" w:ascii="宋体" w:hAnsi="宋体" w:cs="hakuyoxingshu7000"/>
          <w:color w:val="auto"/>
          <w:kern w:val="0"/>
          <w:sz w:val="22"/>
          <w:szCs w:val="22"/>
          <w:highlight w:val="none"/>
        </w:rPr>
        <w:t>商务分</w:t>
      </w:r>
      <w:r>
        <w:rPr>
          <w:rFonts w:hint="eastAsia" w:ascii="宋体" w:hAnsi="宋体" w:cs="hakuyoxingshu7000"/>
          <w:color w:val="auto"/>
          <w:sz w:val="22"/>
          <w:szCs w:val="22"/>
          <w:highlight w:val="none"/>
        </w:rPr>
        <w:t>由高到低顺序排列。</w:t>
      </w:r>
      <w:r>
        <w:rPr>
          <w:rFonts w:hint="eastAsia" w:ascii="宋体" w:hAnsi="宋体" w:cs="hakuyoxingshu7000"/>
          <w:color w:val="auto"/>
          <w:kern w:val="0"/>
          <w:sz w:val="22"/>
          <w:szCs w:val="22"/>
          <w:highlight w:val="none"/>
        </w:rPr>
        <w:t>综合</w:t>
      </w:r>
      <w:r>
        <w:rPr>
          <w:rFonts w:hint="eastAsia" w:ascii="宋体" w:hAnsi="宋体" w:cs="hakuyoxingshu7000"/>
          <w:color w:val="auto"/>
          <w:sz w:val="22"/>
          <w:szCs w:val="22"/>
          <w:highlight w:val="none"/>
        </w:rPr>
        <w:t>得分且</w:t>
      </w:r>
      <w:r>
        <w:rPr>
          <w:rFonts w:hint="eastAsia" w:ascii="宋体" w:hAnsi="宋体" w:cs="hakuyoxingshu7000"/>
          <w:color w:val="auto"/>
          <w:kern w:val="0"/>
          <w:sz w:val="22"/>
          <w:szCs w:val="22"/>
          <w:highlight w:val="none"/>
        </w:rPr>
        <w:t>商务分</w:t>
      </w:r>
      <w:r>
        <w:rPr>
          <w:rFonts w:hint="eastAsia" w:ascii="宋体" w:hAnsi="宋体" w:cs="hakuyoxingshu7000"/>
          <w:color w:val="auto"/>
          <w:sz w:val="22"/>
          <w:szCs w:val="22"/>
          <w:highlight w:val="none"/>
        </w:rPr>
        <w:t>相同，由评标委员会随机抽签决定排名顺序。</w:t>
      </w:r>
      <w:r>
        <w:rPr>
          <w:rFonts w:hint="eastAsia" w:ascii="宋体" w:hAnsi="宋体" w:cs="hakuyoxingshu7000"/>
          <w:color w:val="auto"/>
          <w:kern w:val="0"/>
          <w:sz w:val="22"/>
          <w:szCs w:val="22"/>
          <w:highlight w:val="none"/>
        </w:rPr>
        <w:t>）</w:t>
      </w:r>
    </w:p>
    <w:p>
      <w:pPr>
        <w:spacing w:line="420" w:lineRule="exact"/>
        <w:rPr>
          <w:rFonts w:ascii="宋体" w:hAnsi="宋体" w:cs="Arial"/>
          <w:b/>
          <w:color w:val="auto"/>
          <w:sz w:val="22"/>
          <w:highlight w:val="none"/>
        </w:rPr>
      </w:pPr>
      <w:r>
        <w:rPr>
          <w:rFonts w:hint="eastAsia" w:ascii="宋体" w:hAnsi="宋体" w:cs="Arial"/>
          <w:b/>
          <w:color w:val="auto"/>
          <w:sz w:val="22"/>
          <w:highlight w:val="none"/>
        </w:rPr>
        <w:t>六、定标办法</w:t>
      </w:r>
      <w:bookmarkEnd w:id="208"/>
      <w:bookmarkEnd w:id="209"/>
    </w:p>
    <w:p>
      <w:pPr>
        <w:spacing w:line="420" w:lineRule="exact"/>
        <w:ind w:firstLine="440" w:firstLineChars="200"/>
        <w:rPr>
          <w:rFonts w:ascii="宋体" w:hAnsi="宋体" w:cs="Arial"/>
          <w:color w:val="auto"/>
          <w:sz w:val="22"/>
          <w:highlight w:val="none"/>
        </w:rPr>
      </w:pPr>
      <w:bookmarkStart w:id="210" w:name="_Toc221356967"/>
      <w:bookmarkStart w:id="211" w:name="_Toc221356904"/>
      <w:r>
        <w:rPr>
          <w:rFonts w:hint="eastAsia" w:ascii="宋体" w:hAnsi="宋体" w:cs="Arial"/>
          <w:color w:val="auto"/>
          <w:sz w:val="22"/>
          <w:highlight w:val="none"/>
        </w:rPr>
        <w:t>本次招标由评标委员会推荐中标候选人，招标人根据评标委员会的推荐结果进行最终确认。如中标人放弃中标、或因不可抗力提出不能履行合同；或未能在规定时间内与招标人签订合同的；或者经质疑，招标人审查后，确因排名第一的候选人在本次采购活动中存在违法违规行为或其他原因使质疑成立的，招标人可以视具体情况确定是否由排名第二的中标候选人为中标人。如第二中标候选人因前款规定的同样原因不能签订合同的，本次招标失败，重新组织招标。</w:t>
      </w:r>
    </w:p>
    <w:p>
      <w:pPr>
        <w:spacing w:line="420" w:lineRule="exact"/>
        <w:rPr>
          <w:rFonts w:ascii="宋体" w:hAnsi="宋体" w:cs="Arial"/>
          <w:b/>
          <w:color w:val="auto"/>
          <w:sz w:val="22"/>
          <w:highlight w:val="none"/>
        </w:rPr>
      </w:pPr>
      <w:r>
        <w:rPr>
          <w:rFonts w:hint="eastAsia" w:ascii="宋体" w:hAnsi="宋体" w:cs="Arial"/>
          <w:b/>
          <w:color w:val="auto"/>
          <w:sz w:val="22"/>
          <w:highlight w:val="none"/>
        </w:rPr>
        <w:t>七、确定中标人</w:t>
      </w:r>
      <w:bookmarkEnd w:id="210"/>
      <w:bookmarkEnd w:id="211"/>
    </w:p>
    <w:p>
      <w:pPr>
        <w:spacing w:line="400" w:lineRule="exact"/>
        <w:ind w:left="439" w:leftChars="209"/>
        <w:rPr>
          <w:rFonts w:ascii="宋体" w:hAnsi="宋体" w:cs="Arial"/>
          <w:color w:val="auto"/>
          <w:sz w:val="22"/>
          <w:szCs w:val="22"/>
          <w:highlight w:val="none"/>
        </w:rPr>
      </w:pPr>
      <w:r>
        <w:rPr>
          <w:rFonts w:hint="eastAsia" w:ascii="宋体" w:hAnsi="宋体" w:cs="Arial"/>
          <w:color w:val="auto"/>
          <w:sz w:val="22"/>
          <w:szCs w:val="22"/>
          <w:highlight w:val="none"/>
        </w:rPr>
        <w:t>评标结束后，招标人将在</w:t>
      </w:r>
      <w:r>
        <w:rPr>
          <w:rFonts w:hint="eastAsia" w:ascii="宋体" w:hAnsi="宋体" w:cs="hakuyoxingshu7000"/>
          <w:color w:val="auto"/>
          <w:sz w:val="22"/>
          <w:szCs w:val="22"/>
          <w:highlight w:val="none"/>
        </w:rPr>
        <w:t>浙江政府采购网上公示中标结果</w:t>
      </w:r>
      <w:r>
        <w:rPr>
          <w:rFonts w:hint="eastAsia" w:ascii="宋体" w:hAnsi="宋体" w:cs="Arial"/>
          <w:color w:val="auto"/>
          <w:sz w:val="22"/>
          <w:szCs w:val="22"/>
          <w:highlight w:val="none"/>
        </w:rPr>
        <w:t>。公示期结束，在规定期限内无异议则招标机构将向中标人发出中标通知书。</w:t>
      </w:r>
    </w:p>
    <w:p>
      <w:pPr>
        <w:spacing w:line="420" w:lineRule="exact"/>
        <w:rPr>
          <w:rFonts w:ascii="宋体" w:hAnsi="宋体" w:cs="Arial"/>
          <w:b/>
          <w:color w:val="auto"/>
          <w:sz w:val="22"/>
          <w:highlight w:val="none"/>
        </w:rPr>
      </w:pPr>
      <w:bookmarkStart w:id="212" w:name="_Toc221356968"/>
      <w:bookmarkStart w:id="213" w:name="_Toc221356905"/>
      <w:r>
        <w:rPr>
          <w:rFonts w:hint="eastAsia" w:ascii="宋体" w:hAnsi="宋体" w:cs="Arial"/>
          <w:b/>
          <w:color w:val="auto"/>
          <w:sz w:val="22"/>
          <w:highlight w:val="none"/>
        </w:rPr>
        <w:t>八、投标人义务</w:t>
      </w:r>
      <w:bookmarkEnd w:id="212"/>
      <w:bookmarkEnd w:id="213"/>
    </w:p>
    <w:p>
      <w:pPr>
        <w:spacing w:line="400" w:lineRule="exact"/>
        <w:ind w:left="439" w:leftChars="209"/>
        <w:rPr>
          <w:rFonts w:ascii="宋体" w:hAnsi="宋体" w:cs="Arial"/>
          <w:color w:val="auto"/>
          <w:sz w:val="22"/>
          <w:szCs w:val="22"/>
          <w:highlight w:val="none"/>
        </w:rPr>
      </w:pPr>
      <w:r>
        <w:rPr>
          <w:rFonts w:hint="eastAsia" w:ascii="宋体" w:hAnsi="宋体" w:cs="Arial"/>
          <w:color w:val="auto"/>
          <w:sz w:val="22"/>
          <w:szCs w:val="22"/>
          <w:highlight w:val="none"/>
        </w:rPr>
        <w:t>投标人应随时接受评标委员会的询标，解答包括有关的商务、技术问题等。评标结束，所有评标资料存招标机构备查。</w:t>
      </w:r>
    </w:p>
    <w:sectPr>
      <w:footerReference r:id="rId11" w:type="first"/>
      <w:headerReference r:id="rId9" w:type="default"/>
      <w:footerReference r:id="rId10" w:type="default"/>
      <w:type w:val="nextColumn"/>
      <w:pgSz w:w="11906" w:h="16838"/>
      <w:pgMar w:top="1134" w:right="1134" w:bottom="1134" w:left="1134" w:header="851" w:footer="851"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DFKai-SB">
    <w:altName w:val="Microsoft JhengHei Light"/>
    <w:panose1 w:val="00000000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Century Gothic">
    <w:panose1 w:val="020B0502020202020204"/>
    <w:charset w:val="00"/>
    <w:family w:val="swiss"/>
    <w:pitch w:val="default"/>
    <w:sig w:usb0="00000287" w:usb1="00000000" w:usb2="00000000" w:usb3="00000000" w:csb0="2000009F" w:csb1="DFD7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003F01FF" w:csb1="00000000"/>
  </w:font>
  <w:font w:name="华文细黑">
    <w:panose1 w:val="02010600040101010101"/>
    <w:charset w:val="86"/>
    <w:family w:val="auto"/>
    <w:pitch w:val="default"/>
    <w:sig w:usb0="00000287" w:usb1="080F0000" w:usb2="00000000" w:usb3="00000000" w:csb0="0004009F" w:csb1="DFD70000"/>
  </w:font>
  <w:font w:name="Helvetica">
    <w:panose1 w:val="020B0504020202030204"/>
    <w:charset w:val="00"/>
    <w:family w:val="swiss"/>
    <w:pitch w:val="default"/>
    <w:sig w:usb0="00000007" w:usb1="00000000" w:usb2="00000000" w:usb3="00000000" w:csb0="00000093" w:csb1="00000000"/>
  </w:font>
  <w:font w:name="宋体,Verdana,Arial">
    <w:altName w:val="宋体"/>
    <w:panose1 w:val="00000000000000000000"/>
    <w:charset w:val="86"/>
    <w:family w:val="roman"/>
    <w:pitch w:val="default"/>
    <w:sig w:usb0="00000000" w:usb1="00000000" w:usb2="0000001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Times">
    <w:altName w:val="Times New Roman"/>
    <w:panose1 w:val="02020603050405020304"/>
    <w:charset w:val="00"/>
    <w:family w:val="roman"/>
    <w:pitch w:val="default"/>
    <w:sig w:usb0="00000000" w:usb1="00000000" w:usb2="00000000" w:usb3="00000000" w:csb0="00000093" w:csb1="00000000"/>
  </w:font>
  <w:font w:name="全真楷書">
    <w:altName w:val="宋体"/>
    <w:panose1 w:val="00000000000000000000"/>
    <w:charset w:val="86"/>
    <w:family w:val="roman"/>
    <w:pitch w:val="default"/>
    <w:sig w:usb0="00000000" w:usb1="00000000" w:usb2="00000000" w:usb3="00000000" w:csb0="00040001" w:csb1="00000000"/>
  </w:font>
  <w:font w:name="Trebuchet MS">
    <w:panose1 w:val="020B0603020202020204"/>
    <w:charset w:val="00"/>
    <w:family w:val="swiss"/>
    <w:pitch w:val="default"/>
    <w:sig w:usb0="00000687" w:usb1="00000000" w:usb2="00000000" w:usb3="00000000" w:csb0="2000009F" w:csb1="00000000"/>
  </w:font>
  <w:font w:name="Calibri Light">
    <w:panose1 w:val="020F0302020204030204"/>
    <w:charset w:val="00"/>
    <w:family w:val="swiss"/>
    <w:pitch w:val="default"/>
    <w:sig w:usb0="E4002EFF" w:usb1="C000247B" w:usb2="00000009" w:usb3="00000000" w:csb0="200001FF" w:csb1="00000000"/>
  </w:font>
  <w:font w:name="TimesNewRomanPSMT">
    <w:altName w:val="Times New Roman"/>
    <w:panose1 w:val="00000000000000000000"/>
    <w:charset w:val="00"/>
    <w:family w:val="auto"/>
    <w:pitch w:val="default"/>
    <w:sig w:usb0="00000000" w:usb1="00000000" w:usb2="00000000" w:usb3="00000000" w:csb0="00040001" w:csb1="00000000"/>
  </w:font>
  <w:font w:name="hakuyoxingshu7000">
    <w:altName w:val="宋体"/>
    <w:panose1 w:val="00000000000000000000"/>
    <w:charset w:val="86"/>
    <w:family w:val="auto"/>
    <w:pitch w:val="default"/>
    <w:sig w:usb0="00000000" w:usb1="00000000" w:usb2="0000003F" w:usb3="00000000" w:csb0="003F00FF"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4819"/>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4819"/>
        <w:tab w:val="clear" w:pos="4153"/>
        <w:tab w:val="clear" w:pos="8306"/>
      </w:tabs>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pBdr>
        <w:bottom w:val="single" w:color="auto" w:sz="6" w:space="3"/>
      </w:pBdr>
      <w:rPr>
        <w:rStyle w:val="73"/>
      </w:rPr>
    </w:pPr>
    <w:r>
      <w:fldChar w:fldCharType="begin"/>
    </w:r>
    <w:r>
      <w:rPr>
        <w:rStyle w:val="73"/>
      </w:rPr>
      <w:instrText xml:space="preserve">PAGE  </w:instrText>
    </w:r>
    <w:r>
      <w:fldChar w:fldCharType="end"/>
    </w:r>
  </w:p>
  <w:p>
    <w:pPr>
      <w:pStyle w:val="41"/>
      <w:pBdr>
        <w:bottom w:val="single" w:color="auto" w:sz="6" w:space="3"/>
      </w:pBd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fldChar w:fldCharType="begin"/>
                          </w:r>
                          <w:r>
                            <w:instrText xml:space="preserve"> PAGE   \* MERGEFORMAT </w:instrText>
                          </w:r>
                          <w:r>
                            <w:fldChar w:fldCharType="separate"/>
                          </w:r>
                          <w:r>
                            <w:rPr>
                              <w:lang w:val="zh-CN"/>
                            </w:rPr>
                            <w:t>49</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jc w:val="center"/>
                    </w:pPr>
                    <w:r>
                      <w:fldChar w:fldCharType="begin"/>
                    </w:r>
                    <w:r>
                      <w:instrText xml:space="preserve"> PAGE   \* MERGEFORMAT </w:instrText>
                    </w:r>
                    <w:r>
                      <w:fldChar w:fldCharType="separate"/>
                    </w:r>
                    <w:r>
                      <w:rPr>
                        <w:lang w:val="zh-CN"/>
                      </w:rPr>
                      <w:t>49</w:t>
                    </w:r>
                    <w:r>
                      <w:rPr>
                        <w:lang w:val="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lear" w:pos="4153"/>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2E84F"/>
    <w:multiLevelType w:val="singleLevel"/>
    <w:tmpl w:val="8402E84F"/>
    <w:lvl w:ilvl="0" w:tentative="0">
      <w:start w:val="1"/>
      <w:numFmt w:val="decimal"/>
      <w:lvlText w:val="(%1)"/>
      <w:lvlJc w:val="left"/>
      <w:pPr>
        <w:ind w:left="425" w:hanging="425"/>
      </w:pPr>
      <w:rPr>
        <w:rFonts w:hint="default"/>
      </w:rPr>
    </w:lvl>
  </w:abstractNum>
  <w:abstractNum w:abstractNumId="1">
    <w:nsid w:val="9D5CB564"/>
    <w:multiLevelType w:val="singleLevel"/>
    <w:tmpl w:val="9D5CB564"/>
    <w:lvl w:ilvl="0" w:tentative="0">
      <w:start w:val="1"/>
      <w:numFmt w:val="decimal"/>
      <w:lvlText w:val="%1."/>
      <w:lvlJc w:val="left"/>
      <w:pPr>
        <w:ind w:left="425" w:hanging="425"/>
      </w:pPr>
      <w:rPr>
        <w:rFonts w:hint="default"/>
      </w:rPr>
    </w:lvl>
  </w:abstractNum>
  <w:abstractNum w:abstractNumId="2">
    <w:nsid w:val="AF53D290"/>
    <w:multiLevelType w:val="multilevel"/>
    <w:tmpl w:val="AF53D290"/>
    <w:lvl w:ilvl="0" w:tentative="0">
      <w:start w:val="1"/>
      <w:numFmt w:val="decimal"/>
      <w:lvlText w:val="%1)"/>
      <w:lvlJc w:val="left"/>
      <w:pPr>
        <w:tabs>
          <w:tab w:val="left" w:pos="840"/>
        </w:tabs>
        <w:ind w:left="84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B36C854A"/>
    <w:multiLevelType w:val="multilevel"/>
    <w:tmpl w:val="B36C854A"/>
    <w:lvl w:ilvl="0" w:tentative="0">
      <w:start w:val="1"/>
      <w:numFmt w:val="decimal"/>
      <w:lvlText w:val="%1)"/>
      <w:lvlJc w:val="left"/>
      <w:pPr>
        <w:tabs>
          <w:tab w:val="left" w:pos="840"/>
        </w:tabs>
        <w:ind w:left="84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F362CBF9"/>
    <w:multiLevelType w:val="singleLevel"/>
    <w:tmpl w:val="F362CBF9"/>
    <w:lvl w:ilvl="0" w:tentative="0">
      <w:start w:val="1"/>
      <w:numFmt w:val="decimal"/>
      <w:lvlText w:val="%1."/>
      <w:lvlJc w:val="left"/>
      <w:pPr>
        <w:tabs>
          <w:tab w:val="left" w:pos="312"/>
        </w:tabs>
      </w:pPr>
    </w:lvl>
  </w:abstractNum>
  <w:abstractNum w:abstractNumId="5">
    <w:nsid w:val="F6003B6F"/>
    <w:multiLevelType w:val="multilevel"/>
    <w:tmpl w:val="F6003B6F"/>
    <w:lvl w:ilvl="0" w:tentative="0">
      <w:start w:val="1"/>
      <w:numFmt w:val="decimal"/>
      <w:lvlText w:val="%1)"/>
      <w:lvlJc w:val="left"/>
      <w:pPr>
        <w:tabs>
          <w:tab w:val="left" w:pos="840"/>
        </w:tabs>
        <w:ind w:left="84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2"/>
    <w:multiLevelType w:val="multilevel"/>
    <w:tmpl w:val="00000002"/>
    <w:lvl w:ilvl="0" w:tentative="0">
      <w:start w:val="1"/>
      <w:numFmt w:val="decimal"/>
      <w:lvlText w:val="（%1）"/>
      <w:lvlJc w:val="left"/>
      <w:pPr>
        <w:tabs>
          <w:tab w:val="left" w:pos="420"/>
        </w:tabs>
        <w:ind w:left="420" w:hanging="420"/>
      </w:pPr>
      <w:rPr>
        <w:rFonts w:hint="eastAsia" w:ascii="楷体_GB2312" w:hAnsi="Times New Roman" w:eastAsia="楷体_GB2312"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E"/>
    <w:multiLevelType w:val="multilevel"/>
    <w:tmpl w:val="0000000E"/>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60"/>
        </w:tabs>
        <w:ind w:left="1260" w:hanging="420"/>
      </w:pPr>
      <w:rPr>
        <w:rFonts w:hint="eastAsia"/>
        <w:b w:val="0"/>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0"/>
    <w:multiLevelType w:val="multilevel"/>
    <w:tmpl w:val="00000010"/>
    <w:lvl w:ilvl="0" w:tentative="0">
      <w:start w:val="1"/>
      <w:numFmt w:val="decimal"/>
      <w:lvlText w:val="（%1）"/>
      <w:lvlJc w:val="left"/>
      <w:pPr>
        <w:tabs>
          <w:tab w:val="left" w:pos="420"/>
        </w:tabs>
        <w:ind w:left="420" w:hanging="420"/>
      </w:pPr>
      <w:rPr>
        <w:rFonts w:hint="default" w:ascii="Times New Roman" w:hAnsi="Times New Roman" w:cs="Tahoma"/>
        <w:b w:val="0"/>
      </w:rPr>
    </w:lvl>
    <w:lvl w:ilvl="1" w:tentative="0">
      <w:start w:val="2"/>
      <w:numFmt w:val="decimal"/>
      <w:lvlText w:val="%2．"/>
      <w:lvlJc w:val="left"/>
      <w:pPr>
        <w:tabs>
          <w:tab w:val="left" w:pos="780"/>
        </w:tabs>
        <w:ind w:left="780" w:hanging="360"/>
      </w:pPr>
      <w:rPr>
        <w:rFonts w:hint="default"/>
        <w:color w:val="000000"/>
        <w:sz w:val="24"/>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1"/>
    <w:multiLevelType w:val="multilevel"/>
    <w:tmpl w:val="00000011"/>
    <w:lvl w:ilvl="0" w:tentative="0">
      <w:start w:val="1"/>
      <w:numFmt w:val="decimal"/>
      <w:lvlText w:val="%1)"/>
      <w:lvlJc w:val="left"/>
      <w:pPr>
        <w:tabs>
          <w:tab w:val="left" w:pos="840"/>
        </w:tabs>
        <w:ind w:left="84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45"/>
    <w:multiLevelType w:val="multilevel"/>
    <w:tmpl w:val="00000045"/>
    <w:lvl w:ilvl="0" w:tentative="0">
      <w:start w:val="1"/>
      <w:numFmt w:val="decimal"/>
      <w:lvlText w:val="%1)"/>
      <w:lvlJc w:val="left"/>
      <w:pPr>
        <w:tabs>
          <w:tab w:val="left" w:pos="780"/>
        </w:tabs>
        <w:ind w:left="780" w:hanging="420"/>
      </w:pPr>
      <w:rPr>
        <w:rFonts w:hint="default" w:ascii="Times New Roman" w:hAnsi="Times New Roman" w:cs="Times New Roman"/>
        <w:b w:val="0"/>
      </w:rPr>
    </w:lvl>
    <w:lvl w:ilvl="1" w:tentative="0">
      <w:start w:val="1"/>
      <w:numFmt w:val="lowerLetter"/>
      <w:lvlText w:val="%2)"/>
      <w:lvlJc w:val="left"/>
      <w:pPr>
        <w:tabs>
          <w:tab w:val="left" w:pos="840"/>
        </w:tabs>
        <w:ind w:left="840" w:hanging="420"/>
      </w:pPr>
      <w:rPr>
        <w:b w:val="0"/>
      </w:rPr>
    </w:lvl>
    <w:lvl w:ilvl="2" w:tentative="0">
      <w:start w:val="1"/>
      <w:numFmt w:val="chineseCountingThousand"/>
      <w:lvlText w:val="(%3)"/>
      <w:lvlJc w:val="left"/>
      <w:pPr>
        <w:tabs>
          <w:tab w:val="left" w:pos="600"/>
        </w:tabs>
        <w:ind w:left="600" w:hanging="420"/>
      </w:pPr>
      <w:rPr>
        <w:rFonts w:hint="eastAsia"/>
        <w:b w:val="0"/>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38D770D"/>
    <w:multiLevelType w:val="multilevel"/>
    <w:tmpl w:val="038D770D"/>
    <w:lvl w:ilvl="0" w:tentative="0">
      <w:start w:val="1"/>
      <w:numFmt w:val="decimal"/>
      <w:lvlText w:val="%1)"/>
      <w:lvlJc w:val="left"/>
      <w:pPr>
        <w:tabs>
          <w:tab w:val="left" w:pos="840"/>
        </w:tabs>
        <w:ind w:left="84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5FE0DEB"/>
    <w:multiLevelType w:val="multilevel"/>
    <w:tmpl w:val="05FE0DEB"/>
    <w:lvl w:ilvl="0" w:tentative="0">
      <w:start w:val="1"/>
      <w:numFmt w:val="none"/>
      <w:lvlText w:val="2"/>
      <w:lvlJc w:val="left"/>
      <w:pPr>
        <w:tabs>
          <w:tab w:val="left" w:pos="425"/>
        </w:tabs>
        <w:ind w:left="425" w:hanging="425"/>
      </w:pPr>
      <w:rPr>
        <w:rFonts w:hint="eastAsia"/>
      </w:rPr>
    </w:lvl>
    <w:lvl w:ilvl="1" w:tentative="0">
      <w:start w:val="1"/>
      <w:numFmt w:val="decimal"/>
      <w:lvlText w:val="%12.%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3">
    <w:nsid w:val="07D80E56"/>
    <w:multiLevelType w:val="multilevel"/>
    <w:tmpl w:val="07D80E56"/>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1"/>
      <w:numFmt w:val="japaneseCounting"/>
      <w:lvlText w:val="%2、"/>
      <w:lvlJc w:val="left"/>
      <w:pPr>
        <w:tabs>
          <w:tab w:val="left" w:pos="870"/>
        </w:tabs>
        <w:ind w:left="870" w:hanging="450"/>
      </w:pPr>
      <w:rPr>
        <w:rFonts w:hint="default"/>
      </w:rPr>
    </w:lvl>
    <w:lvl w:ilvl="2" w:tentative="0">
      <w:start w:val="5"/>
      <w:numFmt w:val="decimal"/>
      <w:lvlText w:val="(%3)"/>
      <w:lvlJc w:val="left"/>
      <w:pPr>
        <w:tabs>
          <w:tab w:val="left" w:pos="1680"/>
        </w:tabs>
        <w:ind w:left="1680" w:hanging="840"/>
      </w:pPr>
      <w:rPr>
        <w:rFonts w:hint="default"/>
      </w:rPr>
    </w:lvl>
    <w:lvl w:ilvl="3" w:tentative="0">
      <w:start w:val="1"/>
      <w:numFmt w:val="decimal"/>
      <w:lvlText w:val="%4、"/>
      <w:lvlJc w:val="left"/>
      <w:pPr>
        <w:tabs>
          <w:tab w:val="left" w:pos="1620"/>
        </w:tabs>
        <w:ind w:left="1620" w:hanging="360"/>
      </w:pPr>
      <w:rPr>
        <w:rFonts w:hint="default"/>
      </w:rPr>
    </w:lvl>
    <w:lvl w:ilvl="4" w:tentative="0">
      <w:start w:val="3"/>
      <w:numFmt w:val="japaneseCounting"/>
      <w:lvlText w:val="（%5）"/>
      <w:lvlJc w:val="left"/>
      <w:pPr>
        <w:tabs>
          <w:tab w:val="left" w:pos="2400"/>
        </w:tabs>
        <w:ind w:left="2400" w:hanging="720"/>
      </w:pPr>
      <w:rPr>
        <w:rFonts w:hint="default" w:ascii="新宋体" w:hAnsi="新宋体" w:cs="Times New Roman"/>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84B45DD"/>
    <w:multiLevelType w:val="multilevel"/>
    <w:tmpl w:val="084B45DD"/>
    <w:lvl w:ilvl="0" w:tentative="0">
      <w:start w:val="1"/>
      <w:numFmt w:val="decimal"/>
      <w:lvlText w:val="%1)"/>
      <w:lvlJc w:val="left"/>
      <w:pPr>
        <w:tabs>
          <w:tab w:val="left" w:pos="425"/>
        </w:tabs>
        <w:ind w:left="425" w:hanging="425"/>
      </w:pPr>
      <w:rPr>
        <w:rFonts w:hint="eastAsia"/>
      </w:rPr>
    </w:lvl>
    <w:lvl w:ilvl="1" w:tentative="0">
      <w:start w:val="1"/>
      <w:numFmt w:val="decimal"/>
      <w:lvlText w:val="%13.%2"/>
      <w:lvlJc w:val="left"/>
      <w:pPr>
        <w:tabs>
          <w:tab w:val="left" w:pos="1135"/>
        </w:tabs>
        <w:ind w:left="1135"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5">
    <w:nsid w:val="091807E1"/>
    <w:multiLevelType w:val="multilevel"/>
    <w:tmpl w:val="091807E1"/>
    <w:lvl w:ilvl="0" w:tentative="0">
      <w:start w:val="1"/>
      <w:numFmt w:val="decimal"/>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decimal"/>
      <w:lvlText w:val="%3)"/>
      <w:lvlJc w:val="left"/>
      <w:pPr>
        <w:tabs>
          <w:tab w:val="left" w:pos="1260"/>
        </w:tabs>
        <w:ind w:left="1260" w:hanging="4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A7569F7"/>
    <w:multiLevelType w:val="multilevel"/>
    <w:tmpl w:val="0A7569F7"/>
    <w:lvl w:ilvl="0" w:tentative="0">
      <w:start w:val="1"/>
      <w:numFmt w:val="none"/>
      <w:lvlText w:val="2"/>
      <w:lvlJc w:val="left"/>
      <w:pPr>
        <w:tabs>
          <w:tab w:val="left" w:pos="425"/>
        </w:tabs>
        <w:ind w:left="425" w:hanging="425"/>
      </w:pPr>
      <w:rPr>
        <w:rFonts w:hint="eastAsia"/>
      </w:rPr>
    </w:lvl>
    <w:lvl w:ilvl="1" w:tentative="0">
      <w:start w:val="1"/>
      <w:numFmt w:val="decimal"/>
      <w:lvlText w:val="%15.%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7">
    <w:nsid w:val="0ADB15CB"/>
    <w:multiLevelType w:val="multilevel"/>
    <w:tmpl w:val="0ADB15CB"/>
    <w:lvl w:ilvl="0" w:tentative="0">
      <w:start w:val="1"/>
      <w:numFmt w:val="decimal"/>
      <w:lvlText w:val="%1."/>
      <w:lvlJc w:val="left"/>
      <w:pPr>
        <w:tabs>
          <w:tab w:val="left" w:pos="420"/>
        </w:tabs>
        <w:ind w:left="420" w:hanging="420"/>
      </w:pPr>
      <w:rPr>
        <w:rFonts w:hint="eastAsia"/>
      </w:rPr>
    </w:lvl>
    <w:lvl w:ilvl="1" w:tentative="0">
      <w:start w:val="0"/>
      <w:numFmt w:val="none"/>
      <w:lvlText w:val=""/>
      <w:lvlJc w:val="left"/>
      <w:pPr>
        <w:tabs>
          <w:tab w:val="left" w:pos="360"/>
        </w:tabs>
        <w:ind w:left="0" w:firstLine="0"/>
      </w:pPr>
      <w:rPr>
        <w:rFonts w:hint="eastAsia"/>
      </w:rPr>
    </w:lvl>
    <w:lvl w:ilvl="2" w:tentative="0">
      <w:start w:val="0"/>
      <w:numFmt w:val="none"/>
      <w:lvlText w:val=""/>
      <w:lvlJc w:val="left"/>
      <w:pPr>
        <w:tabs>
          <w:tab w:val="left" w:pos="360"/>
        </w:tabs>
        <w:ind w:left="0" w:firstLine="0"/>
      </w:pPr>
      <w:rPr>
        <w:rFonts w:hint="eastAsia"/>
      </w:rPr>
    </w:lvl>
    <w:lvl w:ilvl="3" w:tentative="0">
      <w:start w:val="0"/>
      <w:numFmt w:val="none"/>
      <w:lvlText w:val=""/>
      <w:lvlJc w:val="left"/>
      <w:pPr>
        <w:tabs>
          <w:tab w:val="left" w:pos="360"/>
        </w:tabs>
        <w:ind w:left="0" w:firstLine="0"/>
      </w:pPr>
      <w:rPr>
        <w:rFonts w:hint="eastAsia"/>
      </w:rPr>
    </w:lvl>
    <w:lvl w:ilvl="4" w:tentative="0">
      <w:start w:val="0"/>
      <w:numFmt w:val="none"/>
      <w:lvlText w:val=""/>
      <w:lvlJc w:val="left"/>
      <w:pPr>
        <w:tabs>
          <w:tab w:val="left" w:pos="360"/>
        </w:tabs>
        <w:ind w:left="0" w:firstLine="0"/>
      </w:pPr>
      <w:rPr>
        <w:rFonts w:hint="eastAsia"/>
      </w:rPr>
    </w:lvl>
    <w:lvl w:ilvl="5" w:tentative="0">
      <w:start w:val="0"/>
      <w:numFmt w:val="none"/>
      <w:lvlText w:val=""/>
      <w:lvlJc w:val="left"/>
      <w:pPr>
        <w:tabs>
          <w:tab w:val="left" w:pos="360"/>
        </w:tabs>
        <w:ind w:left="0" w:firstLine="0"/>
      </w:pPr>
      <w:rPr>
        <w:rFonts w:hint="eastAsia"/>
      </w:rPr>
    </w:lvl>
    <w:lvl w:ilvl="6" w:tentative="0">
      <w:start w:val="0"/>
      <w:numFmt w:val="none"/>
      <w:lvlText w:val=""/>
      <w:lvlJc w:val="left"/>
      <w:pPr>
        <w:tabs>
          <w:tab w:val="left" w:pos="360"/>
        </w:tabs>
        <w:ind w:left="0" w:firstLine="0"/>
      </w:pPr>
      <w:rPr>
        <w:rFonts w:hint="eastAsia"/>
      </w:rPr>
    </w:lvl>
    <w:lvl w:ilvl="7" w:tentative="0">
      <w:start w:val="0"/>
      <w:numFmt w:val="none"/>
      <w:lvlText w:val=""/>
      <w:lvlJc w:val="left"/>
      <w:pPr>
        <w:tabs>
          <w:tab w:val="left" w:pos="360"/>
        </w:tabs>
        <w:ind w:left="0" w:firstLine="0"/>
      </w:pPr>
      <w:rPr>
        <w:rFonts w:hint="eastAsia"/>
      </w:rPr>
    </w:lvl>
    <w:lvl w:ilvl="8" w:tentative="0">
      <w:start w:val="0"/>
      <w:numFmt w:val="none"/>
      <w:lvlText w:val=""/>
      <w:lvlJc w:val="left"/>
      <w:pPr>
        <w:tabs>
          <w:tab w:val="left" w:pos="360"/>
        </w:tabs>
        <w:ind w:left="0" w:firstLine="0"/>
      </w:pPr>
      <w:rPr>
        <w:rFonts w:hint="eastAsia"/>
      </w:rPr>
    </w:lvl>
  </w:abstractNum>
  <w:abstractNum w:abstractNumId="18">
    <w:nsid w:val="0E631A2B"/>
    <w:multiLevelType w:val="multilevel"/>
    <w:tmpl w:val="0E631A2B"/>
    <w:lvl w:ilvl="0" w:tentative="0">
      <w:start w:val="1"/>
      <w:numFmt w:val="decimal"/>
      <w:lvlText w:val="%1."/>
      <w:lvlJc w:val="left"/>
      <w:pPr>
        <w:tabs>
          <w:tab w:val="left" w:pos="420"/>
        </w:tabs>
        <w:ind w:left="420" w:hanging="420"/>
      </w:pPr>
      <w:rPr>
        <w:rFonts w:hint="eastAsia" w:ascii="楷体_GB2312" w:hAnsi="Times New Roman" w:eastAsia="楷体_GB2312" w:cs="Times New Roman"/>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9">
    <w:nsid w:val="12E33EB3"/>
    <w:multiLevelType w:val="multilevel"/>
    <w:tmpl w:val="12E33EB3"/>
    <w:lvl w:ilvl="0" w:tentative="0">
      <w:start w:val="1"/>
      <w:numFmt w:val="none"/>
      <w:lvlText w:val="2"/>
      <w:lvlJc w:val="left"/>
      <w:pPr>
        <w:tabs>
          <w:tab w:val="left" w:pos="425"/>
        </w:tabs>
        <w:ind w:left="425" w:hanging="425"/>
      </w:pPr>
      <w:rPr>
        <w:rFonts w:hint="eastAsia"/>
      </w:rPr>
    </w:lvl>
    <w:lvl w:ilvl="1" w:tentative="0">
      <w:start w:val="1"/>
      <w:numFmt w:val="decimal"/>
      <w:lvlText w:val="%12.%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0">
    <w:nsid w:val="178F6130"/>
    <w:multiLevelType w:val="singleLevel"/>
    <w:tmpl w:val="178F6130"/>
    <w:lvl w:ilvl="0" w:tentative="0">
      <w:start w:val="1"/>
      <w:numFmt w:val="decimal"/>
      <w:lvlText w:val="%1."/>
      <w:lvlJc w:val="left"/>
      <w:pPr>
        <w:ind w:left="425" w:hanging="425"/>
      </w:pPr>
      <w:rPr>
        <w:rFonts w:hint="default"/>
      </w:rPr>
    </w:lvl>
  </w:abstractNum>
  <w:abstractNum w:abstractNumId="21">
    <w:nsid w:val="1DD3B500"/>
    <w:multiLevelType w:val="singleLevel"/>
    <w:tmpl w:val="1DD3B500"/>
    <w:lvl w:ilvl="0" w:tentative="0">
      <w:start w:val="1"/>
      <w:numFmt w:val="decimalEnclosedCircleChinese"/>
      <w:suff w:val="nothing"/>
      <w:lvlText w:val="%1　"/>
      <w:lvlJc w:val="left"/>
      <w:pPr>
        <w:ind w:left="0" w:firstLine="400"/>
      </w:pPr>
      <w:rPr>
        <w:rFonts w:hint="eastAsia"/>
      </w:rPr>
    </w:lvl>
  </w:abstractNum>
  <w:abstractNum w:abstractNumId="22">
    <w:nsid w:val="1E5719E2"/>
    <w:multiLevelType w:val="multilevel"/>
    <w:tmpl w:val="1E5719E2"/>
    <w:lvl w:ilvl="0" w:tentative="0">
      <w:start w:val="1"/>
      <w:numFmt w:val="decimal"/>
      <w:lvlText w:val="%1."/>
      <w:lvlJc w:val="left"/>
      <w:pPr>
        <w:tabs>
          <w:tab w:val="left" w:pos="420"/>
        </w:tabs>
        <w:ind w:left="420" w:hanging="420"/>
      </w:pPr>
      <w:rPr>
        <w:rFonts w:hint="eastAsia" w:ascii="楷体_GB2312" w:hAnsi="Arial" w:eastAsia="楷体_GB2312" w:cs="Arial"/>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3">
    <w:nsid w:val="2434239E"/>
    <w:multiLevelType w:val="multilevel"/>
    <w:tmpl w:val="2434239E"/>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4">
    <w:nsid w:val="270C2544"/>
    <w:multiLevelType w:val="multilevel"/>
    <w:tmpl w:val="270C2544"/>
    <w:lvl w:ilvl="0" w:tentative="0">
      <w:start w:val="1"/>
      <w:numFmt w:val="decimalEnclosedCircleChinese"/>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2B127F5B"/>
    <w:multiLevelType w:val="multilevel"/>
    <w:tmpl w:val="2B127F5B"/>
    <w:lvl w:ilvl="0" w:tentative="0">
      <w:start w:val="1"/>
      <w:numFmt w:val="decimal"/>
      <w:lvlText w:val="%1)"/>
      <w:lvlJc w:val="left"/>
      <w:pPr>
        <w:ind w:left="862" w:hanging="420"/>
      </w:pPr>
    </w:lvl>
    <w:lvl w:ilvl="1" w:tentative="0">
      <w:start w:val="1"/>
      <w:numFmt w:val="lowerLetter"/>
      <w:lvlText w:val="%2)"/>
      <w:lvlJc w:val="left"/>
      <w:pPr>
        <w:ind w:left="1282" w:hanging="420"/>
      </w:pPr>
    </w:lvl>
    <w:lvl w:ilvl="2" w:tentative="0">
      <w:start w:val="1"/>
      <w:numFmt w:val="lowerRoman"/>
      <w:lvlText w:val="%3."/>
      <w:lvlJc w:val="right"/>
      <w:pPr>
        <w:ind w:left="1702" w:hanging="420"/>
      </w:pPr>
    </w:lvl>
    <w:lvl w:ilvl="3" w:tentative="0">
      <w:start w:val="1"/>
      <w:numFmt w:val="decimal"/>
      <w:lvlText w:val="%4."/>
      <w:lvlJc w:val="left"/>
      <w:pPr>
        <w:ind w:left="2122" w:hanging="420"/>
      </w:pPr>
    </w:lvl>
    <w:lvl w:ilvl="4" w:tentative="0">
      <w:start w:val="1"/>
      <w:numFmt w:val="lowerLetter"/>
      <w:lvlText w:val="%5)"/>
      <w:lvlJc w:val="left"/>
      <w:pPr>
        <w:ind w:left="2542" w:hanging="420"/>
      </w:pPr>
    </w:lvl>
    <w:lvl w:ilvl="5" w:tentative="0">
      <w:start w:val="1"/>
      <w:numFmt w:val="lowerRoman"/>
      <w:lvlText w:val="%6."/>
      <w:lvlJc w:val="right"/>
      <w:pPr>
        <w:ind w:left="2962" w:hanging="420"/>
      </w:pPr>
    </w:lvl>
    <w:lvl w:ilvl="6" w:tentative="0">
      <w:start w:val="1"/>
      <w:numFmt w:val="decimal"/>
      <w:lvlText w:val="%7."/>
      <w:lvlJc w:val="left"/>
      <w:pPr>
        <w:ind w:left="3382" w:hanging="420"/>
      </w:pPr>
    </w:lvl>
    <w:lvl w:ilvl="7" w:tentative="0">
      <w:start w:val="1"/>
      <w:numFmt w:val="lowerLetter"/>
      <w:lvlText w:val="%8)"/>
      <w:lvlJc w:val="left"/>
      <w:pPr>
        <w:ind w:left="3802" w:hanging="420"/>
      </w:pPr>
    </w:lvl>
    <w:lvl w:ilvl="8" w:tentative="0">
      <w:start w:val="1"/>
      <w:numFmt w:val="lowerRoman"/>
      <w:lvlText w:val="%9."/>
      <w:lvlJc w:val="right"/>
      <w:pPr>
        <w:ind w:left="4222" w:hanging="420"/>
      </w:pPr>
    </w:lvl>
  </w:abstractNum>
  <w:abstractNum w:abstractNumId="26">
    <w:nsid w:val="2C98C600"/>
    <w:multiLevelType w:val="singleLevel"/>
    <w:tmpl w:val="2C98C600"/>
    <w:lvl w:ilvl="0" w:tentative="0">
      <w:start w:val="1"/>
      <w:numFmt w:val="decimal"/>
      <w:lvlText w:val="%1."/>
      <w:lvlJc w:val="left"/>
      <w:pPr>
        <w:ind w:left="425" w:hanging="425"/>
      </w:pPr>
      <w:rPr>
        <w:rFonts w:hint="default"/>
      </w:rPr>
    </w:lvl>
  </w:abstractNum>
  <w:abstractNum w:abstractNumId="27">
    <w:nsid w:val="30A60BCF"/>
    <w:multiLevelType w:val="multilevel"/>
    <w:tmpl w:val="30A60BCF"/>
    <w:lvl w:ilvl="0" w:tentative="0">
      <w:start w:val="1"/>
      <w:numFmt w:val="none"/>
      <w:lvlText w:val="2"/>
      <w:lvlJc w:val="left"/>
      <w:pPr>
        <w:tabs>
          <w:tab w:val="left" w:pos="425"/>
        </w:tabs>
        <w:ind w:left="425" w:hanging="425"/>
      </w:pPr>
      <w:rPr>
        <w:rFonts w:hint="eastAsia"/>
      </w:rPr>
    </w:lvl>
    <w:lvl w:ilvl="1" w:tentative="0">
      <w:start w:val="1"/>
      <w:numFmt w:val="decimal"/>
      <w:lvlText w:val="%12.%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8">
    <w:nsid w:val="340021B3"/>
    <w:multiLevelType w:val="multilevel"/>
    <w:tmpl w:val="340021B3"/>
    <w:lvl w:ilvl="0" w:tentative="0">
      <w:start w:val="1"/>
      <w:numFmt w:val="none"/>
      <w:lvlText w:val="2"/>
      <w:lvlJc w:val="left"/>
      <w:pPr>
        <w:tabs>
          <w:tab w:val="left" w:pos="425"/>
        </w:tabs>
        <w:ind w:left="425" w:hanging="425"/>
      </w:pPr>
      <w:rPr>
        <w:rFonts w:hint="eastAsia"/>
      </w:rPr>
    </w:lvl>
    <w:lvl w:ilvl="1" w:tentative="0">
      <w:start w:val="1"/>
      <w:numFmt w:val="decimal"/>
      <w:lvlText w:val="%13.%2"/>
      <w:lvlJc w:val="left"/>
      <w:pPr>
        <w:tabs>
          <w:tab w:val="left" w:pos="992"/>
        </w:tabs>
        <w:ind w:left="992" w:hanging="567"/>
      </w:pPr>
      <w:rPr>
        <w:rFonts w:hint="eastAsia" w:ascii="楷体_GB2312" w:hAnsi="Arial" w:eastAsia="楷体_GB2312" w:cs="Arial"/>
        <w:b w:val="0"/>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9">
    <w:nsid w:val="37E9328B"/>
    <w:multiLevelType w:val="multilevel"/>
    <w:tmpl w:val="37E9328B"/>
    <w:lvl w:ilvl="0" w:tentative="0">
      <w:start w:val="1"/>
      <w:numFmt w:val="none"/>
      <w:lvlText w:val="2"/>
      <w:lvlJc w:val="left"/>
      <w:pPr>
        <w:tabs>
          <w:tab w:val="left" w:pos="425"/>
        </w:tabs>
        <w:ind w:left="425" w:hanging="425"/>
      </w:pPr>
      <w:rPr>
        <w:rFonts w:hint="eastAsia"/>
      </w:rPr>
    </w:lvl>
    <w:lvl w:ilvl="1" w:tentative="0">
      <w:start w:val="1"/>
      <w:numFmt w:val="decimal"/>
      <w:lvlText w:val="%13.%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0">
    <w:nsid w:val="3BA90766"/>
    <w:multiLevelType w:val="multilevel"/>
    <w:tmpl w:val="3BA90766"/>
    <w:lvl w:ilvl="0" w:tentative="0">
      <w:start w:val="1"/>
      <w:numFmt w:val="decimal"/>
      <w:lvlText w:val="%1)"/>
      <w:lvlJc w:val="left"/>
      <w:pPr>
        <w:tabs>
          <w:tab w:val="left" w:pos="530"/>
        </w:tabs>
        <w:ind w:left="530" w:hanging="42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3CC351E3"/>
    <w:multiLevelType w:val="multilevel"/>
    <w:tmpl w:val="3CC351E3"/>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32">
    <w:nsid w:val="3DCA3502"/>
    <w:multiLevelType w:val="multilevel"/>
    <w:tmpl w:val="3DCA350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3E9C1B21"/>
    <w:multiLevelType w:val="multilevel"/>
    <w:tmpl w:val="3E9C1B21"/>
    <w:lvl w:ilvl="0" w:tentative="0">
      <w:start w:val="1"/>
      <w:numFmt w:val="none"/>
      <w:lvlText w:val="2"/>
      <w:lvlJc w:val="left"/>
      <w:pPr>
        <w:tabs>
          <w:tab w:val="left" w:pos="425"/>
        </w:tabs>
        <w:ind w:left="425" w:hanging="425"/>
      </w:pPr>
      <w:rPr>
        <w:rFonts w:hint="eastAsia"/>
      </w:rPr>
    </w:lvl>
    <w:lvl w:ilvl="1" w:tentative="0">
      <w:start w:val="1"/>
      <w:numFmt w:val="decimal"/>
      <w:lvlText w:val="%14.%2"/>
      <w:lvlJc w:val="left"/>
      <w:pPr>
        <w:tabs>
          <w:tab w:val="left" w:pos="992"/>
        </w:tabs>
        <w:ind w:left="992" w:hanging="567"/>
      </w:pPr>
      <w:rPr>
        <w:rFonts w:hint="eastAsia" w:ascii="楷体_GB2312" w:hAnsi="Arial" w:eastAsia="楷体_GB2312" w:cs="Arial"/>
        <w:b w:val="0"/>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4">
    <w:nsid w:val="3F7235CB"/>
    <w:multiLevelType w:val="multilevel"/>
    <w:tmpl w:val="3F7235CB"/>
    <w:lvl w:ilvl="0" w:tentative="0">
      <w:start w:val="1"/>
      <w:numFmt w:val="none"/>
      <w:lvlText w:val="2"/>
      <w:lvlJc w:val="left"/>
      <w:pPr>
        <w:tabs>
          <w:tab w:val="left" w:pos="425"/>
        </w:tabs>
        <w:ind w:left="425" w:hanging="425"/>
      </w:pPr>
      <w:rPr>
        <w:rFonts w:hint="eastAsia"/>
      </w:rPr>
    </w:lvl>
    <w:lvl w:ilvl="1" w:tentative="0">
      <w:start w:val="1"/>
      <w:numFmt w:val="decimal"/>
      <w:lvlText w:val="%13.%2"/>
      <w:lvlJc w:val="left"/>
      <w:pPr>
        <w:tabs>
          <w:tab w:val="left" w:pos="992"/>
        </w:tabs>
        <w:ind w:left="992" w:hanging="567"/>
      </w:pPr>
      <w:rPr>
        <w:rFonts w:hint="eastAsia" w:ascii="楷体_GB2312" w:hAnsi="Arial" w:eastAsia="楷体_GB2312" w:cs="Arial"/>
        <w:b w:val="0"/>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5">
    <w:nsid w:val="3F985FE9"/>
    <w:multiLevelType w:val="multilevel"/>
    <w:tmpl w:val="3F985FE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45DC5E2A"/>
    <w:multiLevelType w:val="multilevel"/>
    <w:tmpl w:val="45DC5E2A"/>
    <w:lvl w:ilvl="0" w:tentative="0">
      <w:start w:val="1"/>
      <w:numFmt w:val="decimal"/>
      <w:lvlText w:val="%1."/>
      <w:lvlJc w:val="left"/>
      <w:pPr>
        <w:ind w:left="805" w:hanging="420"/>
      </w:pPr>
    </w:lvl>
    <w:lvl w:ilvl="1" w:tentative="0">
      <w:start w:val="1"/>
      <w:numFmt w:val="lowerLetter"/>
      <w:lvlText w:val="%2)"/>
      <w:lvlJc w:val="left"/>
      <w:pPr>
        <w:ind w:left="1225" w:hanging="420"/>
      </w:pPr>
    </w:lvl>
    <w:lvl w:ilvl="2" w:tentative="0">
      <w:start w:val="1"/>
      <w:numFmt w:val="lowerRoman"/>
      <w:lvlText w:val="%3."/>
      <w:lvlJc w:val="right"/>
      <w:pPr>
        <w:ind w:left="1645" w:hanging="420"/>
      </w:pPr>
    </w:lvl>
    <w:lvl w:ilvl="3" w:tentative="0">
      <w:start w:val="1"/>
      <w:numFmt w:val="decimal"/>
      <w:lvlText w:val="%4."/>
      <w:lvlJc w:val="left"/>
      <w:pPr>
        <w:ind w:left="2065" w:hanging="420"/>
      </w:pPr>
    </w:lvl>
    <w:lvl w:ilvl="4" w:tentative="0">
      <w:start w:val="1"/>
      <w:numFmt w:val="lowerLetter"/>
      <w:lvlText w:val="%5)"/>
      <w:lvlJc w:val="left"/>
      <w:pPr>
        <w:ind w:left="2485" w:hanging="420"/>
      </w:pPr>
    </w:lvl>
    <w:lvl w:ilvl="5" w:tentative="0">
      <w:start w:val="1"/>
      <w:numFmt w:val="lowerRoman"/>
      <w:lvlText w:val="%6."/>
      <w:lvlJc w:val="right"/>
      <w:pPr>
        <w:ind w:left="2905" w:hanging="420"/>
      </w:pPr>
    </w:lvl>
    <w:lvl w:ilvl="6" w:tentative="0">
      <w:start w:val="1"/>
      <w:numFmt w:val="decimal"/>
      <w:lvlText w:val="%7."/>
      <w:lvlJc w:val="left"/>
      <w:pPr>
        <w:ind w:left="3325" w:hanging="420"/>
      </w:pPr>
    </w:lvl>
    <w:lvl w:ilvl="7" w:tentative="0">
      <w:start w:val="1"/>
      <w:numFmt w:val="lowerLetter"/>
      <w:lvlText w:val="%8)"/>
      <w:lvlJc w:val="left"/>
      <w:pPr>
        <w:ind w:left="3745" w:hanging="420"/>
      </w:pPr>
    </w:lvl>
    <w:lvl w:ilvl="8" w:tentative="0">
      <w:start w:val="1"/>
      <w:numFmt w:val="lowerRoman"/>
      <w:lvlText w:val="%9."/>
      <w:lvlJc w:val="right"/>
      <w:pPr>
        <w:ind w:left="4165" w:hanging="420"/>
      </w:pPr>
    </w:lvl>
  </w:abstractNum>
  <w:abstractNum w:abstractNumId="37">
    <w:nsid w:val="47EE3478"/>
    <w:multiLevelType w:val="multilevel"/>
    <w:tmpl w:val="47EE3478"/>
    <w:lvl w:ilvl="0" w:tentative="0">
      <w:start w:val="1"/>
      <w:numFmt w:val="none"/>
      <w:lvlText w:val="2"/>
      <w:lvlJc w:val="left"/>
      <w:pPr>
        <w:tabs>
          <w:tab w:val="left" w:pos="425"/>
        </w:tabs>
        <w:ind w:left="425" w:hanging="425"/>
      </w:pPr>
      <w:rPr>
        <w:rFonts w:hint="eastAsia"/>
      </w:rPr>
    </w:lvl>
    <w:lvl w:ilvl="1" w:tentative="0">
      <w:start w:val="1"/>
      <w:numFmt w:val="decimal"/>
      <w:lvlText w:val="%13.%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8">
    <w:nsid w:val="4B8E5DBA"/>
    <w:multiLevelType w:val="multilevel"/>
    <w:tmpl w:val="4B8E5DBA"/>
    <w:lvl w:ilvl="0" w:tentative="0">
      <w:start w:val="1"/>
      <w:numFmt w:val="chineseCountingThousand"/>
      <w:lvlText w:val="(%1)"/>
      <w:lvlJc w:val="left"/>
      <w:pPr>
        <w:ind w:left="420" w:hanging="420"/>
      </w:pPr>
    </w:lvl>
    <w:lvl w:ilvl="1" w:tentative="0">
      <w:start w:val="1"/>
      <w:numFmt w:val="chineseCountingThousand"/>
      <w:lvlText w:val="(%2)"/>
      <w:lvlJc w:val="left"/>
      <w:pPr>
        <w:ind w:left="272" w:firstLine="148"/>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4C5649C4"/>
    <w:multiLevelType w:val="multilevel"/>
    <w:tmpl w:val="4C5649C4"/>
    <w:lvl w:ilvl="0" w:tentative="0">
      <w:start w:val="1"/>
      <w:numFmt w:val="bullet"/>
      <w:lvlText w:val=""/>
      <w:lvlJc w:val="left"/>
      <w:pPr>
        <w:tabs>
          <w:tab w:val="left" w:pos="840"/>
        </w:tabs>
        <w:ind w:left="840" w:hanging="420"/>
      </w:pPr>
      <w:rPr>
        <w:rFonts w:hint="default" w:ascii="Wingdings" w:hAnsi="Wingdings"/>
        <w:b w:val="0"/>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0">
    <w:nsid w:val="4DD64FA7"/>
    <w:multiLevelType w:val="multilevel"/>
    <w:tmpl w:val="4DD64FA7"/>
    <w:lvl w:ilvl="0" w:tentative="0">
      <w:start w:val="1"/>
      <w:numFmt w:val="none"/>
      <w:lvlText w:val="2"/>
      <w:lvlJc w:val="left"/>
      <w:pPr>
        <w:tabs>
          <w:tab w:val="left" w:pos="425"/>
        </w:tabs>
        <w:ind w:left="425" w:hanging="425"/>
      </w:pPr>
      <w:rPr>
        <w:rFonts w:hint="eastAsia"/>
      </w:rPr>
    </w:lvl>
    <w:lvl w:ilvl="1" w:tentative="0">
      <w:start w:val="1"/>
      <w:numFmt w:val="decimal"/>
      <w:lvlText w:val="%11.%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1">
    <w:nsid w:val="50CC72CE"/>
    <w:multiLevelType w:val="multilevel"/>
    <w:tmpl w:val="50CC72CE"/>
    <w:lvl w:ilvl="0" w:tentative="0">
      <w:start w:val="1"/>
      <w:numFmt w:val="none"/>
      <w:lvlText w:val="2"/>
      <w:lvlJc w:val="left"/>
      <w:pPr>
        <w:tabs>
          <w:tab w:val="left" w:pos="425"/>
        </w:tabs>
        <w:ind w:left="425" w:hanging="425"/>
      </w:pPr>
      <w:rPr>
        <w:rFonts w:hint="eastAsia"/>
      </w:rPr>
    </w:lvl>
    <w:lvl w:ilvl="1" w:tentative="0">
      <w:start w:val="1"/>
      <w:numFmt w:val="decimal"/>
      <w:lvlText w:val="%16.%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2">
    <w:nsid w:val="53ED7D49"/>
    <w:multiLevelType w:val="multilevel"/>
    <w:tmpl w:val="53ED7D49"/>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54F403B5"/>
    <w:multiLevelType w:val="singleLevel"/>
    <w:tmpl w:val="54F403B5"/>
    <w:lvl w:ilvl="0" w:tentative="0">
      <w:start w:val="1"/>
      <w:numFmt w:val="chineseCounting"/>
      <w:suff w:val="nothing"/>
      <w:lvlText w:val="%1、"/>
      <w:lvlJc w:val="left"/>
      <w:pPr>
        <w:ind w:left="0" w:firstLine="0"/>
      </w:pPr>
    </w:lvl>
  </w:abstractNum>
  <w:abstractNum w:abstractNumId="44">
    <w:nsid w:val="557FD3DA"/>
    <w:multiLevelType w:val="singleLevel"/>
    <w:tmpl w:val="557FD3DA"/>
    <w:lvl w:ilvl="0" w:tentative="0">
      <w:start w:val="3"/>
      <w:numFmt w:val="chineseCounting"/>
      <w:suff w:val="nothing"/>
      <w:lvlText w:val="%1、"/>
      <w:lvlJc w:val="left"/>
      <w:pPr>
        <w:ind w:left="0" w:firstLine="0"/>
      </w:pPr>
    </w:lvl>
  </w:abstractNum>
  <w:abstractNum w:abstractNumId="45">
    <w:nsid w:val="587E281B"/>
    <w:multiLevelType w:val="multilevel"/>
    <w:tmpl w:val="587E281B"/>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46">
    <w:nsid w:val="59DDF6AB"/>
    <w:multiLevelType w:val="singleLevel"/>
    <w:tmpl w:val="59DDF6AB"/>
    <w:lvl w:ilvl="0" w:tentative="0">
      <w:start w:val="1"/>
      <w:numFmt w:val="decimal"/>
      <w:lvlText w:val="%1."/>
      <w:lvlJc w:val="left"/>
      <w:pPr>
        <w:tabs>
          <w:tab w:val="left" w:pos="312"/>
        </w:tabs>
      </w:pPr>
    </w:lvl>
  </w:abstractNum>
  <w:abstractNum w:abstractNumId="47">
    <w:nsid w:val="65832174"/>
    <w:multiLevelType w:val="multilevel"/>
    <w:tmpl w:val="65832174"/>
    <w:lvl w:ilvl="0" w:tentative="0">
      <w:start w:val="1"/>
      <w:numFmt w:val="decimal"/>
      <w:lvlText w:val="%1)"/>
      <w:lvlJc w:val="left"/>
      <w:pPr>
        <w:ind w:left="530" w:hanging="420"/>
      </w:pPr>
    </w:lvl>
    <w:lvl w:ilvl="1" w:tentative="0">
      <w:start w:val="1"/>
      <w:numFmt w:val="lowerLetter"/>
      <w:lvlText w:val="%2)"/>
      <w:lvlJc w:val="left"/>
      <w:pPr>
        <w:ind w:left="950" w:hanging="420"/>
      </w:pPr>
    </w:lvl>
    <w:lvl w:ilvl="2" w:tentative="0">
      <w:start w:val="1"/>
      <w:numFmt w:val="lowerRoman"/>
      <w:lvlText w:val="%3."/>
      <w:lvlJc w:val="right"/>
      <w:pPr>
        <w:ind w:left="1370" w:hanging="420"/>
      </w:pPr>
    </w:lvl>
    <w:lvl w:ilvl="3" w:tentative="0">
      <w:start w:val="1"/>
      <w:numFmt w:val="decimal"/>
      <w:lvlText w:val="%4."/>
      <w:lvlJc w:val="left"/>
      <w:pPr>
        <w:ind w:left="1790" w:hanging="420"/>
      </w:pPr>
    </w:lvl>
    <w:lvl w:ilvl="4" w:tentative="0">
      <w:start w:val="1"/>
      <w:numFmt w:val="lowerLetter"/>
      <w:lvlText w:val="%5)"/>
      <w:lvlJc w:val="left"/>
      <w:pPr>
        <w:ind w:left="2210" w:hanging="420"/>
      </w:pPr>
    </w:lvl>
    <w:lvl w:ilvl="5" w:tentative="0">
      <w:start w:val="1"/>
      <w:numFmt w:val="lowerRoman"/>
      <w:lvlText w:val="%6."/>
      <w:lvlJc w:val="right"/>
      <w:pPr>
        <w:ind w:left="2630" w:hanging="420"/>
      </w:pPr>
    </w:lvl>
    <w:lvl w:ilvl="6" w:tentative="0">
      <w:start w:val="1"/>
      <w:numFmt w:val="decimal"/>
      <w:lvlText w:val="%7."/>
      <w:lvlJc w:val="left"/>
      <w:pPr>
        <w:ind w:left="3050" w:hanging="420"/>
      </w:pPr>
    </w:lvl>
    <w:lvl w:ilvl="7" w:tentative="0">
      <w:start w:val="1"/>
      <w:numFmt w:val="lowerLetter"/>
      <w:lvlText w:val="%8)"/>
      <w:lvlJc w:val="left"/>
      <w:pPr>
        <w:ind w:left="3470" w:hanging="420"/>
      </w:pPr>
    </w:lvl>
    <w:lvl w:ilvl="8" w:tentative="0">
      <w:start w:val="1"/>
      <w:numFmt w:val="lowerRoman"/>
      <w:lvlText w:val="%9."/>
      <w:lvlJc w:val="right"/>
      <w:pPr>
        <w:ind w:left="3890" w:hanging="420"/>
      </w:pPr>
    </w:lvl>
  </w:abstractNum>
  <w:abstractNum w:abstractNumId="48">
    <w:nsid w:val="65FE0C54"/>
    <w:multiLevelType w:val="multilevel"/>
    <w:tmpl w:val="65FE0C54"/>
    <w:lvl w:ilvl="0" w:tentative="0">
      <w:start w:val="1"/>
      <w:numFmt w:val="none"/>
      <w:lvlText w:val="2"/>
      <w:lvlJc w:val="left"/>
      <w:pPr>
        <w:tabs>
          <w:tab w:val="left" w:pos="425"/>
        </w:tabs>
        <w:ind w:left="425" w:hanging="425"/>
      </w:pPr>
      <w:rPr>
        <w:rFonts w:hint="eastAsia"/>
      </w:rPr>
    </w:lvl>
    <w:lvl w:ilvl="1" w:tentative="0">
      <w:start w:val="1"/>
      <w:numFmt w:val="decimal"/>
      <w:lvlText w:val="%11.%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9">
    <w:nsid w:val="6A243CFF"/>
    <w:multiLevelType w:val="multilevel"/>
    <w:tmpl w:val="6A243CFF"/>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6B723D83"/>
    <w:multiLevelType w:val="multilevel"/>
    <w:tmpl w:val="6B723D8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1">
    <w:nsid w:val="6ED28D12"/>
    <w:multiLevelType w:val="multilevel"/>
    <w:tmpl w:val="6ED28D12"/>
    <w:lvl w:ilvl="0" w:tentative="0">
      <w:start w:val="1"/>
      <w:numFmt w:val="decimal"/>
      <w:lvlText w:val="%1"/>
      <w:lvlJc w:val="left"/>
      <w:pPr>
        <w:tabs>
          <w:tab w:val="left" w:pos="780"/>
        </w:tabs>
        <w:ind w:left="780" w:hanging="420"/>
      </w:pPr>
      <w:rPr>
        <w:rFonts w:hint="default" w:ascii="宋体" w:hAnsi="宋体" w:eastAsia="宋体" w:cs="宋体"/>
        <w:b w:val="0"/>
      </w:rPr>
    </w:lvl>
    <w:lvl w:ilvl="1" w:tentative="0">
      <w:start w:val="1"/>
      <w:numFmt w:val="decimal"/>
      <w:lvlText w:val="%2)"/>
      <w:lvlJc w:val="left"/>
      <w:pPr>
        <w:tabs>
          <w:tab w:val="left" w:pos="840"/>
        </w:tabs>
        <w:ind w:left="840" w:hanging="420"/>
      </w:pPr>
      <w:rPr>
        <w:rFonts w:hint="default" w:ascii="宋体" w:hAnsi="宋体" w:eastAsia="宋体" w:cs="宋体"/>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717275FD"/>
    <w:multiLevelType w:val="multilevel"/>
    <w:tmpl w:val="717275F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736C4813"/>
    <w:multiLevelType w:val="multilevel"/>
    <w:tmpl w:val="736C4813"/>
    <w:lvl w:ilvl="0" w:tentative="0">
      <w:start w:val="1"/>
      <w:numFmt w:val="none"/>
      <w:lvlText w:val="2"/>
      <w:lvlJc w:val="left"/>
      <w:pPr>
        <w:tabs>
          <w:tab w:val="left" w:pos="425"/>
        </w:tabs>
        <w:ind w:left="425" w:hanging="425"/>
      </w:pPr>
      <w:rPr>
        <w:rFonts w:hint="eastAsia"/>
      </w:rPr>
    </w:lvl>
    <w:lvl w:ilvl="1" w:tentative="0">
      <w:start w:val="1"/>
      <w:numFmt w:val="decimal"/>
      <w:lvlText w:val="%13.%2"/>
      <w:lvlJc w:val="left"/>
      <w:pPr>
        <w:tabs>
          <w:tab w:val="left" w:pos="1135"/>
        </w:tabs>
        <w:ind w:left="1135"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54">
    <w:nsid w:val="76DF1F21"/>
    <w:multiLevelType w:val="multilevel"/>
    <w:tmpl w:val="76DF1F21"/>
    <w:lvl w:ilvl="0" w:tentative="0">
      <w:start w:val="1"/>
      <w:numFmt w:val="none"/>
      <w:lvlText w:val="2"/>
      <w:lvlJc w:val="left"/>
      <w:pPr>
        <w:tabs>
          <w:tab w:val="left" w:pos="425"/>
        </w:tabs>
        <w:ind w:left="425" w:hanging="425"/>
      </w:pPr>
      <w:rPr>
        <w:rFonts w:hint="eastAsia"/>
      </w:rPr>
    </w:lvl>
    <w:lvl w:ilvl="1" w:tentative="0">
      <w:start w:val="1"/>
      <w:numFmt w:val="decimal"/>
      <w:lvlText w:val="%14.%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55">
    <w:nsid w:val="7B9B3A13"/>
    <w:multiLevelType w:val="singleLevel"/>
    <w:tmpl w:val="7B9B3A13"/>
    <w:lvl w:ilvl="0" w:tentative="0">
      <w:start w:val="1"/>
      <w:numFmt w:val="decimalEnclosedCircleChinese"/>
      <w:lvlText w:val="%1　"/>
      <w:lvlJc w:val="left"/>
      <w:pPr>
        <w:ind w:left="420" w:hanging="420"/>
      </w:pPr>
      <w:rPr>
        <w:rFonts w:hint="eastAsia"/>
      </w:rPr>
    </w:lvl>
  </w:abstractNum>
  <w:abstractNum w:abstractNumId="56">
    <w:nsid w:val="7CA92265"/>
    <w:multiLevelType w:val="multilevel"/>
    <w:tmpl w:val="7CA92265"/>
    <w:lvl w:ilvl="0" w:tentative="0">
      <w:start w:val="1"/>
      <w:numFmt w:val="none"/>
      <w:lvlText w:val="2"/>
      <w:lvlJc w:val="left"/>
      <w:pPr>
        <w:tabs>
          <w:tab w:val="left" w:pos="425"/>
        </w:tabs>
        <w:ind w:left="425" w:hanging="425"/>
      </w:pPr>
      <w:rPr>
        <w:rFonts w:hint="eastAsia"/>
      </w:rPr>
    </w:lvl>
    <w:lvl w:ilvl="1" w:tentative="0">
      <w:start w:val="1"/>
      <w:numFmt w:val="decimal"/>
      <w:lvlText w:val="%14.%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num w:numId="1">
    <w:abstractNumId w:val="0"/>
  </w:num>
  <w:num w:numId="2">
    <w:abstractNumId w:val="21"/>
  </w:num>
  <w:num w:numId="3">
    <w:abstractNumId w:val="42"/>
  </w:num>
  <w:num w:numId="4">
    <w:abstractNumId w:val="23"/>
  </w:num>
  <w:num w:numId="5">
    <w:abstractNumId w:val="22"/>
  </w:num>
  <w:num w:numId="6">
    <w:abstractNumId w:val="37"/>
  </w:num>
  <w:num w:numId="7">
    <w:abstractNumId w:val="18"/>
  </w:num>
  <w:num w:numId="8">
    <w:abstractNumId w:val="19"/>
  </w:num>
  <w:num w:numId="9">
    <w:abstractNumId w:val="53"/>
  </w:num>
  <w:num w:numId="10">
    <w:abstractNumId w:val="55"/>
  </w:num>
  <w:num w:numId="11">
    <w:abstractNumId w:val="10"/>
  </w:num>
  <w:num w:numId="12">
    <w:abstractNumId w:val="39"/>
  </w:num>
  <w:num w:numId="13">
    <w:abstractNumId w:val="30"/>
  </w:num>
  <w:num w:numId="14">
    <w:abstractNumId w:val="14"/>
  </w:num>
  <w:num w:numId="15">
    <w:abstractNumId w:val="54"/>
  </w:num>
  <w:num w:numId="16">
    <w:abstractNumId w:val="41"/>
  </w:num>
  <w:num w:numId="17">
    <w:abstractNumId w:val="31"/>
  </w:num>
  <w:num w:numId="18">
    <w:abstractNumId w:val="48"/>
  </w:num>
  <w:num w:numId="19">
    <w:abstractNumId w:val="12"/>
  </w:num>
  <w:num w:numId="20">
    <w:abstractNumId w:val="29"/>
  </w:num>
  <w:num w:numId="21">
    <w:abstractNumId w:val="45"/>
  </w:num>
  <w:num w:numId="22">
    <w:abstractNumId w:val="28"/>
  </w:num>
  <w:num w:numId="23">
    <w:abstractNumId w:val="47"/>
  </w:num>
  <w:num w:numId="24">
    <w:abstractNumId w:val="24"/>
  </w:num>
  <w:num w:numId="25">
    <w:abstractNumId w:val="6"/>
  </w:num>
  <w:num w:numId="26">
    <w:abstractNumId w:val="8"/>
  </w:num>
  <w:num w:numId="27">
    <w:abstractNumId w:val="25"/>
  </w:num>
  <w:num w:numId="28">
    <w:abstractNumId w:val="56"/>
  </w:num>
  <w:num w:numId="29">
    <w:abstractNumId w:val="16"/>
  </w:num>
  <w:num w:numId="30">
    <w:abstractNumId w:val="50"/>
  </w:num>
  <w:num w:numId="31">
    <w:abstractNumId w:val="13"/>
  </w:num>
  <w:num w:numId="32">
    <w:abstractNumId w:val="40"/>
  </w:num>
  <w:num w:numId="33">
    <w:abstractNumId w:val="27"/>
  </w:num>
  <w:num w:numId="34">
    <w:abstractNumId w:val="34"/>
  </w:num>
  <w:num w:numId="35">
    <w:abstractNumId w:val="33"/>
  </w:num>
  <w:num w:numId="36">
    <w:abstractNumId w:val="51"/>
  </w:num>
  <w:num w:numId="37">
    <w:abstractNumId w:val="36"/>
  </w:num>
  <w:num w:numId="38">
    <w:abstractNumId w:val="26"/>
  </w:num>
  <w:num w:numId="39">
    <w:abstractNumId w:val="1"/>
  </w:num>
  <w:num w:numId="40">
    <w:abstractNumId w:val="38"/>
  </w:num>
  <w:num w:numId="41">
    <w:abstractNumId w:val="49"/>
  </w:num>
  <w:num w:numId="42">
    <w:abstractNumId w:val="43"/>
  </w:num>
  <w:num w:numId="43">
    <w:abstractNumId w:val="44"/>
  </w:num>
  <w:num w:numId="44">
    <w:abstractNumId w:val="7"/>
  </w:num>
  <w:num w:numId="45">
    <w:abstractNumId w:val="4"/>
  </w:num>
  <w:num w:numId="46">
    <w:abstractNumId w:val="32"/>
  </w:num>
  <w:num w:numId="47">
    <w:abstractNumId w:val="46"/>
  </w:num>
  <w:num w:numId="48">
    <w:abstractNumId w:val="20"/>
  </w:num>
  <w:num w:numId="49">
    <w:abstractNumId w:val="35"/>
  </w:num>
  <w:num w:numId="50">
    <w:abstractNumId w:val="52"/>
  </w:num>
  <w:num w:numId="51">
    <w:abstractNumId w:val="15"/>
  </w:num>
  <w:num w:numId="52">
    <w:abstractNumId w:val="17"/>
  </w:num>
  <w:num w:numId="53">
    <w:abstractNumId w:val="9"/>
  </w:num>
  <w:num w:numId="54">
    <w:abstractNumId w:val="5"/>
  </w:num>
  <w:num w:numId="55">
    <w:abstractNumId w:val="11"/>
  </w:num>
  <w:num w:numId="56">
    <w:abstractNumId w:val="2"/>
  </w:num>
  <w:num w:numId="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63E"/>
    <w:rsid w:val="000009F5"/>
    <w:rsid w:val="0000118C"/>
    <w:rsid w:val="00001380"/>
    <w:rsid w:val="00002CB1"/>
    <w:rsid w:val="0000340D"/>
    <w:rsid w:val="00003A66"/>
    <w:rsid w:val="000053C0"/>
    <w:rsid w:val="000066EF"/>
    <w:rsid w:val="00007C55"/>
    <w:rsid w:val="00007D33"/>
    <w:rsid w:val="00011067"/>
    <w:rsid w:val="000115A8"/>
    <w:rsid w:val="00014395"/>
    <w:rsid w:val="00014590"/>
    <w:rsid w:val="00014C8E"/>
    <w:rsid w:val="00015251"/>
    <w:rsid w:val="000157E0"/>
    <w:rsid w:val="0001618C"/>
    <w:rsid w:val="00016208"/>
    <w:rsid w:val="00016969"/>
    <w:rsid w:val="000229EB"/>
    <w:rsid w:val="000237A7"/>
    <w:rsid w:val="000238E0"/>
    <w:rsid w:val="00023A93"/>
    <w:rsid w:val="00023BA5"/>
    <w:rsid w:val="0002481A"/>
    <w:rsid w:val="00025CDD"/>
    <w:rsid w:val="00026C3B"/>
    <w:rsid w:val="000301C4"/>
    <w:rsid w:val="0003039C"/>
    <w:rsid w:val="00030937"/>
    <w:rsid w:val="00033B38"/>
    <w:rsid w:val="00034BF8"/>
    <w:rsid w:val="00034E38"/>
    <w:rsid w:val="00035750"/>
    <w:rsid w:val="00035CCB"/>
    <w:rsid w:val="00036E25"/>
    <w:rsid w:val="00040402"/>
    <w:rsid w:val="0004164F"/>
    <w:rsid w:val="00042E2F"/>
    <w:rsid w:val="00043009"/>
    <w:rsid w:val="000444E6"/>
    <w:rsid w:val="0004573A"/>
    <w:rsid w:val="0005052D"/>
    <w:rsid w:val="000506B4"/>
    <w:rsid w:val="000515F3"/>
    <w:rsid w:val="00052EC4"/>
    <w:rsid w:val="000548DE"/>
    <w:rsid w:val="00054D5C"/>
    <w:rsid w:val="00054FC6"/>
    <w:rsid w:val="000560AE"/>
    <w:rsid w:val="00060505"/>
    <w:rsid w:val="000611E3"/>
    <w:rsid w:val="000622C1"/>
    <w:rsid w:val="0006286C"/>
    <w:rsid w:val="00063E50"/>
    <w:rsid w:val="0006448F"/>
    <w:rsid w:val="000649D3"/>
    <w:rsid w:val="000665E3"/>
    <w:rsid w:val="000671DC"/>
    <w:rsid w:val="0007024A"/>
    <w:rsid w:val="00070481"/>
    <w:rsid w:val="0007050C"/>
    <w:rsid w:val="000722C5"/>
    <w:rsid w:val="00072310"/>
    <w:rsid w:val="0007247B"/>
    <w:rsid w:val="00073304"/>
    <w:rsid w:val="00074B78"/>
    <w:rsid w:val="00075C22"/>
    <w:rsid w:val="00076686"/>
    <w:rsid w:val="0008019F"/>
    <w:rsid w:val="000803DE"/>
    <w:rsid w:val="000811D4"/>
    <w:rsid w:val="00081E28"/>
    <w:rsid w:val="0008207A"/>
    <w:rsid w:val="000832C8"/>
    <w:rsid w:val="00083799"/>
    <w:rsid w:val="000861D1"/>
    <w:rsid w:val="0008646C"/>
    <w:rsid w:val="000873E1"/>
    <w:rsid w:val="00087F08"/>
    <w:rsid w:val="00090259"/>
    <w:rsid w:val="00092D6D"/>
    <w:rsid w:val="000930EA"/>
    <w:rsid w:val="00094254"/>
    <w:rsid w:val="00095884"/>
    <w:rsid w:val="000966E8"/>
    <w:rsid w:val="00096ABD"/>
    <w:rsid w:val="000A0528"/>
    <w:rsid w:val="000A328D"/>
    <w:rsid w:val="000A390D"/>
    <w:rsid w:val="000A3F6F"/>
    <w:rsid w:val="000A4DF8"/>
    <w:rsid w:val="000A5466"/>
    <w:rsid w:val="000A5ADF"/>
    <w:rsid w:val="000A63F5"/>
    <w:rsid w:val="000A7842"/>
    <w:rsid w:val="000B09D6"/>
    <w:rsid w:val="000B09F3"/>
    <w:rsid w:val="000B1182"/>
    <w:rsid w:val="000B1199"/>
    <w:rsid w:val="000B1688"/>
    <w:rsid w:val="000B36A7"/>
    <w:rsid w:val="000B5427"/>
    <w:rsid w:val="000B5DD6"/>
    <w:rsid w:val="000B5FCA"/>
    <w:rsid w:val="000B6132"/>
    <w:rsid w:val="000C2262"/>
    <w:rsid w:val="000C27EC"/>
    <w:rsid w:val="000C3D0E"/>
    <w:rsid w:val="000C5FB8"/>
    <w:rsid w:val="000C7809"/>
    <w:rsid w:val="000C7CBF"/>
    <w:rsid w:val="000D3013"/>
    <w:rsid w:val="000D3236"/>
    <w:rsid w:val="000D73D9"/>
    <w:rsid w:val="000D7C89"/>
    <w:rsid w:val="000E2193"/>
    <w:rsid w:val="000E2A62"/>
    <w:rsid w:val="000E4534"/>
    <w:rsid w:val="000E6B70"/>
    <w:rsid w:val="000E75FB"/>
    <w:rsid w:val="000F0294"/>
    <w:rsid w:val="000F1CB3"/>
    <w:rsid w:val="000F2728"/>
    <w:rsid w:val="000F33BB"/>
    <w:rsid w:val="000F3619"/>
    <w:rsid w:val="000F5693"/>
    <w:rsid w:val="000F64BF"/>
    <w:rsid w:val="000F79A4"/>
    <w:rsid w:val="000F7AE5"/>
    <w:rsid w:val="000F7C73"/>
    <w:rsid w:val="00101644"/>
    <w:rsid w:val="00101A77"/>
    <w:rsid w:val="00101AC0"/>
    <w:rsid w:val="001020F4"/>
    <w:rsid w:val="00103097"/>
    <w:rsid w:val="001030C3"/>
    <w:rsid w:val="001030C6"/>
    <w:rsid w:val="0010568D"/>
    <w:rsid w:val="001064A6"/>
    <w:rsid w:val="0010684A"/>
    <w:rsid w:val="00107EF0"/>
    <w:rsid w:val="00112030"/>
    <w:rsid w:val="00114920"/>
    <w:rsid w:val="001156FE"/>
    <w:rsid w:val="00123BAD"/>
    <w:rsid w:val="00124127"/>
    <w:rsid w:val="00126280"/>
    <w:rsid w:val="001263CA"/>
    <w:rsid w:val="001266BF"/>
    <w:rsid w:val="00130AF0"/>
    <w:rsid w:val="00131E83"/>
    <w:rsid w:val="0013221F"/>
    <w:rsid w:val="001325EF"/>
    <w:rsid w:val="00132C17"/>
    <w:rsid w:val="00133211"/>
    <w:rsid w:val="00134351"/>
    <w:rsid w:val="00134F4E"/>
    <w:rsid w:val="00136160"/>
    <w:rsid w:val="0013760C"/>
    <w:rsid w:val="001377FC"/>
    <w:rsid w:val="00137F40"/>
    <w:rsid w:val="00140223"/>
    <w:rsid w:val="001424BC"/>
    <w:rsid w:val="00142EB9"/>
    <w:rsid w:val="00143117"/>
    <w:rsid w:val="0014546D"/>
    <w:rsid w:val="00146114"/>
    <w:rsid w:val="0014791A"/>
    <w:rsid w:val="001508A1"/>
    <w:rsid w:val="00150AA7"/>
    <w:rsid w:val="001528B3"/>
    <w:rsid w:val="001528EB"/>
    <w:rsid w:val="00152A36"/>
    <w:rsid w:val="001547EB"/>
    <w:rsid w:val="0015505B"/>
    <w:rsid w:val="00155310"/>
    <w:rsid w:val="00156F66"/>
    <w:rsid w:val="0016030B"/>
    <w:rsid w:val="00160445"/>
    <w:rsid w:val="00161CFC"/>
    <w:rsid w:val="00161EA2"/>
    <w:rsid w:val="00162A58"/>
    <w:rsid w:val="00162E8F"/>
    <w:rsid w:val="00163C20"/>
    <w:rsid w:val="00165188"/>
    <w:rsid w:val="00165F5B"/>
    <w:rsid w:val="001671DC"/>
    <w:rsid w:val="0016795B"/>
    <w:rsid w:val="00167ACA"/>
    <w:rsid w:val="00170B47"/>
    <w:rsid w:val="00170C20"/>
    <w:rsid w:val="00170E49"/>
    <w:rsid w:val="0017187B"/>
    <w:rsid w:val="00174EB3"/>
    <w:rsid w:val="001754BF"/>
    <w:rsid w:val="00175520"/>
    <w:rsid w:val="00175E74"/>
    <w:rsid w:val="00177526"/>
    <w:rsid w:val="00180634"/>
    <w:rsid w:val="00180C7B"/>
    <w:rsid w:val="00181085"/>
    <w:rsid w:val="0018186B"/>
    <w:rsid w:val="00183F0E"/>
    <w:rsid w:val="00184846"/>
    <w:rsid w:val="00186674"/>
    <w:rsid w:val="001866ED"/>
    <w:rsid w:val="00186E54"/>
    <w:rsid w:val="00187CAD"/>
    <w:rsid w:val="00193B17"/>
    <w:rsid w:val="0019491C"/>
    <w:rsid w:val="0019588E"/>
    <w:rsid w:val="00195C4F"/>
    <w:rsid w:val="0019610B"/>
    <w:rsid w:val="001966EF"/>
    <w:rsid w:val="00197748"/>
    <w:rsid w:val="00197786"/>
    <w:rsid w:val="00197CB8"/>
    <w:rsid w:val="001A2414"/>
    <w:rsid w:val="001A370B"/>
    <w:rsid w:val="001A441F"/>
    <w:rsid w:val="001A4BA7"/>
    <w:rsid w:val="001A57FC"/>
    <w:rsid w:val="001A687D"/>
    <w:rsid w:val="001A6C5A"/>
    <w:rsid w:val="001B0BAA"/>
    <w:rsid w:val="001B1B9B"/>
    <w:rsid w:val="001B2696"/>
    <w:rsid w:val="001B28CB"/>
    <w:rsid w:val="001B45D2"/>
    <w:rsid w:val="001B5B34"/>
    <w:rsid w:val="001C0431"/>
    <w:rsid w:val="001C0FC5"/>
    <w:rsid w:val="001C1820"/>
    <w:rsid w:val="001C239E"/>
    <w:rsid w:val="001C4F6D"/>
    <w:rsid w:val="001C5219"/>
    <w:rsid w:val="001C5EFC"/>
    <w:rsid w:val="001D11DE"/>
    <w:rsid w:val="001D2CF5"/>
    <w:rsid w:val="001D4025"/>
    <w:rsid w:val="001D542B"/>
    <w:rsid w:val="001D5DDD"/>
    <w:rsid w:val="001D63C0"/>
    <w:rsid w:val="001D6B9A"/>
    <w:rsid w:val="001D6CA6"/>
    <w:rsid w:val="001D7241"/>
    <w:rsid w:val="001D7551"/>
    <w:rsid w:val="001D76AB"/>
    <w:rsid w:val="001E013B"/>
    <w:rsid w:val="001E376F"/>
    <w:rsid w:val="001E5262"/>
    <w:rsid w:val="001E66DD"/>
    <w:rsid w:val="001E7237"/>
    <w:rsid w:val="001E726C"/>
    <w:rsid w:val="001F24A5"/>
    <w:rsid w:val="001F362D"/>
    <w:rsid w:val="001F3B6E"/>
    <w:rsid w:val="001F430D"/>
    <w:rsid w:val="001F5880"/>
    <w:rsid w:val="001F69BE"/>
    <w:rsid w:val="00201E84"/>
    <w:rsid w:val="00201FC4"/>
    <w:rsid w:val="00205213"/>
    <w:rsid w:val="0020571F"/>
    <w:rsid w:val="00211497"/>
    <w:rsid w:val="002114C3"/>
    <w:rsid w:val="00212117"/>
    <w:rsid w:val="00213222"/>
    <w:rsid w:val="00214475"/>
    <w:rsid w:val="00214568"/>
    <w:rsid w:val="00216E04"/>
    <w:rsid w:val="00217341"/>
    <w:rsid w:val="00217721"/>
    <w:rsid w:val="00217E51"/>
    <w:rsid w:val="00220A8C"/>
    <w:rsid w:val="00221867"/>
    <w:rsid w:val="002225DC"/>
    <w:rsid w:val="002241B4"/>
    <w:rsid w:val="00224B8F"/>
    <w:rsid w:val="00225F76"/>
    <w:rsid w:val="00226492"/>
    <w:rsid w:val="0022687E"/>
    <w:rsid w:val="00231563"/>
    <w:rsid w:val="00233E84"/>
    <w:rsid w:val="002352A0"/>
    <w:rsid w:val="002356C2"/>
    <w:rsid w:val="002357FB"/>
    <w:rsid w:val="002358F4"/>
    <w:rsid w:val="0023642E"/>
    <w:rsid w:val="00240C65"/>
    <w:rsid w:val="00241F03"/>
    <w:rsid w:val="00242271"/>
    <w:rsid w:val="00242B3E"/>
    <w:rsid w:val="00243AC5"/>
    <w:rsid w:val="00243B0E"/>
    <w:rsid w:val="00244F16"/>
    <w:rsid w:val="00245B20"/>
    <w:rsid w:val="00246320"/>
    <w:rsid w:val="0024772A"/>
    <w:rsid w:val="00250036"/>
    <w:rsid w:val="00251A22"/>
    <w:rsid w:val="0025244C"/>
    <w:rsid w:val="00254330"/>
    <w:rsid w:val="00254A99"/>
    <w:rsid w:val="00256997"/>
    <w:rsid w:val="002602F6"/>
    <w:rsid w:val="00260378"/>
    <w:rsid w:val="002652D9"/>
    <w:rsid w:val="002659A6"/>
    <w:rsid w:val="0026651F"/>
    <w:rsid w:val="0026686D"/>
    <w:rsid w:val="002712BB"/>
    <w:rsid w:val="00271B69"/>
    <w:rsid w:val="00272CB0"/>
    <w:rsid w:val="00275C95"/>
    <w:rsid w:val="002768CF"/>
    <w:rsid w:val="002770B7"/>
    <w:rsid w:val="00277460"/>
    <w:rsid w:val="00280A65"/>
    <w:rsid w:val="00280FEF"/>
    <w:rsid w:val="0028109A"/>
    <w:rsid w:val="00281DDC"/>
    <w:rsid w:val="00282FD5"/>
    <w:rsid w:val="00286DD8"/>
    <w:rsid w:val="00286F17"/>
    <w:rsid w:val="00287A2E"/>
    <w:rsid w:val="0029043C"/>
    <w:rsid w:val="00290CB4"/>
    <w:rsid w:val="00291B72"/>
    <w:rsid w:val="00291D32"/>
    <w:rsid w:val="0029218D"/>
    <w:rsid w:val="00292455"/>
    <w:rsid w:val="00292814"/>
    <w:rsid w:val="002928CA"/>
    <w:rsid w:val="00294454"/>
    <w:rsid w:val="00295525"/>
    <w:rsid w:val="00295F60"/>
    <w:rsid w:val="002A02F3"/>
    <w:rsid w:val="002A051B"/>
    <w:rsid w:val="002A28B3"/>
    <w:rsid w:val="002A6B85"/>
    <w:rsid w:val="002A6BD5"/>
    <w:rsid w:val="002B038E"/>
    <w:rsid w:val="002B0545"/>
    <w:rsid w:val="002B066A"/>
    <w:rsid w:val="002B0A1B"/>
    <w:rsid w:val="002B1B8F"/>
    <w:rsid w:val="002B1C31"/>
    <w:rsid w:val="002B2154"/>
    <w:rsid w:val="002B41F4"/>
    <w:rsid w:val="002B4A6A"/>
    <w:rsid w:val="002B4D23"/>
    <w:rsid w:val="002B7F08"/>
    <w:rsid w:val="002C2E5B"/>
    <w:rsid w:val="002C3295"/>
    <w:rsid w:val="002C64A3"/>
    <w:rsid w:val="002C6AE5"/>
    <w:rsid w:val="002D2571"/>
    <w:rsid w:val="002D3563"/>
    <w:rsid w:val="002D6CCA"/>
    <w:rsid w:val="002D7C9E"/>
    <w:rsid w:val="002E09BA"/>
    <w:rsid w:val="002E0B9B"/>
    <w:rsid w:val="002E1874"/>
    <w:rsid w:val="002E1F1D"/>
    <w:rsid w:val="002E3588"/>
    <w:rsid w:val="002E369D"/>
    <w:rsid w:val="002E414F"/>
    <w:rsid w:val="002E4D98"/>
    <w:rsid w:val="002E4FC2"/>
    <w:rsid w:val="002E621E"/>
    <w:rsid w:val="002E7FC6"/>
    <w:rsid w:val="002F1A8C"/>
    <w:rsid w:val="002F205E"/>
    <w:rsid w:val="002F2128"/>
    <w:rsid w:val="002F4EE5"/>
    <w:rsid w:val="002F6F42"/>
    <w:rsid w:val="002F74AD"/>
    <w:rsid w:val="0030357F"/>
    <w:rsid w:val="003049BB"/>
    <w:rsid w:val="003051A4"/>
    <w:rsid w:val="00306C91"/>
    <w:rsid w:val="00307EEB"/>
    <w:rsid w:val="00307F4F"/>
    <w:rsid w:val="00310B99"/>
    <w:rsid w:val="00311763"/>
    <w:rsid w:val="00311CAC"/>
    <w:rsid w:val="00311E34"/>
    <w:rsid w:val="0031250D"/>
    <w:rsid w:val="00313693"/>
    <w:rsid w:val="003149C7"/>
    <w:rsid w:val="00314D0E"/>
    <w:rsid w:val="00314DC2"/>
    <w:rsid w:val="00315B4A"/>
    <w:rsid w:val="00315C51"/>
    <w:rsid w:val="00315EDD"/>
    <w:rsid w:val="00316A41"/>
    <w:rsid w:val="0032241D"/>
    <w:rsid w:val="003227D9"/>
    <w:rsid w:val="00325D8E"/>
    <w:rsid w:val="00326910"/>
    <w:rsid w:val="00330173"/>
    <w:rsid w:val="003306ED"/>
    <w:rsid w:val="003316FD"/>
    <w:rsid w:val="00331756"/>
    <w:rsid w:val="00331834"/>
    <w:rsid w:val="003337FC"/>
    <w:rsid w:val="00333B48"/>
    <w:rsid w:val="0033453F"/>
    <w:rsid w:val="00335FD1"/>
    <w:rsid w:val="0033603E"/>
    <w:rsid w:val="003367B8"/>
    <w:rsid w:val="0033694B"/>
    <w:rsid w:val="0033791E"/>
    <w:rsid w:val="00337E75"/>
    <w:rsid w:val="00341BF5"/>
    <w:rsid w:val="00342785"/>
    <w:rsid w:val="0034347F"/>
    <w:rsid w:val="003445DC"/>
    <w:rsid w:val="0034506F"/>
    <w:rsid w:val="0034675A"/>
    <w:rsid w:val="00346D10"/>
    <w:rsid w:val="003475ED"/>
    <w:rsid w:val="00347A0A"/>
    <w:rsid w:val="00350E2E"/>
    <w:rsid w:val="003527E3"/>
    <w:rsid w:val="00352E06"/>
    <w:rsid w:val="003564E1"/>
    <w:rsid w:val="00356990"/>
    <w:rsid w:val="00356D20"/>
    <w:rsid w:val="00360BC0"/>
    <w:rsid w:val="00360D09"/>
    <w:rsid w:val="003612EF"/>
    <w:rsid w:val="00361E7B"/>
    <w:rsid w:val="00362A3D"/>
    <w:rsid w:val="003676A9"/>
    <w:rsid w:val="00370352"/>
    <w:rsid w:val="003706F7"/>
    <w:rsid w:val="00371F2C"/>
    <w:rsid w:val="0037242E"/>
    <w:rsid w:val="00372732"/>
    <w:rsid w:val="00372A07"/>
    <w:rsid w:val="00372CDC"/>
    <w:rsid w:val="00372D8B"/>
    <w:rsid w:val="00372E07"/>
    <w:rsid w:val="0037534C"/>
    <w:rsid w:val="00375AEB"/>
    <w:rsid w:val="0037609C"/>
    <w:rsid w:val="00377834"/>
    <w:rsid w:val="003802B8"/>
    <w:rsid w:val="00380F44"/>
    <w:rsid w:val="00382420"/>
    <w:rsid w:val="00382AE9"/>
    <w:rsid w:val="00383814"/>
    <w:rsid w:val="00383844"/>
    <w:rsid w:val="003839ED"/>
    <w:rsid w:val="00384395"/>
    <w:rsid w:val="00384768"/>
    <w:rsid w:val="00384FE1"/>
    <w:rsid w:val="0038509B"/>
    <w:rsid w:val="00385F49"/>
    <w:rsid w:val="00390522"/>
    <w:rsid w:val="00391BB8"/>
    <w:rsid w:val="00393AB0"/>
    <w:rsid w:val="00394A83"/>
    <w:rsid w:val="00394DE2"/>
    <w:rsid w:val="003A0DB0"/>
    <w:rsid w:val="003A18AB"/>
    <w:rsid w:val="003A1B28"/>
    <w:rsid w:val="003A3092"/>
    <w:rsid w:val="003A445D"/>
    <w:rsid w:val="003A5399"/>
    <w:rsid w:val="003A5A52"/>
    <w:rsid w:val="003A5B10"/>
    <w:rsid w:val="003A600E"/>
    <w:rsid w:val="003A6762"/>
    <w:rsid w:val="003A6AC6"/>
    <w:rsid w:val="003A6F84"/>
    <w:rsid w:val="003B0436"/>
    <w:rsid w:val="003B0B28"/>
    <w:rsid w:val="003B134F"/>
    <w:rsid w:val="003B19DA"/>
    <w:rsid w:val="003B2058"/>
    <w:rsid w:val="003B2DEF"/>
    <w:rsid w:val="003B4F56"/>
    <w:rsid w:val="003B5C88"/>
    <w:rsid w:val="003B6F69"/>
    <w:rsid w:val="003B7911"/>
    <w:rsid w:val="003C062B"/>
    <w:rsid w:val="003C1C86"/>
    <w:rsid w:val="003C22CE"/>
    <w:rsid w:val="003C2C1C"/>
    <w:rsid w:val="003C5248"/>
    <w:rsid w:val="003C527B"/>
    <w:rsid w:val="003C5441"/>
    <w:rsid w:val="003C5F9D"/>
    <w:rsid w:val="003C6940"/>
    <w:rsid w:val="003C7017"/>
    <w:rsid w:val="003C7F0C"/>
    <w:rsid w:val="003D06B1"/>
    <w:rsid w:val="003D0900"/>
    <w:rsid w:val="003D0D18"/>
    <w:rsid w:val="003D1EC8"/>
    <w:rsid w:val="003D360E"/>
    <w:rsid w:val="003D5126"/>
    <w:rsid w:val="003D689D"/>
    <w:rsid w:val="003D6E91"/>
    <w:rsid w:val="003D7CE8"/>
    <w:rsid w:val="003E1388"/>
    <w:rsid w:val="003E31FB"/>
    <w:rsid w:val="003E3905"/>
    <w:rsid w:val="003E3CFF"/>
    <w:rsid w:val="003E4F3E"/>
    <w:rsid w:val="003E50DF"/>
    <w:rsid w:val="003E5932"/>
    <w:rsid w:val="003E66DE"/>
    <w:rsid w:val="003E7E19"/>
    <w:rsid w:val="003F1618"/>
    <w:rsid w:val="003F1DEC"/>
    <w:rsid w:val="003F21CF"/>
    <w:rsid w:val="003F279A"/>
    <w:rsid w:val="003F29BD"/>
    <w:rsid w:val="003F3104"/>
    <w:rsid w:val="003F46CF"/>
    <w:rsid w:val="003F4CA7"/>
    <w:rsid w:val="003F5868"/>
    <w:rsid w:val="003F6C73"/>
    <w:rsid w:val="003F7552"/>
    <w:rsid w:val="00401278"/>
    <w:rsid w:val="0040174F"/>
    <w:rsid w:val="0040240A"/>
    <w:rsid w:val="00402BF2"/>
    <w:rsid w:val="00403D22"/>
    <w:rsid w:val="00405E4E"/>
    <w:rsid w:val="00406893"/>
    <w:rsid w:val="00410A3B"/>
    <w:rsid w:val="00410D1B"/>
    <w:rsid w:val="004115FE"/>
    <w:rsid w:val="00413595"/>
    <w:rsid w:val="00413B2D"/>
    <w:rsid w:val="00413F45"/>
    <w:rsid w:val="00415266"/>
    <w:rsid w:val="00415935"/>
    <w:rsid w:val="00415D57"/>
    <w:rsid w:val="004179AC"/>
    <w:rsid w:val="00420438"/>
    <w:rsid w:val="00420A03"/>
    <w:rsid w:val="0042103B"/>
    <w:rsid w:val="00421DA6"/>
    <w:rsid w:val="00423A55"/>
    <w:rsid w:val="00424BCF"/>
    <w:rsid w:val="00425EA7"/>
    <w:rsid w:val="00425FF5"/>
    <w:rsid w:val="00426345"/>
    <w:rsid w:val="00426A16"/>
    <w:rsid w:val="00426C0F"/>
    <w:rsid w:val="00426CD8"/>
    <w:rsid w:val="00426F87"/>
    <w:rsid w:val="0042780F"/>
    <w:rsid w:val="00427BC7"/>
    <w:rsid w:val="00431753"/>
    <w:rsid w:val="0043374D"/>
    <w:rsid w:val="00434D28"/>
    <w:rsid w:val="00434D51"/>
    <w:rsid w:val="0043715C"/>
    <w:rsid w:val="00437627"/>
    <w:rsid w:val="00440128"/>
    <w:rsid w:val="00440CB1"/>
    <w:rsid w:val="004415C4"/>
    <w:rsid w:val="0044172D"/>
    <w:rsid w:val="00442574"/>
    <w:rsid w:val="004435FD"/>
    <w:rsid w:val="00443A57"/>
    <w:rsid w:val="00444956"/>
    <w:rsid w:val="00444E15"/>
    <w:rsid w:val="00446780"/>
    <w:rsid w:val="00446A8C"/>
    <w:rsid w:val="00447DCA"/>
    <w:rsid w:val="0045017E"/>
    <w:rsid w:val="00450328"/>
    <w:rsid w:val="00451F48"/>
    <w:rsid w:val="00452478"/>
    <w:rsid w:val="00453521"/>
    <w:rsid w:val="00454978"/>
    <w:rsid w:val="00454D15"/>
    <w:rsid w:val="004552D9"/>
    <w:rsid w:val="00456127"/>
    <w:rsid w:val="00457069"/>
    <w:rsid w:val="0046048E"/>
    <w:rsid w:val="00460743"/>
    <w:rsid w:val="004652EE"/>
    <w:rsid w:val="00465E8E"/>
    <w:rsid w:val="00467509"/>
    <w:rsid w:val="004718DC"/>
    <w:rsid w:val="00472C88"/>
    <w:rsid w:val="00475851"/>
    <w:rsid w:val="004761D2"/>
    <w:rsid w:val="00476775"/>
    <w:rsid w:val="00476E26"/>
    <w:rsid w:val="004819A1"/>
    <w:rsid w:val="00481A01"/>
    <w:rsid w:val="00485076"/>
    <w:rsid w:val="00485212"/>
    <w:rsid w:val="0048774A"/>
    <w:rsid w:val="00487C5F"/>
    <w:rsid w:val="00487FE2"/>
    <w:rsid w:val="00496FF4"/>
    <w:rsid w:val="00497DD5"/>
    <w:rsid w:val="004A0195"/>
    <w:rsid w:val="004A081D"/>
    <w:rsid w:val="004A1424"/>
    <w:rsid w:val="004A1DBF"/>
    <w:rsid w:val="004A2722"/>
    <w:rsid w:val="004A47C8"/>
    <w:rsid w:val="004A4BB3"/>
    <w:rsid w:val="004A5B46"/>
    <w:rsid w:val="004A622C"/>
    <w:rsid w:val="004A7735"/>
    <w:rsid w:val="004A7F41"/>
    <w:rsid w:val="004B0DA9"/>
    <w:rsid w:val="004B1CFB"/>
    <w:rsid w:val="004B2188"/>
    <w:rsid w:val="004B2353"/>
    <w:rsid w:val="004B2461"/>
    <w:rsid w:val="004B27CE"/>
    <w:rsid w:val="004B481A"/>
    <w:rsid w:val="004C120E"/>
    <w:rsid w:val="004C1BB5"/>
    <w:rsid w:val="004C30FF"/>
    <w:rsid w:val="004C320B"/>
    <w:rsid w:val="004C40CD"/>
    <w:rsid w:val="004C4CF2"/>
    <w:rsid w:val="004C5FD5"/>
    <w:rsid w:val="004C6222"/>
    <w:rsid w:val="004C6CB1"/>
    <w:rsid w:val="004D27C2"/>
    <w:rsid w:val="004D2C24"/>
    <w:rsid w:val="004D3753"/>
    <w:rsid w:val="004D50DA"/>
    <w:rsid w:val="004D58A7"/>
    <w:rsid w:val="004D61B2"/>
    <w:rsid w:val="004D67B5"/>
    <w:rsid w:val="004D6E68"/>
    <w:rsid w:val="004D7426"/>
    <w:rsid w:val="004D762F"/>
    <w:rsid w:val="004E1C43"/>
    <w:rsid w:val="004E1DF9"/>
    <w:rsid w:val="004E2883"/>
    <w:rsid w:val="004E2A89"/>
    <w:rsid w:val="004E662E"/>
    <w:rsid w:val="004E7A7B"/>
    <w:rsid w:val="004E7E25"/>
    <w:rsid w:val="004F0A29"/>
    <w:rsid w:val="004F266F"/>
    <w:rsid w:val="004F2956"/>
    <w:rsid w:val="004F2B35"/>
    <w:rsid w:val="004F2EF1"/>
    <w:rsid w:val="004F31EF"/>
    <w:rsid w:val="004F3BAC"/>
    <w:rsid w:val="004F413C"/>
    <w:rsid w:val="004F4CB1"/>
    <w:rsid w:val="004F4F3B"/>
    <w:rsid w:val="004F5B81"/>
    <w:rsid w:val="004F6902"/>
    <w:rsid w:val="004F6D20"/>
    <w:rsid w:val="004F70F5"/>
    <w:rsid w:val="004F7551"/>
    <w:rsid w:val="00501542"/>
    <w:rsid w:val="00501E25"/>
    <w:rsid w:val="005022C1"/>
    <w:rsid w:val="00504C8A"/>
    <w:rsid w:val="00507C38"/>
    <w:rsid w:val="00507DE6"/>
    <w:rsid w:val="005120A7"/>
    <w:rsid w:val="00513AB9"/>
    <w:rsid w:val="00513E50"/>
    <w:rsid w:val="0051489B"/>
    <w:rsid w:val="005155A9"/>
    <w:rsid w:val="00515FE8"/>
    <w:rsid w:val="0052226E"/>
    <w:rsid w:val="00523418"/>
    <w:rsid w:val="005236FC"/>
    <w:rsid w:val="00526AE5"/>
    <w:rsid w:val="00531F18"/>
    <w:rsid w:val="00532116"/>
    <w:rsid w:val="005331D1"/>
    <w:rsid w:val="00533354"/>
    <w:rsid w:val="00533A01"/>
    <w:rsid w:val="0053581D"/>
    <w:rsid w:val="005361A6"/>
    <w:rsid w:val="005365A4"/>
    <w:rsid w:val="00537641"/>
    <w:rsid w:val="00537895"/>
    <w:rsid w:val="00540439"/>
    <w:rsid w:val="00541069"/>
    <w:rsid w:val="00541CCF"/>
    <w:rsid w:val="00541FA4"/>
    <w:rsid w:val="00542A9F"/>
    <w:rsid w:val="0054464F"/>
    <w:rsid w:val="00544C78"/>
    <w:rsid w:val="00544D67"/>
    <w:rsid w:val="00545454"/>
    <w:rsid w:val="00545D1F"/>
    <w:rsid w:val="00550294"/>
    <w:rsid w:val="00550A9D"/>
    <w:rsid w:val="0055146E"/>
    <w:rsid w:val="00552790"/>
    <w:rsid w:val="00553B65"/>
    <w:rsid w:val="00554FA5"/>
    <w:rsid w:val="0055630A"/>
    <w:rsid w:val="00562458"/>
    <w:rsid w:val="00563E31"/>
    <w:rsid w:val="005649F0"/>
    <w:rsid w:val="00565774"/>
    <w:rsid w:val="00567288"/>
    <w:rsid w:val="00567387"/>
    <w:rsid w:val="0057403F"/>
    <w:rsid w:val="005764A8"/>
    <w:rsid w:val="00581B85"/>
    <w:rsid w:val="00581C75"/>
    <w:rsid w:val="0058232E"/>
    <w:rsid w:val="0058391D"/>
    <w:rsid w:val="00583CC1"/>
    <w:rsid w:val="00585AE0"/>
    <w:rsid w:val="00585FF4"/>
    <w:rsid w:val="00587089"/>
    <w:rsid w:val="00590404"/>
    <w:rsid w:val="00590BED"/>
    <w:rsid w:val="00592D16"/>
    <w:rsid w:val="0059433D"/>
    <w:rsid w:val="00594608"/>
    <w:rsid w:val="00594766"/>
    <w:rsid w:val="00595997"/>
    <w:rsid w:val="00595FB2"/>
    <w:rsid w:val="0059698F"/>
    <w:rsid w:val="00597270"/>
    <w:rsid w:val="005977E7"/>
    <w:rsid w:val="005A0668"/>
    <w:rsid w:val="005A0979"/>
    <w:rsid w:val="005A0C07"/>
    <w:rsid w:val="005A112D"/>
    <w:rsid w:val="005A2579"/>
    <w:rsid w:val="005A2B1B"/>
    <w:rsid w:val="005A50CF"/>
    <w:rsid w:val="005A5577"/>
    <w:rsid w:val="005A583B"/>
    <w:rsid w:val="005A59E2"/>
    <w:rsid w:val="005A5BF6"/>
    <w:rsid w:val="005B0109"/>
    <w:rsid w:val="005B3421"/>
    <w:rsid w:val="005B590E"/>
    <w:rsid w:val="005B645C"/>
    <w:rsid w:val="005C0E93"/>
    <w:rsid w:val="005C0FB1"/>
    <w:rsid w:val="005C11D2"/>
    <w:rsid w:val="005C309B"/>
    <w:rsid w:val="005C38A1"/>
    <w:rsid w:val="005C3E22"/>
    <w:rsid w:val="005C5217"/>
    <w:rsid w:val="005C7E35"/>
    <w:rsid w:val="005D1AE8"/>
    <w:rsid w:val="005D2FE3"/>
    <w:rsid w:val="005D3C90"/>
    <w:rsid w:val="005D4120"/>
    <w:rsid w:val="005D4F28"/>
    <w:rsid w:val="005E0760"/>
    <w:rsid w:val="005E2264"/>
    <w:rsid w:val="005E2743"/>
    <w:rsid w:val="005E3D2F"/>
    <w:rsid w:val="005E639D"/>
    <w:rsid w:val="005E7B5F"/>
    <w:rsid w:val="005E7D70"/>
    <w:rsid w:val="005F11D1"/>
    <w:rsid w:val="005F3416"/>
    <w:rsid w:val="005F3A7B"/>
    <w:rsid w:val="005F6C3A"/>
    <w:rsid w:val="005F70DA"/>
    <w:rsid w:val="00603948"/>
    <w:rsid w:val="00603D90"/>
    <w:rsid w:val="00603EA3"/>
    <w:rsid w:val="0060545D"/>
    <w:rsid w:val="00605A96"/>
    <w:rsid w:val="00606128"/>
    <w:rsid w:val="00606BB7"/>
    <w:rsid w:val="006100AD"/>
    <w:rsid w:val="00611A12"/>
    <w:rsid w:val="00615E1D"/>
    <w:rsid w:val="00616EFD"/>
    <w:rsid w:val="00617B4C"/>
    <w:rsid w:val="00620037"/>
    <w:rsid w:val="00620580"/>
    <w:rsid w:val="00621A4A"/>
    <w:rsid w:val="00621B40"/>
    <w:rsid w:val="00623496"/>
    <w:rsid w:val="00623903"/>
    <w:rsid w:val="00623F48"/>
    <w:rsid w:val="00624E26"/>
    <w:rsid w:val="00625C32"/>
    <w:rsid w:val="006278C8"/>
    <w:rsid w:val="00630166"/>
    <w:rsid w:val="00633E3A"/>
    <w:rsid w:val="00633F70"/>
    <w:rsid w:val="006342DE"/>
    <w:rsid w:val="0063588F"/>
    <w:rsid w:val="00636660"/>
    <w:rsid w:val="00636DB2"/>
    <w:rsid w:val="00637038"/>
    <w:rsid w:val="00637722"/>
    <w:rsid w:val="0064203B"/>
    <w:rsid w:val="006420FC"/>
    <w:rsid w:val="00645BF8"/>
    <w:rsid w:val="00651281"/>
    <w:rsid w:val="006512AE"/>
    <w:rsid w:val="00651CB9"/>
    <w:rsid w:val="00651E27"/>
    <w:rsid w:val="006525CF"/>
    <w:rsid w:val="006532ED"/>
    <w:rsid w:val="00654262"/>
    <w:rsid w:val="00655C5B"/>
    <w:rsid w:val="00655DC1"/>
    <w:rsid w:val="00657198"/>
    <w:rsid w:val="006571C6"/>
    <w:rsid w:val="0066128A"/>
    <w:rsid w:val="0066150B"/>
    <w:rsid w:val="0066320E"/>
    <w:rsid w:val="00663BF2"/>
    <w:rsid w:val="0066474E"/>
    <w:rsid w:val="00665ED7"/>
    <w:rsid w:val="0066606C"/>
    <w:rsid w:val="006676C2"/>
    <w:rsid w:val="00667822"/>
    <w:rsid w:val="006705A8"/>
    <w:rsid w:val="00671E40"/>
    <w:rsid w:val="00671EC6"/>
    <w:rsid w:val="0067294F"/>
    <w:rsid w:val="00674324"/>
    <w:rsid w:val="00674354"/>
    <w:rsid w:val="00674A0F"/>
    <w:rsid w:val="00675089"/>
    <w:rsid w:val="00675441"/>
    <w:rsid w:val="0068029B"/>
    <w:rsid w:val="00682B94"/>
    <w:rsid w:val="00687717"/>
    <w:rsid w:val="00690075"/>
    <w:rsid w:val="006913FE"/>
    <w:rsid w:val="00691719"/>
    <w:rsid w:val="006921C7"/>
    <w:rsid w:val="00693987"/>
    <w:rsid w:val="006963B7"/>
    <w:rsid w:val="00696B42"/>
    <w:rsid w:val="006A03ED"/>
    <w:rsid w:val="006A2A5D"/>
    <w:rsid w:val="006A2F2D"/>
    <w:rsid w:val="006A4A7F"/>
    <w:rsid w:val="006A4E5B"/>
    <w:rsid w:val="006A4E7A"/>
    <w:rsid w:val="006A6CCF"/>
    <w:rsid w:val="006A74B4"/>
    <w:rsid w:val="006B0997"/>
    <w:rsid w:val="006B0EB7"/>
    <w:rsid w:val="006B1C92"/>
    <w:rsid w:val="006B21D3"/>
    <w:rsid w:val="006B2787"/>
    <w:rsid w:val="006B295C"/>
    <w:rsid w:val="006B4738"/>
    <w:rsid w:val="006B59C9"/>
    <w:rsid w:val="006B6194"/>
    <w:rsid w:val="006B6F55"/>
    <w:rsid w:val="006B7598"/>
    <w:rsid w:val="006B79FA"/>
    <w:rsid w:val="006C0444"/>
    <w:rsid w:val="006C044C"/>
    <w:rsid w:val="006C1BFA"/>
    <w:rsid w:val="006C3B14"/>
    <w:rsid w:val="006C4503"/>
    <w:rsid w:val="006C4BD0"/>
    <w:rsid w:val="006C722E"/>
    <w:rsid w:val="006D1796"/>
    <w:rsid w:val="006D1A31"/>
    <w:rsid w:val="006D2661"/>
    <w:rsid w:val="006D2C17"/>
    <w:rsid w:val="006D4862"/>
    <w:rsid w:val="006D51E6"/>
    <w:rsid w:val="006D551F"/>
    <w:rsid w:val="006D5E5C"/>
    <w:rsid w:val="006D7209"/>
    <w:rsid w:val="006D75B2"/>
    <w:rsid w:val="006D765E"/>
    <w:rsid w:val="006E03E4"/>
    <w:rsid w:val="006E278D"/>
    <w:rsid w:val="006E3218"/>
    <w:rsid w:val="006E33B6"/>
    <w:rsid w:val="006E5386"/>
    <w:rsid w:val="006E646E"/>
    <w:rsid w:val="006E649A"/>
    <w:rsid w:val="006E6BF1"/>
    <w:rsid w:val="006E6BF2"/>
    <w:rsid w:val="006E7AA4"/>
    <w:rsid w:val="006F005C"/>
    <w:rsid w:val="006F130A"/>
    <w:rsid w:val="006F1FB3"/>
    <w:rsid w:val="006F2541"/>
    <w:rsid w:val="006F26B0"/>
    <w:rsid w:val="006F2CB1"/>
    <w:rsid w:val="006F30BD"/>
    <w:rsid w:val="006F3C5B"/>
    <w:rsid w:val="006F3F07"/>
    <w:rsid w:val="006F4F33"/>
    <w:rsid w:val="006F6520"/>
    <w:rsid w:val="007006BA"/>
    <w:rsid w:val="007007BA"/>
    <w:rsid w:val="00702E89"/>
    <w:rsid w:val="007039A3"/>
    <w:rsid w:val="00707244"/>
    <w:rsid w:val="0070725E"/>
    <w:rsid w:val="007102F3"/>
    <w:rsid w:val="007103F1"/>
    <w:rsid w:val="00711044"/>
    <w:rsid w:val="007123DF"/>
    <w:rsid w:val="00713D91"/>
    <w:rsid w:val="00714281"/>
    <w:rsid w:val="007147A2"/>
    <w:rsid w:val="00714C48"/>
    <w:rsid w:val="00714FCC"/>
    <w:rsid w:val="00715178"/>
    <w:rsid w:val="007160A3"/>
    <w:rsid w:val="00716A87"/>
    <w:rsid w:val="00716CDB"/>
    <w:rsid w:val="00716F9F"/>
    <w:rsid w:val="00720B17"/>
    <w:rsid w:val="00721D66"/>
    <w:rsid w:val="0072307C"/>
    <w:rsid w:val="00724991"/>
    <w:rsid w:val="0072560B"/>
    <w:rsid w:val="00725DFA"/>
    <w:rsid w:val="00725ED2"/>
    <w:rsid w:val="00727B6C"/>
    <w:rsid w:val="007313BA"/>
    <w:rsid w:val="007313DE"/>
    <w:rsid w:val="00731D53"/>
    <w:rsid w:val="007321E9"/>
    <w:rsid w:val="007366B7"/>
    <w:rsid w:val="00736D97"/>
    <w:rsid w:val="007370D4"/>
    <w:rsid w:val="0073740C"/>
    <w:rsid w:val="007402F1"/>
    <w:rsid w:val="00740570"/>
    <w:rsid w:val="0074195D"/>
    <w:rsid w:val="00742446"/>
    <w:rsid w:val="00742BF7"/>
    <w:rsid w:val="00743CA6"/>
    <w:rsid w:val="007448E7"/>
    <w:rsid w:val="007450B0"/>
    <w:rsid w:val="0074526C"/>
    <w:rsid w:val="007455EA"/>
    <w:rsid w:val="00747C42"/>
    <w:rsid w:val="0075515B"/>
    <w:rsid w:val="00755444"/>
    <w:rsid w:val="007566A9"/>
    <w:rsid w:val="007569A0"/>
    <w:rsid w:val="00756EA9"/>
    <w:rsid w:val="007605D6"/>
    <w:rsid w:val="00760AFF"/>
    <w:rsid w:val="00761452"/>
    <w:rsid w:val="0076155E"/>
    <w:rsid w:val="00761CBE"/>
    <w:rsid w:val="00764D0E"/>
    <w:rsid w:val="00766A77"/>
    <w:rsid w:val="00766E81"/>
    <w:rsid w:val="00767FA3"/>
    <w:rsid w:val="00770097"/>
    <w:rsid w:val="007703BB"/>
    <w:rsid w:val="007708C4"/>
    <w:rsid w:val="00770C0B"/>
    <w:rsid w:val="00771061"/>
    <w:rsid w:val="0077145F"/>
    <w:rsid w:val="00771FCA"/>
    <w:rsid w:val="00772E70"/>
    <w:rsid w:val="00773166"/>
    <w:rsid w:val="00773570"/>
    <w:rsid w:val="0077433A"/>
    <w:rsid w:val="007754E0"/>
    <w:rsid w:val="00776672"/>
    <w:rsid w:val="007770C9"/>
    <w:rsid w:val="00777CCA"/>
    <w:rsid w:val="00777F87"/>
    <w:rsid w:val="00780D98"/>
    <w:rsid w:val="007832F6"/>
    <w:rsid w:val="00783D5D"/>
    <w:rsid w:val="007847D8"/>
    <w:rsid w:val="00786543"/>
    <w:rsid w:val="00787D93"/>
    <w:rsid w:val="00787EB1"/>
    <w:rsid w:val="007901F5"/>
    <w:rsid w:val="007904E1"/>
    <w:rsid w:val="00791213"/>
    <w:rsid w:val="00791F8A"/>
    <w:rsid w:val="00797610"/>
    <w:rsid w:val="007A03DF"/>
    <w:rsid w:val="007A040D"/>
    <w:rsid w:val="007A0DB8"/>
    <w:rsid w:val="007A0E99"/>
    <w:rsid w:val="007A17D9"/>
    <w:rsid w:val="007A73AD"/>
    <w:rsid w:val="007B0FA6"/>
    <w:rsid w:val="007B14EC"/>
    <w:rsid w:val="007B377B"/>
    <w:rsid w:val="007B3E74"/>
    <w:rsid w:val="007B5D4E"/>
    <w:rsid w:val="007B723F"/>
    <w:rsid w:val="007C002A"/>
    <w:rsid w:val="007C0A17"/>
    <w:rsid w:val="007C15D9"/>
    <w:rsid w:val="007C3732"/>
    <w:rsid w:val="007C4EE3"/>
    <w:rsid w:val="007C5399"/>
    <w:rsid w:val="007C684B"/>
    <w:rsid w:val="007C6978"/>
    <w:rsid w:val="007C6E05"/>
    <w:rsid w:val="007D0F36"/>
    <w:rsid w:val="007D101C"/>
    <w:rsid w:val="007D23C5"/>
    <w:rsid w:val="007D3C48"/>
    <w:rsid w:val="007D48C7"/>
    <w:rsid w:val="007D4B28"/>
    <w:rsid w:val="007D5615"/>
    <w:rsid w:val="007D5ADA"/>
    <w:rsid w:val="007D63E7"/>
    <w:rsid w:val="007D6543"/>
    <w:rsid w:val="007E005D"/>
    <w:rsid w:val="007E02CB"/>
    <w:rsid w:val="007E0F83"/>
    <w:rsid w:val="007E1474"/>
    <w:rsid w:val="007E2036"/>
    <w:rsid w:val="007E296F"/>
    <w:rsid w:val="007E4CB4"/>
    <w:rsid w:val="007E70B0"/>
    <w:rsid w:val="007F0893"/>
    <w:rsid w:val="007F2EC6"/>
    <w:rsid w:val="007F4180"/>
    <w:rsid w:val="007F45EC"/>
    <w:rsid w:val="007F4D32"/>
    <w:rsid w:val="007F51D0"/>
    <w:rsid w:val="007F65D1"/>
    <w:rsid w:val="007F6CB7"/>
    <w:rsid w:val="007F6E1C"/>
    <w:rsid w:val="00801560"/>
    <w:rsid w:val="0080164C"/>
    <w:rsid w:val="008019F0"/>
    <w:rsid w:val="00803FC2"/>
    <w:rsid w:val="00806022"/>
    <w:rsid w:val="008072A8"/>
    <w:rsid w:val="008077F2"/>
    <w:rsid w:val="00807A3F"/>
    <w:rsid w:val="00810520"/>
    <w:rsid w:val="00810639"/>
    <w:rsid w:val="00810BD8"/>
    <w:rsid w:val="00812CE9"/>
    <w:rsid w:val="00813781"/>
    <w:rsid w:val="008140F9"/>
    <w:rsid w:val="0081469C"/>
    <w:rsid w:val="008147FC"/>
    <w:rsid w:val="00814ACF"/>
    <w:rsid w:val="00817A45"/>
    <w:rsid w:val="008204F3"/>
    <w:rsid w:val="00821DFC"/>
    <w:rsid w:val="008224CE"/>
    <w:rsid w:val="00827B6B"/>
    <w:rsid w:val="00827FE3"/>
    <w:rsid w:val="00830014"/>
    <w:rsid w:val="00831A23"/>
    <w:rsid w:val="008344A5"/>
    <w:rsid w:val="00835031"/>
    <w:rsid w:val="00836AA0"/>
    <w:rsid w:val="00836FF1"/>
    <w:rsid w:val="00837372"/>
    <w:rsid w:val="0084002A"/>
    <w:rsid w:val="00840092"/>
    <w:rsid w:val="008413BD"/>
    <w:rsid w:val="00843920"/>
    <w:rsid w:val="0084552A"/>
    <w:rsid w:val="00845A92"/>
    <w:rsid w:val="00847BF2"/>
    <w:rsid w:val="008503D8"/>
    <w:rsid w:val="00851920"/>
    <w:rsid w:val="00852D8E"/>
    <w:rsid w:val="008539AD"/>
    <w:rsid w:val="0085482F"/>
    <w:rsid w:val="00854CFC"/>
    <w:rsid w:val="00855C37"/>
    <w:rsid w:val="00860E99"/>
    <w:rsid w:val="00861C05"/>
    <w:rsid w:val="00861E96"/>
    <w:rsid w:val="00862F7F"/>
    <w:rsid w:val="00863657"/>
    <w:rsid w:val="008656B7"/>
    <w:rsid w:val="008658A7"/>
    <w:rsid w:val="008671DB"/>
    <w:rsid w:val="00870BA9"/>
    <w:rsid w:val="008712EE"/>
    <w:rsid w:val="008718F2"/>
    <w:rsid w:val="008729B8"/>
    <w:rsid w:val="00872CB4"/>
    <w:rsid w:val="00873BC0"/>
    <w:rsid w:val="00874C5B"/>
    <w:rsid w:val="0087616A"/>
    <w:rsid w:val="00876196"/>
    <w:rsid w:val="00876DAA"/>
    <w:rsid w:val="00877EC3"/>
    <w:rsid w:val="00877F9C"/>
    <w:rsid w:val="00880D9F"/>
    <w:rsid w:val="00881279"/>
    <w:rsid w:val="00882982"/>
    <w:rsid w:val="00882AB9"/>
    <w:rsid w:val="00882D02"/>
    <w:rsid w:val="0088325F"/>
    <w:rsid w:val="00883BE3"/>
    <w:rsid w:val="008847B7"/>
    <w:rsid w:val="00885F35"/>
    <w:rsid w:val="00887DFA"/>
    <w:rsid w:val="00891EA3"/>
    <w:rsid w:val="00892038"/>
    <w:rsid w:val="0089289E"/>
    <w:rsid w:val="008947DF"/>
    <w:rsid w:val="00897248"/>
    <w:rsid w:val="008A211B"/>
    <w:rsid w:val="008A3CC2"/>
    <w:rsid w:val="008A5B2F"/>
    <w:rsid w:val="008A7C91"/>
    <w:rsid w:val="008A7E2C"/>
    <w:rsid w:val="008B01D1"/>
    <w:rsid w:val="008B133A"/>
    <w:rsid w:val="008B55AB"/>
    <w:rsid w:val="008B65EB"/>
    <w:rsid w:val="008B779C"/>
    <w:rsid w:val="008B7DD0"/>
    <w:rsid w:val="008C0ECF"/>
    <w:rsid w:val="008C0F76"/>
    <w:rsid w:val="008C2C5E"/>
    <w:rsid w:val="008C483C"/>
    <w:rsid w:val="008C58D1"/>
    <w:rsid w:val="008C61DF"/>
    <w:rsid w:val="008C7B9E"/>
    <w:rsid w:val="008D1A1C"/>
    <w:rsid w:val="008D1A80"/>
    <w:rsid w:val="008D1E81"/>
    <w:rsid w:val="008D3345"/>
    <w:rsid w:val="008D3C03"/>
    <w:rsid w:val="008D5ACB"/>
    <w:rsid w:val="008D6273"/>
    <w:rsid w:val="008D7E34"/>
    <w:rsid w:val="008E1EB8"/>
    <w:rsid w:val="008E1FDA"/>
    <w:rsid w:val="008E25B7"/>
    <w:rsid w:val="008E42F8"/>
    <w:rsid w:val="008E4BE7"/>
    <w:rsid w:val="008E555E"/>
    <w:rsid w:val="008E63D3"/>
    <w:rsid w:val="008E66A3"/>
    <w:rsid w:val="008E737B"/>
    <w:rsid w:val="008E7424"/>
    <w:rsid w:val="008F0F01"/>
    <w:rsid w:val="008F1189"/>
    <w:rsid w:val="008F12BA"/>
    <w:rsid w:val="008F1683"/>
    <w:rsid w:val="008F19D4"/>
    <w:rsid w:val="008F204A"/>
    <w:rsid w:val="008F25A3"/>
    <w:rsid w:val="008F2A3C"/>
    <w:rsid w:val="008F3755"/>
    <w:rsid w:val="008F4252"/>
    <w:rsid w:val="008F4EB5"/>
    <w:rsid w:val="00900323"/>
    <w:rsid w:val="00901FBC"/>
    <w:rsid w:val="009020B1"/>
    <w:rsid w:val="00902478"/>
    <w:rsid w:val="0090263B"/>
    <w:rsid w:val="00903044"/>
    <w:rsid w:val="00905B2C"/>
    <w:rsid w:val="0090617D"/>
    <w:rsid w:val="009061CE"/>
    <w:rsid w:val="00910E23"/>
    <w:rsid w:val="00913038"/>
    <w:rsid w:val="00913272"/>
    <w:rsid w:val="0091369B"/>
    <w:rsid w:val="009136FE"/>
    <w:rsid w:val="0091478E"/>
    <w:rsid w:val="00914C69"/>
    <w:rsid w:val="009162B7"/>
    <w:rsid w:val="0091700C"/>
    <w:rsid w:val="00920574"/>
    <w:rsid w:val="00920C3E"/>
    <w:rsid w:val="009214D4"/>
    <w:rsid w:val="00921B73"/>
    <w:rsid w:val="00921BE2"/>
    <w:rsid w:val="00922554"/>
    <w:rsid w:val="00923403"/>
    <w:rsid w:val="00930A90"/>
    <w:rsid w:val="00930FD1"/>
    <w:rsid w:val="00931D2F"/>
    <w:rsid w:val="00932A42"/>
    <w:rsid w:val="009330C9"/>
    <w:rsid w:val="00933833"/>
    <w:rsid w:val="009349B1"/>
    <w:rsid w:val="0093681E"/>
    <w:rsid w:val="00936838"/>
    <w:rsid w:val="00936952"/>
    <w:rsid w:val="00937ED0"/>
    <w:rsid w:val="0094019C"/>
    <w:rsid w:val="00940C6E"/>
    <w:rsid w:val="00940C9D"/>
    <w:rsid w:val="00940F9C"/>
    <w:rsid w:val="0094171B"/>
    <w:rsid w:val="00941943"/>
    <w:rsid w:val="00941C2E"/>
    <w:rsid w:val="00942021"/>
    <w:rsid w:val="00942873"/>
    <w:rsid w:val="00943357"/>
    <w:rsid w:val="00944565"/>
    <w:rsid w:val="00944762"/>
    <w:rsid w:val="00944F45"/>
    <w:rsid w:val="00945553"/>
    <w:rsid w:val="0094735E"/>
    <w:rsid w:val="009509AA"/>
    <w:rsid w:val="009509BC"/>
    <w:rsid w:val="00952741"/>
    <w:rsid w:val="00952C9E"/>
    <w:rsid w:val="009540B8"/>
    <w:rsid w:val="00954811"/>
    <w:rsid w:val="00954998"/>
    <w:rsid w:val="00954AAA"/>
    <w:rsid w:val="0095540B"/>
    <w:rsid w:val="00955D97"/>
    <w:rsid w:val="0095633E"/>
    <w:rsid w:val="0095667F"/>
    <w:rsid w:val="0095682A"/>
    <w:rsid w:val="00960E62"/>
    <w:rsid w:val="00961CD0"/>
    <w:rsid w:val="009645F2"/>
    <w:rsid w:val="009648A2"/>
    <w:rsid w:val="00965263"/>
    <w:rsid w:val="0096536F"/>
    <w:rsid w:val="00967186"/>
    <w:rsid w:val="00970F49"/>
    <w:rsid w:val="0097238F"/>
    <w:rsid w:val="009724A5"/>
    <w:rsid w:val="00972A9A"/>
    <w:rsid w:val="00972D68"/>
    <w:rsid w:val="0097333F"/>
    <w:rsid w:val="009733AC"/>
    <w:rsid w:val="00974871"/>
    <w:rsid w:val="00975F94"/>
    <w:rsid w:val="0097791B"/>
    <w:rsid w:val="00977E9B"/>
    <w:rsid w:val="009803A4"/>
    <w:rsid w:val="0098137D"/>
    <w:rsid w:val="00982333"/>
    <w:rsid w:val="0098309E"/>
    <w:rsid w:val="00983AE2"/>
    <w:rsid w:val="0098426F"/>
    <w:rsid w:val="00984285"/>
    <w:rsid w:val="00985B1E"/>
    <w:rsid w:val="00985BC5"/>
    <w:rsid w:val="00985D6A"/>
    <w:rsid w:val="00986A07"/>
    <w:rsid w:val="00986E24"/>
    <w:rsid w:val="00987BAA"/>
    <w:rsid w:val="00990093"/>
    <w:rsid w:val="0099275F"/>
    <w:rsid w:val="00994819"/>
    <w:rsid w:val="00995274"/>
    <w:rsid w:val="00995E8A"/>
    <w:rsid w:val="009A0EE0"/>
    <w:rsid w:val="009A1055"/>
    <w:rsid w:val="009A4B97"/>
    <w:rsid w:val="009A5200"/>
    <w:rsid w:val="009A544A"/>
    <w:rsid w:val="009A6C27"/>
    <w:rsid w:val="009A7092"/>
    <w:rsid w:val="009A712B"/>
    <w:rsid w:val="009A7610"/>
    <w:rsid w:val="009A77C4"/>
    <w:rsid w:val="009A7C29"/>
    <w:rsid w:val="009B1AF1"/>
    <w:rsid w:val="009B2BAF"/>
    <w:rsid w:val="009B5DB8"/>
    <w:rsid w:val="009B6327"/>
    <w:rsid w:val="009B6A1C"/>
    <w:rsid w:val="009C43BB"/>
    <w:rsid w:val="009C55EC"/>
    <w:rsid w:val="009C5BEB"/>
    <w:rsid w:val="009C6B5D"/>
    <w:rsid w:val="009C7925"/>
    <w:rsid w:val="009D0DC3"/>
    <w:rsid w:val="009D12A1"/>
    <w:rsid w:val="009D433B"/>
    <w:rsid w:val="009D4379"/>
    <w:rsid w:val="009D5595"/>
    <w:rsid w:val="009D62F3"/>
    <w:rsid w:val="009D6E9A"/>
    <w:rsid w:val="009E03FF"/>
    <w:rsid w:val="009E0418"/>
    <w:rsid w:val="009E07FD"/>
    <w:rsid w:val="009E1BB6"/>
    <w:rsid w:val="009E350A"/>
    <w:rsid w:val="009E374B"/>
    <w:rsid w:val="009E4137"/>
    <w:rsid w:val="009E576D"/>
    <w:rsid w:val="009E6CDF"/>
    <w:rsid w:val="009E6E2F"/>
    <w:rsid w:val="009F2023"/>
    <w:rsid w:val="009F3861"/>
    <w:rsid w:val="009F3D82"/>
    <w:rsid w:val="009F64FC"/>
    <w:rsid w:val="009F6926"/>
    <w:rsid w:val="009F6CED"/>
    <w:rsid w:val="009F70FB"/>
    <w:rsid w:val="009F7510"/>
    <w:rsid w:val="00A01190"/>
    <w:rsid w:val="00A01A68"/>
    <w:rsid w:val="00A024E9"/>
    <w:rsid w:val="00A02A63"/>
    <w:rsid w:val="00A02DAB"/>
    <w:rsid w:val="00A03C7E"/>
    <w:rsid w:val="00A05634"/>
    <w:rsid w:val="00A059DC"/>
    <w:rsid w:val="00A05FF7"/>
    <w:rsid w:val="00A06EE3"/>
    <w:rsid w:val="00A105B6"/>
    <w:rsid w:val="00A1082E"/>
    <w:rsid w:val="00A10EB5"/>
    <w:rsid w:val="00A121B3"/>
    <w:rsid w:val="00A121B9"/>
    <w:rsid w:val="00A126EB"/>
    <w:rsid w:val="00A143C7"/>
    <w:rsid w:val="00A15C0B"/>
    <w:rsid w:val="00A17099"/>
    <w:rsid w:val="00A2051A"/>
    <w:rsid w:val="00A2192D"/>
    <w:rsid w:val="00A23EDF"/>
    <w:rsid w:val="00A242AD"/>
    <w:rsid w:val="00A24399"/>
    <w:rsid w:val="00A26A6F"/>
    <w:rsid w:val="00A310F9"/>
    <w:rsid w:val="00A316D9"/>
    <w:rsid w:val="00A31E98"/>
    <w:rsid w:val="00A323E7"/>
    <w:rsid w:val="00A35E52"/>
    <w:rsid w:val="00A36BAE"/>
    <w:rsid w:val="00A37137"/>
    <w:rsid w:val="00A37F0A"/>
    <w:rsid w:val="00A421B3"/>
    <w:rsid w:val="00A44AEC"/>
    <w:rsid w:val="00A46E78"/>
    <w:rsid w:val="00A53A52"/>
    <w:rsid w:val="00A53BB6"/>
    <w:rsid w:val="00A54F72"/>
    <w:rsid w:val="00A55903"/>
    <w:rsid w:val="00A55D2E"/>
    <w:rsid w:val="00A56352"/>
    <w:rsid w:val="00A5770C"/>
    <w:rsid w:val="00A6124E"/>
    <w:rsid w:val="00A62378"/>
    <w:rsid w:val="00A6646F"/>
    <w:rsid w:val="00A66B41"/>
    <w:rsid w:val="00A700E2"/>
    <w:rsid w:val="00A70250"/>
    <w:rsid w:val="00A725BB"/>
    <w:rsid w:val="00A726CE"/>
    <w:rsid w:val="00A73385"/>
    <w:rsid w:val="00A740A8"/>
    <w:rsid w:val="00A75479"/>
    <w:rsid w:val="00A75705"/>
    <w:rsid w:val="00A75A21"/>
    <w:rsid w:val="00A761B6"/>
    <w:rsid w:val="00A77460"/>
    <w:rsid w:val="00A80E7B"/>
    <w:rsid w:val="00A81C0B"/>
    <w:rsid w:val="00A81FA8"/>
    <w:rsid w:val="00A820A6"/>
    <w:rsid w:val="00A82FC8"/>
    <w:rsid w:val="00A84FEE"/>
    <w:rsid w:val="00A8535F"/>
    <w:rsid w:val="00A85730"/>
    <w:rsid w:val="00A86DAC"/>
    <w:rsid w:val="00A8723D"/>
    <w:rsid w:val="00A87703"/>
    <w:rsid w:val="00A87F7B"/>
    <w:rsid w:val="00A90341"/>
    <w:rsid w:val="00A91A73"/>
    <w:rsid w:val="00A91C32"/>
    <w:rsid w:val="00A93FFC"/>
    <w:rsid w:val="00A963ED"/>
    <w:rsid w:val="00A967F3"/>
    <w:rsid w:val="00A96931"/>
    <w:rsid w:val="00A9749E"/>
    <w:rsid w:val="00A977F2"/>
    <w:rsid w:val="00A97E6E"/>
    <w:rsid w:val="00AA5C79"/>
    <w:rsid w:val="00AB13B1"/>
    <w:rsid w:val="00AB199F"/>
    <w:rsid w:val="00AB25E7"/>
    <w:rsid w:val="00AB3C32"/>
    <w:rsid w:val="00AB45EF"/>
    <w:rsid w:val="00AB5E5F"/>
    <w:rsid w:val="00AB6279"/>
    <w:rsid w:val="00AB731D"/>
    <w:rsid w:val="00AB7A32"/>
    <w:rsid w:val="00AC2DBE"/>
    <w:rsid w:val="00AC549B"/>
    <w:rsid w:val="00AC607A"/>
    <w:rsid w:val="00AC6E8B"/>
    <w:rsid w:val="00AC7614"/>
    <w:rsid w:val="00AC766C"/>
    <w:rsid w:val="00AC798E"/>
    <w:rsid w:val="00AD0000"/>
    <w:rsid w:val="00AD3682"/>
    <w:rsid w:val="00AD4209"/>
    <w:rsid w:val="00AD44C0"/>
    <w:rsid w:val="00AD61F6"/>
    <w:rsid w:val="00AD70E0"/>
    <w:rsid w:val="00AD7167"/>
    <w:rsid w:val="00AE2239"/>
    <w:rsid w:val="00AE2E60"/>
    <w:rsid w:val="00AE59FD"/>
    <w:rsid w:val="00AE5D3D"/>
    <w:rsid w:val="00AE69EE"/>
    <w:rsid w:val="00AE7DA4"/>
    <w:rsid w:val="00AF0B65"/>
    <w:rsid w:val="00AF250C"/>
    <w:rsid w:val="00AF3374"/>
    <w:rsid w:val="00AF5A23"/>
    <w:rsid w:val="00AF601E"/>
    <w:rsid w:val="00AF694A"/>
    <w:rsid w:val="00AF795E"/>
    <w:rsid w:val="00B010E2"/>
    <w:rsid w:val="00B01C39"/>
    <w:rsid w:val="00B02C88"/>
    <w:rsid w:val="00B04285"/>
    <w:rsid w:val="00B04835"/>
    <w:rsid w:val="00B07EE8"/>
    <w:rsid w:val="00B104C6"/>
    <w:rsid w:val="00B11D84"/>
    <w:rsid w:val="00B1224E"/>
    <w:rsid w:val="00B125BF"/>
    <w:rsid w:val="00B12D57"/>
    <w:rsid w:val="00B13390"/>
    <w:rsid w:val="00B13865"/>
    <w:rsid w:val="00B13E71"/>
    <w:rsid w:val="00B21447"/>
    <w:rsid w:val="00B223C8"/>
    <w:rsid w:val="00B2296A"/>
    <w:rsid w:val="00B22D64"/>
    <w:rsid w:val="00B24C5F"/>
    <w:rsid w:val="00B25796"/>
    <w:rsid w:val="00B27A07"/>
    <w:rsid w:val="00B27AF6"/>
    <w:rsid w:val="00B31690"/>
    <w:rsid w:val="00B3337D"/>
    <w:rsid w:val="00B34136"/>
    <w:rsid w:val="00B346C1"/>
    <w:rsid w:val="00B34944"/>
    <w:rsid w:val="00B36A21"/>
    <w:rsid w:val="00B3726C"/>
    <w:rsid w:val="00B374A8"/>
    <w:rsid w:val="00B37BEF"/>
    <w:rsid w:val="00B40658"/>
    <w:rsid w:val="00B414B8"/>
    <w:rsid w:val="00B42517"/>
    <w:rsid w:val="00B43061"/>
    <w:rsid w:val="00B432AC"/>
    <w:rsid w:val="00B43BA2"/>
    <w:rsid w:val="00B44FA5"/>
    <w:rsid w:val="00B454F7"/>
    <w:rsid w:val="00B52E6D"/>
    <w:rsid w:val="00B52ED0"/>
    <w:rsid w:val="00B53A73"/>
    <w:rsid w:val="00B54603"/>
    <w:rsid w:val="00B552DA"/>
    <w:rsid w:val="00B5608D"/>
    <w:rsid w:val="00B562E2"/>
    <w:rsid w:val="00B56A11"/>
    <w:rsid w:val="00B56ECB"/>
    <w:rsid w:val="00B572A0"/>
    <w:rsid w:val="00B57E1B"/>
    <w:rsid w:val="00B603C2"/>
    <w:rsid w:val="00B6095E"/>
    <w:rsid w:val="00B62B84"/>
    <w:rsid w:val="00B62D66"/>
    <w:rsid w:val="00B63087"/>
    <w:rsid w:val="00B63193"/>
    <w:rsid w:val="00B64C68"/>
    <w:rsid w:val="00B659F4"/>
    <w:rsid w:val="00B661B0"/>
    <w:rsid w:val="00B66398"/>
    <w:rsid w:val="00B67DCE"/>
    <w:rsid w:val="00B70C39"/>
    <w:rsid w:val="00B70F0A"/>
    <w:rsid w:val="00B726D6"/>
    <w:rsid w:val="00B72B55"/>
    <w:rsid w:val="00B735C1"/>
    <w:rsid w:val="00B7381C"/>
    <w:rsid w:val="00B73EDF"/>
    <w:rsid w:val="00B74212"/>
    <w:rsid w:val="00B7526C"/>
    <w:rsid w:val="00B76D9A"/>
    <w:rsid w:val="00B80857"/>
    <w:rsid w:val="00B81841"/>
    <w:rsid w:val="00B8206E"/>
    <w:rsid w:val="00B8251F"/>
    <w:rsid w:val="00B832B1"/>
    <w:rsid w:val="00B85A40"/>
    <w:rsid w:val="00B87616"/>
    <w:rsid w:val="00B90617"/>
    <w:rsid w:val="00B91207"/>
    <w:rsid w:val="00B9205C"/>
    <w:rsid w:val="00B920E4"/>
    <w:rsid w:val="00B94187"/>
    <w:rsid w:val="00B94B43"/>
    <w:rsid w:val="00B96AED"/>
    <w:rsid w:val="00B97073"/>
    <w:rsid w:val="00B97620"/>
    <w:rsid w:val="00BA1AB7"/>
    <w:rsid w:val="00BA3FCD"/>
    <w:rsid w:val="00BA47A8"/>
    <w:rsid w:val="00BA4DDB"/>
    <w:rsid w:val="00BA57D7"/>
    <w:rsid w:val="00BA5CA3"/>
    <w:rsid w:val="00BA6CBE"/>
    <w:rsid w:val="00BB07E1"/>
    <w:rsid w:val="00BB145E"/>
    <w:rsid w:val="00BB1A2E"/>
    <w:rsid w:val="00BB26BB"/>
    <w:rsid w:val="00BB30DF"/>
    <w:rsid w:val="00BB3339"/>
    <w:rsid w:val="00BB4244"/>
    <w:rsid w:val="00BB4CF4"/>
    <w:rsid w:val="00BB5D91"/>
    <w:rsid w:val="00BB610B"/>
    <w:rsid w:val="00BB7ADA"/>
    <w:rsid w:val="00BB7AFC"/>
    <w:rsid w:val="00BB7D7D"/>
    <w:rsid w:val="00BC096B"/>
    <w:rsid w:val="00BC15EC"/>
    <w:rsid w:val="00BC1E07"/>
    <w:rsid w:val="00BC2B1A"/>
    <w:rsid w:val="00BC3C09"/>
    <w:rsid w:val="00BC512C"/>
    <w:rsid w:val="00BC5675"/>
    <w:rsid w:val="00BC618A"/>
    <w:rsid w:val="00BC769F"/>
    <w:rsid w:val="00BC7A4C"/>
    <w:rsid w:val="00BC7FF9"/>
    <w:rsid w:val="00BD07E6"/>
    <w:rsid w:val="00BD2EED"/>
    <w:rsid w:val="00BD3855"/>
    <w:rsid w:val="00BD5628"/>
    <w:rsid w:val="00BD5AF3"/>
    <w:rsid w:val="00BD6C21"/>
    <w:rsid w:val="00BD7681"/>
    <w:rsid w:val="00BD7EF8"/>
    <w:rsid w:val="00BE0142"/>
    <w:rsid w:val="00BE22C8"/>
    <w:rsid w:val="00BE2377"/>
    <w:rsid w:val="00BE3345"/>
    <w:rsid w:val="00BE35EB"/>
    <w:rsid w:val="00BE461E"/>
    <w:rsid w:val="00BE5A4D"/>
    <w:rsid w:val="00BE61C8"/>
    <w:rsid w:val="00BE64F5"/>
    <w:rsid w:val="00BE7956"/>
    <w:rsid w:val="00BE79A6"/>
    <w:rsid w:val="00BF086C"/>
    <w:rsid w:val="00BF17F2"/>
    <w:rsid w:val="00BF1A73"/>
    <w:rsid w:val="00BF2508"/>
    <w:rsid w:val="00BF33D2"/>
    <w:rsid w:val="00BF37C2"/>
    <w:rsid w:val="00BF3935"/>
    <w:rsid w:val="00BF39BB"/>
    <w:rsid w:val="00BF46BB"/>
    <w:rsid w:val="00BF5719"/>
    <w:rsid w:val="00BF607C"/>
    <w:rsid w:val="00C00A00"/>
    <w:rsid w:val="00C01112"/>
    <w:rsid w:val="00C01494"/>
    <w:rsid w:val="00C01BFB"/>
    <w:rsid w:val="00C02260"/>
    <w:rsid w:val="00C025E7"/>
    <w:rsid w:val="00C0263E"/>
    <w:rsid w:val="00C02DF8"/>
    <w:rsid w:val="00C0561B"/>
    <w:rsid w:val="00C0647D"/>
    <w:rsid w:val="00C10554"/>
    <w:rsid w:val="00C10625"/>
    <w:rsid w:val="00C108ED"/>
    <w:rsid w:val="00C1184C"/>
    <w:rsid w:val="00C11A1B"/>
    <w:rsid w:val="00C11C5E"/>
    <w:rsid w:val="00C12763"/>
    <w:rsid w:val="00C12C0D"/>
    <w:rsid w:val="00C134D8"/>
    <w:rsid w:val="00C13D4D"/>
    <w:rsid w:val="00C148BC"/>
    <w:rsid w:val="00C16046"/>
    <w:rsid w:val="00C20CDF"/>
    <w:rsid w:val="00C21F6B"/>
    <w:rsid w:val="00C23456"/>
    <w:rsid w:val="00C2390A"/>
    <w:rsid w:val="00C2498B"/>
    <w:rsid w:val="00C24A0A"/>
    <w:rsid w:val="00C24E8B"/>
    <w:rsid w:val="00C25CDF"/>
    <w:rsid w:val="00C263A8"/>
    <w:rsid w:val="00C26C8D"/>
    <w:rsid w:val="00C2708E"/>
    <w:rsid w:val="00C30A10"/>
    <w:rsid w:val="00C317A4"/>
    <w:rsid w:val="00C33D18"/>
    <w:rsid w:val="00C350F0"/>
    <w:rsid w:val="00C414D7"/>
    <w:rsid w:val="00C420DF"/>
    <w:rsid w:val="00C43040"/>
    <w:rsid w:val="00C43E3A"/>
    <w:rsid w:val="00C44D2D"/>
    <w:rsid w:val="00C44DAE"/>
    <w:rsid w:val="00C52C4B"/>
    <w:rsid w:val="00C53DDA"/>
    <w:rsid w:val="00C56B1C"/>
    <w:rsid w:val="00C56DF6"/>
    <w:rsid w:val="00C5737B"/>
    <w:rsid w:val="00C6016E"/>
    <w:rsid w:val="00C6038C"/>
    <w:rsid w:val="00C60584"/>
    <w:rsid w:val="00C6060A"/>
    <w:rsid w:val="00C60B28"/>
    <w:rsid w:val="00C6126A"/>
    <w:rsid w:val="00C62091"/>
    <w:rsid w:val="00C6258D"/>
    <w:rsid w:val="00C62A66"/>
    <w:rsid w:val="00C63628"/>
    <w:rsid w:val="00C63E52"/>
    <w:rsid w:val="00C66938"/>
    <w:rsid w:val="00C67663"/>
    <w:rsid w:val="00C705A5"/>
    <w:rsid w:val="00C729D3"/>
    <w:rsid w:val="00C729E7"/>
    <w:rsid w:val="00C72B5E"/>
    <w:rsid w:val="00C737F9"/>
    <w:rsid w:val="00C73A5B"/>
    <w:rsid w:val="00C73FA9"/>
    <w:rsid w:val="00C74081"/>
    <w:rsid w:val="00C7632C"/>
    <w:rsid w:val="00C77E0D"/>
    <w:rsid w:val="00C801D4"/>
    <w:rsid w:val="00C8146A"/>
    <w:rsid w:val="00C815B5"/>
    <w:rsid w:val="00C81AD4"/>
    <w:rsid w:val="00C8302B"/>
    <w:rsid w:val="00C832A5"/>
    <w:rsid w:val="00C84EB8"/>
    <w:rsid w:val="00C853DA"/>
    <w:rsid w:val="00C904F1"/>
    <w:rsid w:val="00C93076"/>
    <w:rsid w:val="00C9363B"/>
    <w:rsid w:val="00C9391B"/>
    <w:rsid w:val="00C9418E"/>
    <w:rsid w:val="00C94270"/>
    <w:rsid w:val="00C9510D"/>
    <w:rsid w:val="00C9531E"/>
    <w:rsid w:val="00C96A49"/>
    <w:rsid w:val="00C96D02"/>
    <w:rsid w:val="00C96F79"/>
    <w:rsid w:val="00CA0E8F"/>
    <w:rsid w:val="00CA1042"/>
    <w:rsid w:val="00CA19D6"/>
    <w:rsid w:val="00CA2681"/>
    <w:rsid w:val="00CA2CFB"/>
    <w:rsid w:val="00CA3243"/>
    <w:rsid w:val="00CA3F81"/>
    <w:rsid w:val="00CA603F"/>
    <w:rsid w:val="00CA6FB7"/>
    <w:rsid w:val="00CA6FBA"/>
    <w:rsid w:val="00CA7651"/>
    <w:rsid w:val="00CA7C9F"/>
    <w:rsid w:val="00CA7D86"/>
    <w:rsid w:val="00CB049B"/>
    <w:rsid w:val="00CB319C"/>
    <w:rsid w:val="00CB4268"/>
    <w:rsid w:val="00CB4887"/>
    <w:rsid w:val="00CB4D62"/>
    <w:rsid w:val="00CB6FBF"/>
    <w:rsid w:val="00CB7E17"/>
    <w:rsid w:val="00CC0560"/>
    <w:rsid w:val="00CC151F"/>
    <w:rsid w:val="00CC22F9"/>
    <w:rsid w:val="00CC230B"/>
    <w:rsid w:val="00CC274B"/>
    <w:rsid w:val="00CC294E"/>
    <w:rsid w:val="00CC33DF"/>
    <w:rsid w:val="00CC4EB8"/>
    <w:rsid w:val="00CC5E64"/>
    <w:rsid w:val="00CC6A51"/>
    <w:rsid w:val="00CD0F60"/>
    <w:rsid w:val="00CD1BCC"/>
    <w:rsid w:val="00CD32E1"/>
    <w:rsid w:val="00CD3427"/>
    <w:rsid w:val="00CD4064"/>
    <w:rsid w:val="00CD4302"/>
    <w:rsid w:val="00CD58EF"/>
    <w:rsid w:val="00CD6D47"/>
    <w:rsid w:val="00CD7FC2"/>
    <w:rsid w:val="00CE0726"/>
    <w:rsid w:val="00CE0BED"/>
    <w:rsid w:val="00CE19BE"/>
    <w:rsid w:val="00CE1BF2"/>
    <w:rsid w:val="00CE2DCF"/>
    <w:rsid w:val="00CE3A87"/>
    <w:rsid w:val="00CE6BE7"/>
    <w:rsid w:val="00CE755F"/>
    <w:rsid w:val="00CE7640"/>
    <w:rsid w:val="00CF13B5"/>
    <w:rsid w:val="00CF3A18"/>
    <w:rsid w:val="00CF5CF9"/>
    <w:rsid w:val="00CF6D7A"/>
    <w:rsid w:val="00CF6ED6"/>
    <w:rsid w:val="00CF759C"/>
    <w:rsid w:val="00CF7737"/>
    <w:rsid w:val="00D00C78"/>
    <w:rsid w:val="00D02C9E"/>
    <w:rsid w:val="00D03193"/>
    <w:rsid w:val="00D046FC"/>
    <w:rsid w:val="00D06F2E"/>
    <w:rsid w:val="00D11242"/>
    <w:rsid w:val="00D1169D"/>
    <w:rsid w:val="00D11CD6"/>
    <w:rsid w:val="00D13802"/>
    <w:rsid w:val="00D143D3"/>
    <w:rsid w:val="00D14BF8"/>
    <w:rsid w:val="00D14F0E"/>
    <w:rsid w:val="00D163D0"/>
    <w:rsid w:val="00D20F72"/>
    <w:rsid w:val="00D21EEE"/>
    <w:rsid w:val="00D21F92"/>
    <w:rsid w:val="00D22970"/>
    <w:rsid w:val="00D229D3"/>
    <w:rsid w:val="00D251A1"/>
    <w:rsid w:val="00D2585E"/>
    <w:rsid w:val="00D31D3C"/>
    <w:rsid w:val="00D33E71"/>
    <w:rsid w:val="00D35C26"/>
    <w:rsid w:val="00D40CD0"/>
    <w:rsid w:val="00D43239"/>
    <w:rsid w:val="00D451A1"/>
    <w:rsid w:val="00D455F3"/>
    <w:rsid w:val="00D464B0"/>
    <w:rsid w:val="00D50242"/>
    <w:rsid w:val="00D51C3C"/>
    <w:rsid w:val="00D51CD3"/>
    <w:rsid w:val="00D51E39"/>
    <w:rsid w:val="00D52EE2"/>
    <w:rsid w:val="00D53501"/>
    <w:rsid w:val="00D5386C"/>
    <w:rsid w:val="00D540A6"/>
    <w:rsid w:val="00D55EF3"/>
    <w:rsid w:val="00D5679B"/>
    <w:rsid w:val="00D569AE"/>
    <w:rsid w:val="00D57BE2"/>
    <w:rsid w:val="00D60B2A"/>
    <w:rsid w:val="00D616A7"/>
    <w:rsid w:val="00D61BC6"/>
    <w:rsid w:val="00D61BE0"/>
    <w:rsid w:val="00D6282C"/>
    <w:rsid w:val="00D62B56"/>
    <w:rsid w:val="00D6320B"/>
    <w:rsid w:val="00D63B81"/>
    <w:rsid w:val="00D643D1"/>
    <w:rsid w:val="00D64B55"/>
    <w:rsid w:val="00D66E35"/>
    <w:rsid w:val="00D6767C"/>
    <w:rsid w:val="00D67827"/>
    <w:rsid w:val="00D700A4"/>
    <w:rsid w:val="00D72B9B"/>
    <w:rsid w:val="00D72C7F"/>
    <w:rsid w:val="00D72FA5"/>
    <w:rsid w:val="00D74D0B"/>
    <w:rsid w:val="00D770DB"/>
    <w:rsid w:val="00D775D2"/>
    <w:rsid w:val="00D778B7"/>
    <w:rsid w:val="00D808FF"/>
    <w:rsid w:val="00D81187"/>
    <w:rsid w:val="00D8135F"/>
    <w:rsid w:val="00D81C55"/>
    <w:rsid w:val="00D822D3"/>
    <w:rsid w:val="00D8383E"/>
    <w:rsid w:val="00D83C9E"/>
    <w:rsid w:val="00D83D79"/>
    <w:rsid w:val="00D84487"/>
    <w:rsid w:val="00D85AB5"/>
    <w:rsid w:val="00D86210"/>
    <w:rsid w:val="00D86295"/>
    <w:rsid w:val="00D8649C"/>
    <w:rsid w:val="00D8793B"/>
    <w:rsid w:val="00D879D1"/>
    <w:rsid w:val="00D91A7B"/>
    <w:rsid w:val="00D94C2C"/>
    <w:rsid w:val="00D94CD0"/>
    <w:rsid w:val="00D96558"/>
    <w:rsid w:val="00D967FA"/>
    <w:rsid w:val="00DA0A3E"/>
    <w:rsid w:val="00DA1330"/>
    <w:rsid w:val="00DA1ADC"/>
    <w:rsid w:val="00DA2BE5"/>
    <w:rsid w:val="00DA2D7A"/>
    <w:rsid w:val="00DA34F2"/>
    <w:rsid w:val="00DB30B2"/>
    <w:rsid w:val="00DB41C9"/>
    <w:rsid w:val="00DB423A"/>
    <w:rsid w:val="00DB548B"/>
    <w:rsid w:val="00DB5765"/>
    <w:rsid w:val="00DB629A"/>
    <w:rsid w:val="00DB713F"/>
    <w:rsid w:val="00DB73C5"/>
    <w:rsid w:val="00DC106C"/>
    <w:rsid w:val="00DC2259"/>
    <w:rsid w:val="00DC2C99"/>
    <w:rsid w:val="00DC2D12"/>
    <w:rsid w:val="00DC3945"/>
    <w:rsid w:val="00DC45E1"/>
    <w:rsid w:val="00DC46C9"/>
    <w:rsid w:val="00DC47A4"/>
    <w:rsid w:val="00DC4AAE"/>
    <w:rsid w:val="00DC5248"/>
    <w:rsid w:val="00DC5536"/>
    <w:rsid w:val="00DC5C85"/>
    <w:rsid w:val="00DD058B"/>
    <w:rsid w:val="00DD0C0F"/>
    <w:rsid w:val="00DD1B81"/>
    <w:rsid w:val="00DD2029"/>
    <w:rsid w:val="00DD4837"/>
    <w:rsid w:val="00DD785C"/>
    <w:rsid w:val="00DD7BC3"/>
    <w:rsid w:val="00DD7D4D"/>
    <w:rsid w:val="00DE009F"/>
    <w:rsid w:val="00DE042E"/>
    <w:rsid w:val="00DE0739"/>
    <w:rsid w:val="00DE0E94"/>
    <w:rsid w:val="00DE12D7"/>
    <w:rsid w:val="00DE2E53"/>
    <w:rsid w:val="00DE2EE9"/>
    <w:rsid w:val="00DE2EF3"/>
    <w:rsid w:val="00DE379F"/>
    <w:rsid w:val="00DE617C"/>
    <w:rsid w:val="00DE67A0"/>
    <w:rsid w:val="00DF1C33"/>
    <w:rsid w:val="00DF2382"/>
    <w:rsid w:val="00DF2A62"/>
    <w:rsid w:val="00DF4349"/>
    <w:rsid w:val="00DF4808"/>
    <w:rsid w:val="00DF4D0D"/>
    <w:rsid w:val="00DF62FA"/>
    <w:rsid w:val="00E016DB"/>
    <w:rsid w:val="00E0197C"/>
    <w:rsid w:val="00E0237A"/>
    <w:rsid w:val="00E0254F"/>
    <w:rsid w:val="00E02B10"/>
    <w:rsid w:val="00E04084"/>
    <w:rsid w:val="00E047E0"/>
    <w:rsid w:val="00E04B3B"/>
    <w:rsid w:val="00E07445"/>
    <w:rsid w:val="00E111E4"/>
    <w:rsid w:val="00E11BE3"/>
    <w:rsid w:val="00E11C33"/>
    <w:rsid w:val="00E11F09"/>
    <w:rsid w:val="00E12B3B"/>
    <w:rsid w:val="00E13054"/>
    <w:rsid w:val="00E13402"/>
    <w:rsid w:val="00E140B0"/>
    <w:rsid w:val="00E142C1"/>
    <w:rsid w:val="00E14F5A"/>
    <w:rsid w:val="00E15513"/>
    <w:rsid w:val="00E15B74"/>
    <w:rsid w:val="00E15BF2"/>
    <w:rsid w:val="00E17157"/>
    <w:rsid w:val="00E17419"/>
    <w:rsid w:val="00E2032A"/>
    <w:rsid w:val="00E20A68"/>
    <w:rsid w:val="00E21F15"/>
    <w:rsid w:val="00E23097"/>
    <w:rsid w:val="00E2327B"/>
    <w:rsid w:val="00E2589C"/>
    <w:rsid w:val="00E25B7D"/>
    <w:rsid w:val="00E2632E"/>
    <w:rsid w:val="00E31502"/>
    <w:rsid w:val="00E32462"/>
    <w:rsid w:val="00E33424"/>
    <w:rsid w:val="00E33A75"/>
    <w:rsid w:val="00E33F87"/>
    <w:rsid w:val="00E3463F"/>
    <w:rsid w:val="00E34B6C"/>
    <w:rsid w:val="00E361F5"/>
    <w:rsid w:val="00E375CE"/>
    <w:rsid w:val="00E40242"/>
    <w:rsid w:val="00E40828"/>
    <w:rsid w:val="00E40C19"/>
    <w:rsid w:val="00E40FE6"/>
    <w:rsid w:val="00E40FE8"/>
    <w:rsid w:val="00E4134D"/>
    <w:rsid w:val="00E4193F"/>
    <w:rsid w:val="00E41B0C"/>
    <w:rsid w:val="00E42341"/>
    <w:rsid w:val="00E42CBB"/>
    <w:rsid w:val="00E43520"/>
    <w:rsid w:val="00E43D61"/>
    <w:rsid w:val="00E44B8A"/>
    <w:rsid w:val="00E45966"/>
    <w:rsid w:val="00E459E1"/>
    <w:rsid w:val="00E46295"/>
    <w:rsid w:val="00E46D5F"/>
    <w:rsid w:val="00E513FC"/>
    <w:rsid w:val="00E516D9"/>
    <w:rsid w:val="00E538DB"/>
    <w:rsid w:val="00E54E2C"/>
    <w:rsid w:val="00E569EB"/>
    <w:rsid w:val="00E5716A"/>
    <w:rsid w:val="00E61630"/>
    <w:rsid w:val="00E6166A"/>
    <w:rsid w:val="00E64356"/>
    <w:rsid w:val="00E64F3E"/>
    <w:rsid w:val="00E65519"/>
    <w:rsid w:val="00E6560A"/>
    <w:rsid w:val="00E65726"/>
    <w:rsid w:val="00E662BB"/>
    <w:rsid w:val="00E673C8"/>
    <w:rsid w:val="00E67446"/>
    <w:rsid w:val="00E67A22"/>
    <w:rsid w:val="00E7044D"/>
    <w:rsid w:val="00E704EA"/>
    <w:rsid w:val="00E70611"/>
    <w:rsid w:val="00E713CD"/>
    <w:rsid w:val="00E736FF"/>
    <w:rsid w:val="00E7581D"/>
    <w:rsid w:val="00E764C3"/>
    <w:rsid w:val="00E765EF"/>
    <w:rsid w:val="00E77808"/>
    <w:rsid w:val="00E82D9D"/>
    <w:rsid w:val="00E83C85"/>
    <w:rsid w:val="00E84623"/>
    <w:rsid w:val="00E84D87"/>
    <w:rsid w:val="00E85CDF"/>
    <w:rsid w:val="00E86616"/>
    <w:rsid w:val="00E872C7"/>
    <w:rsid w:val="00E87808"/>
    <w:rsid w:val="00E8790A"/>
    <w:rsid w:val="00E87ABB"/>
    <w:rsid w:val="00E87C91"/>
    <w:rsid w:val="00E9064F"/>
    <w:rsid w:val="00E910A9"/>
    <w:rsid w:val="00E91247"/>
    <w:rsid w:val="00E91411"/>
    <w:rsid w:val="00E92BF0"/>
    <w:rsid w:val="00E92C64"/>
    <w:rsid w:val="00E93541"/>
    <w:rsid w:val="00E949EC"/>
    <w:rsid w:val="00E953CE"/>
    <w:rsid w:val="00E958E8"/>
    <w:rsid w:val="00E96623"/>
    <w:rsid w:val="00E96668"/>
    <w:rsid w:val="00EA0652"/>
    <w:rsid w:val="00EA1782"/>
    <w:rsid w:val="00EA1F24"/>
    <w:rsid w:val="00EA2DB8"/>
    <w:rsid w:val="00EA39A7"/>
    <w:rsid w:val="00EA7125"/>
    <w:rsid w:val="00EB1681"/>
    <w:rsid w:val="00EB2CB4"/>
    <w:rsid w:val="00EB3A1F"/>
    <w:rsid w:val="00EB3E97"/>
    <w:rsid w:val="00EB4EA5"/>
    <w:rsid w:val="00EB55BA"/>
    <w:rsid w:val="00EC1A48"/>
    <w:rsid w:val="00EC26FE"/>
    <w:rsid w:val="00EC3B54"/>
    <w:rsid w:val="00EC3F97"/>
    <w:rsid w:val="00EC432B"/>
    <w:rsid w:val="00EC6662"/>
    <w:rsid w:val="00EC675E"/>
    <w:rsid w:val="00EC78FA"/>
    <w:rsid w:val="00ED01AD"/>
    <w:rsid w:val="00ED2146"/>
    <w:rsid w:val="00ED2BB9"/>
    <w:rsid w:val="00ED4146"/>
    <w:rsid w:val="00ED5710"/>
    <w:rsid w:val="00EE1BDD"/>
    <w:rsid w:val="00EE3FFB"/>
    <w:rsid w:val="00EE479C"/>
    <w:rsid w:val="00EE5946"/>
    <w:rsid w:val="00EE5EA2"/>
    <w:rsid w:val="00EE63FC"/>
    <w:rsid w:val="00EE6849"/>
    <w:rsid w:val="00EF0613"/>
    <w:rsid w:val="00EF0D66"/>
    <w:rsid w:val="00EF26F9"/>
    <w:rsid w:val="00EF2A94"/>
    <w:rsid w:val="00EF38CF"/>
    <w:rsid w:val="00EF52A4"/>
    <w:rsid w:val="00F0078D"/>
    <w:rsid w:val="00F023EE"/>
    <w:rsid w:val="00F03239"/>
    <w:rsid w:val="00F03C21"/>
    <w:rsid w:val="00F03D21"/>
    <w:rsid w:val="00F04158"/>
    <w:rsid w:val="00F04E5C"/>
    <w:rsid w:val="00F05565"/>
    <w:rsid w:val="00F0582D"/>
    <w:rsid w:val="00F06F74"/>
    <w:rsid w:val="00F07A2D"/>
    <w:rsid w:val="00F104D7"/>
    <w:rsid w:val="00F10D78"/>
    <w:rsid w:val="00F11249"/>
    <w:rsid w:val="00F11F0B"/>
    <w:rsid w:val="00F1265E"/>
    <w:rsid w:val="00F129BB"/>
    <w:rsid w:val="00F13F50"/>
    <w:rsid w:val="00F14A5A"/>
    <w:rsid w:val="00F15D9E"/>
    <w:rsid w:val="00F16B52"/>
    <w:rsid w:val="00F17C0E"/>
    <w:rsid w:val="00F210AC"/>
    <w:rsid w:val="00F21403"/>
    <w:rsid w:val="00F249C2"/>
    <w:rsid w:val="00F253C7"/>
    <w:rsid w:val="00F279A4"/>
    <w:rsid w:val="00F30C0A"/>
    <w:rsid w:val="00F3232F"/>
    <w:rsid w:val="00F34C18"/>
    <w:rsid w:val="00F35481"/>
    <w:rsid w:val="00F3562D"/>
    <w:rsid w:val="00F3664A"/>
    <w:rsid w:val="00F3686E"/>
    <w:rsid w:val="00F411E8"/>
    <w:rsid w:val="00F4209F"/>
    <w:rsid w:val="00F42383"/>
    <w:rsid w:val="00F43110"/>
    <w:rsid w:val="00F438B4"/>
    <w:rsid w:val="00F43CC8"/>
    <w:rsid w:val="00F4428C"/>
    <w:rsid w:val="00F454DA"/>
    <w:rsid w:val="00F45639"/>
    <w:rsid w:val="00F469A1"/>
    <w:rsid w:val="00F46FC6"/>
    <w:rsid w:val="00F47BA8"/>
    <w:rsid w:val="00F50150"/>
    <w:rsid w:val="00F5048C"/>
    <w:rsid w:val="00F50D8A"/>
    <w:rsid w:val="00F522B1"/>
    <w:rsid w:val="00F52791"/>
    <w:rsid w:val="00F54043"/>
    <w:rsid w:val="00F54E07"/>
    <w:rsid w:val="00F56F04"/>
    <w:rsid w:val="00F577C0"/>
    <w:rsid w:val="00F613BC"/>
    <w:rsid w:val="00F61BFF"/>
    <w:rsid w:val="00F64C25"/>
    <w:rsid w:val="00F651BA"/>
    <w:rsid w:val="00F6525F"/>
    <w:rsid w:val="00F65D79"/>
    <w:rsid w:val="00F66421"/>
    <w:rsid w:val="00F6669A"/>
    <w:rsid w:val="00F67366"/>
    <w:rsid w:val="00F67D49"/>
    <w:rsid w:val="00F70383"/>
    <w:rsid w:val="00F70E3F"/>
    <w:rsid w:val="00F71B14"/>
    <w:rsid w:val="00F731E5"/>
    <w:rsid w:val="00F7330B"/>
    <w:rsid w:val="00F73509"/>
    <w:rsid w:val="00F763B1"/>
    <w:rsid w:val="00F81319"/>
    <w:rsid w:val="00F8194F"/>
    <w:rsid w:val="00F819C2"/>
    <w:rsid w:val="00F8574E"/>
    <w:rsid w:val="00F85A56"/>
    <w:rsid w:val="00F908DC"/>
    <w:rsid w:val="00F928CB"/>
    <w:rsid w:val="00F9425D"/>
    <w:rsid w:val="00F94F1D"/>
    <w:rsid w:val="00F967F6"/>
    <w:rsid w:val="00FA2C3A"/>
    <w:rsid w:val="00FA4A20"/>
    <w:rsid w:val="00FA4DDD"/>
    <w:rsid w:val="00FA6311"/>
    <w:rsid w:val="00FB01B5"/>
    <w:rsid w:val="00FB0DA0"/>
    <w:rsid w:val="00FB2722"/>
    <w:rsid w:val="00FB2854"/>
    <w:rsid w:val="00FB2D8A"/>
    <w:rsid w:val="00FB3F04"/>
    <w:rsid w:val="00FB3FF4"/>
    <w:rsid w:val="00FB4BBC"/>
    <w:rsid w:val="00FC1F1B"/>
    <w:rsid w:val="00FC207C"/>
    <w:rsid w:val="00FC394A"/>
    <w:rsid w:val="00FC3A86"/>
    <w:rsid w:val="00FC4760"/>
    <w:rsid w:val="00FD2D9B"/>
    <w:rsid w:val="00FD3EA7"/>
    <w:rsid w:val="00FD44F9"/>
    <w:rsid w:val="00FD4696"/>
    <w:rsid w:val="00FD52DD"/>
    <w:rsid w:val="00FD7765"/>
    <w:rsid w:val="00FE0974"/>
    <w:rsid w:val="00FE2780"/>
    <w:rsid w:val="00FE2A0E"/>
    <w:rsid w:val="00FE2FAF"/>
    <w:rsid w:val="00FE358B"/>
    <w:rsid w:val="00FE504D"/>
    <w:rsid w:val="00FE676D"/>
    <w:rsid w:val="00FE68EA"/>
    <w:rsid w:val="00FE71F2"/>
    <w:rsid w:val="00FE7293"/>
    <w:rsid w:val="00FE76FD"/>
    <w:rsid w:val="00FF0C6B"/>
    <w:rsid w:val="00FF0E71"/>
    <w:rsid w:val="00FF36D3"/>
    <w:rsid w:val="00FF3D8E"/>
    <w:rsid w:val="00FF4C69"/>
    <w:rsid w:val="00FF4F18"/>
    <w:rsid w:val="00FF5FCF"/>
    <w:rsid w:val="00FF6953"/>
    <w:rsid w:val="042943E8"/>
    <w:rsid w:val="04F550AA"/>
    <w:rsid w:val="0A063254"/>
    <w:rsid w:val="0A344230"/>
    <w:rsid w:val="0B886F7D"/>
    <w:rsid w:val="0D316E18"/>
    <w:rsid w:val="0FEA3A6E"/>
    <w:rsid w:val="12C42B13"/>
    <w:rsid w:val="142573E4"/>
    <w:rsid w:val="169F5708"/>
    <w:rsid w:val="177B641D"/>
    <w:rsid w:val="18070DF2"/>
    <w:rsid w:val="1858672E"/>
    <w:rsid w:val="1927589A"/>
    <w:rsid w:val="192F4A36"/>
    <w:rsid w:val="1CF3514C"/>
    <w:rsid w:val="1D922894"/>
    <w:rsid w:val="1ECF36EA"/>
    <w:rsid w:val="1F1544CD"/>
    <w:rsid w:val="20245277"/>
    <w:rsid w:val="21220D00"/>
    <w:rsid w:val="22352338"/>
    <w:rsid w:val="23846AEF"/>
    <w:rsid w:val="23B81D4D"/>
    <w:rsid w:val="24791CC1"/>
    <w:rsid w:val="2549001C"/>
    <w:rsid w:val="278E2F9A"/>
    <w:rsid w:val="2956041F"/>
    <w:rsid w:val="297053DF"/>
    <w:rsid w:val="2AF5733A"/>
    <w:rsid w:val="2BC563F1"/>
    <w:rsid w:val="2BFC4F9F"/>
    <w:rsid w:val="2C2F2E5B"/>
    <w:rsid w:val="2CE206D9"/>
    <w:rsid w:val="2DC2617B"/>
    <w:rsid w:val="3229683B"/>
    <w:rsid w:val="32C30AF4"/>
    <w:rsid w:val="34C76929"/>
    <w:rsid w:val="37343B61"/>
    <w:rsid w:val="39221B61"/>
    <w:rsid w:val="3CAC748F"/>
    <w:rsid w:val="3D942F84"/>
    <w:rsid w:val="3FAF14E4"/>
    <w:rsid w:val="41700164"/>
    <w:rsid w:val="421373D0"/>
    <w:rsid w:val="427F57B3"/>
    <w:rsid w:val="43AD2CD4"/>
    <w:rsid w:val="44907C3B"/>
    <w:rsid w:val="459C7DF3"/>
    <w:rsid w:val="47BB0620"/>
    <w:rsid w:val="4A8061AA"/>
    <w:rsid w:val="4B2332A6"/>
    <w:rsid w:val="4BA76BC0"/>
    <w:rsid w:val="4C7153F5"/>
    <w:rsid w:val="4C81727E"/>
    <w:rsid w:val="4D026B14"/>
    <w:rsid w:val="5040090E"/>
    <w:rsid w:val="509E7570"/>
    <w:rsid w:val="571A7E3F"/>
    <w:rsid w:val="578C2807"/>
    <w:rsid w:val="593B594D"/>
    <w:rsid w:val="5A517CF1"/>
    <w:rsid w:val="5A930A90"/>
    <w:rsid w:val="5B533D47"/>
    <w:rsid w:val="5D206234"/>
    <w:rsid w:val="5D9B7B77"/>
    <w:rsid w:val="5FAB6B76"/>
    <w:rsid w:val="607E7999"/>
    <w:rsid w:val="61585C2F"/>
    <w:rsid w:val="62354DE3"/>
    <w:rsid w:val="638A7BED"/>
    <w:rsid w:val="63A131C2"/>
    <w:rsid w:val="647937F6"/>
    <w:rsid w:val="65A7591F"/>
    <w:rsid w:val="66DF78CE"/>
    <w:rsid w:val="67165838"/>
    <w:rsid w:val="6752717E"/>
    <w:rsid w:val="67AB1D56"/>
    <w:rsid w:val="67C116AC"/>
    <w:rsid w:val="68101D2D"/>
    <w:rsid w:val="6961142C"/>
    <w:rsid w:val="69C24894"/>
    <w:rsid w:val="6A3E6297"/>
    <w:rsid w:val="6D6F5943"/>
    <w:rsid w:val="70230C37"/>
    <w:rsid w:val="709E6CED"/>
    <w:rsid w:val="730C6890"/>
    <w:rsid w:val="73267C07"/>
    <w:rsid w:val="78332F27"/>
    <w:rsid w:val="7A8A091C"/>
    <w:rsid w:val="7ADB6F81"/>
    <w:rsid w:val="7AF7379A"/>
    <w:rsid w:val="7B6F3A41"/>
    <w:rsid w:val="7C6575D1"/>
    <w:rsid w:val="7CD32A90"/>
    <w:rsid w:val="7D4A5387"/>
    <w:rsid w:val="7F7120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1"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1" w:semiHidden="0" w:name="annotation reference"/>
    <w:lsdException w:qFormat="1" w:unhideWhenUsed="0" w:uiPriority="0" w:semiHidden="0" w:name="line number"/>
    <w:lsdException w:qFormat="1" w:unhideWhenUsed="0" w:uiPriority="0" w:semiHidden="0" w:name="page number"/>
    <w:lsdException w:qFormat="1" w:uiPriority="1" w:semiHidden="0" w:name="endnote reference"/>
    <w:lsdException w:qFormat="1" w:uiPriority="1" w:semiHidden="0" w:name="endnote text"/>
    <w:lsdException w:unhideWhenUsed="0" w:uiPriority="0" w:semiHidden="0" w:name="table of authorities"/>
    <w:lsdException w:qFormat="1" w:unhideWhenUsed="0" w:uiPriority="0" w:semiHidden="0" w:name="macro"/>
    <w:lsdException w:qFormat="1"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1"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1"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
    <w:qFormat/>
    <w:uiPriority w:val="9"/>
    <w:pPr>
      <w:keepNext/>
      <w:jc w:val="center"/>
      <w:outlineLvl w:val="0"/>
    </w:pPr>
    <w:rPr>
      <w:rFonts w:ascii="楷体_GB2312" w:eastAsia="楷体_GB2312"/>
      <w:b/>
      <w:bCs/>
    </w:rPr>
  </w:style>
  <w:style w:type="paragraph" w:styleId="5">
    <w:name w:val="heading 2"/>
    <w:basedOn w:val="1"/>
    <w:next w:val="1"/>
    <w:link w:val="81"/>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next w:val="1"/>
    <w:link w:val="82"/>
    <w:qFormat/>
    <w:uiPriority w:val="9"/>
    <w:pPr>
      <w:keepNext/>
      <w:keepLines/>
      <w:spacing w:before="260" w:after="260" w:line="416" w:lineRule="auto"/>
      <w:outlineLvl w:val="2"/>
    </w:pPr>
    <w:rPr>
      <w:b/>
      <w:bCs/>
      <w:sz w:val="32"/>
      <w:szCs w:val="32"/>
    </w:rPr>
  </w:style>
  <w:style w:type="paragraph" w:styleId="7">
    <w:name w:val="heading 4"/>
    <w:basedOn w:val="1"/>
    <w:next w:val="1"/>
    <w:link w:val="83"/>
    <w:qFormat/>
    <w:uiPriority w:val="0"/>
    <w:pPr>
      <w:keepNext/>
      <w:keepLines/>
      <w:spacing w:before="280" w:after="290" w:line="376" w:lineRule="auto"/>
      <w:outlineLvl w:val="3"/>
    </w:pPr>
    <w:rPr>
      <w:rFonts w:ascii="Cambria" w:hAnsi="Cambria"/>
      <w:b/>
      <w:bCs/>
      <w:sz w:val="28"/>
      <w:szCs w:val="28"/>
    </w:rPr>
  </w:style>
  <w:style w:type="paragraph" w:styleId="8">
    <w:name w:val="heading 5"/>
    <w:basedOn w:val="1"/>
    <w:next w:val="1"/>
    <w:link w:val="84"/>
    <w:qFormat/>
    <w:uiPriority w:val="9"/>
    <w:pPr>
      <w:keepNext/>
      <w:keepLines/>
      <w:spacing w:before="280" w:after="290" w:line="376" w:lineRule="auto"/>
      <w:outlineLvl w:val="4"/>
    </w:pPr>
    <w:rPr>
      <w:b/>
      <w:bCs/>
      <w:sz w:val="28"/>
      <w:szCs w:val="28"/>
    </w:rPr>
  </w:style>
  <w:style w:type="paragraph" w:styleId="9">
    <w:name w:val="heading 6"/>
    <w:basedOn w:val="1"/>
    <w:next w:val="1"/>
    <w:link w:val="85"/>
    <w:qFormat/>
    <w:uiPriority w:val="9"/>
    <w:pPr>
      <w:keepNext/>
      <w:keepLines/>
      <w:spacing w:before="240" w:after="64" w:line="320" w:lineRule="auto"/>
      <w:outlineLvl w:val="5"/>
    </w:pPr>
    <w:rPr>
      <w:rFonts w:ascii="Cambria" w:hAnsi="Cambria"/>
      <w:b/>
      <w:bCs/>
      <w:sz w:val="24"/>
    </w:rPr>
  </w:style>
  <w:style w:type="paragraph" w:styleId="10">
    <w:name w:val="heading 7"/>
    <w:basedOn w:val="1"/>
    <w:next w:val="1"/>
    <w:link w:val="168"/>
    <w:qFormat/>
    <w:uiPriority w:val="9"/>
    <w:pPr>
      <w:keepNext/>
      <w:keepLines/>
      <w:adjustRightInd w:val="0"/>
      <w:spacing w:before="240" w:after="64" w:line="320" w:lineRule="atLeast"/>
      <w:textAlignment w:val="baseline"/>
      <w:outlineLvl w:val="6"/>
    </w:pPr>
    <w:rPr>
      <w:rFonts w:eastAsia="等线"/>
      <w:b/>
      <w:sz w:val="24"/>
    </w:rPr>
  </w:style>
  <w:style w:type="paragraph" w:styleId="11">
    <w:name w:val="heading 8"/>
    <w:basedOn w:val="1"/>
    <w:next w:val="1"/>
    <w:link w:val="169"/>
    <w:qFormat/>
    <w:uiPriority w:val="9"/>
    <w:pPr>
      <w:keepNext/>
      <w:keepLines/>
      <w:adjustRightInd w:val="0"/>
      <w:spacing w:before="240" w:after="64" w:line="320" w:lineRule="atLeast"/>
      <w:textAlignment w:val="baseline"/>
      <w:outlineLvl w:val="7"/>
    </w:pPr>
    <w:rPr>
      <w:rFonts w:ascii="Arial" w:hAnsi="Arial" w:eastAsia="黑体"/>
      <w:sz w:val="24"/>
    </w:rPr>
  </w:style>
  <w:style w:type="paragraph" w:styleId="12">
    <w:name w:val="heading 9"/>
    <w:basedOn w:val="1"/>
    <w:next w:val="1"/>
    <w:link w:val="170"/>
    <w:qFormat/>
    <w:uiPriority w:val="9"/>
    <w:pPr>
      <w:keepNext/>
      <w:keepLines/>
      <w:adjustRightInd w:val="0"/>
      <w:spacing w:before="240" w:after="64" w:line="320" w:lineRule="atLeast"/>
      <w:textAlignment w:val="baseline"/>
      <w:outlineLvl w:val="8"/>
    </w:pPr>
    <w:rPr>
      <w:rFonts w:ascii="Arial" w:hAnsi="Arial" w:eastAsia="黑体"/>
      <w:sz w:val="24"/>
    </w:rPr>
  </w:style>
  <w:style w:type="character" w:default="1" w:styleId="70">
    <w:name w:val="Default Paragraph Font"/>
    <w:semiHidden/>
    <w:unhideWhenUsed/>
    <w:qFormat/>
    <w:uiPriority w:val="1"/>
  </w:style>
  <w:style w:type="table" w:default="1" w:styleId="67">
    <w:name w:val="Normal Table"/>
    <w:semiHidden/>
    <w:unhideWhenUsed/>
    <w:qFormat/>
    <w:uiPriority w:val="99"/>
    <w:tblPr>
      <w:tblCellMar>
        <w:top w:w="0" w:type="dxa"/>
        <w:left w:w="108" w:type="dxa"/>
        <w:bottom w:w="0" w:type="dxa"/>
        <w:right w:w="108" w:type="dxa"/>
      </w:tblCellMar>
    </w:tblPr>
  </w:style>
  <w:style w:type="paragraph" w:customStyle="1" w:styleId="2">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styleId="3">
    <w:name w:val="macro"/>
    <w:link w:val="43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Wingdings" w:hAnsi="Wingdings" w:eastAsia="Times New Roman" w:cs="Times New Roman"/>
      <w:kern w:val="2"/>
      <w:sz w:val="24"/>
      <w:szCs w:val="24"/>
      <w:lang w:val="en-US" w:eastAsia="zh-CN" w:bidi="ar-SA"/>
    </w:rPr>
  </w:style>
  <w:style w:type="paragraph" w:styleId="13">
    <w:name w:val="toc 7"/>
    <w:basedOn w:val="1"/>
    <w:next w:val="1"/>
    <w:qFormat/>
    <w:uiPriority w:val="39"/>
    <w:pPr>
      <w:autoSpaceDE w:val="0"/>
      <w:autoSpaceDN w:val="0"/>
      <w:adjustRightInd w:val="0"/>
      <w:ind w:left="2520" w:leftChars="1200"/>
      <w:jc w:val="left"/>
    </w:pPr>
    <w:rPr>
      <w:rFonts w:ascii="等线" w:hAnsi="等线" w:eastAsia="等线" w:cs="等线"/>
      <w:kern w:val="0"/>
      <w:sz w:val="20"/>
      <w:szCs w:val="20"/>
    </w:rPr>
  </w:style>
  <w:style w:type="paragraph" w:styleId="14">
    <w:name w:val="Note Heading"/>
    <w:basedOn w:val="1"/>
    <w:next w:val="1"/>
    <w:link w:val="422"/>
    <w:qFormat/>
    <w:uiPriority w:val="0"/>
    <w:pPr>
      <w:spacing w:line="360" w:lineRule="auto"/>
      <w:ind w:firstLine="200" w:firstLineChars="200"/>
      <w:jc w:val="center"/>
    </w:pPr>
    <w:rPr>
      <w:rFonts w:ascii="DFKai-SB" w:hAnsi="DFKai-SB" w:eastAsia="DFKai-SB" w:cs="等线"/>
      <w:sz w:val="20"/>
      <w:szCs w:val="20"/>
      <w:lang w:eastAsia="zh-TW"/>
    </w:rPr>
  </w:style>
  <w:style w:type="paragraph" w:styleId="15">
    <w:name w:val="List Number"/>
    <w:basedOn w:val="1"/>
    <w:qFormat/>
    <w:uiPriority w:val="0"/>
    <w:pPr>
      <w:tabs>
        <w:tab w:val="left" w:pos="360"/>
      </w:tabs>
      <w:ind w:left="360" w:hanging="360" w:hangingChars="200"/>
    </w:pPr>
    <w:rPr>
      <w:rFonts w:ascii="等线" w:hAnsi="等线" w:eastAsia="等线" w:cs="等线"/>
    </w:rPr>
  </w:style>
  <w:style w:type="paragraph" w:styleId="16">
    <w:name w:val="Normal Indent"/>
    <w:basedOn w:val="1"/>
    <w:link w:val="104"/>
    <w:qFormat/>
    <w:uiPriority w:val="0"/>
    <w:pPr>
      <w:adjustRightInd w:val="0"/>
      <w:spacing w:line="312" w:lineRule="atLeast"/>
      <w:ind w:firstLine="420"/>
      <w:textAlignment w:val="baseline"/>
    </w:pPr>
    <w:rPr>
      <w:kern w:val="0"/>
      <w:szCs w:val="20"/>
    </w:rPr>
  </w:style>
  <w:style w:type="paragraph" w:styleId="17">
    <w:name w:val="caption"/>
    <w:basedOn w:val="1"/>
    <w:next w:val="1"/>
    <w:qFormat/>
    <w:uiPriority w:val="0"/>
    <w:rPr>
      <w:rFonts w:ascii="Cambria" w:hAnsi="Cambria" w:eastAsia="黑体"/>
      <w:sz w:val="20"/>
      <w:szCs w:val="20"/>
    </w:rPr>
  </w:style>
  <w:style w:type="paragraph" w:styleId="18">
    <w:name w:val="List Bullet"/>
    <w:basedOn w:val="1"/>
    <w:qFormat/>
    <w:uiPriority w:val="0"/>
    <w:pPr>
      <w:tabs>
        <w:tab w:val="left" w:pos="360"/>
      </w:tabs>
      <w:ind w:left="360" w:hanging="360"/>
    </w:pPr>
    <w:rPr>
      <w:rFonts w:ascii="Century Gothic" w:hAnsi="Century Gothic" w:eastAsia="等线" w:cs="等线"/>
      <w:szCs w:val="22"/>
    </w:rPr>
  </w:style>
  <w:style w:type="paragraph" w:styleId="19">
    <w:name w:val="Document Map"/>
    <w:basedOn w:val="1"/>
    <w:link w:val="207"/>
    <w:qFormat/>
    <w:uiPriority w:val="0"/>
    <w:pPr>
      <w:shd w:val="clear" w:color="auto" w:fill="000080"/>
    </w:pPr>
  </w:style>
  <w:style w:type="paragraph" w:styleId="20">
    <w:name w:val="toa heading"/>
    <w:basedOn w:val="1"/>
    <w:next w:val="1"/>
    <w:qFormat/>
    <w:uiPriority w:val="0"/>
    <w:pPr>
      <w:spacing w:before="120" w:line="560" w:lineRule="exact"/>
      <w:ind w:firstLine="200" w:firstLineChars="200"/>
    </w:pPr>
    <w:rPr>
      <w:rFonts w:ascii="Arial" w:hAnsi="Arial" w:cs="Arial"/>
      <w:sz w:val="24"/>
    </w:rPr>
  </w:style>
  <w:style w:type="paragraph" w:styleId="21">
    <w:name w:val="annotation text"/>
    <w:basedOn w:val="1"/>
    <w:link w:val="115"/>
    <w:qFormat/>
    <w:uiPriority w:val="1"/>
    <w:pPr>
      <w:jc w:val="left"/>
    </w:pPr>
  </w:style>
  <w:style w:type="paragraph" w:styleId="22">
    <w:name w:val="Salutation"/>
    <w:basedOn w:val="1"/>
    <w:next w:val="1"/>
    <w:link w:val="410"/>
    <w:qFormat/>
    <w:uiPriority w:val="0"/>
    <w:pPr>
      <w:tabs>
        <w:tab w:val="left" w:pos="840"/>
      </w:tabs>
      <w:autoSpaceDE w:val="0"/>
      <w:autoSpaceDN w:val="0"/>
      <w:adjustRightInd w:val="0"/>
      <w:jc w:val="left"/>
    </w:pPr>
    <w:rPr>
      <w:rFonts w:ascii="等线" w:hAnsi="等线" w:eastAsia="等线" w:cs="等线"/>
      <w:kern w:val="0"/>
      <w:sz w:val="24"/>
      <w:szCs w:val="20"/>
    </w:rPr>
  </w:style>
  <w:style w:type="paragraph" w:styleId="23">
    <w:name w:val="Body Text 3"/>
    <w:basedOn w:val="1"/>
    <w:link w:val="425"/>
    <w:qFormat/>
    <w:uiPriority w:val="0"/>
    <w:pPr>
      <w:autoSpaceDE w:val="0"/>
      <w:autoSpaceDN w:val="0"/>
      <w:adjustRightInd w:val="0"/>
      <w:jc w:val="center"/>
    </w:pPr>
    <w:rPr>
      <w:rFonts w:ascii="等线" w:hAnsi="等线" w:eastAsia="等线" w:cs="等线"/>
      <w:kern w:val="0"/>
      <w:sz w:val="20"/>
      <w:szCs w:val="20"/>
    </w:rPr>
  </w:style>
  <w:style w:type="paragraph" w:styleId="24">
    <w:name w:val="List Bullet 3"/>
    <w:basedOn w:val="1"/>
    <w:qFormat/>
    <w:uiPriority w:val="0"/>
    <w:pPr>
      <w:tabs>
        <w:tab w:val="left" w:pos="1321"/>
        <w:tab w:val="left" w:pos="2281"/>
      </w:tabs>
      <w:adjustRightInd w:val="0"/>
      <w:spacing w:line="360" w:lineRule="atLeast"/>
      <w:ind w:left="1321" w:leftChars="600" w:hanging="200" w:hangingChars="200"/>
      <w:jc w:val="left"/>
      <w:textAlignment w:val="baseline"/>
    </w:pPr>
    <w:rPr>
      <w:rFonts w:ascii="等线" w:hAnsi="等线" w:eastAsia="PMingLiU" w:cs="等线"/>
      <w:kern w:val="0"/>
      <w:sz w:val="24"/>
      <w:szCs w:val="20"/>
      <w:lang w:eastAsia="zh-TW"/>
    </w:rPr>
  </w:style>
  <w:style w:type="paragraph" w:styleId="25">
    <w:name w:val="Body Text"/>
    <w:basedOn w:val="1"/>
    <w:next w:val="1"/>
    <w:link w:val="91"/>
    <w:qFormat/>
    <w:uiPriority w:val="99"/>
    <w:pPr>
      <w:spacing w:after="120"/>
    </w:pPr>
  </w:style>
  <w:style w:type="paragraph" w:styleId="26">
    <w:name w:val="Body Text Indent"/>
    <w:basedOn w:val="1"/>
    <w:next w:val="1"/>
    <w:link w:val="92"/>
    <w:qFormat/>
    <w:uiPriority w:val="0"/>
    <w:pPr>
      <w:ind w:left="480" w:hanging="480" w:hangingChars="200"/>
    </w:pPr>
    <w:rPr>
      <w:sz w:val="24"/>
    </w:rPr>
  </w:style>
  <w:style w:type="paragraph" w:styleId="27">
    <w:name w:val="List Number 3"/>
    <w:basedOn w:val="1"/>
    <w:qFormat/>
    <w:uiPriority w:val="0"/>
    <w:pPr>
      <w:tabs>
        <w:tab w:val="left" w:pos="1200"/>
      </w:tabs>
      <w:ind w:left="1200" w:leftChars="400" w:hanging="360" w:hangingChars="200"/>
    </w:pPr>
    <w:rPr>
      <w:rFonts w:ascii="等线" w:hAnsi="等线" w:eastAsia="等线" w:cs="等线"/>
    </w:rPr>
  </w:style>
  <w:style w:type="paragraph" w:styleId="28">
    <w:name w:val="List 2"/>
    <w:basedOn w:val="1"/>
    <w:qFormat/>
    <w:uiPriority w:val="0"/>
    <w:pPr>
      <w:autoSpaceDE w:val="0"/>
      <w:autoSpaceDN w:val="0"/>
      <w:adjustRightInd w:val="0"/>
      <w:ind w:left="100" w:hanging="200"/>
      <w:textAlignment w:val="baseline"/>
    </w:pPr>
    <w:rPr>
      <w:rFonts w:ascii="等线" w:hAnsi="等线" w:eastAsia="等线" w:cs="等线"/>
      <w:kern w:val="0"/>
      <w:sz w:val="28"/>
      <w:szCs w:val="20"/>
    </w:rPr>
  </w:style>
  <w:style w:type="paragraph" w:styleId="29">
    <w:name w:val="Block Text"/>
    <w:basedOn w:val="1"/>
    <w:qFormat/>
    <w:uiPriority w:val="0"/>
    <w:pPr>
      <w:adjustRightInd w:val="0"/>
      <w:spacing w:line="360" w:lineRule="atLeast"/>
      <w:ind w:left="1260" w:leftChars="525" w:right="22" w:rightChars="9" w:firstLine="200" w:firstLineChars="200"/>
      <w:jc w:val="left"/>
      <w:textAlignment w:val="baseline"/>
    </w:pPr>
    <w:rPr>
      <w:rFonts w:ascii="DFKai-SB" w:hAnsi="DFKai-SB" w:eastAsia="DFKai-SB" w:cs="等线"/>
      <w:kern w:val="0"/>
      <w:sz w:val="28"/>
      <w:szCs w:val="20"/>
      <w:lang w:eastAsia="zh-TW"/>
    </w:rPr>
  </w:style>
  <w:style w:type="paragraph" w:styleId="30">
    <w:name w:val="List Bullet 2"/>
    <w:basedOn w:val="1"/>
    <w:qFormat/>
    <w:uiPriority w:val="0"/>
    <w:pPr>
      <w:tabs>
        <w:tab w:val="left" w:pos="780"/>
      </w:tabs>
      <w:spacing w:line="360" w:lineRule="auto"/>
      <w:ind w:left="780" w:leftChars="200" w:hanging="360" w:hangingChars="200"/>
    </w:pPr>
    <w:rPr>
      <w:rFonts w:ascii="等线" w:hAnsi="等线" w:eastAsia="等线" w:cs="等线"/>
    </w:rPr>
  </w:style>
  <w:style w:type="paragraph" w:styleId="31">
    <w:name w:val="toc 5"/>
    <w:basedOn w:val="1"/>
    <w:next w:val="1"/>
    <w:qFormat/>
    <w:uiPriority w:val="39"/>
    <w:pPr>
      <w:autoSpaceDE w:val="0"/>
      <w:autoSpaceDN w:val="0"/>
      <w:adjustRightInd w:val="0"/>
      <w:ind w:left="1680" w:leftChars="800"/>
      <w:jc w:val="left"/>
    </w:pPr>
    <w:rPr>
      <w:rFonts w:ascii="等线" w:hAnsi="等线" w:eastAsia="等线" w:cs="等线"/>
      <w:kern w:val="0"/>
      <w:sz w:val="20"/>
      <w:szCs w:val="20"/>
    </w:rPr>
  </w:style>
  <w:style w:type="paragraph" w:styleId="32">
    <w:name w:val="toc 3"/>
    <w:basedOn w:val="1"/>
    <w:next w:val="1"/>
    <w:qFormat/>
    <w:uiPriority w:val="39"/>
    <w:pPr>
      <w:ind w:left="840" w:leftChars="400"/>
    </w:pPr>
  </w:style>
  <w:style w:type="paragraph" w:styleId="33">
    <w:name w:val="Plain Text"/>
    <w:basedOn w:val="1"/>
    <w:next w:val="34"/>
    <w:link w:val="93"/>
    <w:qFormat/>
    <w:uiPriority w:val="0"/>
    <w:pPr>
      <w:widowControl/>
      <w:overflowPunct w:val="0"/>
      <w:autoSpaceDE w:val="0"/>
      <w:autoSpaceDN w:val="0"/>
      <w:adjustRightInd w:val="0"/>
      <w:jc w:val="left"/>
      <w:textAlignment w:val="baseline"/>
    </w:pPr>
    <w:rPr>
      <w:rFonts w:ascii="宋体" w:hAnsi="Courier New"/>
      <w:kern w:val="0"/>
      <w:szCs w:val="21"/>
    </w:rPr>
  </w:style>
  <w:style w:type="paragraph" w:styleId="34">
    <w:name w:val="toc 2"/>
    <w:basedOn w:val="1"/>
    <w:next w:val="1"/>
    <w:qFormat/>
    <w:uiPriority w:val="39"/>
    <w:pPr>
      <w:ind w:left="420" w:leftChars="200"/>
    </w:pPr>
  </w:style>
  <w:style w:type="paragraph" w:styleId="35">
    <w:name w:val="List Number 4"/>
    <w:basedOn w:val="1"/>
    <w:qFormat/>
    <w:uiPriority w:val="0"/>
    <w:pPr>
      <w:tabs>
        <w:tab w:val="left" w:pos="840"/>
      </w:tabs>
      <w:autoSpaceDE w:val="0"/>
      <w:autoSpaceDN w:val="0"/>
      <w:adjustRightInd w:val="0"/>
      <w:spacing w:line="360" w:lineRule="atLeast"/>
      <w:ind w:left="840" w:hanging="420"/>
      <w:jc w:val="left"/>
    </w:pPr>
    <w:rPr>
      <w:rFonts w:ascii="等线" w:hAnsi="等线" w:eastAsia="等线" w:cs="等线"/>
      <w:kern w:val="0"/>
      <w:sz w:val="24"/>
      <w:szCs w:val="20"/>
    </w:rPr>
  </w:style>
  <w:style w:type="paragraph" w:styleId="36">
    <w:name w:val="toc 8"/>
    <w:basedOn w:val="1"/>
    <w:next w:val="1"/>
    <w:qFormat/>
    <w:uiPriority w:val="39"/>
    <w:pPr>
      <w:autoSpaceDE w:val="0"/>
      <w:autoSpaceDN w:val="0"/>
      <w:adjustRightInd w:val="0"/>
      <w:ind w:left="2940" w:leftChars="1400"/>
      <w:jc w:val="left"/>
    </w:pPr>
    <w:rPr>
      <w:rFonts w:ascii="等线" w:hAnsi="等线" w:eastAsia="等线" w:cs="等线"/>
      <w:kern w:val="0"/>
      <w:sz w:val="20"/>
      <w:szCs w:val="20"/>
    </w:rPr>
  </w:style>
  <w:style w:type="paragraph" w:styleId="37">
    <w:name w:val="Date"/>
    <w:basedOn w:val="1"/>
    <w:next w:val="1"/>
    <w:link w:val="86"/>
    <w:qFormat/>
    <w:uiPriority w:val="0"/>
    <w:pPr>
      <w:ind w:left="100" w:leftChars="2500"/>
    </w:pPr>
  </w:style>
  <w:style w:type="paragraph" w:styleId="38">
    <w:name w:val="Body Text Indent 2"/>
    <w:basedOn w:val="1"/>
    <w:link w:val="307"/>
    <w:qFormat/>
    <w:uiPriority w:val="0"/>
    <w:pPr>
      <w:spacing w:line="500" w:lineRule="exact"/>
      <w:ind w:firstLine="511" w:firstLineChars="213"/>
    </w:pPr>
    <w:rPr>
      <w:sz w:val="24"/>
    </w:rPr>
  </w:style>
  <w:style w:type="paragraph" w:styleId="39">
    <w:name w:val="endnote text"/>
    <w:basedOn w:val="1"/>
    <w:link w:val="760"/>
    <w:unhideWhenUsed/>
    <w:qFormat/>
    <w:uiPriority w:val="1"/>
    <w:pPr>
      <w:snapToGrid w:val="0"/>
      <w:spacing w:line="360" w:lineRule="auto"/>
      <w:ind w:firstLine="200" w:firstLineChars="200"/>
      <w:jc w:val="left"/>
    </w:pPr>
    <w:rPr>
      <w:sz w:val="28"/>
    </w:rPr>
  </w:style>
  <w:style w:type="paragraph" w:styleId="40">
    <w:name w:val="Balloon Text"/>
    <w:basedOn w:val="1"/>
    <w:link w:val="270"/>
    <w:qFormat/>
    <w:uiPriority w:val="0"/>
    <w:rPr>
      <w:sz w:val="18"/>
      <w:szCs w:val="18"/>
    </w:rPr>
  </w:style>
  <w:style w:type="paragraph" w:styleId="41">
    <w:name w:val="footer"/>
    <w:basedOn w:val="1"/>
    <w:link w:val="90"/>
    <w:qFormat/>
    <w:uiPriority w:val="99"/>
    <w:pPr>
      <w:tabs>
        <w:tab w:val="center" w:pos="4153"/>
        <w:tab w:val="right" w:pos="8306"/>
      </w:tabs>
      <w:snapToGrid w:val="0"/>
      <w:jc w:val="left"/>
    </w:pPr>
    <w:rPr>
      <w:sz w:val="18"/>
      <w:szCs w:val="18"/>
    </w:rPr>
  </w:style>
  <w:style w:type="paragraph" w:styleId="42">
    <w:name w:val="envelope return"/>
    <w:basedOn w:val="1"/>
    <w:qFormat/>
    <w:uiPriority w:val="0"/>
    <w:pPr>
      <w:snapToGrid w:val="0"/>
      <w:spacing w:line="360" w:lineRule="auto"/>
      <w:ind w:firstLine="200" w:firstLineChars="200"/>
    </w:pPr>
    <w:rPr>
      <w:rFonts w:ascii="Arial" w:hAnsi="Arial" w:eastAsia="等线" w:cs="等线"/>
      <w:spacing w:val="-10"/>
      <w:szCs w:val="20"/>
    </w:rPr>
  </w:style>
  <w:style w:type="paragraph" w:styleId="43">
    <w:name w:val="header"/>
    <w:basedOn w:val="1"/>
    <w:link w:val="37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442"/>
    <w:qFormat/>
    <w:uiPriority w:val="0"/>
    <w:pPr>
      <w:autoSpaceDE w:val="0"/>
      <w:autoSpaceDN w:val="0"/>
      <w:adjustRightInd w:val="0"/>
      <w:spacing w:after="600" w:line="312" w:lineRule="atLeast"/>
      <w:jc w:val="center"/>
      <w:textAlignment w:val="baseline"/>
    </w:pPr>
    <w:rPr>
      <w:rFonts w:ascii="等线" w:hAnsi="等线" w:eastAsia="黑体" w:cs="等线"/>
      <w:kern w:val="0"/>
      <w:sz w:val="24"/>
      <w:szCs w:val="20"/>
    </w:rPr>
  </w:style>
  <w:style w:type="paragraph" w:styleId="45">
    <w:name w:val="toc 1"/>
    <w:basedOn w:val="1"/>
    <w:next w:val="1"/>
    <w:qFormat/>
    <w:uiPriority w:val="39"/>
    <w:pPr>
      <w:tabs>
        <w:tab w:val="right" w:leader="dot" w:pos="9628"/>
      </w:tabs>
      <w:spacing w:line="480" w:lineRule="auto"/>
    </w:pPr>
    <w:rPr>
      <w:rFonts w:ascii="Arial" w:hAnsi="Arial" w:eastAsia="新宋体" w:cs="Arial"/>
      <w:bCs/>
      <w:sz w:val="24"/>
    </w:rPr>
  </w:style>
  <w:style w:type="paragraph" w:styleId="46">
    <w:name w:val="toc 4"/>
    <w:basedOn w:val="1"/>
    <w:next w:val="1"/>
    <w:qFormat/>
    <w:uiPriority w:val="39"/>
    <w:pPr>
      <w:autoSpaceDE w:val="0"/>
      <w:autoSpaceDN w:val="0"/>
      <w:adjustRightInd w:val="0"/>
      <w:ind w:left="1260" w:leftChars="600"/>
      <w:jc w:val="left"/>
    </w:pPr>
    <w:rPr>
      <w:rFonts w:ascii="等线" w:hAnsi="等线" w:eastAsia="等线" w:cs="等线"/>
      <w:kern w:val="0"/>
      <w:sz w:val="20"/>
      <w:szCs w:val="20"/>
    </w:rPr>
  </w:style>
  <w:style w:type="paragraph" w:styleId="47">
    <w:name w:val="Subtitle"/>
    <w:basedOn w:val="1"/>
    <w:next w:val="1"/>
    <w:link w:val="438"/>
    <w:qFormat/>
    <w:uiPriority w:val="0"/>
    <w:pPr>
      <w:spacing w:before="240" w:after="60" w:line="312" w:lineRule="auto"/>
      <w:jc w:val="center"/>
      <w:outlineLvl w:val="1"/>
    </w:pPr>
    <w:rPr>
      <w:rFonts w:ascii="Verdana" w:hAnsi="Verdana" w:eastAsia="仿宋_GB2312"/>
      <w:b/>
      <w:bCs/>
      <w:kern w:val="28"/>
      <w:sz w:val="32"/>
      <w:szCs w:val="32"/>
    </w:rPr>
  </w:style>
  <w:style w:type="paragraph" w:styleId="48">
    <w:name w:val="List Number 5"/>
    <w:basedOn w:val="1"/>
    <w:qFormat/>
    <w:uiPriority w:val="0"/>
    <w:pPr>
      <w:tabs>
        <w:tab w:val="left" w:pos="2040"/>
      </w:tabs>
      <w:autoSpaceDE w:val="0"/>
      <w:autoSpaceDN w:val="0"/>
      <w:adjustRightInd w:val="0"/>
      <w:spacing w:line="400" w:lineRule="exact"/>
      <w:ind w:left="2040" w:hanging="360"/>
      <w:jc w:val="left"/>
    </w:pPr>
    <w:rPr>
      <w:rFonts w:ascii="等线" w:hAnsi="等线" w:eastAsia="等线" w:cs="等线"/>
      <w:kern w:val="0"/>
      <w:sz w:val="24"/>
      <w:szCs w:val="20"/>
    </w:rPr>
  </w:style>
  <w:style w:type="paragraph" w:styleId="49">
    <w:name w:val="footnote text"/>
    <w:basedOn w:val="1"/>
    <w:link w:val="437"/>
    <w:qFormat/>
    <w:uiPriority w:val="0"/>
    <w:pPr>
      <w:snapToGrid w:val="0"/>
      <w:spacing w:line="360" w:lineRule="auto"/>
      <w:ind w:firstLine="200" w:firstLineChars="200"/>
      <w:jc w:val="left"/>
    </w:pPr>
    <w:rPr>
      <w:rFonts w:ascii="等线" w:hAnsi="等线" w:eastAsia="等线" w:cs="等线"/>
      <w:sz w:val="18"/>
      <w:szCs w:val="18"/>
    </w:rPr>
  </w:style>
  <w:style w:type="paragraph" w:styleId="50">
    <w:name w:val="toc 6"/>
    <w:basedOn w:val="1"/>
    <w:next w:val="1"/>
    <w:qFormat/>
    <w:uiPriority w:val="39"/>
    <w:pPr>
      <w:autoSpaceDE w:val="0"/>
      <w:autoSpaceDN w:val="0"/>
      <w:adjustRightInd w:val="0"/>
      <w:ind w:left="2100" w:leftChars="1000"/>
      <w:jc w:val="left"/>
    </w:pPr>
    <w:rPr>
      <w:rFonts w:ascii="等线" w:hAnsi="等线" w:eastAsia="等线" w:cs="等线"/>
      <w:kern w:val="0"/>
      <w:sz w:val="20"/>
      <w:szCs w:val="20"/>
    </w:rPr>
  </w:style>
  <w:style w:type="paragraph" w:styleId="51">
    <w:name w:val="Body Text Indent 3"/>
    <w:basedOn w:val="1"/>
    <w:link w:val="204"/>
    <w:qFormat/>
    <w:uiPriority w:val="0"/>
    <w:pPr>
      <w:spacing w:line="500" w:lineRule="exact"/>
      <w:ind w:left="511" w:hanging="511" w:hangingChars="213"/>
    </w:pPr>
    <w:rPr>
      <w:sz w:val="24"/>
    </w:rPr>
  </w:style>
  <w:style w:type="paragraph" w:styleId="52">
    <w:name w:val="table of figures"/>
    <w:basedOn w:val="1"/>
    <w:next w:val="1"/>
    <w:qFormat/>
    <w:uiPriority w:val="0"/>
    <w:pPr>
      <w:spacing w:line="360" w:lineRule="auto"/>
      <w:ind w:left="840" w:leftChars="200" w:hanging="420" w:hangingChars="200"/>
    </w:pPr>
    <w:rPr>
      <w:rFonts w:ascii="等线" w:hAnsi="等线" w:eastAsia="等线" w:cs="等线"/>
      <w:szCs w:val="20"/>
    </w:rPr>
  </w:style>
  <w:style w:type="paragraph" w:styleId="53">
    <w:name w:val="toc 9"/>
    <w:basedOn w:val="1"/>
    <w:next w:val="1"/>
    <w:qFormat/>
    <w:uiPriority w:val="39"/>
    <w:pPr>
      <w:autoSpaceDE w:val="0"/>
      <w:autoSpaceDN w:val="0"/>
      <w:adjustRightInd w:val="0"/>
      <w:ind w:left="3360" w:leftChars="1600"/>
      <w:jc w:val="left"/>
    </w:pPr>
    <w:rPr>
      <w:rFonts w:ascii="等线" w:hAnsi="等线" w:eastAsia="等线" w:cs="等线"/>
      <w:kern w:val="0"/>
      <w:sz w:val="20"/>
      <w:szCs w:val="20"/>
    </w:rPr>
  </w:style>
  <w:style w:type="paragraph" w:styleId="54">
    <w:name w:val="Body Text 2"/>
    <w:basedOn w:val="1"/>
    <w:link w:val="436"/>
    <w:qFormat/>
    <w:uiPriority w:val="0"/>
    <w:pPr>
      <w:autoSpaceDE w:val="0"/>
      <w:autoSpaceDN w:val="0"/>
      <w:adjustRightInd w:val="0"/>
      <w:spacing w:after="120" w:line="480" w:lineRule="auto"/>
      <w:jc w:val="left"/>
    </w:pPr>
    <w:rPr>
      <w:rFonts w:ascii="等线" w:hAnsi="等线" w:eastAsia="等线" w:cs="等线"/>
      <w:kern w:val="0"/>
      <w:sz w:val="20"/>
      <w:szCs w:val="20"/>
    </w:rPr>
  </w:style>
  <w:style w:type="paragraph" w:styleId="55">
    <w:name w:val="Message Header"/>
    <w:basedOn w:val="1"/>
    <w:link w:val="439"/>
    <w:qFormat/>
    <w:uiPriority w:val="0"/>
    <w:pPr>
      <w:pBdr>
        <w:top w:val="single" w:color="auto" w:sz="6" w:space="1"/>
        <w:left w:val="single" w:color="auto" w:sz="6" w:space="1"/>
        <w:bottom w:val="single" w:color="auto" w:sz="6" w:space="1"/>
        <w:right w:val="single" w:color="auto" w:sz="6" w:space="1"/>
      </w:pBdr>
      <w:shd w:val="pct20" w:color="auto" w:fill="auto"/>
      <w:adjustRightInd w:val="0"/>
      <w:spacing w:line="360" w:lineRule="atLeast"/>
      <w:ind w:left="1080" w:leftChars="400" w:hanging="1080" w:hangingChars="400"/>
      <w:jc w:val="left"/>
      <w:textAlignment w:val="baseline"/>
    </w:pPr>
    <w:rPr>
      <w:rFonts w:eastAsia="仿宋_GB2312"/>
    </w:rPr>
  </w:style>
  <w:style w:type="paragraph" w:styleId="56">
    <w:name w:val="HTML Preformatted"/>
    <w:basedOn w:val="1"/>
    <w:link w:val="44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00" w:firstLineChars="200"/>
      <w:jc w:val="left"/>
    </w:pPr>
    <w:rPr>
      <w:rFonts w:ascii="黑体" w:hAnsi="Courier New" w:eastAsia="黑体"/>
      <w:kern w:val="0"/>
      <w:sz w:val="20"/>
      <w:szCs w:val="20"/>
    </w:rPr>
  </w:style>
  <w:style w:type="paragraph" w:styleId="57">
    <w:name w:val="Normal (Web)"/>
    <w:basedOn w:val="1"/>
    <w:link w:val="167"/>
    <w:qFormat/>
    <w:uiPriority w:val="1"/>
    <w:pPr>
      <w:widowControl/>
      <w:spacing w:before="100" w:beforeAutospacing="1" w:after="100" w:afterAutospacing="1"/>
      <w:jc w:val="left"/>
    </w:pPr>
    <w:rPr>
      <w:rFonts w:ascii="宋体" w:hAnsi="宋体"/>
      <w:kern w:val="0"/>
      <w:sz w:val="24"/>
    </w:rPr>
  </w:style>
  <w:style w:type="paragraph" w:styleId="58">
    <w:name w:val="index 1"/>
    <w:basedOn w:val="1"/>
    <w:next w:val="1"/>
    <w:qFormat/>
    <w:uiPriority w:val="0"/>
    <w:pPr>
      <w:spacing w:line="360" w:lineRule="auto"/>
      <w:ind w:firstLine="200" w:firstLineChars="200"/>
    </w:pPr>
    <w:rPr>
      <w:rFonts w:ascii="等线" w:hAnsi="等线" w:eastAsia="等线" w:cs="等线"/>
      <w:szCs w:val="20"/>
    </w:rPr>
  </w:style>
  <w:style w:type="paragraph" w:styleId="59">
    <w:name w:val="Title"/>
    <w:basedOn w:val="1"/>
    <w:link w:val="158"/>
    <w:qFormat/>
    <w:uiPriority w:val="0"/>
    <w:pPr>
      <w:autoSpaceDE w:val="0"/>
      <w:autoSpaceDN w:val="0"/>
      <w:adjustRightInd w:val="0"/>
      <w:spacing w:before="240" w:after="60"/>
      <w:jc w:val="center"/>
      <w:outlineLvl w:val="0"/>
    </w:pPr>
    <w:rPr>
      <w:rFonts w:ascii="Verdana" w:hAnsi="Verdana" w:eastAsia="仿宋_GB2312"/>
      <w:b/>
      <w:bCs/>
      <w:kern w:val="0"/>
      <w:sz w:val="32"/>
      <w:szCs w:val="32"/>
    </w:rPr>
  </w:style>
  <w:style w:type="paragraph" w:styleId="60">
    <w:name w:val="annotation subject"/>
    <w:basedOn w:val="21"/>
    <w:next w:val="21"/>
    <w:link w:val="171"/>
    <w:qFormat/>
    <w:uiPriority w:val="1"/>
    <w:rPr>
      <w:b/>
      <w:bCs/>
    </w:rPr>
  </w:style>
  <w:style w:type="paragraph" w:styleId="61">
    <w:name w:val="Body Text First Indent"/>
    <w:basedOn w:val="25"/>
    <w:link w:val="103"/>
    <w:qFormat/>
    <w:uiPriority w:val="0"/>
    <w:pPr>
      <w:ind w:firstLine="420" w:firstLineChars="100"/>
    </w:pPr>
  </w:style>
  <w:style w:type="paragraph" w:styleId="62">
    <w:name w:val="Body Text First Indent 2"/>
    <w:basedOn w:val="26"/>
    <w:next w:val="63"/>
    <w:link w:val="440"/>
    <w:unhideWhenUsed/>
    <w:qFormat/>
    <w:uiPriority w:val="0"/>
    <w:pPr>
      <w:spacing w:after="120"/>
      <w:ind w:left="420" w:leftChars="200" w:firstLine="420" w:firstLineChars="200"/>
    </w:pPr>
    <w:rPr>
      <w:sz w:val="21"/>
    </w:rPr>
  </w:style>
  <w:style w:type="paragraph" w:customStyle="1" w:styleId="63">
    <w:name w:val="样式 标题 3 + (中文) 黑体 小四 非加粗 段前: 7.8 磅 段后: 0 磅 行距: 固定值 20 磅_0"/>
    <w:basedOn w:val="64"/>
    <w:qFormat/>
    <w:uiPriority w:val="0"/>
    <w:pPr>
      <w:spacing w:before="0" w:after="0" w:line="400" w:lineRule="exact"/>
    </w:pPr>
    <w:rPr>
      <w:rFonts w:ascii="Times New Roman" w:hAnsi="Times New Roman" w:eastAsia="黑体" w:cs="宋体"/>
      <w:b w:val="0"/>
      <w:bCs w:val="0"/>
      <w:sz w:val="21"/>
      <w:szCs w:val="20"/>
    </w:rPr>
  </w:style>
  <w:style w:type="paragraph" w:customStyle="1" w:styleId="64">
    <w:name w:val="标题 3_0"/>
    <w:basedOn w:val="65"/>
    <w:next w:val="66"/>
    <w:qFormat/>
    <w:uiPriority w:val="0"/>
    <w:pPr>
      <w:keepNext/>
      <w:keepLines/>
      <w:spacing w:before="260" w:after="260" w:line="416" w:lineRule="auto"/>
      <w:outlineLvl w:val="2"/>
    </w:pPr>
    <w:rPr>
      <w:rFonts w:ascii="Calibri" w:hAnsi="Calibri" w:eastAsia="宋体"/>
      <w:b/>
      <w:bCs/>
      <w:sz w:val="32"/>
      <w:szCs w:val="32"/>
    </w:rPr>
  </w:style>
  <w:style w:type="paragraph" w:customStyle="1" w:styleId="65">
    <w:name w:val="正文_0"/>
    <w:next w:val="62"/>
    <w:qFormat/>
    <w:uiPriority w:val="0"/>
    <w:pPr>
      <w:widowControl w:val="0"/>
      <w:jc w:val="both"/>
    </w:pPr>
    <w:rPr>
      <w:rFonts w:ascii="Calibri" w:hAnsi="Calibri" w:eastAsia="仿宋_GB2312" w:cs="Times New Roman"/>
      <w:kern w:val="2"/>
      <w:sz w:val="21"/>
      <w:szCs w:val="22"/>
      <w:lang w:val="en-US" w:eastAsia="zh-CN" w:bidi="ar-SA"/>
    </w:rPr>
  </w:style>
  <w:style w:type="paragraph" w:customStyle="1" w:styleId="66">
    <w:name w:val="正文_1"/>
    <w:next w:val="62"/>
    <w:qFormat/>
    <w:uiPriority w:val="0"/>
    <w:pPr>
      <w:widowControl w:val="0"/>
      <w:jc w:val="both"/>
    </w:pPr>
    <w:rPr>
      <w:rFonts w:ascii="Calibri" w:hAnsi="Calibri" w:eastAsia="仿宋_GB2312" w:cs="Times New Roman"/>
      <w:kern w:val="2"/>
      <w:sz w:val="21"/>
      <w:szCs w:val="22"/>
      <w:lang w:val="en-US" w:eastAsia="zh-CN" w:bidi="ar-SA"/>
    </w:rPr>
  </w:style>
  <w:style w:type="table" w:styleId="68">
    <w:name w:val="Table Grid"/>
    <w:basedOn w:val="6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9">
    <w:name w:val="Table Elegant"/>
    <w:basedOn w:val="67"/>
    <w:qFormat/>
    <w:uiPriority w:val="0"/>
    <w:pPr>
      <w:widowControl w:val="0"/>
      <w:jc w:val="both"/>
    </w:pPr>
    <w:rPr>
      <w:rFonts w:hint="eastAsia" w:ascii="等线" w:hAnsi="等线" w:eastAsia="等线" w:cs="等线"/>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71">
    <w:name w:val="Strong"/>
    <w:qFormat/>
    <w:uiPriority w:val="0"/>
    <w:rPr>
      <w:b/>
      <w:bCs/>
    </w:rPr>
  </w:style>
  <w:style w:type="character" w:styleId="72">
    <w:name w:val="endnote reference"/>
    <w:unhideWhenUsed/>
    <w:qFormat/>
    <w:uiPriority w:val="1"/>
    <w:rPr>
      <w:vertAlign w:val="superscript"/>
    </w:rPr>
  </w:style>
  <w:style w:type="character" w:styleId="73">
    <w:name w:val="page number"/>
    <w:basedOn w:val="70"/>
    <w:qFormat/>
    <w:uiPriority w:val="0"/>
  </w:style>
  <w:style w:type="character" w:styleId="74">
    <w:name w:val="FollowedHyperlink"/>
    <w:qFormat/>
    <w:uiPriority w:val="0"/>
    <w:rPr>
      <w:color w:val="800080"/>
      <w:u w:val="single"/>
    </w:rPr>
  </w:style>
  <w:style w:type="character" w:styleId="75">
    <w:name w:val="Emphasis"/>
    <w:qFormat/>
    <w:uiPriority w:val="1"/>
    <w:rPr>
      <w:i/>
      <w:iCs/>
    </w:rPr>
  </w:style>
  <w:style w:type="character" w:styleId="76">
    <w:name w:val="line number"/>
    <w:basedOn w:val="70"/>
    <w:qFormat/>
    <w:uiPriority w:val="0"/>
  </w:style>
  <w:style w:type="character" w:styleId="77">
    <w:name w:val="Hyperlink"/>
    <w:qFormat/>
    <w:uiPriority w:val="99"/>
    <w:rPr>
      <w:color w:val="000000"/>
      <w:sz w:val="20"/>
      <w:szCs w:val="20"/>
      <w:u w:val="none"/>
    </w:rPr>
  </w:style>
  <w:style w:type="character" w:styleId="78">
    <w:name w:val="annotation reference"/>
    <w:qFormat/>
    <w:uiPriority w:val="1"/>
    <w:rPr>
      <w:sz w:val="21"/>
      <w:szCs w:val="21"/>
    </w:rPr>
  </w:style>
  <w:style w:type="character" w:styleId="79">
    <w:name w:val="HTML Cite"/>
    <w:qFormat/>
    <w:uiPriority w:val="0"/>
    <w:rPr>
      <w:color w:val="008000"/>
    </w:rPr>
  </w:style>
  <w:style w:type="character" w:customStyle="1" w:styleId="80">
    <w:name w:val="标题 1 字符1"/>
    <w:link w:val="4"/>
    <w:qFormat/>
    <w:uiPriority w:val="9"/>
    <w:rPr>
      <w:rFonts w:ascii="楷体_GB2312" w:eastAsia="楷体_GB2312"/>
      <w:b/>
      <w:bCs/>
      <w:kern w:val="2"/>
      <w:sz w:val="21"/>
      <w:szCs w:val="24"/>
    </w:rPr>
  </w:style>
  <w:style w:type="character" w:customStyle="1" w:styleId="81">
    <w:name w:val="标题 2 字符"/>
    <w:link w:val="5"/>
    <w:qFormat/>
    <w:uiPriority w:val="9"/>
    <w:rPr>
      <w:rFonts w:ascii="Cambria" w:hAnsi="Cambria" w:eastAsia="宋体" w:cs="Times New Roman"/>
      <w:b/>
      <w:bCs/>
      <w:kern w:val="2"/>
      <w:sz w:val="32"/>
      <w:szCs w:val="32"/>
    </w:rPr>
  </w:style>
  <w:style w:type="character" w:customStyle="1" w:styleId="82">
    <w:name w:val="标题 3 字符1"/>
    <w:link w:val="6"/>
    <w:qFormat/>
    <w:uiPriority w:val="9"/>
    <w:rPr>
      <w:b/>
      <w:bCs/>
      <w:kern w:val="2"/>
      <w:sz w:val="32"/>
      <w:szCs w:val="32"/>
      <w:lang w:bidi="ar-SA"/>
    </w:rPr>
  </w:style>
  <w:style w:type="character" w:customStyle="1" w:styleId="83">
    <w:name w:val="标题 4 字符1"/>
    <w:link w:val="7"/>
    <w:qFormat/>
    <w:uiPriority w:val="0"/>
    <w:rPr>
      <w:rFonts w:ascii="Cambria" w:hAnsi="Cambria" w:eastAsia="宋体"/>
      <w:b/>
      <w:bCs/>
      <w:kern w:val="2"/>
      <w:sz w:val="28"/>
      <w:szCs w:val="28"/>
      <w:lang w:bidi="ar-SA"/>
    </w:rPr>
  </w:style>
  <w:style w:type="character" w:customStyle="1" w:styleId="84">
    <w:name w:val="标题 5 字符1"/>
    <w:link w:val="8"/>
    <w:qFormat/>
    <w:uiPriority w:val="9"/>
    <w:rPr>
      <w:b/>
      <w:bCs/>
      <w:kern w:val="2"/>
      <w:sz w:val="28"/>
      <w:szCs w:val="28"/>
    </w:rPr>
  </w:style>
  <w:style w:type="character" w:customStyle="1" w:styleId="85">
    <w:name w:val="标题 6 字符1"/>
    <w:link w:val="9"/>
    <w:qFormat/>
    <w:uiPriority w:val="9"/>
    <w:rPr>
      <w:rFonts w:ascii="Cambria" w:hAnsi="Cambria" w:eastAsia="宋体" w:cs="Times New Roman"/>
      <w:b/>
      <w:bCs/>
      <w:kern w:val="2"/>
      <w:sz w:val="24"/>
      <w:szCs w:val="24"/>
    </w:rPr>
  </w:style>
  <w:style w:type="character" w:customStyle="1" w:styleId="86">
    <w:name w:val="日期 字符"/>
    <w:link w:val="37"/>
    <w:qFormat/>
    <w:uiPriority w:val="0"/>
    <w:rPr>
      <w:kern w:val="2"/>
      <w:sz w:val="21"/>
      <w:szCs w:val="24"/>
    </w:rPr>
  </w:style>
  <w:style w:type="character" w:customStyle="1" w:styleId="87">
    <w:name w:val="样式6 列表并列 Char"/>
    <w:link w:val="88"/>
    <w:qFormat/>
    <w:locked/>
    <w:uiPriority w:val="0"/>
    <w:rPr>
      <w:rFonts w:ascii="Arial" w:hAnsi="Arial" w:cs="Arial"/>
      <w:kern w:val="21"/>
      <w:sz w:val="21"/>
      <w:szCs w:val="24"/>
    </w:rPr>
  </w:style>
  <w:style w:type="paragraph" w:customStyle="1" w:styleId="88">
    <w:name w:val="样式6 列表并列"/>
    <w:link w:val="87"/>
    <w:qFormat/>
    <w:uiPriority w:val="0"/>
    <w:pPr>
      <w:widowControl w:val="0"/>
      <w:tabs>
        <w:tab w:val="left" w:pos="0"/>
      </w:tabs>
      <w:spacing w:before="40" w:after="40" w:line="240" w:lineRule="atLeast"/>
      <w:ind w:left="840" w:hanging="420"/>
    </w:pPr>
    <w:rPr>
      <w:rFonts w:ascii="Arial" w:hAnsi="Arial" w:eastAsia="宋体" w:cs="Arial"/>
      <w:kern w:val="21"/>
      <w:sz w:val="21"/>
      <w:szCs w:val="24"/>
      <w:lang w:val="en-US" w:eastAsia="zh-CN" w:bidi="ar-SA"/>
    </w:rPr>
  </w:style>
  <w:style w:type="character" w:customStyle="1" w:styleId="89">
    <w:name w:val="Texte Char Char"/>
    <w:qFormat/>
    <w:uiPriority w:val="0"/>
    <w:rPr>
      <w:rFonts w:ascii="宋体" w:hAnsi="Courier New" w:eastAsia="宋体"/>
      <w:sz w:val="21"/>
      <w:szCs w:val="21"/>
      <w:lang w:val="en-US" w:eastAsia="zh-CN" w:bidi="ar-SA"/>
    </w:rPr>
  </w:style>
  <w:style w:type="character" w:customStyle="1" w:styleId="90">
    <w:name w:val="页脚 字符"/>
    <w:link w:val="41"/>
    <w:qFormat/>
    <w:uiPriority w:val="99"/>
    <w:rPr>
      <w:kern w:val="2"/>
      <w:sz w:val="18"/>
      <w:szCs w:val="18"/>
    </w:rPr>
  </w:style>
  <w:style w:type="character" w:customStyle="1" w:styleId="91">
    <w:name w:val="正文文本 字符1"/>
    <w:link w:val="25"/>
    <w:qFormat/>
    <w:uiPriority w:val="99"/>
    <w:rPr>
      <w:kern w:val="2"/>
      <w:sz w:val="21"/>
      <w:szCs w:val="24"/>
    </w:rPr>
  </w:style>
  <w:style w:type="character" w:customStyle="1" w:styleId="92">
    <w:name w:val="正文文本缩进 字符1"/>
    <w:link w:val="26"/>
    <w:qFormat/>
    <w:uiPriority w:val="0"/>
    <w:rPr>
      <w:kern w:val="2"/>
      <w:sz w:val="24"/>
      <w:szCs w:val="24"/>
    </w:rPr>
  </w:style>
  <w:style w:type="character" w:customStyle="1" w:styleId="93">
    <w:name w:val="纯文本 字符1"/>
    <w:link w:val="33"/>
    <w:qFormat/>
    <w:uiPriority w:val="0"/>
    <w:rPr>
      <w:rFonts w:ascii="宋体" w:hAnsi="Courier New" w:eastAsia="宋体"/>
      <w:sz w:val="21"/>
      <w:szCs w:val="21"/>
      <w:lang w:val="en-US" w:eastAsia="zh-CN" w:bidi="ar-SA"/>
    </w:rPr>
  </w:style>
  <w:style w:type="character" w:customStyle="1" w:styleId="94">
    <w:name w:val="font31"/>
    <w:qFormat/>
    <w:uiPriority w:val="0"/>
    <w:rPr>
      <w:rFonts w:hint="eastAsia" w:ascii="新宋体" w:hAnsi="新宋体" w:eastAsia="新宋体" w:cs="新宋体"/>
      <w:color w:val="000000"/>
      <w:sz w:val="22"/>
      <w:szCs w:val="22"/>
      <w:u w:val="none"/>
    </w:rPr>
  </w:style>
  <w:style w:type="character" w:customStyle="1" w:styleId="95">
    <w:name w:val="style21"/>
    <w:qFormat/>
    <w:uiPriority w:val="0"/>
    <w:rPr>
      <w:sz w:val="15"/>
      <w:szCs w:val="15"/>
    </w:rPr>
  </w:style>
  <w:style w:type="character" w:customStyle="1" w:styleId="96">
    <w:name w:val="BZ_正文 Char"/>
    <w:link w:val="97"/>
    <w:qFormat/>
    <w:uiPriority w:val="0"/>
    <w:rPr>
      <w:rFonts w:ascii="宋体" w:hAnsi="宋体" w:eastAsia="宋体"/>
      <w:kern w:val="2"/>
      <w:sz w:val="24"/>
      <w:szCs w:val="24"/>
    </w:rPr>
  </w:style>
  <w:style w:type="paragraph" w:customStyle="1" w:styleId="97">
    <w:name w:val="BZ_正文"/>
    <w:basedOn w:val="1"/>
    <w:link w:val="96"/>
    <w:qFormat/>
    <w:uiPriority w:val="0"/>
    <w:pPr>
      <w:widowControl/>
      <w:spacing w:line="360" w:lineRule="auto"/>
      <w:ind w:firstLine="480" w:firstLineChars="200"/>
    </w:pPr>
    <w:rPr>
      <w:rFonts w:ascii="宋体" w:hAnsi="宋体"/>
      <w:sz w:val="24"/>
      <w:shd w:val="clear" w:color="auto" w:fill="FFFFFF"/>
    </w:rPr>
  </w:style>
  <w:style w:type="character" w:customStyle="1" w:styleId="98">
    <w:name w:val="Char Char Char"/>
    <w:qFormat/>
    <w:uiPriority w:val="0"/>
    <w:rPr>
      <w:rFonts w:ascii="宋体" w:hAnsi="Courier New" w:eastAsia="宋体"/>
      <w:sz w:val="21"/>
      <w:szCs w:val="21"/>
      <w:lang w:val="en-US" w:eastAsia="zh-CN" w:bidi="ar-SA"/>
    </w:rPr>
  </w:style>
  <w:style w:type="character" w:customStyle="1" w:styleId="99">
    <w:name w:val="font21"/>
    <w:qFormat/>
    <w:uiPriority w:val="0"/>
    <w:rPr>
      <w:rFonts w:hint="eastAsia" w:ascii="宋体" w:hAnsi="宋体" w:eastAsia="宋体" w:cs="宋体"/>
      <w:b/>
      <w:color w:val="000000"/>
      <w:sz w:val="21"/>
      <w:szCs w:val="21"/>
      <w:u w:val="none"/>
    </w:rPr>
  </w:style>
  <w:style w:type="character" w:customStyle="1" w:styleId="100">
    <w:name w:val="font11"/>
    <w:qFormat/>
    <w:uiPriority w:val="0"/>
    <w:rPr>
      <w:rFonts w:hint="default" w:ascii="Times New Roman" w:hAnsi="Times New Roman" w:eastAsia="仿宋_GB2312" w:cs="Times New Roman"/>
      <w:b/>
      <w:color w:val="000000"/>
      <w:sz w:val="21"/>
      <w:szCs w:val="21"/>
      <w:u w:val="none"/>
    </w:rPr>
  </w:style>
  <w:style w:type="character" w:customStyle="1" w:styleId="101">
    <w:name w:val="正文1 Char"/>
    <w:link w:val="102"/>
    <w:qFormat/>
    <w:uiPriority w:val="0"/>
    <w:rPr>
      <w:sz w:val="24"/>
      <w:lang w:val="en-US" w:eastAsia="zh-CN" w:bidi="ar-SA"/>
    </w:rPr>
  </w:style>
  <w:style w:type="paragraph" w:customStyle="1" w:styleId="102">
    <w:name w:val="正文1"/>
    <w:link w:val="101"/>
    <w:qFormat/>
    <w:uiPriority w:val="0"/>
    <w:pPr>
      <w:spacing w:beforeLines="50" w:afterLines="50"/>
      <w:ind w:firstLine="200" w:firstLineChars="200"/>
    </w:pPr>
    <w:rPr>
      <w:rFonts w:ascii="Times New Roman" w:hAnsi="Times New Roman" w:eastAsia="宋体" w:cs="Times New Roman"/>
      <w:sz w:val="24"/>
      <w:lang w:val="en-US" w:eastAsia="zh-CN" w:bidi="ar-SA"/>
    </w:rPr>
  </w:style>
  <w:style w:type="character" w:customStyle="1" w:styleId="103">
    <w:name w:val="正文文本首行缩进 字符"/>
    <w:basedOn w:val="91"/>
    <w:link w:val="61"/>
    <w:qFormat/>
    <w:uiPriority w:val="0"/>
    <w:rPr>
      <w:kern w:val="2"/>
      <w:sz w:val="21"/>
      <w:szCs w:val="24"/>
    </w:rPr>
  </w:style>
  <w:style w:type="character" w:customStyle="1" w:styleId="104">
    <w:name w:val="正文缩进 字符1"/>
    <w:link w:val="16"/>
    <w:qFormat/>
    <w:uiPriority w:val="0"/>
    <w:rPr>
      <w:rFonts w:eastAsia="宋体"/>
      <w:sz w:val="21"/>
      <w:lang w:val="en-US" w:eastAsia="zh-CN" w:bidi="ar-SA"/>
    </w:rPr>
  </w:style>
  <w:style w:type="character" w:customStyle="1" w:styleId="105">
    <w:name w:val="BZ_题注_图 Char"/>
    <w:link w:val="106"/>
    <w:qFormat/>
    <w:uiPriority w:val="0"/>
    <w:rPr>
      <w:rFonts w:eastAsia="黑体"/>
      <w:kern w:val="2"/>
      <w:sz w:val="21"/>
      <w:szCs w:val="21"/>
    </w:rPr>
  </w:style>
  <w:style w:type="paragraph" w:customStyle="1" w:styleId="106">
    <w:name w:val="BZ_题注_图"/>
    <w:basedOn w:val="17"/>
    <w:next w:val="1"/>
    <w:link w:val="105"/>
    <w:qFormat/>
    <w:uiPriority w:val="0"/>
    <w:pPr>
      <w:widowControl/>
      <w:spacing w:beforeLines="50" w:afterLines="50"/>
      <w:jc w:val="center"/>
    </w:pPr>
    <w:rPr>
      <w:rFonts w:ascii="Times New Roman" w:hAnsi="Times New Roman"/>
      <w:sz w:val="21"/>
      <w:szCs w:val="21"/>
    </w:rPr>
  </w:style>
  <w:style w:type="character" w:customStyle="1" w:styleId="107">
    <w:name w:val="文档正文 Char"/>
    <w:link w:val="108"/>
    <w:qFormat/>
    <w:uiPriority w:val="0"/>
    <w:rPr>
      <w:rFonts w:ascii="Tahoma" w:hAnsi="Tahoma" w:eastAsia="仿宋_GB2312"/>
      <w:sz w:val="28"/>
      <w:lang w:val="en-US" w:eastAsia="zh-CN" w:bidi="ar-SA"/>
    </w:rPr>
  </w:style>
  <w:style w:type="paragraph" w:customStyle="1" w:styleId="108">
    <w:name w:val="文档正文"/>
    <w:basedOn w:val="1"/>
    <w:link w:val="107"/>
    <w:qFormat/>
    <w:uiPriority w:val="0"/>
    <w:pPr>
      <w:spacing w:line="360" w:lineRule="auto"/>
      <w:ind w:firstLine="480" w:firstLineChars="200"/>
    </w:pPr>
    <w:rPr>
      <w:rFonts w:ascii="Tahoma" w:hAnsi="Tahoma" w:eastAsia="仿宋_GB2312"/>
      <w:kern w:val="0"/>
      <w:sz w:val="28"/>
      <w:szCs w:val="20"/>
    </w:rPr>
  </w:style>
  <w:style w:type="character" w:customStyle="1" w:styleId="109">
    <w:name w:val="unnamed51"/>
    <w:qFormat/>
    <w:uiPriority w:val="0"/>
    <w:rPr>
      <w:sz w:val="22"/>
      <w:szCs w:val="22"/>
    </w:rPr>
  </w:style>
  <w:style w:type="character" w:customStyle="1" w:styleId="110">
    <w:name w:val="Char Char2"/>
    <w:qFormat/>
    <w:uiPriority w:val="0"/>
    <w:rPr>
      <w:rFonts w:ascii="宋体" w:hAnsi="Courier New" w:eastAsia="宋体"/>
      <w:kern w:val="2"/>
      <w:sz w:val="21"/>
      <w:lang w:val="en-US" w:eastAsia="zh-CN"/>
    </w:rPr>
  </w:style>
  <w:style w:type="character" w:customStyle="1" w:styleId="111">
    <w:name w:val="BZ_三级标题 Char"/>
    <w:link w:val="112"/>
    <w:qFormat/>
    <w:uiPriority w:val="0"/>
    <w:rPr>
      <w:rFonts w:eastAsia="黑体"/>
      <w:b/>
      <w:bCs/>
      <w:kern w:val="2"/>
      <w:sz w:val="28"/>
      <w:szCs w:val="28"/>
    </w:rPr>
  </w:style>
  <w:style w:type="paragraph" w:customStyle="1" w:styleId="112">
    <w:name w:val="BZ_三级标题"/>
    <w:basedOn w:val="6"/>
    <w:next w:val="97"/>
    <w:link w:val="111"/>
    <w:qFormat/>
    <w:uiPriority w:val="0"/>
    <w:pPr>
      <w:spacing w:line="240" w:lineRule="auto"/>
      <w:ind w:left="720" w:hanging="720"/>
    </w:pPr>
    <w:rPr>
      <w:rFonts w:eastAsia="黑体"/>
      <w:sz w:val="28"/>
      <w:szCs w:val="28"/>
    </w:rPr>
  </w:style>
  <w:style w:type="character" w:customStyle="1" w:styleId="113">
    <w:name w:val="哈哈正文 Char"/>
    <w:link w:val="114"/>
    <w:qFormat/>
    <w:uiPriority w:val="0"/>
    <w:rPr>
      <w:rFonts w:ascii="宋体" w:hAnsi="宋体" w:eastAsia="宋体" w:cs="宋体"/>
      <w:kern w:val="2"/>
      <w:sz w:val="24"/>
      <w:lang w:val="en-US" w:eastAsia="zh-CN" w:bidi="ar-SA"/>
    </w:rPr>
  </w:style>
  <w:style w:type="paragraph" w:customStyle="1" w:styleId="114">
    <w:name w:val="哈哈正文"/>
    <w:basedOn w:val="1"/>
    <w:link w:val="113"/>
    <w:qFormat/>
    <w:uiPriority w:val="0"/>
    <w:pPr>
      <w:spacing w:line="360" w:lineRule="auto"/>
      <w:ind w:firstLine="200" w:firstLineChars="200"/>
    </w:pPr>
    <w:rPr>
      <w:rFonts w:ascii="宋体" w:hAnsi="宋体" w:cs="宋体"/>
      <w:sz w:val="24"/>
      <w:szCs w:val="20"/>
    </w:rPr>
  </w:style>
  <w:style w:type="character" w:customStyle="1" w:styleId="115">
    <w:name w:val="批注文字 字符"/>
    <w:link w:val="21"/>
    <w:qFormat/>
    <w:uiPriority w:val="1"/>
    <w:rPr>
      <w:kern w:val="2"/>
      <w:sz w:val="21"/>
      <w:szCs w:val="24"/>
    </w:rPr>
  </w:style>
  <w:style w:type="character" w:customStyle="1" w:styleId="116">
    <w:name w:val="fontstyle01"/>
    <w:qFormat/>
    <w:uiPriority w:val="0"/>
    <w:rPr>
      <w:rFonts w:hint="eastAsia" w:ascii="楷体" w:hAnsi="楷体" w:eastAsia="楷体"/>
      <w:color w:val="000000"/>
      <w:sz w:val="24"/>
      <w:szCs w:val="24"/>
    </w:rPr>
  </w:style>
  <w:style w:type="character" w:customStyle="1" w:styleId="117">
    <w:name w:val="List Paragraph Char"/>
    <w:link w:val="118"/>
    <w:qFormat/>
    <w:uiPriority w:val="0"/>
    <w:rPr>
      <w:rFonts w:ascii="Calibri" w:hAnsi="Calibri" w:eastAsia="宋体"/>
      <w:kern w:val="2"/>
      <w:sz w:val="21"/>
      <w:szCs w:val="22"/>
      <w:lang w:val="en-US" w:eastAsia="zh-CN" w:bidi="ar-SA"/>
    </w:rPr>
  </w:style>
  <w:style w:type="paragraph" w:customStyle="1" w:styleId="118">
    <w:name w:val="列出段落1"/>
    <w:basedOn w:val="1"/>
    <w:link w:val="117"/>
    <w:qFormat/>
    <w:uiPriority w:val="0"/>
    <w:pPr>
      <w:ind w:firstLine="420" w:firstLineChars="200"/>
    </w:pPr>
    <w:rPr>
      <w:rFonts w:ascii="Calibri" w:hAnsi="Calibri"/>
      <w:szCs w:val="22"/>
    </w:rPr>
  </w:style>
  <w:style w:type="paragraph" w:customStyle="1" w:styleId="119">
    <w:name w:val="正文2"/>
    <w:basedOn w:val="1"/>
    <w:qFormat/>
    <w:uiPriority w:val="0"/>
    <w:pPr>
      <w:spacing w:before="156" w:line="360" w:lineRule="auto"/>
      <w:ind w:firstLine="510" w:firstLineChars="200"/>
    </w:pPr>
    <w:rPr>
      <w:sz w:val="24"/>
      <w:szCs w:val="20"/>
    </w:rPr>
  </w:style>
  <w:style w:type="paragraph" w:customStyle="1" w:styleId="120">
    <w:name w:val="Char Char Char Char"/>
    <w:basedOn w:val="19"/>
    <w:qFormat/>
    <w:uiPriority w:val="0"/>
    <w:rPr>
      <w:rFonts w:ascii="Tahoma" w:hAnsi="Tahoma"/>
      <w:sz w:val="24"/>
    </w:rPr>
  </w:style>
  <w:style w:type="paragraph" w:customStyle="1" w:styleId="121">
    <w:name w:val="Char1 Char Char Char"/>
    <w:basedOn w:val="1"/>
    <w:qFormat/>
    <w:uiPriority w:val="0"/>
    <w:rPr>
      <w:rFonts w:ascii="Tahoma" w:hAnsi="Tahoma"/>
      <w:sz w:val="24"/>
      <w:szCs w:val="20"/>
    </w:rPr>
  </w:style>
  <w:style w:type="paragraph" w:customStyle="1" w:styleId="122">
    <w:name w:val="style3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3">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124">
    <w:name w:val="Char Char Char Char Char Char Char Char Char Char Char Char Char1"/>
    <w:basedOn w:val="1"/>
    <w:qFormat/>
    <w:uiPriority w:val="0"/>
    <w:rPr>
      <w:rFonts w:ascii="Tahoma" w:hAnsi="Tahoma"/>
      <w:sz w:val="24"/>
      <w:szCs w:val="20"/>
    </w:rPr>
  </w:style>
  <w:style w:type="paragraph" w:styleId="125">
    <w:name w:val="List Paragraph"/>
    <w:basedOn w:val="1"/>
    <w:qFormat/>
    <w:uiPriority w:val="0"/>
    <w:pPr>
      <w:ind w:firstLine="420" w:firstLineChars="200"/>
    </w:pPr>
  </w:style>
  <w:style w:type="paragraph" w:customStyle="1" w:styleId="126">
    <w:name w:val="BZ_六级标题"/>
    <w:basedOn w:val="9"/>
    <w:next w:val="97"/>
    <w:qFormat/>
    <w:uiPriority w:val="0"/>
    <w:pPr>
      <w:widowControl/>
      <w:tabs>
        <w:tab w:val="left" w:pos="360"/>
      </w:tabs>
      <w:spacing w:beforeLines="50" w:afterLines="50" w:line="240" w:lineRule="auto"/>
    </w:pPr>
    <w:rPr>
      <w:rFonts w:eastAsia="黑体"/>
    </w:rPr>
  </w:style>
  <w:style w:type="paragraph" w:customStyle="1" w:styleId="127">
    <w:name w:val="正文－恩普"/>
    <w:basedOn w:val="16"/>
    <w:qFormat/>
    <w:uiPriority w:val="0"/>
    <w:pPr>
      <w:framePr w:wrap="around" w:vAnchor="text" w:hAnchor="text" w:y="1"/>
      <w:adjustRightInd/>
      <w:spacing w:line="360" w:lineRule="auto"/>
      <w:ind w:firstLine="200" w:firstLineChars="200"/>
      <w:textAlignment w:val="auto"/>
    </w:pPr>
    <w:rPr>
      <w:kern w:val="2"/>
      <w:sz w:val="24"/>
      <w:szCs w:val="24"/>
    </w:rPr>
  </w:style>
  <w:style w:type="paragraph" w:customStyle="1" w:styleId="128">
    <w:name w:val="Char Char Char Char2"/>
    <w:basedOn w:val="19"/>
    <w:qFormat/>
    <w:uiPriority w:val="0"/>
  </w:style>
  <w:style w:type="paragraph" w:customStyle="1" w:styleId="129">
    <w:name w:val="默认段落字体 Para Char"/>
    <w:basedOn w:val="1"/>
    <w:qFormat/>
    <w:uiPriority w:val="0"/>
    <w:pPr>
      <w:tabs>
        <w:tab w:val="left" w:pos="360"/>
      </w:tabs>
      <w:adjustRightInd w:val="0"/>
      <w:textAlignment w:val="baseline"/>
    </w:pPr>
    <w:rPr>
      <w:kern w:val="0"/>
      <w:sz w:val="24"/>
      <w:szCs w:val="20"/>
    </w:rPr>
  </w:style>
  <w:style w:type="paragraph" w:customStyle="1" w:styleId="130">
    <w:name w:val="Char Char Char Char Char Char Char1"/>
    <w:basedOn w:val="1"/>
    <w:qFormat/>
    <w:uiPriority w:val="0"/>
    <w:rPr>
      <w:rFonts w:ascii="仿宋_GB2312" w:eastAsia="仿宋_GB2312"/>
      <w:b/>
      <w:sz w:val="32"/>
      <w:szCs w:val="32"/>
    </w:rPr>
  </w:style>
  <w:style w:type="paragraph" w:customStyle="1" w:styleId="131">
    <w:name w:val="简单回函地址"/>
    <w:basedOn w:val="1"/>
    <w:qFormat/>
    <w:uiPriority w:val="0"/>
  </w:style>
  <w:style w:type="paragraph" w:customStyle="1" w:styleId="132">
    <w:name w:val="Char Char7 Char"/>
    <w:basedOn w:val="1"/>
    <w:qFormat/>
    <w:uiPriority w:val="0"/>
    <w:pPr>
      <w:tabs>
        <w:tab w:val="left" w:pos="425"/>
      </w:tabs>
      <w:ind w:left="420" w:leftChars="200" w:firstLine="270" w:firstLineChars="150"/>
    </w:pPr>
  </w:style>
  <w:style w:type="paragraph" w:customStyle="1" w:styleId="133">
    <w:name w:val="BZ_一级标题"/>
    <w:basedOn w:val="4"/>
    <w:next w:val="97"/>
    <w:link w:val="177"/>
    <w:qFormat/>
    <w:uiPriority w:val="0"/>
    <w:pPr>
      <w:keepLines/>
      <w:widowControl/>
      <w:spacing w:beforeLines="50" w:afterLines="50"/>
      <w:ind w:left="432" w:hanging="432"/>
      <w:jc w:val="both"/>
    </w:pPr>
    <w:rPr>
      <w:rFonts w:ascii="Times New Roman" w:eastAsia="华文中宋"/>
      <w:kern w:val="44"/>
      <w:sz w:val="36"/>
      <w:szCs w:val="36"/>
    </w:rPr>
  </w:style>
  <w:style w:type="paragraph" w:customStyle="1" w:styleId="134">
    <w:name w:val="保留正文"/>
    <w:basedOn w:val="25"/>
    <w:qFormat/>
    <w:uiPriority w:val="0"/>
    <w:pPr>
      <w:keepNext/>
      <w:spacing w:after="160"/>
    </w:pPr>
  </w:style>
  <w:style w:type="paragraph" w:customStyle="1" w:styleId="135">
    <w:name w:val="Char Char Char Char Char Char Char"/>
    <w:basedOn w:val="1"/>
    <w:qFormat/>
    <w:uiPriority w:val="0"/>
    <w:rPr>
      <w:rFonts w:ascii="仿宋_GB2312" w:eastAsia="仿宋_GB2312"/>
      <w:b/>
      <w:sz w:val="32"/>
      <w:szCs w:val="32"/>
    </w:rPr>
  </w:style>
  <w:style w:type="paragraph" w:customStyle="1" w:styleId="136">
    <w:name w:val="xl55"/>
    <w:basedOn w:val="1"/>
    <w:qFormat/>
    <w:uiPriority w:val="0"/>
    <w:pPr>
      <w:widowControl/>
      <w:spacing w:before="100" w:beforeAutospacing="1" w:after="100" w:afterAutospacing="1"/>
      <w:jc w:val="center"/>
      <w:textAlignment w:val="center"/>
    </w:pPr>
    <w:rPr>
      <w:rFonts w:ascii="Arial Unicode MS" w:hAnsi="Arial Unicode MS"/>
      <w:kern w:val="0"/>
      <w:sz w:val="24"/>
      <w:szCs w:val="20"/>
    </w:rPr>
  </w:style>
  <w:style w:type="paragraph" w:customStyle="1" w:styleId="137">
    <w:name w:val="Char Char"/>
    <w:basedOn w:val="1"/>
    <w:qFormat/>
    <w:uiPriority w:val="0"/>
    <w:rPr>
      <w:rFonts w:ascii="仿宋_GB2312" w:eastAsia="仿宋_GB2312"/>
      <w:b/>
      <w:sz w:val="32"/>
      <w:szCs w:val="32"/>
    </w:rPr>
  </w:style>
  <w:style w:type="paragraph" w:customStyle="1" w:styleId="138">
    <w:name w:val="CM106"/>
    <w:basedOn w:val="139"/>
    <w:next w:val="139"/>
    <w:qFormat/>
    <w:uiPriority w:val="0"/>
    <w:rPr>
      <w:rFonts w:ascii="宋体" w:cs="Times New Roman"/>
      <w:color w:val="auto"/>
    </w:rPr>
  </w:style>
  <w:style w:type="paragraph" w:customStyle="1" w:styleId="139">
    <w:name w:val="Default"/>
    <w:qFormat/>
    <w:uiPriority w:val="99"/>
    <w:pPr>
      <w:widowControl w:val="0"/>
      <w:autoSpaceDE w:val="0"/>
      <w:autoSpaceDN w:val="0"/>
      <w:adjustRightInd w:val="0"/>
    </w:pPr>
    <w:rPr>
      <w:rFonts w:ascii="仿宋_GB2312" w:hAnsi="Times New Roman" w:eastAsia="宋体" w:cs="仿宋_GB2312"/>
      <w:color w:val="000000"/>
      <w:sz w:val="24"/>
      <w:szCs w:val="24"/>
      <w:lang w:val="en-US" w:eastAsia="zh-CN" w:bidi="ar-SA"/>
    </w:rPr>
  </w:style>
  <w:style w:type="paragraph" w:customStyle="1" w:styleId="140">
    <w:name w:val="Char Char Char Char1"/>
    <w:basedOn w:val="1"/>
    <w:qFormat/>
    <w:uiPriority w:val="0"/>
    <w:rPr>
      <w:rFonts w:ascii="Tahoma" w:hAnsi="Tahoma"/>
      <w:sz w:val="24"/>
      <w:szCs w:val="20"/>
    </w:rPr>
  </w:style>
  <w:style w:type="paragraph" w:customStyle="1" w:styleId="141">
    <w:name w:val="Char Char Char Char Char Char Char Char Char Char Char Char Char"/>
    <w:basedOn w:val="1"/>
    <w:qFormat/>
    <w:uiPriority w:val="0"/>
    <w:rPr>
      <w:rFonts w:ascii="Tahoma" w:hAnsi="Tahoma"/>
      <w:sz w:val="24"/>
      <w:szCs w:val="20"/>
    </w:rPr>
  </w:style>
  <w:style w:type="paragraph" w:customStyle="1" w:styleId="142">
    <w:name w:val="Char Char1 Char Char Char Char Char Char"/>
    <w:basedOn w:val="1"/>
    <w:qFormat/>
    <w:uiPriority w:val="0"/>
    <w:pPr>
      <w:widowControl/>
      <w:spacing w:after="160" w:line="240" w:lineRule="exact"/>
      <w:jc w:val="left"/>
    </w:pPr>
    <w:rPr>
      <w:rFonts w:ascii="宋体" w:hAnsi="宋体" w:cs="宋体"/>
      <w:kern w:val="0"/>
      <w:szCs w:val="20"/>
    </w:rPr>
  </w:style>
  <w:style w:type="paragraph" w:customStyle="1" w:styleId="143">
    <w:name w:val="BZ_五级标题"/>
    <w:basedOn w:val="8"/>
    <w:next w:val="97"/>
    <w:qFormat/>
    <w:uiPriority w:val="0"/>
    <w:pPr>
      <w:widowControl/>
      <w:spacing w:beforeLines="50" w:afterLines="50" w:line="240" w:lineRule="auto"/>
    </w:pPr>
    <w:rPr>
      <w:rFonts w:eastAsia="黑体"/>
      <w:b w:val="0"/>
      <w:sz w:val="24"/>
      <w:szCs w:val="24"/>
    </w:rPr>
  </w:style>
  <w:style w:type="paragraph" w:customStyle="1" w:styleId="144">
    <w:name w:val="Char Char Char Char Char Char Char Char Char Char Char Char Char2"/>
    <w:basedOn w:val="1"/>
    <w:qFormat/>
    <w:uiPriority w:val="0"/>
    <w:rPr>
      <w:rFonts w:ascii="Tahoma" w:hAnsi="Tahoma"/>
      <w:sz w:val="24"/>
      <w:szCs w:val="20"/>
    </w:rPr>
  </w:style>
  <w:style w:type="paragraph" w:customStyle="1" w:styleId="145">
    <w:name w:val="Char Char Char Char Char Char Char2"/>
    <w:basedOn w:val="1"/>
    <w:qFormat/>
    <w:uiPriority w:val="0"/>
    <w:rPr>
      <w:rFonts w:ascii="仿宋_GB2312" w:eastAsia="仿宋_GB2312"/>
      <w:b/>
      <w:sz w:val="32"/>
      <w:szCs w:val="32"/>
    </w:rPr>
  </w:style>
  <w:style w:type="paragraph" w:customStyle="1" w:styleId="146">
    <w:name w:val="1"/>
    <w:basedOn w:val="16"/>
    <w:qFormat/>
    <w:uiPriority w:val="99"/>
    <w:pPr>
      <w:framePr w:wrap="around" w:vAnchor="text" w:hAnchor="text" w:y="1"/>
      <w:adjustRightInd/>
      <w:spacing w:line="360" w:lineRule="auto"/>
      <w:ind w:firstLine="200" w:firstLineChars="200"/>
      <w:textAlignment w:val="auto"/>
    </w:pPr>
    <w:rPr>
      <w:kern w:val="2"/>
      <w:sz w:val="24"/>
      <w:szCs w:val="24"/>
    </w:rPr>
  </w:style>
  <w:style w:type="paragraph" w:customStyle="1" w:styleId="147">
    <w:name w:val="样式 Arial 小四 首行缩进:  0.85 厘米"/>
    <w:basedOn w:val="1"/>
    <w:qFormat/>
    <w:uiPriority w:val="0"/>
    <w:pPr>
      <w:spacing w:line="360" w:lineRule="auto"/>
      <w:ind w:firstLine="482"/>
    </w:pPr>
    <w:rPr>
      <w:rFonts w:ascii="Arial" w:hAnsi="Arial" w:cs="宋体"/>
      <w:sz w:val="24"/>
      <w:szCs w:val="20"/>
    </w:rPr>
  </w:style>
  <w:style w:type="paragraph" w:customStyle="1" w:styleId="148">
    <w:name w:val="修订1"/>
    <w:qFormat/>
    <w:uiPriority w:val="99"/>
    <w:rPr>
      <w:rFonts w:ascii="Times New Roman" w:hAnsi="Times New Roman" w:eastAsia="宋体" w:cs="Times New Roman"/>
      <w:kern w:val="2"/>
      <w:sz w:val="21"/>
      <w:szCs w:val="24"/>
      <w:lang w:val="en-US" w:eastAsia="zh-CN" w:bidi="ar-SA"/>
    </w:rPr>
  </w:style>
  <w:style w:type="paragraph" w:customStyle="1" w:styleId="149">
    <w:name w:val="1.1.1"/>
    <w:basedOn w:val="1"/>
    <w:qFormat/>
    <w:uiPriority w:val="0"/>
    <w:pPr>
      <w:tabs>
        <w:tab w:val="left" w:pos="0"/>
        <w:tab w:val="left" w:pos="1134"/>
        <w:tab w:val="left" w:pos="8505"/>
      </w:tabs>
      <w:autoSpaceDE w:val="0"/>
      <w:autoSpaceDN w:val="0"/>
      <w:adjustRightInd w:val="0"/>
      <w:spacing w:before="240" w:after="60" w:line="360" w:lineRule="atLeast"/>
    </w:pPr>
    <w:rPr>
      <w:rFonts w:ascii="宋体"/>
      <w:b/>
      <w:kern w:val="0"/>
      <w:sz w:val="24"/>
      <w:szCs w:val="20"/>
    </w:rPr>
  </w:style>
  <w:style w:type="paragraph" w:customStyle="1" w:styleId="150">
    <w:name w:val="BZ_二级标题"/>
    <w:basedOn w:val="5"/>
    <w:next w:val="135"/>
    <w:qFormat/>
    <w:uiPriority w:val="0"/>
    <w:pPr>
      <w:widowControl/>
      <w:spacing w:beforeLines="50" w:afterLines="50" w:line="240" w:lineRule="auto"/>
      <w:ind w:left="576" w:hanging="576"/>
    </w:pPr>
    <w:rPr>
      <w:rFonts w:ascii="Times New Roman" w:hAnsi="Times New Roman" w:eastAsia="楷体"/>
    </w:rPr>
  </w:style>
  <w:style w:type="paragraph" w:customStyle="1" w:styleId="151">
    <w:name w:val="Char1 Char Char Char1"/>
    <w:basedOn w:val="1"/>
    <w:qFormat/>
    <w:uiPriority w:val="0"/>
    <w:rPr>
      <w:rFonts w:ascii="仿宋_GB2312" w:eastAsia="仿宋_GB2312"/>
      <w:b/>
      <w:sz w:val="32"/>
      <w:szCs w:val="32"/>
    </w:rPr>
  </w:style>
  <w:style w:type="character" w:customStyle="1" w:styleId="152">
    <w:name w:val="纯文本 Char1"/>
    <w:qFormat/>
    <w:uiPriority w:val="0"/>
    <w:rPr>
      <w:rFonts w:ascii="宋体" w:hAnsi="Courier New"/>
      <w:kern w:val="2"/>
      <w:sz w:val="21"/>
      <w:szCs w:val="24"/>
    </w:rPr>
  </w:style>
  <w:style w:type="paragraph" w:customStyle="1" w:styleId="153">
    <w:name w:val="样式6"/>
    <w:basedOn w:val="1"/>
    <w:qFormat/>
    <w:uiPriority w:val="0"/>
    <w:pPr>
      <w:spacing w:line="360" w:lineRule="auto"/>
      <w:ind w:firstLine="200" w:firstLineChars="200"/>
      <w:jc w:val="left"/>
    </w:pPr>
    <w:rPr>
      <w:sz w:val="24"/>
    </w:rPr>
  </w:style>
  <w:style w:type="paragraph" w:customStyle="1" w:styleId="154">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character" w:customStyle="1" w:styleId="155">
    <w:name w:val="正文首行缩进2字符 Char"/>
    <w:link w:val="156"/>
    <w:qFormat/>
    <w:uiPriority w:val="0"/>
    <w:rPr>
      <w:rFonts w:eastAsia="仿宋"/>
      <w:sz w:val="28"/>
    </w:rPr>
  </w:style>
  <w:style w:type="paragraph" w:customStyle="1" w:styleId="156">
    <w:name w:val="正文首行缩进2字符"/>
    <w:basedOn w:val="1"/>
    <w:link w:val="155"/>
    <w:qFormat/>
    <w:locked/>
    <w:uiPriority w:val="0"/>
    <w:pPr>
      <w:spacing w:line="360" w:lineRule="auto"/>
      <w:ind w:firstLine="200" w:firstLineChars="200"/>
    </w:pPr>
    <w:rPr>
      <w:rFonts w:eastAsia="仿宋"/>
      <w:kern w:val="0"/>
      <w:sz w:val="28"/>
      <w:szCs w:val="20"/>
    </w:rPr>
  </w:style>
  <w:style w:type="character" w:customStyle="1" w:styleId="157">
    <w:name w:val="generalinfo-address-text"/>
    <w:basedOn w:val="70"/>
    <w:qFormat/>
    <w:uiPriority w:val="0"/>
  </w:style>
  <w:style w:type="character" w:customStyle="1" w:styleId="158">
    <w:name w:val="标题 字符"/>
    <w:link w:val="59"/>
    <w:qFormat/>
    <w:uiPriority w:val="0"/>
    <w:rPr>
      <w:rFonts w:ascii="Verdana" w:hAnsi="Verdana" w:eastAsia="仿宋_GB2312"/>
      <w:b/>
      <w:bCs/>
      <w:sz w:val="32"/>
      <w:szCs w:val="32"/>
    </w:rPr>
  </w:style>
  <w:style w:type="paragraph" w:customStyle="1" w:styleId="159">
    <w:name w:val="方案正文"/>
    <w:basedOn w:val="1"/>
    <w:link w:val="160"/>
    <w:qFormat/>
    <w:uiPriority w:val="0"/>
    <w:pPr>
      <w:spacing w:line="360" w:lineRule="auto"/>
      <w:ind w:firstLine="200" w:firstLineChars="200"/>
    </w:pPr>
    <w:rPr>
      <w:rFonts w:ascii="Century Gothic" w:hAnsi="Century Gothic"/>
      <w:szCs w:val="28"/>
    </w:rPr>
  </w:style>
  <w:style w:type="character" w:customStyle="1" w:styleId="160">
    <w:name w:val="方案正文 字符"/>
    <w:link w:val="159"/>
    <w:qFormat/>
    <w:uiPriority w:val="0"/>
    <w:rPr>
      <w:rFonts w:ascii="Century Gothic" w:hAnsi="Century Gothic" w:cs="Times New Roman"/>
      <w:kern w:val="2"/>
      <w:sz w:val="21"/>
      <w:szCs w:val="28"/>
    </w:rPr>
  </w:style>
  <w:style w:type="paragraph" w:customStyle="1" w:styleId="161">
    <w:name w:val="正文缩进1"/>
    <w:basedOn w:val="1"/>
    <w:qFormat/>
    <w:uiPriority w:val="0"/>
    <w:pPr>
      <w:spacing w:line="360" w:lineRule="auto"/>
      <w:ind w:firstLine="454"/>
      <w:jc w:val="left"/>
    </w:pPr>
    <w:rPr>
      <w:sz w:val="24"/>
    </w:rPr>
  </w:style>
  <w:style w:type="character" w:customStyle="1" w:styleId="162">
    <w:name w:val="ant-form-item-children"/>
    <w:basedOn w:val="70"/>
    <w:qFormat/>
    <w:uiPriority w:val="0"/>
  </w:style>
  <w:style w:type="paragraph" w:customStyle="1" w:styleId="163">
    <w:name w:val="BZ_四级标题"/>
    <w:basedOn w:val="7"/>
    <w:next w:val="1"/>
    <w:link w:val="311"/>
    <w:qFormat/>
    <w:uiPriority w:val="0"/>
    <w:pPr>
      <w:widowControl/>
      <w:spacing w:beforeLines="50" w:afterLines="50" w:line="240" w:lineRule="auto"/>
      <w:ind w:left="864" w:hanging="864"/>
    </w:pPr>
    <w:rPr>
      <w:rFonts w:ascii="Times New Roman" w:hAnsi="Times New Roman" w:eastAsia="黑体"/>
      <w:b w:val="0"/>
      <w:sz w:val="24"/>
    </w:rPr>
  </w:style>
  <w:style w:type="paragraph" w:customStyle="1" w:styleId="164">
    <w:name w:val="_Style 10"/>
    <w:basedOn w:val="1"/>
    <w:qFormat/>
    <w:uiPriority w:val="0"/>
    <w:pPr>
      <w:spacing w:beforeLines="50" w:afterLines="50"/>
    </w:pPr>
    <w:rPr>
      <w:rFonts w:ascii="Calibri" w:hAnsi="Calibri"/>
      <w:szCs w:val="20"/>
    </w:rPr>
  </w:style>
  <w:style w:type="paragraph" w:customStyle="1" w:styleId="165">
    <w:name w:val="样式"/>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customStyle="1" w:styleId="166">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7">
    <w:name w:val="普通(网站) 字符"/>
    <w:link w:val="57"/>
    <w:qFormat/>
    <w:uiPriority w:val="0"/>
    <w:rPr>
      <w:rFonts w:ascii="宋体" w:hAnsi="宋体" w:cs="宋体"/>
      <w:sz w:val="24"/>
      <w:szCs w:val="24"/>
    </w:rPr>
  </w:style>
  <w:style w:type="character" w:customStyle="1" w:styleId="168">
    <w:name w:val="标题 7 字符1"/>
    <w:basedOn w:val="70"/>
    <w:link w:val="10"/>
    <w:qFormat/>
    <w:uiPriority w:val="9"/>
    <w:rPr>
      <w:rFonts w:eastAsia="等线"/>
      <w:b/>
      <w:kern w:val="2"/>
      <w:sz w:val="24"/>
      <w:szCs w:val="24"/>
    </w:rPr>
  </w:style>
  <w:style w:type="character" w:customStyle="1" w:styleId="169">
    <w:name w:val="标题 8 字符1"/>
    <w:basedOn w:val="70"/>
    <w:link w:val="11"/>
    <w:qFormat/>
    <w:uiPriority w:val="9"/>
    <w:rPr>
      <w:rFonts w:ascii="Arial" w:hAnsi="Arial" w:eastAsia="黑体"/>
      <w:kern w:val="2"/>
      <w:sz w:val="24"/>
      <w:szCs w:val="24"/>
    </w:rPr>
  </w:style>
  <w:style w:type="character" w:customStyle="1" w:styleId="170">
    <w:name w:val="标题 9 字符1"/>
    <w:basedOn w:val="70"/>
    <w:link w:val="12"/>
    <w:qFormat/>
    <w:uiPriority w:val="9"/>
    <w:rPr>
      <w:rFonts w:ascii="Arial" w:hAnsi="Arial" w:eastAsia="黑体"/>
      <w:kern w:val="2"/>
      <w:sz w:val="24"/>
      <w:szCs w:val="24"/>
    </w:rPr>
  </w:style>
  <w:style w:type="character" w:customStyle="1" w:styleId="171">
    <w:name w:val="批注主题 字符"/>
    <w:link w:val="60"/>
    <w:qFormat/>
    <w:uiPriority w:val="1"/>
    <w:rPr>
      <w:b/>
      <w:bCs/>
      <w:kern w:val="2"/>
      <w:sz w:val="21"/>
      <w:szCs w:val="24"/>
    </w:rPr>
  </w:style>
  <w:style w:type="character" w:customStyle="1" w:styleId="172">
    <w:name w:val="Char Char112"/>
    <w:qFormat/>
    <w:uiPriority w:val="0"/>
    <w:rPr>
      <w:rFonts w:eastAsia="仿宋_GB2312"/>
      <w:kern w:val="2"/>
      <w:sz w:val="21"/>
      <w:szCs w:val="24"/>
      <w:lang w:val="en-US" w:eastAsia="zh-CN" w:bidi="ar-SA"/>
    </w:rPr>
  </w:style>
  <w:style w:type="character" w:customStyle="1" w:styleId="173">
    <w:name w:val="No Spacing Char"/>
    <w:link w:val="174"/>
    <w:qFormat/>
    <w:locked/>
    <w:uiPriority w:val="0"/>
    <w:rPr>
      <w:rFonts w:ascii="Calibri" w:hAnsi="Calibri" w:eastAsia="仿宋_GB2312"/>
      <w:sz w:val="28"/>
      <w:szCs w:val="22"/>
    </w:rPr>
  </w:style>
  <w:style w:type="paragraph" w:customStyle="1" w:styleId="174">
    <w:name w:val="无间隔1"/>
    <w:link w:val="173"/>
    <w:qFormat/>
    <w:uiPriority w:val="0"/>
    <w:pPr>
      <w:widowControl w:val="0"/>
      <w:ind w:firstLine="200" w:firstLineChars="200"/>
      <w:jc w:val="both"/>
    </w:pPr>
    <w:rPr>
      <w:rFonts w:ascii="Calibri" w:hAnsi="Calibri" w:eastAsia="仿宋_GB2312" w:cs="Times New Roman"/>
      <w:sz w:val="28"/>
      <w:szCs w:val="22"/>
      <w:lang w:val="en-US" w:eastAsia="zh-CN" w:bidi="ar-SA"/>
    </w:rPr>
  </w:style>
  <w:style w:type="character" w:customStyle="1" w:styleId="175">
    <w:name w:val="Char Char14"/>
    <w:qFormat/>
    <w:uiPriority w:val="0"/>
    <w:rPr>
      <w:rFonts w:eastAsia="仿宋_GB2312"/>
      <w:kern w:val="2"/>
      <w:sz w:val="21"/>
      <w:szCs w:val="24"/>
      <w:lang w:val="en-US" w:eastAsia="zh-CN" w:bidi="ar-SA"/>
    </w:rPr>
  </w:style>
  <w:style w:type="character" w:customStyle="1" w:styleId="176">
    <w:name w:val="明显强调1"/>
    <w:qFormat/>
    <w:uiPriority w:val="0"/>
    <w:rPr>
      <w:rFonts w:eastAsia="宋体"/>
      <w:b/>
      <w:bCs/>
      <w:iCs/>
      <w:color w:val="auto"/>
      <w:sz w:val="24"/>
    </w:rPr>
  </w:style>
  <w:style w:type="character" w:customStyle="1" w:styleId="177">
    <w:name w:val="BZ_一级标题 Char"/>
    <w:link w:val="133"/>
    <w:qFormat/>
    <w:uiPriority w:val="0"/>
    <w:rPr>
      <w:rFonts w:eastAsia="华文中宋"/>
      <w:b/>
      <w:bCs/>
      <w:kern w:val="44"/>
      <w:sz w:val="36"/>
      <w:szCs w:val="36"/>
    </w:rPr>
  </w:style>
  <w:style w:type="character" w:customStyle="1" w:styleId="178">
    <w:name w:val="样式 宋体 小四 行距: 1.5 倍行距 Char"/>
    <w:link w:val="179"/>
    <w:qFormat/>
    <w:uiPriority w:val="0"/>
    <w:rPr>
      <w:rFonts w:ascii="宋体" w:hAnsi="宋体" w:cs="宋体"/>
      <w:kern w:val="2"/>
      <w:sz w:val="24"/>
    </w:rPr>
  </w:style>
  <w:style w:type="paragraph" w:customStyle="1" w:styleId="179">
    <w:name w:val="样式 宋体 小四 行距: 1.5 倍行距"/>
    <w:basedOn w:val="1"/>
    <w:link w:val="178"/>
    <w:qFormat/>
    <w:uiPriority w:val="0"/>
    <w:pPr>
      <w:spacing w:line="360" w:lineRule="auto"/>
      <w:ind w:firstLine="540" w:firstLineChars="225"/>
    </w:pPr>
    <w:rPr>
      <w:rFonts w:ascii="宋体" w:hAnsi="宋体" w:cs="宋体"/>
      <w:sz w:val="24"/>
      <w:szCs w:val="20"/>
    </w:rPr>
  </w:style>
  <w:style w:type="character" w:customStyle="1" w:styleId="180">
    <w:name w:val="正文1 Char Char"/>
    <w:qFormat/>
    <w:uiPriority w:val="0"/>
    <w:rPr>
      <w:rFonts w:ascii="仿宋_GB2312" w:hAnsi="仿宋_GB2312" w:eastAsia="仿宋_GB2312" w:cs="仿宋_GB2312"/>
      <w:sz w:val="21"/>
      <w:lang w:val="en-US" w:eastAsia="zh-CN" w:bidi="ar-SA"/>
    </w:rPr>
  </w:style>
  <w:style w:type="character" w:customStyle="1" w:styleId="181">
    <w:name w:val="编号正文缩进 Char Char"/>
    <w:link w:val="182"/>
    <w:qFormat/>
    <w:uiPriority w:val="0"/>
    <w:rPr>
      <w:kern w:val="2"/>
      <w:sz w:val="24"/>
      <w:szCs w:val="24"/>
    </w:rPr>
  </w:style>
  <w:style w:type="paragraph" w:customStyle="1" w:styleId="182">
    <w:name w:val="编号正文缩进"/>
    <w:basedOn w:val="16"/>
    <w:link w:val="181"/>
    <w:qFormat/>
    <w:uiPriority w:val="0"/>
    <w:pPr>
      <w:tabs>
        <w:tab w:val="left" w:pos="1497"/>
      </w:tabs>
      <w:spacing w:line="400" w:lineRule="atLeast"/>
      <w:ind w:left="567" w:firstLine="510"/>
    </w:pPr>
    <w:rPr>
      <w:kern w:val="2"/>
      <w:sz w:val="24"/>
      <w:szCs w:val="24"/>
    </w:rPr>
  </w:style>
  <w:style w:type="character" w:customStyle="1" w:styleId="183">
    <w:name w:val="Char Char18"/>
    <w:qFormat/>
    <w:uiPriority w:val="0"/>
    <w:rPr>
      <w:b/>
      <w:bCs/>
      <w:kern w:val="2"/>
      <w:sz w:val="32"/>
      <w:szCs w:val="32"/>
    </w:rPr>
  </w:style>
  <w:style w:type="character" w:customStyle="1" w:styleId="184">
    <w:name w:val="样式1 Char"/>
    <w:link w:val="185"/>
    <w:qFormat/>
    <w:uiPriority w:val="0"/>
    <w:rPr>
      <w:rFonts w:ascii="楷体_GB2312" w:hAnsi="Calibri" w:eastAsia="楷体_GB2312"/>
      <w:kern w:val="2"/>
      <w:sz w:val="24"/>
      <w:szCs w:val="24"/>
    </w:rPr>
  </w:style>
  <w:style w:type="paragraph" w:customStyle="1" w:styleId="185">
    <w:name w:val="样式1"/>
    <w:basedOn w:val="186"/>
    <w:link w:val="184"/>
    <w:qFormat/>
    <w:uiPriority w:val="0"/>
    <w:pPr>
      <w:spacing w:line="360" w:lineRule="auto"/>
      <w:ind w:firstLine="480"/>
    </w:pPr>
    <w:rPr>
      <w:rFonts w:ascii="楷体_GB2312" w:eastAsia="楷体_GB2312" w:cs="Times New Roman"/>
      <w:sz w:val="24"/>
      <w:szCs w:val="24"/>
    </w:rPr>
  </w:style>
  <w:style w:type="paragraph" w:customStyle="1" w:styleId="186">
    <w:name w:val="列出段落11"/>
    <w:basedOn w:val="1"/>
    <w:qFormat/>
    <w:uiPriority w:val="34"/>
    <w:pPr>
      <w:ind w:firstLine="420" w:firstLineChars="200"/>
    </w:pPr>
    <w:rPr>
      <w:rFonts w:ascii="Calibri" w:hAnsi="Calibri" w:eastAsia="等线" w:cs="黑体"/>
      <w:szCs w:val="22"/>
    </w:rPr>
  </w:style>
  <w:style w:type="character" w:customStyle="1" w:styleId="187">
    <w:name w:val="Style3"/>
    <w:qFormat/>
    <w:uiPriority w:val="0"/>
    <w:rPr>
      <w:rFonts w:ascii="Century Gothic" w:hAnsi="仿宋_GB2312" w:eastAsia="仿宋_GB2312" w:cs="新宋体"/>
      <w:szCs w:val="22"/>
      <w:lang w:eastAsia="zh-CN"/>
    </w:rPr>
  </w:style>
  <w:style w:type="character" w:customStyle="1" w:styleId="188">
    <w:name w:val="副标题 Char1"/>
    <w:qFormat/>
    <w:uiPriority w:val="11"/>
    <w:rPr>
      <w:rFonts w:ascii="Cambria" w:hAnsi="Cambria" w:cs="Times New Roman"/>
      <w:b/>
      <w:bCs/>
      <w:kern w:val="28"/>
      <w:sz w:val="32"/>
      <w:szCs w:val="32"/>
    </w:rPr>
  </w:style>
  <w:style w:type="character" w:customStyle="1" w:styleId="189">
    <w:name w:val="Style4"/>
    <w:qFormat/>
    <w:uiPriority w:val="0"/>
    <w:rPr>
      <w:rFonts w:ascii="Century Gothic" w:hAnsi="仿宋_GB2312" w:eastAsia="仿宋_GB2312" w:cs="新宋体"/>
      <w:szCs w:val="22"/>
      <w:lang w:eastAsia="zh-CN"/>
    </w:rPr>
  </w:style>
  <w:style w:type="character" w:customStyle="1" w:styleId="190">
    <w:name w:val="页眉注释 Char Char"/>
    <w:link w:val="191"/>
    <w:qFormat/>
    <w:uiPriority w:val="0"/>
    <w:rPr>
      <w:rFonts w:ascii="华文细黑" w:hAnsi="华文细黑" w:eastAsia="华文细黑"/>
      <w:b/>
      <w:color w:val="FFFFFF"/>
      <w:kern w:val="2"/>
      <w:sz w:val="18"/>
      <w:szCs w:val="18"/>
    </w:rPr>
  </w:style>
  <w:style w:type="paragraph" w:customStyle="1" w:styleId="191">
    <w:name w:val="页眉注释"/>
    <w:basedOn w:val="1"/>
    <w:link w:val="190"/>
    <w:qFormat/>
    <w:uiPriority w:val="0"/>
    <w:pPr>
      <w:spacing w:line="0" w:lineRule="atLeast"/>
      <w:jc w:val="center"/>
    </w:pPr>
    <w:rPr>
      <w:rFonts w:ascii="华文细黑" w:hAnsi="华文细黑" w:eastAsia="华文细黑"/>
      <w:b/>
      <w:color w:val="FFFFFF"/>
      <w:sz w:val="18"/>
      <w:szCs w:val="18"/>
    </w:rPr>
  </w:style>
  <w:style w:type="character" w:customStyle="1" w:styleId="192">
    <w:name w:val="heading 2 Char1"/>
    <w:qFormat/>
    <w:uiPriority w:val="0"/>
    <w:rPr>
      <w:rFonts w:ascii="Verdana" w:hAnsi="Verdana" w:eastAsia="仿宋_GB2312"/>
      <w:b/>
      <w:bCs/>
      <w:kern w:val="2"/>
      <w:sz w:val="32"/>
      <w:szCs w:val="32"/>
      <w:lang w:val="en-US" w:eastAsia="zh-CN" w:bidi="ar-SA"/>
    </w:rPr>
  </w:style>
  <w:style w:type="character" w:customStyle="1" w:styleId="193">
    <w:name w:val="heading 4 Char"/>
    <w:qFormat/>
    <w:uiPriority w:val="0"/>
    <w:rPr>
      <w:rFonts w:ascii="Tahoma" w:hAnsi="Tahoma" w:eastAsia="Helvetica" w:cs="新宋体"/>
      <w:sz w:val="21"/>
      <w:szCs w:val="21"/>
    </w:rPr>
  </w:style>
  <w:style w:type="character" w:customStyle="1" w:styleId="194">
    <w:name w:val="Char Char16"/>
    <w:qFormat/>
    <w:uiPriority w:val="0"/>
    <w:rPr>
      <w:b/>
      <w:bCs/>
      <w:kern w:val="2"/>
      <w:sz w:val="28"/>
      <w:szCs w:val="28"/>
    </w:rPr>
  </w:style>
  <w:style w:type="character" w:customStyle="1" w:styleId="195">
    <w:name w:val="Char Char23"/>
    <w:qFormat/>
    <w:uiPriority w:val="0"/>
    <w:rPr>
      <w:rFonts w:eastAsia="仿宋_GB2312"/>
      <w:b/>
      <w:bCs/>
      <w:kern w:val="2"/>
      <w:sz w:val="32"/>
      <w:szCs w:val="32"/>
      <w:lang w:val="en-US" w:eastAsia="zh-CN" w:bidi="ar-SA"/>
    </w:rPr>
  </w:style>
  <w:style w:type="character" w:customStyle="1" w:styleId="196">
    <w:name w:val="apple-converted-space"/>
    <w:qFormat/>
    <w:uiPriority w:val="0"/>
  </w:style>
  <w:style w:type="character" w:customStyle="1" w:styleId="197">
    <w:name w:val="Char Char25"/>
    <w:qFormat/>
    <w:uiPriority w:val="0"/>
    <w:rPr>
      <w:rFonts w:ascii="Arial Unicode MS" w:eastAsia="Arial Unicode MS"/>
      <w:b/>
      <w:bCs/>
      <w:kern w:val="2"/>
      <w:sz w:val="21"/>
      <w:szCs w:val="24"/>
      <w:lang w:val="en-US" w:eastAsia="zh-CN" w:bidi="ar-SA"/>
    </w:rPr>
  </w:style>
  <w:style w:type="character" w:customStyle="1" w:styleId="198">
    <w:name w:val="heading 3 Char1"/>
    <w:qFormat/>
    <w:uiPriority w:val="0"/>
    <w:rPr>
      <w:rFonts w:eastAsia="仿宋_GB2312"/>
      <w:b/>
      <w:bCs/>
      <w:kern w:val="2"/>
      <w:sz w:val="32"/>
      <w:szCs w:val="32"/>
      <w:lang w:val="en-US" w:eastAsia="zh-CN" w:bidi="ar-SA"/>
    </w:rPr>
  </w:style>
  <w:style w:type="character" w:customStyle="1" w:styleId="199">
    <w:name w:val="不明显强调1"/>
    <w:qFormat/>
    <w:uiPriority w:val="0"/>
    <w:rPr>
      <w:i/>
      <w:iCs/>
      <w:color w:val="808080"/>
    </w:rPr>
  </w:style>
  <w:style w:type="character" w:customStyle="1" w:styleId="200">
    <w:name w:val="pt141"/>
    <w:qFormat/>
    <w:uiPriority w:val="0"/>
    <w:rPr>
      <w:color w:val="330066"/>
      <w:spacing w:val="450"/>
      <w:sz w:val="22"/>
      <w:szCs w:val="22"/>
    </w:rPr>
  </w:style>
  <w:style w:type="character" w:customStyle="1" w:styleId="201">
    <w:name w:val="无间隔 字符"/>
    <w:link w:val="202"/>
    <w:qFormat/>
    <w:uiPriority w:val="1"/>
    <w:rPr>
      <w:rFonts w:ascii="Century Gothic" w:hAnsi="Century Gothic" w:eastAsia="Times New Roman"/>
      <w:sz w:val="22"/>
      <w:szCs w:val="22"/>
    </w:rPr>
  </w:style>
  <w:style w:type="paragraph" w:styleId="202">
    <w:name w:val="No Spacing"/>
    <w:link w:val="201"/>
    <w:qFormat/>
    <w:uiPriority w:val="1"/>
    <w:rPr>
      <w:rFonts w:ascii="Century Gothic" w:hAnsi="Century Gothic" w:eastAsia="Times New Roman" w:cs="Times New Roman"/>
      <w:sz w:val="22"/>
      <w:szCs w:val="22"/>
      <w:lang w:val="en-US" w:eastAsia="zh-CN" w:bidi="ar-SA"/>
    </w:rPr>
  </w:style>
  <w:style w:type="character" w:customStyle="1" w:styleId="203">
    <w:name w:val="明显参考1"/>
    <w:qFormat/>
    <w:uiPriority w:val="0"/>
    <w:rPr>
      <w:b/>
      <w:bCs/>
      <w:smallCaps/>
      <w:color w:val="C0504D"/>
      <w:spacing w:val="5"/>
      <w:u w:val="single"/>
    </w:rPr>
  </w:style>
  <w:style w:type="character" w:customStyle="1" w:styleId="204">
    <w:name w:val="正文文本缩进 3 字符1"/>
    <w:link w:val="51"/>
    <w:qFormat/>
    <w:uiPriority w:val="0"/>
    <w:rPr>
      <w:kern w:val="2"/>
      <w:sz w:val="24"/>
      <w:szCs w:val="24"/>
    </w:rPr>
  </w:style>
  <w:style w:type="character" w:customStyle="1" w:styleId="205">
    <w:name w:val="样式2 Char"/>
    <w:link w:val="206"/>
    <w:qFormat/>
    <w:uiPriority w:val="0"/>
    <w:rPr>
      <w:rFonts w:ascii="仿宋_GB2312" w:hAnsi="仿宋_GB2312" w:eastAsia="仿宋_GB2312"/>
      <w:bCs/>
      <w:kern w:val="2"/>
      <w:sz w:val="28"/>
      <w:szCs w:val="28"/>
    </w:rPr>
  </w:style>
  <w:style w:type="paragraph" w:customStyle="1" w:styleId="206">
    <w:name w:val="样式2"/>
    <w:basedOn w:val="5"/>
    <w:link w:val="205"/>
    <w:qFormat/>
    <w:uiPriority w:val="0"/>
    <w:pPr>
      <w:snapToGrid w:val="0"/>
      <w:spacing w:afterLines="50" w:line="480" w:lineRule="exact"/>
      <w:ind w:firstLine="556"/>
    </w:pPr>
    <w:rPr>
      <w:rFonts w:ascii="仿宋_GB2312" w:hAnsi="仿宋_GB2312" w:eastAsia="仿宋_GB2312"/>
      <w:b w:val="0"/>
      <w:sz w:val="28"/>
      <w:szCs w:val="28"/>
    </w:rPr>
  </w:style>
  <w:style w:type="character" w:customStyle="1" w:styleId="207">
    <w:name w:val="文档结构图 字符1"/>
    <w:link w:val="19"/>
    <w:qFormat/>
    <w:uiPriority w:val="0"/>
    <w:rPr>
      <w:kern w:val="2"/>
      <w:sz w:val="21"/>
      <w:szCs w:val="24"/>
      <w:shd w:val="clear" w:color="auto" w:fill="000080"/>
    </w:rPr>
  </w:style>
  <w:style w:type="character" w:customStyle="1" w:styleId="208">
    <w:name w:val="1233 Char"/>
    <w:link w:val="209"/>
    <w:qFormat/>
    <w:uiPriority w:val="0"/>
    <w:rPr>
      <w:rFonts w:ascii="仿宋" w:hAnsi="仿宋" w:eastAsia="仿宋"/>
      <w:b/>
      <w:bCs/>
      <w:kern w:val="44"/>
      <w:sz w:val="24"/>
      <w:szCs w:val="24"/>
    </w:rPr>
  </w:style>
  <w:style w:type="paragraph" w:customStyle="1" w:styleId="209">
    <w:name w:val="1233"/>
    <w:basedOn w:val="4"/>
    <w:link w:val="208"/>
    <w:qFormat/>
    <w:uiPriority w:val="0"/>
    <w:pPr>
      <w:keepLines/>
      <w:spacing w:line="360" w:lineRule="auto"/>
      <w:ind w:firstLine="200" w:firstLineChars="200"/>
      <w:jc w:val="both"/>
    </w:pPr>
    <w:rPr>
      <w:rFonts w:ascii="仿宋" w:hAnsi="仿宋" w:eastAsia="仿宋"/>
      <w:kern w:val="44"/>
      <w:sz w:val="24"/>
    </w:rPr>
  </w:style>
  <w:style w:type="character" w:customStyle="1" w:styleId="210">
    <w:name w:val="heading 2 Char"/>
    <w:qFormat/>
    <w:uiPriority w:val="0"/>
    <w:rPr>
      <w:rFonts w:ascii="Tahoma" w:hAnsi="Tahoma" w:eastAsia="Helvetica" w:cs="新宋体"/>
      <w:sz w:val="30"/>
      <w:szCs w:val="24"/>
    </w:rPr>
  </w:style>
  <w:style w:type="character" w:customStyle="1" w:styleId="211">
    <w:name w:val="Intense Emphasis1"/>
    <w:qFormat/>
    <w:uiPriority w:val="0"/>
    <w:rPr>
      <w:b/>
      <w:bCs/>
      <w:i/>
      <w:iCs/>
      <w:color w:val="4F81BD"/>
    </w:rPr>
  </w:style>
  <w:style w:type="character" w:customStyle="1" w:styleId="212">
    <w:name w:val="emailstyle16"/>
    <w:qFormat/>
    <w:uiPriority w:val="0"/>
    <w:rPr>
      <w:rFonts w:ascii="Arial" w:hAnsi="Arial" w:eastAsia="宋体" w:cs="Arial"/>
      <w:color w:val="auto"/>
      <w:kern w:val="2"/>
      <w:sz w:val="20"/>
      <w:szCs w:val="24"/>
      <w:lang w:val="en-US" w:eastAsia="zh-CN" w:bidi="ar-SA"/>
    </w:rPr>
  </w:style>
  <w:style w:type="character" w:customStyle="1" w:styleId="213">
    <w:name w:val="正文靠右 Char Char"/>
    <w:link w:val="214"/>
    <w:qFormat/>
    <w:uiPriority w:val="0"/>
    <w:rPr>
      <w:kern w:val="2"/>
      <w:sz w:val="21"/>
      <w:szCs w:val="24"/>
    </w:rPr>
  </w:style>
  <w:style w:type="paragraph" w:customStyle="1" w:styleId="214">
    <w:name w:val="正文靠右"/>
    <w:basedOn w:val="1"/>
    <w:link w:val="213"/>
    <w:qFormat/>
    <w:uiPriority w:val="0"/>
    <w:pPr>
      <w:jc w:val="right"/>
    </w:pPr>
  </w:style>
  <w:style w:type="character" w:customStyle="1" w:styleId="215">
    <w:name w:val="Char Char111"/>
    <w:qFormat/>
    <w:uiPriority w:val="0"/>
    <w:rPr>
      <w:rFonts w:ascii="新宋体" w:hAnsi="新宋体" w:eastAsia="仿宋_GB2312" w:cs="新宋体"/>
      <w:sz w:val="18"/>
      <w:szCs w:val="18"/>
    </w:rPr>
  </w:style>
  <w:style w:type="character" w:customStyle="1" w:styleId="216">
    <w:name w:val="HTML 预设格式 Char1"/>
    <w:qFormat/>
    <w:uiPriority w:val="0"/>
    <w:rPr>
      <w:rFonts w:ascii="宋体" w:hAnsi="宋体" w:cs="宋体"/>
      <w:sz w:val="24"/>
      <w:szCs w:val="24"/>
    </w:rPr>
  </w:style>
  <w:style w:type="character" w:customStyle="1" w:styleId="217">
    <w:name w:val="正文缩进 字符"/>
    <w:qFormat/>
    <w:uiPriority w:val="0"/>
    <w:rPr>
      <w:sz w:val="28"/>
    </w:rPr>
  </w:style>
  <w:style w:type="character" w:customStyle="1" w:styleId="218">
    <w:name w:val="Style1"/>
    <w:qFormat/>
    <w:uiPriority w:val="0"/>
    <w:rPr>
      <w:rFonts w:ascii="Century Gothic" w:hAnsi="仿宋_GB2312" w:eastAsia="仿宋_GB2312" w:cs="新宋体"/>
      <w:sz w:val="22"/>
      <w:szCs w:val="22"/>
      <w:lang w:eastAsia="zh-CN"/>
    </w:rPr>
  </w:style>
  <w:style w:type="character" w:customStyle="1" w:styleId="219">
    <w:name w:val="BZ_封面_名称 Char"/>
    <w:link w:val="220"/>
    <w:qFormat/>
    <w:uiPriority w:val="0"/>
    <w:rPr>
      <w:rFonts w:eastAsia="黑体"/>
      <w:kern w:val="2"/>
      <w:sz w:val="44"/>
      <w:szCs w:val="44"/>
    </w:rPr>
  </w:style>
  <w:style w:type="paragraph" w:customStyle="1" w:styleId="220">
    <w:name w:val="BZ_封面_名称"/>
    <w:basedOn w:val="1"/>
    <w:link w:val="219"/>
    <w:qFormat/>
    <w:uiPriority w:val="0"/>
    <w:pPr>
      <w:widowControl/>
      <w:jc w:val="center"/>
    </w:pPr>
    <w:rPr>
      <w:rFonts w:eastAsia="黑体"/>
      <w:sz w:val="44"/>
      <w:szCs w:val="44"/>
    </w:rPr>
  </w:style>
  <w:style w:type="character" w:customStyle="1" w:styleId="221">
    <w:name w:val="个人答复风格"/>
    <w:qFormat/>
    <w:uiPriority w:val="0"/>
    <w:rPr>
      <w:rFonts w:ascii="Arial" w:hAnsi="Arial" w:eastAsia="宋体" w:cs="Arial"/>
      <w:color w:val="auto"/>
      <w:kern w:val="2"/>
      <w:sz w:val="20"/>
      <w:szCs w:val="24"/>
      <w:lang w:val="en-US" w:eastAsia="zh-CN" w:bidi="ar-SA"/>
    </w:rPr>
  </w:style>
  <w:style w:type="character" w:customStyle="1" w:styleId="222">
    <w:name w:val="kpk:3级 Char"/>
    <w:link w:val="223"/>
    <w:qFormat/>
    <w:uiPriority w:val="0"/>
    <w:rPr>
      <w:rFonts w:ascii="黑体" w:eastAsia="黑体"/>
      <w:b/>
      <w:bCs/>
      <w:kern w:val="2"/>
      <w:sz w:val="24"/>
      <w:szCs w:val="24"/>
    </w:rPr>
  </w:style>
  <w:style w:type="paragraph" w:customStyle="1" w:styleId="223">
    <w:name w:val="kpk:3级"/>
    <w:basedOn w:val="6"/>
    <w:link w:val="222"/>
    <w:qFormat/>
    <w:uiPriority w:val="0"/>
    <w:pPr>
      <w:tabs>
        <w:tab w:val="left" w:pos="420"/>
      </w:tabs>
      <w:spacing w:before="0" w:after="0" w:line="360" w:lineRule="auto"/>
      <w:ind w:left="420" w:hanging="420"/>
    </w:pPr>
    <w:rPr>
      <w:rFonts w:ascii="黑体" w:eastAsia="黑体"/>
      <w:sz w:val="24"/>
      <w:szCs w:val="24"/>
    </w:rPr>
  </w:style>
  <w:style w:type="character" w:customStyle="1" w:styleId="224">
    <w:name w:val="Char Char19"/>
    <w:qFormat/>
    <w:uiPriority w:val="0"/>
    <w:rPr>
      <w:rFonts w:ascii="Tahoma" w:hAnsi="Tahoma" w:eastAsia="Helvetica"/>
      <w:sz w:val="21"/>
      <w:szCs w:val="21"/>
      <w:lang w:val="en-US" w:eastAsia="zh-CN" w:bidi="ar-SA"/>
    </w:rPr>
  </w:style>
  <w:style w:type="character" w:customStyle="1" w:styleId="225">
    <w:name w:val="Table Text Char Char"/>
    <w:qFormat/>
    <w:uiPriority w:val="0"/>
    <w:rPr>
      <w:rFonts w:eastAsia="仿宋_GB2312"/>
      <w:sz w:val="24"/>
      <w:lang w:bidi="ar-SA"/>
    </w:rPr>
  </w:style>
  <w:style w:type="character" w:customStyle="1" w:styleId="226">
    <w:name w:val="heading 4 Char1"/>
    <w:qFormat/>
    <w:uiPriority w:val="0"/>
    <w:rPr>
      <w:rFonts w:ascii="Verdana" w:hAnsi="Verdana" w:eastAsia="仿宋_GB2312"/>
      <w:b/>
      <w:bCs/>
      <w:kern w:val="2"/>
      <w:sz w:val="28"/>
      <w:szCs w:val="28"/>
      <w:lang w:val="en-US" w:eastAsia="zh-CN" w:bidi="ar-SA"/>
    </w:rPr>
  </w:style>
  <w:style w:type="character" w:customStyle="1" w:styleId="227">
    <w:name w:val="a61"/>
    <w:qFormat/>
    <w:uiPriority w:val="0"/>
    <w:rPr>
      <w:rFonts w:hint="eastAsia" w:ascii="宋体" w:hAnsi="宋体" w:eastAsia="宋体"/>
      <w:kern w:val="2"/>
      <w:sz w:val="23"/>
      <w:szCs w:val="23"/>
      <w:lang w:val="en-US" w:eastAsia="zh-CN" w:bidi="ar-SA"/>
    </w:rPr>
  </w:style>
  <w:style w:type="character" w:customStyle="1" w:styleId="228">
    <w:name w:val="kpk:4级 Char1"/>
    <w:link w:val="229"/>
    <w:qFormat/>
    <w:locked/>
    <w:uiPriority w:val="0"/>
    <w:rPr>
      <w:rFonts w:ascii="Arial" w:hAnsi="Arial" w:eastAsia="黑体"/>
      <w:bCs/>
      <w:sz w:val="24"/>
      <w:szCs w:val="28"/>
    </w:rPr>
  </w:style>
  <w:style w:type="paragraph" w:customStyle="1" w:styleId="229">
    <w:name w:val="kpk:4级"/>
    <w:basedOn w:val="7"/>
    <w:link w:val="228"/>
    <w:qFormat/>
    <w:uiPriority w:val="0"/>
    <w:pPr>
      <w:tabs>
        <w:tab w:val="left" w:pos="-142"/>
        <w:tab w:val="left" w:pos="0"/>
        <w:tab w:val="left" w:pos="284"/>
        <w:tab w:val="left" w:pos="780"/>
      </w:tabs>
      <w:spacing w:before="0" w:after="0" w:line="360" w:lineRule="auto"/>
      <w:ind w:left="780" w:leftChars="200" w:hanging="360"/>
    </w:pPr>
    <w:rPr>
      <w:rFonts w:ascii="Arial" w:hAnsi="Arial" w:eastAsia="黑体"/>
      <w:b w:val="0"/>
      <w:kern w:val="0"/>
      <w:sz w:val="24"/>
    </w:rPr>
  </w:style>
  <w:style w:type="character" w:customStyle="1" w:styleId="230">
    <w:name w:val="heading 3 Char"/>
    <w:qFormat/>
    <w:uiPriority w:val="0"/>
    <w:rPr>
      <w:rFonts w:ascii="Tahoma" w:hAnsi="Tahoma" w:eastAsia="Helvetica"/>
      <w:sz w:val="28"/>
      <w:szCs w:val="24"/>
    </w:rPr>
  </w:style>
  <w:style w:type="character" w:customStyle="1" w:styleId="231">
    <w:name w:val="heading 4 Char2"/>
    <w:qFormat/>
    <w:uiPriority w:val="0"/>
    <w:rPr>
      <w:rFonts w:ascii="Verdana" w:hAnsi="Verdana"/>
      <w:b/>
      <w:bCs/>
      <w:kern w:val="2"/>
      <w:sz w:val="28"/>
      <w:szCs w:val="28"/>
    </w:rPr>
  </w:style>
  <w:style w:type="character" w:customStyle="1" w:styleId="232">
    <w:name w:val="样式 标题 3 + 黑体 小四 Char Char"/>
    <w:qFormat/>
    <w:uiPriority w:val="0"/>
    <w:rPr>
      <w:rFonts w:ascii="Helvetica" w:hAnsi="Tahoma" w:eastAsia="Helvetica"/>
      <w:bCs/>
      <w:sz w:val="24"/>
      <w:szCs w:val="24"/>
      <w:lang w:bidi="ar-SA"/>
    </w:rPr>
  </w:style>
  <w:style w:type="character" w:customStyle="1" w:styleId="233">
    <w:name w:val="四级标题 Char"/>
    <w:link w:val="234"/>
    <w:qFormat/>
    <w:uiPriority w:val="0"/>
    <w:rPr>
      <w:rFonts w:eastAsia="黑体"/>
      <w:b/>
      <w:kern w:val="2"/>
      <w:sz w:val="28"/>
      <w:szCs w:val="22"/>
    </w:rPr>
  </w:style>
  <w:style w:type="paragraph" w:customStyle="1" w:styleId="234">
    <w:name w:val="四级标题"/>
    <w:basedOn w:val="1"/>
    <w:link w:val="233"/>
    <w:qFormat/>
    <w:uiPriority w:val="0"/>
    <w:pPr>
      <w:tabs>
        <w:tab w:val="left" w:pos="420"/>
      </w:tabs>
      <w:spacing w:line="360" w:lineRule="auto"/>
      <w:ind w:left="420" w:firstLine="200" w:firstLineChars="200"/>
      <w:outlineLvl w:val="3"/>
    </w:pPr>
    <w:rPr>
      <w:rFonts w:eastAsia="黑体"/>
      <w:b/>
      <w:sz w:val="28"/>
      <w:szCs w:val="22"/>
    </w:rPr>
  </w:style>
  <w:style w:type="character" w:customStyle="1" w:styleId="235">
    <w:name w:val="标题 4 字符"/>
    <w:qFormat/>
    <w:uiPriority w:val="0"/>
    <w:rPr>
      <w:rFonts w:eastAsia="楷体_GB2312"/>
      <w:b/>
      <w:snapToGrid/>
      <w:sz w:val="28"/>
    </w:rPr>
  </w:style>
  <w:style w:type="character" w:customStyle="1" w:styleId="236">
    <w:name w:val="heading 5 Char2"/>
    <w:qFormat/>
    <w:uiPriority w:val="0"/>
    <w:rPr>
      <w:b/>
      <w:bCs/>
      <w:kern w:val="2"/>
      <w:sz w:val="28"/>
      <w:szCs w:val="28"/>
    </w:rPr>
  </w:style>
  <w:style w:type="character" w:customStyle="1" w:styleId="237">
    <w:name w:val="书籍标题1"/>
    <w:qFormat/>
    <w:uiPriority w:val="0"/>
    <w:rPr>
      <w:b/>
      <w:bCs/>
      <w:smallCaps/>
      <w:spacing w:val="5"/>
    </w:rPr>
  </w:style>
  <w:style w:type="character" w:customStyle="1" w:styleId="238">
    <w:name w:val="Ò³Ã¼ Char Char2"/>
    <w:qFormat/>
    <w:uiPriority w:val="0"/>
    <w:rPr>
      <w:kern w:val="2"/>
      <w:sz w:val="18"/>
      <w:szCs w:val="18"/>
    </w:rPr>
  </w:style>
  <w:style w:type="character" w:customStyle="1" w:styleId="239">
    <w:name w:val="不明显参考1"/>
    <w:qFormat/>
    <w:uiPriority w:val="0"/>
    <w:rPr>
      <w:smallCaps/>
      <w:color w:val="C0504D"/>
      <w:u w:val="single"/>
    </w:rPr>
  </w:style>
  <w:style w:type="character" w:customStyle="1" w:styleId="240">
    <w:name w:val="标题 6 字符"/>
    <w:qFormat/>
    <w:uiPriority w:val="0"/>
    <w:rPr>
      <w:rFonts w:ascii="Arial" w:hAnsi="Arial" w:eastAsia="黑体"/>
      <w:spacing w:val="20"/>
      <w:kern w:val="2"/>
      <w:sz w:val="28"/>
    </w:rPr>
  </w:style>
  <w:style w:type="character" w:customStyle="1" w:styleId="241">
    <w:name w:val="A3 Char Char"/>
    <w:qFormat/>
    <w:uiPriority w:val="0"/>
    <w:rPr>
      <w:rFonts w:eastAsia="宋体"/>
      <w:b/>
      <w:bCs/>
      <w:sz w:val="32"/>
      <w:szCs w:val="32"/>
      <w:lang w:bidi="ar-SA"/>
    </w:rPr>
  </w:style>
  <w:style w:type="character" w:customStyle="1" w:styleId="242">
    <w:name w:val="Footer-Even Char"/>
    <w:qFormat/>
    <w:uiPriority w:val="0"/>
    <w:rPr>
      <w:sz w:val="18"/>
      <w:szCs w:val="18"/>
    </w:rPr>
  </w:style>
  <w:style w:type="character" w:customStyle="1" w:styleId="243">
    <w:name w:val="标题 8 字符"/>
    <w:qFormat/>
    <w:uiPriority w:val="0"/>
    <w:rPr>
      <w:rFonts w:ascii="Arial" w:hAnsi="Arial" w:eastAsia="黑体"/>
      <w:kern w:val="2"/>
      <w:sz w:val="24"/>
      <w:vertAlign w:val="superscript"/>
    </w:rPr>
  </w:style>
  <w:style w:type="character" w:customStyle="1" w:styleId="244">
    <w:name w:val="标题 1 字符"/>
    <w:qFormat/>
    <w:uiPriority w:val="0"/>
    <w:rPr>
      <w:rFonts w:eastAsia="黑体"/>
      <w:snapToGrid/>
      <w:sz w:val="44"/>
    </w:rPr>
  </w:style>
  <w:style w:type="character" w:customStyle="1" w:styleId="245">
    <w:name w:val="content_title1"/>
    <w:qFormat/>
    <w:uiPriority w:val="0"/>
    <w:rPr>
      <w:rFonts w:eastAsia="宋体"/>
      <w:color w:val="9A1601"/>
      <w:kern w:val="2"/>
      <w:sz w:val="21"/>
      <w:szCs w:val="21"/>
      <w:lang w:val="en-US" w:eastAsia="zh-CN" w:bidi="ar-SA"/>
    </w:rPr>
  </w:style>
  <w:style w:type="character" w:customStyle="1" w:styleId="246">
    <w:name w:val="正文文本 2 Char"/>
    <w:qFormat/>
    <w:uiPriority w:val="0"/>
    <w:rPr>
      <w:rFonts w:ascii="等线" w:hAnsi="等线" w:eastAsia="等线" w:cs="等线"/>
    </w:rPr>
  </w:style>
  <w:style w:type="character" w:customStyle="1" w:styleId="247">
    <w:name w:val="标题 7 字符"/>
    <w:qFormat/>
    <w:uiPriority w:val="0"/>
    <w:rPr>
      <w:b/>
      <w:kern w:val="2"/>
      <w:sz w:val="24"/>
      <w:vertAlign w:val="superscript"/>
    </w:rPr>
  </w:style>
  <w:style w:type="character" w:customStyle="1" w:styleId="248">
    <w:name w:val="Char Char6"/>
    <w:qFormat/>
    <w:uiPriority w:val="0"/>
    <w:rPr>
      <w:rFonts w:ascii="新宋体" w:hAnsi="新宋体" w:eastAsia="仿宋_GB2312" w:cs="新宋体"/>
      <w:szCs w:val="24"/>
    </w:rPr>
  </w:style>
  <w:style w:type="character" w:customStyle="1" w:styleId="249">
    <w:name w:val="标题 5 字符"/>
    <w:qFormat/>
    <w:uiPriority w:val="0"/>
    <w:rPr>
      <w:kern w:val="2"/>
      <w:sz w:val="28"/>
    </w:rPr>
  </w:style>
  <w:style w:type="character" w:customStyle="1" w:styleId="250">
    <w:name w:val="smalltxt1"/>
    <w:qFormat/>
    <w:uiPriority w:val="0"/>
    <w:rPr>
      <w:rFonts w:hint="default" w:ascii="宋体,Verdana,Arial" w:hAnsi="宋体,Verdana,Arial"/>
      <w:sz w:val="24"/>
      <w:szCs w:val="24"/>
    </w:rPr>
  </w:style>
  <w:style w:type="character" w:customStyle="1" w:styleId="251">
    <w:name w:val="正文居中 Char Char"/>
    <w:link w:val="252"/>
    <w:qFormat/>
    <w:uiPriority w:val="0"/>
    <w:rPr>
      <w:kern w:val="2"/>
      <w:sz w:val="21"/>
      <w:szCs w:val="24"/>
    </w:rPr>
  </w:style>
  <w:style w:type="paragraph" w:customStyle="1" w:styleId="252">
    <w:name w:val="正文居中"/>
    <w:basedOn w:val="1"/>
    <w:link w:val="251"/>
    <w:qFormat/>
    <w:uiPriority w:val="0"/>
    <w:pPr>
      <w:jc w:val="center"/>
    </w:pPr>
  </w:style>
  <w:style w:type="character" w:customStyle="1" w:styleId="253">
    <w:name w:val="样式2 Char Char"/>
    <w:qFormat/>
    <w:uiPriority w:val="0"/>
    <w:rPr>
      <w:rFonts w:ascii="仿宋_GB2312" w:hAnsi="仿宋_GB2312" w:eastAsia="仿宋_GB2312"/>
      <w:bCs/>
      <w:kern w:val="2"/>
      <w:sz w:val="28"/>
      <w:szCs w:val="28"/>
      <w:lang w:val="en-US" w:eastAsia="zh-CN" w:bidi="ar-SA"/>
    </w:rPr>
  </w:style>
  <w:style w:type="character" w:customStyle="1" w:styleId="254">
    <w:name w:val="heading 6 Char1"/>
    <w:qFormat/>
    <w:uiPriority w:val="0"/>
    <w:rPr>
      <w:rFonts w:ascii="Tahoma" w:hAnsi="Tahoma" w:eastAsia="Helvetica"/>
      <w:kern w:val="2"/>
      <w:sz w:val="24"/>
      <w:szCs w:val="24"/>
      <w:lang w:val="en-US" w:eastAsia="zh-CN" w:bidi="ar-SA"/>
    </w:rPr>
  </w:style>
  <w:style w:type="character" w:customStyle="1" w:styleId="255">
    <w:name w:val="正文文本缩进 2 字符"/>
    <w:qFormat/>
    <w:uiPriority w:val="0"/>
    <w:rPr>
      <w:sz w:val="28"/>
    </w:rPr>
  </w:style>
  <w:style w:type="character" w:customStyle="1" w:styleId="256">
    <w:name w:val="正文文本缩进 字符"/>
    <w:qFormat/>
    <w:uiPriority w:val="0"/>
    <w:rPr>
      <w:sz w:val="28"/>
    </w:rPr>
  </w:style>
  <w:style w:type="character" w:customStyle="1" w:styleId="257">
    <w:name w:val="t11"/>
    <w:qFormat/>
    <w:uiPriority w:val="0"/>
    <w:rPr>
      <w:rFonts w:eastAsia="宋体"/>
      <w:color w:val="333333"/>
      <w:kern w:val="2"/>
      <w:sz w:val="18"/>
      <w:szCs w:val="18"/>
      <w:lang w:val="en-US" w:eastAsia="zh-CN" w:bidi="ar-SA"/>
    </w:rPr>
  </w:style>
  <w:style w:type="character" w:customStyle="1" w:styleId="258">
    <w:name w:val="正文文本 Char Char"/>
    <w:qFormat/>
    <w:uiPriority w:val="0"/>
    <w:rPr>
      <w:rFonts w:ascii="Times New Roman" w:hAnsi="Times New Roman"/>
      <w:kern w:val="2"/>
      <w:sz w:val="21"/>
      <w:szCs w:val="24"/>
    </w:rPr>
  </w:style>
  <w:style w:type="character" w:customStyle="1" w:styleId="259">
    <w:name w:val="引用 Char"/>
    <w:qFormat/>
    <w:uiPriority w:val="0"/>
    <w:rPr>
      <w:rFonts w:ascii="Century Gothic" w:hAnsi="Century Gothic" w:eastAsia="仿宋_GB2312"/>
      <w:i/>
      <w:iCs/>
      <w:color w:val="000000"/>
    </w:rPr>
  </w:style>
  <w:style w:type="paragraph" w:styleId="260">
    <w:name w:val="Quote"/>
    <w:basedOn w:val="1"/>
    <w:next w:val="1"/>
    <w:link w:val="461"/>
    <w:qFormat/>
    <w:uiPriority w:val="0"/>
    <w:rPr>
      <w:rFonts w:ascii="Century Gothic" w:hAnsi="Century Gothic" w:eastAsia="仿宋_GB2312"/>
      <w:i/>
      <w:iCs/>
      <w:color w:val="000000"/>
      <w:kern w:val="0"/>
      <w:sz w:val="20"/>
      <w:szCs w:val="20"/>
    </w:rPr>
  </w:style>
  <w:style w:type="character" w:customStyle="1" w:styleId="261">
    <w:name w:val="Plain Text Char"/>
    <w:qFormat/>
    <w:uiPriority w:val="0"/>
    <w:rPr>
      <w:rFonts w:ascii="仿宋_GB2312" w:hAnsi="Wingdings" w:eastAsia="仿宋_GB2312" w:cs="新宋体"/>
      <w:sz w:val="21"/>
      <w:szCs w:val="21"/>
    </w:rPr>
  </w:style>
  <w:style w:type="character" w:customStyle="1" w:styleId="262">
    <w:name w:val="A4 Char Char"/>
    <w:qFormat/>
    <w:uiPriority w:val="0"/>
    <w:rPr>
      <w:rFonts w:ascii="Cambria" w:hAnsi="Cambria" w:eastAsia="宋体"/>
      <w:b/>
      <w:bCs/>
      <w:sz w:val="28"/>
      <w:szCs w:val="28"/>
    </w:rPr>
  </w:style>
  <w:style w:type="character" w:customStyle="1" w:styleId="263">
    <w:name w:val="正文4 Char"/>
    <w:qFormat/>
    <w:uiPriority w:val="0"/>
    <w:rPr>
      <w:rFonts w:ascii="新宋体" w:hAnsi="新宋体" w:eastAsia="宋体" w:cs="新宋体"/>
      <w:kern w:val="2"/>
      <w:sz w:val="24"/>
      <w:szCs w:val="24"/>
      <w:lang w:val="en-US" w:eastAsia="zh-CN" w:bidi="ar-SA"/>
    </w:rPr>
  </w:style>
  <w:style w:type="character" w:customStyle="1" w:styleId="264">
    <w:name w:val="heading 5 Char1"/>
    <w:qFormat/>
    <w:uiPriority w:val="0"/>
    <w:rPr>
      <w:rFonts w:eastAsia="仿宋_GB2312"/>
      <w:b/>
      <w:bCs/>
      <w:kern w:val="2"/>
      <w:sz w:val="28"/>
      <w:szCs w:val="28"/>
      <w:lang w:val="en-US" w:eastAsia="zh-CN" w:bidi="ar-SA"/>
    </w:rPr>
  </w:style>
  <w:style w:type="character" w:customStyle="1" w:styleId="265">
    <w:name w:val="Char Char22"/>
    <w:qFormat/>
    <w:uiPriority w:val="0"/>
    <w:rPr>
      <w:rFonts w:ascii="Tahoma" w:hAnsi="Tahoma" w:eastAsia="Helvetica"/>
      <w:b/>
      <w:bCs/>
      <w:kern w:val="44"/>
      <w:sz w:val="30"/>
      <w:szCs w:val="44"/>
      <w:lang w:val="en-US" w:eastAsia="zh-CN" w:bidi="ar-SA"/>
    </w:rPr>
  </w:style>
  <w:style w:type="character" w:customStyle="1" w:styleId="266">
    <w:name w:val="表格 Char Char"/>
    <w:link w:val="267"/>
    <w:qFormat/>
    <w:uiPriority w:val="0"/>
    <w:rPr>
      <w:rFonts w:ascii="仿宋_GB2312" w:hAnsi="仿宋_GB2312" w:eastAsia="仿宋_GB2312"/>
    </w:rPr>
  </w:style>
  <w:style w:type="paragraph" w:customStyle="1" w:styleId="267">
    <w:name w:val="表格"/>
    <w:basedOn w:val="1"/>
    <w:link w:val="266"/>
    <w:qFormat/>
    <w:uiPriority w:val="99"/>
    <w:pPr>
      <w:autoSpaceDE w:val="0"/>
      <w:autoSpaceDN w:val="0"/>
      <w:adjustRightInd w:val="0"/>
      <w:snapToGrid w:val="0"/>
      <w:ind w:firstLine="42" w:firstLineChars="21"/>
      <w:jc w:val="left"/>
    </w:pPr>
    <w:rPr>
      <w:rFonts w:ascii="仿宋_GB2312" w:hAnsi="仿宋_GB2312" w:eastAsia="仿宋_GB2312"/>
      <w:kern w:val="0"/>
      <w:sz w:val="20"/>
      <w:szCs w:val="20"/>
    </w:rPr>
  </w:style>
  <w:style w:type="character" w:customStyle="1" w:styleId="268">
    <w:name w:val="一级标题 Char"/>
    <w:link w:val="269"/>
    <w:qFormat/>
    <w:uiPriority w:val="0"/>
    <w:rPr>
      <w:rFonts w:ascii="黑体" w:eastAsia="华文中宋"/>
      <w:b/>
      <w:kern w:val="44"/>
      <w:sz w:val="36"/>
      <w:szCs w:val="44"/>
    </w:rPr>
  </w:style>
  <w:style w:type="paragraph" w:customStyle="1" w:styleId="269">
    <w:name w:val="一级标题"/>
    <w:basedOn w:val="4"/>
    <w:link w:val="268"/>
    <w:qFormat/>
    <w:uiPriority w:val="0"/>
    <w:pPr>
      <w:keepLines/>
      <w:pageBreakBefore/>
      <w:spacing w:line="578" w:lineRule="auto"/>
      <w:ind w:left="432" w:hanging="432"/>
    </w:pPr>
    <w:rPr>
      <w:rFonts w:ascii="黑体" w:eastAsia="华文中宋"/>
      <w:bCs w:val="0"/>
      <w:kern w:val="44"/>
      <w:sz w:val="36"/>
      <w:szCs w:val="44"/>
    </w:rPr>
  </w:style>
  <w:style w:type="character" w:customStyle="1" w:styleId="270">
    <w:name w:val="批注框文本 字符1"/>
    <w:link w:val="40"/>
    <w:qFormat/>
    <w:uiPriority w:val="0"/>
    <w:rPr>
      <w:kern w:val="2"/>
      <w:sz w:val="18"/>
      <w:szCs w:val="18"/>
    </w:rPr>
  </w:style>
  <w:style w:type="character" w:customStyle="1" w:styleId="271">
    <w:name w:val="正文（小四+1.25倍行距） Char"/>
    <w:link w:val="272"/>
    <w:qFormat/>
    <w:uiPriority w:val="0"/>
    <w:rPr>
      <w:sz w:val="24"/>
      <w:szCs w:val="24"/>
    </w:rPr>
  </w:style>
  <w:style w:type="paragraph" w:customStyle="1" w:styleId="272">
    <w:name w:val="正文（小四+1.25倍行距）"/>
    <w:basedOn w:val="1"/>
    <w:link w:val="271"/>
    <w:qFormat/>
    <w:uiPriority w:val="0"/>
    <w:pPr>
      <w:spacing w:afterLines="50" w:line="300" w:lineRule="auto"/>
      <w:ind w:firstLine="420"/>
    </w:pPr>
    <w:rPr>
      <w:kern w:val="0"/>
      <w:sz w:val="24"/>
    </w:rPr>
  </w:style>
  <w:style w:type="character" w:customStyle="1" w:styleId="273">
    <w:name w:val="Ò³Ã¼ Char Char1"/>
    <w:qFormat/>
    <w:uiPriority w:val="0"/>
    <w:rPr>
      <w:rFonts w:eastAsia="仿宋_GB2312"/>
      <w:kern w:val="2"/>
      <w:sz w:val="18"/>
      <w:szCs w:val="18"/>
      <w:lang w:val="en-US" w:eastAsia="zh-CN" w:bidi="ar-SA"/>
    </w:rPr>
  </w:style>
  <w:style w:type="character" w:customStyle="1" w:styleId="274">
    <w:name w:val="正文首行缩进 字符"/>
    <w:basedOn w:val="275"/>
    <w:qFormat/>
    <w:uiPriority w:val="0"/>
    <w:rPr>
      <w:rFonts w:ascii="宋体"/>
      <w:sz w:val="21"/>
    </w:rPr>
  </w:style>
  <w:style w:type="character" w:customStyle="1" w:styleId="275">
    <w:name w:val="正文文本 字符"/>
    <w:qFormat/>
    <w:uiPriority w:val="0"/>
    <w:rPr>
      <w:rFonts w:ascii="宋体"/>
      <w:sz w:val="21"/>
    </w:rPr>
  </w:style>
  <w:style w:type="character" w:customStyle="1" w:styleId="276">
    <w:name w:val="信息标题 Char"/>
    <w:qFormat/>
    <w:uiPriority w:val="0"/>
    <w:rPr>
      <w:rFonts w:eastAsia="仿宋_GB2312"/>
      <w:kern w:val="2"/>
      <w:sz w:val="21"/>
      <w:szCs w:val="24"/>
      <w:shd w:val="pct20" w:color="auto" w:fill="auto"/>
    </w:rPr>
  </w:style>
  <w:style w:type="character" w:customStyle="1" w:styleId="277">
    <w:name w:val="A4 Char"/>
    <w:link w:val="278"/>
    <w:qFormat/>
    <w:uiPriority w:val="0"/>
    <w:rPr>
      <w:rFonts w:ascii="Cambria" w:hAnsi="Cambria" w:cs="新宋体"/>
      <w:b/>
      <w:bCs/>
      <w:sz w:val="28"/>
      <w:szCs w:val="28"/>
    </w:rPr>
  </w:style>
  <w:style w:type="paragraph" w:customStyle="1" w:styleId="278">
    <w:name w:val="A4"/>
    <w:basedOn w:val="7"/>
    <w:link w:val="277"/>
    <w:qFormat/>
    <w:uiPriority w:val="0"/>
    <w:pPr>
      <w:spacing w:line="377" w:lineRule="auto"/>
      <w:jc w:val="left"/>
    </w:pPr>
    <w:rPr>
      <w:rFonts w:cs="新宋体"/>
      <w:kern w:val="0"/>
    </w:rPr>
  </w:style>
  <w:style w:type="character" w:customStyle="1" w:styleId="279">
    <w:name w:val="Char Char61"/>
    <w:qFormat/>
    <w:uiPriority w:val="0"/>
    <w:rPr>
      <w:rFonts w:ascii="新宋体" w:hAnsi="新宋体" w:eastAsia="仿宋_GB2312" w:cs="新宋体"/>
      <w:szCs w:val="24"/>
    </w:rPr>
  </w:style>
  <w:style w:type="character" w:customStyle="1" w:styleId="280">
    <w:name w:val="符号正文缩进 Char Char"/>
    <w:link w:val="281"/>
    <w:qFormat/>
    <w:uiPriority w:val="0"/>
    <w:rPr>
      <w:kern w:val="2"/>
      <w:sz w:val="24"/>
      <w:szCs w:val="24"/>
    </w:rPr>
  </w:style>
  <w:style w:type="paragraph" w:customStyle="1" w:styleId="281">
    <w:name w:val="符号正文缩进"/>
    <w:basedOn w:val="16"/>
    <w:link w:val="280"/>
    <w:qFormat/>
    <w:uiPriority w:val="0"/>
    <w:pPr>
      <w:tabs>
        <w:tab w:val="left" w:pos="1497"/>
      </w:tabs>
      <w:spacing w:line="400" w:lineRule="atLeast"/>
      <w:ind w:left="567" w:firstLine="510"/>
    </w:pPr>
    <w:rPr>
      <w:kern w:val="2"/>
      <w:sz w:val="24"/>
      <w:szCs w:val="24"/>
    </w:rPr>
  </w:style>
  <w:style w:type="character" w:customStyle="1" w:styleId="282">
    <w:name w:val="Char Char11"/>
    <w:qFormat/>
    <w:uiPriority w:val="0"/>
    <w:rPr>
      <w:rFonts w:ascii="新宋体" w:hAnsi="新宋体" w:eastAsia="仿宋_GB2312" w:cs="新宋体"/>
      <w:sz w:val="18"/>
      <w:szCs w:val="18"/>
    </w:rPr>
  </w:style>
  <w:style w:type="character" w:customStyle="1" w:styleId="283">
    <w:name w:val="heading 1 Char2"/>
    <w:qFormat/>
    <w:uiPriority w:val="0"/>
    <w:rPr>
      <w:b/>
      <w:bCs/>
      <w:kern w:val="44"/>
      <w:sz w:val="44"/>
      <w:szCs w:val="44"/>
    </w:rPr>
  </w:style>
  <w:style w:type="character" w:customStyle="1" w:styleId="284">
    <w:name w:val="Char Char13"/>
    <w:basedOn w:val="70"/>
    <w:qFormat/>
    <w:uiPriority w:val="0"/>
    <w:rPr>
      <w:rFonts w:ascii="Times New Roman" w:hAnsi="Times New Roman" w:eastAsia="宋体" w:cs="Times New Roman"/>
      <w:b/>
      <w:bCs/>
      <w:color w:val="auto"/>
      <w:kern w:val="2"/>
      <w:szCs w:val="20"/>
    </w:rPr>
  </w:style>
  <w:style w:type="character" w:customStyle="1" w:styleId="285">
    <w:name w:val="heading 7 Char1"/>
    <w:qFormat/>
    <w:uiPriority w:val="0"/>
    <w:rPr>
      <w:rFonts w:ascii="Tahoma" w:hAnsi="Tahoma" w:eastAsia="Helvetica"/>
      <w:sz w:val="21"/>
      <w:szCs w:val="21"/>
      <w:lang w:val="en-US" w:eastAsia="zh-CN" w:bidi="ar-SA"/>
    </w:rPr>
  </w:style>
  <w:style w:type="character" w:customStyle="1" w:styleId="286">
    <w:name w:val="Style2"/>
    <w:qFormat/>
    <w:uiPriority w:val="0"/>
    <w:rPr>
      <w:rFonts w:ascii="Century Gothic" w:hAnsi="仿宋_GB2312" w:eastAsia="仿宋_GB2312" w:cs="新宋体"/>
      <w:sz w:val="22"/>
      <w:szCs w:val="22"/>
      <w:lang w:eastAsia="zh-CN"/>
    </w:rPr>
  </w:style>
  <w:style w:type="character" w:customStyle="1" w:styleId="287">
    <w:name w:val="blue1"/>
    <w:basedOn w:val="70"/>
    <w:qFormat/>
    <w:uiPriority w:val="0"/>
  </w:style>
  <w:style w:type="character" w:customStyle="1" w:styleId="288">
    <w:name w:val="style111"/>
    <w:qFormat/>
    <w:uiPriority w:val="0"/>
    <w:rPr>
      <w:sz w:val="27"/>
      <w:szCs w:val="27"/>
    </w:rPr>
  </w:style>
  <w:style w:type="character" w:customStyle="1" w:styleId="289">
    <w:name w:val="emailstyle15"/>
    <w:qFormat/>
    <w:uiPriority w:val="0"/>
    <w:rPr>
      <w:rFonts w:ascii="Arial" w:hAnsi="Arial" w:eastAsia="宋体" w:cs="Arial"/>
      <w:color w:val="auto"/>
      <w:kern w:val="2"/>
      <w:sz w:val="20"/>
      <w:szCs w:val="24"/>
      <w:lang w:val="en-US" w:eastAsia="zh-CN" w:bidi="ar-SA"/>
    </w:rPr>
  </w:style>
  <w:style w:type="character" w:customStyle="1" w:styleId="290">
    <w:name w:val="个人撰写风格"/>
    <w:qFormat/>
    <w:uiPriority w:val="0"/>
    <w:rPr>
      <w:rFonts w:ascii="Arial" w:hAnsi="Arial" w:eastAsia="宋体" w:cs="Arial"/>
      <w:color w:val="auto"/>
      <w:kern w:val="2"/>
      <w:sz w:val="20"/>
      <w:szCs w:val="24"/>
      <w:lang w:val="en-US" w:eastAsia="zh-CN" w:bidi="ar-SA"/>
    </w:rPr>
  </w:style>
  <w:style w:type="character" w:customStyle="1" w:styleId="291">
    <w:name w:val="font01"/>
    <w:qFormat/>
    <w:uiPriority w:val="0"/>
    <w:rPr>
      <w:rFonts w:hint="eastAsia" w:ascii="宋体" w:hAnsi="宋体" w:eastAsia="宋体" w:cs="宋体"/>
      <w:color w:val="000000"/>
      <w:sz w:val="18"/>
      <w:szCs w:val="18"/>
      <w:u w:val="none"/>
      <w:vertAlign w:val="superscript"/>
    </w:rPr>
  </w:style>
  <w:style w:type="character" w:customStyle="1" w:styleId="292">
    <w:name w:val="Char Char21"/>
    <w:qFormat/>
    <w:uiPriority w:val="0"/>
    <w:rPr>
      <w:rFonts w:ascii="新宋体" w:hAnsi="新宋体" w:eastAsia="仿宋_GB2312" w:cs="新宋体"/>
      <w:b/>
      <w:bCs/>
      <w:kern w:val="44"/>
      <w:sz w:val="44"/>
      <w:szCs w:val="44"/>
    </w:rPr>
  </w:style>
  <w:style w:type="character" w:customStyle="1" w:styleId="293">
    <w:name w:val="Char Char24"/>
    <w:qFormat/>
    <w:uiPriority w:val="0"/>
    <w:rPr>
      <w:rFonts w:ascii="Verdana" w:hAnsi="Verdana" w:eastAsia="仿宋_GB2312"/>
      <w:b/>
      <w:bCs/>
      <w:kern w:val="2"/>
      <w:sz w:val="32"/>
      <w:szCs w:val="32"/>
      <w:lang w:val="en-US" w:eastAsia="zh-CN" w:bidi="ar-SA"/>
    </w:rPr>
  </w:style>
  <w:style w:type="character" w:customStyle="1" w:styleId="294">
    <w:name w:val="Char Char181"/>
    <w:qFormat/>
    <w:uiPriority w:val="0"/>
    <w:rPr>
      <w:rFonts w:ascii="Tahoma" w:hAnsi="Tahoma" w:eastAsia="Helvetica"/>
      <w:sz w:val="24"/>
      <w:lang w:val="en-US" w:eastAsia="zh-CN" w:bidi="ar-SA"/>
    </w:rPr>
  </w:style>
  <w:style w:type="character" w:customStyle="1" w:styleId="295">
    <w:name w:val="heading 5 Char"/>
    <w:qFormat/>
    <w:uiPriority w:val="0"/>
    <w:rPr>
      <w:rFonts w:ascii="Tahoma" w:hAnsi="Tahoma" w:eastAsia="Helvetica"/>
      <w:sz w:val="21"/>
      <w:szCs w:val="21"/>
    </w:rPr>
  </w:style>
  <w:style w:type="character" w:customStyle="1" w:styleId="296">
    <w:name w:val="heading 3 Char2"/>
    <w:qFormat/>
    <w:uiPriority w:val="0"/>
    <w:rPr>
      <w:b/>
      <w:bCs/>
      <w:kern w:val="2"/>
      <w:sz w:val="32"/>
      <w:szCs w:val="32"/>
    </w:rPr>
  </w:style>
  <w:style w:type="character" w:customStyle="1" w:styleId="297">
    <w:name w:val="列出段落 Char1"/>
    <w:qFormat/>
    <w:uiPriority w:val="0"/>
    <w:rPr>
      <w:kern w:val="2"/>
      <w:sz w:val="21"/>
      <w:szCs w:val="24"/>
    </w:rPr>
  </w:style>
  <w:style w:type="character" w:customStyle="1" w:styleId="298">
    <w:name w:val="Footer-Even Char2"/>
    <w:qFormat/>
    <w:uiPriority w:val="0"/>
    <w:rPr>
      <w:kern w:val="2"/>
      <w:sz w:val="18"/>
      <w:szCs w:val="18"/>
    </w:rPr>
  </w:style>
  <w:style w:type="character" w:customStyle="1" w:styleId="299">
    <w:name w:val="heading 1 Char1"/>
    <w:qFormat/>
    <w:uiPriority w:val="0"/>
    <w:rPr>
      <w:rFonts w:eastAsia="仿宋_GB2312"/>
      <w:b/>
      <w:bCs/>
      <w:kern w:val="44"/>
      <w:sz w:val="44"/>
      <w:szCs w:val="44"/>
      <w:lang w:val="en-US" w:eastAsia="zh-CN" w:bidi="ar-SA"/>
    </w:rPr>
  </w:style>
  <w:style w:type="character" w:customStyle="1" w:styleId="300">
    <w:name w:val="kpk:正文 Char"/>
    <w:link w:val="301"/>
    <w:qFormat/>
    <w:uiPriority w:val="0"/>
    <w:rPr>
      <w:rFonts w:ascii="宋体" w:hAnsi="宋体"/>
      <w:kern w:val="2"/>
      <w:sz w:val="24"/>
      <w:szCs w:val="24"/>
      <w:lang w:val="en-GB"/>
    </w:rPr>
  </w:style>
  <w:style w:type="paragraph" w:customStyle="1" w:styleId="301">
    <w:name w:val="kpk:正文"/>
    <w:basedOn w:val="1"/>
    <w:link w:val="300"/>
    <w:qFormat/>
    <w:uiPriority w:val="0"/>
    <w:pPr>
      <w:wordWrap w:val="0"/>
      <w:spacing w:beforeLines="50" w:after="312" w:line="360" w:lineRule="auto"/>
      <w:ind w:firstLine="480" w:firstLineChars="200"/>
      <w:jc w:val="left"/>
    </w:pPr>
    <w:rPr>
      <w:rFonts w:ascii="宋体" w:hAnsi="宋体"/>
      <w:sz w:val="24"/>
      <w:lang w:val="en-GB"/>
    </w:rPr>
  </w:style>
  <w:style w:type="character" w:customStyle="1" w:styleId="302">
    <w:name w:val="彩色列表 - 强调文字颜色 1 Char"/>
    <w:link w:val="303"/>
    <w:qFormat/>
    <w:uiPriority w:val="0"/>
    <w:rPr>
      <w:kern w:val="2"/>
      <w:sz w:val="21"/>
      <w:szCs w:val="22"/>
    </w:rPr>
  </w:style>
  <w:style w:type="paragraph" w:customStyle="1" w:styleId="303">
    <w:name w:val="彩色列表 - 强调文字颜色 11"/>
    <w:basedOn w:val="1"/>
    <w:link w:val="302"/>
    <w:qFormat/>
    <w:uiPriority w:val="0"/>
    <w:pPr>
      <w:ind w:firstLine="420" w:firstLineChars="200"/>
    </w:pPr>
    <w:rPr>
      <w:szCs w:val="22"/>
    </w:rPr>
  </w:style>
  <w:style w:type="character" w:customStyle="1" w:styleId="304">
    <w:name w:val="A3 Char"/>
    <w:link w:val="305"/>
    <w:qFormat/>
    <w:uiPriority w:val="0"/>
    <w:rPr>
      <w:b/>
      <w:bCs/>
      <w:sz w:val="32"/>
      <w:szCs w:val="32"/>
    </w:rPr>
  </w:style>
  <w:style w:type="paragraph" w:customStyle="1" w:styleId="305">
    <w:name w:val="A3"/>
    <w:basedOn w:val="6"/>
    <w:link w:val="304"/>
    <w:qFormat/>
    <w:uiPriority w:val="0"/>
    <w:pPr>
      <w:spacing w:before="0" w:after="0" w:line="415" w:lineRule="auto"/>
      <w:ind w:left="720" w:hanging="720"/>
      <w:jc w:val="left"/>
    </w:pPr>
    <w:rPr>
      <w:kern w:val="0"/>
    </w:rPr>
  </w:style>
  <w:style w:type="character" w:customStyle="1" w:styleId="306">
    <w:name w:val="批注框文本 字符"/>
    <w:semiHidden/>
    <w:qFormat/>
    <w:uiPriority w:val="0"/>
    <w:rPr>
      <w:sz w:val="18"/>
      <w:szCs w:val="18"/>
    </w:rPr>
  </w:style>
  <w:style w:type="character" w:customStyle="1" w:styleId="307">
    <w:name w:val="正文文本缩进 2 字符1"/>
    <w:link w:val="38"/>
    <w:qFormat/>
    <w:uiPriority w:val="0"/>
    <w:rPr>
      <w:kern w:val="2"/>
      <w:sz w:val="24"/>
      <w:szCs w:val="24"/>
    </w:rPr>
  </w:style>
  <w:style w:type="character" w:customStyle="1" w:styleId="308">
    <w:name w:val="Table Text Char"/>
    <w:link w:val="309"/>
    <w:qFormat/>
    <w:uiPriority w:val="0"/>
    <w:rPr>
      <w:rFonts w:eastAsia="仿宋_GB2312"/>
      <w:sz w:val="24"/>
    </w:rPr>
  </w:style>
  <w:style w:type="paragraph" w:customStyle="1" w:styleId="309">
    <w:name w:val="Table Text"/>
    <w:basedOn w:val="1"/>
    <w:link w:val="308"/>
    <w:qFormat/>
    <w:uiPriority w:val="0"/>
    <w:pPr>
      <w:widowControl/>
      <w:autoSpaceDE w:val="0"/>
      <w:autoSpaceDN w:val="0"/>
      <w:adjustRightInd w:val="0"/>
      <w:spacing w:before="60" w:after="60"/>
      <w:jc w:val="left"/>
    </w:pPr>
    <w:rPr>
      <w:rFonts w:eastAsia="仿宋_GB2312"/>
      <w:kern w:val="0"/>
      <w:sz w:val="24"/>
      <w:szCs w:val="20"/>
    </w:rPr>
  </w:style>
  <w:style w:type="character" w:customStyle="1" w:styleId="310">
    <w:name w:val="!我的正文 Ctr+Q Char Char"/>
    <w:qFormat/>
    <w:uiPriority w:val="0"/>
    <w:rPr>
      <w:rFonts w:ascii="Arial" w:hAnsi="Arial"/>
      <w:kern w:val="2"/>
      <w:sz w:val="24"/>
      <w:szCs w:val="21"/>
      <w:lang w:bidi="ar-SA"/>
    </w:rPr>
  </w:style>
  <w:style w:type="character" w:customStyle="1" w:styleId="311">
    <w:name w:val="BZ_四级标题 Char"/>
    <w:link w:val="163"/>
    <w:qFormat/>
    <w:uiPriority w:val="0"/>
    <w:rPr>
      <w:rFonts w:eastAsia="黑体"/>
      <w:bCs/>
      <w:kern w:val="2"/>
      <w:sz w:val="24"/>
      <w:szCs w:val="28"/>
    </w:rPr>
  </w:style>
  <w:style w:type="character" w:customStyle="1" w:styleId="312">
    <w:name w:val="Char Char17"/>
    <w:qFormat/>
    <w:uiPriority w:val="0"/>
    <w:rPr>
      <w:rFonts w:ascii="Tahoma" w:hAnsi="Tahoma" w:eastAsia="Helvetica"/>
      <w:sz w:val="21"/>
      <w:lang w:val="en-US" w:eastAsia="zh-CN" w:bidi="ar-SA"/>
    </w:rPr>
  </w:style>
  <w:style w:type="character" w:customStyle="1" w:styleId="313">
    <w:name w:val="heading 2 Char2"/>
    <w:qFormat/>
    <w:uiPriority w:val="0"/>
    <w:rPr>
      <w:rFonts w:ascii="Verdana" w:hAnsi="Verdana"/>
      <w:b/>
      <w:bCs/>
      <w:kern w:val="2"/>
      <w:sz w:val="32"/>
      <w:szCs w:val="32"/>
    </w:rPr>
  </w:style>
  <w:style w:type="character" w:customStyle="1" w:styleId="314">
    <w:name w:val="正文缩进字符"/>
    <w:link w:val="315"/>
    <w:qFormat/>
    <w:uiPriority w:val="0"/>
    <w:rPr>
      <w:rFonts w:ascii="宋体"/>
      <w:sz w:val="24"/>
    </w:rPr>
  </w:style>
  <w:style w:type="paragraph" w:customStyle="1" w:styleId="315">
    <w:name w:val="正文缩进2"/>
    <w:basedOn w:val="1"/>
    <w:link w:val="314"/>
    <w:qFormat/>
    <w:uiPriority w:val="0"/>
    <w:pPr>
      <w:autoSpaceDE w:val="0"/>
      <w:autoSpaceDN w:val="0"/>
      <w:adjustRightInd w:val="0"/>
      <w:spacing w:line="360" w:lineRule="auto"/>
      <w:ind w:firstLine="420" w:firstLineChars="200"/>
      <w:jc w:val="left"/>
    </w:pPr>
    <w:rPr>
      <w:rFonts w:ascii="宋体"/>
      <w:kern w:val="0"/>
      <w:sz w:val="24"/>
      <w:szCs w:val="20"/>
    </w:rPr>
  </w:style>
  <w:style w:type="character" w:customStyle="1" w:styleId="316">
    <w:name w:val="1Text Char"/>
    <w:link w:val="317"/>
    <w:qFormat/>
    <w:uiPriority w:val="0"/>
    <w:rPr>
      <w:rFonts w:ascii="Calibri" w:hAnsi="Calibri"/>
      <w:sz w:val="24"/>
      <w:szCs w:val="24"/>
    </w:rPr>
  </w:style>
  <w:style w:type="paragraph" w:customStyle="1" w:styleId="317">
    <w:name w:val="1Text"/>
    <w:basedOn w:val="1"/>
    <w:link w:val="316"/>
    <w:qFormat/>
    <w:uiPriority w:val="0"/>
    <w:pPr>
      <w:spacing w:beforeLines="50" w:afterLines="50" w:line="360" w:lineRule="auto"/>
      <w:ind w:firstLine="480" w:firstLineChars="200"/>
      <w:jc w:val="left"/>
    </w:pPr>
    <w:rPr>
      <w:rFonts w:ascii="Calibri" w:hAnsi="Calibri"/>
      <w:kern w:val="0"/>
      <w:sz w:val="24"/>
    </w:rPr>
  </w:style>
  <w:style w:type="character" w:customStyle="1" w:styleId="318">
    <w:name w:val="文档结构图 字符"/>
    <w:semiHidden/>
    <w:qFormat/>
    <w:uiPriority w:val="99"/>
    <w:rPr>
      <w:rFonts w:ascii="宋体"/>
      <w:sz w:val="18"/>
      <w:szCs w:val="18"/>
    </w:rPr>
  </w:style>
  <w:style w:type="character" w:customStyle="1" w:styleId="319">
    <w:name w:val="heading 8 Char1"/>
    <w:qFormat/>
    <w:uiPriority w:val="0"/>
    <w:rPr>
      <w:rFonts w:ascii="Tahoma" w:hAnsi="Tahoma" w:eastAsia="Helvetica"/>
      <w:sz w:val="24"/>
      <w:lang w:val="en-US" w:eastAsia="zh-CN" w:bidi="ar-SA"/>
    </w:rPr>
  </w:style>
  <w:style w:type="character" w:customStyle="1" w:styleId="320">
    <w:name w:val="Char Char171"/>
    <w:qFormat/>
    <w:uiPriority w:val="0"/>
    <w:rPr>
      <w:rFonts w:ascii="Verdana" w:hAnsi="Verdana"/>
      <w:b/>
      <w:bCs/>
      <w:kern w:val="2"/>
      <w:sz w:val="28"/>
      <w:szCs w:val="28"/>
    </w:rPr>
  </w:style>
  <w:style w:type="character" w:customStyle="1" w:styleId="321">
    <w:name w:val="副标题 Char"/>
    <w:qFormat/>
    <w:uiPriority w:val="0"/>
    <w:rPr>
      <w:rFonts w:ascii="Verdana" w:hAnsi="Verdana" w:eastAsia="仿宋_GB2312"/>
      <w:b/>
      <w:bCs/>
      <w:kern w:val="28"/>
      <w:sz w:val="32"/>
      <w:szCs w:val="32"/>
    </w:rPr>
  </w:style>
  <w:style w:type="character" w:customStyle="1" w:styleId="322">
    <w:name w:val="内容文本 Char"/>
    <w:link w:val="323"/>
    <w:qFormat/>
    <w:uiPriority w:val="0"/>
    <w:rPr>
      <w:rFonts w:ascii="宋体" w:hAnsi="宋体"/>
      <w:sz w:val="24"/>
      <w:szCs w:val="24"/>
      <w:lang w:eastAsia="en-US" w:bidi="en-US"/>
    </w:rPr>
  </w:style>
  <w:style w:type="paragraph" w:customStyle="1" w:styleId="323">
    <w:name w:val="内容文本"/>
    <w:basedOn w:val="303"/>
    <w:link w:val="322"/>
    <w:qFormat/>
    <w:uiPriority w:val="0"/>
    <w:pPr>
      <w:spacing w:line="360" w:lineRule="auto"/>
      <w:ind w:firstLine="200"/>
      <w:contextualSpacing/>
      <w:jc w:val="left"/>
    </w:pPr>
    <w:rPr>
      <w:rFonts w:ascii="宋体" w:hAnsi="宋体"/>
      <w:kern w:val="0"/>
      <w:sz w:val="24"/>
      <w:szCs w:val="24"/>
      <w:lang w:eastAsia="en-US" w:bidi="en-US"/>
    </w:rPr>
  </w:style>
  <w:style w:type="character" w:customStyle="1" w:styleId="324">
    <w:name w:val="明显引用 Char"/>
    <w:qFormat/>
    <w:uiPriority w:val="0"/>
    <w:rPr>
      <w:rFonts w:ascii="Century Gothic" w:hAnsi="Century Gothic" w:eastAsia="仿宋_GB2312"/>
      <w:b/>
      <w:bCs/>
      <w:i/>
      <w:iCs/>
      <w:color w:val="4F81BD"/>
    </w:rPr>
  </w:style>
  <w:style w:type="paragraph" w:styleId="325">
    <w:name w:val="Intense Quote"/>
    <w:basedOn w:val="1"/>
    <w:next w:val="1"/>
    <w:link w:val="596"/>
    <w:qFormat/>
    <w:uiPriority w:val="0"/>
    <w:pPr>
      <w:pBdr>
        <w:bottom w:val="single" w:color="4F81BD" w:sz="4" w:space="4"/>
      </w:pBdr>
      <w:spacing w:before="200" w:after="280"/>
      <w:ind w:left="936" w:right="936"/>
    </w:pPr>
    <w:rPr>
      <w:rFonts w:ascii="Century Gothic" w:hAnsi="Century Gothic" w:eastAsia="仿宋_GB2312"/>
      <w:b/>
      <w:bCs/>
      <w:i/>
      <w:iCs/>
      <w:color w:val="4F81BD"/>
      <w:kern w:val="0"/>
      <w:sz w:val="20"/>
      <w:szCs w:val="20"/>
    </w:rPr>
  </w:style>
  <w:style w:type="character" w:customStyle="1" w:styleId="326">
    <w:name w:val="Style5"/>
    <w:qFormat/>
    <w:uiPriority w:val="0"/>
    <w:rPr>
      <w:rFonts w:ascii="Century Gothic" w:hAnsi="仿宋_GB2312" w:eastAsia="仿宋_GB2312" w:cs="新宋体"/>
      <w:sz w:val="22"/>
      <w:szCs w:val="22"/>
      <w:lang w:eastAsia="zh-CN"/>
    </w:rPr>
  </w:style>
  <w:style w:type="character" w:customStyle="1" w:styleId="327">
    <w:name w:val="HTML 预设格式 Char"/>
    <w:qFormat/>
    <w:uiPriority w:val="0"/>
    <w:rPr>
      <w:rFonts w:ascii="黑体" w:hAnsi="Courier New" w:eastAsia="黑体"/>
    </w:rPr>
  </w:style>
  <w:style w:type="character" w:customStyle="1" w:styleId="328">
    <w:name w:val="BZ_图 Char"/>
    <w:link w:val="329"/>
    <w:qFormat/>
    <w:uiPriority w:val="0"/>
    <w:rPr>
      <w:kern w:val="2"/>
      <w:sz w:val="21"/>
      <w:szCs w:val="24"/>
    </w:rPr>
  </w:style>
  <w:style w:type="paragraph" w:customStyle="1" w:styleId="329">
    <w:name w:val="BZ_图"/>
    <w:basedOn w:val="1"/>
    <w:next w:val="1"/>
    <w:link w:val="328"/>
    <w:qFormat/>
    <w:uiPriority w:val="0"/>
    <w:pPr>
      <w:keepNext/>
      <w:widowControl/>
      <w:spacing w:beforeLines="50" w:afterLines="50"/>
      <w:jc w:val="center"/>
    </w:pPr>
  </w:style>
  <w:style w:type="character" w:customStyle="1" w:styleId="330">
    <w:name w:val="Char Char Char Char Char Char Char Char Char Char Char Char Char Char Char"/>
    <w:qFormat/>
    <w:uiPriority w:val="0"/>
    <w:rPr>
      <w:rFonts w:ascii="仿宋_GB2312" w:hAnsi="Wingdings" w:eastAsia="仿宋_GB2312"/>
      <w:sz w:val="21"/>
      <w:szCs w:val="21"/>
      <w:lang w:val="en-US" w:eastAsia="zh-CN" w:bidi="ar-SA"/>
    </w:rPr>
  </w:style>
  <w:style w:type="character" w:customStyle="1" w:styleId="331">
    <w:name w:val="标题 3 字符"/>
    <w:qFormat/>
    <w:uiPriority w:val="0"/>
    <w:rPr>
      <w:rFonts w:eastAsia="黑体"/>
      <w:b/>
      <w:sz w:val="28"/>
    </w:rPr>
  </w:style>
  <w:style w:type="character" w:customStyle="1" w:styleId="332">
    <w:name w:val="dandyren_title1"/>
    <w:qFormat/>
    <w:uiPriority w:val="0"/>
    <w:rPr>
      <w:b/>
      <w:bCs/>
      <w:color w:val="FF6633"/>
      <w:sz w:val="18"/>
      <w:szCs w:val="18"/>
    </w:rPr>
  </w:style>
  <w:style w:type="character" w:customStyle="1" w:styleId="333">
    <w:name w:val="样式 正文缩进首行缩进两字正文（首行缩进两字） Char正文（首行缩进两字） Char Char Char正文（首行缩进... Char"/>
    <w:link w:val="334"/>
    <w:qFormat/>
    <w:uiPriority w:val="0"/>
    <w:rPr>
      <w:rFonts w:cs="宋体"/>
      <w:szCs w:val="28"/>
    </w:rPr>
  </w:style>
  <w:style w:type="paragraph" w:customStyle="1" w:styleId="334">
    <w:name w:val="样式 正文缩进首行缩进两字正文（首行缩进两字） Char正文（首行缩进两字） Char Char Char正文（首行缩进..."/>
    <w:basedOn w:val="16"/>
    <w:link w:val="333"/>
    <w:qFormat/>
    <w:uiPriority w:val="0"/>
    <w:pPr>
      <w:autoSpaceDE w:val="0"/>
      <w:autoSpaceDN w:val="0"/>
      <w:spacing w:line="240" w:lineRule="auto"/>
      <w:ind w:firstLine="567"/>
    </w:pPr>
    <w:rPr>
      <w:rFonts w:cs="宋体"/>
      <w:sz w:val="20"/>
      <w:szCs w:val="28"/>
    </w:rPr>
  </w:style>
  <w:style w:type="character" w:customStyle="1" w:styleId="335">
    <w:name w:val="1Text Char Char"/>
    <w:qFormat/>
    <w:uiPriority w:val="0"/>
    <w:rPr>
      <w:rFonts w:ascii="Calibri" w:hAnsi="Calibri" w:eastAsia="宋体"/>
      <w:sz w:val="24"/>
      <w:szCs w:val="24"/>
      <w:lang w:bidi="ar-SA"/>
    </w:rPr>
  </w:style>
  <w:style w:type="character" w:customStyle="1" w:styleId="336">
    <w:name w:val="Char Char211"/>
    <w:qFormat/>
    <w:uiPriority w:val="0"/>
    <w:rPr>
      <w:rFonts w:ascii="新宋体" w:hAnsi="新宋体" w:eastAsia="仿宋_GB2312" w:cs="新宋体"/>
      <w:b/>
      <w:bCs/>
      <w:kern w:val="44"/>
      <w:sz w:val="44"/>
      <w:szCs w:val="44"/>
    </w:rPr>
  </w:style>
  <w:style w:type="character" w:customStyle="1" w:styleId="337">
    <w:name w:val="强调划线"/>
    <w:qFormat/>
    <w:uiPriority w:val="0"/>
    <w:rPr>
      <w:u w:val="single"/>
    </w:rPr>
  </w:style>
  <w:style w:type="character" w:customStyle="1" w:styleId="338">
    <w:name w:val="backtitle1"/>
    <w:qFormat/>
    <w:uiPriority w:val="0"/>
    <w:rPr>
      <w:rFonts w:eastAsia="宋体"/>
      <w:b/>
      <w:bCs/>
      <w:color w:val="000000"/>
      <w:kern w:val="2"/>
      <w:sz w:val="18"/>
      <w:szCs w:val="18"/>
      <w:lang w:val="en-US" w:eastAsia="zh-CN" w:bidi="ar-SA"/>
    </w:rPr>
  </w:style>
  <w:style w:type="character" w:customStyle="1" w:styleId="339">
    <w:name w:val="哈哈正文 Char Char"/>
    <w:qFormat/>
    <w:uiPriority w:val="0"/>
    <w:rPr>
      <w:rFonts w:ascii="宋体" w:hAnsi="宋体"/>
      <w:kern w:val="2"/>
      <w:sz w:val="24"/>
      <w:lang w:bidi="ar-SA"/>
    </w:rPr>
  </w:style>
  <w:style w:type="character" w:customStyle="1" w:styleId="340">
    <w:name w:val="正文首行缩进 2 Char"/>
    <w:qFormat/>
    <w:uiPriority w:val="0"/>
    <w:rPr>
      <w:kern w:val="2"/>
      <w:sz w:val="21"/>
      <w:szCs w:val="24"/>
    </w:rPr>
  </w:style>
  <w:style w:type="character" w:customStyle="1" w:styleId="341">
    <w:name w:val="注释题目"/>
    <w:qFormat/>
    <w:uiPriority w:val="0"/>
    <w:rPr>
      <w:rFonts w:eastAsia="黑体"/>
      <w:sz w:val="28"/>
      <w:u w:val="none"/>
    </w:rPr>
  </w:style>
  <w:style w:type="character" w:customStyle="1" w:styleId="342">
    <w:name w:val="三级标题 Char"/>
    <w:link w:val="343"/>
    <w:qFormat/>
    <w:uiPriority w:val="0"/>
    <w:rPr>
      <w:rFonts w:eastAsia="黑体"/>
      <w:b/>
      <w:kern w:val="2"/>
      <w:sz w:val="28"/>
      <w:szCs w:val="22"/>
    </w:rPr>
  </w:style>
  <w:style w:type="paragraph" w:customStyle="1" w:styleId="343">
    <w:name w:val="三级标题"/>
    <w:basedOn w:val="1"/>
    <w:link w:val="342"/>
    <w:qFormat/>
    <w:uiPriority w:val="0"/>
    <w:pPr>
      <w:tabs>
        <w:tab w:val="left" w:pos="420"/>
      </w:tabs>
      <w:spacing w:line="360" w:lineRule="auto"/>
      <w:ind w:left="420" w:firstLine="200" w:firstLineChars="200"/>
      <w:outlineLvl w:val="2"/>
    </w:pPr>
    <w:rPr>
      <w:rFonts w:eastAsia="黑体"/>
      <w:b/>
      <w:sz w:val="28"/>
      <w:szCs w:val="22"/>
    </w:rPr>
  </w:style>
  <w:style w:type="character" w:customStyle="1" w:styleId="344">
    <w:name w:val="样式 宋体"/>
    <w:qFormat/>
    <w:uiPriority w:val="0"/>
    <w:rPr>
      <w:rFonts w:ascii="仿宋_GB2312" w:hAnsi="仿宋_GB2312" w:eastAsia="仿宋_GB2312"/>
      <w:sz w:val="24"/>
      <w:szCs w:val="24"/>
    </w:rPr>
  </w:style>
  <w:style w:type="character" w:customStyle="1" w:styleId="345">
    <w:name w:val="heading 1 Char"/>
    <w:qFormat/>
    <w:uiPriority w:val="0"/>
    <w:rPr>
      <w:rFonts w:ascii="Tahoma" w:hAnsi="Tahoma" w:eastAsia="Helvetica"/>
      <w:b/>
      <w:sz w:val="36"/>
      <w:szCs w:val="36"/>
    </w:rPr>
  </w:style>
  <w:style w:type="character" w:customStyle="1" w:styleId="346">
    <w:name w:val="栏目标题 Char Char"/>
    <w:link w:val="347"/>
    <w:qFormat/>
    <w:uiPriority w:val="0"/>
    <w:rPr>
      <w:rFonts w:ascii="黑体" w:hAnsi="黑体" w:eastAsia="黑体"/>
      <w:b/>
      <w:kern w:val="2"/>
      <w:sz w:val="21"/>
      <w:szCs w:val="24"/>
    </w:rPr>
  </w:style>
  <w:style w:type="paragraph" w:customStyle="1" w:styleId="347">
    <w:name w:val="栏目标题"/>
    <w:basedOn w:val="1"/>
    <w:link w:val="346"/>
    <w:qFormat/>
    <w:uiPriority w:val="0"/>
    <w:pPr>
      <w:jc w:val="center"/>
    </w:pPr>
    <w:rPr>
      <w:rFonts w:ascii="黑体" w:hAnsi="黑体" w:eastAsia="黑体"/>
      <w:b/>
    </w:rPr>
  </w:style>
  <w:style w:type="character" w:customStyle="1" w:styleId="348">
    <w:name w:val="纯文本 字符"/>
    <w:qFormat/>
    <w:uiPriority w:val="0"/>
    <w:rPr>
      <w:rFonts w:ascii="宋体" w:hAnsi="Courier New"/>
      <w:kern w:val="2"/>
      <w:sz w:val="21"/>
    </w:rPr>
  </w:style>
  <w:style w:type="character" w:customStyle="1" w:styleId="349">
    <w:name w:val="!我的正文 Ctr+Q Char"/>
    <w:link w:val="350"/>
    <w:qFormat/>
    <w:uiPriority w:val="0"/>
    <w:rPr>
      <w:rFonts w:ascii="Arial" w:hAnsi="Arial"/>
      <w:kern w:val="2"/>
      <w:sz w:val="24"/>
      <w:szCs w:val="21"/>
    </w:rPr>
  </w:style>
  <w:style w:type="paragraph" w:customStyle="1" w:styleId="350">
    <w:name w:val="!我的正文 Ctr+Q"/>
    <w:basedOn w:val="1"/>
    <w:link w:val="349"/>
    <w:qFormat/>
    <w:uiPriority w:val="0"/>
    <w:pPr>
      <w:adjustRightInd w:val="0"/>
      <w:snapToGrid w:val="0"/>
      <w:spacing w:beforeLines="50" w:afterLines="50" w:line="360" w:lineRule="auto"/>
      <w:ind w:firstLine="480" w:firstLineChars="200"/>
      <w:jc w:val="left"/>
    </w:pPr>
    <w:rPr>
      <w:rFonts w:ascii="Arial" w:hAnsi="Arial"/>
      <w:sz w:val="24"/>
      <w:szCs w:val="21"/>
    </w:rPr>
  </w:style>
  <w:style w:type="character" w:customStyle="1" w:styleId="351">
    <w:name w:val="标题 9 字符"/>
    <w:qFormat/>
    <w:uiPriority w:val="0"/>
    <w:rPr>
      <w:rFonts w:ascii="Arial" w:hAnsi="Arial" w:eastAsia="黑体"/>
      <w:kern w:val="2"/>
      <w:sz w:val="21"/>
      <w:vertAlign w:val="superscript"/>
    </w:rPr>
  </w:style>
  <w:style w:type="character" w:customStyle="1" w:styleId="352">
    <w:name w:val="Char Char12"/>
    <w:qFormat/>
    <w:uiPriority w:val="0"/>
    <w:rPr>
      <w:rFonts w:ascii="仿宋_GB2312" w:hAnsi="Wingdings" w:eastAsia="仿宋_GB2312"/>
      <w:sz w:val="21"/>
      <w:szCs w:val="21"/>
      <w:lang w:val="en-US" w:eastAsia="zh-CN" w:bidi="ar-SA"/>
    </w:rPr>
  </w:style>
  <w:style w:type="character" w:customStyle="1" w:styleId="353">
    <w:name w:val="Char Char221"/>
    <w:qFormat/>
    <w:uiPriority w:val="0"/>
    <w:rPr>
      <w:rFonts w:ascii="Verdana" w:hAnsi="Verdana" w:eastAsia="仿宋_GB2312"/>
      <w:b/>
      <w:bCs/>
      <w:kern w:val="2"/>
      <w:sz w:val="28"/>
      <w:szCs w:val="28"/>
      <w:lang w:val="en-US" w:eastAsia="zh-CN" w:bidi="ar-SA"/>
    </w:rPr>
  </w:style>
  <w:style w:type="character" w:customStyle="1" w:styleId="354">
    <w:name w:val="Footer-Even Char1"/>
    <w:qFormat/>
    <w:uiPriority w:val="0"/>
    <w:rPr>
      <w:rFonts w:eastAsia="仿宋_GB2312"/>
      <w:kern w:val="2"/>
      <w:sz w:val="18"/>
      <w:szCs w:val="18"/>
      <w:lang w:val="en-US" w:eastAsia="zh-CN" w:bidi="ar-SA"/>
    </w:rPr>
  </w:style>
  <w:style w:type="character" w:customStyle="1" w:styleId="355">
    <w:name w:val="xl77 Char"/>
    <w:link w:val="356"/>
    <w:qFormat/>
    <w:uiPriority w:val="0"/>
    <w:rPr>
      <w:b/>
      <w:bCs/>
      <w:sz w:val="28"/>
      <w:szCs w:val="28"/>
    </w:rPr>
  </w:style>
  <w:style w:type="paragraph" w:customStyle="1" w:styleId="356">
    <w:name w:val="xl77"/>
    <w:basedOn w:val="1"/>
    <w:link w:val="355"/>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8"/>
      <w:szCs w:val="28"/>
    </w:rPr>
  </w:style>
  <w:style w:type="character" w:customStyle="1" w:styleId="357">
    <w:name w:val="正文文本缩进 3 字符"/>
    <w:qFormat/>
    <w:uiPriority w:val="0"/>
    <w:rPr>
      <w:kern w:val="2"/>
      <w:sz w:val="16"/>
      <w:szCs w:val="16"/>
    </w:rPr>
  </w:style>
  <w:style w:type="character" w:customStyle="1" w:styleId="358">
    <w:name w:val="Subtle Emphasis1"/>
    <w:qFormat/>
    <w:uiPriority w:val="0"/>
    <w:rPr>
      <w:i/>
      <w:iCs/>
      <w:color w:val="808080"/>
    </w:rPr>
  </w:style>
  <w:style w:type="character" w:customStyle="1" w:styleId="359">
    <w:name w:val="Book Title1"/>
    <w:qFormat/>
    <w:uiPriority w:val="0"/>
    <w:rPr>
      <w:b/>
      <w:bCs/>
      <w:smallCaps/>
      <w:spacing w:val="5"/>
    </w:rPr>
  </w:style>
  <w:style w:type="character" w:customStyle="1" w:styleId="360">
    <w:name w:val="目录标题 Char Char"/>
    <w:link w:val="361"/>
    <w:qFormat/>
    <w:uiPriority w:val="0"/>
    <w:rPr>
      <w:rFonts w:eastAsia="黑体"/>
      <w:b/>
      <w:bCs/>
      <w:kern w:val="2"/>
      <w:sz w:val="44"/>
      <w:szCs w:val="44"/>
    </w:rPr>
  </w:style>
  <w:style w:type="paragraph" w:customStyle="1" w:styleId="361">
    <w:name w:val="目录标题"/>
    <w:basedOn w:val="1"/>
    <w:link w:val="360"/>
    <w:qFormat/>
    <w:uiPriority w:val="0"/>
    <w:pPr>
      <w:jc w:val="center"/>
    </w:pPr>
    <w:rPr>
      <w:rFonts w:eastAsia="黑体"/>
      <w:b/>
      <w:bCs/>
      <w:sz w:val="44"/>
      <w:szCs w:val="44"/>
    </w:rPr>
  </w:style>
  <w:style w:type="character" w:customStyle="1" w:styleId="362">
    <w:name w:val="4 Char"/>
    <w:link w:val="363"/>
    <w:qFormat/>
    <w:uiPriority w:val="0"/>
    <w:rPr>
      <w:rFonts w:ascii="仿宋" w:hAnsi="仿宋" w:eastAsia="仿宋"/>
      <w:b/>
      <w:bCs/>
      <w:kern w:val="2"/>
      <w:sz w:val="24"/>
      <w:szCs w:val="24"/>
    </w:rPr>
  </w:style>
  <w:style w:type="paragraph" w:customStyle="1" w:styleId="363">
    <w:name w:val="4"/>
    <w:basedOn w:val="7"/>
    <w:link w:val="362"/>
    <w:qFormat/>
    <w:uiPriority w:val="0"/>
    <w:pPr>
      <w:spacing w:before="0" w:after="0" w:line="360" w:lineRule="auto"/>
      <w:ind w:firstLine="200" w:firstLineChars="200"/>
    </w:pPr>
    <w:rPr>
      <w:rFonts w:ascii="仿宋" w:hAnsi="仿宋" w:eastAsia="仿宋"/>
      <w:sz w:val="24"/>
      <w:szCs w:val="24"/>
    </w:rPr>
  </w:style>
  <w:style w:type="character" w:customStyle="1" w:styleId="364">
    <w:name w:val="文本正文 Char"/>
    <w:link w:val="365"/>
    <w:qFormat/>
    <w:uiPriority w:val="0"/>
    <w:rPr>
      <w:rFonts w:ascii="Calibri" w:hAnsi="Calibri" w:eastAsia="仿宋"/>
      <w:kern w:val="2"/>
      <w:sz w:val="24"/>
      <w:szCs w:val="22"/>
    </w:rPr>
  </w:style>
  <w:style w:type="paragraph" w:customStyle="1" w:styleId="365">
    <w:name w:val="文本正文"/>
    <w:basedOn w:val="1"/>
    <w:link w:val="364"/>
    <w:qFormat/>
    <w:uiPriority w:val="0"/>
    <w:pPr>
      <w:spacing w:beforeLines="50" w:afterLines="50" w:line="360" w:lineRule="auto"/>
      <w:ind w:firstLine="200" w:firstLineChars="200"/>
    </w:pPr>
    <w:rPr>
      <w:rFonts w:ascii="Calibri" w:hAnsi="Calibri" w:eastAsia="仿宋"/>
      <w:sz w:val="24"/>
      <w:szCs w:val="22"/>
    </w:rPr>
  </w:style>
  <w:style w:type="character" w:customStyle="1" w:styleId="366">
    <w:name w:val="ll"/>
    <w:qFormat/>
    <w:uiPriority w:val="0"/>
    <w:rPr>
      <w:rFonts w:eastAsia="宋体"/>
      <w:kern w:val="2"/>
      <w:sz w:val="21"/>
      <w:szCs w:val="24"/>
      <w:lang w:val="en-US" w:eastAsia="zh-CN" w:bidi="ar-SA"/>
    </w:rPr>
  </w:style>
  <w:style w:type="character" w:customStyle="1" w:styleId="367">
    <w:name w:val="五级标题 Char"/>
    <w:link w:val="368"/>
    <w:qFormat/>
    <w:uiPriority w:val="0"/>
    <w:rPr>
      <w:rFonts w:eastAsia="黑体"/>
      <w:b/>
      <w:kern w:val="2"/>
      <w:sz w:val="28"/>
      <w:szCs w:val="22"/>
    </w:rPr>
  </w:style>
  <w:style w:type="paragraph" w:customStyle="1" w:styleId="368">
    <w:name w:val="五级标题"/>
    <w:basedOn w:val="1"/>
    <w:link w:val="367"/>
    <w:qFormat/>
    <w:uiPriority w:val="0"/>
    <w:pPr>
      <w:spacing w:line="360" w:lineRule="auto"/>
      <w:ind w:left="420" w:firstLine="200" w:firstLineChars="200"/>
      <w:outlineLvl w:val="4"/>
    </w:pPr>
    <w:rPr>
      <w:rFonts w:eastAsia="黑体"/>
      <w:b/>
      <w:sz w:val="28"/>
      <w:szCs w:val="22"/>
    </w:rPr>
  </w:style>
  <w:style w:type="character" w:customStyle="1" w:styleId="369">
    <w:name w:val="正文首行缩进 Char1"/>
    <w:qFormat/>
    <w:uiPriority w:val="0"/>
    <w:rPr>
      <w:rFonts w:eastAsia="仿宋_GB2312"/>
      <w:lang w:val="en-US" w:eastAsia="zh-CN" w:bidi="ar-SA"/>
    </w:rPr>
  </w:style>
  <w:style w:type="character" w:customStyle="1" w:styleId="370">
    <w:name w:val="Char Char212"/>
    <w:qFormat/>
    <w:uiPriority w:val="0"/>
    <w:rPr>
      <w:rFonts w:eastAsia="仿宋_GB2312"/>
      <w:b/>
      <w:bCs/>
      <w:kern w:val="2"/>
      <w:sz w:val="28"/>
      <w:szCs w:val="28"/>
      <w:lang w:val="en-US" w:eastAsia="zh-CN" w:bidi="ar-SA"/>
    </w:rPr>
  </w:style>
  <w:style w:type="character" w:customStyle="1" w:styleId="371">
    <w:name w:val="PI Char"/>
    <w:qFormat/>
    <w:uiPriority w:val="0"/>
    <w:rPr>
      <w:rFonts w:ascii="仿宋_GB2312" w:hAnsi="仿宋_GB2312"/>
      <w:sz w:val="24"/>
    </w:rPr>
  </w:style>
  <w:style w:type="character" w:customStyle="1" w:styleId="372">
    <w:name w:val="表正文 Char2"/>
    <w:qFormat/>
    <w:uiPriority w:val="0"/>
    <w:rPr>
      <w:rFonts w:ascii="新宋体" w:hAnsi="新宋体" w:eastAsia="仿宋_GB2312" w:cs="新宋体"/>
      <w:szCs w:val="24"/>
    </w:rPr>
  </w:style>
  <w:style w:type="character" w:customStyle="1" w:styleId="373">
    <w:name w:val="页眉 字符"/>
    <w:link w:val="43"/>
    <w:qFormat/>
    <w:uiPriority w:val="99"/>
    <w:rPr>
      <w:kern w:val="2"/>
      <w:sz w:val="18"/>
      <w:szCs w:val="18"/>
    </w:rPr>
  </w:style>
  <w:style w:type="character" w:customStyle="1" w:styleId="374">
    <w:name w:val="大标题 Char"/>
    <w:qFormat/>
    <w:uiPriority w:val="0"/>
    <w:rPr>
      <w:rFonts w:ascii="黑体" w:hAnsi="黑体" w:eastAsia="黑体"/>
      <w:b/>
      <w:bCs/>
      <w:kern w:val="2"/>
      <w:sz w:val="72"/>
      <w:szCs w:val="72"/>
    </w:rPr>
  </w:style>
  <w:style w:type="character" w:customStyle="1" w:styleId="375">
    <w:name w:val="Char Char Char1"/>
    <w:qFormat/>
    <w:uiPriority w:val="0"/>
    <w:rPr>
      <w:rFonts w:ascii="仿宋_GB2312" w:hAnsi="Wingdings"/>
      <w:sz w:val="21"/>
      <w:szCs w:val="21"/>
    </w:rPr>
  </w:style>
  <w:style w:type="character" w:customStyle="1" w:styleId="376">
    <w:name w:val="Char Char15"/>
    <w:qFormat/>
    <w:uiPriority w:val="0"/>
    <w:rPr>
      <w:rFonts w:ascii="Tahoma" w:hAnsi="Tahoma" w:eastAsia="Helvetica"/>
      <w:sz w:val="24"/>
      <w:szCs w:val="24"/>
    </w:rPr>
  </w:style>
  <w:style w:type="character" w:customStyle="1" w:styleId="377">
    <w:name w:val="表格标题 Char Char"/>
    <w:link w:val="378"/>
    <w:qFormat/>
    <w:uiPriority w:val="0"/>
    <w:rPr>
      <w:rFonts w:ascii="黑体" w:hAnsi="黑体" w:eastAsia="黑体"/>
      <w:b/>
      <w:color w:val="FFFFFF"/>
      <w:kern w:val="2"/>
      <w:sz w:val="21"/>
      <w:szCs w:val="24"/>
    </w:rPr>
  </w:style>
  <w:style w:type="paragraph" w:customStyle="1" w:styleId="378">
    <w:name w:val="表格标题"/>
    <w:basedOn w:val="1"/>
    <w:link w:val="377"/>
    <w:qFormat/>
    <w:uiPriority w:val="0"/>
    <w:rPr>
      <w:rFonts w:ascii="黑体" w:hAnsi="黑体" w:eastAsia="黑体"/>
      <w:b/>
      <w:color w:val="FFFFFF"/>
    </w:rPr>
  </w:style>
  <w:style w:type="character" w:customStyle="1" w:styleId="379">
    <w:name w:val="Intense Reference1"/>
    <w:qFormat/>
    <w:uiPriority w:val="32"/>
    <w:rPr>
      <w:b/>
      <w:bCs/>
      <w:smallCaps/>
      <w:color w:val="C0504D"/>
      <w:spacing w:val="5"/>
      <w:u w:val="single"/>
    </w:rPr>
  </w:style>
  <w:style w:type="character" w:customStyle="1" w:styleId="380">
    <w:name w:val="gray6"/>
    <w:basedOn w:val="70"/>
    <w:qFormat/>
    <w:uiPriority w:val="0"/>
  </w:style>
  <w:style w:type="character" w:customStyle="1" w:styleId="381">
    <w:name w:val="Char Char202"/>
    <w:qFormat/>
    <w:uiPriority w:val="0"/>
    <w:rPr>
      <w:b/>
      <w:bCs/>
      <w:kern w:val="44"/>
      <w:sz w:val="44"/>
      <w:szCs w:val="44"/>
    </w:rPr>
  </w:style>
  <w:style w:type="character" w:customStyle="1" w:styleId="382">
    <w:name w:val="ändrad Char"/>
    <w:qFormat/>
    <w:uiPriority w:val="0"/>
    <w:rPr>
      <w:rFonts w:eastAsia="仿宋_GB2312"/>
      <w:kern w:val="2"/>
      <w:sz w:val="21"/>
      <w:szCs w:val="24"/>
      <w:lang w:val="en-US" w:eastAsia="zh-CN" w:bidi="ar-SA"/>
    </w:rPr>
  </w:style>
  <w:style w:type="character" w:customStyle="1" w:styleId="383">
    <w:name w:val="大标题 Char Char"/>
    <w:link w:val="384"/>
    <w:qFormat/>
    <w:uiPriority w:val="0"/>
    <w:rPr>
      <w:rFonts w:ascii="黑体" w:hAnsi="黑体" w:eastAsia="黑体"/>
      <w:b/>
      <w:bCs/>
      <w:kern w:val="2"/>
      <w:sz w:val="72"/>
      <w:szCs w:val="72"/>
    </w:rPr>
  </w:style>
  <w:style w:type="paragraph" w:customStyle="1" w:styleId="384">
    <w:name w:val="大标题"/>
    <w:basedOn w:val="1"/>
    <w:link w:val="383"/>
    <w:qFormat/>
    <w:uiPriority w:val="0"/>
    <w:pPr>
      <w:spacing w:line="40" w:lineRule="atLeast"/>
    </w:pPr>
    <w:rPr>
      <w:rFonts w:ascii="黑体" w:hAnsi="黑体" w:eastAsia="黑体"/>
      <w:b/>
      <w:bCs/>
      <w:sz w:val="72"/>
      <w:szCs w:val="72"/>
    </w:rPr>
  </w:style>
  <w:style w:type="character" w:customStyle="1" w:styleId="385">
    <w:name w:val="Ò³Ã¼ Char Char"/>
    <w:qFormat/>
    <w:uiPriority w:val="0"/>
    <w:rPr>
      <w:sz w:val="18"/>
      <w:szCs w:val="18"/>
    </w:rPr>
  </w:style>
  <w:style w:type="character" w:customStyle="1" w:styleId="386">
    <w:name w:val="Char Char161"/>
    <w:qFormat/>
    <w:uiPriority w:val="0"/>
    <w:rPr>
      <w:rFonts w:eastAsia="仿宋_GB2312"/>
      <w:sz w:val="21"/>
      <w:lang w:val="en-US" w:eastAsia="zh-CN" w:bidi="ar-SA"/>
    </w:rPr>
  </w:style>
  <w:style w:type="character" w:customStyle="1" w:styleId="387">
    <w:name w:val="style41"/>
    <w:qFormat/>
    <w:uiPriority w:val="0"/>
    <w:rPr>
      <w:color w:val="auto"/>
    </w:rPr>
  </w:style>
  <w:style w:type="character" w:customStyle="1" w:styleId="388">
    <w:name w:val="正文4 Char Char"/>
    <w:link w:val="389"/>
    <w:qFormat/>
    <w:uiPriority w:val="0"/>
    <w:rPr>
      <w:kern w:val="2"/>
      <w:sz w:val="24"/>
      <w:szCs w:val="24"/>
    </w:rPr>
  </w:style>
  <w:style w:type="paragraph" w:customStyle="1" w:styleId="389">
    <w:name w:val="正文4"/>
    <w:basedOn w:val="1"/>
    <w:link w:val="388"/>
    <w:qFormat/>
    <w:uiPriority w:val="0"/>
    <w:pPr>
      <w:tabs>
        <w:tab w:val="left" w:pos="520"/>
      </w:tabs>
      <w:spacing w:before="60" w:after="60" w:line="360" w:lineRule="auto"/>
    </w:pPr>
    <w:rPr>
      <w:sz w:val="24"/>
    </w:rPr>
  </w:style>
  <w:style w:type="character" w:customStyle="1" w:styleId="390">
    <w:name w:val="Char Char201"/>
    <w:qFormat/>
    <w:uiPriority w:val="0"/>
    <w:rPr>
      <w:rFonts w:ascii="Verdana" w:hAnsi="Verdana" w:eastAsia="仿宋_GB2312" w:cs="新宋体"/>
      <w:b/>
      <w:bCs/>
      <w:sz w:val="32"/>
      <w:szCs w:val="32"/>
    </w:rPr>
  </w:style>
  <w:style w:type="character" w:customStyle="1" w:styleId="391">
    <w:name w:val="Char Char20"/>
    <w:qFormat/>
    <w:uiPriority w:val="0"/>
    <w:rPr>
      <w:rFonts w:ascii="Tahoma" w:hAnsi="Tahoma" w:eastAsia="Helvetica"/>
      <w:sz w:val="21"/>
      <w:szCs w:val="21"/>
      <w:lang w:val="en-US" w:eastAsia="zh-CN" w:bidi="ar-SA"/>
    </w:rPr>
  </w:style>
  <w:style w:type="character" w:customStyle="1" w:styleId="392">
    <w:name w:val="Char Char10"/>
    <w:qFormat/>
    <w:uiPriority w:val="0"/>
    <w:rPr>
      <w:rFonts w:eastAsia="仿宋_GB2312"/>
      <w:b/>
      <w:bCs/>
      <w:kern w:val="2"/>
      <w:sz w:val="21"/>
      <w:szCs w:val="24"/>
      <w:lang w:val="en-US" w:eastAsia="zh-CN" w:bidi="ar-SA"/>
    </w:rPr>
  </w:style>
  <w:style w:type="character" w:customStyle="1" w:styleId="393">
    <w:name w:val="heading 9 Char1"/>
    <w:qFormat/>
    <w:uiPriority w:val="0"/>
    <w:rPr>
      <w:rFonts w:ascii="Tahoma" w:hAnsi="Tahoma" w:eastAsia="Helvetica"/>
      <w:sz w:val="21"/>
      <w:lang w:val="en-US" w:eastAsia="zh-CN" w:bidi="ar-SA"/>
    </w:rPr>
  </w:style>
  <w:style w:type="character" w:customStyle="1" w:styleId="394">
    <w:name w:val="PI Char1"/>
    <w:qFormat/>
    <w:uiPriority w:val="0"/>
    <w:rPr>
      <w:rFonts w:eastAsia="仿宋_GB2312"/>
      <w:kern w:val="2"/>
      <w:sz w:val="24"/>
      <w:szCs w:val="24"/>
      <w:lang w:val="en-US" w:eastAsia="zh-CN" w:bidi="ar-SA"/>
    </w:rPr>
  </w:style>
  <w:style w:type="character" w:customStyle="1" w:styleId="395">
    <w:name w:val="注释正文"/>
    <w:qFormat/>
    <w:uiPriority w:val="0"/>
    <w:rPr>
      <w:rFonts w:eastAsia="宋体"/>
      <w:sz w:val="28"/>
      <w:u w:val="single"/>
    </w:rPr>
  </w:style>
  <w:style w:type="character" w:customStyle="1" w:styleId="396">
    <w:name w:val="金保标题2 Char"/>
    <w:link w:val="397"/>
    <w:qFormat/>
    <w:locked/>
    <w:uiPriority w:val="0"/>
    <w:rPr>
      <w:rFonts w:ascii="新宋体" w:hAnsi="新宋体" w:eastAsia="新宋体"/>
      <w:b/>
      <w:bCs/>
      <w:color w:val="000000"/>
      <w:kern w:val="2"/>
      <w:sz w:val="22"/>
      <w:szCs w:val="22"/>
      <w:lang w:val="zh-CN"/>
    </w:rPr>
  </w:style>
  <w:style w:type="paragraph" w:customStyle="1" w:styleId="397">
    <w:name w:val="金保标题2"/>
    <w:basedOn w:val="5"/>
    <w:next w:val="1"/>
    <w:link w:val="396"/>
    <w:qFormat/>
    <w:uiPriority w:val="0"/>
    <w:pPr>
      <w:widowControl/>
      <w:spacing w:before="0" w:after="0" w:line="440" w:lineRule="exact"/>
      <w:ind w:right="84" w:rightChars="40"/>
      <w:jc w:val="left"/>
    </w:pPr>
    <w:rPr>
      <w:rFonts w:ascii="新宋体" w:hAnsi="新宋体" w:eastAsia="新宋体"/>
      <w:color w:val="000000"/>
      <w:sz w:val="22"/>
      <w:szCs w:val="22"/>
      <w:lang w:val="zh-CN"/>
    </w:rPr>
  </w:style>
  <w:style w:type="character" w:customStyle="1" w:styleId="398">
    <w:name w:val="样式 标题 3 + 黑体 小四 Char"/>
    <w:link w:val="399"/>
    <w:qFormat/>
    <w:uiPriority w:val="0"/>
    <w:rPr>
      <w:rFonts w:ascii="Helvetica" w:hAnsi="Tahoma" w:eastAsia="Helvetica"/>
      <w:bCs/>
      <w:sz w:val="24"/>
      <w:szCs w:val="24"/>
    </w:rPr>
  </w:style>
  <w:style w:type="paragraph" w:customStyle="1" w:styleId="399">
    <w:name w:val="样式 标题 3 + 黑体 小四"/>
    <w:basedOn w:val="6"/>
    <w:link w:val="398"/>
    <w:qFormat/>
    <w:uiPriority w:val="0"/>
    <w:pPr>
      <w:spacing w:before="0" w:after="0" w:line="415" w:lineRule="auto"/>
    </w:pPr>
    <w:rPr>
      <w:rFonts w:ascii="Helvetica" w:hAnsi="Tahoma" w:eastAsia="Helvetica"/>
      <w:b w:val="0"/>
      <w:kern w:val="0"/>
      <w:sz w:val="24"/>
      <w:szCs w:val="24"/>
    </w:rPr>
  </w:style>
  <w:style w:type="character" w:customStyle="1" w:styleId="400">
    <w:name w:val="宏文本 Char"/>
    <w:qFormat/>
    <w:uiPriority w:val="0"/>
    <w:rPr>
      <w:rFonts w:ascii="Wingdings" w:hAnsi="Wingdings" w:eastAsia="Times New Roman"/>
      <w:kern w:val="2"/>
      <w:sz w:val="24"/>
      <w:szCs w:val="24"/>
    </w:rPr>
  </w:style>
  <w:style w:type="character" w:customStyle="1" w:styleId="401">
    <w:name w:val="Subtle Reference1"/>
    <w:qFormat/>
    <w:uiPriority w:val="0"/>
    <w:rPr>
      <w:smallCaps/>
      <w:color w:val="C0504D"/>
      <w:u w:val="single"/>
    </w:rPr>
  </w:style>
  <w:style w:type="character" w:customStyle="1" w:styleId="402">
    <w:name w:val="Char Char191"/>
    <w:qFormat/>
    <w:uiPriority w:val="0"/>
    <w:rPr>
      <w:rFonts w:ascii="Verdana" w:hAnsi="Verdana"/>
      <w:b/>
      <w:bCs/>
      <w:kern w:val="2"/>
      <w:sz w:val="32"/>
      <w:szCs w:val="32"/>
    </w:rPr>
  </w:style>
  <w:style w:type="character" w:customStyle="1" w:styleId="403">
    <w:name w:val="Char Char Char2"/>
    <w:qFormat/>
    <w:uiPriority w:val="0"/>
    <w:rPr>
      <w:rFonts w:ascii="仿宋_GB2312" w:hAnsi="Wingdings" w:eastAsia="仿宋_GB2312"/>
      <w:sz w:val="21"/>
      <w:szCs w:val="21"/>
      <w:lang w:val="en-US" w:eastAsia="zh-CN" w:bidi="ar-SA"/>
    </w:rPr>
  </w:style>
  <w:style w:type="character" w:customStyle="1" w:styleId="404">
    <w:name w:val="PI Char2"/>
    <w:qFormat/>
    <w:uiPriority w:val="0"/>
    <w:rPr>
      <w:kern w:val="2"/>
      <w:sz w:val="24"/>
      <w:szCs w:val="24"/>
    </w:rPr>
  </w:style>
  <w:style w:type="character" w:customStyle="1" w:styleId="405">
    <w:name w:val="小标题 Char Char"/>
    <w:link w:val="406"/>
    <w:qFormat/>
    <w:uiPriority w:val="0"/>
    <w:rPr>
      <w:rFonts w:ascii="黑体" w:hAnsi="黑体" w:eastAsia="黑体"/>
      <w:b/>
      <w:bCs/>
      <w:kern w:val="2"/>
      <w:sz w:val="48"/>
      <w:szCs w:val="48"/>
    </w:rPr>
  </w:style>
  <w:style w:type="paragraph" w:customStyle="1" w:styleId="406">
    <w:name w:val="小标题"/>
    <w:basedOn w:val="1"/>
    <w:link w:val="405"/>
    <w:qFormat/>
    <w:uiPriority w:val="0"/>
    <w:pPr>
      <w:spacing w:line="40" w:lineRule="atLeast"/>
    </w:pPr>
    <w:rPr>
      <w:rFonts w:ascii="黑体" w:hAnsi="黑体" w:eastAsia="黑体"/>
      <w:b/>
      <w:bCs/>
      <w:sz w:val="48"/>
      <w:szCs w:val="48"/>
    </w:rPr>
  </w:style>
  <w:style w:type="paragraph" w:customStyle="1" w:styleId="407">
    <w:name w:val="標題10.3-1"/>
    <w:basedOn w:val="408"/>
    <w:qFormat/>
    <w:uiPriority w:val="0"/>
    <w:pPr>
      <w:tabs>
        <w:tab w:val="left" w:pos="5529"/>
      </w:tabs>
      <w:adjustRightInd/>
      <w:spacing w:line="240" w:lineRule="atLeast"/>
      <w:ind w:left="993" w:hanging="284"/>
      <w:textAlignment w:val="auto"/>
    </w:pPr>
    <w:rPr>
      <w:rFonts w:ascii="Times New Roman"/>
      <w:kern w:val="2"/>
      <w:sz w:val="24"/>
      <w:szCs w:val="24"/>
    </w:rPr>
  </w:style>
  <w:style w:type="paragraph" w:customStyle="1" w:styleId="408">
    <w:name w:val="標題 (1)"/>
    <w:basedOn w:val="1"/>
    <w:qFormat/>
    <w:uiPriority w:val="0"/>
    <w:pPr>
      <w:adjustRightInd w:val="0"/>
      <w:spacing w:line="567" w:lineRule="atLeast"/>
      <w:ind w:left="1560" w:hanging="709" w:firstLineChars="200"/>
      <w:textAlignment w:val="baseline"/>
    </w:pPr>
    <w:rPr>
      <w:rFonts w:ascii="PMingLiU" w:hAnsi="等线" w:eastAsia="PMingLiU" w:cs="等线"/>
      <w:kern w:val="0"/>
      <w:sz w:val="28"/>
      <w:szCs w:val="20"/>
      <w:lang w:eastAsia="zh-TW"/>
    </w:rPr>
  </w:style>
  <w:style w:type="paragraph" w:customStyle="1" w:styleId="409">
    <w:name w:val="日期1"/>
    <w:basedOn w:val="1"/>
    <w:next w:val="1"/>
    <w:qFormat/>
    <w:uiPriority w:val="0"/>
    <w:pPr>
      <w:tabs>
        <w:tab w:val="left" w:pos="425"/>
      </w:tabs>
      <w:autoSpaceDE w:val="0"/>
      <w:autoSpaceDN w:val="0"/>
      <w:adjustRightInd w:val="0"/>
      <w:spacing w:before="60" w:after="60" w:line="312" w:lineRule="atLeast"/>
      <w:ind w:left="420" w:firstLine="200" w:firstLineChars="200"/>
      <w:jc w:val="right"/>
      <w:textAlignment w:val="baseline"/>
    </w:pPr>
    <w:rPr>
      <w:rFonts w:ascii="等线" w:hAnsi="等线" w:eastAsia="等线" w:cs="等线"/>
      <w:kern w:val="0"/>
      <w:sz w:val="44"/>
      <w:szCs w:val="20"/>
    </w:rPr>
  </w:style>
  <w:style w:type="character" w:customStyle="1" w:styleId="410">
    <w:name w:val="称呼 字符"/>
    <w:basedOn w:val="70"/>
    <w:link w:val="22"/>
    <w:qFormat/>
    <w:uiPriority w:val="0"/>
    <w:rPr>
      <w:rFonts w:ascii="等线" w:hAnsi="等线" w:eastAsia="等线" w:cs="等线"/>
      <w:sz w:val="24"/>
    </w:rPr>
  </w:style>
  <w:style w:type="paragraph" w:customStyle="1" w:styleId="411">
    <w:name w:val="Char11"/>
    <w:basedOn w:val="1"/>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412">
    <w:name w:val="kpk:1级"/>
    <w:basedOn w:val="4"/>
    <w:qFormat/>
    <w:uiPriority w:val="0"/>
    <w:pPr>
      <w:keepLines/>
      <w:tabs>
        <w:tab w:val="left" w:pos="420"/>
        <w:tab w:val="left" w:pos="643"/>
      </w:tabs>
      <w:spacing w:beforeLines="120" w:afterLines="100"/>
      <w:ind w:firstLine="200" w:firstLineChars="200"/>
      <w:jc w:val="both"/>
    </w:pPr>
    <w:rPr>
      <w:rFonts w:ascii="黑体" w:hAnsi="等线" w:eastAsia="等线"/>
      <w:kern w:val="44"/>
      <w:sz w:val="30"/>
      <w:szCs w:val="32"/>
    </w:rPr>
  </w:style>
  <w:style w:type="paragraph" w:customStyle="1" w:styleId="413">
    <w:name w:val="前言、引言标题"/>
    <w:next w:val="1"/>
    <w:qFormat/>
    <w:uiPriority w:val="0"/>
    <w:pPr>
      <w:shd w:val="clear" w:color="FFFFFF" w:fill="FFFFFF"/>
      <w:spacing w:before="640" w:after="560"/>
      <w:jc w:val="center"/>
      <w:outlineLvl w:val="0"/>
    </w:pPr>
    <w:rPr>
      <w:rFonts w:ascii="Helvetica" w:hAnsi="等线" w:eastAsia="Helvetica" w:cs="等线"/>
      <w:sz w:val="32"/>
      <w:lang w:val="en-US" w:eastAsia="zh-CN" w:bidi="ar-SA"/>
    </w:rPr>
  </w:style>
  <w:style w:type="paragraph" w:customStyle="1" w:styleId="414">
    <w:name w:val="Char Char Char Char Char Char Char Char Char Char"/>
    <w:basedOn w:val="1"/>
    <w:qFormat/>
    <w:uiPriority w:val="0"/>
    <w:pPr>
      <w:autoSpaceDE w:val="0"/>
      <w:autoSpaceDN w:val="0"/>
      <w:adjustRightInd w:val="0"/>
      <w:jc w:val="left"/>
    </w:pPr>
    <w:rPr>
      <w:rFonts w:ascii="黑体" w:hAnsi="等线" w:eastAsia="黑体" w:cs="等线"/>
      <w:b/>
      <w:kern w:val="0"/>
      <w:sz w:val="32"/>
      <w:szCs w:val="32"/>
    </w:rPr>
  </w:style>
  <w:style w:type="paragraph" w:customStyle="1" w:styleId="415">
    <w:name w:val="正文文字"/>
    <w:basedOn w:val="1"/>
    <w:qFormat/>
    <w:uiPriority w:val="99"/>
    <w:pPr>
      <w:spacing w:line="360" w:lineRule="auto"/>
      <w:ind w:firstLine="200" w:firstLineChars="200"/>
      <w:textAlignment w:val="top"/>
    </w:pPr>
    <w:rPr>
      <w:rFonts w:ascii="等线" w:hAnsi="等线" w:eastAsia="等线" w:cs="等线"/>
      <w:color w:val="000000"/>
      <w:kern w:val="0"/>
      <w:sz w:val="24"/>
      <w:szCs w:val="21"/>
    </w:rPr>
  </w:style>
  <w:style w:type="paragraph" w:customStyle="1" w:styleId="416">
    <w:name w:val="部分1"/>
    <w:basedOn w:val="1"/>
    <w:qFormat/>
    <w:uiPriority w:val="0"/>
    <w:pPr>
      <w:keepNext/>
      <w:pageBreakBefore/>
      <w:tabs>
        <w:tab w:val="left" w:pos="720"/>
      </w:tabs>
      <w:autoSpaceDE w:val="0"/>
      <w:autoSpaceDN w:val="0"/>
      <w:adjustRightInd w:val="0"/>
      <w:spacing w:line="360" w:lineRule="auto"/>
      <w:jc w:val="center"/>
      <w:outlineLvl w:val="0"/>
    </w:pPr>
    <w:rPr>
      <w:rFonts w:ascii="等线" w:hAnsi="等线" w:eastAsia="Helvetica" w:cs="等线"/>
      <w:b/>
      <w:kern w:val="44"/>
      <w:sz w:val="36"/>
      <w:szCs w:val="20"/>
    </w:rPr>
  </w:style>
  <w:style w:type="paragraph" w:customStyle="1" w:styleId="417">
    <w:name w:val="GP正文(首行缩进)"/>
    <w:basedOn w:val="1"/>
    <w:qFormat/>
    <w:uiPriority w:val="0"/>
    <w:pPr>
      <w:adjustRightInd w:val="0"/>
      <w:spacing w:line="360" w:lineRule="auto"/>
      <w:ind w:firstLine="200" w:firstLineChars="200"/>
      <w:jc w:val="left"/>
      <w:textAlignment w:val="baseline"/>
    </w:pPr>
    <w:rPr>
      <w:rFonts w:ascii="等线" w:hAnsi="等线" w:eastAsia="等线" w:cs="等线"/>
      <w:kern w:val="0"/>
      <w:sz w:val="24"/>
      <w:szCs w:val="20"/>
    </w:rPr>
  </w:style>
  <w:style w:type="paragraph" w:customStyle="1" w:styleId="418">
    <w:name w:val="xl9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419">
    <w:name w:val="5"/>
    <w:basedOn w:val="1"/>
    <w:qFormat/>
    <w:uiPriority w:val="0"/>
    <w:pPr>
      <w:widowControl/>
      <w:tabs>
        <w:tab w:val="left" w:pos="420"/>
        <w:tab w:val="left" w:pos="926"/>
      </w:tabs>
      <w:spacing w:after="160" w:line="240" w:lineRule="exact"/>
      <w:ind w:firstLine="200" w:firstLineChars="200"/>
      <w:jc w:val="left"/>
    </w:pPr>
    <w:rPr>
      <w:rFonts w:ascii="等线" w:hAnsi="等线" w:eastAsia="等线" w:cs="等线"/>
      <w:szCs w:val="20"/>
    </w:rPr>
  </w:style>
  <w:style w:type="paragraph" w:customStyle="1" w:styleId="420">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421">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Calibri" w:hAnsi="Calibri" w:eastAsia="Calibri" w:cs="仿宋_GB2312"/>
      <w:b/>
      <w:bCs/>
      <w:color w:val="000000"/>
      <w:kern w:val="0"/>
      <w:sz w:val="24"/>
    </w:rPr>
  </w:style>
  <w:style w:type="character" w:customStyle="1" w:styleId="422">
    <w:name w:val="注释标题 字符"/>
    <w:basedOn w:val="70"/>
    <w:link w:val="14"/>
    <w:qFormat/>
    <w:uiPriority w:val="0"/>
    <w:rPr>
      <w:rFonts w:ascii="DFKai-SB" w:hAnsi="DFKai-SB" w:eastAsia="DFKai-SB" w:cs="等线"/>
      <w:kern w:val="2"/>
      <w:lang w:eastAsia="zh-TW"/>
    </w:rPr>
  </w:style>
  <w:style w:type="paragraph" w:customStyle="1" w:styleId="423">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424">
    <w:name w:val="二级标题"/>
    <w:basedOn w:val="5"/>
    <w:qFormat/>
    <w:uiPriority w:val="0"/>
    <w:pPr>
      <w:ind w:left="576" w:hanging="576"/>
    </w:pPr>
    <w:rPr>
      <w:rFonts w:ascii="华文中宋" w:eastAsia="华文中宋"/>
      <w:kern w:val="0"/>
    </w:rPr>
  </w:style>
  <w:style w:type="character" w:customStyle="1" w:styleId="425">
    <w:name w:val="正文文本 3 字符"/>
    <w:basedOn w:val="70"/>
    <w:link w:val="23"/>
    <w:qFormat/>
    <w:uiPriority w:val="0"/>
    <w:rPr>
      <w:rFonts w:ascii="等线" w:hAnsi="等线" w:eastAsia="等线" w:cs="等线"/>
    </w:rPr>
  </w:style>
  <w:style w:type="paragraph" w:customStyle="1" w:styleId="426">
    <w:name w:val="数字级连标题2"/>
    <w:basedOn w:val="5"/>
    <w:next w:val="1"/>
    <w:qFormat/>
    <w:uiPriority w:val="0"/>
    <w:pPr>
      <w:tabs>
        <w:tab w:val="left" w:pos="0"/>
      </w:tabs>
      <w:spacing w:before="0" w:after="0" w:line="360" w:lineRule="auto"/>
      <w:ind w:left="567" w:hanging="567"/>
    </w:pPr>
    <w:rPr>
      <w:rFonts w:ascii="Times New Roman" w:hAnsi="Times New Roman" w:eastAsia="等线"/>
      <w:bCs w:val="0"/>
      <w:sz w:val="28"/>
      <w:szCs w:val="20"/>
      <w:lang w:eastAsia="ar-SA"/>
    </w:rPr>
  </w:style>
  <w:style w:type="paragraph" w:customStyle="1" w:styleId="427">
    <w:name w:val="四级条标题"/>
    <w:basedOn w:val="428"/>
    <w:next w:val="1"/>
    <w:qFormat/>
    <w:uiPriority w:val="0"/>
    <w:pPr>
      <w:outlineLvl w:val="5"/>
    </w:pPr>
  </w:style>
  <w:style w:type="paragraph" w:customStyle="1" w:styleId="428">
    <w:name w:val="三级条标题"/>
    <w:basedOn w:val="429"/>
    <w:next w:val="1"/>
    <w:qFormat/>
    <w:uiPriority w:val="0"/>
    <w:pPr>
      <w:outlineLvl w:val="4"/>
    </w:pPr>
  </w:style>
  <w:style w:type="paragraph" w:customStyle="1" w:styleId="429">
    <w:name w:val="二级条标题"/>
    <w:basedOn w:val="430"/>
    <w:next w:val="1"/>
    <w:qFormat/>
    <w:uiPriority w:val="0"/>
    <w:pPr>
      <w:outlineLvl w:val="3"/>
    </w:pPr>
  </w:style>
  <w:style w:type="paragraph" w:customStyle="1" w:styleId="430">
    <w:name w:val="一级条标题"/>
    <w:next w:val="1"/>
    <w:qFormat/>
    <w:uiPriority w:val="0"/>
    <w:pPr>
      <w:outlineLvl w:val="2"/>
    </w:pPr>
    <w:rPr>
      <w:rFonts w:ascii="等线" w:hAnsi="等线" w:eastAsia="Helvetica" w:cs="等线"/>
      <w:sz w:val="21"/>
      <w:lang w:val="en-US" w:eastAsia="zh-CN" w:bidi="ar-SA"/>
    </w:rPr>
  </w:style>
  <w:style w:type="character" w:customStyle="1" w:styleId="431">
    <w:name w:val="宏文本 字符"/>
    <w:basedOn w:val="70"/>
    <w:link w:val="3"/>
    <w:qFormat/>
    <w:uiPriority w:val="0"/>
    <w:rPr>
      <w:rFonts w:ascii="Courier New" w:hAnsi="Courier New" w:cs="Courier New"/>
      <w:kern w:val="2"/>
      <w:sz w:val="24"/>
      <w:szCs w:val="24"/>
    </w:rPr>
  </w:style>
  <w:style w:type="paragraph" w:customStyle="1" w:styleId="432">
    <w:name w:val="样式 标题 3 + 黑色 段前: 5 磅 段后: 5 磅 行距: 1.5 倍行距"/>
    <w:basedOn w:val="1"/>
    <w:qFormat/>
    <w:uiPriority w:val="0"/>
    <w:pPr>
      <w:ind w:left="855" w:hanging="855"/>
    </w:pPr>
    <w:rPr>
      <w:rFonts w:ascii="等线" w:hAnsi="等线" w:eastAsia="等线" w:cs="等线"/>
      <w:sz w:val="24"/>
      <w:szCs w:val="20"/>
    </w:rPr>
  </w:style>
  <w:style w:type="paragraph" w:customStyle="1" w:styleId="433">
    <w:name w:val="正文首行缩进1"/>
    <w:basedOn w:val="25"/>
    <w:qFormat/>
    <w:uiPriority w:val="0"/>
    <w:pPr>
      <w:suppressAutoHyphens/>
      <w:ind w:firstLine="420"/>
      <w:jc w:val="left"/>
    </w:pPr>
    <w:rPr>
      <w:rFonts w:ascii="等线" w:hAnsi="等线" w:cs="等线"/>
      <w:kern w:val="1"/>
      <w:sz w:val="28"/>
      <w:lang w:eastAsia="ar-SA"/>
    </w:rPr>
  </w:style>
  <w:style w:type="paragraph" w:customStyle="1" w:styleId="434">
    <w:name w:val="样式 首行缩进:  1 厘米"/>
    <w:basedOn w:val="1"/>
    <w:qFormat/>
    <w:uiPriority w:val="0"/>
    <w:pPr>
      <w:autoSpaceDE w:val="0"/>
      <w:autoSpaceDN w:val="0"/>
      <w:adjustRightInd w:val="0"/>
      <w:ind w:firstLine="567"/>
      <w:textAlignment w:val="baseline"/>
    </w:pPr>
    <w:rPr>
      <w:rFonts w:ascii="等线" w:hAnsi="等线" w:eastAsia="等线" w:cs="宋体"/>
      <w:kern w:val="0"/>
      <w:sz w:val="28"/>
      <w:szCs w:val="28"/>
    </w:rPr>
  </w:style>
  <w:style w:type="paragraph" w:customStyle="1" w:styleId="435">
    <w:name w:val="font0"/>
    <w:basedOn w:val="1"/>
    <w:qFormat/>
    <w:uiPriority w:val="0"/>
    <w:pPr>
      <w:widowControl/>
      <w:spacing w:before="100" w:beforeAutospacing="1" w:after="100" w:afterAutospacing="1"/>
      <w:jc w:val="left"/>
    </w:pPr>
    <w:rPr>
      <w:rFonts w:hint="eastAsia" w:ascii="宋体" w:hAnsi="宋体" w:eastAsia="等线" w:cs="等线"/>
      <w:kern w:val="0"/>
      <w:sz w:val="24"/>
    </w:rPr>
  </w:style>
  <w:style w:type="character" w:customStyle="1" w:styleId="436">
    <w:name w:val="正文文本 2 字符"/>
    <w:basedOn w:val="70"/>
    <w:link w:val="54"/>
    <w:qFormat/>
    <w:uiPriority w:val="0"/>
    <w:rPr>
      <w:kern w:val="2"/>
      <w:sz w:val="21"/>
      <w:szCs w:val="24"/>
    </w:rPr>
  </w:style>
  <w:style w:type="character" w:customStyle="1" w:styleId="437">
    <w:name w:val="脚注文本 字符"/>
    <w:basedOn w:val="70"/>
    <w:link w:val="49"/>
    <w:qFormat/>
    <w:uiPriority w:val="0"/>
    <w:rPr>
      <w:rFonts w:ascii="等线" w:hAnsi="等线" w:eastAsia="等线" w:cs="等线"/>
      <w:kern w:val="2"/>
      <w:sz w:val="18"/>
      <w:szCs w:val="18"/>
    </w:rPr>
  </w:style>
  <w:style w:type="character" w:customStyle="1" w:styleId="438">
    <w:name w:val="副标题 字符"/>
    <w:basedOn w:val="70"/>
    <w:link w:val="47"/>
    <w:qFormat/>
    <w:uiPriority w:val="0"/>
    <w:rPr>
      <w:rFonts w:asciiTheme="majorHAnsi" w:hAnsiTheme="majorHAnsi" w:cstheme="majorBidi"/>
      <w:b/>
      <w:bCs/>
      <w:kern w:val="28"/>
      <w:sz w:val="32"/>
      <w:szCs w:val="32"/>
    </w:rPr>
  </w:style>
  <w:style w:type="character" w:customStyle="1" w:styleId="439">
    <w:name w:val="信息标题 字符"/>
    <w:basedOn w:val="70"/>
    <w:link w:val="55"/>
    <w:qFormat/>
    <w:uiPriority w:val="0"/>
    <w:rPr>
      <w:rFonts w:asciiTheme="majorHAnsi" w:hAnsiTheme="majorHAnsi" w:eastAsiaTheme="majorEastAsia" w:cstheme="majorBidi"/>
      <w:kern w:val="2"/>
      <w:sz w:val="24"/>
      <w:szCs w:val="24"/>
      <w:shd w:val="pct20" w:color="auto" w:fill="auto"/>
    </w:rPr>
  </w:style>
  <w:style w:type="character" w:customStyle="1" w:styleId="440">
    <w:name w:val="正文文本首行缩进 2 字符"/>
    <w:basedOn w:val="92"/>
    <w:link w:val="62"/>
    <w:qFormat/>
    <w:uiPriority w:val="0"/>
    <w:rPr>
      <w:kern w:val="2"/>
      <w:sz w:val="21"/>
      <w:szCs w:val="24"/>
    </w:rPr>
  </w:style>
  <w:style w:type="character" w:customStyle="1" w:styleId="441">
    <w:name w:val="HTML 预设格式 字符"/>
    <w:basedOn w:val="70"/>
    <w:link w:val="56"/>
    <w:qFormat/>
    <w:uiPriority w:val="0"/>
    <w:rPr>
      <w:rFonts w:ascii="Courier New" w:hAnsi="Courier New" w:cs="Courier New"/>
      <w:kern w:val="2"/>
    </w:rPr>
  </w:style>
  <w:style w:type="character" w:customStyle="1" w:styleId="442">
    <w:name w:val="签名 字符"/>
    <w:basedOn w:val="70"/>
    <w:link w:val="44"/>
    <w:qFormat/>
    <w:uiPriority w:val="0"/>
    <w:rPr>
      <w:rFonts w:ascii="等线" w:hAnsi="等线" w:eastAsia="黑体" w:cs="等线"/>
      <w:sz w:val="24"/>
    </w:rPr>
  </w:style>
  <w:style w:type="paragraph" w:customStyle="1" w:styleId="443">
    <w:name w:val="正文文本缩进 21"/>
    <w:basedOn w:val="1"/>
    <w:qFormat/>
    <w:uiPriority w:val="0"/>
    <w:pPr>
      <w:adjustRightInd w:val="0"/>
      <w:spacing w:line="580" w:lineRule="atLeast"/>
      <w:ind w:right="-57" w:firstLine="570"/>
      <w:jc w:val="left"/>
      <w:textAlignment w:val="baseline"/>
    </w:pPr>
    <w:rPr>
      <w:rFonts w:ascii="楷体_GB2312" w:hAnsi="等线" w:eastAsia="楷体_GB2312" w:cs="等线"/>
      <w:sz w:val="28"/>
      <w:szCs w:val="20"/>
    </w:rPr>
  </w:style>
  <w:style w:type="paragraph" w:customStyle="1" w:styleId="444">
    <w:name w:val="1 Char"/>
    <w:basedOn w:val="16"/>
    <w:qFormat/>
    <w:uiPriority w:val="0"/>
    <w:pPr>
      <w:adjustRightInd/>
      <w:spacing w:line="360" w:lineRule="auto"/>
      <w:ind w:firstLine="200" w:firstLineChars="200"/>
      <w:textAlignment w:val="auto"/>
    </w:pPr>
    <w:rPr>
      <w:rFonts w:eastAsia="仿宋_GB2312"/>
      <w:kern w:val="2"/>
    </w:rPr>
  </w:style>
  <w:style w:type="paragraph" w:customStyle="1" w:styleId="445">
    <w:name w:val="Char1 Char Char Char Char"/>
    <w:basedOn w:val="19"/>
    <w:qFormat/>
    <w:uiPriority w:val="0"/>
    <w:rPr>
      <w:rFonts w:ascii="Tahoma" w:hAnsi="Tahoma" w:eastAsia="等线" w:cs="Tahoma"/>
      <w:kern w:val="0"/>
      <w:sz w:val="18"/>
    </w:rPr>
  </w:style>
  <w:style w:type="paragraph" w:customStyle="1" w:styleId="446">
    <w:name w:val="ÕýÎÄ"/>
    <w:qFormat/>
    <w:uiPriority w:val="0"/>
    <w:pPr>
      <w:widowControl w:val="0"/>
      <w:overflowPunct w:val="0"/>
      <w:autoSpaceDE w:val="0"/>
      <w:autoSpaceDN w:val="0"/>
      <w:adjustRightInd w:val="0"/>
      <w:textAlignment w:val="baseline"/>
    </w:pPr>
    <w:rPr>
      <w:rFonts w:ascii="等线" w:hAnsi="等线" w:eastAsia="等线" w:cs="等线"/>
      <w:lang w:val="en-US" w:eastAsia="zh-CN" w:bidi="ar-SA"/>
    </w:rPr>
  </w:style>
  <w:style w:type="paragraph" w:customStyle="1" w:styleId="44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仿宋_GB2312" w:eastAsia="等线" w:cs="仿宋_GB2312"/>
      <w:kern w:val="0"/>
      <w:sz w:val="24"/>
    </w:rPr>
  </w:style>
  <w:style w:type="paragraph" w:customStyle="1" w:styleId="448">
    <w:name w:val="Intense Quote1"/>
    <w:basedOn w:val="1"/>
    <w:next w:val="1"/>
    <w:qFormat/>
    <w:uiPriority w:val="0"/>
    <w:pPr>
      <w:pBdr>
        <w:bottom w:val="single" w:color="4F81BD" w:sz="4" w:space="4"/>
      </w:pBdr>
      <w:spacing w:before="200" w:after="280"/>
      <w:ind w:left="936" w:right="936"/>
    </w:pPr>
    <w:rPr>
      <w:rFonts w:ascii="Century Gothic" w:hAnsi="Century Gothic" w:eastAsia="仿宋_GB2312" w:cs="新宋体"/>
      <w:b/>
      <w:bCs/>
      <w:i/>
      <w:iCs/>
      <w:color w:val="4F81BD"/>
      <w:kern w:val="0"/>
      <w:sz w:val="20"/>
      <w:szCs w:val="20"/>
    </w:rPr>
  </w:style>
  <w:style w:type="paragraph" w:customStyle="1" w:styleId="449">
    <w:name w:val="样式 正文缩进正文（首行缩进两字）表正文正文非缩进特点段1正文不缩进标题4水上软件ALT+Z四号正文文字3..."/>
    <w:basedOn w:val="16"/>
    <w:qFormat/>
    <w:uiPriority w:val="0"/>
    <w:pPr>
      <w:adjustRightInd/>
      <w:spacing w:line="360" w:lineRule="auto"/>
      <w:ind w:firstLine="480" w:firstLineChars="200"/>
      <w:textAlignment w:val="auto"/>
    </w:pPr>
    <w:rPr>
      <w:rFonts w:ascii="Calibri" w:hAnsi="Calibri" w:eastAsia="等线" w:cs="宋体"/>
      <w:sz w:val="24"/>
    </w:rPr>
  </w:style>
  <w:style w:type="paragraph" w:customStyle="1" w:styleId="450">
    <w:name w:val="标书正文格式"/>
    <w:qFormat/>
    <w:uiPriority w:val="0"/>
    <w:pPr>
      <w:spacing w:line="360" w:lineRule="auto"/>
      <w:ind w:firstLine="200" w:firstLineChars="200"/>
    </w:pPr>
    <w:rPr>
      <w:rFonts w:ascii="等线" w:hAnsi="等线" w:eastAsia="Arial Unicode MS" w:cs="等线"/>
      <w:kern w:val="2"/>
      <w:sz w:val="24"/>
      <w:szCs w:val="24"/>
      <w:lang w:val="en-US" w:eastAsia="zh-CN" w:bidi="ar-SA"/>
    </w:rPr>
  </w:style>
  <w:style w:type="paragraph" w:customStyle="1" w:styleId="451">
    <w:name w:val="技术报告正文"/>
    <w:basedOn w:val="1"/>
    <w:qFormat/>
    <w:uiPriority w:val="0"/>
    <w:pPr>
      <w:autoSpaceDE w:val="0"/>
      <w:autoSpaceDN w:val="0"/>
      <w:adjustRightInd w:val="0"/>
      <w:spacing w:beforeLines="50" w:line="440" w:lineRule="exact"/>
      <w:ind w:firstLine="538" w:firstLineChars="192"/>
      <w:jc w:val="left"/>
    </w:pPr>
    <w:rPr>
      <w:rFonts w:ascii="等线" w:hAnsi="等线" w:eastAsia="等线" w:cs="Tahoma"/>
      <w:bCs/>
      <w:kern w:val="0"/>
      <w:sz w:val="28"/>
      <w:szCs w:val="20"/>
    </w:rPr>
  </w:style>
  <w:style w:type="paragraph" w:customStyle="1" w:styleId="452">
    <w:name w:val="无间距1"/>
    <w:basedOn w:val="1"/>
    <w:qFormat/>
    <w:uiPriority w:val="0"/>
    <w:pPr>
      <w:spacing w:line="360" w:lineRule="auto"/>
      <w:ind w:firstLine="200" w:firstLineChars="200"/>
      <w:jc w:val="center"/>
    </w:pPr>
    <w:rPr>
      <w:rFonts w:ascii="等线" w:hAnsi="等线" w:eastAsia="楷体" w:cs="黑体"/>
      <w:sz w:val="24"/>
    </w:rPr>
  </w:style>
  <w:style w:type="paragraph" w:customStyle="1" w:styleId="453">
    <w:name w:val="样式 样式 正文文本缩进 + 仿宋_GB2312 小四 首行缩进:  0 厘米 行距: 1.5 倍行距 + (中文) 仿宋_GB... Char Char"/>
    <w:basedOn w:val="1"/>
    <w:qFormat/>
    <w:uiPriority w:val="0"/>
    <w:pPr>
      <w:autoSpaceDE w:val="0"/>
      <w:autoSpaceDN w:val="0"/>
      <w:adjustRightInd w:val="0"/>
      <w:spacing w:line="360" w:lineRule="auto"/>
      <w:ind w:firstLine="480" w:firstLineChars="200"/>
      <w:jc w:val="left"/>
    </w:pPr>
    <w:rPr>
      <w:rFonts w:ascii="黑体" w:hAnsi="等线" w:eastAsia="Calibri" w:cs="等线"/>
      <w:kern w:val="0"/>
      <w:sz w:val="24"/>
      <w:szCs w:val="20"/>
    </w:rPr>
  </w:style>
  <w:style w:type="paragraph" w:customStyle="1" w:styleId="454">
    <w:name w:val="注："/>
    <w:next w:val="455"/>
    <w:qFormat/>
    <w:uiPriority w:val="0"/>
    <w:pPr>
      <w:widowControl w:val="0"/>
      <w:tabs>
        <w:tab w:val="left" w:pos="420"/>
      </w:tabs>
      <w:autoSpaceDE w:val="0"/>
      <w:autoSpaceDN w:val="0"/>
      <w:ind w:left="420" w:hanging="420"/>
      <w:jc w:val="both"/>
    </w:pPr>
    <w:rPr>
      <w:rFonts w:ascii="宋体" w:hAnsi="等线" w:eastAsia="等线" w:cs="等线"/>
      <w:sz w:val="18"/>
      <w:szCs w:val="18"/>
      <w:lang w:val="en-US" w:eastAsia="zh-CN" w:bidi="ar-SA"/>
    </w:rPr>
  </w:style>
  <w:style w:type="paragraph" w:customStyle="1" w:styleId="455">
    <w:name w:val="段"/>
    <w:qFormat/>
    <w:uiPriority w:val="0"/>
    <w:pPr>
      <w:autoSpaceDE w:val="0"/>
      <w:autoSpaceDN w:val="0"/>
      <w:ind w:firstLine="200" w:firstLineChars="200"/>
      <w:jc w:val="both"/>
    </w:pPr>
    <w:rPr>
      <w:rFonts w:ascii="仿宋_GB2312" w:hAnsi="等线" w:eastAsia="等线" w:cs="等线"/>
      <w:sz w:val="21"/>
      <w:lang w:val="en-US" w:eastAsia="zh-CN" w:bidi="ar-SA"/>
    </w:rPr>
  </w:style>
  <w:style w:type="paragraph" w:customStyle="1" w:styleId="456">
    <w:name w:val="Char Char Char Char11"/>
    <w:basedOn w:val="1"/>
    <w:qFormat/>
    <w:uiPriority w:val="0"/>
    <w:pPr>
      <w:autoSpaceDE w:val="0"/>
      <w:autoSpaceDN w:val="0"/>
      <w:adjustRightInd w:val="0"/>
      <w:jc w:val="left"/>
    </w:pPr>
    <w:rPr>
      <w:rFonts w:ascii="Cambria" w:hAnsi="Cambria" w:eastAsia="等线" w:cs="等线"/>
      <w:kern w:val="0"/>
      <w:sz w:val="24"/>
      <w:szCs w:val="20"/>
    </w:rPr>
  </w:style>
  <w:style w:type="paragraph" w:customStyle="1" w:styleId="457">
    <w:name w:val="样式 标题 2 + 黑体 行距: 1.5 倍行距"/>
    <w:basedOn w:val="1"/>
    <w:qFormat/>
    <w:uiPriority w:val="0"/>
    <w:pPr>
      <w:tabs>
        <w:tab w:val="left" w:pos="360"/>
        <w:tab w:val="left" w:pos="576"/>
      </w:tabs>
      <w:spacing w:line="360" w:lineRule="auto"/>
      <w:ind w:firstLine="200" w:firstLineChars="200"/>
    </w:pPr>
    <w:rPr>
      <w:rFonts w:ascii="等线" w:hAnsi="等线" w:eastAsia="等线" w:cs="等线"/>
      <w:szCs w:val="20"/>
    </w:rPr>
  </w:style>
  <w:style w:type="paragraph" w:customStyle="1" w:styleId="458">
    <w:name w:val="內文項目之符號"/>
    <w:basedOn w:val="1"/>
    <w:qFormat/>
    <w:uiPriority w:val="0"/>
    <w:pPr>
      <w:widowControl/>
      <w:tabs>
        <w:tab w:val="left" w:pos="1080"/>
      </w:tabs>
      <w:spacing w:before="120" w:line="560" w:lineRule="exact"/>
      <w:ind w:left="1080" w:hanging="1080" w:firstLineChars="200"/>
    </w:pPr>
    <w:rPr>
      <w:rFonts w:ascii="等线" w:hAnsi="等线" w:eastAsia="DFKai-SB" w:cs="等线"/>
      <w:kern w:val="0"/>
      <w:sz w:val="28"/>
      <w:lang w:eastAsia="zh-TW"/>
    </w:rPr>
  </w:style>
  <w:style w:type="paragraph" w:customStyle="1" w:styleId="459">
    <w:name w:val="Char2"/>
    <w:basedOn w:val="1"/>
    <w:qFormat/>
    <w:uiPriority w:val="0"/>
    <w:pPr>
      <w:autoSpaceDE w:val="0"/>
      <w:autoSpaceDN w:val="0"/>
      <w:adjustRightInd w:val="0"/>
      <w:jc w:val="left"/>
    </w:pPr>
    <w:rPr>
      <w:rFonts w:ascii="黑体" w:hAnsi="等线" w:eastAsia="黑体" w:cs="等线"/>
      <w:b/>
      <w:kern w:val="0"/>
      <w:sz w:val="32"/>
      <w:szCs w:val="32"/>
    </w:rPr>
  </w:style>
  <w:style w:type="paragraph" w:customStyle="1" w:styleId="460">
    <w:name w:val="Para"/>
    <w:qFormat/>
    <w:uiPriority w:val="0"/>
    <w:pPr>
      <w:spacing w:before="120"/>
    </w:pPr>
    <w:rPr>
      <w:rFonts w:ascii="等线" w:hAnsi="等线" w:eastAsia="等线" w:cs="等线"/>
      <w:sz w:val="18"/>
      <w:lang w:val="en-US" w:eastAsia="zh-CN" w:bidi="ar-SA"/>
    </w:rPr>
  </w:style>
  <w:style w:type="character" w:customStyle="1" w:styleId="461">
    <w:name w:val="引用 字符"/>
    <w:basedOn w:val="70"/>
    <w:link w:val="260"/>
    <w:semiHidden/>
    <w:qFormat/>
    <w:uiPriority w:val="99"/>
    <w:rPr>
      <w:i/>
      <w:iCs/>
      <w:color w:val="000000" w:themeColor="text1"/>
      <w:kern w:val="2"/>
      <w:sz w:val="21"/>
      <w:szCs w:val="24"/>
      <w14:textFill>
        <w14:solidFill>
          <w14:schemeClr w14:val="tx1"/>
        </w14:solidFill>
      </w14:textFill>
    </w:rPr>
  </w:style>
  <w:style w:type="paragraph" w:customStyle="1" w:styleId="462">
    <w:name w:val="标题五"/>
    <w:basedOn w:val="1"/>
    <w:qFormat/>
    <w:uiPriority w:val="0"/>
    <w:pPr>
      <w:tabs>
        <w:tab w:val="left" w:pos="1440"/>
      </w:tabs>
      <w:autoSpaceDE w:val="0"/>
      <w:autoSpaceDN w:val="0"/>
      <w:adjustRightInd w:val="0"/>
      <w:spacing w:beforeLines="50" w:line="360" w:lineRule="auto"/>
      <w:ind w:left="1440" w:hanging="420"/>
      <w:jc w:val="left"/>
    </w:pPr>
    <w:rPr>
      <w:rFonts w:ascii="等线" w:hAnsi="等线" w:eastAsia="等线" w:cs="等线"/>
      <w:b/>
      <w:kern w:val="0"/>
      <w:sz w:val="24"/>
      <w:szCs w:val="20"/>
    </w:rPr>
  </w:style>
  <w:style w:type="paragraph" w:customStyle="1" w:styleId="463">
    <w:name w:val="Char Char1"/>
    <w:basedOn w:val="1"/>
    <w:qFormat/>
    <w:uiPriority w:val="0"/>
    <w:pPr>
      <w:widowControl/>
      <w:spacing w:after="160" w:line="240" w:lineRule="exact"/>
      <w:jc w:val="left"/>
    </w:pPr>
    <w:rPr>
      <w:rFonts w:ascii="Courier New" w:hAnsi="Courier New" w:eastAsia="Arial Unicode MS" w:cs="等线"/>
      <w:b/>
      <w:i/>
      <w:iCs/>
      <w:color w:val="000000"/>
      <w:kern w:val="0"/>
      <w:sz w:val="20"/>
      <w:szCs w:val="20"/>
      <w:lang w:eastAsia="en-US"/>
    </w:rPr>
  </w:style>
  <w:style w:type="paragraph" w:customStyle="1" w:styleId="464">
    <w:name w:val="rm"/>
    <w:basedOn w:val="1"/>
    <w:qFormat/>
    <w:uiPriority w:val="0"/>
    <w:pPr>
      <w:widowControl/>
      <w:spacing w:before="100" w:beforeAutospacing="1" w:after="100" w:afterAutospacing="1" w:line="360" w:lineRule="auto"/>
      <w:ind w:firstLine="200" w:firstLineChars="200"/>
      <w:jc w:val="left"/>
    </w:pPr>
    <w:rPr>
      <w:rFonts w:ascii="宋体" w:hAnsi="宋体" w:eastAsia="等线" w:cs="宋体"/>
      <w:kern w:val="0"/>
      <w:sz w:val="24"/>
    </w:rPr>
  </w:style>
  <w:style w:type="paragraph" w:customStyle="1" w:styleId="465">
    <w:name w:val="技术方案正文样式"/>
    <w:basedOn w:val="1"/>
    <w:qFormat/>
    <w:uiPriority w:val="0"/>
    <w:pPr>
      <w:autoSpaceDE w:val="0"/>
      <w:autoSpaceDN w:val="0"/>
      <w:adjustRightInd w:val="0"/>
      <w:spacing w:line="400" w:lineRule="exact"/>
      <w:ind w:firstLine="480" w:firstLineChars="200"/>
    </w:pPr>
    <w:rPr>
      <w:rFonts w:ascii="宋体" w:hAnsi="宋体" w:eastAsia="等线" w:cs="宋体"/>
      <w:sz w:val="24"/>
      <w:szCs w:val="21"/>
    </w:rPr>
  </w:style>
  <w:style w:type="paragraph" w:customStyle="1" w:styleId="466">
    <w:name w:val="xl42"/>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46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468">
    <w:name w:val="NICMAN Body Text"/>
    <w:basedOn w:val="1"/>
    <w:next w:val="25"/>
    <w:qFormat/>
    <w:uiPriority w:val="0"/>
    <w:pPr>
      <w:autoSpaceDE w:val="0"/>
      <w:autoSpaceDN w:val="0"/>
      <w:adjustRightInd w:val="0"/>
      <w:spacing w:after="120"/>
      <w:jc w:val="left"/>
    </w:pPr>
    <w:rPr>
      <w:rFonts w:ascii="等线" w:hAnsi="等线" w:eastAsia="等线" w:cs="等线"/>
      <w:kern w:val="0"/>
      <w:sz w:val="20"/>
      <w:szCs w:val="20"/>
    </w:rPr>
  </w:style>
  <w:style w:type="paragraph" w:customStyle="1" w:styleId="469">
    <w:name w:val="第一個訊息標題"/>
    <w:basedOn w:val="55"/>
    <w:next w:val="55"/>
    <w:qFormat/>
    <w:uiPriority w:val="0"/>
    <w:pPr>
      <w:keepLines/>
      <w:widowControl/>
      <w:pBdr>
        <w:top w:val="none" w:color="auto" w:sz="0" w:space="0"/>
        <w:left w:val="none" w:color="auto" w:sz="0" w:space="0"/>
        <w:bottom w:val="none" w:color="auto" w:sz="0" w:space="0"/>
        <w:right w:val="none" w:color="auto" w:sz="0" w:space="0"/>
      </w:pBdr>
      <w:shd w:val="clear" w:color="auto" w:fill="auto"/>
      <w:tabs>
        <w:tab w:val="left" w:pos="1560"/>
        <w:tab w:val="left" w:pos="4920"/>
        <w:tab w:val="left" w:pos="5640"/>
      </w:tabs>
      <w:overflowPunct w:val="0"/>
      <w:autoSpaceDE w:val="0"/>
      <w:autoSpaceDN w:val="0"/>
      <w:spacing w:line="533" w:lineRule="auto"/>
      <w:ind w:left="1560" w:leftChars="0" w:right="-120" w:hanging="720" w:firstLineChars="0"/>
    </w:pPr>
    <w:rPr>
      <w:rFonts w:eastAsia="MingLiU"/>
      <w:sz w:val="20"/>
      <w:szCs w:val="20"/>
    </w:rPr>
  </w:style>
  <w:style w:type="paragraph" w:customStyle="1" w:styleId="470">
    <w:name w:val="Normal_2"/>
    <w:qFormat/>
    <w:uiPriority w:val="0"/>
    <w:pPr>
      <w:spacing w:before="120" w:after="240"/>
      <w:jc w:val="both"/>
    </w:pPr>
    <w:rPr>
      <w:rFonts w:ascii="等线" w:hAnsi="等线" w:eastAsia="Times New Roman" w:cs="等线"/>
      <w:sz w:val="22"/>
      <w:szCs w:val="22"/>
      <w:lang w:val="en-US" w:eastAsia="en-US" w:bidi="ar-SA"/>
    </w:rPr>
  </w:style>
  <w:style w:type="paragraph" w:customStyle="1" w:styleId="471">
    <w:name w:val="font13"/>
    <w:basedOn w:val="1"/>
    <w:qFormat/>
    <w:uiPriority w:val="0"/>
    <w:pPr>
      <w:widowControl/>
      <w:spacing w:before="100" w:beforeAutospacing="1" w:after="100" w:afterAutospacing="1"/>
      <w:jc w:val="left"/>
    </w:pPr>
    <w:rPr>
      <w:rFonts w:ascii="等线" w:hAnsi="等线" w:eastAsia="等线" w:cs="等线"/>
      <w:kern w:val="0"/>
      <w:sz w:val="24"/>
    </w:rPr>
  </w:style>
  <w:style w:type="paragraph" w:customStyle="1" w:styleId="472">
    <w:name w:val="xl9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473">
    <w:name w:val="font10"/>
    <w:basedOn w:val="1"/>
    <w:qFormat/>
    <w:uiPriority w:val="0"/>
    <w:pPr>
      <w:widowControl/>
      <w:spacing w:before="100" w:beforeAutospacing="1" w:after="100" w:afterAutospacing="1"/>
      <w:jc w:val="left"/>
    </w:pPr>
    <w:rPr>
      <w:rFonts w:ascii="等线" w:hAnsi="等线" w:eastAsia="等线" w:cs="等线"/>
      <w:kern w:val="0"/>
      <w:sz w:val="16"/>
      <w:szCs w:val="16"/>
    </w:rPr>
  </w:style>
  <w:style w:type="paragraph" w:customStyle="1" w:styleId="474">
    <w:name w:val="a5"/>
    <w:basedOn w:val="1"/>
    <w:qFormat/>
    <w:uiPriority w:val="0"/>
    <w:pPr>
      <w:widowControl/>
      <w:spacing w:before="100" w:beforeAutospacing="1" w:after="100" w:afterAutospacing="1"/>
      <w:jc w:val="left"/>
    </w:pPr>
    <w:rPr>
      <w:rFonts w:hint="eastAsia" w:ascii="宋体" w:hAnsi="宋体" w:eastAsia="等线" w:cs="等线"/>
      <w:kern w:val="0"/>
      <w:sz w:val="27"/>
      <w:szCs w:val="27"/>
    </w:rPr>
  </w:style>
  <w:style w:type="paragraph" w:customStyle="1" w:styleId="475">
    <w:name w:val="正文3"/>
    <w:qFormat/>
    <w:uiPriority w:val="0"/>
    <w:pPr>
      <w:jc w:val="both"/>
    </w:pPr>
    <w:rPr>
      <w:rFonts w:ascii="等线" w:hAnsi="等线" w:eastAsia="等线" w:cs="等线"/>
      <w:kern w:val="2"/>
      <w:sz w:val="21"/>
      <w:szCs w:val="21"/>
      <w:lang w:val="en-US" w:eastAsia="zh-CN" w:bidi="ar-SA"/>
    </w:rPr>
  </w:style>
  <w:style w:type="paragraph" w:customStyle="1" w:styleId="476">
    <w:name w:val="Char21"/>
    <w:basedOn w:val="1"/>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47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仿宋_GB2312" w:eastAsia="等线" w:cs="仿宋_GB2312"/>
      <w:kern w:val="0"/>
      <w:sz w:val="24"/>
    </w:rPr>
  </w:style>
  <w:style w:type="paragraph" w:customStyle="1" w:styleId="478">
    <w:name w:val="af17cgridlangnp1033langf"/>
    <w:qFormat/>
    <w:uiPriority w:val="0"/>
    <w:pPr>
      <w:widowControl w:val="0"/>
      <w:autoSpaceDE w:val="0"/>
      <w:autoSpaceDN w:val="0"/>
      <w:adjustRightInd w:val="0"/>
      <w:spacing w:before="156" w:line="360" w:lineRule="atLeast"/>
      <w:ind w:left="567" w:firstLine="510"/>
      <w:jc w:val="both"/>
    </w:pPr>
    <w:rPr>
      <w:rFonts w:ascii="等线" w:hAnsi="等线" w:eastAsia="等线" w:cs="等线"/>
      <w:lang w:val="en-US" w:eastAsia="zh-CN" w:bidi="ar-SA"/>
    </w:rPr>
  </w:style>
  <w:style w:type="paragraph" w:customStyle="1" w:styleId="479">
    <w:name w:val="xl10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480">
    <w:name w:val="xl89"/>
    <w:basedOn w:val="1"/>
    <w:qFormat/>
    <w:uiPriority w:val="0"/>
    <w:pPr>
      <w:widowControl/>
      <w:spacing w:before="100" w:beforeAutospacing="1" w:after="100" w:afterAutospacing="1"/>
      <w:jc w:val="left"/>
    </w:pPr>
    <w:rPr>
      <w:rFonts w:ascii="仿宋_GB2312" w:hAnsi="仿宋_GB2312" w:eastAsia="等线" w:cs="仿宋_GB2312"/>
      <w:kern w:val="0"/>
      <w:sz w:val="24"/>
    </w:rPr>
  </w:style>
  <w:style w:type="paragraph" w:customStyle="1" w:styleId="481">
    <w:name w:val="Char3 Char Char Char Char Char Char"/>
    <w:basedOn w:val="1"/>
    <w:qFormat/>
    <w:uiPriority w:val="0"/>
    <w:pPr>
      <w:widowControl/>
      <w:spacing w:after="160" w:line="240" w:lineRule="exact"/>
      <w:ind w:firstLine="200" w:firstLineChars="200"/>
      <w:jc w:val="left"/>
    </w:pPr>
    <w:rPr>
      <w:rFonts w:ascii="Verdana" w:hAnsi="Verdana" w:eastAsia="等线" w:cs="等线"/>
      <w:kern w:val="0"/>
      <w:sz w:val="18"/>
      <w:szCs w:val="20"/>
      <w:lang w:eastAsia="en-US"/>
    </w:rPr>
  </w:style>
  <w:style w:type="paragraph" w:customStyle="1" w:styleId="48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483">
    <w:name w:val="德山-正文"/>
    <w:basedOn w:val="1"/>
    <w:qFormat/>
    <w:uiPriority w:val="0"/>
    <w:pPr>
      <w:spacing w:beforeLines="50" w:afterLines="50" w:line="360" w:lineRule="auto"/>
      <w:ind w:firstLine="200" w:firstLineChars="200"/>
    </w:pPr>
    <w:rPr>
      <w:rFonts w:ascii="Calibri" w:hAnsi="Calibri" w:eastAsia="等线" w:cs="等线"/>
      <w:sz w:val="24"/>
      <w:szCs w:val="21"/>
    </w:rPr>
  </w:style>
  <w:style w:type="paragraph" w:customStyle="1" w:styleId="484">
    <w:name w:val="样式7"/>
    <w:basedOn w:val="7"/>
    <w:qFormat/>
    <w:uiPriority w:val="0"/>
  </w:style>
  <w:style w:type="paragraph" w:customStyle="1" w:styleId="485">
    <w:name w:val="正文缩进3"/>
    <w:basedOn w:val="1"/>
    <w:qFormat/>
    <w:uiPriority w:val="0"/>
    <w:pPr>
      <w:spacing w:line="360" w:lineRule="auto"/>
      <w:ind w:firstLine="420" w:firstLineChars="200"/>
    </w:pPr>
    <w:rPr>
      <w:rFonts w:ascii="等线" w:hAnsi="等线" w:eastAsia="等线" w:cs="等线"/>
      <w:szCs w:val="20"/>
    </w:rPr>
  </w:style>
  <w:style w:type="paragraph" w:customStyle="1" w:styleId="486">
    <w:name w:val="xl6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487">
    <w:name w:val="xl11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488">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489">
    <w:name w:val="Char1"/>
    <w:basedOn w:val="1"/>
    <w:qFormat/>
    <w:uiPriority w:val="0"/>
    <w:pPr>
      <w:autoSpaceDE w:val="0"/>
      <w:autoSpaceDN w:val="0"/>
      <w:adjustRightInd w:val="0"/>
      <w:jc w:val="left"/>
    </w:pPr>
    <w:rPr>
      <w:rFonts w:ascii="黑体" w:hAnsi="等线" w:eastAsia="黑体" w:cs="等线"/>
      <w:b/>
      <w:kern w:val="0"/>
      <w:sz w:val="32"/>
      <w:szCs w:val="32"/>
    </w:rPr>
  </w:style>
  <w:style w:type="paragraph" w:customStyle="1" w:styleId="490">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等线" w:hAnsi="等线" w:eastAsia="等线" w:cs="等线"/>
      <w:kern w:val="0"/>
      <w:sz w:val="20"/>
      <w:szCs w:val="20"/>
    </w:rPr>
  </w:style>
  <w:style w:type="paragraph" w:customStyle="1" w:styleId="491">
    <w:name w:val="样式 标题 3 + 黑体 小四 非加粗"/>
    <w:basedOn w:val="6"/>
    <w:qFormat/>
    <w:uiPriority w:val="0"/>
    <w:pPr>
      <w:spacing w:before="0" w:after="0" w:line="415" w:lineRule="auto"/>
    </w:pPr>
    <w:rPr>
      <w:rFonts w:ascii="Helvetica" w:hAnsi="Helvetica" w:eastAsia="Helvetica"/>
      <w:b w:val="0"/>
      <w:bCs w:val="0"/>
      <w:kern w:val="0"/>
      <w:sz w:val="24"/>
    </w:rPr>
  </w:style>
  <w:style w:type="paragraph" w:customStyle="1" w:styleId="492">
    <w:name w:val="工可正文"/>
    <w:basedOn w:val="33"/>
    <w:qFormat/>
    <w:uiPriority w:val="0"/>
    <w:pPr>
      <w:widowControl w:val="0"/>
      <w:overflowPunct/>
      <w:autoSpaceDE/>
      <w:autoSpaceDN/>
      <w:adjustRightInd/>
      <w:ind w:firstLine="560" w:firstLineChars="200"/>
      <w:jc w:val="both"/>
      <w:textAlignment w:val="auto"/>
    </w:pPr>
    <w:rPr>
      <w:rFonts w:ascii="Times New Roman" w:hAnsi="Times New Roman" w:eastAsia="等线"/>
      <w:sz w:val="28"/>
      <w:szCs w:val="20"/>
    </w:rPr>
  </w:style>
  <w:style w:type="paragraph" w:customStyle="1" w:styleId="493">
    <w:name w:val="xl57"/>
    <w:basedOn w:val="1"/>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494">
    <w:name w:val="Table Contents"/>
    <w:basedOn w:val="1"/>
    <w:qFormat/>
    <w:uiPriority w:val="0"/>
    <w:pPr>
      <w:suppressAutoHyphens/>
      <w:autoSpaceDE w:val="0"/>
      <w:autoSpaceDN w:val="0"/>
      <w:adjustRightInd w:val="0"/>
      <w:spacing w:after="120"/>
      <w:jc w:val="left"/>
    </w:pPr>
    <w:rPr>
      <w:rFonts w:ascii="ˎ̥" w:hAnsi="ˎ̥" w:eastAsia="等线" w:cs="等线"/>
      <w:kern w:val="1"/>
      <w:sz w:val="20"/>
      <w:szCs w:val="20"/>
    </w:rPr>
  </w:style>
  <w:style w:type="paragraph" w:customStyle="1" w:styleId="495">
    <w:name w:val="Char3"/>
    <w:basedOn w:val="1"/>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496">
    <w:name w:val="信息标题2"/>
    <w:basedOn w:val="17"/>
    <w:next w:val="17"/>
    <w:qFormat/>
    <w:uiPriority w:val="0"/>
    <w:pPr>
      <w:spacing w:beforeLines="50" w:afterLines="50" w:line="360" w:lineRule="auto"/>
      <w:ind w:left="422" w:hanging="422" w:hangingChars="200"/>
      <w:jc w:val="left"/>
    </w:pPr>
    <w:rPr>
      <w:rFonts w:ascii="Arial Black" w:hAnsi="Arial Black" w:eastAsia="宋体"/>
      <w:b/>
      <w:bCs/>
      <w:sz w:val="30"/>
    </w:rPr>
  </w:style>
  <w:style w:type="paragraph" w:customStyle="1" w:styleId="497">
    <w:name w:val="地址內名稱"/>
    <w:basedOn w:val="1"/>
    <w:qFormat/>
    <w:uiPriority w:val="0"/>
    <w:pPr>
      <w:adjustRightInd w:val="0"/>
      <w:spacing w:line="360" w:lineRule="atLeast"/>
      <w:ind w:firstLine="200" w:firstLineChars="200"/>
      <w:jc w:val="left"/>
      <w:textAlignment w:val="baseline"/>
    </w:pPr>
    <w:rPr>
      <w:rFonts w:ascii="等线" w:hAnsi="等线" w:eastAsia="PMingLiU" w:cs="等线"/>
      <w:kern w:val="0"/>
      <w:sz w:val="24"/>
      <w:szCs w:val="20"/>
      <w:lang w:eastAsia="zh-TW"/>
    </w:rPr>
  </w:style>
  <w:style w:type="paragraph" w:customStyle="1" w:styleId="498">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等线" w:hAnsi="等线" w:eastAsia="等线" w:cs="等线"/>
      <w:b/>
      <w:w w:val="170"/>
      <w:sz w:val="96"/>
      <w:szCs w:val="96"/>
      <w:lang w:val="en-US" w:eastAsia="zh-CN" w:bidi="ar-SA"/>
    </w:rPr>
  </w:style>
  <w:style w:type="paragraph" w:customStyle="1" w:styleId="499">
    <w:name w:val="样式 标题 1"/>
    <w:basedOn w:val="4"/>
    <w:next w:val="1"/>
    <w:qFormat/>
    <w:uiPriority w:val="0"/>
    <w:pPr>
      <w:keepNext w:val="0"/>
      <w:pageBreakBefore/>
      <w:tabs>
        <w:tab w:val="left" w:pos="584"/>
      </w:tabs>
      <w:adjustRightInd w:val="0"/>
      <w:snapToGrid w:val="0"/>
      <w:spacing w:beforeLines="100" w:line="480" w:lineRule="exact"/>
      <w:ind w:left="360"/>
    </w:pPr>
    <w:rPr>
      <w:rFonts w:ascii="黑体" w:hAnsi="宋体" w:eastAsia="黑体" w:cs="宋体"/>
      <w:color w:val="000000"/>
      <w:sz w:val="36"/>
      <w:szCs w:val="36"/>
    </w:rPr>
  </w:style>
  <w:style w:type="paragraph" w:customStyle="1" w:styleId="500">
    <w:name w:val="样式 四号 首行缩进:  1 厘米"/>
    <w:basedOn w:val="1"/>
    <w:qFormat/>
    <w:uiPriority w:val="0"/>
    <w:pPr>
      <w:spacing w:line="440" w:lineRule="exact"/>
      <w:ind w:firstLine="567"/>
    </w:pPr>
    <w:rPr>
      <w:rFonts w:ascii="等线" w:hAnsi="等线" w:eastAsia="等线" w:cs="宋体"/>
      <w:sz w:val="28"/>
      <w:szCs w:val="20"/>
    </w:rPr>
  </w:style>
  <w:style w:type="paragraph" w:customStyle="1" w:styleId="501">
    <w:name w:val="xl76"/>
    <w:basedOn w:val="1"/>
    <w:qFormat/>
    <w:uiPriority w:val="0"/>
    <w:pPr>
      <w:widowControl/>
      <w:pBdr>
        <w:top w:val="single" w:color="auto" w:sz="4" w:space="0"/>
        <w:bottom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502">
    <w:name w:val="Item List in Table"/>
    <w:qFormat/>
    <w:uiPriority w:val="0"/>
    <w:pPr>
      <w:tabs>
        <w:tab w:val="left" w:pos="284"/>
        <w:tab w:val="left" w:pos="720"/>
      </w:tabs>
      <w:spacing w:before="40" w:after="40"/>
      <w:ind w:left="720" w:hanging="720"/>
      <w:jc w:val="both"/>
    </w:pPr>
    <w:rPr>
      <w:rFonts w:ascii="Century Gothic" w:hAnsi="Century Gothic" w:eastAsia="等线" w:cs="Tahoma"/>
      <w:kern w:val="2"/>
      <w:sz w:val="18"/>
      <w:szCs w:val="18"/>
      <w:lang w:val="en-US" w:eastAsia="zh-CN" w:bidi="ar-SA"/>
    </w:rPr>
  </w:style>
  <w:style w:type="paragraph" w:customStyle="1" w:styleId="503">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504">
    <w:name w:val="Body"/>
    <w:qFormat/>
    <w:uiPriority w:val="0"/>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Times" w:hAnsi="Times" w:eastAsia="等线" w:cs="等线"/>
      <w:color w:val="000000"/>
      <w:sz w:val="18"/>
      <w:lang w:val="en-US" w:eastAsia="en-US" w:bidi="ar-SA"/>
    </w:rPr>
  </w:style>
  <w:style w:type="paragraph" w:customStyle="1" w:styleId="505">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仿宋_GB2312" w:hAnsi="仿宋_GB2312" w:eastAsia="等线" w:cs="仿宋_GB2312"/>
      <w:b/>
      <w:bCs/>
      <w:color w:val="000000"/>
      <w:kern w:val="0"/>
      <w:sz w:val="24"/>
    </w:rPr>
  </w:style>
  <w:style w:type="paragraph" w:customStyle="1" w:styleId="506">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507">
    <w:name w:val="_Style 113"/>
    <w:basedOn w:val="1"/>
    <w:qFormat/>
    <w:uiPriority w:val="0"/>
    <w:pPr>
      <w:spacing w:line="360" w:lineRule="auto"/>
      <w:ind w:firstLine="420" w:firstLineChars="200"/>
    </w:pPr>
    <w:rPr>
      <w:rFonts w:ascii="等线" w:hAnsi="等线" w:eastAsia="等线" w:cs="等线"/>
      <w:szCs w:val="20"/>
    </w:rPr>
  </w:style>
  <w:style w:type="paragraph" w:customStyle="1" w:styleId="508">
    <w:name w:val="正文段落 Char"/>
    <w:basedOn w:val="1"/>
    <w:qFormat/>
    <w:uiPriority w:val="0"/>
    <w:pPr>
      <w:spacing w:line="360" w:lineRule="auto"/>
      <w:ind w:firstLine="480" w:firstLineChars="200"/>
    </w:pPr>
    <w:rPr>
      <w:rFonts w:ascii="等线" w:hAnsi="等线" w:eastAsia="等线" w:cs="等线"/>
      <w:kern w:val="0"/>
      <w:sz w:val="24"/>
      <w:szCs w:val="20"/>
    </w:rPr>
  </w:style>
  <w:style w:type="paragraph" w:customStyle="1" w:styleId="509">
    <w:name w:val="章标题"/>
    <w:next w:val="1"/>
    <w:qFormat/>
    <w:uiPriority w:val="0"/>
    <w:pPr>
      <w:spacing w:beforeLines="50" w:afterLines="50"/>
      <w:jc w:val="both"/>
      <w:outlineLvl w:val="1"/>
    </w:pPr>
    <w:rPr>
      <w:rFonts w:ascii="Helvetica" w:hAnsi="等线" w:eastAsia="Helvetica" w:cs="等线"/>
      <w:sz w:val="21"/>
      <w:lang w:val="en-US" w:eastAsia="zh-CN" w:bidi="ar-SA"/>
    </w:rPr>
  </w:style>
  <w:style w:type="paragraph" w:customStyle="1" w:styleId="510">
    <w:name w:val="五级条标题"/>
    <w:basedOn w:val="427"/>
    <w:next w:val="1"/>
    <w:qFormat/>
    <w:uiPriority w:val="0"/>
    <w:pPr>
      <w:outlineLvl w:val="6"/>
    </w:pPr>
  </w:style>
  <w:style w:type="paragraph" w:customStyle="1" w:styleId="511">
    <w:name w:val="條文12"/>
    <w:basedOn w:val="1"/>
    <w:qFormat/>
    <w:uiPriority w:val="0"/>
    <w:pPr>
      <w:adjustRightInd w:val="0"/>
      <w:spacing w:line="400" w:lineRule="atLeast"/>
      <w:ind w:left="1186" w:hanging="284" w:firstLineChars="200"/>
      <w:jc w:val="left"/>
      <w:textAlignment w:val="baseline"/>
    </w:pPr>
    <w:rPr>
      <w:rFonts w:ascii="全真楷書" w:hAnsi="等线" w:eastAsia="全真楷書" w:cs="等线"/>
      <w:kern w:val="0"/>
      <w:sz w:val="28"/>
      <w:szCs w:val="20"/>
      <w:lang w:eastAsia="zh-TW"/>
    </w:rPr>
  </w:style>
  <w:style w:type="paragraph" w:customStyle="1" w:styleId="512">
    <w:name w:val="数字级连标题1"/>
    <w:basedOn w:val="4"/>
    <w:next w:val="1"/>
    <w:qFormat/>
    <w:uiPriority w:val="0"/>
    <w:pPr>
      <w:keepLines/>
      <w:tabs>
        <w:tab w:val="left" w:pos="390"/>
      </w:tabs>
      <w:spacing w:line="360" w:lineRule="auto"/>
      <w:ind w:left="390" w:hanging="390"/>
      <w:jc w:val="both"/>
    </w:pPr>
    <w:rPr>
      <w:rFonts w:ascii="等线" w:hAnsi="等线" w:eastAsia="等线"/>
      <w:bCs w:val="0"/>
      <w:sz w:val="28"/>
      <w:szCs w:val="20"/>
      <w:lang w:eastAsia="ar-SA"/>
    </w:rPr>
  </w:style>
  <w:style w:type="paragraph" w:customStyle="1" w:styleId="513">
    <w:name w:val="款1"/>
    <w:basedOn w:val="511"/>
    <w:qFormat/>
    <w:uiPriority w:val="0"/>
    <w:pPr>
      <w:ind w:left="1146"/>
    </w:pPr>
  </w:style>
  <w:style w:type="paragraph" w:customStyle="1" w:styleId="514">
    <w:name w:val="xl11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15">
    <w:name w:val="段落正文"/>
    <w:basedOn w:val="1"/>
    <w:qFormat/>
    <w:uiPriority w:val="0"/>
    <w:pPr>
      <w:spacing w:before="140" w:after="140" w:line="401" w:lineRule="auto"/>
      <w:ind w:firstLine="200" w:firstLineChars="200"/>
    </w:pPr>
    <w:rPr>
      <w:rFonts w:ascii="宋体" w:hAnsi="宋体" w:eastAsia="等线" w:cs="等线"/>
    </w:rPr>
  </w:style>
  <w:style w:type="paragraph" w:customStyle="1" w:styleId="516">
    <w:name w:val="密级编号"/>
    <w:basedOn w:val="1"/>
    <w:qFormat/>
    <w:uiPriority w:val="0"/>
    <w:pPr>
      <w:adjustRightInd w:val="0"/>
      <w:jc w:val="center"/>
      <w:textAlignment w:val="baseline"/>
    </w:pPr>
    <w:rPr>
      <w:rFonts w:ascii="仿宋_GB2312" w:hAnsi="等线" w:eastAsia="仿宋_GB2312" w:cs="等线"/>
      <w:kern w:val="0"/>
      <w:sz w:val="24"/>
      <w:szCs w:val="20"/>
    </w:rPr>
  </w:style>
  <w:style w:type="paragraph" w:customStyle="1" w:styleId="51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51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Calibri" w:hAnsi="Calibri" w:eastAsia="Calibri" w:cs="仿宋_GB2312"/>
      <w:color w:val="000000"/>
      <w:kern w:val="0"/>
      <w:sz w:val="24"/>
    </w:rPr>
  </w:style>
  <w:style w:type="paragraph" w:customStyle="1" w:styleId="519">
    <w:name w:val="標題 (一)"/>
    <w:basedOn w:val="5"/>
    <w:qFormat/>
    <w:uiPriority w:val="0"/>
    <w:pPr>
      <w:tabs>
        <w:tab w:val="left" w:pos="709"/>
      </w:tabs>
      <w:adjustRightInd w:val="0"/>
      <w:spacing w:before="0" w:after="0" w:line="567" w:lineRule="atLeast"/>
      <w:ind w:left="709" w:hanging="567" w:firstLineChars="200"/>
      <w:textAlignment w:val="baseline"/>
      <w:outlineLvl w:val="9"/>
    </w:pPr>
    <w:rPr>
      <w:rFonts w:ascii="PMingLiU" w:hAnsi="Times New Roman" w:eastAsia="PMingLiU"/>
      <w:b w:val="0"/>
      <w:bCs w:val="0"/>
      <w:kern w:val="0"/>
      <w:sz w:val="28"/>
      <w:szCs w:val="20"/>
      <w:lang w:eastAsia="zh-TW"/>
    </w:rPr>
  </w:style>
  <w:style w:type="paragraph" w:customStyle="1" w:styleId="520">
    <w:name w:val="List Paragraph11"/>
    <w:basedOn w:val="1"/>
    <w:qFormat/>
    <w:uiPriority w:val="0"/>
    <w:pPr>
      <w:ind w:firstLine="420" w:firstLineChars="200"/>
    </w:pPr>
    <w:rPr>
      <w:rFonts w:ascii="Century Gothic" w:hAnsi="Century Gothic" w:eastAsia="仿宋_GB2312" w:cs="新宋体"/>
      <w:szCs w:val="22"/>
    </w:rPr>
  </w:style>
  <w:style w:type="paragraph" w:customStyle="1" w:styleId="521">
    <w:name w:val="正文文字 5"/>
    <w:basedOn w:val="26"/>
    <w:qFormat/>
    <w:uiPriority w:val="0"/>
    <w:pPr>
      <w:adjustRightInd w:val="0"/>
      <w:spacing w:after="120" w:line="312" w:lineRule="atLeast"/>
      <w:ind w:left="420" w:firstLine="0" w:firstLineChars="0"/>
      <w:textAlignment w:val="baseline"/>
    </w:pPr>
    <w:rPr>
      <w:rFonts w:ascii="等线" w:hAnsi="等线" w:cs="等线"/>
      <w:kern w:val="0"/>
      <w:sz w:val="21"/>
      <w:szCs w:val="20"/>
    </w:rPr>
  </w:style>
  <w:style w:type="paragraph" w:customStyle="1" w:styleId="52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523">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8"/>
      <w:szCs w:val="28"/>
    </w:rPr>
  </w:style>
  <w:style w:type="paragraph" w:customStyle="1" w:styleId="524">
    <w:name w:val="xl107"/>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宋体" w:hAnsi="宋体" w:eastAsia="等线" w:cs="等线"/>
      <w:kern w:val="0"/>
      <w:sz w:val="24"/>
    </w:rPr>
  </w:style>
  <w:style w:type="paragraph" w:customStyle="1" w:styleId="525">
    <w:name w:val="七级标题"/>
    <w:basedOn w:val="10"/>
    <w:qFormat/>
    <w:uiPriority w:val="0"/>
    <w:pPr>
      <w:adjustRightInd/>
      <w:spacing w:line="320" w:lineRule="auto"/>
      <w:ind w:left="1276" w:hanging="1276"/>
      <w:textAlignment w:val="auto"/>
    </w:pPr>
    <w:rPr>
      <w:rFonts w:ascii="黑体" w:hAnsi="黑体" w:eastAsia="黑体"/>
      <w:bCs/>
      <w:kern w:val="0"/>
    </w:rPr>
  </w:style>
  <w:style w:type="paragraph" w:customStyle="1" w:styleId="526">
    <w:name w:val="样式 标题 1Level 1Level 11h1II+IHeading1H1-Heading 1Header 1..."/>
    <w:basedOn w:val="4"/>
    <w:qFormat/>
    <w:uiPriority w:val="0"/>
    <w:pPr>
      <w:keepLines/>
      <w:pageBreakBefore/>
      <w:spacing w:line="360" w:lineRule="auto"/>
      <w:ind w:left="1680" w:hanging="420"/>
      <w:jc w:val="left"/>
    </w:pPr>
    <w:rPr>
      <w:rFonts w:ascii="Tahoma" w:hAnsi="Tahoma" w:eastAsia="Helvetica" w:cs="仿宋_GB2312"/>
      <w:kern w:val="44"/>
      <w:sz w:val="44"/>
      <w:szCs w:val="20"/>
    </w:rPr>
  </w:style>
  <w:style w:type="paragraph" w:customStyle="1" w:styleId="527">
    <w:name w:val="button"/>
    <w:basedOn w:val="1"/>
    <w:qFormat/>
    <w:uiPriority w:val="0"/>
    <w:pPr>
      <w:widowControl/>
      <w:autoSpaceDE w:val="0"/>
      <w:autoSpaceDN w:val="0"/>
      <w:adjustRightInd w:val="0"/>
      <w:spacing w:before="100" w:beforeAutospacing="1" w:after="100" w:afterAutospacing="1"/>
      <w:jc w:val="left"/>
    </w:pPr>
    <w:rPr>
      <w:rFonts w:ascii="等线" w:hAnsi="等线" w:eastAsia="等线" w:cs="等线"/>
      <w:color w:val="000000"/>
      <w:kern w:val="0"/>
      <w:sz w:val="24"/>
      <w:szCs w:val="20"/>
    </w:rPr>
  </w:style>
  <w:style w:type="paragraph" w:customStyle="1" w:styleId="528">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29">
    <w:name w:val="正文样式 首行缩进:  0.74 厘米"/>
    <w:basedOn w:val="1"/>
    <w:qFormat/>
    <w:uiPriority w:val="0"/>
    <w:pPr>
      <w:autoSpaceDE w:val="0"/>
      <w:autoSpaceDN w:val="0"/>
      <w:adjustRightInd w:val="0"/>
      <w:spacing w:beforeLines="50" w:line="360" w:lineRule="auto"/>
      <w:ind w:firstLine="420"/>
      <w:jc w:val="left"/>
    </w:pPr>
    <w:rPr>
      <w:rFonts w:ascii="等线" w:hAnsi="等线" w:eastAsia="等线" w:cs="仿宋_GB2312"/>
      <w:kern w:val="0"/>
      <w:sz w:val="24"/>
      <w:szCs w:val="20"/>
    </w:rPr>
  </w:style>
  <w:style w:type="paragraph" w:customStyle="1" w:styleId="530">
    <w:name w:val="普通(Web)"/>
    <w:basedOn w:val="1"/>
    <w:qFormat/>
    <w:uiPriority w:val="0"/>
    <w:pPr>
      <w:widowControl/>
      <w:spacing w:before="100" w:beforeAutospacing="1" w:after="100" w:afterAutospacing="1" w:line="240" w:lineRule="atLeast"/>
      <w:ind w:firstLine="360" w:firstLineChars="200"/>
      <w:jc w:val="left"/>
    </w:pPr>
    <w:rPr>
      <w:rFonts w:ascii="宋体" w:hAnsi="宋体" w:eastAsia="等线" w:cs="等线"/>
      <w:kern w:val="0"/>
      <w:sz w:val="18"/>
      <w:szCs w:val="18"/>
    </w:rPr>
  </w:style>
  <w:style w:type="paragraph" w:customStyle="1" w:styleId="531">
    <w:name w:val="标题 11"/>
    <w:basedOn w:val="1"/>
    <w:next w:val="1"/>
    <w:qFormat/>
    <w:uiPriority w:val="0"/>
    <w:pPr>
      <w:tabs>
        <w:tab w:val="left" w:pos="420"/>
        <w:tab w:val="left" w:pos="568"/>
      </w:tabs>
      <w:adjustRightInd w:val="0"/>
      <w:spacing w:line="567" w:lineRule="atLeast"/>
      <w:ind w:firstLine="200" w:firstLineChars="200"/>
      <w:jc w:val="left"/>
      <w:textAlignment w:val="baseline"/>
    </w:pPr>
    <w:rPr>
      <w:rFonts w:ascii="MingLiU" w:hAnsi="等线" w:eastAsia="MingLiU" w:cs="等线"/>
      <w:b/>
      <w:kern w:val="0"/>
      <w:sz w:val="24"/>
      <w:szCs w:val="20"/>
      <w:lang w:eastAsia="zh-TW"/>
    </w:rPr>
  </w:style>
  <w:style w:type="paragraph" w:customStyle="1" w:styleId="532">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533">
    <w:name w:val="xl9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34">
    <w:name w:val="Char Char Char Char Char Char Char Char Char Char Char Char1 Char"/>
    <w:basedOn w:val="1"/>
    <w:qFormat/>
    <w:uiPriority w:val="0"/>
    <w:pPr>
      <w:snapToGrid w:val="0"/>
      <w:spacing w:line="360" w:lineRule="auto"/>
      <w:ind w:firstLine="200" w:firstLineChars="200"/>
    </w:pPr>
    <w:rPr>
      <w:rFonts w:ascii="等线" w:hAnsi="等线" w:eastAsia="等线" w:cs="等线"/>
      <w:szCs w:val="20"/>
    </w:rPr>
  </w:style>
  <w:style w:type="paragraph" w:customStyle="1" w:styleId="535">
    <w:name w:val="xl43"/>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536">
    <w:name w:val="表格栏头"/>
    <w:basedOn w:val="537"/>
    <w:next w:val="537"/>
    <w:qFormat/>
    <w:uiPriority w:val="0"/>
    <w:rPr>
      <w:b/>
    </w:rPr>
  </w:style>
  <w:style w:type="paragraph" w:customStyle="1" w:styleId="537">
    <w:name w:val="表格正文"/>
    <w:basedOn w:val="1"/>
    <w:qFormat/>
    <w:uiPriority w:val="0"/>
    <w:pPr>
      <w:widowControl/>
      <w:overflowPunct w:val="0"/>
      <w:autoSpaceDE w:val="0"/>
      <w:autoSpaceDN w:val="0"/>
      <w:adjustRightInd w:val="0"/>
      <w:spacing w:before="312" w:after="312" w:line="360" w:lineRule="auto"/>
      <w:ind w:firstLine="200" w:firstLineChars="200"/>
      <w:jc w:val="left"/>
      <w:textAlignment w:val="baseline"/>
    </w:pPr>
    <w:rPr>
      <w:rFonts w:ascii="宋体" w:hAnsi="Tahoma" w:eastAsia="等线" w:cs="等线"/>
      <w:kern w:val="0"/>
      <w:sz w:val="24"/>
      <w:szCs w:val="20"/>
    </w:rPr>
  </w:style>
  <w:style w:type="paragraph" w:customStyle="1" w:styleId="538">
    <w:name w:val="Char Char Char Char Char Char Char Char Char Char Char Char Char Char Char Char Char Char Char"/>
    <w:basedOn w:val="1"/>
    <w:qFormat/>
    <w:uiPriority w:val="0"/>
    <w:rPr>
      <w:rFonts w:ascii="黑体" w:hAnsi="等线" w:eastAsia="黑体" w:cs="等线"/>
      <w:b/>
      <w:sz w:val="32"/>
      <w:szCs w:val="32"/>
    </w:rPr>
  </w:style>
  <w:style w:type="paragraph" w:customStyle="1" w:styleId="539">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540">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541">
    <w:name w:val="xl9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42">
    <w:name w:val="修订2"/>
    <w:qFormat/>
    <w:uiPriority w:val="99"/>
    <w:rPr>
      <w:rFonts w:ascii="等线" w:hAnsi="等线" w:eastAsia="等线" w:cs="等线"/>
      <w:kern w:val="2"/>
      <w:sz w:val="21"/>
      <w:szCs w:val="24"/>
      <w:lang w:val="en-US" w:eastAsia="zh-CN" w:bidi="ar-SA"/>
    </w:rPr>
  </w:style>
  <w:style w:type="paragraph" w:customStyle="1" w:styleId="543">
    <w:name w:val="Item Step in Table"/>
    <w:qFormat/>
    <w:uiPriority w:val="0"/>
    <w:pPr>
      <w:tabs>
        <w:tab w:val="left" w:pos="397"/>
      </w:tabs>
      <w:spacing w:before="40" w:after="40"/>
      <w:ind w:left="420" w:hanging="420"/>
      <w:jc w:val="both"/>
    </w:pPr>
    <w:rPr>
      <w:rFonts w:ascii="Arial" w:hAnsi="Arial" w:eastAsia="等线" w:cs="等线"/>
      <w:sz w:val="18"/>
      <w:lang w:val="en-US" w:eastAsia="zh-CN" w:bidi="ar-SA"/>
    </w:rPr>
  </w:style>
  <w:style w:type="paragraph" w:customStyle="1" w:styleId="544">
    <w:name w:val="样式 左侧:  0.85 厘米 首行缩进:  0.85 厘米"/>
    <w:basedOn w:val="1"/>
    <w:qFormat/>
    <w:uiPriority w:val="0"/>
    <w:pPr>
      <w:autoSpaceDE w:val="0"/>
      <w:autoSpaceDN w:val="0"/>
      <w:adjustRightInd w:val="0"/>
      <w:spacing w:line="360" w:lineRule="auto"/>
      <w:ind w:firstLine="482"/>
      <w:jc w:val="left"/>
    </w:pPr>
    <w:rPr>
      <w:rFonts w:ascii="等线" w:hAnsi="等线" w:eastAsia="等线" w:cs="仿宋_GB2312"/>
      <w:kern w:val="0"/>
      <w:sz w:val="24"/>
      <w:szCs w:val="20"/>
    </w:rPr>
  </w:style>
  <w:style w:type="paragraph" w:customStyle="1" w:styleId="545">
    <w:name w:val="Copyright"/>
    <w:basedOn w:val="25"/>
    <w:qFormat/>
    <w:uiPriority w:val="0"/>
    <w:pPr>
      <w:widowControl/>
      <w:spacing w:before="480" w:after="60" w:line="360" w:lineRule="auto"/>
      <w:ind w:firstLine="200" w:firstLineChars="200"/>
      <w:jc w:val="center"/>
    </w:pPr>
    <w:rPr>
      <w:rFonts w:ascii="Trebuchet MS" w:hAnsi="Trebuchet MS" w:eastAsia="等线" w:cs="Trebuchet MS"/>
      <w:b/>
      <w:color w:val="042D56"/>
      <w:kern w:val="0"/>
      <w:sz w:val="20"/>
    </w:rPr>
  </w:style>
  <w:style w:type="paragraph" w:customStyle="1" w:styleId="546">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等线" w:hAnsi="等线" w:eastAsia="等线" w:cs="等线"/>
      <w:kern w:val="0"/>
      <w:sz w:val="24"/>
    </w:rPr>
  </w:style>
  <w:style w:type="paragraph" w:customStyle="1" w:styleId="547">
    <w:name w:val="标准段落"/>
    <w:basedOn w:val="1"/>
    <w:qFormat/>
    <w:uiPriority w:val="0"/>
    <w:pPr>
      <w:spacing w:after="120" w:line="360" w:lineRule="auto"/>
      <w:ind w:firstLine="420"/>
    </w:pPr>
    <w:rPr>
      <w:rFonts w:ascii="Helvetica" w:hAnsi="仿宋_GB2312" w:eastAsia="Helvetica" w:cs="等线"/>
      <w:b/>
      <w:spacing w:val="6"/>
      <w:szCs w:val="22"/>
    </w:rPr>
  </w:style>
  <w:style w:type="paragraph" w:customStyle="1" w:styleId="548">
    <w:name w:val="features1"/>
    <w:basedOn w:val="1"/>
    <w:qFormat/>
    <w:uiPriority w:val="0"/>
    <w:pPr>
      <w:widowControl/>
      <w:spacing w:before="100" w:beforeAutospacing="1" w:after="100" w:afterAutospacing="1"/>
      <w:jc w:val="left"/>
    </w:pPr>
    <w:rPr>
      <w:rFonts w:ascii="仿宋_GB2312" w:hAnsi="仿宋_GB2312" w:eastAsia="等线" w:cs="仿宋_GB2312"/>
      <w:b/>
      <w:bCs/>
      <w:kern w:val="0"/>
      <w:sz w:val="18"/>
      <w:szCs w:val="18"/>
    </w:rPr>
  </w:style>
  <w:style w:type="paragraph" w:customStyle="1" w:styleId="549">
    <w:name w:val="xl10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50">
    <w:name w:val="kpk:2级"/>
    <w:basedOn w:val="5"/>
    <w:qFormat/>
    <w:uiPriority w:val="0"/>
    <w:pPr>
      <w:keepLines w:val="0"/>
      <w:widowControl/>
      <w:tabs>
        <w:tab w:val="left" w:pos="643"/>
        <w:tab w:val="left" w:pos="1440"/>
      </w:tabs>
      <w:spacing w:before="0" w:after="0" w:line="360" w:lineRule="auto"/>
      <w:ind w:left="357" w:hanging="357" w:firstLineChars="200"/>
    </w:pPr>
    <w:rPr>
      <w:rFonts w:ascii="Arial" w:hAnsi="Arial" w:eastAsia="等线"/>
      <w:sz w:val="28"/>
      <w:szCs w:val="30"/>
    </w:rPr>
  </w:style>
  <w:style w:type="paragraph" w:customStyle="1" w:styleId="551">
    <w:name w:val="Plain Text1"/>
    <w:basedOn w:val="1"/>
    <w:qFormat/>
    <w:uiPriority w:val="0"/>
    <w:pPr>
      <w:adjustRightInd w:val="0"/>
      <w:spacing w:line="360" w:lineRule="auto"/>
      <w:ind w:firstLine="200" w:firstLineChars="200"/>
      <w:jc w:val="left"/>
      <w:textAlignment w:val="baseline"/>
    </w:pPr>
    <w:rPr>
      <w:rFonts w:ascii="MingLiU" w:hAnsi="Courier New" w:eastAsia="MingLiU" w:cs="等线"/>
      <w:sz w:val="24"/>
      <w:szCs w:val="20"/>
      <w:lang w:eastAsia="zh-TW"/>
    </w:rPr>
  </w:style>
  <w:style w:type="paragraph" w:customStyle="1" w:styleId="552">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553">
    <w:name w:val="标题1"/>
    <w:basedOn w:val="59"/>
    <w:qFormat/>
    <w:uiPriority w:val="0"/>
    <w:pPr>
      <w:autoSpaceDE/>
      <w:autoSpaceDN/>
      <w:adjustRightInd/>
      <w:spacing w:after="240"/>
      <w:ind w:firstLine="200" w:firstLineChars="200"/>
    </w:pPr>
    <w:rPr>
      <w:rFonts w:ascii="Arial" w:hAnsi="Arial" w:eastAsia="宋体"/>
      <w:bCs w:val="0"/>
      <w:spacing w:val="2"/>
      <w:kern w:val="2"/>
      <w:sz w:val="44"/>
      <w:szCs w:val="20"/>
    </w:rPr>
  </w:style>
  <w:style w:type="paragraph" w:customStyle="1" w:styleId="554">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55">
    <w:name w:val="1."/>
    <w:basedOn w:val="6"/>
    <w:qFormat/>
    <w:uiPriority w:val="0"/>
    <w:pPr>
      <w:widowControl/>
      <w:autoSpaceDE w:val="0"/>
      <w:autoSpaceDN w:val="0"/>
      <w:adjustRightInd w:val="0"/>
      <w:spacing w:before="0" w:after="0" w:line="240" w:lineRule="atLeast"/>
      <w:ind w:left="360" w:hanging="284" w:firstLineChars="200"/>
      <w:textAlignment w:val="bottom"/>
      <w:outlineLvl w:val="9"/>
    </w:pPr>
    <w:rPr>
      <w:rFonts w:ascii="等线" w:hAnsi="等线" w:eastAsia="DFKai-SB"/>
      <w:b w:val="0"/>
      <w:bCs w:val="0"/>
      <w:kern w:val="0"/>
      <w:sz w:val="24"/>
      <w:szCs w:val="20"/>
      <w:lang w:eastAsia="zh-TW"/>
    </w:rPr>
  </w:style>
  <w:style w:type="paragraph" w:customStyle="1" w:styleId="556">
    <w:name w:val="文字"/>
    <w:basedOn w:val="1"/>
    <w:qFormat/>
    <w:uiPriority w:val="0"/>
    <w:pPr>
      <w:tabs>
        <w:tab w:val="left" w:pos="8520"/>
      </w:tabs>
      <w:spacing w:line="312" w:lineRule="auto"/>
      <w:ind w:right="-210" w:firstLine="556"/>
    </w:pPr>
    <w:rPr>
      <w:rFonts w:ascii="仿宋_GB2312" w:hAnsi="等线" w:eastAsia="等线" w:cs="等线"/>
      <w:sz w:val="28"/>
      <w:szCs w:val="20"/>
    </w:rPr>
  </w:style>
  <w:style w:type="paragraph" w:customStyle="1" w:styleId="557">
    <w:name w:val="版权"/>
    <w:basedOn w:val="1"/>
    <w:qFormat/>
    <w:uiPriority w:val="0"/>
    <w:pPr>
      <w:spacing w:before="312" w:after="312" w:line="360" w:lineRule="auto"/>
      <w:ind w:firstLine="480" w:firstLineChars="200"/>
      <w:jc w:val="center"/>
      <w:outlineLvl w:val="0"/>
    </w:pPr>
    <w:rPr>
      <w:rFonts w:ascii="华文中宋" w:hAnsi="华文中宋" w:eastAsia="等线" w:cs="等线"/>
      <w:b/>
      <w:sz w:val="24"/>
      <w:szCs w:val="20"/>
    </w:rPr>
  </w:style>
  <w:style w:type="paragraph" w:customStyle="1" w:styleId="558">
    <w:name w:val="greytypebeni"/>
    <w:basedOn w:val="1"/>
    <w:qFormat/>
    <w:uiPriority w:val="0"/>
    <w:pPr>
      <w:widowControl/>
      <w:spacing w:before="100" w:beforeAutospacing="1" w:after="100" w:afterAutospacing="1" w:line="360" w:lineRule="auto"/>
      <w:ind w:firstLine="200" w:firstLineChars="200"/>
      <w:jc w:val="left"/>
    </w:pPr>
    <w:rPr>
      <w:rFonts w:ascii="宋体" w:hAnsi="宋体" w:eastAsia="等线" w:cs="宋体"/>
      <w:kern w:val="0"/>
      <w:sz w:val="24"/>
    </w:rPr>
  </w:style>
  <w:style w:type="paragraph" w:customStyle="1" w:styleId="559">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等线" w:eastAsia="黑体" w:cs="等线"/>
      <w:sz w:val="52"/>
      <w:szCs w:val="22"/>
      <w:lang w:val="en-US" w:eastAsia="zh-CN" w:bidi="ar-SA"/>
    </w:rPr>
  </w:style>
  <w:style w:type="paragraph" w:customStyle="1" w:styleId="560">
    <w:name w:val="xl9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61">
    <w:name w:val="Paragraf"/>
    <w:basedOn w:val="1"/>
    <w:qFormat/>
    <w:uiPriority w:val="0"/>
    <w:pPr>
      <w:widowControl/>
      <w:overflowPunct w:val="0"/>
      <w:autoSpaceDE w:val="0"/>
      <w:autoSpaceDN w:val="0"/>
      <w:adjustRightInd w:val="0"/>
      <w:spacing w:before="120" w:line="360" w:lineRule="auto"/>
      <w:ind w:left="454" w:hanging="454" w:firstLineChars="200"/>
      <w:jc w:val="left"/>
      <w:textAlignment w:val="baseline"/>
    </w:pPr>
    <w:rPr>
      <w:rFonts w:ascii="等线" w:hAnsi="等线" w:eastAsia="Times New Roman" w:cs="等线"/>
      <w:kern w:val="0"/>
      <w:sz w:val="22"/>
      <w:szCs w:val="20"/>
      <w:lang w:val="en-GB" w:eastAsia="en-US"/>
    </w:rPr>
  </w:style>
  <w:style w:type="paragraph" w:customStyle="1" w:styleId="562">
    <w:name w:val="黑列表"/>
    <w:basedOn w:val="1"/>
    <w:qFormat/>
    <w:uiPriority w:val="0"/>
    <w:pPr>
      <w:widowControl/>
      <w:tabs>
        <w:tab w:val="left" w:pos="420"/>
      </w:tabs>
      <w:adjustRightInd w:val="0"/>
      <w:spacing w:line="300" w:lineRule="auto"/>
      <w:ind w:left="300" w:leftChars="200" w:hanging="100" w:hangingChars="100"/>
      <w:jc w:val="left"/>
    </w:pPr>
    <w:rPr>
      <w:rFonts w:ascii="等线" w:hAnsi="等线" w:eastAsia="等线" w:cs="等线"/>
      <w:bCs/>
      <w:kern w:val="0"/>
      <w:sz w:val="24"/>
      <w:szCs w:val="20"/>
    </w:rPr>
  </w:style>
  <w:style w:type="paragraph" w:customStyle="1" w:styleId="563">
    <w:name w:val="xl6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64">
    <w:name w:val="正文 New New"/>
    <w:qFormat/>
    <w:uiPriority w:val="0"/>
    <w:pPr>
      <w:widowControl w:val="0"/>
      <w:jc w:val="both"/>
    </w:pPr>
    <w:rPr>
      <w:rFonts w:ascii="等线" w:hAnsi="等线" w:eastAsia="等线" w:cs="等线"/>
      <w:kern w:val="2"/>
      <w:sz w:val="21"/>
      <w:szCs w:val="24"/>
      <w:lang w:val="en-US" w:eastAsia="zh-CN" w:bidi="ar-SA"/>
    </w:rPr>
  </w:style>
  <w:style w:type="paragraph" w:customStyle="1" w:styleId="565">
    <w:name w:val="六级标题"/>
    <w:basedOn w:val="9"/>
    <w:qFormat/>
    <w:uiPriority w:val="0"/>
    <w:pPr>
      <w:ind w:left="1134" w:hanging="1134"/>
    </w:pPr>
    <w:rPr>
      <w:rFonts w:ascii="黑体" w:hAnsi="黑体" w:eastAsia="黑体"/>
      <w:kern w:val="0"/>
    </w:rPr>
  </w:style>
  <w:style w:type="paragraph" w:customStyle="1" w:styleId="566">
    <w:name w:val="Normal0"/>
    <w:qFormat/>
    <w:uiPriority w:val="0"/>
    <w:rPr>
      <w:rFonts w:ascii="等线" w:hAnsi="等线" w:eastAsia="等线" w:cs="等线"/>
      <w:lang w:val="en-US" w:eastAsia="en-US" w:bidi="ar-SA"/>
    </w:rPr>
  </w:style>
  <w:style w:type="paragraph" w:customStyle="1" w:styleId="567">
    <w:name w:val="xl22"/>
    <w:basedOn w:val="1"/>
    <w:qFormat/>
    <w:uiPriority w:val="0"/>
    <w:pPr>
      <w:widowControl/>
      <w:spacing w:before="100" w:beforeAutospacing="1" w:after="100" w:afterAutospacing="1"/>
      <w:jc w:val="center"/>
    </w:pPr>
    <w:rPr>
      <w:rFonts w:ascii="宋体" w:hAnsi="宋体" w:eastAsia="等线" w:cs="等线"/>
      <w:kern w:val="0"/>
      <w:sz w:val="24"/>
    </w:rPr>
  </w:style>
  <w:style w:type="paragraph" w:customStyle="1" w:styleId="568">
    <w:name w:val="Quote1"/>
    <w:basedOn w:val="1"/>
    <w:next w:val="1"/>
    <w:qFormat/>
    <w:uiPriority w:val="0"/>
    <w:rPr>
      <w:rFonts w:ascii="Century Gothic" w:hAnsi="Century Gothic" w:eastAsia="仿宋_GB2312" w:cs="新宋体"/>
      <w:i/>
      <w:iCs/>
      <w:color w:val="000000"/>
      <w:kern w:val="0"/>
      <w:sz w:val="20"/>
      <w:szCs w:val="20"/>
    </w:rPr>
  </w:style>
  <w:style w:type="paragraph" w:customStyle="1" w:styleId="569">
    <w:name w:val="Char Char Char Char Char Char Char Char"/>
    <w:basedOn w:val="1"/>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570">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71">
    <w:name w:val="正文 New"/>
    <w:qFormat/>
    <w:uiPriority w:val="0"/>
    <w:pPr>
      <w:widowControl w:val="0"/>
      <w:jc w:val="both"/>
    </w:pPr>
    <w:rPr>
      <w:rFonts w:ascii="等线" w:hAnsi="等线" w:eastAsia="等线" w:cs="等线"/>
      <w:kern w:val="2"/>
      <w:sz w:val="21"/>
      <w:szCs w:val="24"/>
      <w:lang w:val="en-US" w:eastAsia="zh-CN" w:bidi="ar-SA"/>
    </w:rPr>
  </w:style>
  <w:style w:type="paragraph" w:customStyle="1" w:styleId="572">
    <w:name w:val="标-1"/>
    <w:basedOn w:val="4"/>
    <w:qFormat/>
    <w:uiPriority w:val="0"/>
    <w:pPr>
      <w:keepLines/>
      <w:tabs>
        <w:tab w:val="left" w:pos="360"/>
      </w:tabs>
      <w:spacing w:line="300" w:lineRule="auto"/>
      <w:ind w:firstLine="200" w:firstLineChars="200"/>
      <w:jc w:val="both"/>
    </w:pPr>
    <w:rPr>
      <w:rFonts w:ascii="Arial" w:hAnsi="Arial" w:eastAsia="黑体" w:cs="Arial"/>
      <w:bCs w:val="0"/>
      <w:color w:val="336699"/>
      <w:kern w:val="44"/>
      <w:sz w:val="32"/>
      <w:szCs w:val="28"/>
    </w:rPr>
  </w:style>
  <w:style w:type="paragraph" w:customStyle="1" w:styleId="573">
    <w:name w:val="標題 1."/>
    <w:basedOn w:val="6"/>
    <w:qFormat/>
    <w:uiPriority w:val="0"/>
    <w:pPr>
      <w:adjustRightInd w:val="0"/>
      <w:spacing w:before="0" w:after="0" w:line="567" w:lineRule="atLeast"/>
      <w:ind w:left="993" w:hanging="283" w:firstLineChars="200"/>
      <w:textAlignment w:val="baseline"/>
      <w:outlineLvl w:val="9"/>
    </w:pPr>
    <w:rPr>
      <w:rFonts w:ascii="PMingLiU" w:hAnsi="等线" w:eastAsia="PMingLiU"/>
      <w:b w:val="0"/>
      <w:bCs w:val="0"/>
      <w:kern w:val="0"/>
      <w:sz w:val="28"/>
      <w:szCs w:val="20"/>
      <w:lang w:eastAsia="zh-TW"/>
    </w:rPr>
  </w:style>
  <w:style w:type="paragraph" w:customStyle="1" w:styleId="574">
    <w:name w:val="此正文"/>
    <w:basedOn w:val="1"/>
    <w:qFormat/>
    <w:uiPriority w:val="0"/>
    <w:pPr>
      <w:autoSpaceDE w:val="0"/>
      <w:autoSpaceDN w:val="0"/>
      <w:adjustRightInd w:val="0"/>
      <w:spacing w:line="360" w:lineRule="auto"/>
      <w:ind w:firstLine="200" w:firstLineChars="200"/>
      <w:jc w:val="left"/>
    </w:pPr>
    <w:rPr>
      <w:rFonts w:ascii="等线" w:hAnsi="等线" w:eastAsia="等线" w:cs="等线"/>
      <w:kern w:val="0"/>
      <w:sz w:val="24"/>
      <w:szCs w:val="20"/>
    </w:rPr>
  </w:style>
  <w:style w:type="paragraph" w:customStyle="1" w:styleId="575">
    <w:name w:val="Table Heading"/>
    <w:qFormat/>
    <w:uiPriority w:val="0"/>
    <w:pPr>
      <w:keepNext/>
      <w:snapToGrid w:val="0"/>
      <w:spacing w:before="80" w:after="80"/>
      <w:jc w:val="center"/>
    </w:pPr>
    <w:rPr>
      <w:rFonts w:ascii="Century Gothic" w:hAnsi="Century Gothic" w:eastAsia="Helvetica" w:cs="Tahoma"/>
      <w:kern w:val="2"/>
      <w:sz w:val="18"/>
      <w:szCs w:val="18"/>
      <w:lang w:val="en-US" w:eastAsia="zh-CN" w:bidi="ar-SA"/>
    </w:rPr>
  </w:style>
  <w:style w:type="paragraph" w:customStyle="1" w:styleId="576">
    <w:name w:val="Char Char2 字元 字元"/>
    <w:basedOn w:val="1"/>
    <w:qFormat/>
    <w:uiPriority w:val="0"/>
    <w:pPr>
      <w:widowControl/>
      <w:spacing w:after="160" w:line="240" w:lineRule="exact"/>
      <w:ind w:firstLine="200" w:firstLineChars="200"/>
      <w:jc w:val="left"/>
    </w:pPr>
    <w:rPr>
      <w:rFonts w:ascii="等线" w:hAnsi="等线" w:eastAsia="等线" w:cs="等线"/>
      <w:szCs w:val="20"/>
    </w:rPr>
  </w:style>
  <w:style w:type="paragraph" w:customStyle="1" w:styleId="577">
    <w:name w:val="xl2917089"/>
    <w:basedOn w:val="1"/>
    <w:qFormat/>
    <w:uiPriority w:val="0"/>
    <w:pPr>
      <w:widowControl/>
      <w:pBdr>
        <w:left w:val="single" w:color="auto" w:sz="4" w:space="1"/>
        <w:right w:val="single" w:color="auto" w:sz="4" w:space="1"/>
      </w:pBdr>
      <w:spacing w:before="100" w:beforeAutospacing="1" w:after="100" w:afterAutospacing="1"/>
      <w:jc w:val="center"/>
      <w:textAlignment w:val="center"/>
    </w:pPr>
    <w:rPr>
      <w:rFonts w:hint="eastAsia" w:ascii="宋体" w:hAnsi="宋体" w:eastAsia="等线" w:cs="等线"/>
      <w:kern w:val="0"/>
      <w:sz w:val="24"/>
    </w:rPr>
  </w:style>
  <w:style w:type="paragraph" w:customStyle="1" w:styleId="578">
    <w:name w:val="font7"/>
    <w:basedOn w:val="1"/>
    <w:qFormat/>
    <w:uiPriority w:val="0"/>
    <w:pPr>
      <w:widowControl/>
      <w:spacing w:before="100" w:beforeAutospacing="1" w:after="100" w:afterAutospacing="1"/>
      <w:jc w:val="left"/>
    </w:pPr>
    <w:rPr>
      <w:rFonts w:ascii="等线" w:hAnsi="等线" w:eastAsia="等线" w:cs="等线"/>
      <w:kern w:val="0"/>
      <w:sz w:val="20"/>
      <w:szCs w:val="20"/>
    </w:rPr>
  </w:style>
  <w:style w:type="paragraph" w:customStyle="1" w:styleId="579">
    <w:name w:val="xl34"/>
    <w:basedOn w:val="1"/>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0"/>
      <w:szCs w:val="20"/>
    </w:rPr>
  </w:style>
  <w:style w:type="paragraph" w:customStyle="1" w:styleId="580">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仿宋_GB2312" w:hAnsi="仿宋_GB2312" w:eastAsia="等线" w:cs="仿宋_GB2312"/>
      <w:b/>
      <w:bCs/>
      <w:color w:val="000000"/>
      <w:kern w:val="0"/>
      <w:sz w:val="24"/>
    </w:rPr>
  </w:style>
  <w:style w:type="paragraph" w:customStyle="1" w:styleId="581">
    <w:name w:val="封面标准号2"/>
    <w:qFormat/>
    <w:uiPriority w:val="0"/>
    <w:pPr>
      <w:framePr w:w="9140" w:h="1242" w:hRule="exact" w:hSpace="284" w:wrap="around" w:vAnchor="page" w:hAnchor="page" w:x="1645" w:y="2910" w:anchorLock="1"/>
      <w:spacing w:before="357" w:line="280" w:lineRule="exact"/>
      <w:jc w:val="right"/>
    </w:pPr>
    <w:rPr>
      <w:rFonts w:ascii="黑体" w:hAnsi="等线" w:eastAsia="黑体" w:cs="等线"/>
      <w:sz w:val="28"/>
      <w:szCs w:val="28"/>
      <w:lang w:val="en-US" w:eastAsia="zh-CN" w:bidi="ar-SA"/>
    </w:rPr>
  </w:style>
  <w:style w:type="paragraph" w:customStyle="1" w:styleId="582">
    <w:name w:val="Default Text"/>
    <w:basedOn w:val="1"/>
    <w:qFormat/>
    <w:uiPriority w:val="0"/>
    <w:pPr>
      <w:autoSpaceDE w:val="0"/>
      <w:autoSpaceDN w:val="0"/>
      <w:adjustRightInd w:val="0"/>
      <w:spacing w:line="360" w:lineRule="auto"/>
      <w:ind w:firstLine="200" w:firstLineChars="200"/>
      <w:jc w:val="left"/>
    </w:pPr>
    <w:rPr>
      <w:rFonts w:ascii="等线" w:hAnsi="等线" w:eastAsia="PMingLiU" w:cs="等线"/>
      <w:kern w:val="0"/>
      <w:sz w:val="24"/>
      <w:szCs w:val="20"/>
      <w:lang w:eastAsia="zh-TW"/>
    </w:rPr>
  </w:style>
  <w:style w:type="paragraph" w:customStyle="1" w:styleId="583">
    <w:name w:val="xl11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84">
    <w:name w:val="默认段落字体 Para Char Char Char Char Char Char Char"/>
    <w:basedOn w:val="1"/>
    <w:qFormat/>
    <w:uiPriority w:val="0"/>
    <w:rPr>
      <w:rFonts w:ascii="等线" w:hAnsi="等线" w:eastAsia="黑体" w:cs="等线"/>
      <w:sz w:val="28"/>
    </w:rPr>
  </w:style>
  <w:style w:type="paragraph" w:customStyle="1" w:styleId="585">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586">
    <w:name w:val="(1)"/>
    <w:basedOn w:val="1"/>
    <w:qFormat/>
    <w:uiPriority w:val="0"/>
    <w:pPr>
      <w:adjustRightInd w:val="0"/>
      <w:spacing w:line="454" w:lineRule="atLeast"/>
      <w:ind w:left="1701" w:hanging="709" w:firstLineChars="200"/>
      <w:textAlignment w:val="baseline"/>
    </w:pPr>
    <w:rPr>
      <w:rFonts w:ascii="PMingLiU" w:hAnsi="等线" w:eastAsia="PMingLiU" w:cs="等线"/>
      <w:kern w:val="0"/>
      <w:sz w:val="28"/>
      <w:szCs w:val="20"/>
      <w:lang w:eastAsia="zh-TW"/>
    </w:rPr>
  </w:style>
  <w:style w:type="paragraph" w:customStyle="1" w:styleId="587">
    <w:name w:val=".."/>
    <w:basedOn w:val="1"/>
    <w:next w:val="1"/>
    <w:qFormat/>
    <w:uiPriority w:val="0"/>
    <w:pPr>
      <w:autoSpaceDE w:val="0"/>
      <w:autoSpaceDN w:val="0"/>
      <w:adjustRightInd w:val="0"/>
      <w:spacing w:line="360" w:lineRule="auto"/>
      <w:ind w:firstLine="200" w:firstLineChars="200"/>
      <w:jc w:val="left"/>
    </w:pPr>
    <w:rPr>
      <w:rFonts w:ascii="等线" w:hAnsi="等线" w:eastAsia="等线" w:cs="等线"/>
      <w:kern w:val="0"/>
      <w:sz w:val="24"/>
    </w:rPr>
  </w:style>
  <w:style w:type="paragraph" w:customStyle="1" w:styleId="588">
    <w:name w:val="2"/>
    <w:basedOn w:val="1"/>
    <w:next w:val="26"/>
    <w:qFormat/>
    <w:uiPriority w:val="0"/>
    <w:pPr>
      <w:spacing w:line="440" w:lineRule="exact"/>
      <w:ind w:firstLine="420" w:firstLineChars="200"/>
    </w:pPr>
    <w:rPr>
      <w:rFonts w:ascii="等线" w:hAnsi="等线" w:eastAsia="等线" w:cs="等线"/>
      <w:sz w:val="28"/>
      <w:szCs w:val="20"/>
    </w:rPr>
  </w:style>
  <w:style w:type="paragraph" w:customStyle="1" w:styleId="589">
    <w:name w:val="Char Char Char Char Char Char Char Char Char Char Char Char Char Char Char Char Char Char Char1"/>
    <w:basedOn w:val="1"/>
    <w:qFormat/>
    <w:uiPriority w:val="0"/>
    <w:rPr>
      <w:rFonts w:ascii="黑体" w:hAnsi="等线" w:eastAsia="黑体" w:cs="等线"/>
      <w:b/>
      <w:sz w:val="32"/>
      <w:szCs w:val="32"/>
    </w:rPr>
  </w:style>
  <w:style w:type="paragraph" w:customStyle="1" w:styleId="59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91">
    <w:name w:val="规范正文"/>
    <w:basedOn w:val="1"/>
    <w:qFormat/>
    <w:uiPriority w:val="0"/>
    <w:pPr>
      <w:adjustRightInd w:val="0"/>
      <w:spacing w:line="360" w:lineRule="auto"/>
      <w:ind w:left="480" w:firstLine="200" w:firstLineChars="200"/>
      <w:textAlignment w:val="baseline"/>
    </w:pPr>
    <w:rPr>
      <w:rFonts w:ascii="宋体" w:hAnsi="宋体" w:eastAsia="等线" w:cs="等线"/>
      <w:kern w:val="0"/>
      <w:sz w:val="24"/>
    </w:rPr>
  </w:style>
  <w:style w:type="paragraph" w:customStyle="1" w:styleId="59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93">
    <w:name w:val="网格表 31"/>
    <w:basedOn w:val="4"/>
    <w:next w:val="1"/>
    <w:unhideWhenUsed/>
    <w:qFormat/>
    <w:uiPriority w:val="0"/>
    <w:pPr>
      <w:keepLines/>
      <w:widowControl/>
      <w:spacing w:line="259" w:lineRule="auto"/>
      <w:jc w:val="left"/>
      <w:outlineLvl w:val="9"/>
    </w:pPr>
    <w:rPr>
      <w:rFonts w:ascii="Calibri Light" w:hAnsi="Calibri Light" w:eastAsia="等线"/>
      <w:b w:val="0"/>
      <w:bCs w:val="0"/>
      <w:color w:val="2E74B5"/>
      <w:kern w:val="0"/>
      <w:sz w:val="32"/>
      <w:szCs w:val="32"/>
    </w:rPr>
  </w:style>
  <w:style w:type="paragraph" w:customStyle="1" w:styleId="594">
    <w:name w:val="font8"/>
    <w:basedOn w:val="1"/>
    <w:qFormat/>
    <w:uiPriority w:val="0"/>
    <w:pPr>
      <w:widowControl/>
      <w:spacing w:before="100" w:beforeAutospacing="1" w:after="100" w:afterAutospacing="1"/>
      <w:jc w:val="left"/>
    </w:pPr>
    <w:rPr>
      <w:rFonts w:ascii="等线" w:hAnsi="等线" w:eastAsia="等线" w:cs="等线"/>
      <w:kern w:val="0"/>
      <w:sz w:val="24"/>
    </w:rPr>
  </w:style>
  <w:style w:type="paragraph" w:customStyle="1" w:styleId="595">
    <w:name w:val="中等深浅网格 1 - 着色 21"/>
    <w:basedOn w:val="1"/>
    <w:qFormat/>
    <w:uiPriority w:val="0"/>
    <w:pPr>
      <w:spacing w:line="360" w:lineRule="auto"/>
      <w:ind w:firstLine="200" w:firstLineChars="200"/>
    </w:pPr>
    <w:rPr>
      <w:rFonts w:ascii="Verdana" w:hAnsi="Verdana" w:eastAsia="等线" w:cs="等线"/>
      <w:sz w:val="24"/>
      <w:szCs w:val="20"/>
    </w:rPr>
  </w:style>
  <w:style w:type="character" w:customStyle="1" w:styleId="596">
    <w:name w:val="明显引用 字符"/>
    <w:basedOn w:val="70"/>
    <w:link w:val="325"/>
    <w:semiHidden/>
    <w:qFormat/>
    <w:uiPriority w:val="99"/>
    <w:rPr>
      <w:b/>
      <w:bCs/>
      <w:i/>
      <w:iCs/>
      <w:color w:val="4F81BD" w:themeColor="accent1"/>
      <w:kern w:val="2"/>
      <w:sz w:val="21"/>
      <w:szCs w:val="24"/>
      <w14:textFill>
        <w14:solidFill>
          <w14:schemeClr w14:val="accent1"/>
        </w14:solidFill>
      </w14:textFill>
    </w:rPr>
  </w:style>
  <w:style w:type="paragraph" w:customStyle="1" w:styleId="597">
    <w:name w:val="Char Char Char Char Char Char1 Char Char Char Char"/>
    <w:basedOn w:val="19"/>
    <w:qFormat/>
    <w:uiPriority w:val="0"/>
    <w:pPr>
      <w:spacing w:line="360" w:lineRule="auto"/>
      <w:ind w:firstLine="200" w:firstLineChars="200"/>
    </w:pPr>
    <w:rPr>
      <w:rFonts w:ascii="Tahoma" w:hAnsi="Tahoma" w:eastAsia="等线"/>
      <w:sz w:val="24"/>
      <w:szCs w:val="20"/>
    </w:rPr>
  </w:style>
  <w:style w:type="paragraph" w:customStyle="1" w:styleId="598">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599">
    <w:name w:val="xl10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600">
    <w:name w:val="xl29"/>
    <w:basedOn w:val="1"/>
    <w:qFormat/>
    <w:uiPriority w:val="0"/>
    <w:pPr>
      <w:widowControl/>
      <w:autoSpaceDE w:val="0"/>
      <w:autoSpaceDN w:val="0"/>
      <w:adjustRightInd w:val="0"/>
      <w:spacing w:before="100" w:beforeAutospacing="1" w:after="100" w:afterAutospacing="1"/>
      <w:jc w:val="center"/>
    </w:pPr>
    <w:rPr>
      <w:rFonts w:ascii="等线" w:hAnsi="等线" w:eastAsia="Times New Roman" w:cs="等线"/>
      <w:kern w:val="0"/>
      <w:sz w:val="24"/>
      <w:szCs w:val="20"/>
    </w:rPr>
  </w:style>
  <w:style w:type="paragraph" w:customStyle="1" w:styleId="601">
    <w:name w:val="正文Y"/>
    <w:basedOn w:val="1"/>
    <w:qFormat/>
    <w:uiPriority w:val="0"/>
    <w:pPr>
      <w:spacing w:line="360" w:lineRule="auto"/>
      <w:ind w:firstLine="420" w:firstLineChars="200"/>
    </w:pPr>
    <w:rPr>
      <w:rFonts w:ascii="等线" w:hAnsi="等线" w:eastAsia="等线" w:cs="等线"/>
      <w:sz w:val="24"/>
    </w:rPr>
  </w:style>
  <w:style w:type="paragraph" w:customStyle="1" w:styleId="602">
    <w:name w:val="_Style 54"/>
    <w:basedOn w:val="1"/>
    <w:qFormat/>
    <w:uiPriority w:val="0"/>
    <w:rPr>
      <w:rFonts w:ascii="等线" w:hAnsi="等线" w:eastAsia="等线" w:cs="等线"/>
    </w:rPr>
  </w:style>
  <w:style w:type="paragraph" w:customStyle="1" w:styleId="603">
    <w:name w:val="标3"/>
    <w:basedOn w:val="6"/>
    <w:next w:val="7"/>
    <w:qFormat/>
    <w:uiPriority w:val="0"/>
    <w:pPr>
      <w:spacing w:before="240" w:after="180" w:line="360" w:lineRule="auto"/>
      <w:ind w:firstLine="576" w:firstLineChars="205"/>
    </w:pPr>
    <w:rPr>
      <w:rFonts w:ascii="等线" w:hAnsi="等线" w:eastAsia="等线"/>
      <w:bCs w:val="0"/>
      <w:sz w:val="28"/>
    </w:rPr>
  </w:style>
  <w:style w:type="paragraph" w:customStyle="1" w:styleId="604">
    <w:name w:val="纯文本1"/>
    <w:basedOn w:val="1"/>
    <w:qFormat/>
    <w:uiPriority w:val="0"/>
    <w:pPr>
      <w:adjustRightInd w:val="0"/>
      <w:jc w:val="left"/>
      <w:textAlignment w:val="baseline"/>
    </w:pPr>
    <w:rPr>
      <w:rFonts w:ascii="宋体" w:hAnsi="Courier New" w:eastAsia="等线" w:cs="等线"/>
      <w:szCs w:val="20"/>
    </w:rPr>
  </w:style>
  <w:style w:type="paragraph" w:customStyle="1" w:styleId="605">
    <w:name w:val="Char Char1 Char"/>
    <w:basedOn w:val="1"/>
    <w:qFormat/>
    <w:uiPriority w:val="0"/>
    <w:pPr>
      <w:widowControl/>
      <w:autoSpaceDE w:val="0"/>
      <w:autoSpaceDN w:val="0"/>
      <w:adjustRightInd w:val="0"/>
      <w:snapToGrid w:val="0"/>
      <w:spacing w:before="120" w:after="160" w:line="360" w:lineRule="auto"/>
      <w:ind w:right="-360"/>
      <w:jc w:val="left"/>
    </w:pPr>
    <w:rPr>
      <w:rFonts w:ascii="Tahoma" w:hAnsi="Tahoma" w:eastAsia="等线" w:cs="等线"/>
      <w:kern w:val="0"/>
      <w:sz w:val="24"/>
      <w:szCs w:val="20"/>
      <w:lang w:eastAsia="en-US"/>
    </w:rPr>
  </w:style>
  <w:style w:type="paragraph" w:customStyle="1" w:styleId="60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eastAsia="Calibri" w:cs="仿宋_GB2312"/>
      <w:color w:val="000000"/>
      <w:kern w:val="0"/>
      <w:sz w:val="24"/>
    </w:rPr>
  </w:style>
  <w:style w:type="paragraph" w:customStyle="1" w:styleId="607">
    <w:name w:val="xl11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608">
    <w:name w:val="reader-word-layer"/>
    <w:basedOn w:val="1"/>
    <w:qFormat/>
    <w:uiPriority w:val="0"/>
    <w:pPr>
      <w:widowControl/>
      <w:spacing w:before="100" w:beforeAutospacing="1" w:after="100" w:afterAutospacing="1" w:line="360" w:lineRule="auto"/>
      <w:ind w:firstLine="200" w:firstLineChars="200"/>
      <w:jc w:val="left"/>
    </w:pPr>
    <w:rPr>
      <w:rFonts w:ascii="宋体" w:hAnsi="宋体" w:eastAsia="等线" w:cs="宋体"/>
      <w:kern w:val="0"/>
      <w:sz w:val="24"/>
    </w:rPr>
  </w:style>
  <w:style w:type="paragraph" w:customStyle="1" w:styleId="609">
    <w:name w:val="Char Char 字元 字元 字元 Char Char Char Char"/>
    <w:basedOn w:val="1"/>
    <w:qFormat/>
    <w:uiPriority w:val="0"/>
    <w:pPr>
      <w:adjustRightInd w:val="0"/>
      <w:spacing w:line="360" w:lineRule="auto"/>
      <w:ind w:firstLine="200" w:firstLineChars="200"/>
    </w:pPr>
    <w:rPr>
      <w:rFonts w:ascii="等线" w:hAnsi="等线" w:eastAsia="等线" w:cs="等线"/>
      <w:kern w:val="0"/>
      <w:sz w:val="24"/>
      <w:szCs w:val="20"/>
    </w:rPr>
  </w:style>
  <w:style w:type="paragraph" w:customStyle="1" w:styleId="610">
    <w:name w:val="中等深浅底纹 1 - 着色 11"/>
    <w:qFormat/>
    <w:uiPriority w:val="0"/>
    <w:rPr>
      <w:rFonts w:ascii="等线" w:hAnsi="等线" w:eastAsia="等线" w:cs="等线"/>
      <w:sz w:val="22"/>
      <w:szCs w:val="22"/>
      <w:lang w:val="en-US" w:eastAsia="zh-CN" w:bidi="ar-SA"/>
    </w:rPr>
  </w:style>
  <w:style w:type="paragraph" w:customStyle="1" w:styleId="611">
    <w:name w:val="完成日期"/>
    <w:basedOn w:val="1"/>
    <w:qFormat/>
    <w:uiPriority w:val="0"/>
    <w:pPr>
      <w:adjustRightInd w:val="0"/>
      <w:spacing w:line="360" w:lineRule="auto"/>
      <w:jc w:val="center"/>
      <w:textAlignment w:val="baseline"/>
    </w:pPr>
    <w:rPr>
      <w:rFonts w:ascii="楷体_GB2312" w:hAnsi="等线" w:eastAsia="楷体_GB2312" w:cs="等线"/>
      <w:kern w:val="0"/>
      <w:sz w:val="30"/>
      <w:szCs w:val="20"/>
    </w:rPr>
  </w:style>
  <w:style w:type="paragraph" w:customStyle="1" w:styleId="612">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等线" w:hAnsi="等线" w:eastAsia="等线" w:cs="等线"/>
      <w:kern w:val="0"/>
      <w:sz w:val="24"/>
    </w:rPr>
  </w:style>
  <w:style w:type="paragraph" w:customStyle="1" w:styleId="613">
    <w:name w:val="样式5"/>
    <w:basedOn w:val="16"/>
    <w:qFormat/>
    <w:uiPriority w:val="0"/>
    <w:pPr>
      <w:adjustRightInd/>
      <w:spacing w:line="360" w:lineRule="auto"/>
      <w:ind w:firstLine="200" w:firstLineChars="200"/>
      <w:textAlignment w:val="auto"/>
    </w:pPr>
    <w:rPr>
      <w:rFonts w:eastAsia="仿宋_GB2312"/>
      <w:kern w:val="2"/>
      <w:sz w:val="28"/>
      <w:szCs w:val="21"/>
    </w:rPr>
  </w:style>
  <w:style w:type="paragraph" w:customStyle="1" w:styleId="614">
    <w:name w:val="正文 New New New New"/>
    <w:qFormat/>
    <w:uiPriority w:val="2"/>
    <w:pPr>
      <w:widowControl w:val="0"/>
      <w:jc w:val="both"/>
    </w:pPr>
    <w:rPr>
      <w:rFonts w:ascii="Calibri" w:hAnsi="Calibri" w:eastAsia="等线" w:cs="等线"/>
      <w:color w:val="000000"/>
      <w:szCs w:val="24"/>
      <w:lang w:val="en-US" w:eastAsia="zh-CN" w:bidi="ar-SA"/>
    </w:rPr>
  </w:style>
  <w:style w:type="paragraph" w:customStyle="1" w:styleId="615">
    <w:name w:val="p0"/>
    <w:basedOn w:val="1"/>
    <w:qFormat/>
    <w:uiPriority w:val="0"/>
    <w:pPr>
      <w:widowControl/>
      <w:spacing w:before="100" w:after="100" w:line="360" w:lineRule="auto"/>
      <w:ind w:firstLine="200" w:firstLineChars="200"/>
    </w:pPr>
    <w:rPr>
      <w:rFonts w:ascii="Calibri" w:hAnsi="Calibri" w:eastAsia="等线" w:cs="等线"/>
      <w:kern w:val="0"/>
      <w:sz w:val="24"/>
      <w:szCs w:val="20"/>
    </w:rPr>
  </w:style>
  <w:style w:type="paragraph" w:customStyle="1" w:styleId="616">
    <w:name w:val="正文（首行缩进）"/>
    <w:basedOn w:val="26"/>
    <w:qFormat/>
    <w:uiPriority w:val="0"/>
    <w:pPr>
      <w:widowControl/>
      <w:overflowPunct w:val="0"/>
      <w:autoSpaceDE w:val="0"/>
      <w:autoSpaceDN w:val="0"/>
      <w:adjustRightInd w:val="0"/>
      <w:spacing w:beforeLines="50" w:after="120" w:line="400" w:lineRule="exact"/>
      <w:ind w:left="200" w:leftChars="200" w:firstLine="200" w:firstLineChars="200"/>
      <w:jc w:val="left"/>
      <w:textAlignment w:val="baseline"/>
    </w:pPr>
    <w:rPr>
      <w:rFonts w:ascii="等线" w:hAnsi="等线" w:eastAsia="仿宋_GB2312" w:cs="等线"/>
      <w:spacing w:val="10"/>
      <w:kern w:val="0"/>
      <w:szCs w:val="20"/>
    </w:rPr>
  </w:style>
  <w:style w:type="paragraph" w:customStyle="1" w:styleId="617">
    <w:name w:val="Char Char Char Char Char Char Char Char Char1 Char"/>
    <w:basedOn w:val="1"/>
    <w:qFormat/>
    <w:uiPriority w:val="0"/>
    <w:rPr>
      <w:rFonts w:ascii="等线" w:hAnsi="等线" w:eastAsia="等线" w:cs="等线"/>
    </w:rPr>
  </w:style>
  <w:style w:type="paragraph" w:customStyle="1" w:styleId="618">
    <w:name w:val="其他标准标志"/>
    <w:basedOn w:val="498"/>
    <w:qFormat/>
    <w:uiPriority w:val="0"/>
    <w:pPr>
      <w:framePr w:w="6101" w:vAnchor="page" w:hAnchor="page" w:x="4673" w:y="942"/>
    </w:pPr>
    <w:rPr>
      <w:w w:val="130"/>
    </w:rPr>
  </w:style>
  <w:style w:type="paragraph" w:customStyle="1" w:styleId="619">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20">
    <w:name w:val="2级"/>
    <w:basedOn w:val="5"/>
    <w:next w:val="62"/>
    <w:qFormat/>
    <w:uiPriority w:val="0"/>
    <w:pPr>
      <w:spacing w:line="415" w:lineRule="auto"/>
      <w:ind w:left="420"/>
    </w:pPr>
    <w:rPr>
      <w:rFonts w:eastAsia="黑体"/>
      <w:kern w:val="0"/>
      <w:sz w:val="30"/>
    </w:rPr>
  </w:style>
  <w:style w:type="paragraph" w:customStyle="1" w:styleId="621">
    <w:name w:val="表格文字（大）"/>
    <w:basedOn w:val="1"/>
    <w:qFormat/>
    <w:uiPriority w:val="0"/>
    <w:pPr>
      <w:autoSpaceDE w:val="0"/>
      <w:autoSpaceDN w:val="0"/>
      <w:adjustRightInd w:val="0"/>
      <w:spacing w:before="20" w:after="20"/>
      <w:jc w:val="left"/>
    </w:pPr>
    <w:rPr>
      <w:rFonts w:ascii="Arial Unicode MS" w:hAnsi="Arial Unicode MS" w:eastAsia="等线" w:cs="Arial Unicode MS"/>
      <w:kern w:val="0"/>
      <w:sz w:val="24"/>
      <w:szCs w:val="20"/>
    </w:rPr>
  </w:style>
  <w:style w:type="paragraph" w:customStyle="1" w:styleId="622">
    <w:name w:val="xl94"/>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623">
    <w:name w:val="默认段落字体 Para Char Char Char Char"/>
    <w:basedOn w:val="1"/>
    <w:qFormat/>
    <w:uiPriority w:val="0"/>
    <w:rPr>
      <w:rFonts w:ascii="等线" w:hAnsi="等线" w:eastAsia="等线" w:cs="等线"/>
    </w:rPr>
  </w:style>
  <w:style w:type="paragraph" w:customStyle="1" w:styleId="624">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等线" w:hAnsi="等线" w:eastAsia="等线" w:cs="等线"/>
      <w:kern w:val="0"/>
      <w:sz w:val="24"/>
    </w:rPr>
  </w:style>
  <w:style w:type="paragraph" w:customStyle="1" w:styleId="625">
    <w:name w:val="A正文"/>
    <w:basedOn w:val="97"/>
    <w:qFormat/>
    <w:uiPriority w:val="0"/>
    <w:pPr>
      <w:jc w:val="left"/>
    </w:pPr>
    <w:rPr>
      <w:rFonts w:ascii="等线" w:hAnsi="等线" w:eastAsia="等线"/>
      <w:shd w:val="clear" w:color="auto" w:fill="auto"/>
    </w:rPr>
  </w:style>
  <w:style w:type="paragraph" w:customStyle="1" w:styleId="626">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627">
    <w:name w:val="14"/>
    <w:basedOn w:val="1"/>
    <w:qFormat/>
    <w:uiPriority w:val="0"/>
    <w:pPr>
      <w:snapToGrid w:val="0"/>
      <w:spacing w:beforeLines="30" w:line="288" w:lineRule="auto"/>
      <w:ind w:left="852" w:leftChars="355" w:firstLine="420" w:firstLineChars="175"/>
    </w:pPr>
    <w:rPr>
      <w:rFonts w:ascii="Calibri" w:hAnsi="Calibri" w:eastAsia="等线" w:cs="等线"/>
      <w:sz w:val="24"/>
      <w:szCs w:val="20"/>
    </w:rPr>
  </w:style>
  <w:style w:type="paragraph" w:customStyle="1" w:styleId="628">
    <w:name w:val="xl32"/>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等线" w:hAnsi="等线" w:eastAsia="等线" w:cs="等线"/>
      <w:kern w:val="0"/>
      <w:sz w:val="20"/>
      <w:szCs w:val="20"/>
    </w:rPr>
  </w:style>
  <w:style w:type="paragraph" w:customStyle="1" w:styleId="629">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630">
    <w:name w:val="Char Char1 Char Char Char"/>
    <w:basedOn w:val="1"/>
    <w:qFormat/>
    <w:uiPriority w:val="0"/>
    <w:pPr>
      <w:autoSpaceDE w:val="0"/>
      <w:autoSpaceDN w:val="0"/>
      <w:adjustRightInd w:val="0"/>
      <w:jc w:val="left"/>
    </w:pPr>
    <w:rPr>
      <w:rFonts w:ascii="黑体" w:hAnsi="等线" w:eastAsia="黑体" w:cs="等线"/>
      <w:b/>
      <w:kern w:val="0"/>
      <w:sz w:val="32"/>
      <w:szCs w:val="32"/>
    </w:rPr>
  </w:style>
  <w:style w:type="paragraph" w:customStyle="1" w:styleId="631">
    <w:name w:val="项目2"/>
    <w:qFormat/>
    <w:uiPriority w:val="0"/>
    <w:pPr>
      <w:tabs>
        <w:tab w:val="left" w:pos="425"/>
      </w:tabs>
      <w:spacing w:before="120" w:after="120" w:line="360" w:lineRule="auto"/>
      <w:ind w:left="420" w:hanging="420"/>
    </w:pPr>
    <w:rPr>
      <w:rFonts w:ascii="等线" w:hAnsi="等线" w:eastAsia="仿宋_GB2312" w:cs="等线"/>
      <w:sz w:val="24"/>
      <w:lang w:val="en-US" w:eastAsia="zh-CN" w:bidi="ar-SA"/>
    </w:rPr>
  </w:style>
  <w:style w:type="paragraph" w:customStyle="1" w:styleId="632">
    <w:name w:val="Char13"/>
    <w:basedOn w:val="1"/>
    <w:qFormat/>
    <w:uiPriority w:val="0"/>
    <w:pPr>
      <w:widowControl/>
      <w:spacing w:after="160" w:line="240" w:lineRule="exact"/>
      <w:jc w:val="left"/>
    </w:pPr>
    <w:rPr>
      <w:rFonts w:ascii="Courier New" w:hAnsi="Courier New" w:eastAsia="等线" w:cs="等线"/>
      <w:kern w:val="0"/>
      <w:sz w:val="20"/>
      <w:szCs w:val="20"/>
      <w:lang w:eastAsia="en-US"/>
    </w:rPr>
  </w:style>
  <w:style w:type="paragraph" w:customStyle="1" w:styleId="633">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634">
    <w:name w:val="c"/>
    <w:qFormat/>
    <w:uiPriority w:val="0"/>
    <w:pPr>
      <w:widowControl w:val="0"/>
      <w:autoSpaceDE w:val="0"/>
      <w:autoSpaceDN w:val="0"/>
      <w:adjustRightInd w:val="0"/>
      <w:jc w:val="both"/>
    </w:pPr>
    <w:rPr>
      <w:rFonts w:ascii="Arial" w:hAnsi="Arial" w:eastAsia="等线" w:cs="等线"/>
      <w:sz w:val="24"/>
      <w:lang w:val="en-US" w:eastAsia="zh-CN" w:bidi="ar-SA"/>
    </w:rPr>
  </w:style>
  <w:style w:type="paragraph" w:customStyle="1" w:styleId="635">
    <w:name w:val="xl83"/>
    <w:basedOn w:val="1"/>
    <w:qFormat/>
    <w:uiPriority w:val="0"/>
    <w:pPr>
      <w:widowControl/>
      <w:pBdr>
        <w:left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636">
    <w:name w:val="font12"/>
    <w:basedOn w:val="1"/>
    <w:qFormat/>
    <w:uiPriority w:val="0"/>
    <w:pPr>
      <w:widowControl/>
      <w:spacing w:before="100" w:beforeAutospacing="1" w:after="100" w:afterAutospacing="1"/>
      <w:jc w:val="left"/>
    </w:pPr>
    <w:rPr>
      <w:rFonts w:ascii="等线" w:hAnsi="等线" w:eastAsia="等线" w:cs="等线"/>
      <w:kern w:val="0"/>
      <w:sz w:val="28"/>
      <w:szCs w:val="28"/>
    </w:rPr>
  </w:style>
  <w:style w:type="paragraph" w:customStyle="1" w:styleId="637">
    <w:name w:val="数字级连标题3"/>
    <w:basedOn w:val="6"/>
    <w:next w:val="1"/>
    <w:qFormat/>
    <w:uiPriority w:val="0"/>
    <w:pPr>
      <w:suppressAutoHyphens/>
      <w:spacing w:before="0" w:after="0" w:line="360" w:lineRule="auto"/>
    </w:pPr>
    <w:rPr>
      <w:rFonts w:ascii="等线" w:hAnsi="等线" w:eastAsia="等线"/>
      <w:bCs w:val="0"/>
      <w:sz w:val="28"/>
      <w:szCs w:val="20"/>
      <w:lang w:eastAsia="ar-SA"/>
    </w:rPr>
  </w:style>
  <w:style w:type="paragraph" w:customStyle="1" w:styleId="638">
    <w:name w:val="Item List"/>
    <w:qFormat/>
    <w:uiPriority w:val="0"/>
    <w:pPr>
      <w:spacing w:line="300" w:lineRule="auto"/>
      <w:ind w:left="1701"/>
      <w:jc w:val="both"/>
    </w:pPr>
    <w:rPr>
      <w:rFonts w:ascii="Arial" w:hAnsi="Arial" w:eastAsia="等线" w:cs="等线"/>
      <w:sz w:val="21"/>
      <w:lang w:val="en-US" w:eastAsia="zh-CN" w:bidi="ar-SA"/>
    </w:rPr>
  </w:style>
  <w:style w:type="paragraph" w:customStyle="1" w:styleId="639">
    <w:name w:val="font5"/>
    <w:basedOn w:val="1"/>
    <w:qFormat/>
    <w:uiPriority w:val="0"/>
    <w:pPr>
      <w:widowControl/>
      <w:spacing w:before="100" w:beforeAutospacing="1" w:after="100" w:afterAutospacing="1"/>
      <w:jc w:val="left"/>
    </w:pPr>
    <w:rPr>
      <w:rFonts w:ascii="仿宋_GB2312" w:hAnsi="仿宋_GB2312" w:eastAsia="等线" w:cs="仿宋_GB2312"/>
      <w:kern w:val="0"/>
      <w:sz w:val="18"/>
      <w:szCs w:val="18"/>
    </w:rPr>
  </w:style>
  <w:style w:type="paragraph" w:customStyle="1" w:styleId="640">
    <w:name w:val="样式3"/>
    <w:basedOn w:val="4"/>
    <w:qFormat/>
    <w:uiPriority w:val="0"/>
    <w:pPr>
      <w:keepNext w:val="0"/>
      <w:autoSpaceDE w:val="0"/>
      <w:autoSpaceDN w:val="0"/>
      <w:adjustRightInd w:val="0"/>
      <w:spacing w:before="560" w:after="280"/>
      <w:jc w:val="left"/>
      <w:textAlignment w:val="baseline"/>
    </w:pPr>
    <w:rPr>
      <w:rFonts w:ascii="等线" w:hAnsi="等线" w:eastAsia="黑体"/>
      <w:b w:val="0"/>
      <w:bCs w:val="0"/>
      <w:kern w:val="0"/>
      <w:sz w:val="44"/>
      <w:szCs w:val="20"/>
    </w:rPr>
  </w:style>
  <w:style w:type="paragraph" w:customStyle="1" w:styleId="64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仿宋_GB2312" w:eastAsia="等线" w:cs="仿宋_GB2312"/>
      <w:kern w:val="0"/>
      <w:sz w:val="24"/>
    </w:rPr>
  </w:style>
  <w:style w:type="paragraph" w:customStyle="1" w:styleId="642">
    <w:name w:val="Char"/>
    <w:basedOn w:val="1"/>
    <w:qFormat/>
    <w:uiPriority w:val="0"/>
    <w:pPr>
      <w:widowControl/>
      <w:spacing w:line="400" w:lineRule="exact"/>
      <w:jc w:val="center"/>
    </w:pPr>
    <w:rPr>
      <w:rFonts w:ascii="Courier New" w:hAnsi="Courier New" w:eastAsia="等线" w:cs="等线"/>
      <w:kern w:val="0"/>
      <w:szCs w:val="20"/>
      <w:lang w:eastAsia="en-US"/>
    </w:rPr>
  </w:style>
  <w:style w:type="paragraph" w:customStyle="1" w:styleId="643">
    <w:name w:val="xl106"/>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eastAsia="等线" w:cs="等线"/>
      <w:kern w:val="0"/>
      <w:sz w:val="24"/>
    </w:rPr>
  </w:style>
  <w:style w:type="paragraph" w:customStyle="1" w:styleId="644">
    <w:name w:val="默认段落字体 Para Char Char Char Char Char Char Char Char Char Char"/>
    <w:basedOn w:val="1"/>
    <w:qFormat/>
    <w:uiPriority w:val="0"/>
    <w:pPr>
      <w:widowControl/>
      <w:spacing w:after="200"/>
      <w:jc w:val="left"/>
    </w:pPr>
    <w:rPr>
      <w:rFonts w:ascii="Tahoma" w:hAnsi="Tahoma" w:eastAsia="等线" w:cs="等线"/>
      <w:kern w:val="0"/>
      <w:sz w:val="22"/>
      <w:szCs w:val="20"/>
      <w:lang w:eastAsia="en-US" w:bidi="en-US"/>
    </w:rPr>
  </w:style>
  <w:style w:type="paragraph" w:customStyle="1" w:styleId="645">
    <w:name w:val="标书正文带编号"/>
    <w:basedOn w:val="1"/>
    <w:qFormat/>
    <w:uiPriority w:val="0"/>
    <w:pPr>
      <w:tabs>
        <w:tab w:val="left" w:pos="397"/>
      </w:tabs>
      <w:autoSpaceDE w:val="0"/>
      <w:autoSpaceDN w:val="0"/>
      <w:adjustRightInd w:val="0"/>
      <w:ind w:firstLine="397"/>
      <w:jc w:val="left"/>
    </w:pPr>
    <w:rPr>
      <w:rFonts w:ascii="等线" w:hAnsi="等线" w:eastAsia="等线" w:cs="仿宋_GB2312"/>
      <w:kern w:val="0"/>
      <w:sz w:val="20"/>
      <w:szCs w:val="21"/>
    </w:rPr>
  </w:style>
  <w:style w:type="paragraph" w:customStyle="1" w:styleId="646">
    <w:name w:val="样式 首行缩进:  2 字符"/>
    <w:basedOn w:val="1"/>
    <w:qFormat/>
    <w:uiPriority w:val="0"/>
    <w:pPr>
      <w:widowControl/>
      <w:tabs>
        <w:tab w:val="left" w:pos="420"/>
      </w:tabs>
      <w:ind w:left="420" w:hanging="420"/>
    </w:pPr>
    <w:rPr>
      <w:rFonts w:ascii="宋体" w:hAnsi="宋体" w:eastAsia="等线" w:cs="宋体"/>
      <w:bCs/>
      <w:color w:val="000000"/>
      <w:kern w:val="0"/>
      <w:sz w:val="24"/>
    </w:rPr>
  </w:style>
  <w:style w:type="paragraph" w:customStyle="1" w:styleId="647">
    <w:name w:val="标题小四"/>
    <w:basedOn w:val="5"/>
    <w:qFormat/>
    <w:uiPriority w:val="0"/>
    <w:pPr>
      <w:keepNext w:val="0"/>
      <w:keepLines w:val="0"/>
      <w:spacing w:before="0" w:after="0" w:line="360" w:lineRule="auto"/>
      <w:ind w:right="90"/>
      <w:outlineLvl w:val="9"/>
    </w:pPr>
    <w:rPr>
      <w:rFonts w:ascii="仿宋_GB2312" w:hAnsi="宋体" w:eastAsia="仿宋_GB2312" w:cs="Arial Unicode MS"/>
      <w:b w:val="0"/>
      <w:bCs w:val="0"/>
      <w:color w:val="000000"/>
      <w:sz w:val="21"/>
      <w:szCs w:val="21"/>
    </w:rPr>
  </w:style>
  <w:style w:type="paragraph" w:customStyle="1" w:styleId="648">
    <w:name w:val="彩色底纹 - 强调文字颜色 11"/>
    <w:semiHidden/>
    <w:qFormat/>
    <w:uiPriority w:val="99"/>
    <w:rPr>
      <w:rFonts w:ascii="等线" w:hAnsi="等线" w:eastAsia="等线" w:cs="等线"/>
      <w:kern w:val="2"/>
      <w:sz w:val="21"/>
      <w:szCs w:val="24"/>
      <w:lang w:val="en-US" w:eastAsia="zh-CN" w:bidi="ar-SA"/>
    </w:rPr>
  </w:style>
  <w:style w:type="paragraph" w:customStyle="1" w:styleId="649">
    <w:name w:val="_Style 3"/>
    <w:qFormat/>
    <w:uiPriority w:val="0"/>
    <w:rPr>
      <w:rFonts w:ascii="Calibri" w:hAnsi="Calibri" w:eastAsia="等线" w:cs="等线"/>
      <w:sz w:val="22"/>
      <w:szCs w:val="22"/>
      <w:lang w:val="en-US" w:eastAsia="zh-CN" w:bidi="ar-SA"/>
    </w:rPr>
  </w:style>
  <w:style w:type="paragraph" w:customStyle="1" w:styleId="650">
    <w:name w:val="xl10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651">
    <w:name w:val="xl5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52">
    <w:name w:val="xl33"/>
    <w:basedOn w:val="1"/>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0"/>
      <w:szCs w:val="20"/>
    </w:rPr>
  </w:style>
  <w:style w:type="paragraph" w:customStyle="1" w:styleId="653">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等线"/>
      <w:spacing w:val="-40"/>
      <w:sz w:val="48"/>
      <w:szCs w:val="52"/>
      <w:lang w:val="en-US" w:eastAsia="zh-CN" w:bidi="ar-SA"/>
    </w:rPr>
  </w:style>
  <w:style w:type="paragraph" w:customStyle="1" w:styleId="65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55">
    <w:name w:val="font15"/>
    <w:basedOn w:val="1"/>
    <w:qFormat/>
    <w:uiPriority w:val="0"/>
    <w:pPr>
      <w:widowControl/>
      <w:spacing w:before="100" w:beforeAutospacing="1" w:after="100" w:afterAutospacing="1"/>
      <w:jc w:val="left"/>
    </w:pPr>
    <w:rPr>
      <w:rFonts w:hint="eastAsia" w:ascii="宋体" w:hAnsi="宋体" w:eastAsia="等线" w:cs="等线"/>
      <w:b/>
      <w:bCs/>
      <w:color w:val="000000"/>
      <w:kern w:val="0"/>
      <w:sz w:val="16"/>
      <w:szCs w:val="16"/>
    </w:rPr>
  </w:style>
  <w:style w:type="paragraph" w:customStyle="1" w:styleId="656">
    <w:name w:val="xl6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657">
    <w:name w:val="样式 标题 5 + 段前: 5 磅 段后: 5 磅 行距: 单倍行距"/>
    <w:basedOn w:val="8"/>
    <w:qFormat/>
    <w:uiPriority w:val="0"/>
    <w:pPr>
      <w:tabs>
        <w:tab w:val="left" w:pos="2100"/>
      </w:tabs>
      <w:adjustRightInd w:val="0"/>
      <w:spacing w:before="100" w:after="100" w:line="240" w:lineRule="auto"/>
      <w:ind w:left="2100" w:hanging="420" w:firstLineChars="200"/>
      <w:jc w:val="left"/>
      <w:textAlignment w:val="baseline"/>
    </w:pPr>
    <w:rPr>
      <w:bCs w:val="0"/>
      <w:kern w:val="0"/>
      <w:szCs w:val="20"/>
    </w:rPr>
  </w:style>
  <w:style w:type="paragraph" w:customStyle="1" w:styleId="658">
    <w:name w:val="列出段落3"/>
    <w:basedOn w:val="1"/>
    <w:qFormat/>
    <w:uiPriority w:val="0"/>
    <w:pPr>
      <w:ind w:firstLine="420" w:firstLineChars="200"/>
    </w:pPr>
    <w:rPr>
      <w:rFonts w:ascii="Calibri" w:hAnsi="Calibri" w:eastAsia="等线" w:cs="等线"/>
      <w:szCs w:val="22"/>
    </w:rPr>
  </w:style>
  <w:style w:type="paragraph" w:customStyle="1" w:styleId="659">
    <w:name w:val="标准小四"/>
    <w:basedOn w:val="1"/>
    <w:qFormat/>
    <w:uiPriority w:val="0"/>
    <w:pPr>
      <w:autoSpaceDE w:val="0"/>
      <w:autoSpaceDN w:val="0"/>
      <w:adjustRightInd w:val="0"/>
      <w:spacing w:line="360" w:lineRule="auto"/>
      <w:ind w:firstLine="480" w:firstLineChars="200"/>
      <w:jc w:val="left"/>
    </w:pPr>
    <w:rPr>
      <w:rFonts w:ascii="Tahoma" w:hAnsi="Tahoma" w:eastAsia="等线" w:cs="等线"/>
      <w:kern w:val="0"/>
      <w:sz w:val="24"/>
      <w:szCs w:val="21"/>
    </w:rPr>
  </w:style>
  <w:style w:type="paragraph" w:customStyle="1" w:styleId="660">
    <w:name w:val="排列"/>
    <w:basedOn w:val="1"/>
    <w:qFormat/>
    <w:uiPriority w:val="0"/>
    <w:pPr>
      <w:widowControl/>
      <w:autoSpaceDE w:val="0"/>
      <w:autoSpaceDN w:val="0"/>
      <w:adjustRightInd w:val="0"/>
      <w:spacing w:line="360" w:lineRule="auto"/>
      <w:jc w:val="left"/>
    </w:pPr>
    <w:rPr>
      <w:rFonts w:ascii="仿宋_GB2312" w:hAnsi="仿宋_GB2312" w:eastAsia="等线" w:cs="等线"/>
      <w:kern w:val="0"/>
      <w:sz w:val="20"/>
      <w:szCs w:val="20"/>
      <w:lang w:val="zh-CN"/>
    </w:rPr>
  </w:style>
  <w:style w:type="paragraph" w:customStyle="1" w:styleId="66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Calibri" w:hAnsi="Calibri" w:eastAsia="Calibri" w:cs="仿宋_GB2312"/>
      <w:b/>
      <w:bCs/>
      <w:color w:val="000000"/>
      <w:kern w:val="0"/>
      <w:sz w:val="24"/>
    </w:rPr>
  </w:style>
  <w:style w:type="paragraph" w:customStyle="1" w:styleId="662">
    <w:name w:val="標題 2..."/>
    <w:basedOn w:val="1"/>
    <w:qFormat/>
    <w:uiPriority w:val="0"/>
    <w:pPr>
      <w:spacing w:line="360" w:lineRule="auto"/>
      <w:ind w:left="568" w:firstLine="567" w:firstLineChars="200"/>
    </w:pPr>
    <w:rPr>
      <w:rFonts w:ascii="等线" w:hAnsi="等线" w:eastAsia="PMingLiU" w:cs="等线"/>
      <w:sz w:val="24"/>
      <w:lang w:eastAsia="zh-TW"/>
    </w:rPr>
  </w:style>
  <w:style w:type="paragraph" w:customStyle="1" w:styleId="663">
    <w:name w:val="TOC 标题1"/>
    <w:basedOn w:val="4"/>
    <w:next w:val="1"/>
    <w:qFormat/>
    <w:uiPriority w:val="39"/>
    <w:pPr>
      <w:keepLines/>
      <w:spacing w:beforeLines="50" w:afterLines="50" w:line="578" w:lineRule="auto"/>
      <w:jc w:val="both"/>
      <w:outlineLvl w:val="9"/>
    </w:pPr>
    <w:rPr>
      <w:rFonts w:ascii="等线" w:hAnsi="等线" w:eastAsia="等线"/>
      <w:kern w:val="44"/>
      <w:sz w:val="44"/>
      <w:szCs w:val="44"/>
    </w:rPr>
  </w:style>
  <w:style w:type="paragraph" w:customStyle="1" w:styleId="664">
    <w:name w:val="正文 首行缩进:  2 字符 Char"/>
    <w:basedOn w:val="1"/>
    <w:qFormat/>
    <w:uiPriority w:val="0"/>
    <w:pPr>
      <w:spacing w:line="360" w:lineRule="auto"/>
      <w:ind w:firstLine="480"/>
    </w:pPr>
    <w:rPr>
      <w:rFonts w:ascii="等线" w:hAnsi="等线" w:eastAsia="等线" w:cs="仿宋_GB2312"/>
      <w:sz w:val="24"/>
      <w:szCs w:val="20"/>
    </w:rPr>
  </w:style>
  <w:style w:type="paragraph" w:customStyle="1" w:styleId="665">
    <w:name w:val="font6"/>
    <w:basedOn w:val="1"/>
    <w:qFormat/>
    <w:uiPriority w:val="0"/>
    <w:pPr>
      <w:widowControl/>
      <w:spacing w:before="100" w:beforeAutospacing="1" w:after="100" w:afterAutospacing="1"/>
      <w:jc w:val="left"/>
    </w:pPr>
    <w:rPr>
      <w:rFonts w:ascii="仿宋_GB2312" w:hAnsi="仿宋_GB2312" w:eastAsia="等线" w:cs="仿宋_GB2312"/>
      <w:kern w:val="0"/>
      <w:sz w:val="18"/>
      <w:szCs w:val="18"/>
    </w:rPr>
  </w:style>
  <w:style w:type="paragraph" w:customStyle="1" w:styleId="666">
    <w:name w:val="列表内容"/>
    <w:basedOn w:val="1"/>
    <w:next w:val="1"/>
    <w:qFormat/>
    <w:uiPriority w:val="0"/>
    <w:pPr>
      <w:widowControl/>
      <w:autoSpaceDE w:val="0"/>
      <w:autoSpaceDN w:val="0"/>
      <w:adjustRightInd w:val="0"/>
      <w:ind w:firstLine="200"/>
      <w:jc w:val="left"/>
    </w:pPr>
    <w:rPr>
      <w:rFonts w:ascii="等线" w:hAnsi="等线" w:eastAsia="等线" w:cs="等线"/>
      <w:kern w:val="0"/>
      <w:sz w:val="18"/>
      <w:szCs w:val="20"/>
    </w:rPr>
  </w:style>
  <w:style w:type="paragraph" w:customStyle="1" w:styleId="667">
    <w:name w:val="附录表标题"/>
    <w:basedOn w:val="1"/>
    <w:next w:val="455"/>
    <w:qFormat/>
    <w:uiPriority w:val="0"/>
    <w:pPr>
      <w:tabs>
        <w:tab w:val="left" w:pos="180"/>
        <w:tab w:val="left" w:pos="992"/>
      </w:tabs>
      <w:autoSpaceDE w:val="0"/>
      <w:autoSpaceDN w:val="0"/>
      <w:adjustRightInd w:val="0"/>
      <w:spacing w:beforeLines="50" w:afterLines="50"/>
      <w:jc w:val="center"/>
      <w:textAlignment w:val="baseline"/>
    </w:pPr>
    <w:rPr>
      <w:rFonts w:ascii="黑体" w:hAnsi="等线" w:eastAsia="黑体" w:cs="等线"/>
      <w:kern w:val="0"/>
      <w:sz w:val="28"/>
      <w:szCs w:val="21"/>
    </w:rPr>
  </w:style>
  <w:style w:type="paragraph" w:customStyle="1" w:styleId="66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69">
    <w:name w:val="WW-正文文字缩进 2"/>
    <w:basedOn w:val="1"/>
    <w:qFormat/>
    <w:uiPriority w:val="0"/>
    <w:pPr>
      <w:suppressAutoHyphens/>
      <w:autoSpaceDE w:val="0"/>
      <w:autoSpaceDN w:val="0"/>
      <w:adjustRightInd w:val="0"/>
      <w:ind w:firstLine="420"/>
      <w:jc w:val="left"/>
    </w:pPr>
    <w:rPr>
      <w:rFonts w:ascii="等线" w:hAnsi="等线" w:eastAsia="等线" w:cs="等线"/>
      <w:kern w:val="1"/>
      <w:sz w:val="20"/>
      <w:szCs w:val="20"/>
    </w:rPr>
  </w:style>
  <w:style w:type="paragraph" w:customStyle="1" w:styleId="670">
    <w:name w:val="Char Char1 Char Char Char Char Char Char Char Char Char Char Char Char Char Char"/>
    <w:basedOn w:val="1"/>
    <w:qFormat/>
    <w:uiPriority w:val="0"/>
    <w:pPr>
      <w:widowControl/>
      <w:autoSpaceDE w:val="0"/>
      <w:autoSpaceDN w:val="0"/>
      <w:adjustRightInd w:val="0"/>
      <w:spacing w:after="160" w:line="240" w:lineRule="exact"/>
      <w:jc w:val="left"/>
    </w:pPr>
    <w:rPr>
      <w:rFonts w:ascii="等线" w:hAnsi="等线" w:eastAsia="等线" w:cs="等线"/>
      <w:kern w:val="0"/>
      <w:sz w:val="20"/>
      <w:szCs w:val="20"/>
    </w:rPr>
  </w:style>
  <w:style w:type="paragraph" w:customStyle="1" w:styleId="671">
    <w:name w:val="xl108"/>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等线" w:cs="等线"/>
      <w:kern w:val="0"/>
      <w:sz w:val="24"/>
    </w:rPr>
  </w:style>
  <w:style w:type="paragraph" w:customStyle="1" w:styleId="672">
    <w:name w:val="PP Line"/>
    <w:basedOn w:val="44"/>
    <w:qFormat/>
    <w:uiPriority w:val="0"/>
    <w:pPr>
      <w:autoSpaceDE/>
      <w:autoSpaceDN/>
      <w:spacing w:after="0" w:line="360" w:lineRule="atLeast"/>
      <w:ind w:left="100" w:leftChars="1800" w:firstLine="200" w:firstLineChars="200"/>
      <w:jc w:val="left"/>
    </w:pPr>
    <w:rPr>
      <w:rFonts w:eastAsia="PMingLiU"/>
      <w:lang w:eastAsia="zh-TW"/>
    </w:rPr>
  </w:style>
  <w:style w:type="paragraph" w:customStyle="1" w:styleId="673">
    <w:name w:val="正文文本 21"/>
    <w:basedOn w:val="1"/>
    <w:qFormat/>
    <w:uiPriority w:val="0"/>
    <w:pPr>
      <w:widowControl/>
      <w:overflowPunct w:val="0"/>
      <w:autoSpaceDE w:val="0"/>
      <w:autoSpaceDN w:val="0"/>
      <w:adjustRightInd w:val="0"/>
      <w:ind w:left="720" w:hanging="720"/>
      <w:jc w:val="left"/>
      <w:textAlignment w:val="baseline"/>
    </w:pPr>
    <w:rPr>
      <w:rFonts w:ascii="等线" w:hAnsi="等线" w:eastAsia="等线" w:cs="等线"/>
      <w:kern w:val="0"/>
      <w:sz w:val="24"/>
      <w:szCs w:val="20"/>
      <w:lang w:val="en-GB"/>
    </w:rPr>
  </w:style>
  <w:style w:type="paragraph" w:customStyle="1" w:styleId="674">
    <w:name w:val="样式 普通(网站) + 仿宋_GB2312 段前: 自动 段后: 自动 行距: 1.5 倍行距1"/>
    <w:basedOn w:val="1"/>
    <w:qFormat/>
    <w:uiPriority w:val="0"/>
    <w:pPr>
      <w:widowControl/>
      <w:tabs>
        <w:tab w:val="left" w:pos="1134"/>
      </w:tabs>
      <w:spacing w:after="120" w:line="360" w:lineRule="auto"/>
      <w:ind w:left="1134" w:hanging="294" w:firstLineChars="200"/>
      <w:jc w:val="left"/>
    </w:pPr>
    <w:rPr>
      <w:rFonts w:ascii="Arial" w:hAnsi="Arial" w:eastAsia="等线" w:cs="等线"/>
      <w:kern w:val="0"/>
      <w:sz w:val="20"/>
      <w:szCs w:val="20"/>
    </w:rPr>
  </w:style>
  <w:style w:type="paragraph" w:customStyle="1" w:styleId="675">
    <w:name w:val="_Style 125"/>
    <w:basedOn w:val="1"/>
    <w:qFormat/>
    <w:uiPriority w:val="0"/>
    <w:rPr>
      <w:rFonts w:ascii="等线" w:hAnsi="等线" w:eastAsia="等线" w:cs="等线"/>
    </w:rPr>
  </w:style>
  <w:style w:type="paragraph" w:customStyle="1" w:styleId="676">
    <w:name w:val="封面标准代替信息"/>
    <w:qFormat/>
    <w:uiPriority w:val="0"/>
    <w:pPr>
      <w:framePr w:w="9140" w:h="1242" w:hRule="exact" w:hSpace="284" w:wrap="around" w:vAnchor="page" w:hAnchor="page" w:x="1645" w:y="2910" w:anchorLock="1"/>
      <w:spacing w:before="57" w:line="280" w:lineRule="exact"/>
      <w:jc w:val="right"/>
    </w:pPr>
    <w:rPr>
      <w:rFonts w:ascii="宋体" w:hAnsi="等线" w:eastAsia="等线" w:cs="等线"/>
      <w:sz w:val="21"/>
      <w:szCs w:val="21"/>
      <w:lang w:val="en-US" w:eastAsia="zh-CN" w:bidi="ar-SA"/>
    </w:rPr>
  </w:style>
  <w:style w:type="paragraph" w:customStyle="1" w:styleId="677">
    <w:name w:val="彩色列表 - 着色 11"/>
    <w:basedOn w:val="1"/>
    <w:qFormat/>
    <w:uiPriority w:val="0"/>
    <w:pPr>
      <w:spacing w:line="360" w:lineRule="auto"/>
      <w:ind w:firstLine="420" w:firstLineChars="200"/>
    </w:pPr>
    <w:rPr>
      <w:rFonts w:ascii="Calibri" w:hAnsi="Calibri" w:eastAsia="等线" w:cs="等线"/>
      <w:szCs w:val="20"/>
    </w:rPr>
  </w:style>
  <w:style w:type="paragraph" w:customStyle="1" w:styleId="678">
    <w:name w:val="my正文"/>
    <w:basedOn w:val="1"/>
    <w:qFormat/>
    <w:uiPriority w:val="0"/>
    <w:pPr>
      <w:spacing w:line="360" w:lineRule="auto"/>
      <w:ind w:firstLine="480" w:firstLineChars="200"/>
    </w:pPr>
    <w:rPr>
      <w:rFonts w:ascii="Tahoma" w:hAnsi="Tahoma" w:eastAsia="等线" w:cs="等线"/>
      <w:sz w:val="24"/>
    </w:rPr>
  </w:style>
  <w:style w:type="paragraph" w:customStyle="1" w:styleId="679">
    <w:name w:val="寄件者簡短地址"/>
    <w:basedOn w:val="1"/>
    <w:qFormat/>
    <w:uiPriority w:val="0"/>
    <w:pPr>
      <w:adjustRightInd w:val="0"/>
      <w:spacing w:line="360" w:lineRule="atLeast"/>
      <w:ind w:firstLine="200" w:firstLineChars="200"/>
      <w:jc w:val="left"/>
      <w:textAlignment w:val="baseline"/>
    </w:pPr>
    <w:rPr>
      <w:rFonts w:ascii="等线" w:hAnsi="等线" w:eastAsia="PMingLiU" w:cs="等线"/>
      <w:kern w:val="0"/>
      <w:sz w:val="24"/>
      <w:szCs w:val="20"/>
      <w:lang w:eastAsia="zh-TW"/>
    </w:rPr>
  </w:style>
  <w:style w:type="paragraph" w:customStyle="1" w:styleId="680">
    <w:name w:val="context-item"/>
    <w:basedOn w:val="681"/>
    <w:qFormat/>
    <w:uiPriority w:val="0"/>
    <w:pPr>
      <w:ind w:left="1418" w:hanging="284"/>
    </w:pPr>
  </w:style>
  <w:style w:type="paragraph" w:customStyle="1" w:styleId="681">
    <w:name w:val="context"/>
    <w:basedOn w:val="1"/>
    <w:qFormat/>
    <w:uiPriority w:val="0"/>
    <w:pPr>
      <w:adjustRightInd w:val="0"/>
      <w:spacing w:before="60" w:line="240" w:lineRule="atLeast"/>
      <w:ind w:left="567" w:firstLine="567" w:firstLineChars="200"/>
      <w:textAlignment w:val="baseline"/>
    </w:pPr>
    <w:rPr>
      <w:rFonts w:ascii="全真楷書" w:hAnsi="等线" w:eastAsia="全真楷書" w:cs="等线"/>
      <w:kern w:val="0"/>
      <w:sz w:val="24"/>
      <w:szCs w:val="20"/>
      <w:lang w:eastAsia="zh-TW"/>
    </w:rPr>
  </w:style>
  <w:style w:type="paragraph" w:customStyle="1" w:styleId="682">
    <w:name w:val="_Style 5"/>
    <w:basedOn w:val="19"/>
    <w:qFormat/>
    <w:uiPriority w:val="0"/>
    <w:rPr>
      <w:rFonts w:eastAsia="等线"/>
    </w:rPr>
  </w:style>
  <w:style w:type="paragraph" w:customStyle="1" w:styleId="683">
    <w:name w:val="xl24"/>
    <w:basedOn w:val="1"/>
    <w:qFormat/>
    <w:uiPriority w:val="0"/>
    <w:pPr>
      <w:widowControl/>
      <w:spacing w:before="100" w:beforeAutospacing="1" w:after="100" w:afterAutospacing="1"/>
      <w:jc w:val="left"/>
    </w:pPr>
    <w:rPr>
      <w:rFonts w:ascii="等线" w:hAnsi="等线" w:eastAsia="等线" w:cs="等线"/>
      <w:kern w:val="0"/>
      <w:sz w:val="24"/>
    </w:rPr>
  </w:style>
  <w:style w:type="paragraph" w:customStyle="1" w:styleId="684">
    <w:name w:val="表头"/>
    <w:basedOn w:val="1"/>
    <w:qFormat/>
    <w:uiPriority w:val="0"/>
    <w:pPr>
      <w:spacing w:before="120" w:after="120" w:line="480" w:lineRule="exact"/>
      <w:jc w:val="center"/>
    </w:pPr>
    <w:rPr>
      <w:rFonts w:ascii="黑体" w:hAnsi="等线" w:eastAsia="黑体" w:cs="等线"/>
      <w:sz w:val="24"/>
      <w:szCs w:val="20"/>
    </w:rPr>
  </w:style>
  <w:style w:type="paragraph" w:customStyle="1" w:styleId="685">
    <w:name w:val="正文文本缩进 31"/>
    <w:basedOn w:val="1"/>
    <w:qFormat/>
    <w:uiPriority w:val="0"/>
    <w:pPr>
      <w:autoSpaceDE w:val="0"/>
      <w:autoSpaceDN w:val="0"/>
      <w:adjustRightInd w:val="0"/>
      <w:spacing w:line="360" w:lineRule="auto"/>
      <w:ind w:firstLine="567"/>
      <w:jc w:val="left"/>
      <w:textAlignment w:val="baseline"/>
    </w:pPr>
    <w:rPr>
      <w:rFonts w:ascii="宋体" w:hAnsi="等线" w:eastAsia="等线" w:cs="等线"/>
      <w:kern w:val="0"/>
      <w:sz w:val="28"/>
      <w:szCs w:val="20"/>
    </w:rPr>
  </w:style>
  <w:style w:type="paragraph" w:customStyle="1" w:styleId="686">
    <w:name w:val="List Paragraph1"/>
    <w:basedOn w:val="1"/>
    <w:qFormat/>
    <w:uiPriority w:val="0"/>
    <w:pPr>
      <w:spacing w:line="360" w:lineRule="auto"/>
      <w:ind w:firstLine="420" w:firstLineChars="200"/>
    </w:pPr>
    <w:rPr>
      <w:rFonts w:ascii="等线" w:hAnsi="等线" w:eastAsia="等线" w:cs="等线"/>
      <w:szCs w:val="20"/>
    </w:rPr>
  </w:style>
  <w:style w:type="paragraph" w:customStyle="1" w:styleId="687">
    <w:name w:val="aspnumfaautoadjustrightr"/>
    <w:qFormat/>
    <w:uiPriority w:val="0"/>
    <w:pPr>
      <w:widowControl w:val="0"/>
      <w:autoSpaceDE w:val="0"/>
      <w:autoSpaceDN w:val="0"/>
      <w:adjustRightInd w:val="0"/>
      <w:ind w:firstLine="720"/>
      <w:jc w:val="both"/>
    </w:pPr>
    <w:rPr>
      <w:rFonts w:ascii="等线" w:hAnsi="等线" w:eastAsia="等线" w:cs="等线"/>
      <w:lang w:val="en-US" w:eastAsia="zh-CN" w:bidi="ar-SA"/>
    </w:rPr>
  </w:style>
  <w:style w:type="paragraph" w:customStyle="1" w:styleId="688">
    <w:name w:val="Test2"/>
    <w:basedOn w:val="5"/>
    <w:qFormat/>
    <w:uiPriority w:val="0"/>
    <w:pPr>
      <w:keepNext w:val="0"/>
      <w:keepLines w:val="0"/>
      <w:widowControl/>
      <w:tabs>
        <w:tab w:val="left" w:pos="774"/>
      </w:tabs>
      <w:autoSpaceDE w:val="0"/>
      <w:autoSpaceDN w:val="0"/>
      <w:adjustRightInd w:val="0"/>
      <w:snapToGrid w:val="0"/>
      <w:spacing w:before="360" w:after="360" w:line="240" w:lineRule="atLeast"/>
      <w:ind w:left="774" w:hanging="576"/>
      <w:jc w:val="left"/>
    </w:pPr>
    <w:rPr>
      <w:rFonts w:ascii="仿宋_GB2312" w:hAnsi="Tahoma" w:eastAsia="仿宋_GB2312"/>
      <w:b w:val="0"/>
      <w:bCs w:val="0"/>
      <w:snapToGrid w:val="0"/>
      <w:kern w:val="0"/>
      <w:sz w:val="28"/>
    </w:rPr>
  </w:style>
  <w:style w:type="paragraph" w:customStyle="1" w:styleId="689">
    <w:name w:val="No Spacing1"/>
    <w:qFormat/>
    <w:uiPriority w:val="0"/>
    <w:rPr>
      <w:rFonts w:ascii="Century Gothic" w:hAnsi="Century Gothic" w:eastAsia="仿宋_GB2312" w:cs="新宋体"/>
      <w:sz w:val="22"/>
      <w:szCs w:val="22"/>
      <w:lang w:val="en-US" w:eastAsia="zh-CN" w:bidi="ar-SA"/>
    </w:rPr>
  </w:style>
  <w:style w:type="paragraph" w:customStyle="1" w:styleId="690">
    <w:name w:val="正文字缩2字"/>
    <w:basedOn w:val="1"/>
    <w:qFormat/>
    <w:uiPriority w:val="0"/>
    <w:pPr>
      <w:spacing w:before="60" w:after="60" w:line="360" w:lineRule="auto"/>
      <w:ind w:left="200" w:leftChars="200" w:firstLine="200" w:firstLineChars="200"/>
    </w:pPr>
    <w:rPr>
      <w:rFonts w:ascii="等线" w:hAnsi="等线" w:eastAsia="等线" w:cs="等线"/>
      <w:sz w:val="24"/>
    </w:rPr>
  </w:style>
  <w:style w:type="paragraph" w:customStyle="1" w:styleId="691">
    <w:name w:val="xl41"/>
    <w:basedOn w:val="1"/>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92">
    <w:name w:val="题目副题"/>
    <w:basedOn w:val="47"/>
    <w:qFormat/>
    <w:uiPriority w:val="0"/>
    <w:pPr>
      <w:spacing w:before="0" w:after="312"/>
      <w:ind w:left="240" w:firstLine="600" w:firstLineChars="200"/>
      <w:jc w:val="left"/>
      <w:outlineLvl w:val="9"/>
    </w:pPr>
    <w:rPr>
      <w:rFonts w:ascii="宋体" w:hAnsi="宋体" w:eastAsia="宋体"/>
      <w:bCs w:val="0"/>
      <w:sz w:val="30"/>
      <w:szCs w:val="20"/>
    </w:rPr>
  </w:style>
  <w:style w:type="paragraph" w:customStyle="1" w:styleId="693">
    <w:name w:val="xl53"/>
    <w:basedOn w:val="1"/>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0"/>
      <w:szCs w:val="20"/>
    </w:rPr>
  </w:style>
  <w:style w:type="paragraph" w:customStyle="1" w:styleId="694">
    <w:name w:val="ÕýÎÄÊ×ÐÐËõ½ø"/>
    <w:basedOn w:val="1"/>
    <w:qFormat/>
    <w:uiPriority w:val="0"/>
    <w:pPr>
      <w:widowControl/>
      <w:overflowPunct w:val="0"/>
      <w:autoSpaceDE w:val="0"/>
      <w:autoSpaceDN w:val="0"/>
      <w:adjustRightInd w:val="0"/>
      <w:spacing w:line="360" w:lineRule="auto"/>
      <w:ind w:left="1134"/>
      <w:jc w:val="left"/>
      <w:textAlignment w:val="baseline"/>
    </w:pPr>
    <w:rPr>
      <w:rFonts w:ascii="等线" w:hAnsi="等线" w:eastAsia="新宋体" w:cs="等线"/>
      <w:kern w:val="0"/>
      <w:sz w:val="20"/>
      <w:szCs w:val="20"/>
    </w:rPr>
  </w:style>
  <w:style w:type="paragraph" w:customStyle="1" w:styleId="69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696">
    <w:name w:val="Char Char Char2 Char"/>
    <w:basedOn w:val="1"/>
    <w:qFormat/>
    <w:uiPriority w:val="0"/>
    <w:pPr>
      <w:tabs>
        <w:tab w:val="left" w:pos="360"/>
        <w:tab w:val="left" w:pos="420"/>
      </w:tabs>
      <w:ind w:left="360" w:hanging="360"/>
    </w:pPr>
    <w:rPr>
      <w:rFonts w:ascii="等线" w:hAnsi="等线" w:eastAsia="等线" w:cs="等线"/>
    </w:rPr>
  </w:style>
  <w:style w:type="paragraph" w:customStyle="1" w:styleId="697">
    <w:name w:val="Char2 Char Char"/>
    <w:basedOn w:val="1"/>
    <w:qFormat/>
    <w:uiPriority w:val="0"/>
    <w:pPr>
      <w:spacing w:line="360" w:lineRule="auto"/>
      <w:ind w:firstLine="200" w:firstLineChars="200"/>
    </w:pPr>
    <w:rPr>
      <w:rFonts w:ascii="Tahoma" w:hAnsi="Tahoma" w:eastAsia="等线" w:cs="等线"/>
      <w:sz w:val="24"/>
      <w:szCs w:val="20"/>
    </w:rPr>
  </w:style>
  <w:style w:type="paragraph" w:customStyle="1" w:styleId="698">
    <w:name w:val="xl5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99">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700">
    <w:name w:val="font9"/>
    <w:basedOn w:val="1"/>
    <w:qFormat/>
    <w:uiPriority w:val="0"/>
    <w:pPr>
      <w:widowControl/>
      <w:spacing w:before="100" w:beforeAutospacing="1" w:after="100" w:afterAutospacing="1"/>
      <w:jc w:val="left"/>
    </w:pPr>
    <w:rPr>
      <w:rFonts w:hint="eastAsia" w:ascii="宋体" w:hAnsi="宋体" w:eastAsia="等线" w:cs="等线"/>
      <w:kern w:val="0"/>
      <w:sz w:val="24"/>
    </w:rPr>
  </w:style>
  <w:style w:type="paragraph" w:customStyle="1" w:styleId="701">
    <w:name w:val="Char Char Char Char Char Char"/>
    <w:basedOn w:val="1"/>
    <w:qFormat/>
    <w:uiPriority w:val="0"/>
    <w:rPr>
      <w:rFonts w:ascii="Tahoma" w:hAnsi="Tahoma" w:eastAsia="等线" w:cs="等线"/>
      <w:sz w:val="24"/>
      <w:szCs w:val="20"/>
    </w:rPr>
  </w:style>
  <w:style w:type="paragraph" w:customStyle="1" w:styleId="702">
    <w:name w:val="font1"/>
    <w:basedOn w:val="1"/>
    <w:qFormat/>
    <w:uiPriority w:val="0"/>
    <w:pPr>
      <w:widowControl/>
      <w:spacing w:before="100" w:beforeAutospacing="1" w:after="100" w:afterAutospacing="1"/>
      <w:jc w:val="left"/>
    </w:pPr>
    <w:rPr>
      <w:rFonts w:hint="eastAsia" w:ascii="宋体" w:hAnsi="宋体" w:eastAsia="等线" w:cs="等线"/>
      <w:kern w:val="0"/>
      <w:sz w:val="24"/>
    </w:rPr>
  </w:style>
  <w:style w:type="paragraph" w:customStyle="1" w:styleId="703">
    <w:name w:val="xl2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704">
    <w:name w:val="xl25"/>
    <w:basedOn w:val="1"/>
    <w:qFormat/>
    <w:uiPriority w:val="0"/>
    <w:pPr>
      <w:widowControl/>
      <w:autoSpaceDE w:val="0"/>
      <w:autoSpaceDN w:val="0"/>
      <w:adjustRightInd w:val="0"/>
      <w:spacing w:before="100" w:beforeAutospacing="1" w:after="100" w:afterAutospacing="1"/>
      <w:jc w:val="center"/>
      <w:textAlignment w:val="center"/>
    </w:pPr>
    <w:rPr>
      <w:rFonts w:hint="eastAsia" w:ascii="Arial Unicode MS" w:hAnsi="仿宋_GB2312" w:eastAsia="Arial Unicode MS" w:cs="等线"/>
      <w:kern w:val="0"/>
      <w:sz w:val="24"/>
      <w:szCs w:val="20"/>
    </w:rPr>
  </w:style>
  <w:style w:type="paragraph" w:customStyle="1" w:styleId="705">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706">
    <w:name w:val="style1"/>
    <w:basedOn w:val="1"/>
    <w:qFormat/>
    <w:uiPriority w:val="0"/>
    <w:pPr>
      <w:widowControl/>
      <w:spacing w:before="100" w:beforeAutospacing="1" w:after="100" w:afterAutospacing="1" w:line="360" w:lineRule="auto"/>
      <w:ind w:firstLine="200" w:firstLineChars="200"/>
      <w:jc w:val="left"/>
    </w:pPr>
    <w:rPr>
      <w:rFonts w:ascii="宋体" w:hAnsi="宋体" w:eastAsia="等线" w:cs="宋体"/>
      <w:b/>
      <w:bCs/>
      <w:color w:val="FF0000"/>
      <w:kern w:val="0"/>
      <w:sz w:val="28"/>
      <w:szCs w:val="28"/>
    </w:rPr>
  </w:style>
  <w:style w:type="paragraph" w:customStyle="1" w:styleId="707">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708">
    <w:name w:val="TOC Heading1"/>
    <w:basedOn w:val="4"/>
    <w:next w:val="1"/>
    <w:qFormat/>
    <w:uiPriority w:val="0"/>
    <w:pPr>
      <w:keepLines/>
      <w:widowControl/>
      <w:spacing w:before="480" w:line="276" w:lineRule="auto"/>
      <w:jc w:val="left"/>
      <w:outlineLvl w:val="9"/>
    </w:pPr>
    <w:rPr>
      <w:rFonts w:ascii="Verdana" w:hAnsi="Verdana" w:eastAsia="仿宋_GB2312" w:cs="新宋体"/>
      <w:color w:val="365F91"/>
      <w:kern w:val="0"/>
      <w:sz w:val="28"/>
      <w:szCs w:val="28"/>
    </w:rPr>
  </w:style>
  <w:style w:type="paragraph" w:customStyle="1" w:styleId="709">
    <w:name w:val="正文文字表格居中"/>
    <w:basedOn w:val="1"/>
    <w:next w:val="54"/>
    <w:qFormat/>
    <w:uiPriority w:val="0"/>
    <w:pPr>
      <w:autoSpaceDE w:val="0"/>
      <w:autoSpaceDN w:val="0"/>
      <w:adjustRightInd w:val="0"/>
      <w:snapToGrid w:val="0"/>
      <w:spacing w:line="360" w:lineRule="auto"/>
      <w:jc w:val="left"/>
    </w:pPr>
    <w:rPr>
      <w:rFonts w:ascii="仿宋_GB2312" w:hAnsi="等线" w:eastAsia="等线" w:cs="等线"/>
      <w:b/>
      <w:kern w:val="0"/>
      <w:sz w:val="24"/>
      <w:szCs w:val="20"/>
    </w:rPr>
  </w:style>
  <w:style w:type="paragraph" w:customStyle="1" w:styleId="710">
    <w:name w:val="普通 (Web)"/>
    <w:basedOn w:val="1"/>
    <w:qFormat/>
    <w:uiPriority w:val="0"/>
    <w:pPr>
      <w:widowControl/>
      <w:spacing w:before="100" w:after="100"/>
      <w:jc w:val="left"/>
    </w:pPr>
    <w:rPr>
      <w:rFonts w:ascii="宋体" w:hAnsi="宋体" w:eastAsia="等线" w:cs="等线"/>
      <w:kern w:val="0"/>
      <w:sz w:val="24"/>
      <w:szCs w:val="20"/>
    </w:rPr>
  </w:style>
  <w:style w:type="paragraph" w:customStyle="1" w:styleId="71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仿宋_GB2312" w:eastAsia="等线" w:cs="仿宋_GB2312"/>
      <w:color w:val="000000"/>
      <w:kern w:val="0"/>
      <w:sz w:val="24"/>
    </w:rPr>
  </w:style>
  <w:style w:type="paragraph" w:customStyle="1" w:styleId="712">
    <w:name w:val="列出段落2"/>
    <w:basedOn w:val="1"/>
    <w:qFormat/>
    <w:uiPriority w:val="0"/>
    <w:pPr>
      <w:spacing w:line="360" w:lineRule="auto"/>
      <w:ind w:firstLine="420" w:firstLineChars="200"/>
    </w:pPr>
    <w:rPr>
      <w:rFonts w:ascii="等线" w:hAnsi="等线" w:eastAsia="等线" w:cs="等线"/>
      <w:szCs w:val="20"/>
    </w:rPr>
  </w:style>
  <w:style w:type="paragraph" w:customStyle="1" w:styleId="713">
    <w:name w:val="xl4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等线" w:cs="等线"/>
      <w:kern w:val="0"/>
      <w:sz w:val="20"/>
      <w:szCs w:val="20"/>
    </w:rPr>
  </w:style>
  <w:style w:type="paragraph" w:customStyle="1" w:styleId="714">
    <w:name w:val="Char Char1 Char Char"/>
    <w:basedOn w:val="1"/>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715">
    <w:name w:val="xl11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71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717">
    <w:name w:val="1、"/>
    <w:basedOn w:val="1"/>
    <w:qFormat/>
    <w:uiPriority w:val="0"/>
    <w:pPr>
      <w:adjustRightInd w:val="0"/>
      <w:spacing w:line="454" w:lineRule="atLeast"/>
      <w:ind w:left="1276" w:hanging="426" w:firstLineChars="200"/>
      <w:textAlignment w:val="baseline"/>
    </w:pPr>
    <w:rPr>
      <w:rFonts w:ascii="PMingLiU" w:hAnsi="等线" w:eastAsia="PMingLiU" w:cs="等线"/>
      <w:kern w:val="0"/>
      <w:sz w:val="28"/>
      <w:szCs w:val="20"/>
      <w:lang w:eastAsia="zh-TW"/>
    </w:rPr>
  </w:style>
  <w:style w:type="paragraph" w:customStyle="1" w:styleId="718">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等线" w:hAnsi="等线" w:eastAsia="Times New Roman" w:cs="等线"/>
      <w:kern w:val="0"/>
      <w:szCs w:val="22"/>
    </w:rPr>
  </w:style>
  <w:style w:type="paragraph" w:customStyle="1" w:styleId="71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等线" w:hAnsi="等线" w:eastAsia="等线" w:cs="等线"/>
      <w:kern w:val="0"/>
      <w:sz w:val="24"/>
    </w:rPr>
  </w:style>
  <w:style w:type="paragraph" w:customStyle="1" w:styleId="720">
    <w:name w:val="正文缩进HS-正文1"/>
    <w:basedOn w:val="1"/>
    <w:qFormat/>
    <w:uiPriority w:val="0"/>
    <w:pPr>
      <w:jc w:val="center"/>
    </w:pPr>
    <w:rPr>
      <w:rFonts w:ascii="宋体" w:hAnsi="宋体" w:eastAsia="等线" w:cs="等线"/>
      <w:color w:val="000000"/>
      <w:szCs w:val="21"/>
    </w:rPr>
  </w:style>
  <w:style w:type="paragraph" w:customStyle="1" w:styleId="721">
    <w:name w:val="列项——（一级）"/>
    <w:qFormat/>
    <w:uiPriority w:val="0"/>
    <w:pPr>
      <w:widowControl w:val="0"/>
      <w:tabs>
        <w:tab w:val="left" w:pos="854"/>
        <w:tab w:val="left" w:pos="1260"/>
      </w:tabs>
      <w:ind w:left="1260" w:hanging="420"/>
      <w:jc w:val="both"/>
    </w:pPr>
    <w:rPr>
      <w:rFonts w:ascii="仿宋_GB2312" w:hAnsi="等线" w:eastAsia="等线" w:cs="等线"/>
      <w:sz w:val="21"/>
      <w:lang w:val="en-US" w:eastAsia="zh-CN" w:bidi="ar-SA"/>
    </w:rPr>
  </w:style>
  <w:style w:type="paragraph" w:customStyle="1" w:styleId="722">
    <w:name w:val="缺省文本"/>
    <w:basedOn w:val="1"/>
    <w:qFormat/>
    <w:uiPriority w:val="0"/>
    <w:pPr>
      <w:autoSpaceDE w:val="0"/>
      <w:autoSpaceDN w:val="0"/>
      <w:adjustRightInd w:val="0"/>
      <w:spacing w:line="360" w:lineRule="auto"/>
      <w:ind w:firstLine="200" w:firstLineChars="200"/>
      <w:jc w:val="left"/>
    </w:pPr>
    <w:rPr>
      <w:rFonts w:ascii="等线" w:hAnsi="等线" w:eastAsia="等线" w:cs="等线"/>
      <w:kern w:val="0"/>
      <w:sz w:val="24"/>
      <w:szCs w:val="20"/>
    </w:rPr>
  </w:style>
  <w:style w:type="paragraph" w:customStyle="1" w:styleId="723">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724">
    <w:name w:val="6"/>
    <w:basedOn w:val="1"/>
    <w:qFormat/>
    <w:uiPriority w:val="0"/>
    <w:pPr>
      <w:tabs>
        <w:tab w:val="left" w:pos="360"/>
      </w:tabs>
    </w:pPr>
    <w:rPr>
      <w:rFonts w:ascii="等线" w:hAnsi="等线" w:eastAsia="等线" w:cs="等线"/>
      <w:szCs w:val="20"/>
    </w:rPr>
  </w:style>
  <w:style w:type="paragraph" w:customStyle="1" w:styleId="72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360" w:lineRule="auto"/>
      <w:ind w:firstLine="200" w:firstLineChars="200"/>
      <w:jc w:val="left"/>
    </w:pPr>
    <w:rPr>
      <w:rFonts w:ascii="Courier New" w:hAnsi="Courier New" w:eastAsia="等线" w:cs="等线"/>
      <w:kern w:val="0"/>
      <w:sz w:val="20"/>
      <w:szCs w:val="20"/>
    </w:rPr>
  </w:style>
  <w:style w:type="paragraph" w:customStyle="1" w:styleId="726">
    <w:name w:val="Char Char Char Char Char Char Char Char Char"/>
    <w:basedOn w:val="1"/>
    <w:qFormat/>
    <w:uiPriority w:val="0"/>
    <w:pPr>
      <w:widowControl/>
      <w:spacing w:before="100" w:beforeAutospacing="1" w:after="100" w:afterAutospacing="1" w:line="360" w:lineRule="auto"/>
      <w:ind w:left="357"/>
      <w:jc w:val="left"/>
    </w:pPr>
    <w:rPr>
      <w:rFonts w:ascii="ˎ̥" w:hAnsi="ˎ̥" w:eastAsia="等线" w:cs="宋体"/>
      <w:color w:val="51585D"/>
      <w:kern w:val="0"/>
      <w:sz w:val="24"/>
      <w:szCs w:val="18"/>
    </w:rPr>
  </w:style>
  <w:style w:type="paragraph" w:customStyle="1" w:styleId="727">
    <w:name w:val="xl6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728">
    <w:name w:val="Char Char Char Char Char Char Char Char Char Char1"/>
    <w:basedOn w:val="1"/>
    <w:qFormat/>
    <w:uiPriority w:val="0"/>
    <w:pPr>
      <w:widowControl/>
      <w:spacing w:after="160" w:line="240" w:lineRule="exact"/>
      <w:ind w:firstLine="200" w:firstLineChars="200"/>
      <w:jc w:val="left"/>
    </w:pPr>
    <w:rPr>
      <w:rFonts w:ascii="Verdana" w:hAnsi="Verdana" w:eastAsia="仿宋_GB2312" w:cs="等线"/>
      <w:kern w:val="0"/>
      <w:sz w:val="24"/>
      <w:szCs w:val="20"/>
      <w:lang w:eastAsia="en-US"/>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eastAsia="Calibri" w:cs="仿宋_GB2312"/>
      <w:color w:val="000000"/>
      <w:kern w:val="0"/>
      <w:sz w:val="24"/>
    </w:rPr>
  </w:style>
  <w:style w:type="paragraph" w:customStyle="1" w:styleId="730">
    <w:name w:val="xl7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Calibri" w:hAnsi="Calibri" w:eastAsia="Calibri" w:cs="仿宋_GB2312"/>
      <w:b/>
      <w:bCs/>
      <w:color w:val="FF0000"/>
      <w:kern w:val="0"/>
      <w:sz w:val="24"/>
    </w:rPr>
  </w:style>
  <w:style w:type="paragraph" w:customStyle="1" w:styleId="731">
    <w:name w:val="font14"/>
    <w:basedOn w:val="1"/>
    <w:qFormat/>
    <w:uiPriority w:val="0"/>
    <w:pPr>
      <w:widowControl/>
      <w:spacing w:before="100" w:beforeAutospacing="1" w:after="100" w:afterAutospacing="1"/>
      <w:jc w:val="left"/>
    </w:pPr>
    <w:rPr>
      <w:rFonts w:hint="eastAsia" w:ascii="黑体" w:hAnsi="宋体" w:eastAsia="黑体" w:cs="等线"/>
      <w:kern w:val="0"/>
      <w:sz w:val="18"/>
      <w:szCs w:val="18"/>
    </w:rPr>
  </w:style>
  <w:style w:type="paragraph" w:customStyle="1" w:styleId="732">
    <w:name w:val="正文列表"/>
    <w:basedOn w:val="1"/>
    <w:qFormat/>
    <w:uiPriority w:val="0"/>
    <w:pPr>
      <w:autoSpaceDE w:val="0"/>
      <w:autoSpaceDN w:val="0"/>
      <w:adjustRightInd w:val="0"/>
      <w:spacing w:line="360" w:lineRule="auto"/>
      <w:ind w:firstLine="200" w:firstLineChars="200"/>
      <w:jc w:val="center"/>
      <w:textAlignment w:val="baseline"/>
    </w:pPr>
    <w:rPr>
      <w:rFonts w:ascii="宋体" w:hAnsi="宋体" w:eastAsia="等线" w:cs="等线"/>
      <w:kern w:val="0"/>
      <w:sz w:val="24"/>
      <w:szCs w:val="20"/>
    </w:rPr>
  </w:style>
  <w:style w:type="paragraph" w:customStyle="1" w:styleId="733">
    <w:name w:val="普通(网站)1"/>
    <w:basedOn w:val="1"/>
    <w:qFormat/>
    <w:uiPriority w:val="0"/>
    <w:pPr>
      <w:widowControl/>
      <w:spacing w:before="100" w:beforeAutospacing="1" w:after="100" w:afterAutospacing="1" w:line="360" w:lineRule="auto"/>
      <w:ind w:firstLine="200" w:firstLineChars="200"/>
      <w:jc w:val="left"/>
    </w:pPr>
    <w:rPr>
      <w:rFonts w:ascii="宋体" w:hAnsi="宋体" w:eastAsia="等线" w:cs="等线"/>
      <w:color w:val="000000"/>
      <w:kern w:val="0"/>
      <w:sz w:val="24"/>
      <w:szCs w:val="20"/>
    </w:rPr>
  </w:style>
  <w:style w:type="paragraph" w:customStyle="1" w:styleId="734">
    <w:name w:val="p16"/>
    <w:basedOn w:val="1"/>
    <w:qFormat/>
    <w:uiPriority w:val="0"/>
    <w:pPr>
      <w:widowControl/>
      <w:spacing w:before="100" w:after="100" w:line="360" w:lineRule="auto"/>
      <w:ind w:firstLine="420" w:firstLineChars="200"/>
    </w:pPr>
    <w:rPr>
      <w:rFonts w:ascii="Calibri" w:hAnsi="Calibri" w:eastAsia="等线" w:cs="等线"/>
      <w:kern w:val="0"/>
      <w:sz w:val="24"/>
      <w:szCs w:val="20"/>
    </w:rPr>
  </w:style>
  <w:style w:type="paragraph" w:customStyle="1" w:styleId="735">
    <w:name w:val="Char Char Char1 Char Char Char Char"/>
    <w:basedOn w:val="1"/>
    <w:qFormat/>
    <w:uiPriority w:val="0"/>
    <w:pPr>
      <w:spacing w:line="360" w:lineRule="auto"/>
      <w:ind w:firstLine="200" w:firstLineChars="200"/>
    </w:pPr>
    <w:rPr>
      <w:rFonts w:ascii="Tahoma" w:hAnsi="Tahoma" w:eastAsia="等线" w:cs="等线"/>
      <w:sz w:val="24"/>
      <w:szCs w:val="20"/>
    </w:rPr>
  </w:style>
  <w:style w:type="paragraph" w:customStyle="1" w:styleId="736">
    <w:name w:val="text1"/>
    <w:qFormat/>
    <w:uiPriority w:val="0"/>
    <w:rPr>
      <w:rFonts w:ascii="等线" w:hAnsi="等线" w:eastAsia="DFKai-SB" w:cs="等线"/>
      <w:sz w:val="28"/>
      <w:lang w:val="en-US" w:eastAsia="zh-TW" w:bidi="ar-SA"/>
    </w:rPr>
  </w:style>
  <w:style w:type="table" w:customStyle="1" w:styleId="737">
    <w:name w:val="网格表 1 浅色 - 着色 41"/>
    <w:basedOn w:val="67"/>
    <w:qFormat/>
    <w:uiPriority w:val="46"/>
    <w:rPr>
      <w:rFonts w:hint="eastAsia" w:ascii="等线" w:hAnsi="等线" w:eastAsia="等线" w:cs="等线"/>
    </w:rPr>
    <w:tblPr>
      <w:tblBorders>
        <w:top w:val="single" w:color="FFE599" w:sz="4" w:space="0"/>
        <w:left w:val="single" w:color="FFE599" w:sz="4" w:space="0"/>
        <w:bottom w:val="single" w:color="FFE599" w:sz="4" w:space="0"/>
        <w:right w:val="single" w:color="FFE599" w:sz="4" w:space="0"/>
        <w:insideH w:val="single" w:color="FFE599" w:sz="4" w:space="0"/>
        <w:insideV w:val="single" w:color="FFE599" w:sz="4" w:space="0"/>
      </w:tblBorders>
    </w:tblPr>
    <w:tblStylePr w:type="firstRow">
      <w:rPr>
        <w:b/>
        <w:bCs/>
      </w:rPr>
      <w:tcPr>
        <w:tcBorders>
          <w:top w:val="nil"/>
          <w:left w:val="nil"/>
          <w:bottom w:val="single" w:color="FFD966" w:sz="12" w:space="0"/>
          <w:right w:val="nil"/>
          <w:insideH w:val="nil"/>
          <w:insideV w:val="nil"/>
          <w:tl2br w:val="nil"/>
          <w:tr2bl w:val="nil"/>
        </w:tcBorders>
      </w:tcPr>
    </w:tblStylePr>
    <w:tblStylePr w:type="lastRow">
      <w:rPr>
        <w:b/>
        <w:bCs/>
      </w:rPr>
      <w:tcPr>
        <w:tcBorders>
          <w:top w:val="double" w:color="FFD966"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738">
    <w:name w:val="网格表 5 深色 - 着色 11"/>
    <w:basedOn w:val="67"/>
    <w:qFormat/>
    <w:uiPriority w:val="50"/>
    <w:rPr>
      <w:rFonts w:hint="eastAsia" w:ascii="等线" w:hAnsi="等线" w:eastAsia="等线" w:cs="等线"/>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EEAF6"/>
    </w:tcPr>
    <w:tblStylePr w:type="firstRow">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5B9BD5"/>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5B9BD5"/>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5B9BD5"/>
      </w:tcPr>
    </w:tblStylePr>
    <w:tblStylePr w:type="lastCol">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5B9BD5"/>
      </w:tcPr>
    </w:tblStylePr>
    <w:tblStylePr w:type="band1Vert">
      <w:tcPr>
        <w:shd w:val="clear" w:color="auto" w:fill="BDD6EE"/>
      </w:tcPr>
    </w:tblStylePr>
    <w:tblStylePr w:type="band1Horz">
      <w:tcPr>
        <w:shd w:val="clear" w:color="auto" w:fill="BDD6EE"/>
      </w:tcPr>
    </w:tblStylePr>
  </w:style>
  <w:style w:type="table" w:customStyle="1" w:styleId="739">
    <w:name w:val="网格型浅色1"/>
    <w:basedOn w:val="67"/>
    <w:qFormat/>
    <w:uiPriority w:val="40"/>
    <w:rPr>
      <w:rFonts w:hint="eastAsia" w:ascii="等线" w:hAnsi="等线" w:eastAsia="等线" w:cs="等线"/>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740">
    <w:name w:val="网格表 1 浅色 - 着色 31"/>
    <w:basedOn w:val="67"/>
    <w:qFormat/>
    <w:uiPriority w:val="46"/>
    <w:rPr>
      <w:rFonts w:hint="eastAsia" w:ascii="等线" w:hAnsi="等线" w:eastAsia="等线" w:cs="等线"/>
    </w:rPr>
    <w:tblPr>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
    <w:tblStylePr w:type="firstRow">
      <w:rPr>
        <w:b/>
        <w:bCs/>
      </w:rPr>
      <w:tcPr>
        <w:tcBorders>
          <w:top w:val="nil"/>
          <w:left w:val="nil"/>
          <w:bottom w:val="single" w:color="C9C9C9" w:sz="12" w:space="0"/>
          <w:right w:val="nil"/>
          <w:insideH w:val="nil"/>
          <w:insideV w:val="nil"/>
          <w:tl2br w:val="nil"/>
          <w:tr2bl w:val="nil"/>
        </w:tcBorders>
      </w:tcPr>
    </w:tblStylePr>
    <w:tblStylePr w:type="lastRow">
      <w:rPr>
        <w:b/>
        <w:bCs/>
      </w:rPr>
      <w:tcPr>
        <w:tcBorders>
          <w:top w:val="double" w:color="C9C9C9"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741">
    <w:name w:val="表格 Char"/>
    <w:qFormat/>
    <w:uiPriority w:val="99"/>
    <w:rPr>
      <w:kern w:val="2"/>
      <w:sz w:val="24"/>
    </w:rPr>
  </w:style>
  <w:style w:type="character" w:customStyle="1" w:styleId="742">
    <w:name w:val="font51"/>
    <w:qFormat/>
    <w:uiPriority w:val="0"/>
    <w:rPr>
      <w:rFonts w:hint="eastAsia" w:ascii="宋体" w:hAnsi="宋体" w:eastAsia="宋体" w:cs="宋体"/>
      <w:color w:val="000000"/>
      <w:sz w:val="24"/>
      <w:szCs w:val="24"/>
      <w:u w:val="none"/>
    </w:rPr>
  </w:style>
  <w:style w:type="character" w:customStyle="1" w:styleId="743">
    <w:name w:val="fontstyle31"/>
    <w:qFormat/>
    <w:uiPriority w:val="0"/>
    <w:rPr>
      <w:rFonts w:ascii="TimesNewRomanPSMT" w:hAnsi="TimesNewRomanPSMT" w:eastAsia="TimesNewRomanPSMT" w:cs="TimesNewRomanPSMT"/>
      <w:color w:val="000000"/>
      <w:sz w:val="22"/>
      <w:szCs w:val="22"/>
    </w:rPr>
  </w:style>
  <w:style w:type="character" w:customStyle="1" w:styleId="744">
    <w:name w:val="尾注文本 Char"/>
    <w:qFormat/>
    <w:uiPriority w:val="1"/>
    <w:rPr>
      <w:kern w:val="2"/>
      <w:sz w:val="28"/>
      <w:szCs w:val="24"/>
    </w:rPr>
  </w:style>
  <w:style w:type="character" w:customStyle="1" w:styleId="745">
    <w:name w:val="font81"/>
    <w:qFormat/>
    <w:uiPriority w:val="0"/>
    <w:rPr>
      <w:rFonts w:hint="eastAsia" w:ascii="宋体" w:hAnsi="宋体" w:eastAsia="宋体" w:cs="宋体"/>
      <w:color w:val="000000"/>
      <w:sz w:val="20"/>
      <w:szCs w:val="20"/>
      <w:u w:val="none"/>
    </w:rPr>
  </w:style>
  <w:style w:type="character" w:customStyle="1" w:styleId="746">
    <w:name w:val="font101"/>
    <w:qFormat/>
    <w:uiPriority w:val="0"/>
    <w:rPr>
      <w:rFonts w:hint="eastAsia" w:ascii="宋体" w:hAnsi="宋体" w:eastAsia="宋体" w:cs="宋体"/>
      <w:b/>
      <w:color w:val="000000"/>
      <w:sz w:val="24"/>
      <w:szCs w:val="24"/>
      <w:u w:val="none"/>
    </w:rPr>
  </w:style>
  <w:style w:type="character" w:customStyle="1" w:styleId="747">
    <w:name w:val="表头编号 Char"/>
    <w:link w:val="748"/>
    <w:qFormat/>
    <w:uiPriority w:val="0"/>
    <w:rPr>
      <w:rFonts w:eastAsia="黑体"/>
      <w:sz w:val="24"/>
      <w:szCs w:val="24"/>
    </w:rPr>
  </w:style>
  <w:style w:type="paragraph" w:customStyle="1" w:styleId="748">
    <w:name w:val="表头编号"/>
    <w:basedOn w:val="1"/>
    <w:next w:val="749"/>
    <w:link w:val="747"/>
    <w:qFormat/>
    <w:uiPriority w:val="0"/>
    <w:pPr>
      <w:adjustRightInd w:val="0"/>
      <w:snapToGrid w:val="0"/>
      <w:spacing w:line="360" w:lineRule="auto"/>
      <w:jc w:val="left"/>
    </w:pPr>
    <w:rPr>
      <w:rFonts w:eastAsia="黑体"/>
      <w:kern w:val="0"/>
      <w:sz w:val="24"/>
    </w:rPr>
  </w:style>
  <w:style w:type="paragraph" w:customStyle="1" w:styleId="749">
    <w:name w:val="表格文本"/>
    <w:basedOn w:val="1"/>
    <w:next w:val="1"/>
    <w:link w:val="811"/>
    <w:qFormat/>
    <w:uiPriority w:val="0"/>
    <w:pPr>
      <w:adjustRightInd w:val="0"/>
      <w:snapToGrid w:val="0"/>
      <w:jc w:val="center"/>
    </w:pPr>
    <w:rPr>
      <w:color w:val="000000"/>
      <w:kern w:val="0"/>
      <w:sz w:val="24"/>
      <w:szCs w:val="21"/>
    </w:rPr>
  </w:style>
  <w:style w:type="character" w:customStyle="1" w:styleId="750">
    <w:name w:val="表格文字 Char"/>
    <w:link w:val="751"/>
    <w:qFormat/>
    <w:uiPriority w:val="0"/>
    <w:rPr>
      <w:kern w:val="2"/>
      <w:sz w:val="21"/>
      <w:szCs w:val="21"/>
    </w:rPr>
  </w:style>
  <w:style w:type="paragraph" w:customStyle="1" w:styleId="751">
    <w:name w:val="表格文字"/>
    <w:basedOn w:val="267"/>
    <w:next w:val="25"/>
    <w:link w:val="750"/>
    <w:qFormat/>
    <w:uiPriority w:val="0"/>
    <w:pPr>
      <w:autoSpaceDE/>
      <w:autoSpaceDN/>
      <w:spacing w:beforeLines="25" w:afterLines="25"/>
      <w:ind w:firstLine="0" w:firstLineChars="0"/>
      <w:jc w:val="center"/>
    </w:pPr>
    <w:rPr>
      <w:rFonts w:ascii="Times New Roman" w:hAnsi="Times New Roman" w:eastAsia="宋体"/>
      <w:kern w:val="2"/>
      <w:sz w:val="21"/>
      <w:szCs w:val="21"/>
    </w:rPr>
  </w:style>
  <w:style w:type="character" w:customStyle="1" w:styleId="752">
    <w:name w:val="font71"/>
    <w:qFormat/>
    <w:uiPriority w:val="0"/>
    <w:rPr>
      <w:rFonts w:hint="eastAsia" w:ascii="宋体" w:hAnsi="宋体" w:eastAsia="宋体" w:cs="宋体"/>
      <w:color w:val="000000"/>
      <w:sz w:val="24"/>
      <w:szCs w:val="24"/>
      <w:u w:val="none"/>
    </w:rPr>
  </w:style>
  <w:style w:type="character" w:customStyle="1" w:styleId="753">
    <w:name w:val="表格标题/图片标题/日期格式/图片居中 Char"/>
    <w:link w:val="754"/>
    <w:qFormat/>
    <w:uiPriority w:val="0"/>
    <w:rPr>
      <w:b/>
      <w:kern w:val="2"/>
      <w:sz w:val="28"/>
      <w:szCs w:val="24"/>
    </w:rPr>
  </w:style>
  <w:style w:type="paragraph" w:customStyle="1" w:styleId="754">
    <w:name w:val="表格标题/图片标题/日期格式/图片居中"/>
    <w:link w:val="753"/>
    <w:qFormat/>
    <w:uiPriority w:val="0"/>
    <w:pPr>
      <w:jc w:val="center"/>
    </w:pPr>
    <w:rPr>
      <w:rFonts w:ascii="Times New Roman" w:hAnsi="Times New Roman" w:eastAsia="宋体" w:cs="Times New Roman"/>
      <w:b/>
      <w:kern w:val="2"/>
      <w:sz w:val="28"/>
      <w:szCs w:val="24"/>
      <w:lang w:val="en-US" w:eastAsia="zh-CN" w:bidi="ar-SA"/>
    </w:rPr>
  </w:style>
  <w:style w:type="character" w:customStyle="1" w:styleId="755">
    <w:name w:val="font61"/>
    <w:qFormat/>
    <w:uiPriority w:val="0"/>
    <w:rPr>
      <w:rFonts w:hint="eastAsia" w:ascii="宋体" w:hAnsi="宋体" w:eastAsia="宋体" w:cs="宋体"/>
      <w:b/>
      <w:color w:val="000000"/>
      <w:sz w:val="24"/>
      <w:szCs w:val="24"/>
      <w:u w:val="none"/>
    </w:rPr>
  </w:style>
  <w:style w:type="character" w:customStyle="1" w:styleId="756">
    <w:name w:val="font41"/>
    <w:qFormat/>
    <w:uiPriority w:val="0"/>
    <w:rPr>
      <w:rFonts w:hint="default" w:ascii="Times New Roman" w:hAnsi="Times New Roman" w:cs="Times New Roman"/>
      <w:color w:val="000000"/>
      <w:sz w:val="20"/>
      <w:szCs w:val="20"/>
      <w:u w:val="none"/>
    </w:rPr>
  </w:style>
  <w:style w:type="character" w:customStyle="1" w:styleId="757">
    <w:name w:val="fontstyle21"/>
    <w:qFormat/>
    <w:uiPriority w:val="0"/>
    <w:rPr>
      <w:rFonts w:ascii="宋体" w:hAnsi="宋体" w:eastAsia="宋体" w:cs="宋体"/>
      <w:color w:val="000000"/>
      <w:sz w:val="22"/>
      <w:szCs w:val="22"/>
    </w:rPr>
  </w:style>
  <w:style w:type="character" w:customStyle="1" w:styleId="758">
    <w:name w:val="font201"/>
    <w:qFormat/>
    <w:uiPriority w:val="0"/>
    <w:rPr>
      <w:rFonts w:hint="eastAsia" w:ascii="宋体" w:hAnsi="宋体" w:eastAsia="宋体" w:cs="宋体"/>
      <w:b/>
      <w:color w:val="000000"/>
      <w:sz w:val="24"/>
      <w:szCs w:val="24"/>
      <w:u w:val="none"/>
    </w:rPr>
  </w:style>
  <w:style w:type="character" w:customStyle="1" w:styleId="759">
    <w:name w:val="font221"/>
    <w:qFormat/>
    <w:uiPriority w:val="0"/>
    <w:rPr>
      <w:rFonts w:hint="eastAsia" w:ascii="宋体" w:hAnsi="宋体" w:eastAsia="宋体" w:cs="宋体"/>
      <w:color w:val="000000"/>
      <w:sz w:val="24"/>
      <w:szCs w:val="24"/>
      <w:u w:val="none"/>
    </w:rPr>
  </w:style>
  <w:style w:type="character" w:customStyle="1" w:styleId="760">
    <w:name w:val="尾注文本 字符"/>
    <w:basedOn w:val="70"/>
    <w:link w:val="39"/>
    <w:qFormat/>
    <w:uiPriority w:val="99"/>
    <w:rPr>
      <w:kern w:val="2"/>
      <w:sz w:val="21"/>
      <w:szCs w:val="24"/>
    </w:rPr>
  </w:style>
  <w:style w:type="paragraph" w:customStyle="1" w:styleId="761">
    <w:name w:val="[Normal]"/>
    <w:qFormat/>
    <w:uiPriority w:val="0"/>
    <w:rPr>
      <w:rFonts w:ascii="宋体" w:hAnsi="宋体" w:eastAsia="宋体" w:cs="Times New Roman"/>
      <w:sz w:val="24"/>
      <w:szCs w:val="22"/>
      <w:lang w:val="zh-CN" w:eastAsia="zh-CN" w:bidi="ar-SA"/>
    </w:rPr>
  </w:style>
  <w:style w:type="paragraph" w:customStyle="1" w:styleId="762">
    <w:name w:val="表格文字（居中）"/>
    <w:basedOn w:val="1"/>
    <w:qFormat/>
    <w:uiPriority w:val="0"/>
    <w:pPr>
      <w:spacing w:line="360" w:lineRule="auto"/>
      <w:ind w:firstLine="200" w:firstLineChars="200"/>
      <w:jc w:val="center"/>
    </w:pPr>
    <w:rPr>
      <w:sz w:val="28"/>
    </w:rPr>
  </w:style>
  <w:style w:type="paragraph" w:customStyle="1" w:styleId="763">
    <w:name w:val="文章正文"/>
    <w:basedOn w:val="1"/>
    <w:qFormat/>
    <w:uiPriority w:val="0"/>
    <w:pPr>
      <w:spacing w:line="360" w:lineRule="auto"/>
      <w:ind w:firstLine="200" w:firstLineChars="200"/>
    </w:pPr>
    <w:rPr>
      <w:kern w:val="0"/>
      <w:sz w:val="28"/>
      <w:szCs w:val="22"/>
    </w:rPr>
  </w:style>
  <w:style w:type="paragraph" w:customStyle="1" w:styleId="764">
    <w:name w:val="表格内容"/>
    <w:basedOn w:val="1"/>
    <w:qFormat/>
    <w:uiPriority w:val="0"/>
    <w:pPr>
      <w:jc w:val="center"/>
    </w:pPr>
    <w:rPr>
      <w:sz w:val="24"/>
      <w:szCs w:val="21"/>
    </w:rPr>
  </w:style>
  <w:style w:type="paragraph" w:customStyle="1" w:styleId="765">
    <w:name w:val="图名"/>
    <w:basedOn w:val="1"/>
    <w:next w:val="1"/>
    <w:qFormat/>
    <w:uiPriority w:val="1"/>
    <w:pPr>
      <w:spacing w:line="360" w:lineRule="auto"/>
      <w:jc w:val="center"/>
    </w:pPr>
    <w:rPr>
      <w:rFonts w:eastAsia="Times New Roman"/>
      <w:b/>
      <w:color w:val="000000"/>
      <w:sz w:val="28"/>
    </w:rPr>
  </w:style>
  <w:style w:type="paragraph" w:customStyle="1" w:styleId="766">
    <w:name w:val="08-123456789"/>
    <w:basedOn w:val="1"/>
    <w:qFormat/>
    <w:uiPriority w:val="0"/>
    <w:pPr>
      <w:ind w:firstLine="553" w:firstLineChars="200"/>
    </w:pPr>
    <w:rPr>
      <w:rFonts w:cs="宋体"/>
      <w:sz w:val="26"/>
      <w:szCs w:val="26"/>
    </w:rPr>
  </w:style>
  <w:style w:type="paragraph" w:customStyle="1" w:styleId="767">
    <w:name w:val="封面文字"/>
    <w:basedOn w:val="1"/>
    <w:qFormat/>
    <w:uiPriority w:val="0"/>
    <w:pPr>
      <w:spacing w:line="360" w:lineRule="auto"/>
      <w:jc w:val="center"/>
    </w:pPr>
    <w:rPr>
      <w:rFonts w:hAnsi="宋体" w:eastAsia="黑体"/>
      <w:sz w:val="48"/>
    </w:rPr>
  </w:style>
  <w:style w:type="paragraph" w:customStyle="1" w:styleId="768">
    <w:name w:val="表头、图名"/>
    <w:basedOn w:val="1"/>
    <w:link w:val="810"/>
    <w:qFormat/>
    <w:uiPriority w:val="0"/>
    <w:pPr>
      <w:spacing w:line="360" w:lineRule="auto"/>
      <w:ind w:firstLine="200" w:firstLineChars="200"/>
      <w:jc w:val="center"/>
    </w:pPr>
    <w:rPr>
      <w:b/>
      <w:sz w:val="28"/>
      <w:szCs w:val="20"/>
    </w:rPr>
  </w:style>
  <w:style w:type="paragraph" w:customStyle="1" w:styleId="769">
    <w:name w:val="表头2"/>
    <w:basedOn w:val="378"/>
    <w:qFormat/>
    <w:uiPriority w:val="0"/>
    <w:pPr>
      <w:spacing w:line="520" w:lineRule="exact"/>
      <w:jc w:val="left"/>
    </w:pPr>
    <w:rPr>
      <w:rFonts w:ascii="Calibri" w:hAnsi="Calibri" w:eastAsia="宋体"/>
      <w:color w:val="auto"/>
      <w:szCs w:val="28"/>
    </w:rPr>
  </w:style>
  <w:style w:type="paragraph" w:customStyle="1" w:styleId="770">
    <w:name w:val="WPSOffice手动目录 1"/>
    <w:qFormat/>
    <w:uiPriority w:val="0"/>
    <w:rPr>
      <w:rFonts w:ascii="Times New Roman" w:hAnsi="Times New Roman" w:eastAsia="宋体" w:cs="Times New Roman"/>
      <w:lang w:val="en-US" w:eastAsia="zh-CN" w:bidi="ar-SA"/>
    </w:rPr>
  </w:style>
  <w:style w:type="paragraph" w:customStyle="1" w:styleId="771">
    <w:name w:val="表格备注"/>
    <w:basedOn w:val="1"/>
    <w:next w:val="1"/>
    <w:qFormat/>
    <w:uiPriority w:val="2"/>
    <w:pPr>
      <w:spacing w:afterLines="50"/>
    </w:pPr>
  </w:style>
  <w:style w:type="paragraph" w:customStyle="1" w:styleId="772">
    <w:name w:val="目  录"/>
    <w:basedOn w:val="1"/>
    <w:qFormat/>
    <w:uiPriority w:val="0"/>
    <w:pPr>
      <w:spacing w:line="360" w:lineRule="auto"/>
      <w:jc w:val="center"/>
    </w:pPr>
    <w:rPr>
      <w:rFonts w:hAnsi="宋体" w:eastAsia="黑体"/>
      <w:sz w:val="44"/>
    </w:rPr>
  </w:style>
  <w:style w:type="paragraph" w:customStyle="1" w:styleId="773">
    <w:name w:val="表格样式"/>
    <w:basedOn w:val="1"/>
    <w:qFormat/>
    <w:uiPriority w:val="0"/>
    <w:pPr>
      <w:widowControl/>
      <w:jc w:val="center"/>
    </w:pPr>
    <w:rPr>
      <w:bCs/>
      <w:kern w:val="0"/>
      <w:sz w:val="24"/>
    </w:rPr>
  </w:style>
  <w:style w:type="paragraph" w:customStyle="1" w:styleId="774">
    <w:name w:val="正文 1.5 倍行距"/>
    <w:basedOn w:val="1"/>
    <w:qFormat/>
    <w:uiPriority w:val="0"/>
    <w:pPr>
      <w:autoSpaceDE w:val="0"/>
      <w:autoSpaceDN w:val="0"/>
      <w:adjustRightInd w:val="0"/>
      <w:spacing w:line="360" w:lineRule="auto"/>
      <w:ind w:firstLine="480" w:firstLineChars="200"/>
      <w:textAlignment w:val="baseline"/>
    </w:pPr>
    <w:rPr>
      <w:kern w:val="0"/>
      <w:sz w:val="24"/>
      <w:szCs w:val="20"/>
    </w:rPr>
  </w:style>
  <w:style w:type="paragraph" w:customStyle="1" w:styleId="775">
    <w:name w:val="表图内容"/>
    <w:basedOn w:val="1"/>
    <w:qFormat/>
    <w:uiPriority w:val="0"/>
    <w:pPr>
      <w:spacing w:line="360" w:lineRule="auto"/>
      <w:ind w:firstLine="200" w:firstLineChars="200"/>
      <w:jc w:val="center"/>
    </w:pPr>
    <w:rPr>
      <w:sz w:val="24"/>
      <w:szCs w:val="21"/>
    </w:rPr>
  </w:style>
  <w:style w:type="paragraph" w:customStyle="1" w:styleId="77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77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78">
    <w:name w:val="图片"/>
    <w:basedOn w:val="1"/>
    <w:qFormat/>
    <w:uiPriority w:val="0"/>
    <w:pPr>
      <w:jc w:val="center"/>
    </w:pPr>
    <w:rPr>
      <w:sz w:val="28"/>
    </w:rPr>
  </w:style>
  <w:style w:type="character" w:customStyle="1" w:styleId="779">
    <w:name w:val="招标正文 字符"/>
    <w:link w:val="780"/>
    <w:qFormat/>
    <w:uiPriority w:val="0"/>
    <w:rPr>
      <w:rFonts w:ascii="宋体" w:hAnsi="宋体"/>
      <w:color w:val="000000"/>
      <w:sz w:val="24"/>
      <w:szCs w:val="21"/>
    </w:rPr>
  </w:style>
  <w:style w:type="paragraph" w:customStyle="1" w:styleId="780">
    <w:name w:val="招标正文"/>
    <w:basedOn w:val="1"/>
    <w:link w:val="779"/>
    <w:qFormat/>
    <w:uiPriority w:val="0"/>
    <w:pPr>
      <w:adjustRightInd w:val="0"/>
      <w:snapToGrid w:val="0"/>
      <w:spacing w:line="360" w:lineRule="auto"/>
      <w:ind w:firstLine="480" w:firstLineChars="200"/>
    </w:pPr>
    <w:rPr>
      <w:rFonts w:ascii="宋体" w:hAnsi="宋体"/>
      <w:color w:val="000000"/>
      <w:kern w:val="0"/>
      <w:sz w:val="24"/>
      <w:szCs w:val="21"/>
    </w:rPr>
  </w:style>
  <w:style w:type="character" w:customStyle="1" w:styleId="781">
    <w:name w:val="招标-标题1 字符"/>
    <w:link w:val="782"/>
    <w:qFormat/>
    <w:uiPriority w:val="0"/>
    <w:rPr>
      <w:rFonts w:ascii="宋体" w:hAnsi="宋体"/>
      <w:b/>
      <w:bCs/>
      <w:sz w:val="28"/>
      <w:szCs w:val="21"/>
    </w:rPr>
  </w:style>
  <w:style w:type="paragraph" w:customStyle="1" w:styleId="782">
    <w:name w:val="招标-标题1"/>
    <w:basedOn w:val="1"/>
    <w:link w:val="781"/>
    <w:qFormat/>
    <w:uiPriority w:val="0"/>
    <w:pPr>
      <w:spacing w:line="300" w:lineRule="auto"/>
      <w:ind w:left="560" w:firstLine="200" w:firstLineChars="200"/>
    </w:pPr>
    <w:rPr>
      <w:rFonts w:ascii="宋体" w:hAnsi="宋体"/>
      <w:b/>
      <w:bCs/>
      <w:kern w:val="0"/>
      <w:sz w:val="28"/>
      <w:szCs w:val="21"/>
    </w:rPr>
  </w:style>
  <w:style w:type="character" w:customStyle="1" w:styleId="783">
    <w:name w:val="招标-主标题 字符"/>
    <w:link w:val="784"/>
    <w:qFormat/>
    <w:uiPriority w:val="0"/>
    <w:rPr>
      <w:rFonts w:ascii="宋体" w:hAnsi="宋体"/>
      <w:b/>
      <w:sz w:val="32"/>
    </w:rPr>
  </w:style>
  <w:style w:type="paragraph" w:customStyle="1" w:styleId="784">
    <w:name w:val="招标-主标题"/>
    <w:basedOn w:val="1"/>
    <w:link w:val="783"/>
    <w:qFormat/>
    <w:uiPriority w:val="0"/>
    <w:pPr>
      <w:tabs>
        <w:tab w:val="left" w:pos="1620"/>
        <w:tab w:val="left" w:pos="1800"/>
        <w:tab w:val="left" w:pos="1980"/>
      </w:tabs>
      <w:spacing w:line="768" w:lineRule="auto"/>
      <w:ind w:firstLine="200" w:firstLineChars="200"/>
      <w:jc w:val="center"/>
    </w:pPr>
    <w:rPr>
      <w:rFonts w:ascii="宋体" w:hAnsi="宋体"/>
      <w:b/>
      <w:kern w:val="0"/>
      <w:sz w:val="32"/>
      <w:szCs w:val="20"/>
    </w:rPr>
  </w:style>
  <w:style w:type="character" w:customStyle="1" w:styleId="785">
    <w:name w:val="标题 Char1"/>
    <w:basedOn w:val="70"/>
    <w:qFormat/>
    <w:uiPriority w:val="10"/>
    <w:rPr>
      <w:rFonts w:eastAsia="宋体" w:asciiTheme="majorHAnsi" w:hAnsiTheme="majorHAnsi" w:cstheme="majorBidi"/>
      <w:b/>
      <w:bCs/>
      <w:sz w:val="32"/>
      <w:szCs w:val="32"/>
    </w:rPr>
  </w:style>
  <w:style w:type="paragraph" w:customStyle="1" w:styleId="786">
    <w:name w:val="Char Char Char Char Char Char1"/>
    <w:basedOn w:val="1"/>
    <w:semiHidden/>
    <w:qFormat/>
    <w:uiPriority w:val="0"/>
    <w:pPr>
      <w:adjustRightInd w:val="0"/>
      <w:spacing w:line="360" w:lineRule="atLeast"/>
      <w:ind w:firstLine="200" w:firstLineChars="200"/>
      <w:textAlignment w:val="baseline"/>
    </w:pPr>
    <w:rPr>
      <w:rFonts w:ascii="仿宋_GB2312" w:eastAsia="仿宋_GB2312"/>
      <w:sz w:val="28"/>
      <w:szCs w:val="28"/>
    </w:rPr>
  </w:style>
  <w:style w:type="paragraph" w:customStyle="1" w:styleId="787">
    <w:name w:val="表名"/>
    <w:basedOn w:val="1"/>
    <w:qFormat/>
    <w:uiPriority w:val="0"/>
    <w:pPr>
      <w:spacing w:after="60" w:line="560" w:lineRule="exact"/>
      <w:ind w:firstLine="100" w:firstLineChars="100"/>
    </w:pPr>
    <w:rPr>
      <w:rFonts w:ascii="黑体" w:eastAsia="黑体"/>
      <w:sz w:val="24"/>
    </w:rPr>
  </w:style>
  <w:style w:type="paragraph" w:customStyle="1" w:styleId="788">
    <w:name w:val="标1 Char Char Char Char Char Char Char"/>
    <w:basedOn w:val="1"/>
    <w:semiHidden/>
    <w:qFormat/>
    <w:uiPriority w:val="0"/>
    <w:pPr>
      <w:adjustRightInd w:val="0"/>
      <w:spacing w:line="360" w:lineRule="atLeast"/>
      <w:ind w:firstLine="200" w:firstLineChars="200"/>
    </w:pPr>
    <w:rPr>
      <w:szCs w:val="28"/>
    </w:rPr>
  </w:style>
  <w:style w:type="paragraph" w:customStyle="1" w:styleId="789">
    <w:name w:val="样式 仿宋_GB2312 小三 黑色"/>
    <w:basedOn w:val="1"/>
    <w:qFormat/>
    <w:uiPriority w:val="0"/>
    <w:pPr>
      <w:autoSpaceDE w:val="0"/>
      <w:autoSpaceDN w:val="0"/>
      <w:adjustRightInd w:val="0"/>
      <w:spacing w:line="520" w:lineRule="exact"/>
      <w:ind w:firstLine="560" w:firstLineChars="200"/>
    </w:pPr>
    <w:rPr>
      <w:rFonts w:ascii="仿宋_GB2312" w:eastAsia="仿宋_GB2312" w:cs="仿宋_GB2312"/>
      <w:sz w:val="30"/>
      <w:szCs w:val="30"/>
      <w:lang w:val="zh-CN"/>
    </w:rPr>
  </w:style>
  <w:style w:type="character" w:customStyle="1" w:styleId="790">
    <w:name w:val="样式 仿宋_GB2312 小三 黑色 Char"/>
    <w:qFormat/>
    <w:uiPriority w:val="0"/>
    <w:rPr>
      <w:rFonts w:ascii="仿宋_GB2312" w:eastAsia="仿宋_GB2312" w:cs="仿宋_GB2312"/>
      <w:kern w:val="2"/>
      <w:sz w:val="30"/>
      <w:szCs w:val="30"/>
      <w:lang w:val="zh-CN" w:eastAsia="zh-CN" w:bidi="ar-SA"/>
    </w:rPr>
  </w:style>
  <w:style w:type="paragraph" w:customStyle="1" w:styleId="791">
    <w:name w:val="样式 仿宋_GB2312 小三"/>
    <w:basedOn w:val="1"/>
    <w:qFormat/>
    <w:uiPriority w:val="0"/>
    <w:pPr>
      <w:autoSpaceDE w:val="0"/>
      <w:autoSpaceDN w:val="0"/>
      <w:adjustRightInd w:val="0"/>
      <w:spacing w:line="520" w:lineRule="exact"/>
      <w:ind w:firstLine="600" w:firstLineChars="200"/>
    </w:pPr>
    <w:rPr>
      <w:rFonts w:ascii="仿宋_GB2312" w:eastAsia="仿宋_GB2312" w:cs="仿宋_GB2312"/>
      <w:sz w:val="30"/>
      <w:szCs w:val="30"/>
      <w:lang w:val="zh-CN"/>
    </w:rPr>
  </w:style>
  <w:style w:type="character" w:customStyle="1" w:styleId="792">
    <w:name w:val="样式 仿宋_GB2312 小三 Char"/>
    <w:qFormat/>
    <w:uiPriority w:val="0"/>
    <w:rPr>
      <w:rFonts w:ascii="仿宋_GB2312" w:eastAsia="仿宋_GB2312" w:cs="仿宋_GB2312"/>
      <w:kern w:val="2"/>
      <w:sz w:val="30"/>
      <w:szCs w:val="30"/>
      <w:lang w:val="zh-CN" w:eastAsia="zh-CN" w:bidi="ar-SA"/>
    </w:rPr>
  </w:style>
  <w:style w:type="paragraph" w:customStyle="1" w:styleId="793">
    <w:name w:val="样式4"/>
    <w:basedOn w:val="1"/>
    <w:qFormat/>
    <w:uiPriority w:val="0"/>
    <w:pPr>
      <w:spacing w:line="360" w:lineRule="auto"/>
      <w:ind w:firstLine="200" w:firstLineChars="200"/>
    </w:pPr>
    <w:rPr>
      <w:sz w:val="28"/>
      <w:szCs w:val="21"/>
    </w:rPr>
  </w:style>
  <w:style w:type="paragraph" w:customStyle="1" w:styleId="794">
    <w:name w:val="图中文字"/>
    <w:qFormat/>
    <w:uiPriority w:val="0"/>
    <w:pPr>
      <w:adjustRightInd w:val="0"/>
      <w:snapToGrid w:val="0"/>
      <w:jc w:val="both"/>
    </w:pPr>
    <w:rPr>
      <w:rFonts w:ascii="宋体" w:hAnsi="Times New Roman" w:eastAsia="宋体" w:cs="Times New Roman"/>
      <w:kern w:val="2"/>
      <w:sz w:val="21"/>
      <w:lang w:val="en-US" w:eastAsia="zh-CN" w:bidi="ar-SA"/>
    </w:rPr>
  </w:style>
  <w:style w:type="paragraph" w:customStyle="1" w:styleId="795">
    <w:name w:val="Xie图文中"/>
    <w:qFormat/>
    <w:uiPriority w:val="0"/>
    <w:pPr>
      <w:widowControl w:val="0"/>
      <w:adjustRightInd w:val="0"/>
      <w:snapToGrid w:val="0"/>
      <w:spacing w:before="40" w:after="40"/>
      <w:jc w:val="center"/>
    </w:pPr>
    <w:rPr>
      <w:rFonts w:ascii="Times New Roman" w:hAnsi="Times New Roman" w:eastAsia="仿宋_GB2312" w:cs="Times New Roman"/>
      <w:snapToGrid w:val="0"/>
      <w:sz w:val="24"/>
      <w:szCs w:val="24"/>
      <w:lang w:val="en-US" w:eastAsia="zh-CN" w:bidi="ar-SA"/>
    </w:rPr>
  </w:style>
  <w:style w:type="paragraph" w:customStyle="1" w:styleId="796">
    <w:name w:val="瑞安正文"/>
    <w:basedOn w:val="1"/>
    <w:qFormat/>
    <w:uiPriority w:val="0"/>
    <w:pPr>
      <w:adjustRightInd w:val="0"/>
      <w:snapToGrid w:val="0"/>
      <w:spacing w:afterLines="50" w:line="300" w:lineRule="auto"/>
      <w:ind w:firstLine="200" w:firstLineChars="200"/>
    </w:pPr>
    <w:rPr>
      <w:sz w:val="24"/>
    </w:rPr>
  </w:style>
  <w:style w:type="paragraph" w:customStyle="1" w:styleId="797">
    <w:name w:val="样式 图文仿宋四号 + (西文) 宋体 (中文) 宋体"/>
    <w:basedOn w:val="1"/>
    <w:link w:val="798"/>
    <w:qFormat/>
    <w:uiPriority w:val="0"/>
    <w:pPr>
      <w:adjustRightInd w:val="0"/>
      <w:spacing w:line="360" w:lineRule="auto"/>
      <w:ind w:firstLine="640" w:firstLineChars="200"/>
      <w:jc w:val="left"/>
    </w:pPr>
    <w:rPr>
      <w:rFonts w:ascii="仿宋_GB2312" w:eastAsia="仿宋_GB2312"/>
      <w:sz w:val="32"/>
      <w:szCs w:val="32"/>
      <w:lang w:val="zh-CN"/>
    </w:rPr>
  </w:style>
  <w:style w:type="character" w:customStyle="1" w:styleId="798">
    <w:name w:val="样式 图文仿宋四号 + (西文) 宋体 (中文) 宋体 Char"/>
    <w:link w:val="797"/>
    <w:qFormat/>
    <w:uiPriority w:val="0"/>
    <w:rPr>
      <w:rFonts w:ascii="仿宋_GB2312" w:eastAsia="仿宋_GB2312"/>
      <w:kern w:val="2"/>
      <w:sz w:val="32"/>
      <w:szCs w:val="32"/>
      <w:lang w:val="zh-CN"/>
    </w:rPr>
  </w:style>
  <w:style w:type="paragraph" w:customStyle="1" w:styleId="799">
    <w:name w:val="para_small"/>
    <w:basedOn w:val="1"/>
    <w:semiHidden/>
    <w:qFormat/>
    <w:uiPriority w:val="0"/>
    <w:pPr>
      <w:widowControl/>
      <w:spacing w:before="100" w:beforeAutospacing="1" w:after="100" w:afterAutospacing="1" w:line="360" w:lineRule="auto"/>
      <w:ind w:firstLine="200" w:firstLineChars="200"/>
      <w:jc w:val="left"/>
    </w:pPr>
    <w:rPr>
      <w:rFonts w:ascii="Arial Unicode MS" w:hAnsi="Arial Unicode MS" w:eastAsia="Arial Unicode MS" w:cs="Arial Unicode MS"/>
      <w:color w:val="000000"/>
      <w:kern w:val="0"/>
      <w:sz w:val="24"/>
    </w:rPr>
  </w:style>
  <w:style w:type="paragraph" w:customStyle="1" w:styleId="800">
    <w:name w:val="temp标题1"/>
    <w:basedOn w:val="4"/>
    <w:next w:val="4"/>
    <w:qFormat/>
    <w:uiPriority w:val="0"/>
    <w:pPr>
      <w:keepLines/>
      <w:spacing w:beforeLines="150" w:afterLines="50" w:line="360" w:lineRule="auto"/>
      <w:ind w:firstLine="200" w:firstLineChars="200"/>
    </w:pPr>
    <w:rPr>
      <w:rFonts w:ascii="Times New Roman" w:eastAsia="黑体"/>
      <w:kern w:val="0"/>
      <w:sz w:val="32"/>
      <w:szCs w:val="32"/>
      <w:lang w:val="zh-CN"/>
    </w:rPr>
  </w:style>
  <w:style w:type="paragraph" w:customStyle="1" w:styleId="801">
    <w:name w:val="temp标题2"/>
    <w:basedOn w:val="5"/>
    <w:next w:val="1"/>
    <w:qFormat/>
    <w:uiPriority w:val="0"/>
    <w:pPr>
      <w:adjustRightInd w:val="0"/>
      <w:spacing w:beforeLines="100" w:after="0" w:line="360" w:lineRule="auto"/>
      <w:ind w:firstLine="200" w:firstLineChars="200"/>
      <w:jc w:val="left"/>
    </w:pPr>
    <w:rPr>
      <w:rFonts w:ascii="Times New Roman" w:hAnsi="Times New Roman" w:eastAsia="楷体_GB2312"/>
      <w:kern w:val="0"/>
      <w:sz w:val="30"/>
      <w:szCs w:val="30"/>
      <w:lang w:val="zh-CN"/>
    </w:rPr>
  </w:style>
  <w:style w:type="paragraph" w:customStyle="1" w:styleId="802">
    <w:name w:val="temp标题3"/>
    <w:basedOn w:val="6"/>
    <w:qFormat/>
    <w:uiPriority w:val="0"/>
    <w:pPr>
      <w:spacing w:beforeLines="50" w:after="0" w:line="360" w:lineRule="auto"/>
      <w:ind w:firstLine="200" w:firstLineChars="200"/>
      <w:jc w:val="left"/>
    </w:pPr>
    <w:rPr>
      <w:rFonts w:eastAsia="楷体_GB2312"/>
      <w:b w:val="0"/>
      <w:kern w:val="0"/>
      <w:sz w:val="28"/>
      <w:szCs w:val="28"/>
    </w:rPr>
  </w:style>
  <w:style w:type="paragraph" w:customStyle="1" w:styleId="803">
    <w:name w:val="样式 temp标题1 + 段前: 0.5 行"/>
    <w:basedOn w:val="800"/>
    <w:qFormat/>
    <w:uiPriority w:val="0"/>
    <w:pPr>
      <w:spacing w:beforeLines="100"/>
    </w:pPr>
    <w:rPr>
      <w:rFonts w:cs="宋体"/>
      <w:bCs w:val="0"/>
      <w:szCs w:val="20"/>
    </w:rPr>
  </w:style>
  <w:style w:type="paragraph" w:customStyle="1" w:styleId="804">
    <w:name w:val="样式 Times New Roman 加粗 首行缩进:  2 字符 行距: 1.5 倍行距"/>
    <w:basedOn w:val="1"/>
    <w:qFormat/>
    <w:uiPriority w:val="0"/>
    <w:pPr>
      <w:spacing w:line="360" w:lineRule="auto"/>
      <w:ind w:firstLine="562" w:firstLineChars="200"/>
    </w:pPr>
    <w:rPr>
      <w:rFonts w:eastAsia="楷体_GB2312" w:cs="宋体"/>
      <w:bCs/>
      <w:sz w:val="28"/>
      <w:szCs w:val="20"/>
    </w:rPr>
  </w:style>
  <w:style w:type="paragraph" w:customStyle="1" w:styleId="805">
    <w:name w:val="页码1"/>
    <w:basedOn w:val="1"/>
    <w:next w:val="1"/>
    <w:qFormat/>
    <w:uiPriority w:val="0"/>
    <w:pPr>
      <w:widowControl/>
      <w:spacing w:line="360" w:lineRule="auto"/>
      <w:ind w:firstLine="200" w:firstLineChars="200"/>
    </w:pPr>
    <w:rPr>
      <w:color w:val="000000"/>
      <w:sz w:val="28"/>
      <w:szCs w:val="28"/>
    </w:rPr>
  </w:style>
  <w:style w:type="paragraph" w:customStyle="1" w:styleId="806">
    <w:name w:val="附图表"/>
    <w:basedOn w:val="1"/>
    <w:link w:val="807"/>
    <w:qFormat/>
    <w:uiPriority w:val="0"/>
    <w:pPr>
      <w:widowControl/>
      <w:spacing w:line="360" w:lineRule="auto"/>
      <w:ind w:firstLine="200" w:firstLineChars="200"/>
      <w:jc w:val="left"/>
      <w:outlineLvl w:val="4"/>
    </w:pPr>
    <w:rPr>
      <w:rFonts w:ascii="黑体" w:hAnsi="黑体" w:eastAsia="黑体"/>
      <w:color w:val="000000"/>
      <w:kern w:val="0"/>
      <w:sz w:val="28"/>
      <w:szCs w:val="30"/>
      <w:lang w:val="zh-CN"/>
    </w:rPr>
  </w:style>
  <w:style w:type="character" w:customStyle="1" w:styleId="807">
    <w:name w:val="附图表 Char"/>
    <w:link w:val="806"/>
    <w:qFormat/>
    <w:uiPriority w:val="0"/>
    <w:rPr>
      <w:rFonts w:ascii="黑体" w:hAnsi="黑体" w:eastAsia="黑体"/>
      <w:color w:val="000000"/>
      <w:sz w:val="28"/>
      <w:szCs w:val="30"/>
      <w:lang w:val="zh-CN"/>
    </w:rPr>
  </w:style>
  <w:style w:type="character" w:customStyle="1" w:styleId="808">
    <w:name w:val="Char Char7"/>
    <w:qFormat/>
    <w:uiPriority w:val="0"/>
    <w:rPr>
      <w:rFonts w:hAnsi="宋体" w:eastAsia="宋体"/>
      <w:kern w:val="2"/>
      <w:sz w:val="18"/>
      <w:szCs w:val="18"/>
      <w:lang w:val="zh-CN" w:eastAsia="zh-CN" w:bidi="ar-SA"/>
    </w:rPr>
  </w:style>
  <w:style w:type="character" w:customStyle="1" w:styleId="809">
    <w:name w:val="content1"/>
    <w:qFormat/>
    <w:uiPriority w:val="0"/>
    <w:rPr>
      <w:sz w:val="22"/>
      <w:szCs w:val="22"/>
    </w:rPr>
  </w:style>
  <w:style w:type="character" w:customStyle="1" w:styleId="810">
    <w:name w:val="表头 Char"/>
    <w:link w:val="768"/>
    <w:qFormat/>
    <w:uiPriority w:val="0"/>
    <w:rPr>
      <w:b/>
      <w:kern w:val="2"/>
      <w:sz w:val="28"/>
    </w:rPr>
  </w:style>
  <w:style w:type="character" w:customStyle="1" w:styleId="811">
    <w:name w:val="表格文本 Char"/>
    <w:link w:val="749"/>
    <w:qFormat/>
    <w:uiPriority w:val="0"/>
    <w:rPr>
      <w:color w:val="000000"/>
      <w:sz w:val="24"/>
      <w:szCs w:val="21"/>
    </w:rPr>
  </w:style>
  <w:style w:type="character" w:customStyle="1" w:styleId="812">
    <w:name w:val="批注主题 Char1"/>
    <w:basedOn w:val="115"/>
    <w:semiHidden/>
    <w:qFormat/>
    <w:uiPriority w:val="99"/>
    <w:rPr>
      <w:rFonts w:ascii="Calibri" w:hAnsi="Calibri" w:eastAsia="仿宋" w:cs="Times New Roman"/>
      <w:b/>
      <w:bCs/>
      <w:kern w:val="2"/>
      <w:sz w:val="28"/>
      <w:szCs w:val="22"/>
    </w:rPr>
  </w:style>
  <w:style w:type="paragraph" w:customStyle="1" w:styleId="813">
    <w:name w:val="正文5"/>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814">
    <w:name w:val="纯文本2"/>
    <w:basedOn w:val="813"/>
    <w:qFormat/>
    <w:uiPriority w:val="0"/>
    <w:pPr>
      <w:widowControl/>
      <w:jc w:val="left"/>
    </w:pPr>
    <w:rPr>
      <w:rFonts w:ascii="宋体" w:hAnsi="Courier New"/>
    </w:rPr>
  </w:style>
  <w:style w:type="paragraph" w:customStyle="1" w:styleId="815">
    <w:name w:val="二级无"/>
    <w:basedOn w:val="429"/>
    <w:qFormat/>
    <w:uiPriority w:val="0"/>
    <w:pPr>
      <w:ind w:left="735"/>
    </w:pPr>
    <w:rPr>
      <w:rFonts w:ascii="宋体" w:hAnsi="Calibri" w:eastAsia="宋体" w:cs="Times New Roman"/>
      <w:szCs w:val="21"/>
    </w:rPr>
  </w:style>
  <w:style w:type="paragraph" w:customStyle="1" w:styleId="816">
    <w:name w:val="正文缩进2格"/>
    <w:basedOn w:val="1"/>
    <w:qFormat/>
    <w:uiPriority w:val="0"/>
    <w:pPr>
      <w:spacing w:line="600" w:lineRule="exact"/>
      <w:ind w:firstLine="639" w:firstLineChars="206"/>
    </w:pPr>
    <w:rPr>
      <w:rFonts w:ascii="仿宋_GB2312" w:hAnsi="宋体" w:eastAsia="仿宋_GB2312"/>
      <w:sz w:val="31"/>
      <w:szCs w:val="28"/>
    </w:rPr>
  </w:style>
  <w:style w:type="character" w:customStyle="1" w:styleId="817">
    <w:name w:val="area_1"/>
    <w:qFormat/>
    <w:uiPriority w:val="0"/>
    <w:rPr>
      <w:rFonts w:ascii="宋体" w:hAnsi="宋体"/>
      <w:sz w:val="24"/>
    </w:rPr>
  </w:style>
  <w:style w:type="paragraph" w:customStyle="1" w:styleId="818">
    <w:name w:val="Normal Indent"/>
    <w:basedOn w:val="1"/>
    <w:qFormat/>
    <w:uiPriority w:val="0"/>
    <w:pPr>
      <w:widowControl/>
      <w:ind w:firstLine="420" w:firstLineChars="200"/>
    </w:pPr>
    <w:rPr>
      <w:szCs w:val="24"/>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2.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header" Target="header2.xml"/><Relationship Id="rId89" Type="http://schemas.openxmlformats.org/officeDocument/2006/relationships/image" Target="media/image77.jpe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jpeg"/><Relationship Id="rId85" Type="http://schemas.openxmlformats.org/officeDocument/2006/relationships/image" Target="media/image73.jpeg"/><Relationship Id="rId84" Type="http://schemas.openxmlformats.org/officeDocument/2006/relationships/image" Target="media/image72.png"/><Relationship Id="rId83" Type="http://schemas.openxmlformats.org/officeDocument/2006/relationships/image" Target="media/image71.jpe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jpeg"/><Relationship Id="rId8" Type="http://schemas.openxmlformats.org/officeDocument/2006/relationships/footer" Target="footer5.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jpeg"/><Relationship Id="rId76" Type="http://schemas.openxmlformats.org/officeDocument/2006/relationships/image" Target="media/image64.jpe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jpe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4.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jpe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jpe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3.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jpeg"/><Relationship Id="rId47" Type="http://schemas.openxmlformats.org/officeDocument/2006/relationships/image" Target="media/image35.png"/><Relationship Id="rId46" Type="http://schemas.openxmlformats.org/officeDocument/2006/relationships/image" Target="media/image34.emf"/><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jpeg"/><Relationship Id="rId42" Type="http://schemas.openxmlformats.org/officeDocument/2006/relationships/image" Target="media/image30.png"/><Relationship Id="rId41" Type="http://schemas.openxmlformats.org/officeDocument/2006/relationships/image" Target="media/image29.jpe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jpe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F77225-142F-46AC-A367-C77C4358C1A0}">
  <ds:schemaRefs/>
</ds:datastoreItem>
</file>

<file path=docProps/app.xml><?xml version="1.0" encoding="utf-8"?>
<Properties xmlns="http://schemas.openxmlformats.org/officeDocument/2006/extended-properties" xmlns:vt="http://schemas.openxmlformats.org/officeDocument/2006/docPropsVTypes">
  <Template>Normal</Template>
  <Pages>58</Pages>
  <Words>6345</Words>
  <Characters>36168</Characters>
  <Lines>301</Lines>
  <Paragraphs>84</Paragraphs>
  <TotalTime>5</TotalTime>
  <ScaleCrop>false</ScaleCrop>
  <LinksUpToDate>false</LinksUpToDate>
  <CharactersWithSpaces>42429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2021-04-25T01:46:00Z</dcterms:created>
  <dc:creator>LCMZX</dc:creator>
  <cp:lastModifiedBy>吴秉泽</cp:lastModifiedBy>
  <cp:lastPrinted>2019-02-13T08:52:00Z</cp:lastPrinted>
  <dcterms:modified xsi:type="dcterms:W3CDTF">2021-08-19T08:06:27Z</dcterms:modified>
  <dc:title>温州市政府采购</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A8F359E5ABA14EC3B8C43A7C16152437</vt:lpwstr>
  </property>
</Properties>
</file>