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00" w:lineRule="atLeast"/>
        <w:jc w:val="center"/>
        <w:textAlignment w:val="bottom"/>
        <w:rPr>
          <w:rFonts w:hint="eastAsia" w:ascii="宋体" w:hAnsi="宋体" w:eastAsia="宋体" w:cs="宋体"/>
          <w:b/>
          <w:bCs/>
          <w:color w:val="auto"/>
          <w:spacing w:val="120"/>
          <w:sz w:val="72"/>
          <w:szCs w:val="72"/>
          <w:highlight w:val="none"/>
        </w:rPr>
      </w:pPr>
    </w:p>
    <w:p>
      <w:pPr>
        <w:autoSpaceDE w:val="0"/>
        <w:autoSpaceDN w:val="0"/>
        <w:spacing w:line="500" w:lineRule="atLeast"/>
        <w:jc w:val="distribute"/>
        <w:textAlignment w:val="bottom"/>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温州市</w:t>
      </w:r>
      <w:r>
        <w:rPr>
          <w:rFonts w:hint="eastAsia" w:ascii="宋体" w:hAnsi="宋体"/>
          <w:b/>
          <w:bCs/>
          <w:color w:val="auto"/>
          <w:spacing w:val="30"/>
          <w:sz w:val="72"/>
          <w:szCs w:val="72"/>
          <w:highlight w:val="none"/>
        </w:rPr>
        <w:t>瓯海区</w:t>
      </w:r>
      <w:r>
        <w:rPr>
          <w:rFonts w:hint="eastAsia" w:ascii="宋体" w:hAnsi="宋体" w:eastAsia="宋体" w:cs="宋体"/>
          <w:b/>
          <w:bCs/>
          <w:color w:val="auto"/>
          <w:sz w:val="72"/>
          <w:szCs w:val="72"/>
          <w:highlight w:val="none"/>
        </w:rPr>
        <w:t>政府采购</w:t>
      </w:r>
    </w:p>
    <w:p>
      <w:pPr>
        <w:spacing w:line="400" w:lineRule="atLeast"/>
        <w:rPr>
          <w:rFonts w:hint="eastAsia" w:ascii="宋体" w:hAnsi="宋体" w:eastAsia="宋体" w:cs="宋体"/>
          <w:b/>
          <w:color w:val="auto"/>
          <w:sz w:val="52"/>
          <w:highlight w:val="none"/>
        </w:rPr>
      </w:pPr>
    </w:p>
    <w:p>
      <w:pPr>
        <w:spacing w:line="400" w:lineRule="atLeast"/>
        <w:jc w:val="center"/>
        <w:rPr>
          <w:rFonts w:hint="eastAsia" w:ascii="宋体" w:hAnsi="宋体" w:eastAsia="宋体" w:cs="宋体"/>
          <w:b/>
          <w:color w:val="auto"/>
          <w:sz w:val="52"/>
          <w:highlight w:val="none"/>
        </w:rPr>
      </w:pPr>
    </w:p>
    <w:p>
      <w:pPr>
        <w:spacing w:line="400" w:lineRule="atLeast"/>
        <w:jc w:val="center"/>
        <w:rPr>
          <w:rFonts w:hint="eastAsia" w:ascii="宋体" w:hAnsi="宋体" w:eastAsia="宋体" w:cs="宋体"/>
          <w:b/>
          <w:color w:val="auto"/>
          <w:sz w:val="52"/>
          <w:highlight w:val="none"/>
        </w:rPr>
      </w:pPr>
    </w:p>
    <w:p>
      <w:pPr>
        <w:spacing w:line="400" w:lineRule="atLeast"/>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竞争性磋商文件</w:t>
      </w:r>
    </w:p>
    <w:p>
      <w:pPr>
        <w:spacing w:line="400" w:lineRule="atLeast"/>
        <w:jc w:val="center"/>
        <w:rPr>
          <w:rFonts w:hint="eastAsia" w:ascii="宋体" w:hAnsi="宋体" w:eastAsia="宋体" w:cs="宋体"/>
          <w:b/>
          <w:color w:val="auto"/>
          <w:sz w:val="32"/>
          <w:highlight w:val="none"/>
        </w:rPr>
      </w:pPr>
    </w:p>
    <w:p>
      <w:pPr>
        <w:spacing w:line="400" w:lineRule="exact"/>
        <w:jc w:val="center"/>
        <w:rPr>
          <w:rFonts w:hint="eastAsia" w:ascii="宋体" w:hAnsi="宋体" w:eastAsia="宋体" w:cs="宋体"/>
          <w:b/>
          <w:bCs/>
          <w:color w:val="auto"/>
          <w:sz w:val="32"/>
          <w:szCs w:val="32"/>
          <w:highlight w:val="none"/>
        </w:rPr>
      </w:pPr>
    </w:p>
    <w:p>
      <w:pPr>
        <w:tabs>
          <w:tab w:val="left" w:pos="2850"/>
        </w:tabs>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ab/>
      </w:r>
    </w:p>
    <w:p>
      <w:pPr>
        <w:jc w:val="center"/>
        <w:rPr>
          <w:rFonts w:hint="eastAsia" w:ascii="宋体" w:hAnsi="宋体" w:eastAsia="宋体" w:cs="宋体"/>
          <w:b/>
          <w:bCs/>
          <w:color w:val="auto"/>
          <w:sz w:val="24"/>
          <w:highlight w:val="none"/>
        </w:rPr>
      </w:pPr>
    </w:p>
    <w:p>
      <w:pPr>
        <w:jc w:val="center"/>
        <w:rPr>
          <w:rFonts w:hint="eastAsia" w:ascii="宋体" w:hAnsi="宋体" w:eastAsia="宋体" w:cs="宋体"/>
          <w:b/>
          <w:bCs/>
          <w:color w:val="auto"/>
          <w:sz w:val="24"/>
          <w:highlight w:val="none"/>
        </w:rPr>
      </w:pPr>
    </w:p>
    <w:p>
      <w:pPr>
        <w:jc w:val="center"/>
        <w:rPr>
          <w:rFonts w:hint="eastAsia" w:ascii="宋体" w:hAnsi="宋体" w:eastAsia="宋体" w:cs="宋体"/>
          <w:b/>
          <w:bCs/>
          <w:color w:val="auto"/>
          <w:sz w:val="24"/>
          <w:highlight w:val="none"/>
        </w:rPr>
      </w:pPr>
    </w:p>
    <w:p>
      <w:pPr>
        <w:tabs>
          <w:tab w:val="left" w:pos="4860"/>
        </w:tabs>
        <w:spacing w:line="600" w:lineRule="exact"/>
        <w:ind w:right="1143" w:firstLine="1841" w:firstLineChars="483"/>
        <w:jc w:val="left"/>
        <w:rPr>
          <w:rFonts w:hint="eastAsia" w:ascii="宋体" w:hAnsi="宋体" w:eastAsia="宋体" w:cs="宋体"/>
          <w:b/>
          <w:color w:val="auto"/>
          <w:sz w:val="30"/>
          <w:szCs w:val="30"/>
          <w:highlight w:val="none"/>
          <w:lang w:eastAsia="zh-CN"/>
        </w:rPr>
      </w:pPr>
      <w:r>
        <w:rPr>
          <w:rFonts w:hint="eastAsia" w:ascii="宋体" w:hAnsi="宋体" w:eastAsia="宋体" w:cs="宋体"/>
          <w:b/>
          <w:color w:val="auto"/>
          <w:spacing w:val="40"/>
          <w:sz w:val="30"/>
          <w:szCs w:val="30"/>
          <w:highlight w:val="none"/>
        </w:rPr>
        <w:t>采购编号</w:t>
      </w: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lang w:eastAsia="zh-CN"/>
        </w:rPr>
        <w:t>ZZGC-ZBCG-202405</w:t>
      </w:r>
    </w:p>
    <w:p>
      <w:pPr>
        <w:tabs>
          <w:tab w:val="left" w:pos="4253"/>
        </w:tabs>
        <w:spacing w:line="600" w:lineRule="exact"/>
        <w:ind w:left="3683" w:leftChars="868" w:right="-1" w:hanging="1860" w:hangingChars="488"/>
        <w:jc w:val="left"/>
        <w:rPr>
          <w:rFonts w:hint="eastAsia" w:ascii="宋体" w:hAnsi="宋体" w:eastAsia="宋体" w:cs="宋体"/>
          <w:b/>
          <w:color w:val="auto"/>
          <w:sz w:val="30"/>
          <w:szCs w:val="30"/>
          <w:highlight w:val="none"/>
          <w:lang w:eastAsia="zh-CN"/>
        </w:rPr>
      </w:pPr>
      <w:r>
        <w:rPr>
          <w:rFonts w:hint="eastAsia" w:ascii="宋体" w:hAnsi="宋体" w:eastAsia="宋体" w:cs="宋体"/>
          <w:b/>
          <w:color w:val="auto"/>
          <w:spacing w:val="40"/>
          <w:sz w:val="30"/>
          <w:szCs w:val="30"/>
          <w:highlight w:val="none"/>
        </w:rPr>
        <w:t>项目名称</w:t>
      </w: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lang w:eastAsia="zh-CN"/>
        </w:rPr>
        <w:t>2024年茶山街道机关食堂外包运营服务</w:t>
      </w:r>
    </w:p>
    <w:p>
      <w:pPr>
        <w:tabs>
          <w:tab w:val="left" w:pos="4253"/>
        </w:tabs>
        <w:spacing w:line="600" w:lineRule="exact"/>
        <w:ind w:left="1823" w:leftChars="868" w:right="1143"/>
        <w:jc w:val="left"/>
        <w:rPr>
          <w:rFonts w:hint="eastAsia" w:ascii="宋体" w:hAnsi="宋体" w:eastAsia="宋体" w:cs="宋体"/>
          <w:b/>
          <w:color w:val="auto"/>
          <w:spacing w:val="40"/>
          <w:sz w:val="30"/>
          <w:szCs w:val="30"/>
          <w:highlight w:val="none"/>
        </w:rPr>
      </w:pPr>
      <w:r>
        <w:rPr>
          <w:rFonts w:hint="eastAsia" w:ascii="宋体" w:hAnsi="宋体" w:eastAsia="宋体" w:cs="宋体"/>
          <w:b/>
          <w:color w:val="auto"/>
          <w:spacing w:val="40"/>
          <w:sz w:val="30"/>
          <w:szCs w:val="30"/>
          <w:highlight w:val="none"/>
        </w:rPr>
        <w:t>采购方式</w:t>
      </w:r>
      <w:r>
        <w:rPr>
          <w:rFonts w:hint="eastAsia" w:ascii="宋体" w:hAnsi="宋体" w:eastAsia="宋体" w:cs="宋体"/>
          <w:b/>
          <w:color w:val="auto"/>
          <w:sz w:val="30"/>
          <w:szCs w:val="30"/>
          <w:highlight w:val="none"/>
        </w:rPr>
        <w:t>：竞 争 性 磋 商</w:t>
      </w:r>
    </w:p>
    <w:p>
      <w:pPr>
        <w:jc w:val="center"/>
        <w:rPr>
          <w:rFonts w:hint="eastAsia" w:ascii="宋体" w:hAnsi="宋体" w:eastAsia="宋体" w:cs="宋体"/>
          <w:b/>
          <w:bCs/>
          <w:color w:val="auto"/>
          <w:sz w:val="24"/>
          <w:highlight w:val="none"/>
        </w:rPr>
      </w:pPr>
    </w:p>
    <w:p>
      <w:pPr>
        <w:jc w:val="center"/>
        <w:rPr>
          <w:rFonts w:hint="eastAsia" w:ascii="宋体" w:hAnsi="宋体" w:eastAsia="宋体" w:cs="宋体"/>
          <w:b/>
          <w:bCs/>
          <w:color w:val="auto"/>
          <w:sz w:val="24"/>
          <w:highlight w:val="none"/>
        </w:rPr>
      </w:pPr>
    </w:p>
    <w:p>
      <w:pPr>
        <w:widowControl/>
        <w:spacing w:before="60" w:after="60" w:line="360" w:lineRule="exact"/>
        <w:ind w:right="60"/>
        <w:jc w:val="left"/>
        <w:rPr>
          <w:rFonts w:hint="eastAsia" w:ascii="宋体" w:hAnsi="宋体" w:eastAsia="宋体" w:cs="宋体"/>
          <w:b/>
          <w:bCs/>
          <w:color w:val="auto"/>
          <w:sz w:val="24"/>
          <w:highlight w:val="none"/>
        </w:rPr>
      </w:pPr>
    </w:p>
    <w:p>
      <w:pPr>
        <w:jc w:val="center"/>
        <w:rPr>
          <w:rFonts w:hint="eastAsia" w:ascii="宋体" w:hAnsi="宋体" w:eastAsia="宋体" w:cs="宋体"/>
          <w:b/>
          <w:bCs/>
          <w:color w:val="auto"/>
          <w:sz w:val="24"/>
          <w:highlight w:val="none"/>
        </w:rPr>
      </w:pPr>
    </w:p>
    <w:p>
      <w:pPr>
        <w:jc w:val="center"/>
        <w:rPr>
          <w:rFonts w:hint="eastAsia" w:ascii="宋体" w:hAnsi="宋体" w:eastAsia="宋体" w:cs="宋体"/>
          <w:b/>
          <w:bCs/>
          <w:color w:val="auto"/>
          <w:sz w:val="24"/>
          <w:highlight w:val="none"/>
        </w:rPr>
      </w:pPr>
    </w:p>
    <w:p>
      <w:pPr>
        <w:tabs>
          <w:tab w:val="left" w:pos="5640"/>
        </w:tabs>
        <w:jc w:val="center"/>
        <w:rPr>
          <w:rFonts w:hint="eastAsia" w:ascii="宋体" w:hAnsi="宋体" w:eastAsia="宋体" w:cs="宋体"/>
          <w:b/>
          <w:bCs/>
          <w:color w:val="auto"/>
          <w:sz w:val="24"/>
          <w:highlight w:val="none"/>
        </w:rPr>
      </w:pPr>
    </w:p>
    <w:p>
      <w:pPr>
        <w:tabs>
          <w:tab w:val="left" w:pos="5640"/>
        </w:tabs>
        <w:jc w:val="center"/>
        <w:rPr>
          <w:rFonts w:hint="eastAsia" w:ascii="宋体" w:hAnsi="宋体" w:eastAsia="宋体" w:cs="宋体"/>
          <w:b/>
          <w:bCs/>
          <w:color w:val="auto"/>
          <w:sz w:val="24"/>
          <w:highlight w:val="none"/>
        </w:rPr>
      </w:pPr>
    </w:p>
    <w:p>
      <w:pPr>
        <w:spacing w:line="600" w:lineRule="exact"/>
        <w:ind w:firstLine="1440" w:firstLineChars="478"/>
        <w:rPr>
          <w:rFonts w:hint="eastAsia" w:ascii="宋体" w:hAnsi="宋体" w:eastAsia="宋体" w:cs="宋体"/>
          <w:b/>
          <w:color w:val="auto"/>
          <w:spacing w:val="40"/>
          <w:sz w:val="30"/>
          <w:szCs w:val="30"/>
          <w:highlight w:val="none"/>
          <w:lang w:eastAsia="zh-CN"/>
        </w:rPr>
      </w:pPr>
      <w:r>
        <w:rPr>
          <w:rFonts w:hint="eastAsia" w:ascii="宋体" w:hAnsi="宋体" w:eastAsia="宋体" w:cs="宋体"/>
          <w:b/>
          <w:color w:val="auto"/>
          <w:sz w:val="30"/>
          <w:szCs w:val="30"/>
          <w:highlight w:val="none"/>
        </w:rPr>
        <w:t>采  购  人：</w:t>
      </w:r>
      <w:r>
        <w:rPr>
          <w:rFonts w:hint="eastAsia" w:ascii="宋体" w:hAnsi="宋体" w:cs="宋体"/>
          <w:b/>
          <w:color w:val="auto"/>
          <w:spacing w:val="12"/>
          <w:sz w:val="30"/>
          <w:szCs w:val="30"/>
          <w:highlight w:val="none"/>
          <w:lang w:eastAsia="zh-CN"/>
        </w:rPr>
        <w:t>温州市瓯海区人民政府茶山街道办事处</w:t>
      </w:r>
    </w:p>
    <w:p>
      <w:pPr>
        <w:spacing w:line="600" w:lineRule="exact"/>
        <w:ind w:firstLine="1437" w:firstLineChars="377"/>
        <w:rPr>
          <w:rFonts w:hint="eastAsia" w:ascii="宋体" w:hAnsi="宋体" w:eastAsia="宋体" w:cs="宋体"/>
          <w:b/>
          <w:color w:val="auto"/>
          <w:spacing w:val="12"/>
          <w:sz w:val="30"/>
          <w:szCs w:val="30"/>
          <w:highlight w:val="none"/>
          <w:lang w:eastAsia="zh-CN"/>
        </w:rPr>
      </w:pPr>
      <w:r>
        <w:rPr>
          <w:rFonts w:hint="eastAsia" w:ascii="宋体" w:hAnsi="宋体" w:eastAsia="宋体" w:cs="宋体"/>
          <w:b/>
          <w:color w:val="auto"/>
          <w:spacing w:val="40"/>
          <w:sz w:val="30"/>
          <w:szCs w:val="30"/>
          <w:highlight w:val="none"/>
        </w:rPr>
        <w:t>采购代理</w:t>
      </w:r>
      <w:r>
        <w:rPr>
          <w:rFonts w:hint="eastAsia" w:ascii="宋体" w:hAnsi="宋体" w:eastAsia="宋体" w:cs="宋体"/>
          <w:b/>
          <w:color w:val="auto"/>
          <w:sz w:val="30"/>
          <w:szCs w:val="30"/>
          <w:highlight w:val="none"/>
        </w:rPr>
        <w:t>：</w:t>
      </w:r>
      <w:r>
        <w:rPr>
          <w:rFonts w:hint="eastAsia" w:ascii="宋体" w:hAnsi="宋体" w:cs="宋体"/>
          <w:b/>
          <w:color w:val="auto"/>
          <w:spacing w:val="12"/>
          <w:sz w:val="30"/>
          <w:szCs w:val="30"/>
          <w:highlight w:val="none"/>
          <w:lang w:eastAsia="zh-CN"/>
        </w:rPr>
        <w:t>温州中致工程项目管理有限公司</w:t>
      </w:r>
    </w:p>
    <w:p>
      <w:pPr>
        <w:spacing w:line="600" w:lineRule="exact"/>
        <w:jc w:val="center"/>
        <w:rPr>
          <w:rFonts w:hint="eastAsia" w:ascii="宋体" w:hAnsi="宋体" w:eastAsia="宋体" w:cs="宋体"/>
          <w:b/>
          <w:color w:val="auto"/>
          <w:spacing w:val="40"/>
          <w:sz w:val="30"/>
          <w:szCs w:val="30"/>
          <w:highlight w:val="none"/>
        </w:rPr>
      </w:pPr>
    </w:p>
    <w:p>
      <w:pPr>
        <w:spacing w:line="600" w:lineRule="exact"/>
        <w:jc w:val="center"/>
        <w:rPr>
          <w:rFonts w:hint="eastAsia" w:ascii="宋体" w:hAnsi="宋体" w:eastAsia="宋体" w:cs="宋体"/>
          <w:b/>
          <w:color w:val="auto"/>
          <w:spacing w:val="40"/>
          <w:sz w:val="30"/>
          <w:szCs w:val="30"/>
          <w:highlight w:val="none"/>
        </w:rPr>
      </w:pPr>
      <w:r>
        <w:rPr>
          <w:rFonts w:hint="eastAsia" w:ascii="宋体" w:hAnsi="宋体" w:eastAsia="宋体" w:cs="宋体"/>
          <w:b/>
          <w:color w:val="auto"/>
          <w:spacing w:val="40"/>
          <w:sz w:val="30"/>
          <w:szCs w:val="30"/>
          <w:highlight w:val="none"/>
        </w:rPr>
        <w:t>二〇二</w:t>
      </w:r>
      <w:r>
        <w:rPr>
          <w:rFonts w:hint="eastAsia" w:ascii="宋体" w:hAnsi="宋体" w:cs="宋体"/>
          <w:b/>
          <w:color w:val="auto"/>
          <w:spacing w:val="40"/>
          <w:sz w:val="30"/>
          <w:szCs w:val="30"/>
          <w:highlight w:val="none"/>
          <w:lang w:val="en-US" w:eastAsia="zh-CN"/>
        </w:rPr>
        <w:t>四</w:t>
      </w:r>
      <w:r>
        <w:rPr>
          <w:rFonts w:hint="eastAsia" w:ascii="宋体" w:hAnsi="宋体" w:eastAsia="宋体" w:cs="宋体"/>
          <w:b/>
          <w:color w:val="auto"/>
          <w:spacing w:val="40"/>
          <w:sz w:val="30"/>
          <w:szCs w:val="30"/>
          <w:highlight w:val="none"/>
        </w:rPr>
        <w:t>年</w:t>
      </w:r>
      <w:r>
        <w:rPr>
          <w:rFonts w:hint="eastAsia" w:ascii="宋体" w:hAnsi="宋体" w:cs="宋体"/>
          <w:b/>
          <w:color w:val="auto"/>
          <w:spacing w:val="40"/>
          <w:sz w:val="30"/>
          <w:szCs w:val="30"/>
          <w:highlight w:val="none"/>
          <w:lang w:val="en-US" w:eastAsia="zh-CN"/>
        </w:rPr>
        <w:t>四</w:t>
      </w:r>
      <w:r>
        <w:rPr>
          <w:rFonts w:hint="eastAsia" w:ascii="宋体" w:hAnsi="宋体" w:eastAsia="宋体" w:cs="宋体"/>
          <w:b/>
          <w:color w:val="auto"/>
          <w:spacing w:val="40"/>
          <w:sz w:val="30"/>
          <w:szCs w:val="30"/>
          <w:highlight w:val="none"/>
        </w:rPr>
        <w:t>月</w:t>
      </w:r>
    </w:p>
    <w:p>
      <w:pPr>
        <w:spacing w:line="600" w:lineRule="exact"/>
        <w:jc w:val="center"/>
        <w:rPr>
          <w:rFonts w:hint="eastAsia" w:ascii="宋体" w:hAnsi="宋体" w:eastAsia="宋体" w:cs="宋体"/>
          <w:b/>
          <w:bCs/>
          <w:color w:val="auto"/>
          <w:sz w:val="36"/>
          <w:szCs w:val="36"/>
          <w:highlight w:val="none"/>
        </w:rPr>
        <w:sectPr>
          <w:footerReference r:id="rId7" w:type="first"/>
          <w:headerReference r:id="rId3" w:type="default"/>
          <w:footerReference r:id="rId5" w:type="default"/>
          <w:headerReference r:id="rId4" w:type="even"/>
          <w:footerReference r:id="rId6" w:type="even"/>
          <w:pgSz w:w="11906" w:h="16838"/>
          <w:pgMar w:top="1134" w:right="1134" w:bottom="1134" w:left="1134" w:header="851" w:footer="992" w:gutter="0"/>
          <w:pgNumType w:fmt="decimal"/>
          <w:cols w:space="720" w:num="1"/>
          <w:titlePg/>
          <w:docGrid w:linePitch="312" w:charSpace="0"/>
        </w:sectPr>
      </w:pPr>
    </w:p>
    <w:p>
      <w:pPr>
        <w:spacing w:line="60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pPr>
        <w:spacing w:line="600" w:lineRule="exact"/>
        <w:jc w:val="center"/>
        <w:rPr>
          <w:rFonts w:hint="eastAsia" w:ascii="宋体" w:hAnsi="宋体" w:eastAsia="宋体" w:cs="宋体"/>
          <w:b/>
          <w:bCs/>
          <w:color w:val="auto"/>
          <w:sz w:val="32"/>
          <w:szCs w:val="32"/>
          <w:highlight w:val="none"/>
        </w:rPr>
      </w:pPr>
    </w:p>
    <w:p>
      <w:pPr>
        <w:pStyle w:val="27"/>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b/>
          <w:bCs w:val="0"/>
          <w:color w:val="auto"/>
          <w:sz w:val="22"/>
          <w:szCs w:val="22"/>
          <w:highlight w:val="none"/>
        </w:rPr>
        <w:fldChar w:fldCharType="begin"/>
      </w:r>
      <w:r>
        <w:rPr>
          <w:rFonts w:hint="eastAsia" w:ascii="宋体" w:hAnsi="宋体" w:eastAsia="宋体" w:cs="宋体"/>
          <w:b/>
          <w:bCs w:val="0"/>
          <w:color w:val="auto"/>
          <w:sz w:val="22"/>
          <w:szCs w:val="22"/>
          <w:highlight w:val="none"/>
        </w:rPr>
        <w:instrText xml:space="preserve"> TOC \o "1-3" \h \z \u </w:instrText>
      </w:r>
      <w:r>
        <w:rPr>
          <w:rFonts w:hint="eastAsia" w:ascii="宋体" w:hAnsi="宋体" w:eastAsia="宋体" w:cs="宋体"/>
          <w:b/>
          <w:bCs w:val="0"/>
          <w:color w:val="auto"/>
          <w:sz w:val="22"/>
          <w:szCs w:val="22"/>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"_Toc17034"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lang w:eastAsia="zh-CN"/>
        </w:rPr>
        <w:t>温州中致工程项目管理有限公司</w:t>
      </w:r>
      <w:r>
        <w:rPr>
          <w:rFonts w:hint="eastAsia" w:ascii="宋体" w:hAnsi="宋体" w:eastAsia="宋体" w:cs="宋体"/>
          <w:color w:val="auto"/>
          <w:sz w:val="22"/>
          <w:szCs w:val="22"/>
          <w:highlight w:val="none"/>
        </w:rPr>
        <w:t>关于</w:t>
      </w:r>
      <w:r>
        <w:rPr>
          <w:rFonts w:hint="eastAsia" w:ascii="宋体" w:hAnsi="宋体" w:eastAsia="宋体" w:cs="宋体"/>
          <w:color w:val="auto"/>
          <w:sz w:val="22"/>
          <w:szCs w:val="22"/>
          <w:highlight w:val="none"/>
          <w:lang w:eastAsia="zh-CN"/>
        </w:rPr>
        <w:t>2024年茶山街道机关食堂外包运营服务</w:t>
      </w:r>
      <w:r>
        <w:rPr>
          <w:rFonts w:hint="eastAsia" w:ascii="宋体" w:hAnsi="宋体" w:eastAsia="宋体" w:cs="宋体"/>
          <w:color w:val="auto"/>
          <w:sz w:val="22"/>
          <w:szCs w:val="22"/>
          <w:highlight w:val="none"/>
        </w:rPr>
        <w:t>的竞争性磋商公告</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_Toc17034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pPr>
        <w:pStyle w:val="27"/>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"_Toc26377"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第一部分    供应商须知</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_Toc26377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6</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pPr>
        <w:pStyle w:val="27"/>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"_Toc18758"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一、  供应商须知前附表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_Toc18758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6</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pPr>
        <w:pStyle w:val="27"/>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"_Toc12369"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二、说明</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_Toc12369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11</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pPr>
        <w:pStyle w:val="27"/>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"_Toc6942"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三、 磋商文件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_Toc6942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12</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pPr>
        <w:pStyle w:val="27"/>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"_Toc24411"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四、 磋商响应文件的编制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_Toc24411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12</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pPr>
        <w:pStyle w:val="27"/>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"_Toc5988"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五、 磋商响应文件的递交</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_Toc5988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15</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pPr>
        <w:pStyle w:val="27"/>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"_Toc26870"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六、 磋商和评审</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_Toc26870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16</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pPr>
        <w:pStyle w:val="27"/>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"_Toc12141"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七、定标及授予合同</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_Toc12141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19</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pPr>
        <w:pStyle w:val="27"/>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"_Toc29173"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第二部分   采购内容及要求</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_Toc29173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22</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pPr>
        <w:pStyle w:val="27"/>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"_Toc21056"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第三部分   磋商原则及方法</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_Toc21056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22</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pPr>
        <w:pStyle w:val="27"/>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"_Toc4830"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第四部分   合同格式</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_Toc4830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39</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pPr>
        <w:pStyle w:val="27"/>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"_Toc27250"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第五部分   附件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_Toc27250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53</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pPr>
        <w:tabs>
          <w:tab w:val="left" w:pos="7110"/>
        </w:tabs>
        <w:spacing w:line="480" w:lineRule="auto"/>
        <w:rPr>
          <w:rFonts w:hint="eastAsia" w:ascii="宋体" w:hAnsi="宋体" w:eastAsia="宋体" w:cs="宋体"/>
          <w:b/>
          <w:bCs/>
          <w:color w:val="auto"/>
          <w:sz w:val="13"/>
          <w:szCs w:val="13"/>
          <w:highlight w:val="none"/>
        </w:rPr>
      </w:pPr>
      <w:r>
        <w:rPr>
          <w:rFonts w:hint="eastAsia" w:ascii="宋体" w:hAnsi="宋体" w:eastAsia="宋体" w:cs="宋体"/>
          <w:bCs/>
          <w:color w:val="auto"/>
          <w:sz w:val="22"/>
          <w:szCs w:val="22"/>
          <w:highlight w:val="none"/>
        </w:rPr>
        <w:fldChar w:fldCharType="end"/>
      </w:r>
      <w:r>
        <w:rPr>
          <w:rFonts w:hint="eastAsia" w:ascii="宋体" w:hAnsi="宋体" w:eastAsia="宋体" w:cs="宋体"/>
          <w:b/>
          <w:bCs/>
          <w:color w:val="auto"/>
          <w:sz w:val="13"/>
          <w:szCs w:val="13"/>
          <w:highlight w:val="none"/>
        </w:rPr>
        <w:tab/>
      </w:r>
    </w:p>
    <w:p>
      <w:pPr>
        <w:tabs>
          <w:tab w:val="left" w:pos="7110"/>
        </w:tabs>
        <w:spacing w:line="48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注：磋商文件中部分</w:t>
      </w:r>
      <w:r>
        <w:rPr>
          <w:rFonts w:hint="eastAsia" w:ascii="宋体" w:hAnsi="宋体" w:eastAsia="宋体" w:cs="宋体"/>
          <w:b/>
          <w:bCs/>
          <w:color w:val="auto"/>
          <w:szCs w:val="21"/>
          <w:highlight w:val="none"/>
        </w:rPr>
        <w:t>加“▲”且</w:t>
      </w:r>
      <w:r>
        <w:rPr>
          <w:rFonts w:hint="eastAsia" w:ascii="宋体" w:hAnsi="宋体" w:eastAsia="宋体" w:cs="宋体"/>
          <w:b/>
          <w:bCs/>
          <w:color w:val="auto"/>
          <w:sz w:val="22"/>
          <w:szCs w:val="22"/>
          <w:highlight w:val="none"/>
        </w:rPr>
        <w:t>加下划线的条款，为本次采购的实质性要求和条件，着重提醒各磋商供应商注意，并认真查看磋商文件中的每一个条款及要求，因误读磋商文件而造成的后果，采购人概不负责。</w:t>
      </w:r>
    </w:p>
    <w:p>
      <w:pPr>
        <w:jc w:val="center"/>
        <w:rPr>
          <w:rFonts w:hint="eastAsia" w:ascii="宋体" w:hAnsi="宋体" w:eastAsia="宋体" w:cs="宋体"/>
          <w:color w:val="auto"/>
          <w:sz w:val="18"/>
          <w:szCs w:val="18"/>
          <w:highlight w:val="none"/>
        </w:rPr>
      </w:pPr>
    </w:p>
    <w:p>
      <w:pPr>
        <w:pStyle w:val="2"/>
        <w:spacing w:before="120" w:after="120"/>
        <w:rPr>
          <w:rFonts w:hint="eastAsia" w:ascii="宋体" w:hAnsi="宋体" w:eastAsia="宋体" w:cs="宋体"/>
          <w:b w:val="0"/>
          <w:bCs w:val="0"/>
          <w:color w:val="auto"/>
          <w:kern w:val="0"/>
          <w:sz w:val="30"/>
          <w:szCs w:val="30"/>
          <w:highlight w:val="none"/>
        </w:rPr>
      </w:pPr>
      <w:r>
        <w:rPr>
          <w:rFonts w:hint="eastAsia" w:ascii="宋体" w:hAnsi="宋体" w:eastAsia="宋体" w:cs="宋体"/>
          <w:color w:val="auto"/>
          <w:highlight w:val="none"/>
        </w:rPr>
        <w:br w:type="page"/>
      </w:r>
      <w:bookmarkStart w:id="0" w:name="_Toc17034"/>
      <w:bookmarkStart w:id="1" w:name="_Toc434310670"/>
      <w:bookmarkStart w:id="2" w:name="_Toc15028"/>
      <w:bookmarkStart w:id="3" w:name="_Toc477287569"/>
      <w:r>
        <w:rPr>
          <w:rFonts w:hint="eastAsia" w:ascii="宋体" w:hAnsi="宋体" w:eastAsia="宋体" w:cs="宋体"/>
          <w:color w:val="auto"/>
          <w:sz w:val="36"/>
          <w:szCs w:val="36"/>
          <w:highlight w:val="none"/>
          <w:lang w:eastAsia="zh-CN"/>
        </w:rPr>
        <w:t>温州中致工程项目管理有限公司</w:t>
      </w:r>
      <w:r>
        <w:rPr>
          <w:rFonts w:hint="eastAsia" w:ascii="宋体" w:hAnsi="宋体" w:eastAsia="宋体" w:cs="宋体"/>
          <w:color w:val="auto"/>
          <w:sz w:val="36"/>
          <w:szCs w:val="36"/>
          <w:highlight w:val="none"/>
        </w:rPr>
        <w:t>关于</w:t>
      </w:r>
      <w:r>
        <w:rPr>
          <w:rFonts w:hint="eastAsia" w:ascii="宋体" w:hAnsi="宋体" w:eastAsia="宋体" w:cs="宋体"/>
          <w:color w:val="auto"/>
          <w:sz w:val="36"/>
          <w:szCs w:val="36"/>
          <w:highlight w:val="none"/>
          <w:lang w:eastAsia="zh-CN"/>
        </w:rPr>
        <w:t>2024年茶山街道机关食堂外包运营服务</w:t>
      </w:r>
      <w:r>
        <w:rPr>
          <w:rFonts w:hint="eastAsia" w:ascii="宋体" w:hAnsi="宋体" w:eastAsia="宋体" w:cs="宋体"/>
          <w:color w:val="auto"/>
          <w:sz w:val="36"/>
          <w:szCs w:val="36"/>
          <w:highlight w:val="none"/>
        </w:rPr>
        <w:t>的竞争性磋商公告</w:t>
      </w:r>
      <w:bookmarkEnd w:id="0"/>
      <w:bookmarkEnd w:id="1"/>
      <w:bookmarkEnd w:id="2"/>
      <w:bookmarkEnd w:id="3"/>
    </w:p>
    <w:p>
      <w:pPr>
        <w:widowControl/>
        <w:spacing w:before="60" w:after="60" w:line="360" w:lineRule="exact"/>
        <w:ind w:left="61" w:leftChars="29" w:right="60" w:firstLine="440" w:firstLineChars="200"/>
        <w:jc w:val="left"/>
        <w:rPr>
          <w:rFonts w:hint="eastAsia" w:ascii="宋体" w:hAnsi="宋体" w:eastAsia="宋体" w:cs="宋体"/>
          <w:color w:val="auto"/>
          <w:kern w:val="0"/>
          <w:sz w:val="22"/>
          <w:szCs w:val="22"/>
          <w:highlight w:val="none"/>
        </w:rPr>
      </w:pPr>
    </w:p>
    <w:p>
      <w:pPr>
        <w:pBdr>
          <w:top w:val="single" w:color="auto" w:sz="4" w:space="1"/>
          <w:left w:val="single" w:color="auto" w:sz="4" w:space="4"/>
          <w:bottom w:val="single" w:color="auto" w:sz="4" w:space="1"/>
          <w:right w:val="single" w:color="auto" w:sz="4" w:space="4"/>
        </w:pBd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项目概况</w:t>
      </w:r>
    </w:p>
    <w:p>
      <w:pPr>
        <w:pBdr>
          <w:top w:val="single" w:color="auto" w:sz="4" w:space="1"/>
          <w:left w:val="single" w:color="auto" w:sz="4" w:space="4"/>
          <w:bottom w:val="single" w:color="auto" w:sz="4" w:space="1"/>
          <w:right w:val="single" w:color="auto" w:sz="4" w:space="4"/>
        </w:pBdr>
        <w:ind w:firstLine="440" w:firstLineChars="200"/>
        <w:rPr>
          <w:rFonts w:hint="eastAsia" w:ascii="宋体" w:hAnsi="宋体" w:eastAsia="宋体" w:cs="宋体"/>
          <w:color w:val="auto"/>
          <w:sz w:val="22"/>
          <w:szCs w:val="22"/>
          <w:highlight w:val="none"/>
          <w:u w:val="single"/>
        </w:rPr>
      </w:pPr>
      <w:r>
        <w:rPr>
          <w:rFonts w:hint="eastAsia" w:ascii="宋体" w:hAnsi="宋体" w:cs="宋体"/>
          <w:color w:val="auto"/>
          <w:sz w:val="22"/>
          <w:szCs w:val="22"/>
          <w:highlight w:val="none"/>
          <w:u w:val="single"/>
          <w:lang w:eastAsia="zh-CN"/>
        </w:rPr>
        <w:t>2024年茶山街道机关食堂外包运营服务</w:t>
      </w:r>
      <w:r>
        <w:rPr>
          <w:rFonts w:hint="eastAsia" w:ascii="宋体" w:hAnsi="宋体" w:eastAsia="宋体" w:cs="宋体"/>
          <w:color w:val="auto"/>
          <w:sz w:val="22"/>
          <w:szCs w:val="22"/>
          <w:highlight w:val="none"/>
          <w:u w:val="single"/>
        </w:rPr>
        <w:t>的潜在供应商应在政采云平台（http://zfcg.czt.zj.gov.cn）获取（下载）磋商文件，并于</w:t>
      </w:r>
      <w:r>
        <w:rPr>
          <w:rFonts w:hint="eastAsia" w:ascii="宋体" w:hAnsi="宋体" w:cs="宋体"/>
          <w:color w:val="auto"/>
          <w:sz w:val="22"/>
          <w:szCs w:val="22"/>
          <w:highlight w:val="none"/>
          <w:u w:val="single"/>
          <w:lang w:eastAsia="zh-CN"/>
        </w:rPr>
        <w:t>2024年</w:t>
      </w:r>
      <w:r>
        <w:rPr>
          <w:rFonts w:hint="eastAsia" w:ascii="宋体" w:hAnsi="宋体" w:cs="宋体"/>
          <w:color w:val="auto"/>
          <w:sz w:val="22"/>
          <w:szCs w:val="22"/>
          <w:highlight w:val="none"/>
          <w:u w:val="single"/>
          <w:lang w:val="en-US" w:eastAsia="zh-CN"/>
        </w:rPr>
        <w:t xml:space="preserve"> 4 </w:t>
      </w:r>
      <w:r>
        <w:rPr>
          <w:rFonts w:hint="eastAsia" w:ascii="宋体" w:hAnsi="宋体" w:cs="宋体"/>
          <w:color w:val="auto"/>
          <w:sz w:val="22"/>
          <w:szCs w:val="22"/>
          <w:highlight w:val="none"/>
          <w:u w:val="single"/>
          <w:lang w:eastAsia="zh-CN"/>
        </w:rPr>
        <w:t>月</w:t>
      </w:r>
      <w:r>
        <w:rPr>
          <w:rFonts w:hint="eastAsia" w:ascii="宋体" w:hAnsi="宋体" w:cs="宋体"/>
          <w:color w:val="auto"/>
          <w:sz w:val="22"/>
          <w:szCs w:val="22"/>
          <w:highlight w:val="none"/>
          <w:u w:val="single"/>
          <w:lang w:val="en-US" w:eastAsia="zh-CN"/>
        </w:rPr>
        <w:t xml:space="preserve"> 15 </w:t>
      </w:r>
      <w:r>
        <w:rPr>
          <w:rFonts w:hint="eastAsia" w:ascii="宋体" w:hAnsi="宋体" w:cs="宋体"/>
          <w:color w:val="auto"/>
          <w:sz w:val="22"/>
          <w:szCs w:val="22"/>
          <w:highlight w:val="none"/>
          <w:u w:val="single"/>
          <w:lang w:eastAsia="zh-CN"/>
        </w:rPr>
        <w:t>日</w:t>
      </w:r>
      <w:r>
        <w:rPr>
          <w:rFonts w:hint="eastAsia" w:ascii="宋体" w:hAnsi="宋体" w:eastAsia="宋体" w:cs="宋体"/>
          <w:color w:val="auto"/>
          <w:sz w:val="22"/>
          <w:szCs w:val="22"/>
          <w:highlight w:val="none"/>
          <w:u w:val="single"/>
          <w:lang w:val="en-US" w:eastAsia="zh-CN"/>
        </w:rPr>
        <w:t>14:30</w:t>
      </w:r>
      <w:r>
        <w:rPr>
          <w:rFonts w:hint="eastAsia" w:ascii="宋体" w:hAnsi="宋体" w:eastAsia="宋体" w:cs="宋体"/>
          <w:color w:val="auto"/>
          <w:sz w:val="22"/>
          <w:szCs w:val="22"/>
          <w:highlight w:val="none"/>
          <w:u w:val="single"/>
        </w:rPr>
        <w:t>（北京时间）前提交（上传）响应文件。</w:t>
      </w:r>
    </w:p>
    <w:p>
      <w:pPr>
        <w:widowControl/>
        <w:spacing w:before="60" w:after="60" w:line="360" w:lineRule="exact"/>
        <w:ind w:left="60" w:right="60"/>
        <w:jc w:val="left"/>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一、项目基本情况</w:t>
      </w:r>
    </w:p>
    <w:p>
      <w:pPr>
        <w:widowControl/>
        <w:spacing w:before="60" w:after="60" w:line="360" w:lineRule="exact"/>
        <w:ind w:left="60" w:right="60"/>
        <w:jc w:val="left"/>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 xml:space="preserve">    项目编号：</w:t>
      </w:r>
      <w:r>
        <w:rPr>
          <w:rFonts w:hint="eastAsia" w:ascii="宋体" w:hAnsi="宋体" w:cs="宋体"/>
          <w:bCs/>
          <w:color w:val="auto"/>
          <w:kern w:val="0"/>
          <w:sz w:val="22"/>
          <w:szCs w:val="22"/>
          <w:highlight w:val="none"/>
          <w:lang w:eastAsia="zh-CN"/>
        </w:rPr>
        <w:t>ZZGC-ZBCG-202405</w:t>
      </w:r>
    </w:p>
    <w:p>
      <w:pPr>
        <w:widowControl/>
        <w:spacing w:before="60" w:after="60" w:line="360" w:lineRule="exact"/>
        <w:ind w:left="60" w:right="60"/>
        <w:jc w:val="left"/>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 xml:space="preserve">    项目名称：</w:t>
      </w:r>
      <w:r>
        <w:rPr>
          <w:rFonts w:hint="eastAsia" w:ascii="宋体" w:hAnsi="宋体" w:cs="宋体"/>
          <w:bCs/>
          <w:color w:val="auto"/>
          <w:kern w:val="0"/>
          <w:sz w:val="22"/>
          <w:szCs w:val="22"/>
          <w:highlight w:val="none"/>
          <w:lang w:eastAsia="zh-CN"/>
        </w:rPr>
        <w:t>2024年茶山街道机关食堂外包运营服务</w:t>
      </w:r>
    </w:p>
    <w:p>
      <w:pPr>
        <w:widowControl/>
        <w:spacing w:before="60" w:after="60" w:line="360" w:lineRule="exact"/>
        <w:ind w:left="60" w:right="60" w:firstLine="44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 xml:space="preserve">采购方式：竞争性磋商 </w:t>
      </w:r>
    </w:p>
    <w:p>
      <w:pPr>
        <w:widowControl/>
        <w:spacing w:before="60" w:after="60" w:line="360" w:lineRule="exact"/>
        <w:ind w:left="60" w:right="60" w:firstLine="440"/>
        <w:jc w:val="left"/>
        <w:rPr>
          <w:rFonts w:hint="eastAsia" w:ascii="宋体" w:hAnsi="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rPr>
        <w:t>预算金额（元）：</w:t>
      </w:r>
      <w:r>
        <w:rPr>
          <w:rFonts w:hint="eastAsia" w:ascii="宋体" w:hAnsi="宋体" w:cs="宋体"/>
          <w:bCs/>
          <w:color w:val="auto"/>
          <w:kern w:val="0"/>
          <w:sz w:val="22"/>
          <w:szCs w:val="22"/>
          <w:highlight w:val="none"/>
          <w:lang w:val="en-US" w:eastAsia="zh-CN"/>
        </w:rPr>
        <w:t>1400000</w:t>
      </w:r>
    </w:p>
    <w:p>
      <w:pPr>
        <w:widowControl/>
        <w:spacing w:before="60" w:after="60" w:line="360" w:lineRule="exact"/>
        <w:ind w:left="60" w:right="60" w:firstLine="44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最高限价（元）：</w:t>
      </w:r>
      <w:r>
        <w:rPr>
          <w:rFonts w:hint="eastAsia" w:ascii="宋体" w:hAnsi="宋体" w:cs="宋体"/>
          <w:bCs/>
          <w:color w:val="auto"/>
          <w:kern w:val="0"/>
          <w:sz w:val="22"/>
          <w:szCs w:val="22"/>
          <w:highlight w:val="none"/>
          <w:lang w:eastAsia="zh-CN"/>
        </w:rPr>
        <w:t>1400000</w:t>
      </w:r>
    </w:p>
    <w:p>
      <w:pPr>
        <w:widowControl/>
        <w:spacing w:before="60" w:after="60" w:line="360" w:lineRule="exact"/>
        <w:ind w:left="60" w:right="60" w:firstLine="440"/>
        <w:jc w:val="left"/>
        <w:rPr>
          <w:rFonts w:hint="default"/>
          <w:color w:val="auto"/>
          <w:highlight w:val="none"/>
          <w:lang w:val="en-US" w:eastAsia="zh-CN"/>
        </w:rPr>
      </w:pPr>
      <w:r>
        <w:rPr>
          <w:rFonts w:hint="eastAsia" w:ascii="宋体" w:hAnsi="宋体" w:eastAsia="宋体" w:cs="宋体"/>
          <w:bCs/>
          <w:color w:val="auto"/>
          <w:kern w:val="0"/>
          <w:sz w:val="22"/>
          <w:szCs w:val="22"/>
          <w:highlight w:val="none"/>
        </w:rPr>
        <w:t>采购需求：</w:t>
      </w:r>
    </w:p>
    <w:p>
      <w:pPr>
        <w:widowControl/>
        <w:spacing w:before="60" w:after="60" w:line="360" w:lineRule="exact"/>
        <w:ind w:left="60" w:right="60" w:firstLine="44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lang w:val="en-US" w:eastAsia="zh-CN"/>
        </w:rPr>
        <w:t>数量：不限       </w:t>
      </w:r>
    </w:p>
    <w:p>
      <w:pPr>
        <w:widowControl/>
        <w:spacing w:before="60" w:after="60" w:line="360" w:lineRule="exact"/>
        <w:ind w:left="60" w:right="60" w:firstLine="44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预算金额（元）：</w:t>
      </w:r>
      <w:r>
        <w:rPr>
          <w:rFonts w:hint="eastAsia" w:ascii="宋体" w:hAnsi="宋体" w:cs="宋体"/>
          <w:bCs/>
          <w:color w:val="auto"/>
          <w:kern w:val="0"/>
          <w:sz w:val="22"/>
          <w:szCs w:val="22"/>
          <w:highlight w:val="none"/>
          <w:lang w:eastAsia="zh-CN"/>
        </w:rPr>
        <w:t>1400000</w:t>
      </w:r>
      <w:r>
        <w:rPr>
          <w:rFonts w:hint="eastAsia" w:ascii="宋体" w:hAnsi="宋体" w:eastAsia="宋体" w:cs="宋体"/>
          <w:bCs/>
          <w:color w:val="auto"/>
          <w:kern w:val="0"/>
          <w:sz w:val="22"/>
          <w:szCs w:val="22"/>
          <w:highlight w:val="none"/>
        </w:rPr>
        <w:t> </w:t>
      </w:r>
    </w:p>
    <w:p>
      <w:pPr>
        <w:widowControl/>
        <w:spacing w:before="60" w:after="60" w:line="360" w:lineRule="exact"/>
        <w:ind w:left="60" w:right="60" w:firstLine="440"/>
        <w:jc w:val="left"/>
        <w:rPr>
          <w:rFonts w:hint="default"/>
          <w:color w:val="auto"/>
          <w:highlight w:val="none"/>
          <w:lang w:val="en-US" w:eastAsia="zh-CN"/>
        </w:rPr>
      </w:pPr>
      <w:r>
        <w:rPr>
          <w:rFonts w:hint="eastAsia" w:ascii="宋体" w:hAnsi="宋体" w:eastAsia="宋体" w:cs="宋体"/>
          <w:bCs/>
          <w:color w:val="auto"/>
          <w:kern w:val="0"/>
          <w:sz w:val="22"/>
          <w:szCs w:val="22"/>
          <w:highlight w:val="none"/>
        </w:rPr>
        <w:t>单位：项 </w:t>
      </w:r>
    </w:p>
    <w:p>
      <w:pPr>
        <w:widowControl/>
        <w:spacing w:before="60" w:after="60" w:line="360" w:lineRule="exact"/>
        <w:ind w:left="60" w:right="60"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简要规格描述：</w:t>
      </w:r>
      <w:r>
        <w:rPr>
          <w:rFonts w:hint="eastAsia" w:ascii="宋体" w:hAnsi="宋体" w:cs="宋体"/>
          <w:bCs/>
          <w:color w:val="auto"/>
          <w:kern w:val="0"/>
          <w:sz w:val="22"/>
          <w:szCs w:val="22"/>
          <w:highlight w:val="none"/>
          <w:lang w:eastAsia="zh-CN"/>
        </w:rPr>
        <w:t>2024年茶山街道机关食堂外包运营服务</w:t>
      </w:r>
      <w:r>
        <w:rPr>
          <w:rFonts w:hint="eastAsia" w:ascii="宋体" w:hAnsi="宋体" w:eastAsia="宋体" w:cs="宋体"/>
          <w:bCs/>
          <w:color w:val="auto"/>
          <w:kern w:val="0"/>
          <w:sz w:val="22"/>
          <w:szCs w:val="22"/>
          <w:highlight w:val="none"/>
        </w:rPr>
        <w:t>，具体采购内容及要求详见磋商文件相关部分</w:t>
      </w:r>
      <w:r>
        <w:rPr>
          <w:rFonts w:hint="eastAsia" w:ascii="宋体" w:hAnsi="宋体" w:cs="宋体"/>
          <w:bCs/>
          <w:color w:val="auto"/>
          <w:kern w:val="0"/>
          <w:sz w:val="22"/>
          <w:szCs w:val="22"/>
          <w:highlight w:val="none"/>
          <w:lang w:eastAsia="zh-CN"/>
        </w:rPr>
        <w:t>。</w:t>
      </w:r>
      <w:r>
        <w:rPr>
          <w:rFonts w:hint="eastAsia" w:ascii="宋体" w:hAnsi="宋体" w:eastAsia="宋体" w:cs="宋体"/>
          <w:bCs/>
          <w:color w:val="auto"/>
          <w:kern w:val="0"/>
          <w:sz w:val="22"/>
          <w:szCs w:val="22"/>
          <w:highlight w:val="none"/>
        </w:rPr>
        <w:t xml:space="preserve"> </w:t>
      </w:r>
    </w:p>
    <w:p>
      <w:pPr>
        <w:pStyle w:val="16"/>
        <w:ind w:firstLine="440"/>
        <w:rPr>
          <w:rFonts w:hint="eastAsia"/>
          <w:color w:val="auto"/>
          <w:highlight w:val="none"/>
        </w:rPr>
      </w:pPr>
      <w:r>
        <w:rPr>
          <w:rFonts w:hint="eastAsia" w:ascii="宋体" w:hAnsi="宋体" w:eastAsia="宋体" w:cs="宋体"/>
          <w:i w:val="0"/>
          <w:iCs w:val="0"/>
          <w:caps w:val="0"/>
          <w:color w:val="auto"/>
          <w:spacing w:val="0"/>
          <w:sz w:val="22"/>
          <w:szCs w:val="22"/>
          <w:highlight w:val="none"/>
        </w:rPr>
        <w:t>备注：</w:t>
      </w:r>
    </w:p>
    <w:p>
      <w:pPr>
        <w:widowControl/>
        <w:spacing w:before="60" w:after="60" w:line="360" w:lineRule="exact"/>
        <w:ind w:left="60" w:right="6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 xml:space="preserve">    合同履约期限：</w:t>
      </w:r>
      <w:r>
        <w:rPr>
          <w:rFonts w:hint="eastAsia" w:ascii="宋体" w:hAnsi="宋体" w:eastAsia="宋体" w:cs="宋体"/>
          <w:i w:val="0"/>
          <w:iCs w:val="0"/>
          <w:caps w:val="0"/>
          <w:color w:val="auto"/>
          <w:spacing w:val="0"/>
          <w:sz w:val="22"/>
          <w:szCs w:val="22"/>
          <w:highlight w:val="none"/>
        </w:rPr>
        <w:t>标项</w:t>
      </w:r>
      <w:r>
        <w:rPr>
          <w:rFonts w:hint="eastAsia" w:ascii="宋体" w:hAnsi="宋体" w:eastAsia="宋体" w:cs="宋体"/>
          <w:i w:val="0"/>
          <w:iCs w:val="0"/>
          <w:caps w:val="0"/>
          <w:color w:val="auto"/>
          <w:spacing w:val="0"/>
          <w:sz w:val="22"/>
          <w:szCs w:val="22"/>
          <w:highlight w:val="none"/>
          <w:lang w:val="en-US" w:eastAsia="zh-CN"/>
        </w:rPr>
        <w:t xml:space="preserve"> </w:t>
      </w:r>
      <w:r>
        <w:rPr>
          <w:rFonts w:hint="eastAsia" w:ascii="宋体" w:hAnsi="宋体" w:eastAsia="宋体" w:cs="宋体"/>
          <w:i w:val="0"/>
          <w:iCs w:val="0"/>
          <w:caps w:val="0"/>
          <w:color w:val="auto"/>
          <w:spacing w:val="0"/>
          <w:sz w:val="22"/>
          <w:szCs w:val="22"/>
          <w:highlight w:val="none"/>
        </w:rPr>
        <w:t>1</w:t>
      </w:r>
      <w:r>
        <w:rPr>
          <w:rFonts w:hint="eastAsia" w:ascii="宋体" w:hAnsi="宋体" w:cs="宋体"/>
          <w:i w:val="0"/>
          <w:iCs w:val="0"/>
          <w:caps w:val="0"/>
          <w:color w:val="auto"/>
          <w:spacing w:val="0"/>
          <w:sz w:val="22"/>
          <w:szCs w:val="22"/>
          <w:highlight w:val="none"/>
          <w:lang w:eastAsia="zh-CN"/>
        </w:rPr>
        <w:t>，</w:t>
      </w:r>
      <w:r>
        <w:rPr>
          <w:rFonts w:hint="eastAsia" w:ascii="宋体" w:hAnsi="宋体" w:eastAsia="宋体" w:cs="宋体"/>
          <w:color w:val="auto"/>
          <w:spacing w:val="-4"/>
          <w:sz w:val="22"/>
          <w:szCs w:val="22"/>
          <w:highlight w:val="none"/>
        </w:rPr>
        <w:t>1年</w:t>
      </w:r>
      <w:r>
        <w:rPr>
          <w:rFonts w:hint="eastAsia" w:ascii="宋体" w:hAnsi="宋体" w:eastAsia="宋体" w:cs="宋体"/>
          <w:bCs/>
          <w:color w:val="auto"/>
          <w:kern w:val="0"/>
          <w:sz w:val="22"/>
          <w:szCs w:val="22"/>
          <w:highlight w:val="none"/>
        </w:rPr>
        <w:t xml:space="preserve">。   </w:t>
      </w:r>
    </w:p>
    <w:p>
      <w:pPr>
        <w:widowControl/>
        <w:spacing w:before="60" w:after="60" w:line="360" w:lineRule="exact"/>
        <w:ind w:left="60" w:right="60"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本项目（否）接受联合体投标。</w:t>
      </w:r>
    </w:p>
    <w:p>
      <w:pPr>
        <w:widowControl/>
        <w:spacing w:before="60" w:after="60" w:line="360" w:lineRule="exact"/>
        <w:ind w:left="60" w:right="60" w:firstLine="441"/>
        <w:jc w:val="left"/>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二、申请人的资格要求</w:t>
      </w:r>
    </w:p>
    <w:p>
      <w:pPr>
        <w:widowControl/>
        <w:spacing w:before="60" w:after="60" w:line="360" w:lineRule="exact"/>
        <w:ind w:left="708" w:leftChars="285" w:right="60" w:hanging="110" w:hangingChars="5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满足《中华人民共和国政府采购法》第二十二条的规定；未被“信用中国”（www.creditchina.gov.cn)、中国政府采购网（www.ccgp.gov.cn）列入失信被执行人、重大税收违法案件当事人名单、政府采购严重违法失信行为记录名单。</w:t>
      </w:r>
    </w:p>
    <w:p>
      <w:pPr>
        <w:widowControl/>
        <w:spacing w:before="60" w:after="60" w:line="360" w:lineRule="exact"/>
        <w:ind w:left="708" w:leftChars="285" w:right="60" w:hanging="110" w:hangingChars="50"/>
        <w:jc w:val="left"/>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2.落实政府采购政策需满足的资格要求：本项目为专门面向中小企业采购的项目，供应商为中小企业/小微企业或监狱企业或残疾人福利企业</w:t>
      </w:r>
      <w:r>
        <w:rPr>
          <w:rFonts w:hint="eastAsia" w:ascii="宋体" w:hAnsi="宋体" w:cs="宋体"/>
          <w:bCs/>
          <w:color w:val="auto"/>
          <w:kern w:val="0"/>
          <w:sz w:val="22"/>
          <w:szCs w:val="22"/>
          <w:highlight w:val="none"/>
          <w:lang w:eastAsia="zh-CN"/>
        </w:rPr>
        <w:t>。</w:t>
      </w:r>
    </w:p>
    <w:p>
      <w:pPr>
        <w:widowControl/>
        <w:spacing w:before="60" w:after="60" w:line="360" w:lineRule="exact"/>
        <w:ind w:left="708" w:leftChars="285" w:right="60" w:hanging="110" w:hangingChars="5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 xml:space="preserve">3.本项目的特定资格要求： </w:t>
      </w:r>
    </w:p>
    <w:p>
      <w:pPr>
        <w:widowControl/>
        <w:spacing w:before="60" w:after="60" w:line="360" w:lineRule="exact"/>
        <w:ind w:left="708" w:leftChars="285" w:right="60" w:hanging="110" w:hangingChars="5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【标项1】</w:t>
      </w:r>
      <w:r>
        <w:rPr>
          <w:rFonts w:hint="eastAsia" w:ascii="宋体" w:hAnsi="宋体" w:cs="宋体"/>
          <w:bCs/>
          <w:color w:val="auto"/>
          <w:kern w:val="0"/>
          <w:sz w:val="22"/>
          <w:szCs w:val="22"/>
          <w:highlight w:val="none"/>
          <w:lang w:val="en-US" w:eastAsia="zh-CN"/>
        </w:rPr>
        <w:t xml:space="preserve"> </w:t>
      </w:r>
      <w:r>
        <w:rPr>
          <w:rFonts w:hint="eastAsia" w:ascii="宋体" w:hAnsi="宋体" w:eastAsia="宋体" w:cs="宋体"/>
          <w:bCs/>
          <w:color w:val="auto"/>
          <w:kern w:val="0"/>
          <w:sz w:val="22"/>
          <w:szCs w:val="22"/>
          <w:highlight w:val="none"/>
          <w:lang w:val="en-US" w:eastAsia="zh-CN"/>
        </w:rPr>
        <w:t>无</w:t>
      </w:r>
      <w:r>
        <w:rPr>
          <w:rFonts w:hint="eastAsia" w:ascii="宋体" w:hAnsi="宋体" w:eastAsia="宋体" w:cs="宋体"/>
          <w:bCs/>
          <w:color w:val="auto"/>
          <w:kern w:val="0"/>
          <w:sz w:val="22"/>
          <w:szCs w:val="22"/>
          <w:highlight w:val="none"/>
        </w:rPr>
        <w:t>。</w:t>
      </w:r>
    </w:p>
    <w:p>
      <w:pPr>
        <w:widowControl/>
        <w:spacing w:before="60" w:after="60" w:line="360" w:lineRule="exact"/>
        <w:ind w:left="60" w:right="60"/>
        <w:jc w:val="left"/>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三、获取（下载）采购文件</w:t>
      </w:r>
    </w:p>
    <w:p>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时间：公告发布之日起至</w:t>
      </w:r>
      <w:r>
        <w:rPr>
          <w:rFonts w:hint="eastAsia" w:ascii="宋体" w:hAnsi="宋体" w:cs="宋体"/>
          <w:color w:val="auto"/>
          <w:kern w:val="0"/>
          <w:sz w:val="22"/>
          <w:szCs w:val="22"/>
          <w:highlight w:val="none"/>
          <w:lang w:eastAsia="zh-CN"/>
        </w:rPr>
        <w:t>2024年</w:t>
      </w:r>
      <w:r>
        <w:rPr>
          <w:rFonts w:hint="eastAsia" w:ascii="宋体" w:hAnsi="宋体" w:cs="宋体"/>
          <w:color w:val="auto"/>
          <w:kern w:val="0"/>
          <w:sz w:val="22"/>
          <w:szCs w:val="22"/>
          <w:highlight w:val="none"/>
          <w:lang w:val="en-US" w:eastAsia="zh-CN"/>
        </w:rPr>
        <w:t xml:space="preserve"> 4 </w:t>
      </w:r>
      <w:r>
        <w:rPr>
          <w:rFonts w:hint="eastAsia" w:ascii="宋体" w:hAnsi="宋体" w:cs="宋体"/>
          <w:color w:val="auto"/>
          <w:kern w:val="0"/>
          <w:sz w:val="22"/>
          <w:szCs w:val="22"/>
          <w:highlight w:val="none"/>
          <w:lang w:eastAsia="zh-CN"/>
        </w:rPr>
        <w:t>月</w:t>
      </w:r>
      <w:r>
        <w:rPr>
          <w:rFonts w:hint="eastAsia" w:ascii="宋体" w:hAnsi="宋体" w:cs="宋体"/>
          <w:color w:val="auto"/>
          <w:kern w:val="0"/>
          <w:sz w:val="22"/>
          <w:szCs w:val="22"/>
          <w:highlight w:val="none"/>
          <w:lang w:val="en-US" w:eastAsia="zh-CN"/>
        </w:rPr>
        <w:t xml:space="preserve"> 15 </w:t>
      </w:r>
      <w:r>
        <w:rPr>
          <w:rFonts w:hint="eastAsia" w:ascii="宋体" w:hAnsi="宋体" w:cs="宋体"/>
          <w:color w:val="auto"/>
          <w:kern w:val="0"/>
          <w:sz w:val="22"/>
          <w:szCs w:val="22"/>
          <w:highlight w:val="none"/>
          <w:lang w:eastAsia="zh-CN"/>
        </w:rPr>
        <w:t>日</w:t>
      </w:r>
      <w:r>
        <w:rPr>
          <w:rFonts w:hint="eastAsia" w:ascii="宋体" w:hAnsi="宋体" w:eastAsia="宋体" w:cs="宋体"/>
          <w:color w:val="auto"/>
          <w:kern w:val="0"/>
          <w:sz w:val="22"/>
          <w:szCs w:val="22"/>
          <w:highlight w:val="none"/>
        </w:rPr>
        <w:t xml:space="preserve"> ，每天上午00:00至12:00 ，下午12:00至23:59（北京时间，线上获取法定节假日均可，线下获取文件法定节假日除外）。</w:t>
      </w:r>
    </w:p>
    <w:p>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地点：</w:t>
      </w:r>
      <w:r>
        <w:rPr>
          <w:rFonts w:hint="eastAsia" w:ascii="宋体" w:hAnsi="宋体" w:cs="宋体"/>
          <w:color w:val="auto"/>
          <w:kern w:val="0"/>
          <w:sz w:val="22"/>
          <w:szCs w:val="22"/>
          <w:highlight w:val="none"/>
        </w:rPr>
        <w:t>政采云平台（http://zfcg.czt.zj.gov.cn）</w:t>
      </w:r>
      <w:r>
        <w:rPr>
          <w:rFonts w:hint="eastAsia" w:ascii="宋体" w:hAnsi="宋体" w:eastAsia="宋体" w:cs="宋体"/>
          <w:color w:val="auto"/>
          <w:kern w:val="0"/>
          <w:sz w:val="22"/>
          <w:szCs w:val="22"/>
          <w:highlight w:val="none"/>
        </w:rPr>
        <w:t>。</w:t>
      </w:r>
    </w:p>
    <w:p>
      <w:pPr>
        <w:widowControl/>
        <w:spacing w:before="60" w:after="60" w:line="360" w:lineRule="exact"/>
        <w:ind w:right="60" w:firstLine="44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方式：</w:t>
      </w:r>
      <w:r>
        <w:rPr>
          <w:rFonts w:ascii="宋体" w:hAnsi="宋体" w:cs="Arial"/>
          <w:color w:val="auto"/>
          <w:kern w:val="0"/>
          <w:sz w:val="22"/>
          <w:szCs w:val="22"/>
          <w:highlight w:val="none"/>
        </w:rPr>
        <w:t>潜在供应商登陆政采云平台（http://zfcg.czt.zj.gov.cn），在线申请获取招标文件（进入“项目采购”应用，在获取招标文件菜单中选择项目，申请获取招标文件，本项目招标文件不收取工本费；仅需浏览招标文件的供应商可点击“游客，浏览招标文件”直接下载招标文件浏览）。请供应商按上述要求获取招标文件，如未在“政采云”系统内完成相关流程，引起的投标无效责任自负。 </w:t>
      </w:r>
    </w:p>
    <w:p>
      <w:pPr>
        <w:widowControl/>
        <w:spacing w:before="60" w:after="60" w:line="360" w:lineRule="exact"/>
        <w:ind w:right="60" w:firstLine="440"/>
        <w:jc w:val="left"/>
        <w:rPr>
          <w:rFonts w:hint="eastAsia" w:ascii="宋体" w:hAnsi="宋体" w:eastAsia="宋体" w:cs="宋体"/>
          <w:b/>
          <w:color w:val="auto"/>
          <w:kern w:val="0"/>
          <w:sz w:val="22"/>
          <w:szCs w:val="22"/>
          <w:highlight w:val="none"/>
        </w:rPr>
      </w:pPr>
      <w:r>
        <w:rPr>
          <w:rFonts w:hint="eastAsia" w:ascii="宋体" w:hAnsi="宋体" w:eastAsia="宋体" w:cs="宋体"/>
          <w:color w:val="auto"/>
          <w:kern w:val="0"/>
          <w:sz w:val="22"/>
          <w:szCs w:val="22"/>
          <w:highlight w:val="none"/>
        </w:rPr>
        <w:t>售价（元）：0</w:t>
      </w:r>
    </w:p>
    <w:p>
      <w:pPr>
        <w:widowControl/>
        <w:spacing w:before="60" w:after="60" w:line="360" w:lineRule="exact"/>
        <w:ind w:right="60"/>
        <w:jc w:val="left"/>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四、响应文件提交（上传） </w:t>
      </w:r>
    </w:p>
    <w:p>
      <w:pPr>
        <w:widowControl/>
        <w:spacing w:before="60" w:after="60" w:line="360" w:lineRule="exact"/>
        <w:ind w:right="60"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截止时间：</w:t>
      </w:r>
      <w:r>
        <w:rPr>
          <w:rFonts w:hint="eastAsia" w:ascii="宋体" w:hAnsi="宋体" w:cs="宋体"/>
          <w:color w:val="auto"/>
          <w:sz w:val="22"/>
          <w:szCs w:val="22"/>
          <w:highlight w:val="none"/>
          <w:lang w:eastAsia="zh-CN"/>
        </w:rPr>
        <w:t>2024年</w:t>
      </w:r>
      <w:r>
        <w:rPr>
          <w:rFonts w:hint="eastAsia" w:ascii="宋体" w:hAnsi="宋体" w:cs="宋体"/>
          <w:color w:val="auto"/>
          <w:sz w:val="22"/>
          <w:szCs w:val="22"/>
          <w:highlight w:val="none"/>
          <w:lang w:val="en-US" w:eastAsia="zh-CN"/>
        </w:rPr>
        <w:t xml:space="preserve"> 4 </w:t>
      </w:r>
      <w:r>
        <w:rPr>
          <w:rFonts w:hint="eastAsia" w:ascii="宋体" w:hAnsi="宋体" w:cs="宋体"/>
          <w:color w:val="auto"/>
          <w:sz w:val="22"/>
          <w:szCs w:val="22"/>
          <w:highlight w:val="none"/>
          <w:lang w:eastAsia="zh-CN"/>
        </w:rPr>
        <w:t>月</w:t>
      </w:r>
      <w:r>
        <w:rPr>
          <w:rFonts w:hint="eastAsia" w:ascii="宋体" w:hAnsi="宋体" w:cs="宋体"/>
          <w:color w:val="auto"/>
          <w:sz w:val="22"/>
          <w:szCs w:val="22"/>
          <w:highlight w:val="none"/>
          <w:lang w:val="en-US" w:eastAsia="zh-CN"/>
        </w:rPr>
        <w:t xml:space="preserve"> 15 </w:t>
      </w:r>
      <w:r>
        <w:rPr>
          <w:rFonts w:hint="eastAsia" w:ascii="宋体" w:hAnsi="宋体" w:cs="宋体"/>
          <w:color w:val="auto"/>
          <w:sz w:val="22"/>
          <w:szCs w:val="22"/>
          <w:highlight w:val="none"/>
          <w:lang w:eastAsia="zh-CN"/>
        </w:rPr>
        <w:t>日</w:t>
      </w:r>
      <w:r>
        <w:rPr>
          <w:rFonts w:hint="eastAsia" w:ascii="宋体" w:hAnsi="宋体" w:cs="宋体"/>
          <w:color w:val="auto"/>
          <w:sz w:val="22"/>
          <w:szCs w:val="22"/>
          <w:highlight w:val="none"/>
          <w:lang w:val="en-US" w:eastAsia="zh-CN"/>
        </w:rPr>
        <w:t>14:30</w:t>
      </w:r>
      <w:r>
        <w:rPr>
          <w:rFonts w:hint="eastAsia" w:ascii="宋体" w:hAnsi="宋体" w:eastAsia="宋体" w:cs="宋体"/>
          <w:color w:val="auto"/>
          <w:sz w:val="22"/>
          <w:szCs w:val="22"/>
          <w:highlight w:val="none"/>
        </w:rPr>
        <w:t>（北京时间）</w:t>
      </w:r>
    </w:p>
    <w:p>
      <w:pPr>
        <w:widowControl/>
        <w:spacing w:before="60" w:after="60" w:line="360" w:lineRule="exact"/>
        <w:ind w:right="60"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地点（网址）：请登录政采云投标客户端投标  </w:t>
      </w:r>
    </w:p>
    <w:p>
      <w:pPr>
        <w:widowControl/>
        <w:spacing w:before="60" w:after="60" w:line="360" w:lineRule="exact"/>
        <w:ind w:right="60"/>
        <w:jc w:val="left"/>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五、响应文件开启 </w:t>
      </w:r>
    </w:p>
    <w:p>
      <w:pPr>
        <w:widowControl/>
        <w:spacing w:before="60" w:after="60" w:line="360" w:lineRule="exact"/>
        <w:ind w:right="60" w:firstLine="44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开启时间：</w:t>
      </w:r>
      <w:r>
        <w:rPr>
          <w:rFonts w:hint="eastAsia" w:ascii="宋体" w:hAnsi="宋体" w:cs="宋体"/>
          <w:color w:val="auto"/>
          <w:sz w:val="22"/>
          <w:szCs w:val="22"/>
          <w:highlight w:val="none"/>
          <w:lang w:eastAsia="zh-CN"/>
        </w:rPr>
        <w:t>2024年</w:t>
      </w:r>
      <w:r>
        <w:rPr>
          <w:rFonts w:hint="eastAsia" w:ascii="宋体" w:hAnsi="宋体" w:cs="宋体"/>
          <w:color w:val="auto"/>
          <w:sz w:val="22"/>
          <w:szCs w:val="22"/>
          <w:highlight w:val="none"/>
          <w:lang w:val="en-US" w:eastAsia="zh-CN"/>
        </w:rPr>
        <w:t xml:space="preserve"> 4 </w:t>
      </w:r>
      <w:r>
        <w:rPr>
          <w:rFonts w:hint="eastAsia" w:ascii="宋体" w:hAnsi="宋体" w:cs="宋体"/>
          <w:color w:val="auto"/>
          <w:sz w:val="22"/>
          <w:szCs w:val="22"/>
          <w:highlight w:val="none"/>
          <w:lang w:eastAsia="zh-CN"/>
        </w:rPr>
        <w:t>月</w:t>
      </w:r>
      <w:r>
        <w:rPr>
          <w:rFonts w:hint="eastAsia" w:ascii="宋体" w:hAnsi="宋体" w:cs="宋体"/>
          <w:color w:val="auto"/>
          <w:sz w:val="22"/>
          <w:szCs w:val="22"/>
          <w:highlight w:val="none"/>
          <w:lang w:val="en-US" w:eastAsia="zh-CN"/>
        </w:rPr>
        <w:t xml:space="preserve"> 15 </w:t>
      </w:r>
      <w:r>
        <w:rPr>
          <w:rFonts w:hint="eastAsia" w:ascii="宋体" w:hAnsi="宋体" w:cs="宋体"/>
          <w:color w:val="auto"/>
          <w:sz w:val="22"/>
          <w:szCs w:val="22"/>
          <w:highlight w:val="none"/>
          <w:lang w:eastAsia="zh-CN"/>
        </w:rPr>
        <w:t>日</w:t>
      </w:r>
      <w:r>
        <w:rPr>
          <w:rFonts w:hint="eastAsia" w:ascii="宋体" w:hAnsi="宋体" w:cs="宋体"/>
          <w:color w:val="auto"/>
          <w:sz w:val="22"/>
          <w:szCs w:val="22"/>
          <w:highlight w:val="none"/>
          <w:lang w:val="en-US" w:eastAsia="zh-CN"/>
        </w:rPr>
        <w:t>14:30</w:t>
      </w:r>
      <w:r>
        <w:rPr>
          <w:rFonts w:hint="eastAsia" w:ascii="宋体" w:hAnsi="宋体" w:eastAsia="宋体" w:cs="宋体"/>
          <w:color w:val="auto"/>
          <w:sz w:val="22"/>
          <w:szCs w:val="22"/>
          <w:highlight w:val="none"/>
        </w:rPr>
        <w:t>（北京时间）</w:t>
      </w:r>
    </w:p>
    <w:p>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t>地点（网址）：</w:t>
      </w:r>
      <w:r>
        <w:rPr>
          <w:rFonts w:hint="eastAsia" w:cs="宋体"/>
          <w:color w:val="auto"/>
          <w:kern w:val="2"/>
          <w:sz w:val="22"/>
          <w:szCs w:val="22"/>
          <w:highlight w:val="none"/>
          <w:lang w:val="en-US" w:eastAsia="zh-CN" w:bidi="ar-SA"/>
        </w:rPr>
        <w:t>温州市鹿城区南汇街道车站大道万顺大厦A-804</w:t>
      </w:r>
      <w:r>
        <w:rPr>
          <w:rFonts w:hint="eastAsia" w:ascii="宋体" w:hAnsi="宋体" w:eastAsia="宋体" w:cs="宋体"/>
          <w:color w:val="auto"/>
          <w:kern w:val="2"/>
          <w:sz w:val="22"/>
          <w:szCs w:val="22"/>
          <w:highlight w:val="none"/>
          <w:lang w:val="en-US" w:eastAsia="zh-CN" w:bidi="ar-SA"/>
        </w:rPr>
        <w:t>（</w:t>
      </w:r>
      <w:r>
        <w:rPr>
          <w:rFonts w:hint="eastAsia" w:cs="宋体"/>
          <w:color w:val="auto"/>
          <w:kern w:val="2"/>
          <w:sz w:val="22"/>
          <w:szCs w:val="22"/>
          <w:highlight w:val="none"/>
          <w:lang w:val="en-US" w:eastAsia="zh-CN" w:bidi="ar-SA"/>
        </w:rPr>
        <w:t>温州中致工程项目管理有限公司</w:t>
      </w:r>
      <w:r>
        <w:rPr>
          <w:rFonts w:hint="eastAsia" w:ascii="宋体" w:hAnsi="宋体" w:eastAsia="宋体" w:cs="宋体"/>
          <w:color w:val="auto"/>
          <w:kern w:val="2"/>
          <w:sz w:val="22"/>
          <w:szCs w:val="22"/>
          <w:highlight w:val="none"/>
          <w:lang w:val="en-US" w:eastAsia="zh-CN" w:bidi="ar-SA"/>
        </w:rPr>
        <w:t>会议室），通过“政府采购云平台（www.zcygov.cn）”线上开启。 </w:t>
      </w:r>
      <w:r>
        <w:rPr>
          <w:rFonts w:hint="eastAsia" w:ascii="宋体" w:hAnsi="宋体" w:eastAsia="宋体" w:cs="宋体"/>
          <w:color w:val="auto"/>
          <w:sz w:val="22"/>
          <w:szCs w:val="22"/>
          <w:highlight w:val="none"/>
        </w:rPr>
        <w:t> </w:t>
      </w:r>
      <w:r>
        <w:rPr>
          <w:rFonts w:hint="eastAsia" w:ascii="宋体" w:hAnsi="宋体" w:eastAsia="宋体" w:cs="宋体"/>
          <w:i w:val="0"/>
          <w:iCs w:val="0"/>
          <w:caps w:val="0"/>
          <w:color w:val="auto"/>
          <w:spacing w:val="0"/>
          <w:sz w:val="22"/>
          <w:szCs w:val="22"/>
          <w:highlight w:val="none"/>
        </w:rPr>
        <w:t> </w:t>
      </w:r>
    </w:p>
    <w:p>
      <w:pPr>
        <w:widowControl/>
        <w:spacing w:before="60" w:after="60" w:line="360" w:lineRule="exact"/>
        <w:ind w:right="60"/>
        <w:jc w:val="left"/>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六、公告期限</w:t>
      </w:r>
    </w:p>
    <w:p>
      <w:pPr>
        <w:widowControl/>
        <w:spacing w:before="60" w:after="60" w:line="360" w:lineRule="exact"/>
        <w:ind w:left="61" w:leftChars="29" w:right="60" w:firstLine="323" w:firstLineChars="147"/>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自本公告发布之日起3个工作日。</w:t>
      </w:r>
    </w:p>
    <w:p>
      <w:pPr>
        <w:widowControl/>
        <w:numPr>
          <w:ilvl w:val="0"/>
          <w:numId w:val="1"/>
        </w:numPr>
        <w:spacing w:before="60" w:after="60" w:line="360" w:lineRule="exact"/>
        <w:ind w:left="60" w:right="60"/>
        <w:jc w:val="left"/>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其他补充事宜</w:t>
      </w:r>
    </w:p>
    <w:p>
      <w:pPr>
        <w:pStyle w:val="33"/>
        <w:keepNext w:val="0"/>
        <w:keepLines w:val="0"/>
        <w:widowControl/>
        <w:suppressLineNumbers w:val="0"/>
        <w:spacing w:before="255" w:beforeAutospacing="0" w:after="255" w:afterAutospacing="0" w:line="300" w:lineRule="atLeast"/>
        <w:ind w:left="0" w:right="0" w:firstLine="420"/>
        <w:jc w:val="both"/>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33"/>
        <w:keepNext w:val="0"/>
        <w:keepLines w:val="0"/>
        <w:widowControl/>
        <w:suppressLineNumbers w:val="0"/>
        <w:spacing w:before="255" w:beforeAutospacing="0" w:after="255" w:afterAutospacing="0" w:line="300" w:lineRule="atLeast"/>
        <w:ind w:left="0" w:right="0" w:firstLine="420"/>
        <w:jc w:val="both"/>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33"/>
        <w:keepNext w:val="0"/>
        <w:keepLines w:val="0"/>
        <w:widowControl/>
        <w:suppressLineNumbers w:val="0"/>
        <w:spacing w:before="75" w:beforeAutospacing="0" w:after="75" w:afterAutospacing="0" w:line="315" w:lineRule="atLeast"/>
        <w:ind w:left="0" w:right="0" w:firstLine="42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3.其他事项： </w:t>
      </w:r>
    </w:p>
    <w:p>
      <w:pPr>
        <w:pStyle w:val="2"/>
        <w:jc w:val="both"/>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pStyle w:val="2"/>
        <w:jc w:val="both"/>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w:t>
      </w:r>
    </w:p>
    <w:p>
      <w:pPr>
        <w:pStyle w:val="2"/>
        <w:jc w:val="both"/>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（三）招标公告附件的采购文件仅供阅览使用，未按照本公告规定的方式获取采购文件的潜在供应商提起的质疑采购组织机构将不予受理、答复。 </w:t>
      </w:r>
    </w:p>
    <w:p>
      <w:pPr>
        <w:widowControl/>
        <w:spacing w:before="60" w:after="60" w:line="360" w:lineRule="exact"/>
        <w:ind w:left="60" w:right="60"/>
        <w:jc w:val="left"/>
        <w:rPr>
          <w:rFonts w:hint="eastAsia" w:ascii="宋体" w:hAnsi="宋体" w:eastAsia="宋体" w:cs="宋体"/>
          <w:b/>
          <w:color w:val="auto"/>
          <w:kern w:val="0"/>
          <w:sz w:val="22"/>
          <w:szCs w:val="22"/>
          <w:highlight w:val="none"/>
        </w:rPr>
      </w:pPr>
    </w:p>
    <w:p>
      <w:pPr>
        <w:widowControl/>
        <w:spacing w:before="60" w:after="60" w:line="360" w:lineRule="exact"/>
        <w:ind w:left="60" w:right="60"/>
        <w:jc w:val="left"/>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八、凡</w:t>
      </w:r>
      <w:r>
        <w:rPr>
          <w:rFonts w:hint="eastAsia" w:ascii="宋体" w:hAnsi="宋体" w:eastAsia="宋体" w:cs="宋体"/>
          <w:b/>
          <w:bCs/>
          <w:color w:val="auto"/>
          <w:kern w:val="0"/>
          <w:sz w:val="22"/>
          <w:szCs w:val="22"/>
          <w:highlight w:val="none"/>
        </w:rPr>
        <w:t>对本次采购提出询问、质疑、投诉，请按以下方式联系</w:t>
      </w:r>
    </w:p>
    <w:p>
      <w:pPr>
        <w:spacing w:line="500" w:lineRule="exact"/>
        <w:rPr>
          <w:rFonts w:hint="eastAsia" w:ascii="宋体" w:hAnsi="宋体" w:eastAsia="宋体" w:cs="宋体"/>
          <w:color w:val="auto"/>
          <w:sz w:val="22"/>
          <w:szCs w:val="22"/>
          <w:highlight w:val="none"/>
        </w:rPr>
      </w:pPr>
      <w:r>
        <w:rPr>
          <w:rFonts w:hint="eastAsia" w:ascii="宋体" w:hAnsi="宋体" w:eastAsia="宋体" w:cs="宋体"/>
          <w:b/>
          <w:color w:val="auto"/>
          <w:szCs w:val="21"/>
          <w:highlight w:val="none"/>
        </w:rPr>
        <w:t xml:space="preserve">   </w:t>
      </w:r>
      <w:r>
        <w:rPr>
          <w:rFonts w:hint="eastAsia" w:ascii="宋体" w:hAnsi="宋体" w:eastAsia="宋体" w:cs="宋体"/>
          <w:b/>
          <w:color w:val="auto"/>
          <w:sz w:val="22"/>
          <w:szCs w:val="22"/>
          <w:highlight w:val="none"/>
        </w:rPr>
        <w:t xml:space="preserve"> </w:t>
      </w:r>
      <w:r>
        <w:rPr>
          <w:rFonts w:hint="eastAsia" w:ascii="宋体" w:hAnsi="宋体" w:eastAsia="宋体" w:cs="宋体"/>
          <w:color w:val="auto"/>
          <w:sz w:val="22"/>
          <w:szCs w:val="22"/>
          <w:highlight w:val="none"/>
        </w:rPr>
        <w:t>1.采购人信息</w:t>
      </w:r>
    </w:p>
    <w:p>
      <w:pPr>
        <w:spacing w:line="5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名称：</w:t>
      </w:r>
      <w:r>
        <w:rPr>
          <w:rFonts w:hint="eastAsia" w:ascii="宋体" w:hAnsi="宋体" w:cs="宋体"/>
          <w:color w:val="auto"/>
          <w:kern w:val="2"/>
          <w:sz w:val="22"/>
          <w:szCs w:val="22"/>
          <w:highlight w:val="none"/>
          <w:lang w:eastAsia="zh-CN"/>
        </w:rPr>
        <w:t>温州市瓯海区人民政府茶山街道办事处</w:t>
      </w:r>
    </w:p>
    <w:p>
      <w:pPr>
        <w:spacing w:line="500" w:lineRule="exact"/>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w:t>
      </w:r>
      <w:r>
        <w:rPr>
          <w:rFonts w:hint="eastAsia" w:ascii="宋体" w:hAnsi="宋体" w:eastAsia="宋体" w:cs="宋体"/>
          <w:color w:val="auto"/>
          <w:kern w:val="2"/>
          <w:sz w:val="22"/>
          <w:szCs w:val="22"/>
          <w:highlight w:val="none"/>
          <w:lang w:eastAsia="zh-CN"/>
        </w:rPr>
        <w:t xml:space="preserve">址：浙江省温州市瓯海区卧龙路520号    </w:t>
      </w:r>
    </w:p>
    <w:p>
      <w:pPr>
        <w:spacing w:line="500" w:lineRule="exact"/>
        <w:ind w:firstLine="44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联系人：</w:t>
      </w:r>
      <w:r>
        <w:rPr>
          <w:rFonts w:hint="eastAsia" w:ascii="宋体" w:hAnsi="宋体" w:cs="宋体"/>
          <w:color w:val="auto"/>
          <w:sz w:val="22"/>
          <w:szCs w:val="22"/>
          <w:highlight w:val="none"/>
          <w:lang w:val="en-US" w:eastAsia="zh-CN"/>
        </w:rPr>
        <w:t>诸先生</w:t>
      </w:r>
    </w:p>
    <w:p>
      <w:pPr>
        <w:spacing w:line="500" w:lineRule="exact"/>
        <w:ind w:firstLine="44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电话 / 传真：</w:t>
      </w:r>
      <w:r>
        <w:rPr>
          <w:rFonts w:hint="eastAsia" w:ascii="宋体" w:hAnsi="宋体" w:cs="宋体"/>
          <w:color w:val="auto"/>
          <w:sz w:val="22"/>
          <w:szCs w:val="22"/>
          <w:highlight w:val="none"/>
          <w:lang w:val="en-US" w:eastAsia="zh-CN"/>
        </w:rPr>
        <w:t>0577-86683590</w:t>
      </w:r>
    </w:p>
    <w:p>
      <w:pPr>
        <w:spacing w:line="500" w:lineRule="exact"/>
        <w:ind w:firstLine="44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质疑联系人：</w:t>
      </w:r>
      <w:r>
        <w:rPr>
          <w:rFonts w:hint="eastAsia" w:ascii="宋体" w:hAnsi="宋体" w:cs="宋体"/>
          <w:color w:val="auto"/>
          <w:sz w:val="22"/>
          <w:szCs w:val="22"/>
          <w:highlight w:val="none"/>
          <w:lang w:val="en-US" w:eastAsia="zh-CN"/>
        </w:rPr>
        <w:t>诸先生</w:t>
      </w:r>
    </w:p>
    <w:p>
      <w:pPr>
        <w:spacing w:line="500" w:lineRule="exact"/>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质疑联系方式：</w:t>
      </w:r>
      <w:r>
        <w:rPr>
          <w:rFonts w:hint="eastAsia" w:ascii="宋体" w:hAnsi="宋体" w:cs="宋体"/>
          <w:color w:val="auto"/>
          <w:sz w:val="22"/>
          <w:szCs w:val="22"/>
          <w:highlight w:val="none"/>
          <w:lang w:val="en-US" w:eastAsia="zh-CN"/>
        </w:rPr>
        <w:t>0577-86683590</w:t>
      </w:r>
    </w:p>
    <w:p>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2.采购代理机构信息</w:t>
      </w:r>
    </w:p>
    <w:p>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    称：</w:t>
      </w:r>
      <w:r>
        <w:rPr>
          <w:rFonts w:hint="eastAsia" w:ascii="宋体" w:hAnsi="宋体" w:cs="宋体"/>
          <w:color w:val="auto"/>
          <w:sz w:val="22"/>
          <w:szCs w:val="22"/>
          <w:highlight w:val="none"/>
          <w:lang w:eastAsia="zh-CN"/>
        </w:rPr>
        <w:t>温州中致工程项目管理有限公司</w:t>
      </w:r>
      <w:r>
        <w:rPr>
          <w:rFonts w:hint="eastAsia" w:ascii="宋体" w:hAnsi="宋体" w:eastAsia="宋体" w:cs="宋体"/>
          <w:color w:val="auto"/>
          <w:sz w:val="22"/>
          <w:szCs w:val="22"/>
          <w:highlight w:val="none"/>
        </w:rPr>
        <w:t>             </w:t>
      </w:r>
    </w:p>
    <w:p>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r>
        <w:rPr>
          <w:rFonts w:hint="eastAsia" w:ascii="宋体" w:hAnsi="宋体" w:cs="宋体"/>
          <w:color w:val="auto"/>
          <w:sz w:val="22"/>
          <w:szCs w:val="22"/>
          <w:highlight w:val="none"/>
          <w:lang w:eastAsia="zh-CN"/>
        </w:rPr>
        <w:t>温州市鹿城区南汇街道车站大道万顺大厦A-804</w:t>
      </w:r>
      <w:r>
        <w:rPr>
          <w:rFonts w:hint="eastAsia" w:ascii="宋体" w:hAnsi="宋体" w:eastAsia="宋体" w:cs="宋体"/>
          <w:color w:val="auto"/>
          <w:sz w:val="22"/>
          <w:szCs w:val="22"/>
          <w:highlight w:val="none"/>
        </w:rPr>
        <w:t>             </w:t>
      </w:r>
    </w:p>
    <w:p>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项目联系人（询问）：</w:t>
      </w:r>
      <w:r>
        <w:rPr>
          <w:rFonts w:hint="eastAsia" w:ascii="宋体" w:hAnsi="宋体" w:cs="宋体"/>
          <w:color w:val="auto"/>
          <w:sz w:val="22"/>
          <w:szCs w:val="22"/>
          <w:highlight w:val="none"/>
          <w:lang w:eastAsia="zh-CN"/>
        </w:rPr>
        <w:t>张先生</w:t>
      </w:r>
      <w:r>
        <w:rPr>
          <w:rFonts w:hint="eastAsia" w:ascii="宋体" w:hAnsi="宋体" w:eastAsia="宋体" w:cs="宋体"/>
          <w:color w:val="auto"/>
          <w:sz w:val="22"/>
          <w:szCs w:val="22"/>
          <w:highlight w:val="none"/>
        </w:rPr>
        <w:t>            </w:t>
      </w:r>
    </w:p>
    <w:p>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项目联系方式（询问）：</w:t>
      </w:r>
      <w:r>
        <w:rPr>
          <w:rFonts w:hint="eastAsia" w:ascii="宋体" w:hAnsi="宋体" w:cs="宋体"/>
          <w:color w:val="auto"/>
          <w:sz w:val="22"/>
          <w:szCs w:val="22"/>
          <w:highlight w:val="none"/>
          <w:lang w:eastAsia="zh-CN"/>
        </w:rPr>
        <w:t>15158685636</w:t>
      </w:r>
    </w:p>
    <w:p>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质疑联系人：</w:t>
      </w:r>
      <w:r>
        <w:rPr>
          <w:rFonts w:hint="eastAsia" w:ascii="宋体" w:hAnsi="宋体" w:cs="宋体"/>
          <w:color w:val="auto"/>
          <w:sz w:val="22"/>
          <w:szCs w:val="22"/>
          <w:highlight w:val="none"/>
          <w:lang w:eastAsia="zh-CN"/>
        </w:rPr>
        <w:t>陈</w:t>
      </w:r>
      <w:r>
        <w:rPr>
          <w:rFonts w:hint="eastAsia" w:ascii="宋体" w:hAnsi="宋体" w:cs="宋体"/>
          <w:color w:val="auto"/>
          <w:sz w:val="22"/>
          <w:szCs w:val="22"/>
          <w:highlight w:val="none"/>
          <w:lang w:val="en-US" w:eastAsia="zh-CN"/>
        </w:rPr>
        <w:t>强强</w:t>
      </w:r>
      <w:r>
        <w:rPr>
          <w:rFonts w:hint="eastAsia" w:ascii="宋体" w:hAnsi="宋体" w:eastAsia="宋体" w:cs="宋体"/>
          <w:color w:val="auto"/>
          <w:sz w:val="22"/>
          <w:szCs w:val="22"/>
          <w:highlight w:val="none"/>
        </w:rPr>
        <w:t>             </w:t>
      </w:r>
    </w:p>
    <w:p>
      <w:pPr>
        <w:spacing w:line="500" w:lineRule="exact"/>
        <w:ind w:firstLine="440" w:firstLineChars="200"/>
        <w:rPr>
          <w:rFonts w:hint="eastAsia" w:ascii="仿宋" w:hAnsi="仿宋" w:eastAsia="仿宋" w:cs="仿宋"/>
          <w:i w:val="0"/>
          <w:iCs w:val="0"/>
          <w:caps w:val="0"/>
          <w:color w:val="auto"/>
          <w:spacing w:val="0"/>
          <w:sz w:val="27"/>
          <w:szCs w:val="27"/>
          <w:highlight w:val="none"/>
        </w:rPr>
      </w:pPr>
      <w:r>
        <w:rPr>
          <w:rFonts w:hint="eastAsia" w:ascii="宋体" w:hAnsi="宋体" w:eastAsia="宋体" w:cs="宋体"/>
          <w:color w:val="auto"/>
          <w:sz w:val="22"/>
          <w:szCs w:val="22"/>
          <w:highlight w:val="none"/>
        </w:rPr>
        <w:t>质疑联系方式：</w:t>
      </w:r>
      <w:r>
        <w:rPr>
          <w:rFonts w:hint="eastAsia" w:ascii="宋体" w:hAnsi="宋体" w:cs="宋体"/>
          <w:color w:val="auto"/>
          <w:sz w:val="22"/>
          <w:szCs w:val="22"/>
          <w:highlight w:val="none"/>
          <w:lang w:eastAsia="zh-CN"/>
        </w:rPr>
        <w:t>0577-88286582</w:t>
      </w:r>
      <w:r>
        <w:rPr>
          <w:rFonts w:hint="eastAsia" w:ascii="宋体" w:hAnsi="宋体" w:eastAsia="宋体" w:cs="宋体"/>
          <w:color w:val="auto"/>
          <w:sz w:val="22"/>
          <w:szCs w:val="22"/>
          <w:highlight w:val="none"/>
        </w:rPr>
        <w:t> 　　　</w:t>
      </w:r>
      <w:r>
        <w:rPr>
          <w:rFonts w:hint="eastAsia" w:ascii="仿宋" w:hAnsi="仿宋" w:eastAsia="仿宋" w:cs="仿宋"/>
          <w:i w:val="0"/>
          <w:iCs w:val="0"/>
          <w:caps w:val="0"/>
          <w:color w:val="auto"/>
          <w:spacing w:val="0"/>
          <w:sz w:val="27"/>
          <w:szCs w:val="27"/>
          <w:highlight w:val="none"/>
        </w:rPr>
        <w:t>　</w:t>
      </w:r>
    </w:p>
    <w:p>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3.同级政府采购监督管理部门 </w:t>
      </w:r>
    </w:p>
    <w:p>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    称：温州市瓯海区财政局             </w:t>
      </w:r>
    </w:p>
    <w:p>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址：温州市瓯海区洲洋路6号瓯海区行政管理中心1号楼            </w:t>
      </w:r>
    </w:p>
    <w:p>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传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真：/             </w:t>
      </w:r>
    </w:p>
    <w:p>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联系人 ：徐先生             </w:t>
      </w:r>
    </w:p>
    <w:p>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监督投诉电话：0577-88534479、0577-88522238  </w:t>
      </w:r>
      <w:r>
        <w:rPr>
          <w:rFonts w:hint="eastAsia" w:ascii="宋体" w:hAnsi="宋体" w:eastAsia="宋体" w:cs="宋体"/>
          <w:color w:val="auto"/>
          <w:sz w:val="22"/>
          <w:szCs w:val="22"/>
          <w:highlight w:val="none"/>
        </w:rPr>
        <w:br w:type="textWrapping"/>
      </w:r>
    </w:p>
    <w:p>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kern w:val="0"/>
          <w:sz w:val="22"/>
          <w:szCs w:val="22"/>
          <w:highlight w:val="none"/>
          <w:lang w:val="en-US" w:eastAsia="zh-CN"/>
        </w:rPr>
        <w:t>95763</w:t>
      </w:r>
      <w:r>
        <w:rPr>
          <w:rFonts w:hint="eastAsia" w:ascii="宋体" w:hAnsi="宋体" w:eastAsia="宋体" w:cs="宋体"/>
          <w:color w:val="auto"/>
          <w:kern w:val="0"/>
          <w:sz w:val="22"/>
          <w:szCs w:val="22"/>
          <w:highlight w:val="none"/>
        </w:rPr>
        <w:t>获取热线服务帮助。       </w:t>
      </w:r>
    </w:p>
    <w:p>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CA问题联系电话（人工）：汇信CA 400-888-4636；天谷CA 400-087-8198。</w:t>
      </w:r>
    </w:p>
    <w:p>
      <w:pPr>
        <w:widowControl/>
        <w:jc w:val="left"/>
        <w:rPr>
          <w:rFonts w:hint="eastAsia" w:ascii="宋体" w:hAnsi="宋体" w:eastAsia="宋体" w:cs="宋体"/>
          <w:color w:val="auto"/>
          <w:sz w:val="22"/>
          <w:szCs w:val="22"/>
          <w:highlight w:val="none"/>
        </w:rPr>
      </w:pPr>
      <w:bookmarkStart w:id="4" w:name="_Toc241404197"/>
      <w:bookmarkStart w:id="5" w:name="_Toc249758707"/>
      <w:bookmarkStart w:id="6" w:name="_Toc239145349"/>
      <w:bookmarkStart w:id="7" w:name="_Toc222114874"/>
      <w:bookmarkStart w:id="8" w:name="_Toc262049413"/>
      <w:bookmarkStart w:id="9" w:name="_Toc245191309"/>
      <w:bookmarkStart w:id="10" w:name="_Toc221374621"/>
      <w:bookmarkStart w:id="11" w:name="_Toc262105498"/>
      <w:bookmarkStart w:id="12" w:name="_Toc221356946"/>
      <w:bookmarkStart w:id="13" w:name="_Toc246261260"/>
      <w:bookmarkStart w:id="14" w:name="_Toc245722276"/>
      <w:bookmarkStart w:id="15" w:name="_Toc221356881"/>
      <w:bookmarkStart w:id="16" w:name="_Toc223715993"/>
      <w:bookmarkStart w:id="17" w:name="_Toc221423614"/>
      <w:bookmarkStart w:id="18" w:name="_Toc249758859"/>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Pr>
        <w:pStyle w:val="2"/>
        <w:spacing w:before="120" w:after="120"/>
        <w:rPr>
          <w:rFonts w:hint="eastAsia" w:ascii="宋体" w:hAnsi="宋体" w:eastAsia="宋体" w:cs="宋体"/>
          <w:color w:val="auto"/>
          <w:sz w:val="36"/>
          <w:szCs w:val="36"/>
          <w:highlight w:val="none"/>
        </w:rPr>
      </w:pPr>
      <w:bookmarkStart w:id="19" w:name="_Toc245191310"/>
      <w:bookmarkStart w:id="20" w:name="_Toc245722277"/>
      <w:bookmarkStart w:id="21" w:name="_Toc221374622"/>
      <w:bookmarkStart w:id="22" w:name="_Toc262105499"/>
      <w:bookmarkStart w:id="23" w:name="_Toc249758860"/>
      <w:bookmarkStart w:id="24" w:name="_Toc223715994"/>
      <w:bookmarkStart w:id="25" w:name="_Toc239145350"/>
      <w:bookmarkStart w:id="26" w:name="_Toc249758708"/>
      <w:bookmarkStart w:id="27" w:name="_Toc222114875"/>
      <w:bookmarkStart w:id="28" w:name="_Toc26377"/>
      <w:bookmarkStart w:id="29" w:name="_Toc221423615"/>
      <w:bookmarkStart w:id="30" w:name="_Toc221356947"/>
      <w:bookmarkStart w:id="31" w:name="_Toc221356882"/>
      <w:bookmarkStart w:id="32" w:name="_Toc246261261"/>
      <w:bookmarkStart w:id="33" w:name="_Toc241404198"/>
      <w:bookmarkStart w:id="34" w:name="_Toc262049414"/>
      <w:r>
        <w:rPr>
          <w:rFonts w:hint="eastAsia" w:ascii="宋体" w:hAnsi="宋体" w:eastAsia="宋体" w:cs="宋体"/>
          <w:color w:val="auto"/>
          <w:sz w:val="36"/>
          <w:szCs w:val="36"/>
          <w:highlight w:val="none"/>
        </w:rPr>
        <w:t>第一部分    供应商须知</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pStyle w:val="2"/>
        <w:spacing w:before="120" w:after="120"/>
        <w:rPr>
          <w:rFonts w:hint="eastAsia" w:ascii="宋体" w:hAnsi="宋体" w:eastAsia="宋体" w:cs="宋体"/>
          <w:color w:val="auto"/>
          <w:sz w:val="26"/>
          <w:szCs w:val="26"/>
          <w:highlight w:val="none"/>
        </w:rPr>
      </w:pPr>
      <w:bookmarkStart w:id="35" w:name="_Toc18758"/>
      <w:bookmarkStart w:id="36" w:name="_Toc241404199"/>
      <w:bookmarkStart w:id="37" w:name="_Toc221356948"/>
      <w:bookmarkStart w:id="38" w:name="_Toc222114876"/>
      <w:bookmarkStart w:id="39" w:name="_Toc246261262"/>
      <w:bookmarkStart w:id="40" w:name="_Toc262049415"/>
      <w:bookmarkStart w:id="41" w:name="_Toc249758709"/>
      <w:bookmarkStart w:id="42" w:name="_Toc223715995"/>
      <w:bookmarkStart w:id="43" w:name="_Toc239145351"/>
      <w:bookmarkStart w:id="44" w:name="_Toc221423616"/>
      <w:bookmarkStart w:id="45" w:name="_Toc221374623"/>
      <w:bookmarkStart w:id="46" w:name="_Toc245722278"/>
      <w:bookmarkStart w:id="47" w:name="_Toc221356883"/>
      <w:bookmarkStart w:id="48" w:name="_Toc245191311"/>
      <w:bookmarkStart w:id="49" w:name="_Toc249758861"/>
      <w:bookmarkStart w:id="50" w:name="_Toc262105500"/>
      <w:r>
        <w:rPr>
          <w:rFonts w:hint="eastAsia" w:ascii="宋体" w:hAnsi="宋体" w:eastAsia="宋体" w:cs="宋体"/>
          <w:color w:val="auto"/>
          <w:sz w:val="26"/>
          <w:szCs w:val="26"/>
          <w:highlight w:val="none"/>
        </w:rPr>
        <w:t xml:space="preserve">一、  </w:t>
      </w:r>
      <w:bookmarkStart w:id="51" w:name="_Toc27051"/>
      <w:r>
        <w:rPr>
          <w:rFonts w:hint="eastAsia" w:ascii="宋体" w:hAnsi="宋体" w:eastAsia="宋体" w:cs="宋体"/>
          <w:color w:val="auto"/>
          <w:sz w:val="26"/>
          <w:szCs w:val="26"/>
          <w:highlight w:val="none"/>
        </w:rPr>
        <w:t>供应商须知前附表</w:t>
      </w:r>
      <w:bookmarkEnd w:id="35"/>
      <w:bookmarkEnd w:id="51"/>
    </w:p>
    <w:tbl>
      <w:tblPr>
        <w:tblStyle w:val="38"/>
        <w:tblW w:w="4982" w:type="pct"/>
        <w:tblInd w:w="0" w:type="dxa"/>
        <w:tblLayout w:type="autofit"/>
        <w:tblCellMar>
          <w:top w:w="0" w:type="dxa"/>
          <w:left w:w="108" w:type="dxa"/>
          <w:bottom w:w="0" w:type="dxa"/>
          <w:right w:w="108" w:type="dxa"/>
        </w:tblCellMar>
      </w:tblPr>
      <w:tblGrid>
        <w:gridCol w:w="776"/>
        <w:gridCol w:w="1517"/>
        <w:gridCol w:w="7526"/>
      </w:tblGrid>
      <w:tr>
        <w:trPr>
          <w:trHeight w:val="567"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序号</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条款名称</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编列内容</w:t>
            </w:r>
          </w:p>
        </w:tc>
      </w:tr>
      <w:tr>
        <w:tblPrEx>
          <w:tblCellMar>
            <w:top w:w="0" w:type="dxa"/>
            <w:left w:w="108" w:type="dxa"/>
            <w:bottom w:w="0" w:type="dxa"/>
            <w:right w:w="108" w:type="dxa"/>
          </w:tblCellMar>
        </w:tblPrEx>
        <w:trPr>
          <w:trHeight w:val="967"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采购人</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rPr>
                <w:rFonts w:hint="eastAsia" w:ascii="宋体" w:hAnsi="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采购人：温州市瓯海区人民政府茶山街道办事处</w:t>
            </w:r>
          </w:p>
          <w:p>
            <w:pPr>
              <w:spacing w:line="400" w:lineRule="exact"/>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eastAsia="zh-CN"/>
              </w:rPr>
              <w:t>联系人：</w:t>
            </w:r>
            <w:r>
              <w:rPr>
                <w:rFonts w:hint="eastAsia" w:ascii="宋体" w:hAnsi="宋体" w:cs="宋体"/>
                <w:color w:val="auto"/>
                <w:kern w:val="0"/>
                <w:sz w:val="22"/>
                <w:szCs w:val="22"/>
                <w:highlight w:val="none"/>
                <w:lang w:val="en-US" w:eastAsia="zh-CN"/>
              </w:rPr>
              <w:t>诸先生</w:t>
            </w:r>
          </w:p>
          <w:p>
            <w:pPr>
              <w:spacing w:line="400" w:lineRule="exact"/>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eastAsia="zh-CN"/>
              </w:rPr>
              <w:t>电话 / 传真：</w:t>
            </w:r>
            <w:r>
              <w:rPr>
                <w:rFonts w:hint="eastAsia" w:ascii="宋体" w:hAnsi="宋体" w:cs="宋体"/>
                <w:color w:val="auto"/>
                <w:kern w:val="0"/>
                <w:sz w:val="22"/>
                <w:szCs w:val="22"/>
                <w:highlight w:val="none"/>
                <w:lang w:val="en-US" w:eastAsia="zh-CN"/>
              </w:rPr>
              <w:t>0577-86683590</w:t>
            </w:r>
          </w:p>
        </w:tc>
      </w:tr>
      <w:tr>
        <w:tblPrEx>
          <w:tblCellMar>
            <w:top w:w="0" w:type="dxa"/>
            <w:left w:w="108" w:type="dxa"/>
            <w:bottom w:w="0" w:type="dxa"/>
            <w:right w:w="108" w:type="dxa"/>
          </w:tblCellMar>
        </w:tblPrEx>
        <w:trPr>
          <w:trHeight w:val="980"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2</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采购代理机构</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代理机构名称：</w:t>
            </w:r>
            <w:r>
              <w:rPr>
                <w:rFonts w:hint="eastAsia" w:ascii="宋体" w:hAnsi="宋体" w:cs="宋体"/>
                <w:color w:val="auto"/>
                <w:sz w:val="22"/>
                <w:szCs w:val="22"/>
                <w:highlight w:val="none"/>
                <w:lang w:eastAsia="zh-CN"/>
              </w:rPr>
              <w:t>温州中致工程项目管理有限公司</w:t>
            </w:r>
          </w:p>
          <w:p>
            <w:p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代理机构地址：</w:t>
            </w:r>
            <w:r>
              <w:rPr>
                <w:rFonts w:hint="eastAsia" w:ascii="宋体" w:hAnsi="宋体" w:cs="宋体"/>
                <w:color w:val="auto"/>
                <w:sz w:val="22"/>
                <w:szCs w:val="22"/>
                <w:highlight w:val="none"/>
                <w:lang w:eastAsia="zh-CN"/>
              </w:rPr>
              <w:t>温州市鹿城区南汇街道车站大道万顺大厦A-804</w:t>
            </w:r>
          </w:p>
          <w:p>
            <w:p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 xml:space="preserve">联系人： </w:t>
            </w:r>
            <w:r>
              <w:rPr>
                <w:rFonts w:hint="eastAsia" w:ascii="宋体" w:hAnsi="宋体" w:cs="宋体"/>
                <w:color w:val="auto"/>
                <w:sz w:val="22"/>
                <w:szCs w:val="22"/>
                <w:highlight w:val="none"/>
                <w:lang w:eastAsia="zh-CN"/>
              </w:rPr>
              <w:t>张先生</w:t>
            </w:r>
          </w:p>
          <w:p>
            <w:p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电话：</w:t>
            </w:r>
            <w:r>
              <w:rPr>
                <w:rFonts w:hint="eastAsia" w:ascii="宋体" w:hAnsi="宋体" w:cs="宋体"/>
                <w:color w:val="auto"/>
                <w:sz w:val="22"/>
                <w:szCs w:val="22"/>
                <w:highlight w:val="none"/>
                <w:lang w:eastAsia="zh-CN"/>
              </w:rPr>
              <w:t>15158685636</w:t>
            </w:r>
          </w:p>
        </w:tc>
      </w:tr>
      <w:tr>
        <w:tblPrEx>
          <w:tblCellMar>
            <w:top w:w="0" w:type="dxa"/>
            <w:left w:w="108" w:type="dxa"/>
            <w:bottom w:w="0" w:type="dxa"/>
            <w:right w:w="108" w:type="dxa"/>
          </w:tblCellMar>
        </w:tblPrEx>
        <w:trPr>
          <w:trHeight w:val="750"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3</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采购名称</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项目名称：</w:t>
            </w:r>
            <w:r>
              <w:rPr>
                <w:rFonts w:hint="eastAsia" w:ascii="宋体" w:hAnsi="宋体" w:cs="宋体"/>
                <w:color w:val="auto"/>
                <w:sz w:val="22"/>
                <w:szCs w:val="22"/>
                <w:highlight w:val="none"/>
                <w:lang w:eastAsia="zh-CN"/>
              </w:rPr>
              <w:t>2024年茶山街道机关食堂外包运营服务</w:t>
            </w:r>
          </w:p>
          <w:p>
            <w:p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磋商编号：</w:t>
            </w:r>
            <w:r>
              <w:rPr>
                <w:rFonts w:hint="eastAsia" w:ascii="宋体" w:hAnsi="宋体" w:cs="宋体"/>
                <w:color w:val="auto"/>
                <w:sz w:val="22"/>
                <w:szCs w:val="22"/>
                <w:highlight w:val="none"/>
                <w:lang w:eastAsia="zh-CN"/>
              </w:rPr>
              <w:t>ZZGC-ZBCG-202405</w:t>
            </w:r>
          </w:p>
        </w:tc>
      </w:tr>
      <w:tr>
        <w:tblPrEx>
          <w:tblCellMar>
            <w:top w:w="0" w:type="dxa"/>
            <w:left w:w="108" w:type="dxa"/>
            <w:bottom w:w="0" w:type="dxa"/>
            <w:right w:w="108" w:type="dxa"/>
          </w:tblCellMar>
        </w:tblPrEx>
        <w:trPr>
          <w:trHeight w:val="50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4</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采购内容</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ind w:right="-34"/>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具体内容及要求见竞争性磋商文件。</w:t>
            </w:r>
          </w:p>
        </w:tc>
      </w:tr>
      <w:tr>
        <w:tblPrEx>
          <w:tblCellMar>
            <w:top w:w="0" w:type="dxa"/>
            <w:left w:w="108" w:type="dxa"/>
            <w:bottom w:w="0" w:type="dxa"/>
            <w:right w:w="108" w:type="dxa"/>
          </w:tblCellMar>
        </w:tblPrEx>
        <w:trPr>
          <w:trHeight w:val="443"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5</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360" w:lineRule="exact"/>
              <w:rPr>
                <w:rFonts w:hint="eastAsia" w:ascii="宋体" w:hAnsi="宋体" w:eastAsia="宋体" w:cs="宋体"/>
                <w:color w:val="auto"/>
                <w:kern w:val="0"/>
                <w:sz w:val="22"/>
                <w:szCs w:val="22"/>
                <w:highlight w:val="none"/>
                <w:lang w:val="zh-CN"/>
              </w:rPr>
            </w:pPr>
            <w:r>
              <w:rPr>
                <w:rFonts w:hint="eastAsia" w:ascii="宋体" w:hAnsi="宋体" w:eastAsia="宋体" w:cs="宋体"/>
                <w:b/>
                <w:color w:val="auto"/>
                <w:kern w:val="0"/>
                <w:sz w:val="22"/>
                <w:szCs w:val="22"/>
                <w:highlight w:val="none"/>
              </w:rPr>
              <w:t>核心产品</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360" w:lineRule="exact"/>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本项目为服务类采购，无核心产品。</w:t>
            </w:r>
          </w:p>
        </w:tc>
      </w:tr>
      <w:tr>
        <w:tblPrEx>
          <w:tblCellMar>
            <w:top w:w="0" w:type="dxa"/>
            <w:left w:w="108" w:type="dxa"/>
            <w:bottom w:w="0" w:type="dxa"/>
            <w:right w:w="108" w:type="dxa"/>
          </w:tblCellMar>
        </w:tblPrEx>
        <w:trPr>
          <w:trHeight w:val="94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6</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u w:val="single"/>
                <w:lang w:val="zh-CN"/>
              </w:rPr>
              <w:t>▲</w:t>
            </w:r>
            <w:r>
              <w:rPr>
                <w:rFonts w:hint="eastAsia" w:ascii="宋体" w:hAnsi="宋体" w:eastAsia="宋体" w:cs="宋体"/>
                <w:b/>
                <w:bCs/>
                <w:color w:val="auto"/>
                <w:kern w:val="0"/>
                <w:sz w:val="22"/>
                <w:szCs w:val="22"/>
                <w:highlight w:val="none"/>
                <w:u w:val="single"/>
              </w:rPr>
              <w:t>供应商</w:t>
            </w:r>
            <w:r>
              <w:rPr>
                <w:rFonts w:hint="eastAsia" w:ascii="宋体" w:hAnsi="宋体" w:eastAsia="宋体" w:cs="宋体"/>
                <w:b/>
                <w:bCs/>
                <w:color w:val="auto"/>
                <w:kern w:val="0"/>
                <w:sz w:val="22"/>
                <w:szCs w:val="22"/>
                <w:highlight w:val="none"/>
                <w:u w:val="single"/>
                <w:lang w:val="zh-CN"/>
              </w:rPr>
              <w:t>资质格要求</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spacing w:before="60" w:after="60" w:line="360" w:lineRule="exact"/>
              <w:ind w:right="6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详见磋商公告</w:t>
            </w:r>
          </w:p>
        </w:tc>
      </w:tr>
      <w:tr>
        <w:tblPrEx>
          <w:tblCellMar>
            <w:top w:w="0" w:type="dxa"/>
            <w:left w:w="108" w:type="dxa"/>
            <w:bottom w:w="0" w:type="dxa"/>
            <w:right w:w="108" w:type="dxa"/>
          </w:tblCellMar>
        </w:tblPrEx>
        <w:trPr>
          <w:trHeight w:val="73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7</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是否接受联合体磋商</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b/>
                <w:snapToGrid w:val="0"/>
                <w:color w:val="auto"/>
                <w:sz w:val="22"/>
                <w:szCs w:val="22"/>
                <w:highlight w:val="none"/>
              </w:rPr>
              <w:sym w:font="Wingdings" w:char="F0FE"/>
            </w:r>
            <w:r>
              <w:rPr>
                <w:rFonts w:hint="eastAsia" w:ascii="宋体" w:hAnsi="宋体" w:eastAsia="宋体" w:cs="宋体"/>
                <w:color w:val="auto"/>
                <w:kern w:val="0"/>
                <w:sz w:val="22"/>
                <w:szCs w:val="22"/>
                <w:highlight w:val="none"/>
                <w:lang w:val="zh-CN"/>
              </w:rPr>
              <w:t>不接受</w:t>
            </w:r>
          </w:p>
          <w:p>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□接受</w:t>
            </w:r>
          </w:p>
        </w:tc>
      </w:tr>
      <w:tr>
        <w:tblPrEx>
          <w:tblCellMar>
            <w:top w:w="0" w:type="dxa"/>
            <w:left w:w="108" w:type="dxa"/>
            <w:bottom w:w="0" w:type="dxa"/>
            <w:right w:w="108" w:type="dxa"/>
          </w:tblCellMar>
        </w:tblPrEx>
        <w:trPr>
          <w:trHeight w:val="73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8</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踏勘现场</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sym w:font="Wingdings 2" w:char="00A3"/>
            </w:r>
            <w:r>
              <w:rPr>
                <w:rFonts w:hint="eastAsia" w:ascii="宋体" w:hAnsi="宋体" w:eastAsia="宋体" w:cs="宋体"/>
                <w:color w:val="auto"/>
                <w:kern w:val="0"/>
                <w:sz w:val="22"/>
                <w:szCs w:val="22"/>
                <w:highlight w:val="none"/>
                <w:lang w:val="zh-CN"/>
              </w:rPr>
              <w:t>组织</w:t>
            </w:r>
          </w:p>
          <w:p>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b/>
                <w:snapToGrid w:val="0"/>
                <w:color w:val="auto"/>
                <w:sz w:val="22"/>
                <w:szCs w:val="22"/>
                <w:highlight w:val="none"/>
              </w:rPr>
              <w:sym w:font="Wingdings" w:char="F0FE"/>
            </w:r>
            <w:r>
              <w:rPr>
                <w:rFonts w:hint="eastAsia" w:ascii="宋体" w:hAnsi="宋体" w:eastAsia="宋体" w:cs="宋体"/>
                <w:color w:val="auto"/>
                <w:kern w:val="0"/>
                <w:sz w:val="22"/>
                <w:szCs w:val="22"/>
                <w:highlight w:val="none"/>
                <w:lang w:val="zh-CN"/>
              </w:rPr>
              <w:t>不组织</w:t>
            </w:r>
          </w:p>
        </w:tc>
      </w:tr>
      <w:tr>
        <w:tblPrEx>
          <w:tblCellMar>
            <w:top w:w="0" w:type="dxa"/>
            <w:left w:w="108" w:type="dxa"/>
            <w:bottom w:w="0" w:type="dxa"/>
            <w:right w:w="108" w:type="dxa"/>
          </w:tblCellMar>
        </w:tblPrEx>
        <w:trPr>
          <w:trHeight w:val="73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9</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投标预备会</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□召开</w:t>
            </w:r>
            <w:r>
              <w:rPr>
                <w:rFonts w:hint="eastAsia" w:ascii="宋体" w:hAnsi="宋体" w:eastAsia="宋体" w:cs="宋体"/>
                <w:b/>
                <w:snapToGrid w:val="0"/>
                <w:color w:val="auto"/>
                <w:sz w:val="22"/>
                <w:szCs w:val="22"/>
                <w:highlight w:val="none"/>
              </w:rPr>
              <w:sym w:font="Wingdings" w:char="F0FE"/>
            </w:r>
            <w:r>
              <w:rPr>
                <w:rFonts w:hint="eastAsia" w:ascii="宋体" w:hAnsi="宋体" w:eastAsia="宋体" w:cs="宋体"/>
                <w:color w:val="auto"/>
                <w:kern w:val="0"/>
                <w:sz w:val="22"/>
                <w:szCs w:val="22"/>
                <w:highlight w:val="none"/>
                <w:lang w:val="zh-CN"/>
              </w:rPr>
              <w:t>不召开</w:t>
            </w:r>
          </w:p>
        </w:tc>
      </w:tr>
      <w:tr>
        <w:tblPrEx>
          <w:tblCellMar>
            <w:top w:w="0" w:type="dxa"/>
            <w:left w:w="108" w:type="dxa"/>
            <w:bottom w:w="0" w:type="dxa"/>
            <w:right w:w="108" w:type="dxa"/>
          </w:tblCellMar>
        </w:tblPrEx>
        <w:trPr>
          <w:trHeight w:val="73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10</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磋商</w:t>
            </w:r>
            <w:r>
              <w:rPr>
                <w:rFonts w:hint="eastAsia" w:ascii="宋体" w:hAnsi="宋体" w:eastAsia="宋体" w:cs="宋体"/>
                <w:color w:val="auto"/>
                <w:kern w:val="0"/>
                <w:sz w:val="22"/>
                <w:szCs w:val="22"/>
                <w:highlight w:val="none"/>
              </w:rPr>
              <w:t>响应</w:t>
            </w:r>
            <w:r>
              <w:rPr>
                <w:rFonts w:hint="eastAsia" w:ascii="宋体" w:hAnsi="宋体" w:eastAsia="宋体" w:cs="宋体"/>
                <w:color w:val="auto"/>
                <w:kern w:val="0"/>
                <w:sz w:val="22"/>
                <w:szCs w:val="22"/>
                <w:highlight w:val="none"/>
                <w:lang w:val="zh-CN"/>
              </w:rPr>
              <w:t>截止时间</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宋体" w:hAnsi="宋体" w:eastAsia="宋体" w:cs="宋体"/>
                <w:color w:val="auto"/>
                <w:kern w:val="0"/>
                <w:sz w:val="22"/>
                <w:szCs w:val="22"/>
                <w:highlight w:val="none"/>
              </w:rPr>
            </w:pPr>
            <w:r>
              <w:rPr>
                <w:rFonts w:hint="eastAsia" w:ascii="宋体" w:hAnsi="宋体" w:eastAsia="宋体" w:cs="宋体"/>
                <w:bCs/>
                <w:color w:val="auto"/>
                <w:kern w:val="0"/>
                <w:sz w:val="22"/>
                <w:szCs w:val="22"/>
                <w:highlight w:val="none"/>
              </w:rPr>
              <w:t>见竞争性磋商公告</w:t>
            </w:r>
          </w:p>
        </w:tc>
      </w:tr>
      <w:tr>
        <w:tblPrEx>
          <w:tblCellMar>
            <w:top w:w="0" w:type="dxa"/>
            <w:left w:w="108" w:type="dxa"/>
            <w:bottom w:w="0" w:type="dxa"/>
            <w:right w:w="108" w:type="dxa"/>
          </w:tblCellMar>
        </w:tblPrEx>
        <w:trPr>
          <w:trHeight w:val="53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11</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分包</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□允许</w:t>
            </w:r>
            <w:r>
              <w:rPr>
                <w:rFonts w:hint="eastAsia" w:ascii="宋体" w:hAnsi="宋体" w:eastAsia="宋体" w:cs="宋体"/>
                <w:b/>
                <w:snapToGrid w:val="0"/>
                <w:color w:val="auto"/>
                <w:sz w:val="22"/>
                <w:szCs w:val="22"/>
                <w:highlight w:val="none"/>
              </w:rPr>
              <w:sym w:font="Wingdings" w:char="F0FE"/>
            </w:r>
            <w:r>
              <w:rPr>
                <w:rFonts w:hint="eastAsia" w:ascii="宋体" w:hAnsi="宋体" w:eastAsia="宋体" w:cs="宋体"/>
                <w:color w:val="auto"/>
                <w:kern w:val="0"/>
                <w:sz w:val="22"/>
                <w:szCs w:val="22"/>
                <w:highlight w:val="none"/>
                <w:lang w:val="zh-CN"/>
              </w:rPr>
              <w:t>不允许</w:t>
            </w:r>
          </w:p>
        </w:tc>
      </w:tr>
      <w:tr>
        <w:tblPrEx>
          <w:tblCellMar>
            <w:top w:w="0" w:type="dxa"/>
            <w:left w:w="108" w:type="dxa"/>
            <w:bottom w:w="0" w:type="dxa"/>
            <w:right w:w="108" w:type="dxa"/>
          </w:tblCellMar>
        </w:tblPrEx>
        <w:trPr>
          <w:trHeight w:val="1080"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12</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偏离</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偏差允许幅度及其处理方法：允许细微偏差，不允许重大偏差。由磋商小组判断，细微偏差要求供应商在评标结束前予以澄清、说明或补正，不接受要求进行的，</w:t>
            </w:r>
            <w:r>
              <w:rPr>
                <w:rFonts w:hint="eastAsia" w:ascii="宋体" w:hAnsi="宋体" w:eastAsia="宋体" w:cs="宋体"/>
                <w:color w:val="auto"/>
                <w:kern w:val="0"/>
                <w:sz w:val="22"/>
                <w:szCs w:val="22"/>
                <w:highlight w:val="none"/>
              </w:rPr>
              <w:t>磋商小组</w:t>
            </w:r>
            <w:r>
              <w:rPr>
                <w:rFonts w:hint="eastAsia" w:ascii="宋体" w:hAnsi="宋体" w:eastAsia="宋体" w:cs="宋体"/>
                <w:color w:val="auto"/>
                <w:kern w:val="0"/>
                <w:sz w:val="22"/>
                <w:szCs w:val="22"/>
                <w:highlight w:val="none"/>
                <w:lang w:val="zh-CN"/>
              </w:rPr>
              <w:t>有权做无效标处理，详见评标办法。</w:t>
            </w:r>
          </w:p>
        </w:tc>
      </w:tr>
      <w:tr>
        <w:tblPrEx>
          <w:tblCellMar>
            <w:top w:w="0" w:type="dxa"/>
            <w:left w:w="108" w:type="dxa"/>
            <w:bottom w:w="0" w:type="dxa"/>
            <w:right w:w="108" w:type="dxa"/>
          </w:tblCellMar>
        </w:tblPrEx>
        <w:trPr>
          <w:trHeight w:val="68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13</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磋商有效期</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自磋商</w:t>
            </w:r>
            <w:r>
              <w:rPr>
                <w:rFonts w:hint="eastAsia" w:ascii="宋体" w:hAnsi="宋体" w:eastAsia="宋体" w:cs="宋体"/>
                <w:color w:val="auto"/>
                <w:kern w:val="0"/>
                <w:sz w:val="22"/>
                <w:szCs w:val="22"/>
                <w:highlight w:val="none"/>
              </w:rPr>
              <w:t>响应</w:t>
            </w:r>
            <w:r>
              <w:rPr>
                <w:rFonts w:hint="eastAsia" w:ascii="宋体" w:hAnsi="宋体" w:eastAsia="宋体" w:cs="宋体"/>
                <w:color w:val="auto"/>
                <w:kern w:val="0"/>
                <w:sz w:val="22"/>
                <w:szCs w:val="22"/>
                <w:highlight w:val="none"/>
                <w:lang w:val="zh-CN"/>
              </w:rPr>
              <w:t>截止时间起生效，有效期90天。</w:t>
            </w:r>
          </w:p>
        </w:tc>
      </w:tr>
      <w:tr>
        <w:tblPrEx>
          <w:tblCellMar>
            <w:top w:w="0" w:type="dxa"/>
            <w:left w:w="108" w:type="dxa"/>
            <w:bottom w:w="0" w:type="dxa"/>
            <w:right w:w="108" w:type="dxa"/>
          </w:tblCellMar>
        </w:tblPrEx>
        <w:trPr>
          <w:trHeight w:val="846"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14</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投标保证金</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无需提交</w:t>
            </w:r>
          </w:p>
        </w:tc>
      </w:tr>
      <w:tr>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15</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rPr>
              <w:t>响应文件</w:t>
            </w:r>
            <w:r>
              <w:rPr>
                <w:rFonts w:hint="eastAsia" w:ascii="宋体" w:hAnsi="宋体" w:eastAsia="宋体" w:cs="宋体"/>
                <w:b/>
                <w:bCs/>
                <w:color w:val="auto"/>
                <w:kern w:val="0"/>
                <w:sz w:val="22"/>
                <w:szCs w:val="22"/>
                <w:highlight w:val="none"/>
                <w:lang w:val="zh-CN"/>
              </w:rPr>
              <w:t>的组成</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由“资格响应文件”、“</w:t>
            </w:r>
            <w:r>
              <w:rPr>
                <w:rFonts w:hint="eastAsia" w:ascii="宋体" w:hAnsi="宋体" w:eastAsia="宋体" w:cs="宋体"/>
                <w:b/>
                <w:bCs/>
                <w:color w:val="auto"/>
                <w:kern w:val="0"/>
                <w:sz w:val="22"/>
                <w:szCs w:val="22"/>
                <w:highlight w:val="none"/>
              </w:rPr>
              <w:t>商务技术响应文件</w:t>
            </w:r>
            <w:r>
              <w:rPr>
                <w:rFonts w:hint="eastAsia" w:ascii="宋体" w:hAnsi="宋体" w:eastAsia="宋体" w:cs="宋体"/>
                <w:b/>
                <w:bCs/>
                <w:color w:val="auto"/>
                <w:kern w:val="0"/>
                <w:sz w:val="22"/>
                <w:szCs w:val="22"/>
                <w:highlight w:val="none"/>
                <w:lang w:val="zh-CN"/>
              </w:rPr>
              <w:t>”和“报价响应文件”三个部分组成。</w:t>
            </w:r>
          </w:p>
        </w:tc>
      </w:tr>
      <w:tr>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16</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rPr>
              <w:t>响应文件</w:t>
            </w:r>
            <w:r>
              <w:rPr>
                <w:rFonts w:hint="eastAsia" w:ascii="宋体" w:hAnsi="宋体" w:eastAsia="宋体" w:cs="宋体"/>
                <w:b/>
                <w:bCs/>
                <w:color w:val="auto"/>
                <w:kern w:val="0"/>
                <w:sz w:val="22"/>
                <w:szCs w:val="22"/>
                <w:highlight w:val="none"/>
                <w:lang w:val="zh-CN"/>
              </w:rPr>
              <w:t>的编制</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供应商应先安装“政采云</w:t>
            </w:r>
            <w:r>
              <w:rPr>
                <w:rFonts w:hint="eastAsia" w:ascii="宋体" w:hAnsi="宋体" w:eastAsia="宋体" w:cs="宋体"/>
                <w:b/>
                <w:bCs/>
                <w:color w:val="auto"/>
                <w:kern w:val="0"/>
                <w:sz w:val="22"/>
                <w:szCs w:val="22"/>
                <w:highlight w:val="none"/>
              </w:rPr>
              <w:t>投标</w:t>
            </w:r>
            <w:r>
              <w:rPr>
                <w:rFonts w:hint="eastAsia" w:ascii="宋体" w:hAnsi="宋体" w:eastAsia="宋体" w:cs="宋体"/>
                <w:b/>
                <w:bCs/>
                <w:color w:val="auto"/>
                <w:kern w:val="0"/>
                <w:sz w:val="22"/>
                <w:szCs w:val="22"/>
                <w:highlight w:val="none"/>
                <w:lang w:val="zh-CN"/>
              </w:rPr>
              <w:t>客户端”，并按照本</w:t>
            </w:r>
            <w:r>
              <w:rPr>
                <w:rFonts w:hint="eastAsia" w:ascii="宋体" w:hAnsi="宋体" w:eastAsia="宋体" w:cs="宋体"/>
                <w:b/>
                <w:bCs/>
                <w:color w:val="auto"/>
                <w:kern w:val="0"/>
                <w:sz w:val="22"/>
                <w:szCs w:val="22"/>
                <w:highlight w:val="none"/>
              </w:rPr>
              <w:t>竞争性磋商</w:t>
            </w:r>
            <w:r>
              <w:rPr>
                <w:rFonts w:hint="eastAsia" w:ascii="宋体" w:hAnsi="宋体" w:eastAsia="宋体" w:cs="宋体"/>
                <w:b/>
                <w:bCs/>
                <w:color w:val="auto"/>
                <w:kern w:val="0"/>
                <w:sz w:val="22"/>
                <w:szCs w:val="22"/>
                <w:highlight w:val="none"/>
                <w:lang w:val="zh-CN"/>
              </w:rPr>
              <w:t>文件和“《政府采购项目电子交易管理操作指南-供应商》”的要求，编制并加密</w:t>
            </w:r>
            <w:r>
              <w:rPr>
                <w:rFonts w:hint="eastAsia" w:ascii="宋体" w:hAnsi="宋体" w:eastAsia="宋体" w:cs="宋体"/>
                <w:b/>
                <w:bCs/>
                <w:color w:val="auto"/>
                <w:kern w:val="0"/>
                <w:sz w:val="22"/>
                <w:szCs w:val="22"/>
                <w:highlight w:val="none"/>
              </w:rPr>
              <w:t>响应</w:t>
            </w:r>
            <w:r>
              <w:rPr>
                <w:rFonts w:hint="eastAsia" w:ascii="宋体" w:hAnsi="宋体" w:eastAsia="宋体" w:cs="宋体"/>
                <w:b/>
                <w:bCs/>
                <w:color w:val="auto"/>
                <w:kern w:val="0"/>
                <w:sz w:val="22"/>
                <w:szCs w:val="22"/>
                <w:highlight w:val="none"/>
                <w:lang w:val="zh-CN"/>
              </w:rPr>
              <w:t>文件。</w:t>
            </w:r>
          </w:p>
        </w:tc>
      </w:tr>
      <w:tr>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17</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签字或盖章要求</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zh-CN"/>
              </w:rPr>
              <w:t>磋商响应文件的相应位置应加盖：电子签章。（或先制作word版打印，相应位置签字或盖章后再扫描上传）</w:t>
            </w:r>
          </w:p>
        </w:tc>
      </w:tr>
      <w:tr>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18</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rPr>
              <w:t>响应</w:t>
            </w:r>
            <w:r>
              <w:rPr>
                <w:rFonts w:hint="eastAsia" w:ascii="宋体" w:hAnsi="宋体" w:eastAsia="宋体" w:cs="宋体"/>
                <w:b/>
                <w:bCs/>
                <w:color w:val="auto"/>
                <w:kern w:val="0"/>
                <w:sz w:val="22"/>
                <w:szCs w:val="22"/>
                <w:highlight w:val="none"/>
                <w:lang w:val="zh-CN"/>
              </w:rPr>
              <w:t>文件形式、制作及组成</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本项目实行在线投标响应（电子投标）。</w:t>
            </w:r>
          </w:p>
          <w:p>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供应商须准备电子磋商响应文件（包括“电子加密磋商响应文件”和“备份磋商响应文件”两类，在磋商响应文件编制完成后同时生成）。</w:t>
            </w:r>
          </w:p>
          <w:p>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（1）“电子加密磋商响应文件”（后缀格式为.jmbs）是指通过“政采云电子交易客户端”完成磋商响应文件编制后生成并加密的数据电文形式的磋商响应文件。</w:t>
            </w:r>
          </w:p>
          <w:p>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（2）“备份磋商响应文件”（后缀格式为.bfbs）是指与“电子加密磋商响应文件”同时生成的数据电文形式的电子文件（备份标书），其他方式编制的备份磋商响应文件视为无效备份磋商响应文件。</w:t>
            </w:r>
          </w:p>
          <w:p>
            <w:pPr>
              <w:autoSpaceDE w:val="0"/>
              <w:autoSpaceDN w:val="0"/>
              <w:adjustRightInd w:val="0"/>
              <w:spacing w:line="400" w:lineRule="exact"/>
              <w:rPr>
                <w:rFonts w:hint="eastAsia" w:ascii="宋体" w:hAnsi="宋体" w:eastAsia="宋体" w:cs="宋体"/>
                <w:b/>
                <w:bCs/>
                <w:color w:val="auto"/>
                <w:kern w:val="0"/>
                <w:sz w:val="22"/>
                <w:szCs w:val="22"/>
                <w:highlight w:val="none"/>
                <w:lang w:val="zh-CN"/>
              </w:rPr>
            </w:pPr>
            <w:r>
              <w:rPr>
                <w:rFonts w:hint="eastAsia" w:ascii="宋体" w:hAnsi="宋体" w:eastAsia="宋体" w:cs="宋体"/>
                <w:color w:val="auto"/>
                <w:kern w:val="0"/>
                <w:sz w:val="22"/>
                <w:szCs w:val="22"/>
                <w:highlight w:val="none"/>
                <w:lang w:val="zh-CN"/>
              </w:rPr>
              <w:t>以上两类磋商响应文件均由资格审查资料、商务技术文件、报价文件三部分组成。</w:t>
            </w:r>
          </w:p>
        </w:tc>
      </w:tr>
      <w:tr>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19</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rPr>
              <w:t>响应</w:t>
            </w:r>
            <w:r>
              <w:rPr>
                <w:rFonts w:hint="eastAsia" w:ascii="宋体" w:hAnsi="宋体" w:eastAsia="宋体" w:cs="宋体"/>
                <w:b/>
                <w:bCs/>
                <w:color w:val="auto"/>
                <w:kern w:val="0"/>
                <w:sz w:val="22"/>
                <w:szCs w:val="22"/>
                <w:highlight w:val="none"/>
                <w:lang w:val="zh-CN"/>
              </w:rPr>
              <w:t>文件的上传和递交</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pStyle w:val="187"/>
              <w:autoSpaceDE w:val="0"/>
              <w:autoSpaceDN w:val="0"/>
              <w:adjustRightInd w:val="0"/>
              <w:spacing w:line="400" w:lineRule="exact"/>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（1）“电子加密磋商响应文件”的上传、递交：</w:t>
            </w:r>
          </w:p>
          <w:p>
            <w:pPr>
              <w:pStyle w:val="187"/>
              <w:numPr>
                <w:ilvl w:val="0"/>
                <w:numId w:val="2"/>
              </w:numPr>
              <w:autoSpaceDE w:val="0"/>
              <w:autoSpaceDN w:val="0"/>
              <w:adjustRightInd w:val="0"/>
              <w:spacing w:line="400" w:lineRule="exact"/>
              <w:ind w:firstLine="0"/>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供应商应在磋商响应文件递交截止时间前将“电子加密磋商响应文件”成功上传递交至“政采云平台”，否则投标无效。</w:t>
            </w:r>
          </w:p>
          <w:p>
            <w:pPr>
              <w:pStyle w:val="187"/>
              <w:numPr>
                <w:ilvl w:val="0"/>
                <w:numId w:val="2"/>
              </w:numPr>
              <w:autoSpaceDE w:val="0"/>
              <w:autoSpaceDN w:val="0"/>
              <w:adjustRightInd w:val="0"/>
              <w:spacing w:line="400" w:lineRule="exact"/>
              <w:ind w:firstLine="0"/>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“电子加密磋商响应文件”成功上传递交后，供应商可自行打印磋商响应文件接收回执。</w:t>
            </w:r>
          </w:p>
          <w:p>
            <w:pPr>
              <w:pStyle w:val="187"/>
              <w:autoSpaceDE w:val="0"/>
              <w:autoSpaceDN w:val="0"/>
              <w:adjustRightInd w:val="0"/>
              <w:spacing w:line="400" w:lineRule="exact"/>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（2）“备份磋商响应文件”的密封包装、递交：</w:t>
            </w:r>
          </w:p>
          <w:p>
            <w:pPr>
              <w:pStyle w:val="187"/>
              <w:numPr>
                <w:ilvl w:val="0"/>
                <w:numId w:val="3"/>
              </w:numPr>
              <w:autoSpaceDE w:val="0"/>
              <w:autoSpaceDN w:val="0"/>
              <w:adjustRightInd w:val="0"/>
              <w:spacing w:line="400" w:lineRule="exact"/>
              <w:ind w:firstLine="0"/>
              <w:jc w:val="both"/>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供应商在“政采云平台”完成“电子加密磋商响应文件”的上传递交后，可以（建议）以电子邮件形式在提交磋商响应文件截止时间前传送至采购代理机构邮箱</w:t>
            </w:r>
            <w:r>
              <w:rPr>
                <w:rFonts w:hint="eastAsia" w:cs="宋体"/>
                <w:b/>
                <w:bCs/>
                <w:color w:val="auto"/>
                <w:kern w:val="0"/>
                <w:sz w:val="22"/>
                <w:szCs w:val="22"/>
                <w:highlight w:val="none"/>
                <w:lang w:val="zh-CN"/>
              </w:rPr>
              <w:t>zzgc6688@126.com</w:t>
            </w:r>
            <w:r>
              <w:rPr>
                <w:rFonts w:hint="eastAsia" w:ascii="宋体" w:hAnsi="宋体" w:eastAsia="宋体" w:cs="宋体"/>
                <w:b/>
                <w:bCs/>
                <w:color w:val="auto"/>
                <w:sz w:val="22"/>
                <w:highlight w:val="none"/>
              </w:rPr>
              <w:t>。传送的备份标书需打包压缩并加密，加密密码由</w:t>
            </w:r>
            <w:r>
              <w:rPr>
                <w:rFonts w:hint="eastAsia" w:ascii="宋体" w:hAnsi="宋体" w:eastAsia="宋体" w:cs="宋体"/>
                <w:b/>
                <w:bCs/>
                <w:color w:val="auto"/>
                <w:sz w:val="22"/>
                <w:highlight w:val="none"/>
                <w:lang w:val="en-US"/>
              </w:rPr>
              <w:t>供应商</w:t>
            </w:r>
            <w:r>
              <w:rPr>
                <w:rFonts w:hint="eastAsia" w:ascii="宋体" w:hAnsi="宋体" w:eastAsia="宋体" w:cs="宋体"/>
                <w:b/>
                <w:bCs/>
                <w:color w:val="auto"/>
                <w:sz w:val="22"/>
                <w:highlight w:val="none"/>
              </w:rPr>
              <w:t>自行保管。</w:t>
            </w:r>
          </w:p>
          <w:p>
            <w:pPr>
              <w:pStyle w:val="187"/>
              <w:numPr>
                <w:ilvl w:val="0"/>
                <w:numId w:val="3"/>
              </w:numPr>
              <w:autoSpaceDE w:val="0"/>
              <w:autoSpaceDN w:val="0"/>
              <w:adjustRightInd w:val="0"/>
              <w:spacing w:line="400" w:lineRule="exact"/>
              <w:ind w:firstLine="0"/>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通过“政采云平台”成功上传递交的“电子加密磋商响应文件”已按时解密的，“备份磋商响应文件”自动失效。磋商响应文件递交截止时间前，供应商仅递交了“备份磋商响应文件”的，投标无效。</w:t>
            </w:r>
          </w:p>
        </w:tc>
      </w:tr>
      <w:tr>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20</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电子响应文件的解密和异常情况处理</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（1）磋商</w:t>
            </w:r>
            <w:r>
              <w:rPr>
                <w:rFonts w:hint="eastAsia" w:ascii="宋体" w:hAnsi="宋体" w:eastAsia="宋体" w:cs="宋体"/>
                <w:b/>
                <w:bCs/>
                <w:color w:val="auto"/>
                <w:kern w:val="0"/>
                <w:sz w:val="22"/>
                <w:szCs w:val="22"/>
                <w:highlight w:val="none"/>
              </w:rPr>
              <w:t>响应</w:t>
            </w:r>
            <w:r>
              <w:rPr>
                <w:rFonts w:hint="eastAsia" w:ascii="宋体" w:hAnsi="宋体" w:eastAsia="宋体" w:cs="宋体"/>
                <w:b/>
                <w:bCs/>
                <w:color w:val="auto"/>
                <w:kern w:val="0"/>
                <w:sz w:val="22"/>
                <w:szCs w:val="22"/>
                <w:highlight w:val="none"/>
                <w:lang w:val="zh-CN"/>
              </w:rPr>
              <w:t>截止时间后，采购组织机构将向各供应商发出解密通知，各供应商代表应当在接到解密通知后登录政采云平台，对电子响应文件进行在线解密（解密</w:t>
            </w:r>
            <w:r>
              <w:rPr>
                <w:rFonts w:hint="eastAsia" w:ascii="宋体" w:hAnsi="宋体" w:eastAsia="宋体" w:cs="宋体"/>
                <w:b/>
                <w:bCs/>
                <w:color w:val="auto"/>
                <w:kern w:val="0"/>
                <w:sz w:val="22"/>
                <w:szCs w:val="22"/>
                <w:highlight w:val="none"/>
              </w:rPr>
              <w:t>电子响应</w:t>
            </w:r>
            <w:r>
              <w:rPr>
                <w:rFonts w:hint="eastAsia" w:ascii="宋体" w:hAnsi="宋体" w:eastAsia="宋体" w:cs="宋体"/>
                <w:b/>
                <w:bCs/>
                <w:color w:val="auto"/>
                <w:kern w:val="0"/>
                <w:sz w:val="22"/>
                <w:szCs w:val="22"/>
                <w:highlight w:val="none"/>
                <w:lang w:val="zh-CN"/>
              </w:rPr>
              <w:t>文件必须插入CA），在线解密电子响应文件时间为接到解密通知后</w:t>
            </w:r>
            <w:r>
              <w:rPr>
                <w:rFonts w:hint="eastAsia" w:ascii="宋体" w:hAnsi="宋体" w:eastAsia="宋体" w:cs="宋体"/>
                <w:b/>
                <w:bCs/>
                <w:color w:val="auto"/>
                <w:kern w:val="0"/>
                <w:sz w:val="22"/>
                <w:szCs w:val="22"/>
                <w:highlight w:val="none"/>
              </w:rPr>
              <w:t>3</w:t>
            </w:r>
            <w:r>
              <w:rPr>
                <w:rFonts w:hint="eastAsia" w:ascii="宋体" w:hAnsi="宋体" w:eastAsia="宋体" w:cs="宋体"/>
                <w:b/>
                <w:bCs/>
                <w:color w:val="auto"/>
                <w:kern w:val="0"/>
                <w:sz w:val="22"/>
                <w:szCs w:val="22"/>
                <w:highlight w:val="none"/>
                <w:lang w:val="zh-CN"/>
              </w:rPr>
              <w:t>0分钟内。</w:t>
            </w:r>
          </w:p>
          <w:p>
            <w:pPr>
              <w:autoSpaceDE w:val="0"/>
              <w:autoSpaceDN w:val="0"/>
              <w:adjustRightInd w:val="0"/>
              <w:spacing w:line="400" w:lineRule="exact"/>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（2）异常处理：如政采云上电子响应文件出现解密失败情况，供应商可根据自身意愿确认是否将备份标书压缩包的解密密码传送至采购代理机构邮箱</w:t>
            </w:r>
            <w:r>
              <w:rPr>
                <w:rFonts w:hint="eastAsia" w:ascii="宋体" w:hAnsi="宋体" w:cs="宋体"/>
                <w:b/>
                <w:bCs/>
                <w:color w:val="auto"/>
                <w:kern w:val="0"/>
                <w:sz w:val="22"/>
                <w:szCs w:val="22"/>
                <w:highlight w:val="none"/>
                <w:lang w:val="zh-CN"/>
              </w:rPr>
              <w:t>zzgc6688@126.com</w:t>
            </w:r>
            <w:r>
              <w:rPr>
                <w:rFonts w:hint="eastAsia" w:ascii="宋体" w:hAnsi="宋体" w:eastAsia="宋体" w:cs="宋体"/>
                <w:b/>
                <w:bCs/>
                <w:color w:val="auto"/>
                <w:kern w:val="0"/>
                <w:sz w:val="22"/>
                <w:szCs w:val="22"/>
                <w:highlight w:val="none"/>
                <w:lang w:val="zh-CN"/>
              </w:rPr>
              <w:t>,采购代理机构收到解密密码后通过【异常处理】的端口对供应商的备份响应文件进行上传（上传成功后，“电子</w:t>
            </w:r>
            <w:r>
              <w:rPr>
                <w:rFonts w:hint="eastAsia" w:ascii="宋体" w:hAnsi="宋体" w:eastAsia="宋体" w:cs="宋体"/>
                <w:b/>
                <w:bCs/>
                <w:color w:val="auto"/>
                <w:kern w:val="0"/>
                <w:sz w:val="22"/>
                <w:szCs w:val="22"/>
                <w:highlight w:val="none"/>
              </w:rPr>
              <w:t>响应</w:t>
            </w:r>
            <w:r>
              <w:rPr>
                <w:rFonts w:hint="eastAsia" w:ascii="宋体" w:hAnsi="宋体" w:eastAsia="宋体" w:cs="宋体"/>
                <w:b/>
                <w:bCs/>
                <w:color w:val="auto"/>
                <w:kern w:val="0"/>
                <w:sz w:val="22"/>
                <w:szCs w:val="22"/>
                <w:highlight w:val="none"/>
                <w:lang w:val="zh-CN"/>
              </w:rPr>
              <w:t>文件”自动失效），不能成功上传的视为</w:t>
            </w:r>
            <w:r>
              <w:rPr>
                <w:rFonts w:hint="eastAsia" w:ascii="宋体" w:hAnsi="宋体" w:eastAsia="宋体" w:cs="宋体"/>
                <w:b/>
                <w:bCs/>
                <w:color w:val="auto"/>
                <w:kern w:val="0"/>
                <w:sz w:val="22"/>
                <w:szCs w:val="22"/>
                <w:highlight w:val="none"/>
              </w:rPr>
              <w:t>响应</w:t>
            </w:r>
            <w:r>
              <w:rPr>
                <w:rFonts w:hint="eastAsia" w:ascii="宋体" w:hAnsi="宋体" w:eastAsia="宋体" w:cs="宋体"/>
                <w:b/>
                <w:bCs/>
                <w:color w:val="auto"/>
                <w:kern w:val="0"/>
                <w:sz w:val="22"/>
                <w:szCs w:val="22"/>
                <w:highlight w:val="none"/>
                <w:lang w:val="zh-CN"/>
              </w:rPr>
              <w:t>文件撤回）。</w:t>
            </w:r>
          </w:p>
          <w:p>
            <w:pPr>
              <w:autoSpaceDE w:val="0"/>
              <w:autoSpaceDN w:val="0"/>
              <w:adjustRightInd w:val="0"/>
              <w:spacing w:line="400" w:lineRule="exact"/>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w:t>
            </w:r>
            <w:r>
              <w:rPr>
                <w:rFonts w:hint="eastAsia" w:ascii="宋体" w:hAnsi="宋体" w:eastAsia="宋体" w:cs="宋体"/>
                <w:b/>
                <w:bCs/>
                <w:color w:val="auto"/>
                <w:kern w:val="0"/>
                <w:sz w:val="22"/>
                <w:szCs w:val="22"/>
                <w:highlight w:val="none"/>
              </w:rPr>
              <w:t>3）响应</w:t>
            </w:r>
            <w:r>
              <w:rPr>
                <w:rFonts w:hint="eastAsia" w:ascii="宋体" w:hAnsi="宋体" w:eastAsia="宋体" w:cs="宋体"/>
                <w:b/>
                <w:bCs/>
                <w:color w:val="auto"/>
                <w:kern w:val="0"/>
                <w:sz w:val="22"/>
                <w:szCs w:val="22"/>
                <w:highlight w:val="none"/>
                <w:lang w:val="zh-CN"/>
              </w:rPr>
              <w:t>文件的启用，按先后顺序分别为电子响应文件、以电子邮件形式的备份响应文件，在下一顺位的</w:t>
            </w:r>
            <w:r>
              <w:rPr>
                <w:rFonts w:hint="eastAsia" w:ascii="宋体" w:hAnsi="宋体" w:eastAsia="宋体" w:cs="宋体"/>
                <w:b/>
                <w:bCs/>
                <w:color w:val="auto"/>
                <w:kern w:val="0"/>
                <w:sz w:val="22"/>
                <w:szCs w:val="22"/>
                <w:highlight w:val="none"/>
              </w:rPr>
              <w:t>响应</w:t>
            </w:r>
            <w:r>
              <w:rPr>
                <w:rFonts w:hint="eastAsia" w:ascii="宋体" w:hAnsi="宋体" w:eastAsia="宋体" w:cs="宋体"/>
                <w:b/>
                <w:bCs/>
                <w:color w:val="auto"/>
                <w:kern w:val="0"/>
                <w:sz w:val="22"/>
                <w:szCs w:val="22"/>
                <w:highlight w:val="none"/>
                <w:lang w:val="zh-CN"/>
              </w:rPr>
              <w:t>文件启用之后，前一顺位的</w:t>
            </w:r>
            <w:r>
              <w:rPr>
                <w:rFonts w:hint="eastAsia" w:ascii="宋体" w:hAnsi="宋体" w:eastAsia="宋体" w:cs="宋体"/>
                <w:b/>
                <w:bCs/>
                <w:color w:val="auto"/>
                <w:kern w:val="0"/>
                <w:sz w:val="22"/>
                <w:szCs w:val="22"/>
                <w:highlight w:val="none"/>
              </w:rPr>
              <w:t>响应</w:t>
            </w:r>
            <w:r>
              <w:rPr>
                <w:rFonts w:hint="eastAsia" w:ascii="宋体" w:hAnsi="宋体" w:eastAsia="宋体" w:cs="宋体"/>
                <w:b/>
                <w:bCs/>
                <w:color w:val="auto"/>
                <w:kern w:val="0"/>
                <w:sz w:val="22"/>
                <w:szCs w:val="22"/>
                <w:highlight w:val="none"/>
                <w:lang w:val="zh-CN"/>
              </w:rPr>
              <w:t>文件自动失效。</w:t>
            </w:r>
          </w:p>
        </w:tc>
      </w:tr>
      <w:tr>
        <w:tblPrEx>
          <w:tblCellMar>
            <w:top w:w="0" w:type="dxa"/>
            <w:left w:w="108" w:type="dxa"/>
            <w:bottom w:w="0" w:type="dxa"/>
            <w:right w:w="108" w:type="dxa"/>
          </w:tblCellMar>
        </w:tblPrEx>
        <w:trPr>
          <w:trHeight w:val="538"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21</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rPr>
              <w:t>政采云系统默认供应商自动放弃的情形</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numPr>
                <w:ilvl w:val="0"/>
                <w:numId w:val="4"/>
              </w:numPr>
              <w:autoSpaceDE w:val="0"/>
              <w:autoSpaceDN w:val="0"/>
              <w:adjustRightInd w:val="0"/>
              <w:spacing w:line="400" w:lineRule="exact"/>
              <w:ind w:firstLine="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供应商未按规定上传电子响应文件的；</w:t>
            </w:r>
          </w:p>
          <w:p>
            <w:pPr>
              <w:numPr>
                <w:ilvl w:val="0"/>
                <w:numId w:val="4"/>
              </w:numPr>
              <w:autoSpaceDE w:val="0"/>
              <w:autoSpaceDN w:val="0"/>
              <w:adjustRightInd w:val="0"/>
              <w:spacing w:line="400" w:lineRule="exact"/>
              <w:ind w:firstLine="0"/>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在解密期限内供应商电子响应文件解密失败，且经异常处理后政采云电子交易系统仍未能解决的。</w:t>
            </w:r>
          </w:p>
        </w:tc>
      </w:tr>
      <w:tr>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22</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开标时间</w:t>
            </w:r>
          </w:p>
          <w:p>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和地点</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详见竞争性磋商公告</w:t>
            </w:r>
          </w:p>
          <w:p>
            <w:pPr>
              <w:pStyle w:val="16"/>
              <w:spacing w:line="400" w:lineRule="exact"/>
              <w:ind w:firstLine="42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注：本项目为电子招投标，相关的招投标流程（</w:t>
            </w:r>
            <w:r>
              <w:rPr>
                <w:rFonts w:hint="eastAsia" w:ascii="宋体" w:hAnsi="宋体" w:eastAsia="宋体" w:cs="宋体"/>
                <w:color w:val="auto"/>
                <w:sz w:val="22"/>
                <w:szCs w:val="22"/>
                <w:highlight w:val="none"/>
              </w:rPr>
              <w:t>磋商</w:t>
            </w:r>
            <w:r>
              <w:rPr>
                <w:rFonts w:hint="eastAsia" w:ascii="宋体" w:hAnsi="宋体" w:eastAsia="宋体" w:cs="宋体"/>
                <w:color w:val="auto"/>
                <w:sz w:val="22"/>
                <w:szCs w:val="22"/>
                <w:highlight w:val="none"/>
                <w:lang w:val="zh-CN"/>
              </w:rPr>
              <w:t>文件下载、电子</w:t>
            </w:r>
            <w:r>
              <w:rPr>
                <w:rFonts w:hint="eastAsia" w:ascii="宋体" w:hAnsi="宋体" w:eastAsia="宋体" w:cs="宋体"/>
                <w:color w:val="auto"/>
                <w:sz w:val="22"/>
                <w:szCs w:val="22"/>
                <w:highlight w:val="none"/>
              </w:rPr>
              <w:t>响应</w:t>
            </w:r>
            <w:r>
              <w:rPr>
                <w:rFonts w:hint="eastAsia" w:ascii="宋体" w:hAnsi="宋体" w:eastAsia="宋体" w:cs="宋体"/>
                <w:color w:val="auto"/>
                <w:sz w:val="22"/>
                <w:szCs w:val="22"/>
                <w:highlight w:val="none"/>
                <w:lang w:val="zh-CN"/>
              </w:rPr>
              <w:t>文件上传、</w:t>
            </w:r>
            <w:r>
              <w:rPr>
                <w:rFonts w:hint="eastAsia" w:ascii="宋体" w:hAnsi="宋体" w:eastAsia="宋体" w:cs="宋体"/>
                <w:color w:val="auto"/>
                <w:sz w:val="22"/>
                <w:szCs w:val="22"/>
                <w:highlight w:val="none"/>
              </w:rPr>
              <w:t>磋商</w:t>
            </w:r>
            <w:r>
              <w:rPr>
                <w:rFonts w:hint="eastAsia" w:ascii="宋体" w:hAnsi="宋体" w:eastAsia="宋体" w:cs="宋体"/>
                <w:color w:val="auto"/>
                <w:sz w:val="22"/>
                <w:szCs w:val="22"/>
                <w:highlight w:val="none"/>
                <w:lang w:val="zh-CN"/>
              </w:rPr>
              <w:t>等程序）均在浙江政府采购网“政府采购云平台”进行，</w:t>
            </w: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lang w:val="zh-CN"/>
              </w:rPr>
              <w:t>不必前往现场进行</w:t>
            </w:r>
            <w:r>
              <w:rPr>
                <w:rFonts w:hint="eastAsia" w:ascii="宋体" w:hAnsi="宋体" w:eastAsia="宋体" w:cs="宋体"/>
                <w:color w:val="auto"/>
                <w:sz w:val="22"/>
                <w:szCs w:val="22"/>
                <w:highlight w:val="none"/>
              </w:rPr>
              <w:t>磋商</w:t>
            </w:r>
            <w:r>
              <w:rPr>
                <w:rFonts w:hint="eastAsia" w:ascii="宋体" w:hAnsi="宋体" w:eastAsia="宋体" w:cs="宋体"/>
                <w:color w:val="auto"/>
                <w:sz w:val="22"/>
                <w:szCs w:val="22"/>
                <w:highlight w:val="none"/>
                <w:lang w:val="zh-CN"/>
              </w:rPr>
              <w:t>活动等事宜。</w:t>
            </w:r>
          </w:p>
        </w:tc>
      </w:tr>
      <w:tr>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23</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询标澄清</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（1）在</w:t>
            </w:r>
            <w:r>
              <w:rPr>
                <w:rFonts w:hint="eastAsia" w:ascii="宋体" w:hAnsi="宋体" w:eastAsia="宋体" w:cs="宋体"/>
                <w:color w:val="auto"/>
                <w:highlight w:val="none"/>
              </w:rPr>
              <w:t>评标</w:t>
            </w:r>
            <w:r>
              <w:rPr>
                <w:rFonts w:hint="eastAsia" w:ascii="宋体" w:hAnsi="宋体" w:eastAsia="宋体" w:cs="宋体"/>
                <w:color w:val="auto"/>
                <w:highlight w:val="none"/>
                <w:lang w:val="zh-CN"/>
              </w:rPr>
              <w:t>过程中，如磋商小组对供应商递交的电子响应文件存有疑问要求供应商进行澄清或根据评审需求需要与供应商进行投标的，将采用在政采云系统上向供应商发起询标函的方式进行。供应商须在“规定时间”内登录政采云系统根据标项回复询标函。</w:t>
            </w:r>
          </w:p>
          <w:p>
            <w:pPr>
              <w:autoSpaceDE w:val="0"/>
              <w:autoSpaceDN w:val="0"/>
              <w:adjustRightInd w:val="0"/>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2</w:t>
            </w:r>
            <w:r>
              <w:rPr>
                <w:rFonts w:hint="eastAsia" w:ascii="宋体" w:hAnsi="宋体" w:eastAsia="宋体" w:cs="宋体"/>
                <w:color w:val="auto"/>
                <w:highlight w:val="none"/>
                <w:lang w:val="zh-CN"/>
              </w:rPr>
              <w:t>）</w:t>
            </w:r>
            <w:r>
              <w:rPr>
                <w:rFonts w:hint="eastAsia" w:ascii="宋体" w:hAnsi="宋体" w:eastAsia="宋体" w:cs="宋体"/>
                <w:color w:val="auto"/>
                <w:highlight w:val="none"/>
              </w:rPr>
              <w:t>在评标</w:t>
            </w:r>
            <w:r>
              <w:rPr>
                <w:rFonts w:hint="eastAsia" w:ascii="宋体" w:hAnsi="宋体" w:eastAsia="宋体" w:cs="宋体"/>
                <w:color w:val="auto"/>
                <w:highlight w:val="none"/>
                <w:lang w:val="zh-CN"/>
              </w:rPr>
              <w:t>过程中，建议各供应商代表应在电脑前及时在线关注评审动态，若因供应商自身原因导致其未能在规定时间内完成询标澄清或多轮报价事宜的，由此造成的后果由供应商自行承担。</w:t>
            </w:r>
          </w:p>
          <w:p>
            <w:pPr>
              <w:pStyle w:val="16"/>
              <w:spacing w:line="400" w:lineRule="exact"/>
              <w:rPr>
                <w:rFonts w:hint="eastAsia" w:ascii="宋体" w:hAnsi="宋体" w:eastAsia="宋体" w:cs="宋体"/>
                <w:color w:val="auto"/>
                <w:sz w:val="22"/>
                <w:szCs w:val="22"/>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3</w:t>
            </w:r>
            <w:r>
              <w:rPr>
                <w:rFonts w:hint="eastAsia" w:ascii="宋体" w:hAnsi="宋体" w:eastAsia="宋体" w:cs="宋体"/>
                <w:color w:val="auto"/>
                <w:highlight w:val="none"/>
                <w:lang w:val="zh-CN"/>
              </w:rPr>
              <w:t>）</w:t>
            </w:r>
            <w:r>
              <w:rPr>
                <w:rFonts w:hint="eastAsia" w:ascii="宋体" w:hAnsi="宋体" w:eastAsia="宋体" w:cs="宋体"/>
                <w:b/>
                <w:bCs/>
                <w:color w:val="auto"/>
                <w:highlight w:val="none"/>
                <w:lang w:val="zh-CN"/>
              </w:rPr>
              <w:t>本项目采购过程中，涉及的供应商联系方式（如手机号码、响应文件中预留的邮箱、供应商地址），均以供应商递交的电子响应文件中《法定代表人资格声明书》或《法定代表人授权委托书》上注明的联系方式为准。</w:t>
            </w:r>
          </w:p>
        </w:tc>
      </w:tr>
      <w:tr>
        <w:tblPrEx>
          <w:tblCellMar>
            <w:top w:w="0" w:type="dxa"/>
            <w:left w:w="108" w:type="dxa"/>
            <w:bottom w:w="0" w:type="dxa"/>
            <w:right w:w="108" w:type="dxa"/>
          </w:tblCellMar>
        </w:tblPrEx>
        <w:trPr>
          <w:trHeight w:val="90"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24</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磋商小组</w:t>
            </w:r>
          </w:p>
          <w:p>
            <w:pPr>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的组建</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bCs/>
                <w:color w:val="auto"/>
                <w:sz w:val="22"/>
                <w:szCs w:val="22"/>
                <w:highlight w:val="none"/>
              </w:rPr>
              <w:t>采购人按照《中华人民共和国政府采购法》等有关法律、法规的规定组建磋商小组，磋商小组由采购人代表和有关技术、经济等方面的专家组成，成员人数为3人（含）以上单数，除采购人代表外的专家将在评标专家库中随机抽取产生。</w:t>
            </w:r>
          </w:p>
        </w:tc>
      </w:tr>
      <w:tr>
        <w:tblPrEx>
          <w:tblCellMar>
            <w:top w:w="0" w:type="dxa"/>
            <w:left w:w="108" w:type="dxa"/>
            <w:bottom w:w="0" w:type="dxa"/>
            <w:right w:w="108" w:type="dxa"/>
          </w:tblCellMar>
        </w:tblPrEx>
        <w:trPr>
          <w:trHeight w:val="90"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25</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履约担保</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fldChar w:fldCharType="begin"/>
            </w:r>
            <w:r>
              <w:rPr>
                <w:rFonts w:hint="eastAsia" w:ascii="宋体" w:hAnsi="宋体" w:eastAsia="宋体" w:cs="宋体"/>
                <w:color w:val="auto"/>
                <w:kern w:val="0"/>
                <w:sz w:val="22"/>
                <w:szCs w:val="22"/>
                <w:highlight w:val="none"/>
              </w:rPr>
              <w:instrText xml:space="preserve"> eq \o\ac(</w:instrText>
            </w:r>
            <w:r>
              <w:rPr>
                <w:rFonts w:hint="eastAsia" w:ascii="宋体" w:hAnsi="宋体" w:eastAsia="宋体" w:cs="宋体"/>
                <w:color w:val="auto"/>
                <w:kern w:val="0"/>
                <w:position w:val="-4"/>
                <w:sz w:val="22"/>
                <w:szCs w:val="22"/>
                <w:highlight w:val="none"/>
              </w:rPr>
              <w:instrText xml:space="preserve">□,</w:instrText>
            </w:r>
            <w:r>
              <w:rPr>
                <w:rFonts w:hint="eastAsia" w:ascii="宋体" w:hAnsi="宋体" w:eastAsia="宋体" w:cs="宋体"/>
                <w:color w:val="auto"/>
                <w:kern w:val="0"/>
                <w:position w:val="-1"/>
                <w:sz w:val="15"/>
                <w:szCs w:val="22"/>
                <w:highlight w:val="none"/>
              </w:rPr>
              <w:instrText xml:space="preserve">√</w:instrText>
            </w:r>
            <w:r>
              <w:rPr>
                <w:rFonts w:hint="eastAsia" w:ascii="宋体" w:hAnsi="宋体" w:eastAsia="宋体" w:cs="宋体"/>
                <w:color w:val="auto"/>
                <w:kern w:val="0"/>
                <w:sz w:val="22"/>
                <w:szCs w:val="22"/>
                <w:highlight w:val="none"/>
              </w:rPr>
              <w:instrText xml:space="preserve">)</w:instrText>
            </w:r>
            <w:r>
              <w:rPr>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2"/>
                <w:szCs w:val="22"/>
                <w:highlight w:val="none"/>
              </w:rPr>
              <w:t>不需要</w:t>
            </w:r>
          </w:p>
          <w:p>
            <w:pPr>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fldChar w:fldCharType="begin"/>
            </w:r>
            <w:r>
              <w:rPr>
                <w:rFonts w:hint="eastAsia" w:ascii="宋体" w:hAnsi="宋体" w:eastAsia="宋体" w:cs="宋体"/>
                <w:color w:val="auto"/>
                <w:kern w:val="0"/>
                <w:sz w:val="22"/>
                <w:szCs w:val="22"/>
                <w:highlight w:val="none"/>
              </w:rPr>
              <w:instrText xml:space="preserve"> eq \o\ac(□)</w:instrText>
            </w:r>
            <w:r>
              <w:rPr>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2"/>
                <w:szCs w:val="22"/>
                <w:highlight w:val="none"/>
              </w:rPr>
              <w:t xml:space="preserve">需要 </w:t>
            </w:r>
          </w:p>
        </w:tc>
      </w:tr>
      <w:tr>
        <w:tblPrEx>
          <w:tblCellMar>
            <w:top w:w="0" w:type="dxa"/>
            <w:left w:w="108" w:type="dxa"/>
            <w:bottom w:w="0" w:type="dxa"/>
            <w:right w:w="108" w:type="dxa"/>
          </w:tblCellMar>
        </w:tblPrEx>
        <w:trPr>
          <w:trHeight w:val="554"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26</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政府采购</w:t>
            </w:r>
          </w:p>
          <w:p>
            <w:pPr>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rPr>
              <w:t>扶持政策</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numPr>
                <w:ilvl w:val="0"/>
                <w:numId w:val="5"/>
              </w:numPr>
              <w:autoSpaceDE w:val="0"/>
              <w:autoSpaceDN w:val="0"/>
              <w:adjustRightInd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中小微企业扶持政策</w:t>
            </w:r>
          </w:p>
          <w:p>
            <w:pPr>
              <w:autoSpaceDE w:val="0"/>
              <w:autoSpaceDN w:val="0"/>
              <w:adjustRightInd w:val="0"/>
              <w:spacing w:line="400" w:lineRule="exac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1）本次采购为</w:t>
            </w:r>
            <w:r>
              <w:rPr>
                <w:rFonts w:hint="eastAsia" w:ascii="宋体" w:hAnsi="宋体" w:eastAsia="宋体" w:cs="宋体"/>
                <w:b/>
                <w:bCs/>
                <w:color w:val="auto"/>
                <w:sz w:val="22"/>
                <w:szCs w:val="22"/>
                <w:highlight w:val="none"/>
                <w:u w:val="single"/>
              </w:rPr>
              <w:t xml:space="preserve"> 是 </w:t>
            </w:r>
            <w:r>
              <w:rPr>
                <w:rFonts w:hint="eastAsia" w:ascii="宋体" w:hAnsi="宋体" w:eastAsia="宋体" w:cs="宋体"/>
                <w:color w:val="auto"/>
                <w:sz w:val="22"/>
                <w:szCs w:val="22"/>
                <w:highlight w:val="none"/>
                <w:lang w:val="zh-CN"/>
              </w:rPr>
              <w:t>专门面向中小企业预留采购份额的采购项目。</w:t>
            </w:r>
          </w:p>
          <w:p>
            <w:pPr>
              <w:autoSpaceDE w:val="0"/>
              <w:autoSpaceDN w:val="0"/>
              <w:adjustRightInd w:val="0"/>
              <w:spacing w:line="400" w:lineRule="exac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color w:val="auto"/>
                <w:highlight w:val="none"/>
                <w:lang w:val="zh-CN"/>
              </w:rPr>
            </w:pPr>
            <w:r>
              <w:rPr>
                <w:rFonts w:hint="eastAsia" w:ascii="宋体" w:hAnsi="宋体" w:eastAsia="宋体" w:cs="宋体"/>
                <w:color w:val="auto"/>
                <w:sz w:val="22"/>
                <w:szCs w:val="22"/>
                <w:highlight w:val="none"/>
                <w:lang w:val="zh-CN"/>
              </w:rPr>
              <w:t>3）本次采购对应的中小企业划分标准所属行业是：</w:t>
            </w:r>
            <w:r>
              <w:rPr>
                <w:rFonts w:hint="eastAsia" w:ascii="宋体" w:hAnsi="宋体" w:cs="宋体"/>
                <w:b/>
                <w:bCs/>
                <w:color w:val="auto"/>
                <w:sz w:val="22"/>
                <w:szCs w:val="22"/>
                <w:highlight w:val="none"/>
                <w:u w:val="single"/>
                <w:lang w:val="zh-CN"/>
              </w:rPr>
              <w:t>餐饮业</w:t>
            </w:r>
            <w:r>
              <w:rPr>
                <w:rFonts w:hint="eastAsia"/>
                <w:color w:val="auto"/>
                <w:sz w:val="22"/>
                <w:szCs w:val="22"/>
                <w:highlight w:val="none"/>
                <w:lang w:val="en-US" w:eastAsia="zh-CN"/>
              </w:rPr>
              <w:t>（</w:t>
            </w:r>
            <w:r>
              <w:rPr>
                <w:rFonts w:hint="eastAsia" w:ascii="宋体" w:hAnsi="宋体" w:eastAsia="宋体" w:cs="宋体"/>
                <w:bCs/>
                <w:color w:val="auto"/>
                <w:sz w:val="22"/>
                <w:szCs w:val="22"/>
                <w:highlight w:val="none"/>
                <w:lang w:val="zh-CN"/>
              </w:rPr>
              <w:t>根据工信部等部委发布的《关于印发中小企业划型标准规定的通知》（工信部联企业〔2011〕300号</w:t>
            </w:r>
            <w:r>
              <w:rPr>
                <w:rFonts w:hint="eastAsia"/>
                <w:color w:val="auto"/>
                <w:sz w:val="22"/>
                <w:szCs w:val="22"/>
                <w:highlight w:val="none"/>
                <w:lang w:val="en-US" w:eastAsia="zh-CN"/>
              </w:rPr>
              <w:t>）</w:t>
            </w:r>
            <w:r>
              <w:rPr>
                <w:rFonts w:hint="eastAsia" w:ascii="宋体" w:hAnsi="宋体" w:eastAsia="宋体" w:cs="宋体"/>
                <w:b/>
                <w:bCs/>
                <w:color w:val="auto"/>
                <w:sz w:val="22"/>
                <w:szCs w:val="22"/>
                <w:highlight w:val="none"/>
                <w:lang w:val="zh-CN"/>
              </w:rPr>
              <w:t>（</w:t>
            </w:r>
            <w:r>
              <w:rPr>
                <w:rFonts w:hint="eastAsia" w:ascii="宋体" w:hAnsi="宋体" w:eastAsia="宋体" w:cs="宋体"/>
                <w:b w:val="0"/>
                <w:bCs w:val="0"/>
                <w:color w:val="auto"/>
                <w:sz w:val="22"/>
                <w:szCs w:val="22"/>
                <w:highlight w:val="none"/>
                <w:lang w:val="zh-CN"/>
              </w:rPr>
              <w:t>从业人员300人以下或营业收入10000万元以下的为中小微型企业。其中，从业人员100人及以上，且营业收入2000万元及以上的为中型企业；从业人员7人及以上，且营业收入100万元及以上的为小型企业；从业人员7人以下或营业收入100万元以下的为微型企业</w:t>
            </w:r>
            <w:r>
              <w:rPr>
                <w:rFonts w:hint="eastAsia" w:ascii="宋体" w:hAnsi="宋体" w:eastAsia="宋体" w:cs="宋体"/>
                <w:b/>
                <w:bCs/>
                <w:color w:val="auto"/>
                <w:sz w:val="22"/>
                <w:szCs w:val="22"/>
                <w:highlight w:val="none"/>
                <w:lang w:val="zh-CN"/>
              </w:rPr>
              <w:t>。）</w:t>
            </w:r>
          </w:p>
          <w:p>
            <w:pPr>
              <w:autoSpaceDE w:val="0"/>
              <w:autoSpaceDN w:val="0"/>
              <w:adjustRightInd w:val="0"/>
              <w:spacing w:line="400" w:lineRule="exac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4）以联合体形式参加政府采购活动，联合体各方均为小微企业的，联合体视同小微企业。本项目不接受联合体投标。</w:t>
            </w:r>
          </w:p>
          <w:p>
            <w:pPr>
              <w:autoSpaceDE w:val="0"/>
              <w:autoSpaceDN w:val="0"/>
              <w:adjustRightInd w:val="0"/>
              <w:spacing w:line="400" w:lineRule="exac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5）供应商应当出具《中小企业声明函》，否则</w:t>
            </w:r>
            <w:r>
              <w:rPr>
                <w:rFonts w:hint="eastAsia" w:ascii="宋体" w:hAnsi="宋体" w:eastAsia="宋体" w:cs="宋体"/>
                <w:color w:val="auto"/>
                <w:sz w:val="22"/>
                <w:szCs w:val="22"/>
                <w:highlight w:val="none"/>
              </w:rPr>
              <w:t>资格审查不予通过</w:t>
            </w:r>
            <w:r>
              <w:rPr>
                <w:rFonts w:hint="eastAsia" w:ascii="宋体" w:hAnsi="宋体" w:eastAsia="宋体" w:cs="宋体"/>
                <w:color w:val="auto"/>
                <w:sz w:val="22"/>
                <w:szCs w:val="22"/>
                <w:highlight w:val="none"/>
                <w:lang w:val="zh-CN"/>
              </w:rPr>
              <w:t>。</w:t>
            </w:r>
          </w:p>
          <w:p>
            <w:pPr>
              <w:autoSpaceDE w:val="0"/>
              <w:autoSpaceDN w:val="0"/>
              <w:adjustRightInd w:val="0"/>
              <w:spacing w:line="400" w:lineRule="exac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6）残疾人福利性单位视同小微企业，享受小微企业同等的价格扣除。残疾人福利性单位参加政府采购活动时，应当提供《残疾人福利性单位声明函》。</w:t>
            </w:r>
          </w:p>
          <w:p>
            <w:pPr>
              <w:pStyle w:val="16"/>
              <w:spacing w:line="400" w:lineRule="exac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7</w:t>
            </w:r>
            <w:r>
              <w:rPr>
                <w:rFonts w:hint="eastAsia" w:ascii="宋体" w:hAnsi="宋体" w:eastAsia="宋体" w:cs="宋体"/>
                <w:color w:val="auto"/>
                <w:sz w:val="22"/>
                <w:szCs w:val="22"/>
                <w:highlight w:val="none"/>
                <w:lang w:val="zh-CN"/>
              </w:rPr>
              <w:t>）监狱企业视同小微企业，享受小微企业同等的价格扣除。监狱企业参加政府采购活动时，应当提供监狱企业声明函。</w:t>
            </w:r>
          </w:p>
          <w:p>
            <w:pPr>
              <w:numPr>
                <w:ilvl w:val="0"/>
                <w:numId w:val="5"/>
              </w:numPr>
              <w:autoSpaceDE w:val="0"/>
              <w:autoSpaceDN w:val="0"/>
              <w:adjustRightInd w:val="0"/>
              <w:spacing w:line="400" w:lineRule="exac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节能产品 、环境标志产品扶持政策说明</w:t>
            </w:r>
          </w:p>
          <w:p>
            <w:pPr>
              <w:autoSpaceDE w:val="0"/>
              <w:autoSpaceDN w:val="0"/>
              <w:adjustRightInd w:val="0"/>
              <w:spacing w:line="400" w:lineRule="exact"/>
              <w:ind w:firstLine="440" w:firstLineChars="200"/>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供应商所投产品属于节能产品或环境标志产品，给予适当加分。</w:t>
            </w:r>
          </w:p>
          <w:p>
            <w:pPr>
              <w:autoSpaceDE w:val="0"/>
              <w:autoSpaceDN w:val="0"/>
              <w:adjustRightInd w:val="0"/>
              <w:spacing w:line="40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如有</w:t>
            </w:r>
            <w:r>
              <w:rPr>
                <w:rFonts w:hint="eastAsia" w:ascii="宋体" w:hAnsi="宋体" w:eastAsia="宋体" w:cs="宋体"/>
                <w:b w:val="0"/>
                <w:bCs w:val="0"/>
                <w:color w:val="auto"/>
                <w:sz w:val="22"/>
                <w:szCs w:val="22"/>
                <w:highlight w:val="none"/>
              </w:rPr>
              <w:t>详见评分细则。</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exact"/>
              <w:ind w:left="5" w:leftChars="0" w:hanging="5" w:firstLineChars="0"/>
              <w:textAlignment w:val="auto"/>
              <w:rPr>
                <w:rFonts w:hint="eastAsia"/>
                <w:b w:val="0"/>
                <w:bCs w:val="0"/>
                <w:color w:val="auto"/>
                <w:sz w:val="22"/>
                <w:szCs w:val="22"/>
                <w:highlight w:val="none"/>
                <w:lang w:val="zh-CN" w:eastAsia="zh-CN"/>
              </w:rPr>
            </w:pPr>
            <w:r>
              <w:rPr>
                <w:rFonts w:hint="eastAsia"/>
                <w:b w:val="0"/>
                <w:bCs w:val="0"/>
                <w:color w:val="auto"/>
                <w:sz w:val="22"/>
                <w:szCs w:val="22"/>
                <w:highlight w:val="none"/>
                <w:lang w:val="en-US" w:eastAsia="zh-CN"/>
              </w:rPr>
              <w:t>贯彻落实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满足条件的投标产品须提供相应的证明资料。</w:t>
            </w:r>
          </w:p>
          <w:p>
            <w:pPr>
              <w:numPr>
                <w:ilvl w:val="0"/>
                <w:numId w:val="5"/>
              </w:numPr>
              <w:autoSpaceDE w:val="0"/>
              <w:autoSpaceDN w:val="0"/>
              <w:adjustRightInd w:val="0"/>
              <w:spacing w:line="400" w:lineRule="exac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政府采购金融服务相关信息告知函</w:t>
            </w:r>
          </w:p>
          <w:p>
            <w:pPr>
              <w:autoSpaceDE w:val="0"/>
              <w:autoSpaceDN w:val="0"/>
              <w:adjustRightInd w:val="0"/>
              <w:spacing w:line="40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为优化政府采购营商环境，缓解供应商资金难题，助力打赢疫情防控阻击战，根据浙江省财政厅印发《关于坚决打赢疫情防控阻击战进一步做好政府采购资金支持企业发展工作的通知（浙财采监【2020】3号）》文件的精神，现将政府采购金融服务相关信息予以告知。</w:t>
            </w:r>
          </w:p>
          <w:p>
            <w:pPr>
              <w:autoSpaceDE w:val="0"/>
              <w:autoSpaceDN w:val="0"/>
              <w:adjustRightInd w:val="0"/>
              <w:spacing w:line="40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pPr>
              <w:numPr>
                <w:ilvl w:val="0"/>
                <w:numId w:val="5"/>
              </w:numPr>
              <w:autoSpaceDE w:val="0"/>
              <w:autoSpaceDN w:val="0"/>
              <w:adjustRightInd w:val="0"/>
              <w:spacing w:line="40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扶贫政策</w:t>
            </w:r>
            <w:r>
              <w:rPr>
                <w:rFonts w:hint="eastAsia" w:ascii="宋体" w:hAnsi="宋体" w:cs="宋体"/>
                <w:color w:val="auto"/>
                <w:sz w:val="22"/>
                <w:szCs w:val="22"/>
                <w:highlight w:val="none"/>
                <w:lang w:val="en-US" w:eastAsia="zh-CN"/>
              </w:rPr>
              <w:t>：本项目</w:t>
            </w:r>
            <w:r>
              <w:rPr>
                <w:rFonts w:hint="eastAsia" w:ascii="宋体" w:hAnsi="宋体" w:eastAsia="宋体" w:cs="宋体"/>
                <w:color w:val="auto"/>
                <w:sz w:val="22"/>
                <w:szCs w:val="22"/>
                <w:highlight w:val="none"/>
                <w:lang w:val="en-US" w:eastAsia="zh-CN"/>
              </w:rPr>
              <w:t>应当按照</w:t>
            </w:r>
            <w:r>
              <w:rPr>
                <w:rFonts w:hint="eastAsia" w:ascii="宋体" w:hAnsi="宋体" w:cs="宋体"/>
                <w:color w:val="auto"/>
                <w:sz w:val="22"/>
                <w:szCs w:val="22"/>
                <w:highlight w:val="none"/>
                <w:lang w:val="en-US" w:eastAsia="zh-CN"/>
              </w:rPr>
              <w:t>相关法律法规的</w:t>
            </w:r>
            <w:r>
              <w:rPr>
                <w:rFonts w:hint="eastAsia" w:ascii="宋体" w:hAnsi="宋体" w:eastAsia="宋体" w:cs="宋体"/>
                <w:color w:val="auto"/>
                <w:sz w:val="22"/>
                <w:szCs w:val="22"/>
                <w:highlight w:val="none"/>
                <w:lang w:val="en-US" w:eastAsia="zh-CN"/>
              </w:rPr>
              <w:t>比例预留年度食堂食材采购份额，通过脱贫地区农副产品网络销售平台（原贫困地区农副产品网络销售平台）采购脱贫地区农副产品。脱贫地区农副产品是指在832个脱贫县域内注册的企业、农民专业合作社、家庭农场等出产的农副产品。</w:t>
            </w:r>
            <w:r>
              <w:rPr>
                <w:rFonts w:hint="eastAsia" w:ascii="宋体" w:hAnsi="宋体" w:cs="宋体"/>
                <w:color w:val="auto"/>
                <w:sz w:val="22"/>
                <w:szCs w:val="22"/>
                <w:highlight w:val="none"/>
                <w:lang w:val="en-US" w:eastAsia="zh-CN"/>
              </w:rPr>
              <w:t>中标供应商根据采购单位业主相关要求执行购买。</w:t>
            </w:r>
          </w:p>
        </w:tc>
      </w:tr>
      <w:tr>
        <w:tblPrEx>
          <w:tblCellMar>
            <w:top w:w="0" w:type="dxa"/>
            <w:left w:w="108" w:type="dxa"/>
            <w:bottom w:w="0" w:type="dxa"/>
            <w:right w:w="108" w:type="dxa"/>
          </w:tblCellMar>
        </w:tblPrEx>
        <w:trPr>
          <w:trHeight w:val="988"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27</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rPr>
              <w:t>供应商信用查询</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（1）供应商信用信息查询的查询渠道：“信用中国”(</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)；“中国政府采购网”（http://www.ccgp.gov.cn/）；</w:t>
            </w:r>
          </w:p>
          <w:p>
            <w:pPr>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（2）供应商信用信息查询记录和证据留存的具体方式：网页截图打印；</w:t>
            </w:r>
          </w:p>
          <w:p>
            <w:pPr>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（3）信用信息的使用规则：</w:t>
            </w:r>
          </w:p>
          <w:p>
            <w:pPr>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①在“信用中国”具有负面记录：列入失信被执行人、重大税收违法案件当事人名单、政府采购严重违法失信行为名单；</w:t>
            </w:r>
          </w:p>
          <w:p>
            <w:pPr>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②被“中国政府采购网”(www.ccgp.gov.cn)列入政府采购严重违法失信行为记录名单。</w:t>
            </w:r>
          </w:p>
          <w:p>
            <w:pPr>
              <w:spacing w:line="400" w:lineRule="exact"/>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rPr>
              <w:t>（4）具有以上（3）所述信息记录的供应商，其投标做无效投标处理。</w:t>
            </w:r>
          </w:p>
        </w:tc>
      </w:tr>
      <w:tr>
        <w:tblPrEx>
          <w:tblCellMar>
            <w:top w:w="0" w:type="dxa"/>
            <w:left w:w="108" w:type="dxa"/>
            <w:bottom w:w="0" w:type="dxa"/>
            <w:right w:w="108" w:type="dxa"/>
          </w:tblCellMar>
        </w:tblPrEx>
        <w:trPr>
          <w:trHeight w:val="423"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28</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rPr>
              <w:t>合同备案</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（1）成交供应商在中标通知书发出之日起30日历天内与采购人签订合同。</w:t>
            </w:r>
          </w:p>
          <w:p>
            <w:pPr>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（2）成交供应商与采购人签订合同后，2日历天内将合同扫描件电子版发给采购代理机构：邮箱：</w:t>
            </w:r>
            <w:r>
              <w:rPr>
                <w:rFonts w:hint="eastAsia" w:ascii="宋体" w:hAnsi="宋体" w:cs="宋体"/>
                <w:b/>
                <w:color w:val="auto"/>
                <w:sz w:val="22"/>
                <w:szCs w:val="22"/>
                <w:highlight w:val="none"/>
                <w:u w:val="single"/>
                <w:lang w:eastAsia="zh-CN"/>
              </w:rPr>
              <w:fldChar w:fldCharType="begin"/>
            </w:r>
            <w:r>
              <w:rPr>
                <w:rFonts w:hint="eastAsia" w:ascii="宋体" w:hAnsi="宋体" w:cs="宋体"/>
                <w:b/>
                <w:color w:val="auto"/>
                <w:sz w:val="22"/>
                <w:szCs w:val="22"/>
                <w:highlight w:val="none"/>
                <w:u w:val="single"/>
                <w:lang w:eastAsia="zh-CN"/>
              </w:rPr>
              <w:instrText xml:space="preserve"> HYPERLINK "mailto:80867223@qq.com。" </w:instrText>
            </w:r>
            <w:r>
              <w:rPr>
                <w:rFonts w:hint="eastAsia" w:ascii="宋体" w:hAnsi="宋体" w:cs="宋体"/>
                <w:b/>
                <w:color w:val="auto"/>
                <w:sz w:val="22"/>
                <w:szCs w:val="22"/>
                <w:highlight w:val="none"/>
                <w:u w:val="single"/>
                <w:lang w:eastAsia="zh-CN"/>
              </w:rPr>
              <w:fldChar w:fldCharType="separate"/>
            </w:r>
            <w:r>
              <w:rPr>
                <w:rStyle w:val="46"/>
                <w:rFonts w:hint="eastAsia" w:ascii="宋体" w:hAnsi="宋体" w:cs="宋体"/>
                <w:b/>
                <w:sz w:val="22"/>
                <w:szCs w:val="22"/>
                <w:highlight w:val="none"/>
                <w:lang w:eastAsia="zh-CN"/>
              </w:rPr>
              <w:t>zzgc6688@126.com</w:t>
            </w:r>
            <w:r>
              <w:rPr>
                <w:rStyle w:val="46"/>
                <w:rFonts w:hint="eastAsia" w:ascii="宋体" w:hAnsi="宋体" w:eastAsia="宋体" w:cs="宋体"/>
                <w:sz w:val="22"/>
                <w:szCs w:val="22"/>
                <w:highlight w:val="none"/>
              </w:rPr>
              <w:t>。</w:t>
            </w:r>
            <w:r>
              <w:rPr>
                <w:rFonts w:hint="eastAsia" w:ascii="宋体" w:hAnsi="宋体" w:cs="宋体"/>
                <w:b/>
                <w:color w:val="auto"/>
                <w:sz w:val="22"/>
                <w:szCs w:val="22"/>
                <w:highlight w:val="none"/>
                <w:u w:val="single"/>
                <w:lang w:eastAsia="zh-CN"/>
              </w:rPr>
              <w:fldChar w:fldCharType="end"/>
            </w:r>
          </w:p>
          <w:p>
            <w:pPr>
              <w:widowControl/>
              <w:tabs>
                <w:tab w:val="left" w:pos="-360"/>
              </w:tabs>
              <w:autoSpaceDE w:val="0"/>
              <w:autoSpaceDN w:val="0"/>
              <w:spacing w:line="380" w:lineRule="exact"/>
              <w:ind w:right="-34"/>
              <w:textAlignment w:val="bottom"/>
              <w:rPr>
                <w:rFonts w:hint="eastAsia" w:eastAsia="宋体"/>
                <w:highlight w:val="none"/>
                <w:lang w:eastAsia="zh-CN"/>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w:t>
            </w:r>
            <w:r>
              <w:rPr>
                <w:rFonts w:hint="eastAsia" w:ascii="宋体" w:hAnsi="宋体" w:cs="宋体"/>
                <w:color w:val="auto"/>
                <w:kern w:val="0"/>
                <w:sz w:val="22"/>
                <w:szCs w:val="22"/>
                <w:highlight w:val="none"/>
              </w:rPr>
              <w:t>本项目政府采购合同按规定在浙江政府采购网予以公告</w:t>
            </w:r>
            <w:r>
              <w:rPr>
                <w:rFonts w:hint="eastAsia" w:ascii="宋体" w:hAnsi="宋体" w:cs="宋体"/>
                <w:color w:val="auto"/>
                <w:kern w:val="0"/>
                <w:sz w:val="22"/>
                <w:szCs w:val="22"/>
                <w:highlight w:val="none"/>
                <w:lang w:eastAsia="zh-CN"/>
              </w:rPr>
              <w:t>。</w:t>
            </w:r>
          </w:p>
        </w:tc>
      </w:tr>
      <w:tr>
        <w:tblPrEx>
          <w:tblCellMar>
            <w:top w:w="0" w:type="dxa"/>
            <w:left w:w="108" w:type="dxa"/>
            <w:bottom w:w="0" w:type="dxa"/>
            <w:right w:w="108" w:type="dxa"/>
          </w:tblCellMar>
        </w:tblPrEx>
        <w:trPr>
          <w:trHeight w:val="423"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29</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rPr>
              <w:t>合同履约管理</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tblPrEx>
          <w:tblCellMar>
            <w:top w:w="0" w:type="dxa"/>
            <w:left w:w="108" w:type="dxa"/>
            <w:bottom w:w="0" w:type="dxa"/>
            <w:right w:w="108" w:type="dxa"/>
          </w:tblCellMar>
        </w:tblPrEx>
        <w:trPr>
          <w:trHeight w:val="423"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30</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rPr>
              <w:t>解释权</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rPr>
              <w:t>构成本竞争性磋商文件的各个组成文件应互为解释，互为说明；如有不明确或不一致，构成合同文件组成内容的，以合同文件约定内容为准，且以专用合同条款约定的合同文件优先顺序解释；仅适用于采购投标阶段的约定，按竞争性磋商公告、供应商须知、磋商办法、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CellMar>
            <w:top w:w="0" w:type="dxa"/>
            <w:left w:w="108" w:type="dxa"/>
            <w:bottom w:w="0" w:type="dxa"/>
            <w:right w:w="108" w:type="dxa"/>
          </w:tblCellMar>
        </w:tblPrEx>
        <w:trPr>
          <w:trHeight w:val="423"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31</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400" w:lineRule="exact"/>
              <w:rPr>
                <w:rFonts w:hint="eastAsia" w:ascii="宋体" w:hAnsi="宋体" w:eastAsia="宋体" w:cs="宋体"/>
                <w:color w:val="auto"/>
                <w:sz w:val="22"/>
                <w:szCs w:val="22"/>
                <w:highlight w:val="none"/>
                <w:lang w:val="zh-CN"/>
              </w:rPr>
            </w:pPr>
            <w:r>
              <w:rPr>
                <w:rFonts w:hint="eastAsia" w:ascii="宋体" w:hAnsi="宋体" w:eastAsia="宋体" w:cs="宋体"/>
                <w:color w:val="auto"/>
                <w:kern w:val="0"/>
                <w:sz w:val="22"/>
                <w:szCs w:val="22"/>
                <w:highlight w:val="none"/>
              </w:rPr>
              <w:t>其他事项</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tabs>
                <w:tab w:val="left" w:pos="-360"/>
              </w:tabs>
              <w:autoSpaceDE w:val="0"/>
              <w:autoSpaceDN w:val="0"/>
              <w:spacing w:line="380" w:lineRule="exact"/>
              <w:ind w:right="-34"/>
              <w:textAlignment w:val="bottom"/>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1.本招标文件中有关时间安排如有不一致的，一律以本“投标邀请函（投标须知前附表）”为准；</w:t>
            </w:r>
          </w:p>
          <w:p>
            <w:pPr>
              <w:widowControl/>
              <w:tabs>
                <w:tab w:val="left" w:pos="-360"/>
              </w:tabs>
              <w:autoSpaceDE w:val="0"/>
              <w:autoSpaceDN w:val="0"/>
              <w:spacing w:line="380" w:lineRule="exact"/>
              <w:ind w:right="-34"/>
              <w:textAlignment w:val="bottom"/>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2.本招标文件涉及的时间为“北京时间”；</w:t>
            </w:r>
          </w:p>
          <w:p>
            <w:pPr>
              <w:widowControl/>
              <w:tabs>
                <w:tab w:val="left" w:pos="-360"/>
              </w:tabs>
              <w:autoSpaceDE w:val="0"/>
              <w:autoSpaceDN w:val="0"/>
              <w:spacing w:line="380" w:lineRule="exact"/>
              <w:ind w:right="-34"/>
              <w:textAlignment w:val="bottom"/>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3.本招标文件涉及的货币为“人民币”；</w:t>
            </w:r>
          </w:p>
          <w:p>
            <w:pPr>
              <w:widowControl/>
              <w:tabs>
                <w:tab w:val="left" w:pos="-360"/>
              </w:tabs>
              <w:autoSpaceDE w:val="0"/>
              <w:autoSpaceDN w:val="0"/>
              <w:spacing w:line="380" w:lineRule="exact"/>
              <w:ind w:right="-34"/>
              <w:textAlignment w:val="bottom"/>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4.政采云公司如对“政府采购项目电子交易管理操作”有调整的，按调整后的说明操作；</w:t>
            </w:r>
          </w:p>
          <w:p>
            <w:pPr>
              <w:widowControl/>
              <w:tabs>
                <w:tab w:val="left" w:pos="-360"/>
              </w:tabs>
              <w:autoSpaceDE w:val="0"/>
              <w:autoSpaceDN w:val="0"/>
              <w:spacing w:line="380" w:lineRule="exact"/>
              <w:ind w:right="-34"/>
              <w:textAlignment w:val="bottom"/>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投标供应商自行承担投标过程中产生的费用。无论何种因素导致采购项目延期开标、废标（流标）、投标供应商未中标、项目终止采购的，采购人与代理机构均不承担供应商投标费用</w:t>
            </w:r>
            <w:r>
              <w:rPr>
                <w:rFonts w:hint="eastAsia" w:ascii="宋体" w:hAnsi="宋体" w:eastAsia="宋体" w:cs="宋体"/>
                <w:color w:val="auto"/>
                <w:kern w:val="0"/>
                <w:sz w:val="22"/>
                <w:szCs w:val="22"/>
                <w:highlight w:val="none"/>
                <w:lang w:eastAsia="zh-CN"/>
              </w:rPr>
              <w:t>；</w:t>
            </w:r>
          </w:p>
          <w:p>
            <w:pPr>
              <w:widowControl/>
              <w:tabs>
                <w:tab w:val="left" w:pos="-360"/>
              </w:tabs>
              <w:autoSpaceDE w:val="0"/>
              <w:autoSpaceDN w:val="0"/>
              <w:spacing w:line="380" w:lineRule="exact"/>
              <w:ind w:right="-34"/>
              <w:textAlignment w:val="bottom"/>
              <w:rPr>
                <w:rFonts w:hint="default" w:eastAsia="宋体"/>
                <w:highlight w:val="none"/>
                <w:lang w:val="en-US" w:eastAsia="zh-CN"/>
              </w:rPr>
            </w:pPr>
            <w:r>
              <w:rPr>
                <w:rFonts w:hint="eastAsia" w:ascii="宋体" w:hAnsi="宋体" w:eastAsia="宋体" w:cs="宋体"/>
                <w:color w:val="auto"/>
                <w:kern w:val="0"/>
                <w:sz w:val="22"/>
                <w:szCs w:val="22"/>
                <w:highlight w:val="none"/>
                <w:lang w:val="en-US" w:eastAsia="zh-CN"/>
              </w:rPr>
              <w:t>6.</w:t>
            </w:r>
            <w:r>
              <w:rPr>
                <w:rFonts w:hint="eastAsia" w:ascii="宋体" w:hAnsi="宋体" w:eastAsia="宋体" w:cs="宋体"/>
                <w:b w:val="0"/>
                <w:color w:val="auto"/>
                <w:kern w:val="0"/>
                <w:sz w:val="22"/>
                <w:szCs w:val="22"/>
                <w:highlight w:val="none"/>
                <w:lang w:val="en-US" w:eastAsia="zh-CN" w:bidi="ar-SA"/>
              </w:rPr>
              <w:t>成交供应商提供2套投标文件留存。</w:t>
            </w:r>
          </w:p>
        </w:tc>
      </w:tr>
    </w:tbl>
    <w:p>
      <w:pPr>
        <w:rPr>
          <w:rFonts w:hint="eastAsia" w:ascii="宋体" w:hAnsi="宋体" w:eastAsia="宋体" w:cs="宋体"/>
          <w:b/>
          <w:bCs/>
          <w:color w:val="auto"/>
          <w:sz w:val="26"/>
          <w:szCs w:val="26"/>
          <w:highlight w:val="none"/>
        </w:rPr>
      </w:pPr>
      <w:bookmarkStart w:id="52" w:name="_Toc12369"/>
      <w:r>
        <w:rPr>
          <w:rFonts w:hint="eastAsia" w:ascii="宋体" w:hAnsi="宋体" w:eastAsia="宋体" w:cs="宋体"/>
          <w:b/>
          <w:bCs/>
          <w:color w:val="auto"/>
          <w:sz w:val="26"/>
          <w:szCs w:val="26"/>
          <w:highlight w:val="none"/>
        </w:rPr>
        <w:br w:type="page"/>
      </w:r>
    </w:p>
    <w:p>
      <w:pPr>
        <w:spacing w:before="100" w:beforeAutospacing="1" w:after="100" w:afterAutospacing="1" w:line="440" w:lineRule="exact"/>
        <w:jc w:val="center"/>
        <w:outlineLvl w:val="0"/>
        <w:rPr>
          <w:rFonts w:hint="eastAsia" w:ascii="宋体" w:hAnsi="宋体" w:eastAsia="宋体" w:cs="宋体"/>
          <w:b/>
          <w:bCs/>
          <w:color w:val="auto"/>
          <w:sz w:val="26"/>
          <w:szCs w:val="26"/>
          <w:highlight w:val="none"/>
        </w:rPr>
      </w:pPr>
      <w:r>
        <w:rPr>
          <w:rFonts w:hint="eastAsia" w:ascii="宋体" w:hAnsi="宋体" w:eastAsia="宋体" w:cs="宋体"/>
          <w:b/>
          <w:bCs/>
          <w:color w:val="auto"/>
          <w:sz w:val="26"/>
          <w:szCs w:val="26"/>
          <w:highlight w:val="none"/>
        </w:rPr>
        <w:t>二、说明</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2"/>
    </w:p>
    <w:p>
      <w:pPr>
        <w:numPr>
          <w:ilvl w:val="0"/>
          <w:numId w:val="6"/>
        </w:numPr>
        <w:tabs>
          <w:tab w:val="left" w:pos="540"/>
          <w:tab w:val="left" w:pos="900"/>
          <w:tab w:val="clear" w:pos="562"/>
        </w:tabs>
        <w:spacing w:line="400" w:lineRule="exact"/>
        <w:ind w:left="540" w:hanging="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本次采购是按照《中华人民共和国政府采购法》、《政府采购货物和服务采购投标管理办法》、</w:t>
      </w:r>
      <w:r>
        <w:rPr>
          <w:rFonts w:hint="eastAsia" w:ascii="宋体" w:hAnsi="宋体" w:eastAsia="宋体" w:cs="宋体"/>
          <w:color w:val="auto"/>
          <w:kern w:val="0"/>
          <w:sz w:val="22"/>
          <w:szCs w:val="22"/>
          <w:highlight w:val="none"/>
        </w:rPr>
        <w:t>《政府采购竞争性磋商采购方式管理暂行办法》</w:t>
      </w:r>
      <w:r>
        <w:rPr>
          <w:rFonts w:hint="eastAsia" w:ascii="宋体" w:hAnsi="宋体" w:eastAsia="宋体" w:cs="宋体"/>
          <w:color w:val="auto"/>
          <w:sz w:val="22"/>
          <w:szCs w:val="22"/>
          <w:highlight w:val="none"/>
        </w:rPr>
        <w:t>和《关于进一步规范政府采购活动的若干意见》等法律及有关法规组织和实施的。</w:t>
      </w:r>
    </w:p>
    <w:p>
      <w:pPr>
        <w:numPr>
          <w:ilvl w:val="0"/>
          <w:numId w:val="6"/>
        </w:numPr>
        <w:tabs>
          <w:tab w:val="left" w:pos="900"/>
        </w:tabs>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合格供应商要求以磋商公告对供应商资格条件要求的表述为准。</w:t>
      </w:r>
    </w:p>
    <w:p>
      <w:pPr>
        <w:numPr>
          <w:ilvl w:val="0"/>
          <w:numId w:val="6"/>
        </w:numPr>
        <w:tabs>
          <w:tab w:val="left" w:pos="540"/>
          <w:tab w:val="left" w:pos="900"/>
          <w:tab w:val="clear" w:pos="562"/>
        </w:tabs>
        <w:spacing w:line="400" w:lineRule="exact"/>
        <w:ind w:left="540" w:hanging="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磋商供应商代表</w:t>
      </w:r>
    </w:p>
    <w:p>
      <w:pPr>
        <w:spacing w:line="400" w:lineRule="exact"/>
        <w:ind w:left="538" w:leftChars="25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指全权代表磋商供应商参加磋商活动并签署磋商响应文件的人。如果磋商供应商代表不是法定代表人（负责人），须持有《法定代表人（负责人）授权书》。</w:t>
      </w:r>
    </w:p>
    <w:p>
      <w:pPr>
        <w:numPr>
          <w:ilvl w:val="0"/>
          <w:numId w:val="6"/>
        </w:numPr>
        <w:tabs>
          <w:tab w:val="left" w:pos="540"/>
          <w:tab w:val="left" w:pos="900"/>
          <w:tab w:val="clear" w:pos="562"/>
        </w:tabs>
        <w:spacing w:line="400" w:lineRule="exact"/>
        <w:ind w:left="540" w:hanging="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磋商费用</w:t>
      </w:r>
    </w:p>
    <w:p>
      <w:pPr>
        <w:spacing w:line="400" w:lineRule="exact"/>
        <w:ind w:left="538" w:leftChars="25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磋商供应商应承担所有与准备和参加磋商有关费用，不论磋商的结果如何，采购人均无义务和责任承担这些费用。</w:t>
      </w:r>
    </w:p>
    <w:p>
      <w:pPr>
        <w:numPr>
          <w:ilvl w:val="0"/>
          <w:numId w:val="6"/>
        </w:numPr>
        <w:tabs>
          <w:tab w:val="left" w:pos="540"/>
          <w:tab w:val="left" w:pos="900"/>
          <w:tab w:val="clear" w:pos="562"/>
        </w:tabs>
        <w:spacing w:line="400" w:lineRule="exact"/>
        <w:ind w:left="540" w:hanging="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优化政府采购金融服务</w:t>
      </w:r>
    </w:p>
    <w:p>
      <w:pPr>
        <w:spacing w:line="400" w:lineRule="exact"/>
        <w:rPr>
          <w:rFonts w:hint="eastAsia" w:ascii="宋体" w:hAnsi="宋体" w:eastAsia="宋体" w:cs="宋体"/>
          <w:bCs/>
          <w:color w:val="auto"/>
          <w:spacing w:val="6"/>
          <w:sz w:val="22"/>
          <w:highlight w:val="none"/>
        </w:rPr>
      </w:pPr>
      <w:r>
        <w:rPr>
          <w:rFonts w:hint="eastAsia" w:ascii="宋体" w:hAnsi="宋体" w:eastAsia="宋体" w:cs="宋体"/>
          <w:bCs/>
          <w:color w:val="auto"/>
          <w:spacing w:val="6"/>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pPr>
        <w:numPr>
          <w:ilvl w:val="0"/>
          <w:numId w:val="6"/>
        </w:numPr>
        <w:tabs>
          <w:tab w:val="left" w:pos="540"/>
          <w:tab w:val="left" w:pos="900"/>
          <w:tab w:val="clear" w:pos="562"/>
        </w:tabs>
        <w:spacing w:line="400" w:lineRule="exact"/>
        <w:ind w:left="540" w:hanging="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特别说明：</w:t>
      </w:r>
    </w:p>
    <w:p>
      <w:pPr>
        <w:numPr>
          <w:ilvl w:val="1"/>
          <w:numId w:val="7"/>
        </w:numPr>
        <w:tabs>
          <w:tab w:val="left" w:pos="2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供应商应仔细阅读磋商文件的所有内容，按照磋商文件的要求提交磋商响应文件，并对所提供的全部资料的真实性承担法律责任。</w:t>
      </w:r>
    </w:p>
    <w:p>
      <w:pPr>
        <w:numPr>
          <w:ilvl w:val="1"/>
          <w:numId w:val="7"/>
        </w:numPr>
        <w:tabs>
          <w:tab w:val="left" w:pos="220"/>
          <w:tab w:val="left" w:pos="525"/>
          <w:tab w:val="clear" w:pos="992"/>
        </w:tabs>
        <w:spacing w:line="400" w:lineRule="exact"/>
        <w:ind w:left="640"/>
        <w:rPr>
          <w:rFonts w:hint="eastAsia" w:ascii="宋体" w:hAnsi="宋体" w:eastAsia="宋体" w:cs="宋体"/>
          <w:color w:val="auto"/>
          <w:sz w:val="22"/>
          <w:szCs w:val="22"/>
          <w:highlight w:val="none"/>
        </w:rPr>
      </w:pPr>
      <w:bookmarkStart w:id="53" w:name="_Hlk37697637"/>
      <w:r>
        <w:rPr>
          <w:rFonts w:hint="eastAsia" w:ascii="宋体" w:hAnsi="宋体" w:eastAsia="宋体" w:cs="宋体"/>
          <w:color w:val="auto"/>
          <w:sz w:val="22"/>
          <w:szCs w:val="22"/>
          <w:highlight w:val="none"/>
        </w:rPr>
        <w:t>使用综合评分法的采购项目，提供相同品牌产品且通过资格审查、符合性审查的不同供应商参加同一合同项下投标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成交候选供应商。</w:t>
      </w:r>
    </w:p>
    <w:p>
      <w:pPr>
        <w:numPr>
          <w:ilvl w:val="1"/>
          <w:numId w:val="7"/>
        </w:numPr>
        <w:tabs>
          <w:tab w:val="left" w:pos="2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非单一产品采购项目，采购人应当根据采购项目技术构成、产品价格比重等合理确定核心产品，并在磋商文件中载明。多家供应商提供的核心产品品牌相同的，按前两款规定处理。</w:t>
      </w:r>
      <w:bookmarkEnd w:id="53"/>
    </w:p>
    <w:p>
      <w:pPr>
        <w:numPr>
          <w:ilvl w:val="1"/>
          <w:numId w:val="7"/>
        </w:numPr>
        <w:tabs>
          <w:tab w:val="left" w:pos="2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numPr>
          <w:ilvl w:val="1"/>
          <w:numId w:val="7"/>
        </w:numPr>
        <w:tabs>
          <w:tab w:val="left" w:pos="2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pPr>
        <w:numPr>
          <w:ilvl w:val="1"/>
          <w:numId w:val="7"/>
        </w:numPr>
        <w:tabs>
          <w:tab w:val="left" w:pos="2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非浙江政府采购网注册的供应商或发生变更且未及时更新的供应商，应当在规定时间内按照《浙江省政府采购供应商注册及诚信管理暂行办法》（浙财采监字［2009］28号）的相关规定及时办理更新或供应商注册事项。一旦被确定为成交供应商的，在合同签订前按本办法的规定完成注册并成为正式注册供应商。</w:t>
      </w:r>
    </w:p>
    <w:p>
      <w:pPr>
        <w:spacing w:before="100" w:beforeAutospacing="1" w:after="100" w:afterAutospacing="1" w:line="440" w:lineRule="exact"/>
        <w:jc w:val="center"/>
        <w:outlineLvl w:val="0"/>
        <w:rPr>
          <w:rFonts w:hint="eastAsia" w:ascii="宋体" w:hAnsi="宋体" w:eastAsia="宋体" w:cs="宋体"/>
          <w:b/>
          <w:bCs/>
          <w:color w:val="auto"/>
          <w:sz w:val="26"/>
          <w:szCs w:val="26"/>
          <w:highlight w:val="none"/>
        </w:rPr>
      </w:pPr>
      <w:bookmarkStart w:id="54" w:name="_Toc221356949"/>
      <w:bookmarkStart w:id="55" w:name="_Toc239145352"/>
      <w:bookmarkStart w:id="56" w:name="_Toc241404200"/>
      <w:bookmarkStart w:id="57" w:name="_Toc262105501"/>
      <w:bookmarkStart w:id="58" w:name="_Toc221374624"/>
      <w:bookmarkStart w:id="59" w:name="_Toc221356884"/>
      <w:bookmarkStart w:id="60" w:name="_Toc6942"/>
      <w:bookmarkStart w:id="61" w:name="_Toc262049416"/>
      <w:bookmarkStart w:id="62" w:name="_Toc249758862"/>
      <w:bookmarkStart w:id="63" w:name="_Toc245191312"/>
      <w:bookmarkStart w:id="64" w:name="_Toc245722279"/>
      <w:bookmarkStart w:id="65" w:name="_Toc221423617"/>
      <w:bookmarkStart w:id="66" w:name="_Toc246261263"/>
      <w:bookmarkStart w:id="67" w:name="_Toc223715996"/>
      <w:bookmarkStart w:id="68" w:name="_Toc249758710"/>
      <w:bookmarkStart w:id="69" w:name="_Toc222114877"/>
      <w:r>
        <w:rPr>
          <w:rFonts w:hint="eastAsia" w:ascii="宋体" w:hAnsi="宋体" w:eastAsia="宋体" w:cs="宋体"/>
          <w:b/>
          <w:bCs/>
          <w:color w:val="auto"/>
          <w:sz w:val="26"/>
          <w:szCs w:val="26"/>
          <w:highlight w:val="none"/>
        </w:rPr>
        <w:t>三、 磋商文件</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pPr>
        <w:numPr>
          <w:ilvl w:val="0"/>
          <w:numId w:val="8"/>
        </w:numPr>
        <w:tabs>
          <w:tab w:val="left" w:pos="425"/>
          <w:tab w:val="left" w:pos="900"/>
        </w:tabs>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磋商文件由磋商文件目录所列内容及相关资料组成。</w:t>
      </w:r>
    </w:p>
    <w:p>
      <w:pPr>
        <w:numPr>
          <w:ilvl w:val="0"/>
          <w:numId w:val="8"/>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磋商文件的澄清</w:t>
      </w:r>
    </w:p>
    <w:p>
      <w:pPr>
        <w:numPr>
          <w:ilvl w:val="1"/>
          <w:numId w:val="9"/>
        </w:numPr>
        <w:spacing w:line="400" w:lineRule="exact"/>
        <w:ind w:left="525" w:hanging="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供应商对磋商文件如有疑点或未尽事宜要求澄清，或认为有必要进行说明或交流，供应商可以在知道或应知其权益受到损害之日起三个工作日内，以书面形式（包括信函、传真、下同）向采购人提出质疑，但质疑不得迟于报价文件递交截止时间5日前使采购人收到，采购人将用书面形式予以答复。如有必要，可将不说明问题来源的答复发给各有关磋商供应商或召开答疑会。如果标书答疑期内未收到有关疑问，视为供应商完全同意磋商文件所有条款，且对于磋商文件相关表述以及未尽事宜如有争议，以采购人解释为准。</w:t>
      </w:r>
    </w:p>
    <w:p>
      <w:pPr>
        <w:numPr>
          <w:ilvl w:val="0"/>
          <w:numId w:val="8"/>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磋商文件的修改</w:t>
      </w:r>
    </w:p>
    <w:p>
      <w:pPr>
        <w:numPr>
          <w:ilvl w:val="1"/>
          <w:numId w:val="10"/>
        </w:numPr>
        <w:tabs>
          <w:tab w:val="left" w:pos="2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在磋商响应文件递交截止期5天前，采购人无论是出于何种原因，均可对磋商文件用补充文件的方式进行修改，并在</w:t>
      </w:r>
      <w:r>
        <w:rPr>
          <w:rFonts w:hint="eastAsia" w:ascii="宋体" w:hAnsi="宋体" w:eastAsia="宋体" w:cs="宋体"/>
          <w:bCs/>
          <w:color w:val="auto"/>
          <w:sz w:val="22"/>
          <w:szCs w:val="22"/>
          <w:highlight w:val="none"/>
        </w:rPr>
        <w:t>浙江政府采购网</w:t>
      </w:r>
      <w:r>
        <w:rPr>
          <w:rFonts w:hint="eastAsia" w:ascii="宋体" w:hAnsi="宋体" w:eastAsia="宋体" w:cs="宋体"/>
          <w:color w:val="auto"/>
          <w:sz w:val="22"/>
          <w:szCs w:val="22"/>
          <w:highlight w:val="none"/>
        </w:rPr>
        <w:t>上发布更正公告。该澄清和修改的内容为磋商文件的组成部分。采购人可以视采购具体情况在磋商文件要求提交截止时间三天前，作出延长报价文件递交截止时间和磋商时间的决定，并将变更时间书面通知所有磋商文件收受人，并在</w:t>
      </w:r>
      <w:r>
        <w:rPr>
          <w:rFonts w:hint="eastAsia" w:ascii="宋体" w:hAnsi="宋体" w:eastAsia="宋体" w:cs="宋体"/>
          <w:bCs/>
          <w:color w:val="auto"/>
          <w:sz w:val="22"/>
          <w:szCs w:val="22"/>
          <w:highlight w:val="none"/>
        </w:rPr>
        <w:t>浙江政府采购网</w:t>
      </w:r>
      <w:r>
        <w:rPr>
          <w:rFonts w:hint="eastAsia" w:ascii="宋体" w:hAnsi="宋体" w:eastAsia="宋体" w:cs="宋体"/>
          <w:color w:val="auto"/>
          <w:sz w:val="22"/>
          <w:szCs w:val="22"/>
          <w:highlight w:val="none"/>
        </w:rPr>
        <w:t>上发布变更公告。</w:t>
      </w:r>
    </w:p>
    <w:p>
      <w:pPr>
        <w:numPr>
          <w:ilvl w:val="1"/>
          <w:numId w:val="10"/>
        </w:numPr>
        <w:tabs>
          <w:tab w:val="left" w:pos="220"/>
          <w:tab w:val="left" w:pos="360"/>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磋商文件如有补充更正均见浙江政府采购网（http://www.zjzfcg.gov.cn/）。供应商须自行查看是否有补充更正文件，并按补充更正文件要求磋商，否则责任自负</w:t>
      </w:r>
      <w:r>
        <w:rPr>
          <w:rFonts w:hint="eastAsia" w:ascii="宋体" w:hAnsi="宋体" w:eastAsia="宋体" w:cs="宋体"/>
          <w:color w:val="auto"/>
          <w:sz w:val="22"/>
          <w:szCs w:val="22"/>
          <w:highlight w:val="none"/>
        </w:rPr>
        <w:t>。</w:t>
      </w:r>
    </w:p>
    <w:p>
      <w:pPr>
        <w:numPr>
          <w:ilvl w:val="0"/>
          <w:numId w:val="8"/>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w:t>
      </w:r>
    </w:p>
    <w:p>
      <w:pPr>
        <w:numPr>
          <w:ilvl w:val="1"/>
          <w:numId w:val="11"/>
        </w:numPr>
        <w:tabs>
          <w:tab w:val="left" w:pos="4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eastAsia="宋体" w:cs="宋体"/>
          <w:color w:val="auto"/>
          <w:spacing w:val="6"/>
          <w:sz w:val="22"/>
          <w:highlight w:val="none"/>
        </w:rPr>
        <w:t>供应商认为磋商文件、采购过程、成交或者成交结果使自己的权益受到损害的，可以在知道</w:t>
      </w:r>
      <w:r>
        <w:rPr>
          <w:rFonts w:hint="eastAsia" w:ascii="宋体" w:hAnsi="宋体" w:eastAsia="宋体" w:cs="宋体"/>
          <w:color w:val="auto"/>
          <w:sz w:val="22"/>
          <w:szCs w:val="22"/>
          <w:highlight w:val="none"/>
        </w:rPr>
        <w:t>或者应知其权益受到损害之日起7个工作日内，以书面形式向采购人、采购代理机构提出质疑。逾期提出的，采购组织机构将不予受理、答复。</w:t>
      </w:r>
    </w:p>
    <w:p>
      <w:pPr>
        <w:numPr>
          <w:ilvl w:val="1"/>
          <w:numId w:val="11"/>
        </w:numPr>
        <w:tabs>
          <w:tab w:val="left" w:pos="4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供应商提出质疑应当提交质疑函和必要的证明材料，质疑函范本请到“浙江政府采购网下载专区”下载，质疑函内容及签署等相关要求请参看《政府采购质疑和投诉办法》相关规定。</w:t>
      </w:r>
    </w:p>
    <w:p>
      <w:pPr>
        <w:numPr>
          <w:ilvl w:val="1"/>
          <w:numId w:val="11"/>
        </w:numPr>
        <w:tabs>
          <w:tab w:val="left" w:pos="4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提出质疑的供应商应当是参与本项目招标活动的供应商。供应商在法定质疑期内一次性提出针对同一采购程序环节的质疑。</w:t>
      </w:r>
    </w:p>
    <w:p>
      <w:pPr>
        <w:numPr>
          <w:ilvl w:val="1"/>
          <w:numId w:val="11"/>
        </w:numPr>
        <w:tabs>
          <w:tab w:val="left" w:pos="4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根据《政府采购质疑和投诉办法》第三十七条的规定，投诉人在全国范围12个月内三次以上投诉查无实据的，由财政部门列入不良行为记录名单。</w:t>
      </w:r>
    </w:p>
    <w:p>
      <w:pPr>
        <w:numPr>
          <w:ilvl w:val="0"/>
          <w:numId w:val="8"/>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w:t>
      </w:r>
    </w:p>
    <w:p>
      <w:pPr>
        <w:tabs>
          <w:tab w:val="left" w:pos="540"/>
        </w:tabs>
        <w:spacing w:line="400" w:lineRule="exact"/>
        <w:ind w:firstLine="464" w:firstLineChars="200"/>
        <w:rPr>
          <w:rFonts w:hint="eastAsia" w:ascii="宋体" w:hAnsi="宋体" w:eastAsia="宋体" w:cs="宋体"/>
          <w:color w:val="auto"/>
          <w:sz w:val="22"/>
          <w:szCs w:val="22"/>
          <w:highlight w:val="none"/>
        </w:rPr>
      </w:pPr>
      <w:r>
        <w:rPr>
          <w:rFonts w:hint="eastAsia" w:ascii="宋体" w:hAnsi="宋体" w:eastAsia="宋体" w:cs="宋体"/>
          <w:color w:val="auto"/>
          <w:spacing w:val="6"/>
          <w:sz w:val="22"/>
          <w:highlight w:val="none"/>
        </w:rPr>
        <w:t>质疑供应商对采购人、采购代理机构的答复不满意或者采购人、采购代理机构未在规定的时间内作出答复的，可以在答复期满后十五个工作日内向同级政府采购监督部门投诉。投诉书范本请到“浙江政府采购网下载专区”下载。</w:t>
      </w:r>
    </w:p>
    <w:p>
      <w:pPr>
        <w:spacing w:before="100" w:beforeAutospacing="1" w:after="100" w:afterAutospacing="1" w:line="440" w:lineRule="exact"/>
        <w:jc w:val="center"/>
        <w:outlineLvl w:val="0"/>
        <w:rPr>
          <w:rFonts w:hint="eastAsia" w:ascii="宋体" w:hAnsi="宋体" w:eastAsia="宋体" w:cs="宋体"/>
          <w:b/>
          <w:bCs/>
          <w:color w:val="auto"/>
          <w:sz w:val="26"/>
          <w:szCs w:val="26"/>
          <w:highlight w:val="none"/>
        </w:rPr>
      </w:pPr>
      <w:bookmarkStart w:id="70" w:name="_Toc249758711"/>
      <w:bookmarkStart w:id="71" w:name="_Toc262049417"/>
      <w:bookmarkStart w:id="72" w:name="_Toc249758863"/>
      <w:bookmarkStart w:id="73" w:name="_Toc221423618"/>
      <w:bookmarkStart w:id="74" w:name="_Toc239145353"/>
      <w:bookmarkStart w:id="75" w:name="_Toc223715997"/>
      <w:bookmarkStart w:id="76" w:name="_Toc24411"/>
      <w:bookmarkStart w:id="77" w:name="_Toc221356885"/>
      <w:bookmarkStart w:id="78" w:name="_Toc241404201"/>
      <w:bookmarkStart w:id="79" w:name="_Toc245191313"/>
      <w:bookmarkStart w:id="80" w:name="_Toc221374625"/>
      <w:bookmarkStart w:id="81" w:name="_Toc246261264"/>
      <w:bookmarkStart w:id="82" w:name="_Toc222114878"/>
      <w:bookmarkStart w:id="83" w:name="_Toc245722280"/>
      <w:bookmarkStart w:id="84" w:name="_Toc221356950"/>
      <w:bookmarkStart w:id="85" w:name="_Toc262105502"/>
      <w:r>
        <w:rPr>
          <w:rFonts w:hint="eastAsia" w:ascii="宋体" w:hAnsi="宋体" w:eastAsia="宋体" w:cs="宋体"/>
          <w:b/>
          <w:bCs/>
          <w:color w:val="auto"/>
          <w:sz w:val="26"/>
          <w:szCs w:val="26"/>
          <w:highlight w:val="none"/>
        </w:rPr>
        <w:t>四、 磋商响应文件的编制</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numPr>
          <w:ilvl w:val="0"/>
          <w:numId w:val="12"/>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磋商供应商应认真阅读磋商文件中所有事项格式、条款和技术规范等。</w:t>
      </w:r>
      <w:r>
        <w:rPr>
          <w:rFonts w:hint="eastAsia" w:ascii="宋体" w:hAnsi="宋体" w:eastAsia="宋体" w:cs="宋体"/>
          <w:b/>
          <w:color w:val="auto"/>
          <w:sz w:val="22"/>
          <w:szCs w:val="22"/>
          <w:highlight w:val="none"/>
        </w:rPr>
        <w:t>磋商供应商没有按照磋商文件要求提交全部资料，或者没有对磋商文件各个方面做出实质性响应，导致报价被拒绝的风险由供应商人自行承担。</w:t>
      </w:r>
    </w:p>
    <w:p>
      <w:pPr>
        <w:numPr>
          <w:ilvl w:val="0"/>
          <w:numId w:val="12"/>
        </w:numPr>
        <w:spacing w:line="40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磋商响应文件的构成</w:t>
      </w:r>
    </w:p>
    <w:p>
      <w:pPr>
        <w:tabs>
          <w:tab w:val="left" w:pos="360"/>
          <w:tab w:val="left" w:pos="1135"/>
        </w:tabs>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磋商响应文件由由资格文件、报价文件、商务技术文件三部分构成：</w:t>
      </w:r>
    </w:p>
    <w:p>
      <w:pPr>
        <w:spacing w:line="400" w:lineRule="exact"/>
        <w:ind w:left="187" w:leftChars="85" w:hanging="9" w:hangingChars="4"/>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（1）资格文件</w:t>
      </w:r>
    </w:p>
    <w:tbl>
      <w:tblPr>
        <w:tblStyle w:val="3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4"/>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pPr>
              <w:overflowPunct w:val="0"/>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7514" w:type="dxa"/>
            <w:vAlign w:val="center"/>
          </w:tcPr>
          <w:p>
            <w:pPr>
              <w:overflowPunct w:val="0"/>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内 容</w:t>
            </w:r>
          </w:p>
        </w:tc>
        <w:tc>
          <w:tcPr>
            <w:tcW w:w="1523" w:type="dxa"/>
            <w:vAlign w:val="center"/>
          </w:tcPr>
          <w:p>
            <w:pPr>
              <w:overflowPunct w:val="0"/>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pPr>
              <w:spacing w:line="400" w:lineRule="exact"/>
              <w:jc w:val="center"/>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1）</w:t>
            </w:r>
          </w:p>
        </w:tc>
        <w:tc>
          <w:tcPr>
            <w:tcW w:w="7514" w:type="dxa"/>
            <w:vAlign w:val="center"/>
          </w:tcPr>
          <w:p>
            <w:pPr>
              <w:spacing w:line="40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法定代表人声明书或法定代表人授权书</w:t>
            </w:r>
          </w:p>
        </w:tc>
        <w:tc>
          <w:tcPr>
            <w:tcW w:w="1523" w:type="dxa"/>
            <w:vAlign w:val="center"/>
          </w:tcPr>
          <w:p>
            <w:pPr>
              <w:overflowPunct w:val="0"/>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pPr>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2）</w:t>
            </w:r>
          </w:p>
        </w:tc>
        <w:tc>
          <w:tcPr>
            <w:tcW w:w="7514" w:type="dxa"/>
            <w:vAlign w:val="center"/>
          </w:tcPr>
          <w:p>
            <w:pPr>
              <w:spacing w:line="400" w:lineRule="exact"/>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符合参加政府采购活动应当具备的一般条件的承诺函</w:t>
            </w:r>
          </w:p>
        </w:tc>
        <w:tc>
          <w:tcPr>
            <w:tcW w:w="1523" w:type="dxa"/>
            <w:vAlign w:val="center"/>
          </w:tcPr>
          <w:p>
            <w:pPr>
              <w:overflowPunct w:val="0"/>
              <w:spacing w:line="400" w:lineRule="exact"/>
              <w:jc w:val="center"/>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pPr>
              <w:spacing w:line="40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color w:val="auto"/>
                <w:sz w:val="22"/>
                <w:szCs w:val="22"/>
                <w:highlight w:val="none"/>
              </w:rPr>
              <w:t>3）</w:t>
            </w:r>
          </w:p>
        </w:tc>
        <w:tc>
          <w:tcPr>
            <w:tcW w:w="7514" w:type="dxa"/>
            <w:vAlign w:val="center"/>
          </w:tcPr>
          <w:p>
            <w:pPr>
              <w:pStyle w:val="2"/>
              <w:jc w:val="both"/>
              <w:rPr>
                <w:rFonts w:hint="eastAsia" w:ascii="楷体_GB2312" w:hAnsi="Times New Roman" w:eastAsia="楷体_GB2312" w:cs="Times New Roman"/>
                <w:b/>
                <w:bCs/>
                <w:color w:val="auto"/>
                <w:kern w:val="2"/>
                <w:sz w:val="21"/>
                <w:szCs w:val="24"/>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营业执照</w:t>
            </w:r>
          </w:p>
        </w:tc>
        <w:tc>
          <w:tcPr>
            <w:tcW w:w="1523" w:type="dxa"/>
            <w:vAlign w:val="center"/>
          </w:tcPr>
          <w:p>
            <w:pPr>
              <w:overflowPunct w:val="0"/>
              <w:spacing w:line="400" w:lineRule="exact"/>
              <w:jc w:val="center"/>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pPr>
              <w:spacing w:line="40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color w:val="auto"/>
                <w:sz w:val="22"/>
                <w:szCs w:val="22"/>
                <w:highlight w:val="none"/>
              </w:rPr>
              <w:t>4）</w:t>
            </w:r>
          </w:p>
        </w:tc>
        <w:tc>
          <w:tcPr>
            <w:tcW w:w="7514" w:type="dxa"/>
            <w:vAlign w:val="center"/>
          </w:tcPr>
          <w:p>
            <w:pPr>
              <w:spacing w:line="400" w:lineRule="exact"/>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rPr>
              <w:t>诚信投标承诺书</w:t>
            </w:r>
          </w:p>
        </w:tc>
        <w:tc>
          <w:tcPr>
            <w:tcW w:w="1523" w:type="dxa"/>
            <w:vAlign w:val="center"/>
          </w:tcPr>
          <w:p>
            <w:pPr>
              <w:overflowPunct w:val="0"/>
              <w:spacing w:line="400" w:lineRule="exact"/>
              <w:jc w:val="center"/>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pPr>
              <w:spacing w:line="40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color w:val="auto"/>
                <w:sz w:val="22"/>
                <w:szCs w:val="22"/>
                <w:highlight w:val="none"/>
              </w:rPr>
              <w:t>5）</w:t>
            </w:r>
          </w:p>
        </w:tc>
        <w:tc>
          <w:tcPr>
            <w:tcW w:w="7514" w:type="dxa"/>
            <w:vAlign w:val="center"/>
          </w:tcPr>
          <w:p>
            <w:pPr>
              <w:spacing w:line="400" w:lineRule="exact"/>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rPr>
              <w:t>中小企业声明函</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或监狱企业、残疾人福利单位声明函</w:t>
            </w:r>
            <w:r>
              <w:rPr>
                <w:rFonts w:hint="eastAsia" w:ascii="宋体" w:hAnsi="宋体" w:cs="宋体"/>
                <w:bCs/>
                <w:color w:val="auto"/>
                <w:sz w:val="22"/>
                <w:szCs w:val="22"/>
                <w:highlight w:val="none"/>
                <w:lang w:eastAsia="zh-CN"/>
              </w:rPr>
              <w:t>）</w:t>
            </w:r>
          </w:p>
        </w:tc>
        <w:tc>
          <w:tcPr>
            <w:tcW w:w="1523" w:type="dxa"/>
            <w:vAlign w:val="center"/>
          </w:tcPr>
          <w:p>
            <w:pPr>
              <w:overflowPunct w:val="0"/>
              <w:spacing w:line="400" w:lineRule="exact"/>
              <w:jc w:val="center"/>
              <w:rPr>
                <w:rFonts w:hint="eastAsia" w:ascii="宋体" w:hAnsi="宋体" w:eastAsia="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pPr>
              <w:spacing w:line="40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w:t>
            </w:r>
          </w:p>
        </w:tc>
        <w:tc>
          <w:tcPr>
            <w:tcW w:w="7514" w:type="dxa"/>
            <w:vAlign w:val="center"/>
          </w:tcPr>
          <w:p>
            <w:pPr>
              <w:spacing w:line="400" w:lineRule="exact"/>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kern w:val="0"/>
                <w:sz w:val="22"/>
                <w:szCs w:val="22"/>
                <w:highlight w:val="none"/>
              </w:rPr>
              <w:t>本项目的特定资格要求</w:t>
            </w:r>
            <w:r>
              <w:rPr>
                <w:rFonts w:hint="eastAsia" w:ascii="宋体" w:hAnsi="宋体" w:cs="宋体"/>
                <w:bCs/>
                <w:color w:val="auto"/>
                <w:kern w:val="0"/>
                <w:sz w:val="22"/>
                <w:szCs w:val="22"/>
                <w:highlight w:val="none"/>
                <w:lang w:val="en-US" w:eastAsia="zh-CN"/>
              </w:rPr>
              <w:t>：</w:t>
            </w:r>
            <w:r>
              <w:rPr>
                <w:rFonts w:hint="eastAsia" w:ascii="宋体" w:hAnsi="宋体" w:cs="宋体"/>
                <w:bCs/>
                <w:color w:val="auto"/>
                <w:sz w:val="22"/>
                <w:szCs w:val="22"/>
                <w:highlight w:val="none"/>
                <w:lang w:val="en-US" w:eastAsia="zh-CN"/>
              </w:rPr>
              <w:t>未要求</w:t>
            </w:r>
          </w:p>
        </w:tc>
        <w:tc>
          <w:tcPr>
            <w:tcW w:w="1523" w:type="dxa"/>
            <w:vAlign w:val="center"/>
          </w:tcPr>
          <w:p>
            <w:pPr>
              <w:spacing w:line="400" w:lineRule="exact"/>
              <w:jc w:val="center"/>
              <w:rPr>
                <w:rFonts w:hint="eastAsia" w:ascii="宋体" w:hAnsi="宋体" w:eastAsia="宋体" w:cs="宋体"/>
                <w:bCs/>
                <w:color w:val="auto"/>
                <w:sz w:val="22"/>
                <w:szCs w:val="22"/>
                <w:highlight w:val="none"/>
                <w:lang w:val="en-US" w:eastAsia="zh-CN"/>
              </w:rPr>
            </w:pPr>
            <w:r>
              <w:rPr>
                <w:rFonts w:hint="eastAsia" w:ascii="宋体" w:hAnsi="宋体" w:cs="宋体"/>
                <w:bCs/>
                <w:color w:val="auto"/>
                <w:kern w:val="0"/>
                <w:sz w:val="22"/>
                <w:szCs w:val="22"/>
                <w:highlight w:val="none"/>
                <w:lang w:val="en-US" w:eastAsia="zh-CN"/>
              </w:rPr>
              <w:t>（格式要求）</w:t>
            </w:r>
          </w:p>
        </w:tc>
      </w:tr>
    </w:tbl>
    <w:p>
      <w:pPr>
        <w:spacing w:line="400" w:lineRule="exact"/>
        <w:ind w:left="187" w:leftChars="85" w:hanging="9" w:hangingChars="4"/>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r>
        <w:rPr>
          <w:rFonts w:hint="eastAsia" w:ascii="宋体" w:hAnsi="宋体" w:eastAsia="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磋商响应文件中提供相关材料），证明其具备实际承担责任的能力和法定的缔结合同能力，可以独立参加政府采购活动，由单位负责人签署相关文件材料；</w:t>
      </w:r>
    </w:p>
    <w:p>
      <w:pPr>
        <w:spacing w:line="400" w:lineRule="exact"/>
        <w:rPr>
          <w:rFonts w:hint="eastAsia" w:ascii="宋体" w:hAnsi="宋体" w:eastAsia="宋体" w:cs="宋体"/>
          <w:b/>
          <w:color w:val="auto"/>
          <w:kern w:val="0"/>
          <w:sz w:val="22"/>
          <w:szCs w:val="22"/>
          <w:highlight w:val="none"/>
        </w:rPr>
      </w:pPr>
      <w:r>
        <w:rPr>
          <w:rFonts w:hint="eastAsia" w:ascii="宋体" w:hAnsi="宋体" w:eastAsia="宋体" w:cs="宋体"/>
          <w:b/>
          <w:color w:val="auto"/>
          <w:sz w:val="22"/>
          <w:szCs w:val="22"/>
          <w:highlight w:val="none"/>
        </w:rPr>
        <w:t>（2）</w:t>
      </w:r>
      <w:r>
        <w:rPr>
          <w:rFonts w:hint="eastAsia" w:ascii="宋体" w:hAnsi="宋体" w:eastAsia="宋体" w:cs="宋体"/>
          <w:b/>
          <w:color w:val="auto"/>
          <w:kern w:val="0"/>
          <w:sz w:val="22"/>
          <w:szCs w:val="22"/>
          <w:highlight w:val="none"/>
        </w:rPr>
        <w:t>报价文件</w:t>
      </w:r>
    </w:p>
    <w:tbl>
      <w:tblPr>
        <w:tblStyle w:val="3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3"/>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序号</w:t>
            </w:r>
          </w:p>
        </w:tc>
        <w:tc>
          <w:tcPr>
            <w:tcW w:w="7513" w:type="dxa"/>
            <w:vAlign w:val="center"/>
          </w:tcPr>
          <w:p>
            <w:pPr>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内容</w:t>
            </w:r>
          </w:p>
        </w:tc>
        <w:tc>
          <w:tcPr>
            <w:tcW w:w="1524" w:type="dxa"/>
            <w:vAlign w:val="center"/>
          </w:tcPr>
          <w:p>
            <w:pPr>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1）</w:t>
            </w:r>
          </w:p>
        </w:tc>
        <w:tc>
          <w:tcPr>
            <w:tcW w:w="7513" w:type="dxa"/>
            <w:vAlign w:val="center"/>
          </w:tcPr>
          <w:p>
            <w:pPr>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报价一览表</w:t>
            </w:r>
          </w:p>
        </w:tc>
        <w:tc>
          <w:tcPr>
            <w:tcW w:w="1524" w:type="dxa"/>
            <w:vMerge w:val="restart"/>
            <w:vAlign w:val="center"/>
          </w:tcPr>
          <w:p>
            <w:pPr>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7513" w:type="dxa"/>
            <w:vAlign w:val="center"/>
          </w:tcPr>
          <w:p>
            <w:pPr>
              <w:spacing w:line="43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分项报价表</w:t>
            </w:r>
          </w:p>
        </w:tc>
        <w:tc>
          <w:tcPr>
            <w:tcW w:w="1524" w:type="dxa"/>
            <w:vMerge w:val="continue"/>
            <w:vAlign w:val="center"/>
          </w:tcPr>
          <w:p>
            <w:pPr>
              <w:spacing w:line="400" w:lineRule="exact"/>
              <w:jc w:val="center"/>
              <w:rPr>
                <w:rFonts w:hint="eastAsia" w:ascii="宋体" w:hAnsi="宋体" w:eastAsia="宋体" w:cs="宋体"/>
                <w:color w:val="auto"/>
                <w:kern w:val="0"/>
                <w:sz w:val="22"/>
                <w:szCs w:val="22"/>
                <w:highlight w:val="none"/>
              </w:rPr>
            </w:pPr>
          </w:p>
        </w:tc>
      </w:tr>
    </w:tbl>
    <w:p>
      <w:pPr>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（3）</w:t>
      </w:r>
      <w:r>
        <w:rPr>
          <w:rFonts w:hint="eastAsia" w:ascii="宋体" w:hAnsi="宋体" w:eastAsia="宋体" w:cs="宋体"/>
          <w:b/>
          <w:color w:val="auto"/>
          <w:sz w:val="22"/>
          <w:szCs w:val="22"/>
          <w:highlight w:val="none"/>
        </w:rPr>
        <w:t>商务技术文件</w:t>
      </w:r>
    </w:p>
    <w:tbl>
      <w:tblPr>
        <w:tblStyle w:val="3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3"/>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7513" w:type="dxa"/>
            <w:vAlign w:val="center"/>
          </w:tcPr>
          <w:p>
            <w:pPr>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内容</w:t>
            </w:r>
          </w:p>
        </w:tc>
        <w:tc>
          <w:tcPr>
            <w:tcW w:w="1524" w:type="dxa"/>
            <w:vAlign w:val="center"/>
          </w:tcPr>
          <w:p>
            <w:pPr>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7513" w:type="dxa"/>
            <w:vAlign w:val="center"/>
          </w:tcPr>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磋商函</w:t>
            </w:r>
          </w:p>
        </w:tc>
        <w:tc>
          <w:tcPr>
            <w:tcW w:w="1524" w:type="dxa"/>
            <w:vAlign w:val="center"/>
          </w:tcPr>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7513" w:type="dxa"/>
            <w:vAlign w:val="center"/>
          </w:tcPr>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技术规格、商务条款偏离表</w:t>
            </w:r>
          </w:p>
        </w:tc>
        <w:tc>
          <w:tcPr>
            <w:tcW w:w="1524" w:type="dxa"/>
            <w:vAlign w:val="center"/>
          </w:tcPr>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7513" w:type="dxa"/>
            <w:vAlign w:val="center"/>
          </w:tcPr>
          <w:p>
            <w:pPr>
              <w:spacing w:line="40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投标技术方案（按“评标细则”相关评分内容逐项编制，格式自拟）</w:t>
            </w:r>
          </w:p>
        </w:tc>
        <w:tc>
          <w:tcPr>
            <w:tcW w:w="1524" w:type="dxa"/>
            <w:vAlign w:val="center"/>
          </w:tcPr>
          <w:p>
            <w:pPr>
              <w:spacing w:line="40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7513" w:type="dxa"/>
            <w:vAlign w:val="center"/>
          </w:tcPr>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服务保证措施资信证明文件（本部分为商务技术文件评分内容，各供应商参照评分标准根据自身情况提供）</w:t>
            </w:r>
          </w:p>
        </w:tc>
        <w:tc>
          <w:tcPr>
            <w:tcW w:w="1524" w:type="dxa"/>
            <w:vAlign w:val="center"/>
          </w:tcPr>
          <w:p>
            <w:pPr>
              <w:spacing w:line="40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7513" w:type="dxa"/>
            <w:vAlign w:val="center"/>
          </w:tcPr>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结合招标文件评分细则供应商认为需要提供的其他技术资料</w:t>
            </w:r>
          </w:p>
        </w:tc>
        <w:tc>
          <w:tcPr>
            <w:tcW w:w="1524" w:type="dxa"/>
            <w:vAlign w:val="center"/>
          </w:tcPr>
          <w:p>
            <w:pPr>
              <w:spacing w:line="400" w:lineRule="exact"/>
              <w:jc w:val="center"/>
              <w:rPr>
                <w:rFonts w:hint="eastAsia" w:ascii="宋体" w:hAnsi="宋体" w:eastAsia="宋体" w:cs="宋体"/>
                <w:color w:val="auto"/>
                <w:sz w:val="22"/>
                <w:szCs w:val="22"/>
                <w:highlight w:val="none"/>
              </w:rPr>
            </w:pPr>
          </w:p>
        </w:tc>
      </w:tr>
    </w:tbl>
    <w:p>
      <w:pPr>
        <w:spacing w:line="400" w:lineRule="exact"/>
        <w:ind w:left="187" w:leftChars="85" w:hanging="9" w:hangingChars="4"/>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说明：</w:t>
      </w:r>
    </w:p>
    <w:p>
      <w:pPr>
        <w:numPr>
          <w:ilvl w:val="0"/>
          <w:numId w:val="13"/>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供应商可根据磋商文件中的采购内容及需求和商务技术文件评分细则，提供供应商认为需要提供的文件和资料。</w:t>
      </w:r>
    </w:p>
    <w:p>
      <w:pPr>
        <w:numPr>
          <w:ilvl w:val="0"/>
          <w:numId w:val="13"/>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文件中应承诺：供应商所提供的技术资料的所有权归采购人所有。如若发生第三方侵权事件，其侵权责任与采购人及采购代理机构无关，由供应商承担全部责任。侵权造成的所有相关费用，均由供应商支付，保证不伤害采购人的利益。</w:t>
      </w:r>
    </w:p>
    <w:p>
      <w:pPr>
        <w:numPr>
          <w:ilvl w:val="0"/>
          <w:numId w:val="13"/>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以上所需的各种证书、证件、证明等若系复印件、扫描件，须加盖供应商有效的公章。</w:t>
      </w:r>
    </w:p>
    <w:p>
      <w:pPr>
        <w:numPr>
          <w:ilvl w:val="0"/>
          <w:numId w:val="13"/>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相关证书、报告等如遇年检或换证等特殊情况须按要求提供相应的证明材料。</w:t>
      </w:r>
    </w:p>
    <w:p>
      <w:pPr>
        <w:numPr>
          <w:ilvl w:val="0"/>
          <w:numId w:val="12"/>
        </w:numPr>
        <w:spacing w:line="40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磋商响应文件编制</w:t>
      </w:r>
    </w:p>
    <w:p>
      <w:pPr>
        <w:numPr>
          <w:ilvl w:val="1"/>
          <w:numId w:val="14"/>
        </w:numPr>
        <w:tabs>
          <w:tab w:val="left" w:pos="220"/>
          <w:tab w:val="clear" w:pos="992"/>
        </w:tabs>
        <w:spacing w:line="400" w:lineRule="exact"/>
        <w:ind w:left="420" w:hanging="34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本项目通过“政采云平台（www.zcygov.cn）”实行在线投标响应（电子投标）。供应商应通过“政采云电子交易客户端”，并按照本磋商文件和“政采云平台”的要求编制并加密磋商响应文件。</w:t>
      </w:r>
    </w:p>
    <w:p>
      <w:pPr>
        <w:numPr>
          <w:ilvl w:val="1"/>
          <w:numId w:val="14"/>
        </w:numPr>
        <w:tabs>
          <w:tab w:val="left" w:pos="220"/>
          <w:tab w:val="clear" w:pos="992"/>
        </w:tabs>
        <w:spacing w:line="400" w:lineRule="exact"/>
        <w:ind w:left="420" w:hanging="347"/>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供应商提供的联系方式（手机号码、联系邮箱、联系地址），均以法定代表人声明书或法定代表人授权委托书上注明的联系方式为准，供应商必须保障其联系方式保持畅通。否则由此造成的后果均有供应商自行承担。</w:t>
      </w:r>
    </w:p>
    <w:p>
      <w:pPr>
        <w:numPr>
          <w:ilvl w:val="1"/>
          <w:numId w:val="14"/>
        </w:numPr>
        <w:tabs>
          <w:tab w:val="left" w:pos="220"/>
          <w:tab w:val="clear" w:pos="992"/>
        </w:tabs>
        <w:spacing w:line="400" w:lineRule="exact"/>
        <w:ind w:left="420" w:hanging="34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本磋商文件“第五部分 ”中有提供格式的，供应商须参照格式进行编制（格式中要求提供相关证明材料的还需后附相关证明材料），并按格式要求在指定位置根据要求进行签章，否则视为未提供；本文件未提供格式的，请各供应商自行拟定格式，并加盖单位公章并由法定代表人或其授权代表签署（签字或盖章），否则视为未提供。</w:t>
      </w:r>
    </w:p>
    <w:p>
      <w:pPr>
        <w:numPr>
          <w:ilvl w:val="1"/>
          <w:numId w:val="14"/>
        </w:numPr>
        <w:tabs>
          <w:tab w:val="left" w:pos="220"/>
          <w:tab w:val="clear" w:pos="992"/>
        </w:tabs>
        <w:spacing w:line="400" w:lineRule="exact"/>
        <w:ind w:left="420" w:hanging="34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磋商响应文件内容不完整、编排混乱导致磋商响应文件被误读、漏读或者查找不到相关内容的，是供应商的责任。</w:t>
      </w:r>
    </w:p>
    <w:p>
      <w:pPr>
        <w:numPr>
          <w:ilvl w:val="1"/>
          <w:numId w:val="14"/>
        </w:numPr>
        <w:tabs>
          <w:tab w:val="left" w:pos="220"/>
          <w:tab w:val="clear" w:pos="992"/>
        </w:tabs>
        <w:spacing w:line="400" w:lineRule="exact"/>
        <w:ind w:left="420" w:hanging="34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磋商响应文件因字迹潦草或表达不清所引起的后果由供应商负责。</w:t>
      </w:r>
    </w:p>
    <w:p>
      <w:pPr>
        <w:numPr>
          <w:ilvl w:val="1"/>
          <w:numId w:val="14"/>
        </w:numPr>
        <w:tabs>
          <w:tab w:val="left" w:pos="220"/>
          <w:tab w:val="clear" w:pos="992"/>
        </w:tabs>
        <w:spacing w:line="400" w:lineRule="exact"/>
        <w:ind w:left="420" w:hanging="34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供应商没有按照本章节 “磋商响应文件组成”要求提供全部资料，或者没有仔细阅读磋商文件，或者没有对磋商文件在各方面的要求作出实质性响应是供应商的风险，由此造成的一切后果由供应商自行承担。</w:t>
      </w:r>
    </w:p>
    <w:p>
      <w:pPr>
        <w:numPr>
          <w:ilvl w:val="0"/>
          <w:numId w:val="12"/>
        </w:numPr>
        <w:spacing w:line="40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磋商响应文件的签章</w:t>
      </w:r>
    </w:p>
    <w:p>
      <w:pPr>
        <w:numPr>
          <w:ilvl w:val="1"/>
          <w:numId w:val="15"/>
        </w:numPr>
        <w:tabs>
          <w:tab w:val="left" w:pos="4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磋商响应文件的签章要求：供应商须知前附表第17款；</w:t>
      </w:r>
    </w:p>
    <w:p>
      <w:pPr>
        <w:numPr>
          <w:ilvl w:val="1"/>
          <w:numId w:val="15"/>
        </w:numPr>
        <w:tabs>
          <w:tab w:val="left" w:pos="4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磋商响应文件应由供应商法定代表人或其授权代表签章（电子签章），并同时加盖供应商公章（电子签章）。</w:t>
      </w:r>
      <w:r>
        <w:rPr>
          <w:rFonts w:hint="eastAsia" w:ascii="宋体" w:hAnsi="宋体" w:eastAsia="宋体" w:cs="宋体"/>
          <w:color w:val="auto"/>
          <w:kern w:val="0"/>
          <w:sz w:val="22"/>
          <w:szCs w:val="22"/>
          <w:highlight w:val="none"/>
          <w:lang w:val="zh-CN"/>
        </w:rPr>
        <w:t>（或先制作word版打印，相应位置签字或盖章后再扫描上传）</w:t>
      </w:r>
    </w:p>
    <w:p>
      <w:pPr>
        <w:numPr>
          <w:ilvl w:val="0"/>
          <w:numId w:val="12"/>
        </w:numPr>
        <w:spacing w:line="40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磋商响应文件的形式</w:t>
      </w:r>
    </w:p>
    <w:p>
      <w:pPr>
        <w:tabs>
          <w:tab w:val="left" w:pos="360"/>
        </w:tabs>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磋商响应文件的形式：见供应商须知前附表第18款；</w:t>
      </w:r>
    </w:p>
    <w:p>
      <w:pPr>
        <w:numPr>
          <w:ilvl w:val="0"/>
          <w:numId w:val="12"/>
        </w:numPr>
        <w:spacing w:line="40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政采云系统默认供应商自动放弃的情形</w:t>
      </w:r>
    </w:p>
    <w:p>
      <w:pPr>
        <w:tabs>
          <w:tab w:val="left" w:pos="5355"/>
        </w:tabs>
        <w:spacing w:line="40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政采云系统默认供应商自动放弃的情形</w:t>
      </w:r>
      <w:r>
        <w:rPr>
          <w:rFonts w:hint="eastAsia" w:ascii="宋体" w:hAnsi="宋体" w:eastAsia="宋体" w:cs="宋体"/>
          <w:color w:val="auto"/>
          <w:sz w:val="22"/>
          <w:szCs w:val="22"/>
          <w:highlight w:val="none"/>
        </w:rPr>
        <w:t>：见供应商须知前附表第21款。</w:t>
      </w:r>
    </w:p>
    <w:p>
      <w:pPr>
        <w:numPr>
          <w:ilvl w:val="0"/>
          <w:numId w:val="12"/>
        </w:numPr>
        <w:spacing w:line="400" w:lineRule="exact"/>
        <w:ind w:hanging="562"/>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磋商报价</w:t>
      </w:r>
    </w:p>
    <w:p>
      <w:pPr>
        <w:numPr>
          <w:ilvl w:val="0"/>
          <w:numId w:val="0"/>
        </w:numPr>
        <w:tabs>
          <w:tab w:val="left" w:pos="540"/>
        </w:tabs>
        <w:spacing w:line="400" w:lineRule="exact"/>
        <w:ind w:left="-27"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u w:val="single"/>
        </w:rPr>
        <w:t>磋商报价是投标供应商为符合采购文件要求的所有</w:t>
      </w:r>
      <w:r>
        <w:rPr>
          <w:rFonts w:hint="eastAsia" w:ascii="宋体" w:hAnsi="宋体" w:eastAsia="宋体" w:cs="宋体"/>
          <w:b/>
          <w:bCs/>
          <w:color w:val="auto"/>
          <w:sz w:val="22"/>
          <w:szCs w:val="22"/>
          <w:highlight w:val="none"/>
          <w:u w:val="single"/>
          <w:lang w:val="en-US" w:eastAsia="zh-CN"/>
        </w:rPr>
        <w:t>相</w:t>
      </w:r>
      <w:r>
        <w:rPr>
          <w:rFonts w:hint="eastAsia" w:ascii="宋体" w:hAnsi="宋体" w:eastAsia="宋体" w:cs="宋体"/>
          <w:b/>
          <w:bCs/>
          <w:color w:val="auto"/>
          <w:sz w:val="22"/>
          <w:szCs w:val="22"/>
          <w:highlight w:val="none"/>
          <w:u w:val="single"/>
        </w:rPr>
        <w:t>关费用</w:t>
      </w:r>
      <w:r>
        <w:rPr>
          <w:rFonts w:hint="eastAsia" w:ascii="宋体" w:hAnsi="宋体" w:eastAsia="宋体" w:cs="宋体"/>
          <w:b/>
          <w:bCs/>
          <w:color w:val="auto"/>
          <w:sz w:val="22"/>
          <w:szCs w:val="22"/>
          <w:highlight w:val="none"/>
          <w:u w:val="single"/>
          <w:lang w:eastAsia="zh-CN"/>
        </w:rPr>
        <w:t>，</w:t>
      </w:r>
      <w:r>
        <w:rPr>
          <w:rFonts w:hint="eastAsia" w:ascii="宋体" w:hAnsi="宋体" w:eastAsia="宋体" w:cs="宋体"/>
          <w:b/>
          <w:bCs/>
          <w:color w:val="auto"/>
          <w:sz w:val="22"/>
          <w:szCs w:val="22"/>
          <w:highlight w:val="none"/>
          <w:u w:val="single"/>
          <w:lang w:val="en-US" w:eastAsia="zh-CN"/>
        </w:rPr>
        <w:t>包括完成</w:t>
      </w:r>
      <w:r>
        <w:rPr>
          <w:rFonts w:hint="eastAsia" w:ascii="宋体" w:hAnsi="宋体" w:eastAsia="宋体" w:cs="宋体"/>
          <w:b/>
          <w:bCs/>
          <w:color w:val="auto"/>
          <w:sz w:val="22"/>
          <w:szCs w:val="22"/>
          <w:highlight w:val="none"/>
          <w:u w:val="single"/>
        </w:rPr>
        <w:t>本项目服务</w:t>
      </w:r>
      <w:r>
        <w:rPr>
          <w:rFonts w:hint="eastAsia" w:ascii="宋体" w:hAnsi="宋体" w:eastAsia="宋体" w:cs="宋体"/>
          <w:b/>
          <w:bCs/>
          <w:color w:val="auto"/>
          <w:sz w:val="22"/>
          <w:szCs w:val="22"/>
          <w:highlight w:val="none"/>
          <w:u w:val="single"/>
          <w:lang w:val="en-US" w:eastAsia="zh-CN"/>
        </w:rPr>
        <w:t>各项内容可能发生的全部费用及乙方的利润和应交纳的税金等</w:t>
      </w:r>
      <w:r>
        <w:rPr>
          <w:rFonts w:hint="eastAsia" w:ascii="宋体" w:hAnsi="宋体" w:eastAsia="宋体" w:cs="宋体"/>
          <w:b/>
          <w:bCs/>
          <w:color w:val="auto"/>
          <w:sz w:val="22"/>
          <w:szCs w:val="22"/>
          <w:highlight w:val="none"/>
          <w:u w:val="single"/>
        </w:rPr>
        <w:t>（包括</w:t>
      </w:r>
      <w:r>
        <w:rPr>
          <w:rFonts w:hint="eastAsia" w:ascii="宋体" w:hAnsi="宋体" w:eastAsia="宋体" w:cs="宋体"/>
          <w:b/>
          <w:bCs/>
          <w:color w:val="auto"/>
          <w:sz w:val="22"/>
          <w:szCs w:val="22"/>
          <w:highlight w:val="none"/>
          <w:u w:val="single"/>
          <w:lang w:val="en-US" w:eastAsia="zh-CN"/>
        </w:rPr>
        <w:t>街道</w:t>
      </w:r>
      <w:r>
        <w:rPr>
          <w:rFonts w:hint="eastAsia" w:ascii="宋体" w:hAnsi="宋体" w:eastAsia="宋体" w:cs="宋体"/>
          <w:b/>
          <w:bCs/>
          <w:color w:val="auto"/>
          <w:sz w:val="22"/>
          <w:szCs w:val="22"/>
          <w:highlight w:val="none"/>
          <w:u w:val="single"/>
          <w:lang w:eastAsia="zh-CN"/>
        </w:rPr>
        <w:t>食堂的每日用餐所需的食品及原材料的</w:t>
      </w:r>
      <w:r>
        <w:rPr>
          <w:rFonts w:hint="eastAsia" w:ascii="宋体" w:hAnsi="宋体" w:eastAsia="宋体" w:cs="宋体"/>
          <w:b/>
          <w:bCs/>
          <w:color w:val="auto"/>
          <w:sz w:val="22"/>
          <w:szCs w:val="22"/>
          <w:highlight w:val="none"/>
          <w:u w:val="single"/>
          <w:lang w:val="en-US" w:eastAsia="zh-CN"/>
        </w:rPr>
        <w:t>采购、</w:t>
      </w:r>
      <w:r>
        <w:rPr>
          <w:rFonts w:hint="eastAsia" w:ascii="宋体" w:hAnsi="宋体" w:eastAsia="宋体" w:cs="宋体"/>
          <w:b/>
          <w:bCs/>
          <w:color w:val="auto"/>
          <w:sz w:val="22"/>
          <w:szCs w:val="22"/>
          <w:highlight w:val="none"/>
          <w:u w:val="single"/>
          <w:lang w:eastAsia="zh-CN"/>
        </w:rPr>
        <w:t>验收、管理、食品存储、食品加工、配售、食堂内保洁服务、餐具卫生消毒及采购人要求的其他相关服务内容等所有食堂所需的服务工作，</w:t>
      </w:r>
      <w:r>
        <w:rPr>
          <w:rFonts w:hint="eastAsia" w:ascii="宋体" w:hAnsi="宋体" w:eastAsia="宋体" w:cs="宋体"/>
          <w:b/>
          <w:bCs/>
          <w:color w:val="auto"/>
          <w:sz w:val="22"/>
          <w:szCs w:val="22"/>
          <w:highlight w:val="none"/>
          <w:u w:val="single"/>
        </w:rPr>
        <w:t>人员工资、《劳动合同法》规定的各种社会保险费、培训费、人员福利、人员食宿费、</w:t>
      </w:r>
      <w:r>
        <w:rPr>
          <w:rFonts w:hint="eastAsia" w:ascii="宋体" w:hAnsi="宋体" w:eastAsia="宋体" w:cs="宋体"/>
          <w:b/>
          <w:bCs/>
          <w:color w:val="auto"/>
          <w:sz w:val="22"/>
          <w:szCs w:val="22"/>
          <w:highlight w:val="none"/>
          <w:u w:val="single"/>
          <w:lang w:eastAsia="zh-CN"/>
        </w:rPr>
        <w:t>节假日加班费、体检费、交通、运输费、</w:t>
      </w:r>
      <w:r>
        <w:rPr>
          <w:rFonts w:hint="eastAsia" w:ascii="宋体" w:hAnsi="宋体" w:eastAsia="宋体" w:cs="宋体"/>
          <w:b/>
          <w:bCs/>
          <w:color w:val="auto"/>
          <w:sz w:val="22"/>
          <w:szCs w:val="22"/>
          <w:highlight w:val="none"/>
          <w:u w:val="single"/>
        </w:rPr>
        <w:t>服装费、管理费、采购代理服务费、食堂清洗、排油烟管道清洗、税金、利润等完成合同所需的一切本身和不可或缺的所有工作开支、政策性文件规定计合同包含的所有风险、责任等各项全部费用并承担一切风险责任）凡未列入的将被认为均已包含在投标</w:t>
      </w:r>
      <w:r>
        <w:rPr>
          <w:rFonts w:hint="eastAsia" w:ascii="宋体" w:hAnsi="宋体" w:eastAsia="宋体" w:cs="宋体"/>
          <w:b/>
          <w:bCs/>
          <w:color w:val="auto"/>
          <w:sz w:val="22"/>
          <w:szCs w:val="22"/>
          <w:highlight w:val="none"/>
          <w:u w:val="single"/>
          <w:lang w:val="en-US" w:eastAsia="zh-CN"/>
        </w:rPr>
        <w:t>报价</w:t>
      </w:r>
      <w:r>
        <w:rPr>
          <w:rFonts w:hint="eastAsia" w:ascii="宋体" w:hAnsi="宋体" w:eastAsia="宋体" w:cs="宋体"/>
          <w:b/>
          <w:bCs/>
          <w:color w:val="auto"/>
          <w:sz w:val="22"/>
          <w:szCs w:val="22"/>
          <w:highlight w:val="none"/>
          <w:u w:val="single"/>
        </w:rPr>
        <w:t>中，今后不得以任何理由追加或调整。供应商应根据上述因素自行考虑含入磋商报价。</w:t>
      </w:r>
    </w:p>
    <w:p>
      <w:pPr>
        <w:numPr>
          <w:ilvl w:val="1"/>
          <w:numId w:val="16"/>
        </w:numPr>
        <w:tabs>
          <w:tab w:val="left" w:pos="4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供应商须认真阅读、充分理解磋商文件，如有疑问可在询疑截止时间前送达（或传真）招标代理机构，招标代理机构将会统一解答。任何因对本项目磋商文件理解不清、产生歧义等由此产生的费用，视作以含在投标总价中。</w:t>
      </w:r>
    </w:p>
    <w:p>
      <w:pPr>
        <w:numPr>
          <w:ilvl w:val="1"/>
          <w:numId w:val="16"/>
        </w:numPr>
        <w:tabs>
          <w:tab w:val="left" w:pos="4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所有报价均以人民币报价，以其它货币报价的磋商不予接受。</w:t>
      </w:r>
    </w:p>
    <w:p>
      <w:pPr>
        <w:numPr>
          <w:ilvl w:val="1"/>
          <w:numId w:val="16"/>
        </w:numPr>
        <w:tabs>
          <w:tab w:val="left" w:pos="4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采购人不接受任何选择报价，对每项内容只允许一个报价。</w:t>
      </w:r>
    </w:p>
    <w:p>
      <w:pPr>
        <w:numPr>
          <w:ilvl w:val="1"/>
          <w:numId w:val="16"/>
        </w:numPr>
        <w:tabs>
          <w:tab w:val="left" w:pos="4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采购人要求分类报价是为了方便评标，但在任何情况下不限制采购人以其认为最合适的条款、条件签订合同的权利。</w:t>
      </w:r>
    </w:p>
    <w:p>
      <w:pPr>
        <w:numPr>
          <w:ilvl w:val="1"/>
          <w:numId w:val="16"/>
        </w:numPr>
        <w:tabs>
          <w:tab w:val="left" w:pos="420"/>
          <w:tab w:val="left" w:pos="525"/>
          <w:tab w:val="clear" w:pos="992"/>
        </w:tabs>
        <w:spacing w:line="400" w:lineRule="exact"/>
        <w:ind w:left="640"/>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 xml:space="preserve">  </w:t>
      </w:r>
      <w:r>
        <w:rPr>
          <w:rFonts w:hint="eastAsia" w:ascii="宋体" w:hAnsi="宋体" w:eastAsia="宋体" w:cs="宋体"/>
          <w:b/>
          <w:bCs/>
          <w:color w:val="auto"/>
          <w:sz w:val="22"/>
          <w:szCs w:val="22"/>
          <w:highlight w:val="none"/>
        </w:rPr>
        <w:t>磋商供应商所报的价格在合同执行过程中是固定不变的，不得以任何理由予以变更。任何包含价格调整的要求，将被认为是非实质性响应报价而予以拒绝。</w:t>
      </w:r>
    </w:p>
    <w:p>
      <w:pPr>
        <w:numPr>
          <w:ilvl w:val="1"/>
          <w:numId w:val="16"/>
        </w:numPr>
        <w:tabs>
          <w:tab w:val="left" w:pos="420"/>
          <w:tab w:val="left" w:pos="525"/>
          <w:tab w:val="clear" w:pos="992"/>
        </w:tabs>
        <w:spacing w:line="400" w:lineRule="exact"/>
        <w:ind w:left="640"/>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 xml:space="preserve">  </w:t>
      </w:r>
      <w:r>
        <w:rPr>
          <w:rFonts w:hint="eastAsia" w:ascii="宋体" w:hAnsi="宋体" w:eastAsia="宋体" w:cs="宋体"/>
          <w:b/>
          <w:bCs/>
          <w:color w:val="auto"/>
          <w:sz w:val="22"/>
          <w:szCs w:val="22"/>
          <w:highlight w:val="none"/>
        </w:rPr>
        <w:t>最低报价不能作为成交的保证。</w:t>
      </w:r>
    </w:p>
    <w:p>
      <w:pPr>
        <w:numPr>
          <w:ilvl w:val="0"/>
          <w:numId w:val="12"/>
        </w:numPr>
        <w:spacing w:line="400" w:lineRule="exact"/>
        <w:rPr>
          <w:rFonts w:hint="eastAsia" w:ascii="宋体" w:hAnsi="宋体" w:eastAsia="宋体" w:cs="宋体"/>
          <w:bCs/>
          <w:color w:val="auto"/>
          <w:sz w:val="22"/>
          <w:szCs w:val="22"/>
          <w:highlight w:val="none"/>
        </w:rPr>
      </w:pPr>
      <w:r>
        <w:rPr>
          <w:rFonts w:hint="eastAsia" w:ascii="宋体" w:hAnsi="宋体" w:cs="宋体"/>
          <w:bCs/>
          <w:color w:val="auto"/>
          <w:sz w:val="22"/>
          <w:szCs w:val="22"/>
          <w:highlight w:val="none"/>
          <w:lang w:val="en-US" w:eastAsia="zh-CN"/>
        </w:rPr>
        <w:t xml:space="preserve"> </w:t>
      </w:r>
      <w:r>
        <w:rPr>
          <w:rFonts w:hint="eastAsia" w:ascii="宋体" w:hAnsi="宋体" w:eastAsia="宋体" w:cs="宋体"/>
          <w:bCs/>
          <w:color w:val="auto"/>
          <w:sz w:val="22"/>
          <w:szCs w:val="22"/>
          <w:highlight w:val="none"/>
        </w:rPr>
        <w:t>供应商如发生下列情况之一，将上报同级政府采购监督管理部门，追究其责任：</w:t>
      </w:r>
    </w:p>
    <w:p>
      <w:pPr>
        <w:numPr>
          <w:ilvl w:val="0"/>
          <w:numId w:val="17"/>
        </w:numPr>
        <w:tabs>
          <w:tab w:val="left" w:pos="360"/>
          <w:tab w:val="clear" w:pos="420"/>
        </w:tabs>
        <w:spacing w:line="400" w:lineRule="exact"/>
        <w:ind w:left="720" w:hanging="7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供应商在磋商文件规定的投标有效期内撤回投标；</w:t>
      </w:r>
    </w:p>
    <w:p>
      <w:pPr>
        <w:numPr>
          <w:ilvl w:val="0"/>
          <w:numId w:val="17"/>
        </w:numPr>
        <w:tabs>
          <w:tab w:val="left" w:pos="360"/>
          <w:tab w:val="clear" w:pos="420"/>
        </w:tabs>
        <w:spacing w:line="400" w:lineRule="exact"/>
        <w:ind w:left="720" w:hanging="7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成交供应商未按成交通知书中规定的时间与采购人签订合同；</w:t>
      </w:r>
    </w:p>
    <w:p>
      <w:pPr>
        <w:numPr>
          <w:ilvl w:val="0"/>
          <w:numId w:val="17"/>
        </w:numPr>
        <w:tabs>
          <w:tab w:val="left" w:pos="360"/>
          <w:tab w:val="clear" w:pos="420"/>
        </w:tabs>
        <w:spacing w:line="400" w:lineRule="exact"/>
        <w:ind w:left="720" w:hanging="7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供应商在磋商文件中提供虚假技术指标及参数，经磋商小组确认属实的。</w:t>
      </w:r>
    </w:p>
    <w:p>
      <w:pPr>
        <w:numPr>
          <w:ilvl w:val="0"/>
          <w:numId w:val="17"/>
        </w:numPr>
        <w:tabs>
          <w:tab w:val="left" w:pos="360"/>
          <w:tab w:val="clear" w:pos="420"/>
        </w:tabs>
        <w:spacing w:line="400" w:lineRule="exact"/>
        <w:ind w:left="720" w:hanging="7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经同级政府采购监督管理部门审查认定供应商有违反《中华人民共和国政府采购法》等有关法律法规的行为。</w:t>
      </w:r>
    </w:p>
    <w:p>
      <w:pPr>
        <w:numPr>
          <w:ilvl w:val="0"/>
          <w:numId w:val="12"/>
        </w:numPr>
        <w:spacing w:line="400" w:lineRule="exact"/>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报价文件有效期</w:t>
      </w:r>
    </w:p>
    <w:p>
      <w:pPr>
        <w:numPr>
          <w:ilvl w:val="1"/>
          <w:numId w:val="18"/>
        </w:numPr>
        <w:tabs>
          <w:tab w:val="left" w:pos="420"/>
          <w:tab w:val="left" w:pos="525"/>
          <w:tab w:val="clear" w:pos="992"/>
        </w:tabs>
        <w:spacing w:line="400" w:lineRule="exact"/>
        <w:ind w:left="64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自开标之日起 90天内报价应保持有效。报价有效期短于这个规定期限将视为非响应性报价而予以拒绝。</w:t>
      </w:r>
    </w:p>
    <w:p>
      <w:pPr>
        <w:numPr>
          <w:ilvl w:val="1"/>
          <w:numId w:val="18"/>
        </w:numPr>
        <w:tabs>
          <w:tab w:val="left" w:pos="4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殊情况下，在原报价有效期截止前，采购人可与磋商供应商协商延长报价有效期，这种要求和答复均以书面形式进行。磋商供应商可拒绝接受延期要求。同意延长报价文件有效期的供应商不得修改磋商响应文件。</w:t>
      </w:r>
    </w:p>
    <w:p>
      <w:pPr>
        <w:spacing w:before="100" w:beforeAutospacing="1" w:after="100" w:afterAutospacing="1" w:line="440" w:lineRule="exact"/>
        <w:ind w:left="783" w:hanging="783" w:hangingChars="300"/>
        <w:jc w:val="center"/>
        <w:outlineLvl w:val="0"/>
        <w:rPr>
          <w:rFonts w:hint="eastAsia" w:ascii="宋体" w:hAnsi="宋体" w:eastAsia="宋体" w:cs="宋体"/>
          <w:color w:val="auto"/>
          <w:sz w:val="22"/>
          <w:szCs w:val="22"/>
          <w:highlight w:val="none"/>
        </w:rPr>
      </w:pPr>
      <w:bookmarkStart w:id="86" w:name="_Toc222114879"/>
      <w:bookmarkStart w:id="87" w:name="_Toc262049418"/>
      <w:bookmarkStart w:id="88" w:name="_Toc223715998"/>
      <w:bookmarkStart w:id="89" w:name="_Toc245722281"/>
      <w:bookmarkStart w:id="90" w:name="_Toc221356887"/>
      <w:bookmarkStart w:id="91" w:name="_Toc239145354"/>
      <w:bookmarkStart w:id="92" w:name="_Toc262105503"/>
      <w:bookmarkStart w:id="93" w:name="_Toc221374626"/>
      <w:bookmarkStart w:id="94" w:name="_Toc246261265"/>
      <w:bookmarkStart w:id="95" w:name="_Toc221356951"/>
      <w:bookmarkStart w:id="96" w:name="_Toc221423619"/>
      <w:bookmarkStart w:id="97" w:name="_Toc249758712"/>
      <w:bookmarkStart w:id="98" w:name="_Toc249758864"/>
      <w:bookmarkStart w:id="99" w:name="_Toc5988"/>
      <w:bookmarkStart w:id="100" w:name="_Toc241404202"/>
      <w:bookmarkStart w:id="101" w:name="_Toc245191314"/>
      <w:r>
        <w:rPr>
          <w:rFonts w:hint="eastAsia" w:ascii="宋体" w:hAnsi="宋体" w:eastAsia="宋体" w:cs="宋体"/>
          <w:b/>
          <w:bCs/>
          <w:color w:val="auto"/>
          <w:sz w:val="26"/>
          <w:szCs w:val="26"/>
          <w:highlight w:val="none"/>
        </w:rPr>
        <w:t>五、 磋商响应文件的递交</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pPr>
        <w:numPr>
          <w:ilvl w:val="0"/>
          <w:numId w:val="19"/>
        </w:numPr>
        <w:tabs>
          <w:tab w:val="left" w:pos="540"/>
          <w:tab w:val="clear" w:pos="420"/>
        </w:tabs>
        <w:spacing w:line="400" w:lineRule="exact"/>
        <w:rPr>
          <w:rFonts w:hint="eastAsia" w:ascii="宋体" w:hAnsi="宋体" w:eastAsia="宋体" w:cs="宋体"/>
          <w:b/>
          <w:color w:val="auto"/>
          <w:sz w:val="22"/>
          <w:szCs w:val="22"/>
          <w:highlight w:val="none"/>
        </w:rPr>
      </w:pPr>
      <w:bookmarkStart w:id="102" w:name="_Toc333430596"/>
      <w:r>
        <w:rPr>
          <w:rFonts w:hint="eastAsia" w:ascii="宋体" w:hAnsi="宋体" w:eastAsia="宋体" w:cs="宋体"/>
          <w:bCs/>
          <w:color w:val="auto"/>
          <w:sz w:val="22"/>
          <w:szCs w:val="22"/>
          <w:highlight w:val="none"/>
        </w:rPr>
        <w:t>磋商响应文件的递交</w:t>
      </w:r>
    </w:p>
    <w:p>
      <w:pPr>
        <w:tabs>
          <w:tab w:val="left" w:pos="360"/>
          <w:tab w:val="left" w:pos="540"/>
        </w:tabs>
        <w:spacing w:line="400" w:lineRule="exact"/>
        <w:ind w:firstLine="440" w:firstLineChars="200"/>
        <w:rPr>
          <w:rFonts w:hint="eastAsia" w:ascii="宋体" w:hAnsi="宋体" w:eastAsia="宋体" w:cs="宋体"/>
          <w:b/>
          <w:color w:val="auto"/>
          <w:sz w:val="22"/>
          <w:szCs w:val="22"/>
          <w:highlight w:val="none"/>
          <w:u w:val="single"/>
        </w:rPr>
      </w:pPr>
      <w:r>
        <w:rPr>
          <w:rFonts w:hint="eastAsia" w:ascii="宋体" w:hAnsi="宋体" w:eastAsia="宋体" w:cs="宋体"/>
          <w:color w:val="auto"/>
          <w:sz w:val="22"/>
          <w:szCs w:val="22"/>
          <w:highlight w:val="none"/>
        </w:rPr>
        <w:t>本项目实行网上投标。响应文件</w:t>
      </w:r>
      <w:r>
        <w:rPr>
          <w:rFonts w:hint="eastAsia" w:ascii="宋体" w:hAnsi="宋体" w:eastAsia="宋体" w:cs="宋体"/>
          <w:bCs/>
          <w:color w:val="auto"/>
          <w:kern w:val="0"/>
          <w:sz w:val="22"/>
          <w:szCs w:val="22"/>
          <w:highlight w:val="none"/>
        </w:rPr>
        <w:t>的上传、递交：见供应商须知前附表第18款。</w:t>
      </w:r>
    </w:p>
    <w:p>
      <w:pPr>
        <w:numPr>
          <w:ilvl w:val="0"/>
          <w:numId w:val="19"/>
        </w:numPr>
        <w:tabs>
          <w:tab w:val="left" w:pos="540"/>
          <w:tab w:val="clear" w:pos="420"/>
        </w:tabs>
        <w:spacing w:line="40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“电子加密磋商响应文件”解密和异常情况处理。</w:t>
      </w:r>
    </w:p>
    <w:p>
      <w:pPr>
        <w:tabs>
          <w:tab w:val="left" w:pos="540"/>
        </w:tabs>
        <w:spacing w:line="400" w:lineRule="exact"/>
        <w:ind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“电子加密磋商响应文件”解密：见供应商须知前附表第19款。</w:t>
      </w:r>
    </w:p>
    <w:p>
      <w:pPr>
        <w:numPr>
          <w:ilvl w:val="0"/>
          <w:numId w:val="19"/>
        </w:numPr>
        <w:tabs>
          <w:tab w:val="left" w:pos="540"/>
          <w:tab w:val="clear" w:pos="420"/>
        </w:tabs>
        <w:spacing w:line="40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磋商响应文件的修改和撤回</w:t>
      </w:r>
    </w:p>
    <w:p>
      <w:pPr>
        <w:numPr>
          <w:ilvl w:val="1"/>
          <w:numId w:val="20"/>
        </w:numPr>
        <w:tabs>
          <w:tab w:val="left" w:pos="540"/>
          <w:tab w:val="clear" w:pos="992"/>
        </w:tabs>
        <w:spacing w:line="400" w:lineRule="exact"/>
        <w:ind w:left="540" w:hanging="54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供应商应当在磋商截止时间前完成电子磋商响应文件的传输递交，并可以补充、修改或者撤回电子磋商响应文件。补充或者修改电子磋商响应文件的，应当先行撤回原文件，补充、修改后重新传输递交。</w:t>
      </w:r>
    </w:p>
    <w:p>
      <w:pPr>
        <w:numPr>
          <w:ilvl w:val="1"/>
          <w:numId w:val="20"/>
        </w:numPr>
        <w:tabs>
          <w:tab w:val="left" w:pos="540"/>
          <w:tab w:val="clear" w:pos="992"/>
        </w:tabs>
        <w:spacing w:line="400" w:lineRule="exact"/>
        <w:ind w:left="540" w:hanging="540"/>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▲磋商截止时间前未完成传输的，视为撤回磋商响应文件。磋商响应截止时间后送达的投标响应文件，将被政采云平台拒收。</w:t>
      </w:r>
    </w:p>
    <w:p>
      <w:pPr>
        <w:numPr>
          <w:ilvl w:val="0"/>
          <w:numId w:val="19"/>
        </w:numPr>
        <w:tabs>
          <w:tab w:val="left" w:pos="540"/>
          <w:tab w:val="clear" w:pos="420"/>
        </w:tabs>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u w:val="single"/>
        </w:rPr>
        <w:t>▲</w:t>
      </w:r>
      <w:r>
        <w:rPr>
          <w:rFonts w:hint="eastAsia" w:ascii="宋体" w:hAnsi="宋体" w:eastAsia="宋体" w:cs="宋体"/>
          <w:b/>
          <w:bCs/>
          <w:color w:val="auto"/>
          <w:sz w:val="22"/>
          <w:szCs w:val="22"/>
          <w:highlight w:val="none"/>
          <w:u w:val="single"/>
        </w:rPr>
        <w:t>发生下列情况之一的磋商响应文件将不予受理</w:t>
      </w:r>
      <w:r>
        <w:rPr>
          <w:rFonts w:hint="eastAsia" w:ascii="宋体" w:hAnsi="宋体" w:eastAsia="宋体" w:cs="宋体"/>
          <w:bCs/>
          <w:color w:val="auto"/>
          <w:sz w:val="22"/>
          <w:szCs w:val="22"/>
          <w:highlight w:val="none"/>
        </w:rPr>
        <w:t>：</w:t>
      </w:r>
    </w:p>
    <w:p>
      <w:pPr>
        <w:numPr>
          <w:ilvl w:val="1"/>
          <w:numId w:val="21"/>
        </w:numPr>
        <w:tabs>
          <w:tab w:val="left" w:pos="420"/>
          <w:tab w:val="left" w:pos="525"/>
          <w:tab w:val="clear" w:pos="992"/>
        </w:tabs>
        <w:spacing w:line="400" w:lineRule="exact"/>
        <w:ind w:left="64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在磋商截止时间以后上传的磋商响应文件；</w:t>
      </w:r>
    </w:p>
    <w:p>
      <w:pPr>
        <w:numPr>
          <w:ilvl w:val="1"/>
          <w:numId w:val="21"/>
        </w:numPr>
        <w:tabs>
          <w:tab w:val="left" w:pos="420"/>
          <w:tab w:val="left" w:pos="525"/>
          <w:tab w:val="clear" w:pos="992"/>
        </w:tabs>
        <w:spacing w:line="400" w:lineRule="exact"/>
        <w:ind w:left="64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仅递交了“备份磋商响应文件”而未将电子加密磋商响应文件上传至“政府采购云平台”的；</w:t>
      </w:r>
    </w:p>
    <w:p>
      <w:pPr>
        <w:numPr>
          <w:ilvl w:val="1"/>
          <w:numId w:val="21"/>
        </w:numPr>
        <w:tabs>
          <w:tab w:val="left" w:pos="420"/>
          <w:tab w:val="left" w:pos="525"/>
          <w:tab w:val="clear" w:pos="992"/>
        </w:tabs>
        <w:spacing w:line="400" w:lineRule="exact"/>
        <w:ind w:left="64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 xml:space="preserve">未在规定时间解密，或者，解密失败且经异常处理政采云系统仍未能识别的； </w:t>
      </w:r>
    </w:p>
    <w:p>
      <w:pPr>
        <w:numPr>
          <w:ilvl w:val="1"/>
          <w:numId w:val="21"/>
        </w:numPr>
        <w:tabs>
          <w:tab w:val="left" w:pos="420"/>
          <w:tab w:val="left" w:pos="525"/>
          <w:tab w:val="clear" w:pos="992"/>
        </w:tabs>
        <w:spacing w:line="400" w:lineRule="exact"/>
        <w:ind w:left="64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以纸质形式提交的；</w:t>
      </w:r>
    </w:p>
    <w:p>
      <w:pPr>
        <w:spacing w:before="100" w:beforeAutospacing="1" w:after="100" w:afterAutospacing="1" w:line="440" w:lineRule="exact"/>
        <w:ind w:left="783" w:hanging="783" w:hangingChars="300"/>
        <w:jc w:val="center"/>
        <w:outlineLvl w:val="0"/>
        <w:rPr>
          <w:rFonts w:hint="eastAsia" w:ascii="宋体" w:hAnsi="宋体" w:eastAsia="宋体" w:cs="宋体"/>
          <w:b/>
          <w:bCs/>
          <w:color w:val="auto"/>
          <w:sz w:val="26"/>
          <w:szCs w:val="26"/>
          <w:highlight w:val="none"/>
        </w:rPr>
      </w:pPr>
      <w:bookmarkStart w:id="103" w:name="_Toc26870"/>
      <w:r>
        <w:rPr>
          <w:rFonts w:hint="eastAsia" w:ascii="宋体" w:hAnsi="宋体" w:eastAsia="宋体" w:cs="宋体"/>
          <w:b/>
          <w:bCs/>
          <w:color w:val="auto"/>
          <w:sz w:val="26"/>
          <w:szCs w:val="26"/>
          <w:highlight w:val="none"/>
        </w:rPr>
        <w:t>六、 磋商和评审</w:t>
      </w:r>
      <w:bookmarkEnd w:id="102"/>
      <w:bookmarkEnd w:id="103"/>
    </w:p>
    <w:p>
      <w:pPr>
        <w:spacing w:line="400" w:lineRule="exact"/>
        <w:ind w:left="674" w:leftChars="17" w:hanging="638" w:hangingChars="290"/>
        <w:rPr>
          <w:rFonts w:hint="eastAsia" w:ascii="宋体" w:hAnsi="宋体" w:eastAsia="宋体" w:cs="宋体"/>
          <w:color w:val="auto"/>
          <w:sz w:val="22"/>
          <w:szCs w:val="22"/>
          <w:highlight w:val="none"/>
        </w:rPr>
      </w:pPr>
      <w:bookmarkStart w:id="104" w:name="_Toc221374629"/>
      <w:bookmarkStart w:id="105" w:name="_Toc249758867"/>
      <w:bookmarkStart w:id="106" w:name="_Toc245191317"/>
      <w:bookmarkStart w:id="107" w:name="_Toc262049421"/>
      <w:bookmarkStart w:id="108" w:name="_Toc223716001"/>
      <w:bookmarkStart w:id="109" w:name="_Toc221356954"/>
      <w:bookmarkStart w:id="110" w:name="_Toc222114882"/>
      <w:bookmarkStart w:id="111" w:name="_Toc262105506"/>
      <w:bookmarkStart w:id="112" w:name="_Toc221423622"/>
      <w:bookmarkStart w:id="113" w:name="_Toc246261268"/>
      <w:bookmarkStart w:id="114" w:name="_Toc221356890"/>
      <w:bookmarkStart w:id="115" w:name="_Toc241404205"/>
      <w:bookmarkStart w:id="116" w:name="_Toc245722284"/>
      <w:bookmarkStart w:id="117" w:name="_Toc249758715"/>
      <w:bookmarkStart w:id="118" w:name="_Toc239145357"/>
      <w:r>
        <w:rPr>
          <w:rFonts w:hint="eastAsia" w:ascii="宋体" w:hAnsi="宋体" w:eastAsia="宋体" w:cs="宋体"/>
          <w:color w:val="auto"/>
          <w:sz w:val="22"/>
          <w:szCs w:val="22"/>
          <w:highlight w:val="none"/>
        </w:rPr>
        <w:t>1．磋商小组</w:t>
      </w:r>
    </w:p>
    <w:p>
      <w:pPr>
        <w:spacing w:line="400" w:lineRule="exact"/>
        <w:ind w:left="674" w:leftChars="17" w:hanging="638" w:hangingChars="2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  政府采购代理机构依法组建磋商小组，磋商小组的成员在磋商过程中必须严格遵守《政府采购法》、</w:t>
      </w:r>
      <w:r>
        <w:rPr>
          <w:rFonts w:hint="eastAsia" w:ascii="宋体" w:hAnsi="宋体" w:eastAsia="宋体" w:cs="宋体"/>
          <w:color w:val="auto"/>
          <w:kern w:val="0"/>
          <w:sz w:val="22"/>
          <w:szCs w:val="22"/>
          <w:highlight w:val="none"/>
        </w:rPr>
        <w:t>《政府采购竞争性磋商采购方式管理暂行办法》</w:t>
      </w:r>
      <w:r>
        <w:rPr>
          <w:rFonts w:hint="eastAsia" w:ascii="宋体" w:hAnsi="宋体" w:eastAsia="宋体" w:cs="宋体"/>
          <w:color w:val="auto"/>
          <w:sz w:val="22"/>
          <w:szCs w:val="22"/>
          <w:highlight w:val="none"/>
        </w:rPr>
        <w:t>等有关法律、法规的规定。不得泄露评审情况和评审中获悉的商业秘密。</w:t>
      </w:r>
    </w:p>
    <w:p>
      <w:pPr>
        <w:spacing w:line="400" w:lineRule="exact"/>
        <w:ind w:left="674" w:leftChars="17" w:hanging="638" w:hangingChars="2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  磋商小组由3人（含）以上的单数组成，磋商小组负责对磋商响应文件进行审查、质疑、评估、比较及确定成交候选人。</w:t>
      </w:r>
    </w:p>
    <w:p>
      <w:pPr>
        <w:spacing w:line="400" w:lineRule="exact"/>
        <w:ind w:left="674" w:leftChars="17" w:hanging="638" w:hangingChars="2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2．开标（三阶段）</w:t>
      </w:r>
    </w:p>
    <w:p>
      <w:pPr>
        <w:spacing w:line="400" w:lineRule="exact"/>
        <w:ind w:firstLine="42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2.1 开标第一阶段 </w:t>
      </w:r>
    </w:p>
    <w:p>
      <w:pPr>
        <w:numPr>
          <w:ilvl w:val="0"/>
          <w:numId w:val="22"/>
        </w:numPr>
        <w:spacing w:line="400" w:lineRule="exac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磋商</w:t>
      </w:r>
      <w:r>
        <w:rPr>
          <w:rFonts w:hint="eastAsia" w:ascii="宋体" w:hAnsi="宋体" w:eastAsia="宋体" w:cs="宋体"/>
          <w:color w:val="auto"/>
          <w:sz w:val="22"/>
          <w:szCs w:val="22"/>
          <w:highlight w:val="none"/>
        </w:rPr>
        <w:t>响应</w:t>
      </w:r>
      <w:r>
        <w:rPr>
          <w:rFonts w:hint="eastAsia" w:ascii="宋体" w:hAnsi="宋体" w:eastAsia="宋体" w:cs="宋体"/>
          <w:color w:val="auto"/>
          <w:sz w:val="22"/>
          <w:szCs w:val="22"/>
          <w:highlight w:val="none"/>
          <w:lang w:val="zh-CN"/>
        </w:rPr>
        <w:t>截止时间后，采购组织机构将向各供应商发出解密通知，各供应商代表应当在接到解密通知后登录政采云平台，对电子响应文件进行在线解密。</w:t>
      </w:r>
    </w:p>
    <w:p>
      <w:pPr>
        <w:numPr>
          <w:ilvl w:val="0"/>
          <w:numId w:val="22"/>
        </w:numPr>
        <w:spacing w:line="400" w:lineRule="exact"/>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异常处理：</w:t>
      </w:r>
      <w:r>
        <w:rPr>
          <w:rFonts w:hint="eastAsia" w:ascii="宋体" w:hAnsi="宋体" w:eastAsia="宋体" w:cs="宋体"/>
          <w:b/>
          <w:bCs/>
          <w:color w:val="auto"/>
          <w:sz w:val="22"/>
          <w:szCs w:val="22"/>
          <w:highlight w:val="none"/>
          <w:u w:val="single"/>
        </w:rPr>
        <w:t>如政采云上电子响应文件出现解密失败情况，供应商可根据自身意愿确认是否将备份标书压缩包的解密密码传送至采购代理机构邮箱</w:t>
      </w:r>
      <w:r>
        <w:rPr>
          <w:rFonts w:hint="eastAsia" w:ascii="宋体" w:hAnsi="宋体" w:cs="宋体"/>
          <w:b/>
          <w:bCs/>
          <w:color w:val="auto"/>
          <w:sz w:val="22"/>
          <w:szCs w:val="22"/>
          <w:highlight w:val="none"/>
          <w:u w:val="single"/>
          <w:lang w:eastAsia="zh-CN"/>
        </w:rPr>
        <w:t>zzgc6688@126.com</w:t>
      </w:r>
      <w:r>
        <w:rPr>
          <w:rFonts w:hint="eastAsia" w:ascii="宋体" w:hAnsi="宋体" w:eastAsia="宋体" w:cs="宋体"/>
          <w:b/>
          <w:bCs/>
          <w:color w:val="auto"/>
          <w:sz w:val="22"/>
          <w:szCs w:val="22"/>
          <w:highlight w:val="none"/>
          <w:u w:val="single"/>
        </w:rPr>
        <w:t>,采购代理机构收到解密密码后通过【异常处理】的端口对供应商的备份响应文件进行上传（上传成功后，“电子响应文件”自动失效），不能成功上传的视为响应文件撤回）。</w:t>
      </w:r>
    </w:p>
    <w:p>
      <w:pPr>
        <w:numPr>
          <w:ilvl w:val="0"/>
          <w:numId w:val="22"/>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电子响应</w:t>
      </w:r>
      <w:r>
        <w:rPr>
          <w:rFonts w:hint="eastAsia" w:ascii="宋体" w:hAnsi="宋体" w:eastAsia="宋体" w:cs="宋体"/>
          <w:color w:val="auto"/>
          <w:sz w:val="22"/>
          <w:szCs w:val="22"/>
          <w:highlight w:val="none"/>
          <w:lang w:val="zh-CN"/>
        </w:rPr>
        <w:t>文件解密结束后</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各</w:t>
      </w:r>
      <w:r>
        <w:rPr>
          <w:rFonts w:hint="eastAsia" w:ascii="宋体" w:hAnsi="宋体" w:eastAsia="宋体" w:cs="宋体"/>
          <w:color w:val="auto"/>
          <w:sz w:val="22"/>
          <w:szCs w:val="22"/>
          <w:highlight w:val="none"/>
        </w:rPr>
        <w:t>供应商签署《政府采购活动现场确认声明书》（见附件）后将扫描件发送至采购代理机构邮箱</w:t>
      </w:r>
      <w:r>
        <w:rPr>
          <w:rFonts w:hint="eastAsia" w:ascii="宋体" w:hAnsi="宋体" w:cs="宋体"/>
          <w:color w:val="auto"/>
          <w:sz w:val="22"/>
          <w:szCs w:val="22"/>
          <w:highlight w:val="none"/>
          <w:lang w:eastAsia="zh-CN"/>
        </w:rPr>
        <w:t>zzgc6688@126.com</w:t>
      </w:r>
      <w:r>
        <w:rPr>
          <w:rFonts w:hint="eastAsia" w:ascii="宋体" w:hAnsi="宋体" w:eastAsia="宋体" w:cs="宋体"/>
          <w:color w:val="auto"/>
          <w:sz w:val="22"/>
          <w:szCs w:val="22"/>
          <w:highlight w:val="none"/>
          <w:lang w:val="zh-CN"/>
        </w:rPr>
        <w:t>。</w:t>
      </w:r>
    </w:p>
    <w:p>
      <w:pPr>
        <w:numPr>
          <w:ilvl w:val="0"/>
          <w:numId w:val="22"/>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启各供应商的标书信息，由采购人或采购代理机构或磋商小组依法对供应商的资格进行审查，经资格审查确认通过的电子响应文件由磋商小组进行进入符合性审查和商务技术响应文件评审，资格审查确认未通过的电子响应文件将被拒绝，其磋商不进入下一步评审。</w:t>
      </w:r>
    </w:p>
    <w:p>
      <w:pPr>
        <w:spacing w:line="400" w:lineRule="exact"/>
        <w:ind w:firstLine="42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2.2开标第二阶段  </w:t>
      </w:r>
    </w:p>
    <w:p>
      <w:pPr>
        <w:numPr>
          <w:ilvl w:val="0"/>
          <w:numId w:val="23"/>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性审查：由磋商小组对各供应商的电子响应文件的有效性、完整性和对竞争性磋商文件的响应程度进行符合性审查，并在“政采云系统-符合性评审”中录入供应商的符合性审查情况；符合性审查未通过的电子响应文件将被拒绝，其磋商不进入下一步评审。</w:t>
      </w:r>
    </w:p>
    <w:p>
      <w:pPr>
        <w:numPr>
          <w:ilvl w:val="0"/>
          <w:numId w:val="23"/>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商务技术响应文件的评审</w:t>
      </w:r>
    </w:p>
    <w:p>
      <w:pPr>
        <w:spacing w:line="400" w:lineRule="exact"/>
        <w:ind w:firstLine="42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由磋商小组对各供应商的电子响应文件的商务技术部分按竞争性磋商文件规定的评审方法进行评审，并得出商务技术得分。之后开启各供应商的报价文件，在“政采云平台”系统平台上公布各供应商报价一览表有关内容，同时当场制作开标记录，供应商在线进行确认。开标结束后，由磋商小组对报价的合理性、准确性等进行审查核实。</w:t>
      </w:r>
    </w:p>
    <w:p>
      <w:pPr>
        <w:spacing w:line="400" w:lineRule="exact"/>
        <w:ind w:firstLine="42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2.3 开标第三阶段</w:t>
      </w:r>
    </w:p>
    <w:p>
      <w:pPr>
        <w:numPr>
          <w:ilvl w:val="0"/>
          <w:numId w:val="24"/>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磋商小组根据项目情况组织多轮报价，</w:t>
      </w:r>
      <w:r>
        <w:rPr>
          <w:rFonts w:hint="eastAsia" w:ascii="宋体" w:hAnsi="宋体" w:eastAsia="宋体" w:cs="宋体"/>
          <w:color w:val="auto"/>
          <w:kern w:val="0"/>
          <w:sz w:val="22"/>
          <w:szCs w:val="22"/>
          <w:highlight w:val="none"/>
        </w:rPr>
        <w:t>供应商在规定的时间内在政采云平台提交二次（最终）报价；</w:t>
      </w:r>
    </w:p>
    <w:p>
      <w:pPr>
        <w:numPr>
          <w:ilvl w:val="0"/>
          <w:numId w:val="24"/>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开启供应商的二次（最终）报价文件，公布二次（最终）报价有关内容，同时当场制作开标记录。开标结束后，由磋商小组对报价的合理性、准确性等进行审查核实。</w:t>
      </w:r>
    </w:p>
    <w:p>
      <w:pPr>
        <w:numPr>
          <w:ilvl w:val="0"/>
          <w:numId w:val="24"/>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公布商务技术得分情况、二次（最终）报价有关内容及各供应商排名情况。</w:t>
      </w:r>
    </w:p>
    <w:p>
      <w:pPr>
        <w:numPr>
          <w:ilvl w:val="0"/>
          <w:numId w:val="24"/>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评审结束后，在“政采云平台”系统平台上公布中标（成交）候选供应商名单，及采购人最终确定中标（成交）供应商名单的时间和公告方式等；</w:t>
      </w:r>
    </w:p>
    <w:p>
      <w:pPr>
        <w:tabs>
          <w:tab w:val="left" w:pos="540"/>
        </w:tabs>
        <w:spacing w:line="400" w:lineRule="exac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▲特别说明：如遇“政采云平台”电子化开标或评审程序调整的，按调整后程序执行。</w:t>
      </w:r>
    </w:p>
    <w:p>
      <w:pPr>
        <w:tabs>
          <w:tab w:val="left" w:pos="540"/>
        </w:tabs>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3.磋商</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磋商小组所有成员将遵循“公开、公平、公正”的原则，采用相同的程序和标准。如有必要，所有成员按顺序与单一供应商分别进行单独封闭式磋商。磋商内容包括服务价格、服务质量水平和保障措施、服务期限、服务方案、履约能力、培训计划、付款方式等方面进行磋商和综合分析考评，以确定是否满足采购要求。在磋商过程中，磋商的任何一方都不得透露与磋商有关的其他供应商的技术资料、价格和其他信息。磋商供应商在磋商过程中所作出的各种承诺都必须用书面形式（经电子签章的政采云平台上传文件，下同），并由磋商供应商代表签字。磋商轮次最多不超过3轮。</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供应商代表签字或者加盖公章。由授权代表签字的，应当附法定代表人授权书。供应商为自然人的，应当由本人签字并附身份证明。</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3.3在磋商过程中，磋商供应商不得向磋商小组成员询问磋商情况，不得进行旨在影响磋商结果的活动，否则将取消其磋商资格。</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3.4在磋商过程中，磋商小组成员不得与磋商供应商私下交换意见，在竞争性磋商结束后，凡与磋商情况有接触的人不得将磋商情况扩散出磋商小组成员外。</w:t>
      </w:r>
    </w:p>
    <w:p>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3.5磋商结束后，磋商小组将要求磋商供应商在规定的时间内，统一进行最后报价，最后报价不得高于一次报价（磋商小组另有决议的除外）。</w:t>
      </w:r>
    </w:p>
    <w:p>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3.6二次（最终）报价文件开启后，由磋商小组对各供应商的二次（最终）报价进行核查，核查时发现二次（最终）报价内容不清楚可要求供应商书面澄清，计算上的错误，可按下面方法修正：</w:t>
      </w:r>
    </w:p>
    <w:p>
      <w:pPr>
        <w:numPr>
          <w:ilvl w:val="0"/>
          <w:numId w:val="25"/>
        </w:numPr>
        <w:tabs>
          <w:tab w:val="left" w:pos="720"/>
          <w:tab w:val="clear" w:pos="420"/>
        </w:tabs>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二次（最终）报价文件中上传的价格和系统中报价一览表里填写的价格不一致的，以供应商上传的</w:t>
      </w:r>
      <w:r>
        <w:rPr>
          <w:rFonts w:hint="eastAsia" w:ascii="宋体" w:hAnsi="宋体" w:eastAsia="宋体" w:cs="宋体"/>
          <w:color w:val="auto"/>
          <w:sz w:val="22"/>
          <w:szCs w:val="22"/>
          <w:highlight w:val="none"/>
        </w:rPr>
        <w:t>二次（最终）报价</w:t>
      </w:r>
      <w:r>
        <w:rPr>
          <w:rFonts w:hint="eastAsia" w:ascii="宋体" w:hAnsi="宋体" w:eastAsia="宋体" w:cs="宋体"/>
          <w:color w:val="auto"/>
          <w:kern w:val="0"/>
          <w:sz w:val="22"/>
          <w:szCs w:val="22"/>
          <w:highlight w:val="none"/>
        </w:rPr>
        <w:t>文件为准；磋商响应文件中开标一览表内容与磋商响应文件中相应内容不一致的，以开标一览表为准；磋商响应文件的大写金额和小写金额不一致的，以大写金额为准；单价金额小数点或者百分比有明显错位的，以开标一览表的总价为准，并修改单价；总价金额与按单价汇总金额不一致的，以单价金额计算结果为准。</w:t>
      </w:r>
    </w:p>
    <w:p>
      <w:pPr>
        <w:numPr>
          <w:ilvl w:val="0"/>
          <w:numId w:val="25"/>
        </w:numPr>
        <w:tabs>
          <w:tab w:val="left" w:pos="720"/>
          <w:tab w:val="clear" w:pos="420"/>
        </w:tabs>
        <w:spacing w:line="400" w:lineRule="exact"/>
        <w:rPr>
          <w:rFonts w:hint="eastAsia" w:ascii="宋体" w:hAnsi="宋体" w:eastAsia="宋体" w:cs="宋体"/>
          <w:color w:val="auto"/>
          <w:highlight w:val="none"/>
        </w:rPr>
      </w:pPr>
      <w:r>
        <w:rPr>
          <w:rFonts w:hint="eastAsia" w:ascii="宋体" w:hAnsi="宋体" w:eastAsia="宋体" w:cs="宋体"/>
          <w:b/>
          <w:bCs/>
          <w:color w:val="auto"/>
          <w:sz w:val="22"/>
          <w:szCs w:val="22"/>
          <w:highlight w:val="none"/>
          <w:u w:val="single"/>
        </w:rPr>
        <w:t>▲</w:t>
      </w:r>
      <w:r>
        <w:rPr>
          <w:rFonts w:hint="eastAsia" w:ascii="宋体" w:hAnsi="宋体" w:eastAsia="宋体" w:cs="宋体"/>
          <w:b/>
          <w:color w:val="auto"/>
          <w:kern w:val="0"/>
          <w:sz w:val="22"/>
          <w:szCs w:val="22"/>
          <w:highlight w:val="none"/>
          <w:u w:val="single"/>
        </w:rPr>
        <w:t>如果供应商不接受对其价格错误进行修正，其投标无效。</w:t>
      </w:r>
    </w:p>
    <w:p>
      <w:pPr>
        <w:tabs>
          <w:tab w:val="left" w:pos="540"/>
        </w:tabs>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  无效标认定</w:t>
      </w:r>
    </w:p>
    <w:p>
      <w:pPr>
        <w:spacing w:line="400" w:lineRule="exact"/>
        <w:ind w:left="674" w:leftChars="17" w:hanging="638" w:hangingChars="2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4.1 </w:t>
      </w:r>
      <w:r>
        <w:rPr>
          <w:rFonts w:hint="eastAsia" w:ascii="宋体" w:hAnsi="宋体" w:eastAsia="宋体" w:cs="宋体"/>
          <w:b/>
          <w:bCs/>
          <w:color w:val="auto"/>
          <w:sz w:val="22"/>
          <w:szCs w:val="22"/>
          <w:highlight w:val="none"/>
          <w:u w:val="single"/>
        </w:rPr>
        <w:t>▲供应商有以下情形之一的，政府采购云平台将默认供应商自动放弃：</w:t>
      </w:r>
    </w:p>
    <w:p>
      <w:pPr>
        <w:numPr>
          <w:ilvl w:val="0"/>
          <w:numId w:val="26"/>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供应商未按规定上传电子响应文件的。</w:t>
      </w:r>
    </w:p>
    <w:p>
      <w:pPr>
        <w:numPr>
          <w:ilvl w:val="0"/>
          <w:numId w:val="26"/>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在解密期限内供应商电子响应文件解密失败，且经异常处理后政采云电子交易系统仍未能解决的。</w:t>
      </w:r>
    </w:p>
    <w:p>
      <w:pPr>
        <w:numPr>
          <w:ilvl w:val="0"/>
          <w:numId w:val="26"/>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供应商在规定时间内未提交二次（最终）报价的。</w:t>
      </w:r>
    </w:p>
    <w:p>
      <w:pPr>
        <w:spacing w:line="400" w:lineRule="exact"/>
        <w:ind w:left="676" w:leftChars="17" w:hanging="640" w:hangingChars="29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rPr>
        <w:t>4.2</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u w:val="single"/>
        </w:rPr>
        <w:t>在磋商过程中，有下列情况之一的，经磋商小组认定后按无效报价处理：</w:t>
      </w:r>
    </w:p>
    <w:p>
      <w:pPr>
        <w:numPr>
          <w:ilvl w:val="0"/>
          <w:numId w:val="27"/>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电子响应文件未按规定进行CA电子签章；</w:t>
      </w:r>
    </w:p>
    <w:p>
      <w:pPr>
        <w:numPr>
          <w:ilvl w:val="0"/>
          <w:numId w:val="27"/>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响应文件中要求供应商法定代表人或授权代表签字的地方无法定代表人签字或其授权代表签字的；</w:t>
      </w:r>
    </w:p>
    <w:p>
      <w:pPr>
        <w:numPr>
          <w:ilvl w:val="0"/>
          <w:numId w:val="27"/>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授权代表没有法定代表人合法、有效委托的；</w:t>
      </w:r>
    </w:p>
    <w:p>
      <w:pPr>
        <w:numPr>
          <w:ilvl w:val="0"/>
          <w:numId w:val="27"/>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未按磋商文件要求提供资格文件的；</w:t>
      </w:r>
    </w:p>
    <w:p>
      <w:pPr>
        <w:numPr>
          <w:ilvl w:val="0"/>
          <w:numId w:val="27"/>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供应商被政府采购云平台默认自动放弃的；</w:t>
      </w:r>
    </w:p>
    <w:p>
      <w:pPr>
        <w:numPr>
          <w:ilvl w:val="0"/>
          <w:numId w:val="27"/>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电子响应文件内容不全或关键字迹模糊无法辨认的；</w:t>
      </w:r>
    </w:p>
    <w:p>
      <w:pPr>
        <w:numPr>
          <w:ilvl w:val="0"/>
          <w:numId w:val="27"/>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磋商供应商递交两份或多份内容不同的电子响应文件的；</w:t>
      </w:r>
    </w:p>
    <w:p>
      <w:pPr>
        <w:numPr>
          <w:ilvl w:val="0"/>
          <w:numId w:val="27"/>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电子响应文件附有采购人不能接受的条件；</w:t>
      </w:r>
    </w:p>
    <w:p>
      <w:pPr>
        <w:numPr>
          <w:ilvl w:val="0"/>
          <w:numId w:val="27"/>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报价明显低于其他通过符合性审查供应商的报价，且在评标现场合理的时间内不能证明其报价合理性的；</w:t>
      </w:r>
    </w:p>
    <w:p>
      <w:pPr>
        <w:numPr>
          <w:ilvl w:val="0"/>
          <w:numId w:val="27"/>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磋商报价（含一次报价、二次报价及最终报价）超过采购预算的；</w:t>
      </w:r>
    </w:p>
    <w:p>
      <w:pPr>
        <w:numPr>
          <w:ilvl w:val="0"/>
          <w:numId w:val="27"/>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磋商小组认定不符合法律、法规和磋商文件中规定的其他实质性要求的。</w:t>
      </w:r>
    </w:p>
    <w:p>
      <w:pPr>
        <w:pStyle w:val="182"/>
        <w:spacing w:line="400" w:lineRule="exact"/>
        <w:ind w:firstLine="0" w:firstLineChars="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4.3▲</w:t>
      </w:r>
      <w:r>
        <w:rPr>
          <w:rFonts w:hint="eastAsia" w:ascii="宋体" w:hAnsi="宋体" w:eastAsia="宋体" w:cs="宋体"/>
          <w:b/>
          <w:bCs/>
          <w:color w:val="auto"/>
          <w:sz w:val="22"/>
          <w:szCs w:val="22"/>
          <w:highlight w:val="none"/>
          <w:u w:val="single"/>
        </w:rPr>
        <w:t>有下列情形之一的，认定为串通投标行为，按无效标处理：</w:t>
      </w:r>
    </w:p>
    <w:p>
      <w:pPr>
        <w:numPr>
          <w:ilvl w:val="0"/>
          <w:numId w:val="28"/>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不同供应商的磋商响应文件由同一单位（或个人）编制；</w:t>
      </w:r>
    </w:p>
    <w:p>
      <w:pPr>
        <w:numPr>
          <w:ilvl w:val="0"/>
          <w:numId w:val="28"/>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不同供应商委托同一人办理磋商事宜的或不同供应商与同一供应商联合磋商的；</w:t>
      </w:r>
    </w:p>
    <w:p>
      <w:pPr>
        <w:numPr>
          <w:ilvl w:val="0"/>
          <w:numId w:val="28"/>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不同供应商的磋商响应文件内容出现非正常一致，或者报价细目呈明显规律性变化；</w:t>
      </w:r>
    </w:p>
    <w:p>
      <w:pPr>
        <w:numPr>
          <w:ilvl w:val="0"/>
          <w:numId w:val="28"/>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不同供应商的磋商响应文件载明的项目管理人员出现同一人的情况；</w:t>
      </w:r>
    </w:p>
    <w:p>
      <w:pPr>
        <w:numPr>
          <w:ilvl w:val="0"/>
          <w:numId w:val="28"/>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不同供应商的磋商响应文件相互混装；</w:t>
      </w:r>
    </w:p>
    <w:p>
      <w:pPr>
        <w:numPr>
          <w:ilvl w:val="0"/>
          <w:numId w:val="28"/>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法律、法规或规章规定的其他串通投标行为。</w:t>
      </w:r>
    </w:p>
    <w:p>
      <w:pPr>
        <w:spacing w:line="400" w:lineRule="exact"/>
        <w:ind w:left="674" w:leftChars="17" w:hanging="638" w:hangingChars="2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5．确定成交候选人</w:t>
      </w:r>
    </w:p>
    <w:p>
      <w:pPr>
        <w:spacing w:line="400" w:lineRule="exact"/>
        <w:ind w:left="674" w:leftChars="17" w:hanging="638" w:hangingChars="2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  本次采购由采购人确定成交候选人。</w:t>
      </w:r>
    </w:p>
    <w:p>
      <w:pPr>
        <w:spacing w:line="400" w:lineRule="exact"/>
        <w:ind w:left="674" w:leftChars="17" w:hanging="638" w:hangingChars="2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  磋商小组应当根据综合评分情况，按照综合得分由高到低顺序推荐</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名成交候选供应商。</w:t>
      </w:r>
      <w:r>
        <w:rPr>
          <w:rFonts w:hint="eastAsia" w:ascii="宋体" w:hAnsi="宋体" w:eastAsia="宋体" w:cs="宋体"/>
          <w:bCs/>
          <w:color w:val="auto"/>
          <w:sz w:val="22"/>
          <w:highlight w:val="none"/>
        </w:rPr>
        <w:t>综合得分相同的，以报价分得分高的优先；综合得分相同且报价分得分相同的，由磋商小组抽签决定。</w:t>
      </w:r>
    </w:p>
    <w:p>
      <w:pPr>
        <w:spacing w:line="400" w:lineRule="exact"/>
        <w:ind w:left="674" w:leftChars="17" w:hanging="638" w:hangingChars="2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5.3  排名第一的成交候选人放弃成交或因不可抗力提出不能履行合同；或未能在规定时间内与采购人签订合同的；或者经质疑，采购人审查后，确认因排名第一的候选人在本次采购活动中存在违法违规行为或其他原因使质疑成立的，采购人可以视情况依次确定排名第二的成交候选人为成交供应商。</w:t>
      </w:r>
    </w:p>
    <w:p>
      <w:pPr>
        <w:tabs>
          <w:tab w:val="left" w:pos="540"/>
        </w:tabs>
        <w:spacing w:line="400" w:lineRule="exact"/>
        <w:ind w:left="552" w:hanging="552" w:hangingChars="250"/>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rPr>
        <w:t>6．▲</w:t>
      </w:r>
      <w:r>
        <w:rPr>
          <w:rFonts w:hint="eastAsia" w:ascii="宋体" w:hAnsi="宋体" w:eastAsia="宋体" w:cs="宋体"/>
          <w:b/>
          <w:color w:val="auto"/>
          <w:kern w:val="0"/>
          <w:sz w:val="22"/>
          <w:szCs w:val="22"/>
          <w:highlight w:val="none"/>
          <w:u w:val="single"/>
        </w:rPr>
        <w:t>磋商小组认为供应商的报价明显低于其他通过符合性审查供应商的报价，有可能影响工程质量或者不能诚信履约的，应当要求其在合理的时间内提供书面说明，必要时提交相关证明材料；供应商不能证明其报价合理性的，磋商小组应当将其作为无效标处理。</w:t>
      </w:r>
    </w:p>
    <w:p>
      <w:pPr>
        <w:tabs>
          <w:tab w:val="left" w:pos="540"/>
        </w:tabs>
        <w:spacing w:line="40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 xml:space="preserve">7.   </w:t>
      </w:r>
      <w:r>
        <w:rPr>
          <w:rFonts w:hint="eastAsia" w:ascii="宋体" w:hAnsi="宋体" w:eastAsia="宋体" w:cs="宋体"/>
          <w:b/>
          <w:color w:val="auto"/>
          <w:kern w:val="0"/>
          <w:sz w:val="22"/>
          <w:szCs w:val="22"/>
          <w:highlight w:val="none"/>
        </w:rPr>
        <w:t>评审过程中遇到特殊情况，由磋商小级遵循公开、公正原则，采取投票方式按照少数服从多数原则决定。</w:t>
      </w:r>
    </w:p>
    <w:p>
      <w:pPr>
        <w:tabs>
          <w:tab w:val="left" w:pos="540"/>
        </w:tabs>
        <w:spacing w:line="400" w:lineRule="exact"/>
        <w:ind w:left="552" w:hanging="552" w:hangingChars="250"/>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8.　▲</w:t>
      </w:r>
      <w:r>
        <w:rPr>
          <w:rFonts w:hint="eastAsia" w:ascii="宋体" w:hAnsi="宋体" w:eastAsia="宋体" w:cs="宋体"/>
          <w:b/>
          <w:color w:val="auto"/>
          <w:kern w:val="0"/>
          <w:sz w:val="22"/>
          <w:szCs w:val="22"/>
          <w:highlight w:val="none"/>
          <w:u w:val="single"/>
        </w:rPr>
        <w:t>在磋商过程中符合竞争要求的供应商或者</w:t>
      </w:r>
      <w:r>
        <w:rPr>
          <w:rFonts w:hint="eastAsia" w:ascii="宋体" w:hAnsi="宋体" w:eastAsia="宋体" w:cs="宋体"/>
          <w:b/>
          <w:color w:val="auto"/>
          <w:sz w:val="22"/>
          <w:szCs w:val="22"/>
          <w:highlight w:val="none"/>
          <w:u w:val="single"/>
        </w:rPr>
        <w:t>最后磋商</w:t>
      </w:r>
      <w:r>
        <w:rPr>
          <w:rFonts w:hint="eastAsia" w:ascii="宋体" w:hAnsi="宋体" w:eastAsia="宋体" w:cs="宋体"/>
          <w:b/>
          <w:color w:val="auto"/>
          <w:kern w:val="0"/>
          <w:sz w:val="22"/>
          <w:szCs w:val="22"/>
          <w:highlight w:val="none"/>
          <w:u w:val="single"/>
        </w:rPr>
        <w:t>最终报价未超过采购预算的供应商不足3家</w:t>
      </w:r>
      <w:r>
        <w:rPr>
          <w:rFonts w:hint="eastAsia" w:ascii="宋体" w:hAnsi="宋体" w:eastAsia="宋体" w:cs="宋体"/>
          <w:b/>
          <w:color w:val="auto"/>
          <w:sz w:val="22"/>
          <w:szCs w:val="22"/>
          <w:highlight w:val="none"/>
          <w:u w:val="single"/>
        </w:rPr>
        <w:t>的，</w:t>
      </w:r>
      <w:r>
        <w:rPr>
          <w:rFonts w:hint="eastAsia" w:ascii="宋体" w:hAnsi="宋体" w:eastAsia="宋体" w:cs="宋体"/>
          <w:b/>
          <w:bCs/>
          <w:color w:val="auto"/>
          <w:sz w:val="22"/>
          <w:szCs w:val="22"/>
          <w:highlight w:val="none"/>
          <w:u w:val="single"/>
        </w:rPr>
        <w:t>按以下情况处理</w:t>
      </w:r>
      <w:r>
        <w:rPr>
          <w:rFonts w:hint="eastAsia" w:ascii="宋体" w:hAnsi="宋体" w:eastAsia="宋体" w:cs="宋体"/>
          <w:b/>
          <w:color w:val="auto"/>
          <w:kern w:val="0"/>
          <w:sz w:val="22"/>
          <w:szCs w:val="22"/>
          <w:highlight w:val="none"/>
          <w:u w:val="single"/>
        </w:rPr>
        <w:t>：</w:t>
      </w:r>
    </w:p>
    <w:p>
      <w:pPr>
        <w:tabs>
          <w:tab w:val="left" w:pos="540"/>
        </w:tabs>
        <w:spacing w:line="400" w:lineRule="exact"/>
        <w:ind w:left="549" w:leftChars="209" w:hanging="110" w:hangingChars="5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1）磋商过程中符合竞争要求的供应商或者最终报价未超过采购预算的供应商为2家，如满足《财政部关于政府采购竞争性磋商采购方式管理暂行办法有关问题的补充通知》的相关规定，则继续评审磋商程序，按照两名供应商的综合得分排名推荐为第一、第二成交候选供应商；如未满足，则本项目流标，重新组织采购流程。</w:t>
      </w:r>
    </w:p>
    <w:p>
      <w:pPr>
        <w:tabs>
          <w:tab w:val="left" w:pos="540"/>
        </w:tabs>
        <w:spacing w:line="400" w:lineRule="exact"/>
        <w:ind w:left="549" w:leftChars="209" w:hanging="110" w:hangingChars="5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2）磋商过程中符合竞争要求的供应商或者最终报价未超过采购预算的供应商仅有1家，本项目流标，应重新组织采购流程。</w:t>
      </w:r>
    </w:p>
    <w:p>
      <w:pPr>
        <w:spacing w:line="400" w:lineRule="exact"/>
        <w:ind w:left="674" w:leftChars="17" w:hanging="638" w:hangingChars="2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  磋商小组不向未成交供应商解释未成交原因，不退还电子响应文件。</w:t>
      </w:r>
    </w:p>
    <w:p>
      <w:pPr>
        <w:spacing w:line="40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  可中止电子交易活动的情形</w:t>
      </w:r>
    </w:p>
    <w:p>
      <w:pPr>
        <w:spacing w:line="40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采购过程中出现以下情形，导致电子交易平台无法正常运行，或者无法保证电子交易的公平、公正和安全时，采购组织机构可中止电子交易活动：</w:t>
      </w:r>
    </w:p>
    <w:p>
      <w:pPr>
        <w:numPr>
          <w:ilvl w:val="0"/>
          <w:numId w:val="29"/>
        </w:numPr>
        <w:spacing w:line="400" w:lineRule="exact"/>
        <w:ind w:firstLine="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电子交易平台发生故障而无法登录访问的；</w:t>
      </w:r>
    </w:p>
    <w:p>
      <w:pPr>
        <w:numPr>
          <w:ilvl w:val="0"/>
          <w:numId w:val="29"/>
        </w:numPr>
        <w:spacing w:line="400" w:lineRule="exact"/>
        <w:ind w:firstLine="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电子交易平台应用或数据库出现错误，不能进行正常操作的；</w:t>
      </w:r>
    </w:p>
    <w:p>
      <w:pPr>
        <w:numPr>
          <w:ilvl w:val="0"/>
          <w:numId w:val="29"/>
        </w:numPr>
        <w:spacing w:line="400" w:lineRule="exact"/>
        <w:ind w:firstLine="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电子交易平台发现严重安全漏洞，有潜在泄密危险的；</w:t>
      </w:r>
    </w:p>
    <w:p>
      <w:pPr>
        <w:numPr>
          <w:ilvl w:val="0"/>
          <w:numId w:val="29"/>
        </w:numPr>
        <w:spacing w:line="400" w:lineRule="exact"/>
        <w:ind w:firstLine="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电子交易平台确认病毒发作导致不能进行正常操作的；</w:t>
      </w:r>
    </w:p>
    <w:p>
      <w:pPr>
        <w:numPr>
          <w:ilvl w:val="0"/>
          <w:numId w:val="29"/>
        </w:numPr>
        <w:spacing w:line="400" w:lineRule="exact"/>
        <w:ind w:firstLine="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其他无法保证电子交易的公平、公正和安全的情况。</w:t>
      </w:r>
    </w:p>
    <w:p>
      <w:pPr>
        <w:spacing w:line="40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出现前款规定情形，不影响采购公平、公正性的，采购组织机构可以待上述情形消除后继续组织电子交易活动；影响或可能影响采购公平、公正性的，应当重新采购未详尽事宜，遵照有关法律法规执行。</w:t>
      </w:r>
    </w:p>
    <w:p>
      <w:pPr>
        <w:spacing w:line="400" w:lineRule="exact"/>
        <w:ind w:left="674" w:leftChars="17" w:hanging="638" w:hangingChars="2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  磋商和评审方法详见《磋商原则及方法》。</w:t>
      </w:r>
    </w:p>
    <w:p>
      <w:pPr>
        <w:spacing w:line="400" w:lineRule="exact"/>
        <w:ind w:left="674" w:leftChars="17" w:hanging="638" w:hangingChars="2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  未详尽事宜，遵照有关法律法规执行。</w:t>
      </w:r>
    </w:p>
    <w:p>
      <w:pPr>
        <w:spacing w:before="100" w:beforeAutospacing="1" w:after="100" w:afterAutospacing="1" w:line="440" w:lineRule="exact"/>
        <w:ind w:left="783" w:hanging="783" w:hangingChars="300"/>
        <w:jc w:val="center"/>
        <w:outlineLvl w:val="0"/>
        <w:rPr>
          <w:rFonts w:hint="eastAsia" w:ascii="宋体" w:hAnsi="宋体" w:eastAsia="宋体" w:cs="宋体"/>
          <w:b/>
          <w:bCs/>
          <w:color w:val="auto"/>
          <w:sz w:val="26"/>
          <w:szCs w:val="26"/>
          <w:highlight w:val="none"/>
        </w:rPr>
      </w:pPr>
      <w:bookmarkStart w:id="119" w:name="_Toc262105505"/>
      <w:bookmarkStart w:id="120" w:name="_Toc245722283"/>
      <w:bookmarkStart w:id="121" w:name="_Toc245191316"/>
      <w:bookmarkStart w:id="122" w:name="_Toc262049420"/>
      <w:bookmarkStart w:id="123" w:name="_Toc32288"/>
      <w:bookmarkStart w:id="124" w:name="_Toc422225256"/>
      <w:bookmarkStart w:id="125" w:name="_Toc239145356"/>
      <w:bookmarkStart w:id="126" w:name="_Toc221356953"/>
      <w:bookmarkStart w:id="127" w:name="_Toc222114881"/>
      <w:bookmarkStart w:id="128" w:name="_Toc223716000"/>
      <w:bookmarkStart w:id="129" w:name="_Toc221356889"/>
      <w:bookmarkStart w:id="130" w:name="_Toc11411"/>
      <w:bookmarkStart w:id="131" w:name="_Toc249758866"/>
      <w:bookmarkStart w:id="132" w:name="_Toc246261267"/>
      <w:bookmarkStart w:id="133" w:name="_Toc249758714"/>
      <w:bookmarkStart w:id="134" w:name="_Toc241404204"/>
      <w:bookmarkStart w:id="135" w:name="_Toc221374628"/>
      <w:bookmarkStart w:id="136" w:name="_Toc221423621"/>
      <w:bookmarkStart w:id="137" w:name="_Toc12141"/>
      <w:r>
        <w:rPr>
          <w:rFonts w:hint="eastAsia" w:ascii="宋体" w:hAnsi="宋体" w:eastAsia="宋体" w:cs="宋体"/>
          <w:b/>
          <w:bCs/>
          <w:color w:val="auto"/>
          <w:sz w:val="26"/>
          <w:szCs w:val="26"/>
          <w:highlight w:val="none"/>
        </w:rPr>
        <w:t>七、定标及授予合同</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定标</w:t>
      </w:r>
    </w:p>
    <w:p>
      <w:pPr>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1.1 磋商小组提交评审报告之日起2个工作日内，</w:t>
      </w:r>
      <w:r>
        <w:rPr>
          <w:rFonts w:hint="eastAsia" w:ascii="宋体" w:hAnsi="宋体" w:eastAsia="宋体" w:cs="宋体"/>
          <w:color w:val="auto"/>
          <w:kern w:val="0"/>
          <w:sz w:val="22"/>
          <w:szCs w:val="22"/>
          <w:highlight w:val="none"/>
        </w:rPr>
        <w:t>采购人在磋商小组推荐的成交候选供应商名单中最终确定成交供应商。</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 采购代理机构在“政采云”平台上公示成交结果，成交公告期限为1个工作日。</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 各供应商对结果如有异议，可在公示之日起7个工作日内以书面形式向采购人进行署名投诉或提出质疑，但需对投诉或质疑内容的真实性承担法律责任。</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 在公示成交结果的同时，采购人向成交供应商发出成交通知书。</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签订合同</w:t>
      </w:r>
    </w:p>
    <w:p>
      <w:pPr>
        <w:tabs>
          <w:tab w:val="left" w:pos="540"/>
        </w:tabs>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公示期结束后，成交供应商须在5个工作日内主动联系采购人或采购机构领取成交通知书。成交供应商应当在成交通知书发出之日起30日内与采购人签订合同。成交供应商未经采购人许可，在规定时间内未到采购人处与采购人签订合同，则视为拒签合同。</w:t>
      </w:r>
    </w:p>
    <w:p>
      <w:pPr>
        <w:tabs>
          <w:tab w:val="left" w:pos="540"/>
        </w:tabs>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 竞争性磋商文件、成交供应商的磋商响应文件及磋商响应修改文件、磋商评审过程中有关澄清文件及经双方签字的询标纪要（承诺）和成交通知书均作为合同附件。</w:t>
      </w:r>
    </w:p>
    <w:p>
      <w:pPr>
        <w:tabs>
          <w:tab w:val="left" w:pos="540"/>
        </w:tabs>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 拒签合同的责任</w:t>
      </w:r>
    </w:p>
    <w:p>
      <w:pPr>
        <w:tabs>
          <w:tab w:val="left" w:pos="540"/>
        </w:tabs>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 成交供应商在规定时间内（30日历天）借故否认已经承诺的条件、拒签合同者，以投标违约处理，赔偿采购人由此造成的直接经济损失；采购人重新组织招标的，所需费用由原成交供应商承担。</w:t>
      </w:r>
    </w:p>
    <w:p>
      <w:pPr>
        <w:tabs>
          <w:tab w:val="left" w:pos="540"/>
        </w:tabs>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2.5成交供应商应在合同签订后2个工作日内提交一份合同文本扫描件报采购代理机构备案。</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3.成交供应商有以下情况的，则采购人有权决定是否将其成交资格转交成交备选供应商或重新组织项目采购流程：</w:t>
      </w:r>
    </w:p>
    <w:p>
      <w:pPr>
        <w:numPr>
          <w:ilvl w:val="0"/>
          <w:numId w:val="30"/>
        </w:numPr>
        <w:spacing w:line="400" w:lineRule="exact"/>
        <w:ind w:firstLine="418" w:firstLineChars="190"/>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成交供应商主动放弃成交资格；</w:t>
      </w:r>
    </w:p>
    <w:p>
      <w:pPr>
        <w:numPr>
          <w:ilvl w:val="0"/>
          <w:numId w:val="30"/>
        </w:numPr>
        <w:spacing w:line="400" w:lineRule="exact"/>
        <w:ind w:firstLine="418" w:firstLineChars="190"/>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成交供应商因不可抗力提出不能履行合同；</w:t>
      </w:r>
    </w:p>
    <w:p>
      <w:pPr>
        <w:numPr>
          <w:ilvl w:val="0"/>
          <w:numId w:val="30"/>
        </w:numPr>
        <w:spacing w:line="400" w:lineRule="exact"/>
        <w:ind w:firstLine="418" w:firstLineChars="190"/>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成交供应商未能在规定时间内与采购人签订合同；</w:t>
      </w:r>
    </w:p>
    <w:p>
      <w:pPr>
        <w:numPr>
          <w:ilvl w:val="0"/>
          <w:numId w:val="30"/>
        </w:numPr>
        <w:spacing w:line="400" w:lineRule="exact"/>
        <w:ind w:firstLine="418" w:firstLineChars="19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zh-CN"/>
        </w:rPr>
        <w:t>经质疑，采购人审查后，成交供应商确实在本次采购活动中存在违法违规行为或其他原因使质疑成立的。</w:t>
      </w:r>
    </w:p>
    <w:p>
      <w:pPr>
        <w:numPr>
          <w:ilvl w:val="0"/>
          <w:numId w:val="0"/>
        </w:numPr>
        <w:tabs>
          <w:tab w:val="left" w:pos="540"/>
          <w:tab w:val="left" w:pos="900"/>
        </w:tabs>
        <w:spacing w:line="460" w:lineRule="exact"/>
        <w:ind w:leftChars="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根据《浙江省财政厅关于明确政府采购保证金管理工作的通知》（浙财采监〔2019〕5号）规定“供应商在政府采购活动中违反政府采购相关规定给采购组织机构造成损失的，采购组织机构可按照采购文件约定要求供应商承担赔偿责任。”的规定，对放弃中标（成交）资格的供应商，需承担代理费和专家评审费等费用。</w:t>
      </w:r>
    </w:p>
    <w:p>
      <w:pPr>
        <w:numPr>
          <w:ilvl w:val="0"/>
          <w:numId w:val="0"/>
        </w:numPr>
        <w:tabs>
          <w:tab w:val="left" w:pos="540"/>
          <w:tab w:val="left" w:pos="900"/>
        </w:tabs>
        <w:spacing w:line="460" w:lineRule="exact"/>
        <w:ind w:leftChars="0"/>
        <w:rPr>
          <w:rFonts w:hint="eastAsia" w:ascii="宋体" w:hAnsi="宋体"/>
          <w:b/>
          <w:bCs/>
          <w:color w:val="auto"/>
          <w:sz w:val="22"/>
          <w:szCs w:val="22"/>
          <w:highlight w:val="none"/>
        </w:rPr>
      </w:pPr>
      <w:r>
        <w:rPr>
          <w:rFonts w:hint="eastAsia" w:ascii="宋体" w:hAnsi="宋体"/>
          <w:b/>
          <w:bCs/>
          <w:color w:val="auto"/>
          <w:sz w:val="22"/>
          <w:szCs w:val="22"/>
          <w:highlight w:val="none"/>
          <w:lang w:val="en-US" w:eastAsia="zh-CN"/>
        </w:rPr>
        <w:t>5</w:t>
      </w:r>
      <w:r>
        <w:rPr>
          <w:rFonts w:hint="eastAsia" w:ascii="宋体" w:hAnsi="宋体"/>
          <w:b/>
          <w:bCs/>
          <w:color w:val="auto"/>
          <w:sz w:val="22"/>
          <w:szCs w:val="22"/>
          <w:highlight w:val="none"/>
        </w:rPr>
        <w:t>采购代理服务费</w:t>
      </w:r>
    </w:p>
    <w:p>
      <w:pPr>
        <w:tabs>
          <w:tab w:val="left" w:pos="540"/>
        </w:tabs>
        <w:spacing w:line="400" w:lineRule="exact"/>
        <w:rPr>
          <w:rFonts w:hint="eastAsia" w:ascii="宋体" w:hAnsi="宋体" w:cs="宋体"/>
          <w:color w:val="auto"/>
          <w:szCs w:val="21"/>
          <w:highlight w:val="none"/>
        </w:rPr>
      </w:pP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1采购代理服务费参考国家计委计价格【2002】1980号《招标代理服务收费管理暂行办法》规定标准（服务</w:t>
      </w:r>
      <w:r>
        <w:rPr>
          <w:rFonts w:hint="eastAsia" w:ascii="宋体" w:hAnsi="宋体" w:eastAsia="宋体" w:cs="宋体"/>
          <w:color w:val="auto"/>
          <w:sz w:val="22"/>
          <w:szCs w:val="22"/>
          <w:highlight w:val="none"/>
        </w:rPr>
        <w:t>类）</w:t>
      </w:r>
      <w:r>
        <w:rPr>
          <w:rFonts w:hint="eastAsia" w:ascii="宋体" w:hAnsi="宋体" w:cs="宋体"/>
          <w:color w:val="auto"/>
          <w:sz w:val="22"/>
          <w:szCs w:val="22"/>
          <w:highlight w:val="none"/>
          <w:lang w:val="en-US" w:eastAsia="zh-CN"/>
        </w:rPr>
        <w:t>收取</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不足壹万伍仟元的按壹万伍仟元收取，</w:t>
      </w:r>
      <w:r>
        <w:rPr>
          <w:rFonts w:hint="eastAsia" w:ascii="宋体" w:hAnsi="宋体" w:eastAsia="宋体" w:cs="宋体"/>
          <w:color w:val="auto"/>
          <w:sz w:val="22"/>
          <w:szCs w:val="22"/>
          <w:highlight w:val="none"/>
        </w:rPr>
        <w:t>由中标供</w:t>
      </w:r>
      <w:r>
        <w:rPr>
          <w:rFonts w:hint="eastAsia" w:ascii="宋体" w:hAnsi="宋体" w:cs="宋体"/>
          <w:color w:val="auto"/>
          <w:sz w:val="22"/>
          <w:szCs w:val="22"/>
          <w:highlight w:val="none"/>
        </w:rPr>
        <w:t>应商在领取中标通知书时向招标代理机构进行支付，该服务费须综合考虑在投标报价中，今后不再调整。</w:t>
      </w:r>
    </w:p>
    <w:p>
      <w:pPr>
        <w:spacing w:before="100" w:beforeAutospacing="1" w:after="100" w:afterAutospacing="1" w:line="440" w:lineRule="exact"/>
        <w:ind w:left="783" w:hanging="783" w:hangingChars="300"/>
        <w:jc w:val="center"/>
        <w:outlineLvl w:val="0"/>
        <w:rPr>
          <w:rFonts w:hint="eastAsia" w:ascii="宋体" w:hAnsi="宋体" w:eastAsia="宋体" w:cs="宋体"/>
          <w:b/>
          <w:bCs/>
          <w:color w:val="auto"/>
          <w:sz w:val="26"/>
          <w:szCs w:val="26"/>
          <w:highlight w:val="none"/>
          <w:lang w:val="en-US" w:eastAsia="zh-CN"/>
        </w:rPr>
      </w:pPr>
      <w:bookmarkStart w:id="138" w:name="_Toc25540"/>
      <w:bookmarkStart w:id="139" w:name="_Toc18423"/>
      <w:r>
        <w:rPr>
          <w:rFonts w:hint="eastAsia" w:ascii="宋体" w:hAnsi="宋体" w:eastAsia="宋体" w:cs="宋体"/>
          <w:b/>
          <w:bCs/>
          <w:color w:val="auto"/>
          <w:sz w:val="26"/>
          <w:szCs w:val="26"/>
          <w:highlight w:val="none"/>
          <w:lang w:val="en-US" w:eastAsia="zh-CN"/>
        </w:rPr>
        <w:t>八、验收</w:t>
      </w:r>
      <w:bookmarkEnd w:id="138"/>
      <w:bookmarkEnd w:id="139"/>
    </w:p>
    <w:p>
      <w:pPr>
        <w:keepNext w:val="0"/>
        <w:keepLines w:val="0"/>
        <w:pageBreakBefore w:val="0"/>
        <w:widowControl w:val="0"/>
        <w:numPr>
          <w:ilvl w:val="0"/>
          <w:numId w:val="31"/>
        </w:numPr>
        <w:tabs>
          <w:tab w:val="left" w:pos="540"/>
          <w:tab w:val="clear" w:pos="420"/>
        </w:tabs>
        <w:kinsoku/>
        <w:wordWrap/>
        <w:overflowPunct/>
        <w:topLinePunct w:val="0"/>
        <w:autoSpaceDE/>
        <w:autoSpaceDN/>
        <w:bidi w:val="0"/>
        <w:adjustRightInd/>
        <w:snapToGrid/>
        <w:spacing w:line="400" w:lineRule="exact"/>
        <w:ind w:left="420" w:hanging="420"/>
        <w:textAlignment w:val="auto"/>
        <w:rPr>
          <w:rFonts w:hint="eastAsia" w:ascii="宋体" w:hAnsi="宋体" w:eastAsia="宋体" w:cs="Arial"/>
          <w:bCs/>
          <w:color w:val="auto"/>
          <w:sz w:val="22"/>
          <w:szCs w:val="22"/>
          <w:highlight w:val="none"/>
          <w:lang w:val="en-US" w:eastAsia="zh-CN"/>
        </w:rPr>
      </w:pPr>
      <w:r>
        <w:rPr>
          <w:rFonts w:hint="eastAsia" w:ascii="宋体" w:hAnsi="宋体" w:eastAsia="宋体" w:cs="Arial"/>
          <w:bCs/>
          <w:color w:val="auto"/>
          <w:sz w:val="22"/>
          <w:szCs w:val="22"/>
          <w:highlight w:val="none"/>
          <w:lang w:val="en-US" w:eastAsia="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widowControl w:val="0"/>
        <w:numPr>
          <w:ilvl w:val="0"/>
          <w:numId w:val="31"/>
        </w:numPr>
        <w:tabs>
          <w:tab w:val="left" w:pos="540"/>
          <w:tab w:val="clear" w:pos="420"/>
        </w:tabs>
        <w:kinsoku/>
        <w:wordWrap/>
        <w:overflowPunct/>
        <w:topLinePunct w:val="0"/>
        <w:autoSpaceDE/>
        <w:autoSpaceDN/>
        <w:bidi w:val="0"/>
        <w:adjustRightInd/>
        <w:snapToGrid/>
        <w:spacing w:line="400" w:lineRule="exact"/>
        <w:ind w:left="420" w:hanging="420"/>
        <w:textAlignment w:val="auto"/>
        <w:rPr>
          <w:rFonts w:hint="eastAsia" w:ascii="宋体" w:hAnsi="宋体" w:eastAsia="宋体" w:cs="Arial"/>
          <w:bCs/>
          <w:color w:val="auto"/>
          <w:sz w:val="22"/>
          <w:szCs w:val="22"/>
          <w:highlight w:val="none"/>
          <w:lang w:val="en-US" w:eastAsia="zh-CN"/>
        </w:rPr>
      </w:pPr>
      <w:r>
        <w:rPr>
          <w:rFonts w:hint="eastAsia" w:ascii="宋体" w:hAnsi="宋体" w:eastAsia="宋体" w:cs="Arial"/>
          <w:bCs/>
          <w:color w:val="auto"/>
          <w:sz w:val="22"/>
          <w:szCs w:val="22"/>
          <w:highlight w:val="none"/>
          <w:lang w:val="en-US" w:eastAsia="zh-CN"/>
        </w:rPr>
        <w:t>采购人可以邀请参加本项目的其他供应商或者第三方机构参与验收。参与验收的供应商或者第三方机构的意见作为验收书的参考资料一并存档。</w:t>
      </w:r>
    </w:p>
    <w:p>
      <w:pPr>
        <w:keepNext w:val="0"/>
        <w:keepLines w:val="0"/>
        <w:pageBreakBefore w:val="0"/>
        <w:widowControl w:val="0"/>
        <w:numPr>
          <w:ilvl w:val="0"/>
          <w:numId w:val="31"/>
        </w:numPr>
        <w:tabs>
          <w:tab w:val="left" w:pos="540"/>
          <w:tab w:val="clear" w:pos="420"/>
        </w:tabs>
        <w:kinsoku/>
        <w:wordWrap/>
        <w:overflowPunct/>
        <w:topLinePunct w:val="0"/>
        <w:autoSpaceDE/>
        <w:autoSpaceDN/>
        <w:bidi w:val="0"/>
        <w:adjustRightInd/>
        <w:snapToGrid/>
        <w:spacing w:line="400" w:lineRule="exact"/>
        <w:ind w:left="420" w:hanging="420"/>
        <w:textAlignment w:val="auto"/>
        <w:rPr>
          <w:rFonts w:hint="eastAsia" w:ascii="宋体" w:hAnsi="宋体" w:eastAsia="宋体" w:cs="Arial"/>
          <w:bCs/>
          <w:color w:val="auto"/>
          <w:sz w:val="22"/>
          <w:szCs w:val="22"/>
          <w:highlight w:val="none"/>
          <w:lang w:val="en-US" w:eastAsia="zh-CN"/>
        </w:rPr>
      </w:pPr>
      <w:r>
        <w:rPr>
          <w:rFonts w:hint="eastAsia" w:ascii="宋体" w:hAnsi="宋体" w:eastAsia="宋体" w:cs="Arial"/>
          <w:bCs/>
          <w:color w:val="auto"/>
          <w:sz w:val="22"/>
          <w:szCs w:val="22"/>
          <w:highlight w:val="none"/>
          <w:lang w:val="en-US" w:eastAsia="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pPr>
        <w:keepNext w:val="0"/>
        <w:keepLines w:val="0"/>
        <w:pageBreakBefore w:val="0"/>
        <w:widowControl w:val="0"/>
        <w:numPr>
          <w:ilvl w:val="0"/>
          <w:numId w:val="31"/>
        </w:numPr>
        <w:tabs>
          <w:tab w:val="left" w:pos="540"/>
          <w:tab w:val="clear" w:pos="420"/>
        </w:tabs>
        <w:kinsoku/>
        <w:wordWrap/>
        <w:overflowPunct/>
        <w:topLinePunct w:val="0"/>
        <w:autoSpaceDE/>
        <w:autoSpaceDN/>
        <w:bidi w:val="0"/>
        <w:adjustRightInd/>
        <w:snapToGrid/>
        <w:spacing w:line="400" w:lineRule="exact"/>
        <w:ind w:left="420" w:hanging="420"/>
        <w:textAlignment w:val="auto"/>
        <w:rPr>
          <w:rFonts w:hint="eastAsia" w:ascii="宋体" w:hAnsi="宋体" w:eastAsia="宋体" w:cs="Arial"/>
          <w:bCs/>
          <w:color w:val="auto"/>
          <w:sz w:val="22"/>
          <w:szCs w:val="22"/>
          <w:highlight w:val="none"/>
          <w:lang w:val="en-US" w:eastAsia="zh-CN"/>
        </w:rPr>
      </w:pPr>
      <w:r>
        <w:rPr>
          <w:rFonts w:hint="eastAsia" w:ascii="宋体" w:hAnsi="宋体" w:eastAsia="宋体" w:cs="Arial"/>
          <w:bCs/>
          <w:color w:val="auto"/>
          <w:sz w:val="22"/>
          <w:szCs w:val="22"/>
          <w:highlight w:val="none"/>
          <w:lang w:val="en-US" w:eastAsia="zh-CN"/>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keepNext w:val="0"/>
        <w:keepLines w:val="0"/>
        <w:pageBreakBefore w:val="0"/>
        <w:widowControl w:val="0"/>
        <w:numPr>
          <w:ilvl w:val="0"/>
          <w:numId w:val="31"/>
        </w:numPr>
        <w:tabs>
          <w:tab w:val="left" w:pos="540"/>
          <w:tab w:val="clear" w:pos="420"/>
        </w:tabs>
        <w:kinsoku/>
        <w:wordWrap/>
        <w:overflowPunct/>
        <w:topLinePunct w:val="0"/>
        <w:autoSpaceDE/>
        <w:autoSpaceDN/>
        <w:bidi w:val="0"/>
        <w:adjustRightInd/>
        <w:snapToGrid/>
        <w:spacing w:line="400" w:lineRule="exact"/>
        <w:ind w:left="420" w:hanging="420"/>
        <w:textAlignment w:val="auto"/>
        <w:rPr>
          <w:rFonts w:hint="eastAsia" w:ascii="宋体" w:hAnsi="宋体" w:eastAsia="宋体" w:cs="Arial"/>
          <w:b/>
          <w:bCs w:val="0"/>
          <w:color w:val="auto"/>
          <w:sz w:val="22"/>
          <w:szCs w:val="22"/>
          <w:highlight w:val="none"/>
          <w:lang w:val="en-US" w:eastAsia="zh-CN"/>
        </w:rPr>
      </w:pPr>
      <w:bookmarkStart w:id="140" w:name="_Hlt75236290"/>
      <w:bookmarkEnd w:id="140"/>
      <w:bookmarkStart w:id="141" w:name="_Hlt74730295"/>
      <w:bookmarkEnd w:id="141"/>
      <w:bookmarkStart w:id="142" w:name="_Hlt68072998"/>
      <w:bookmarkEnd w:id="142"/>
      <w:bookmarkStart w:id="143" w:name="_Hlt75236101"/>
      <w:bookmarkEnd w:id="143"/>
      <w:bookmarkStart w:id="144" w:name="_Hlt68403820"/>
      <w:bookmarkEnd w:id="144"/>
      <w:bookmarkStart w:id="145" w:name="_Hlt68072990"/>
      <w:bookmarkEnd w:id="145"/>
      <w:bookmarkStart w:id="146" w:name="_Hlt74707468"/>
      <w:bookmarkEnd w:id="146"/>
      <w:bookmarkStart w:id="147" w:name="_Hlt68073093"/>
      <w:bookmarkEnd w:id="147"/>
      <w:bookmarkStart w:id="148" w:name="_Hlt75236011"/>
      <w:bookmarkEnd w:id="148"/>
      <w:bookmarkStart w:id="149" w:name="_Hlt74714665"/>
      <w:bookmarkEnd w:id="149"/>
      <w:bookmarkStart w:id="150" w:name="_Hlt74729768"/>
      <w:bookmarkEnd w:id="150"/>
      <w:bookmarkStart w:id="151" w:name="_Hlt68057669"/>
      <w:bookmarkEnd w:id="151"/>
      <w:r>
        <w:rPr>
          <w:rFonts w:hint="eastAsia" w:ascii="宋体" w:hAnsi="宋体" w:eastAsia="宋体" w:cs="Arial"/>
          <w:b/>
          <w:bCs w:val="0"/>
          <w:color w:val="auto"/>
          <w:sz w:val="22"/>
          <w:szCs w:val="22"/>
          <w:highlight w:val="none"/>
          <w:lang w:val="en-US" w:eastAsia="zh-CN"/>
        </w:rPr>
        <w:t>履约验收费用由供应商承担，因供应商原因造成验收不通过的，再次验收的费用仍由供应商承担。如采用简易验收的，则不需要支付该笔费用。</w:t>
      </w:r>
    </w:p>
    <w:p>
      <w:pPr>
        <w:pStyle w:val="2"/>
        <w:spacing w:line="400" w:lineRule="exact"/>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bookmarkStart w:id="152" w:name="_Toc29173"/>
      <w:r>
        <w:rPr>
          <w:rFonts w:hint="eastAsia" w:ascii="宋体" w:hAnsi="宋体" w:eastAsia="宋体" w:cs="宋体"/>
          <w:color w:val="auto"/>
          <w:sz w:val="36"/>
          <w:szCs w:val="36"/>
          <w:highlight w:val="none"/>
        </w:rPr>
        <w:t>第二部分   采购内容及要求</w:t>
      </w:r>
      <w:bookmarkEnd w:id="152"/>
    </w:p>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tbl>
      <w:tblPr>
        <w:tblStyle w:val="38"/>
        <w:tblW w:w="10620" w:type="dxa"/>
        <w:tblInd w:w="-484" w:type="dxa"/>
        <w:tblLayout w:type="fixed"/>
        <w:tblCellMar>
          <w:top w:w="0" w:type="dxa"/>
          <w:left w:w="108" w:type="dxa"/>
          <w:bottom w:w="0" w:type="dxa"/>
          <w:right w:w="108" w:type="dxa"/>
        </w:tblCellMar>
      </w:tblPr>
      <w:tblGrid>
        <w:gridCol w:w="10620"/>
      </w:tblGrid>
      <w:tr>
        <w:tblPrEx>
          <w:tblCellMar>
            <w:top w:w="0" w:type="dxa"/>
            <w:left w:w="108" w:type="dxa"/>
            <w:bottom w:w="0" w:type="dxa"/>
            <w:right w:w="108" w:type="dxa"/>
          </w:tblCellMar>
        </w:tblPrEx>
        <w:trPr>
          <w:trHeight w:val="11579" w:hRule="atLeast"/>
        </w:trPr>
        <w:tc>
          <w:tcPr>
            <w:tcW w:w="10620" w:type="dxa"/>
            <w:tcBorders>
              <w:top w:val="nil"/>
              <w:left w:val="nil"/>
              <w:bottom w:val="nil"/>
              <w:right w:val="nil"/>
            </w:tcBorders>
            <w:noWrap w:val="0"/>
            <w:vAlign w:val="center"/>
          </w:tcPr>
          <w:p>
            <w:pPr>
              <w:widowControl/>
              <w:autoSpaceDE w:val="0"/>
              <w:autoSpaceDN w:val="0"/>
              <w:adjustRightInd w:val="0"/>
              <w:snapToGrid w:val="0"/>
              <w:spacing w:line="360" w:lineRule="auto"/>
              <w:ind w:firstLine="422"/>
              <w:jc w:val="center"/>
              <w:rPr>
                <w:rFonts w:hint="eastAsia" w:ascii="宋体" w:hAnsi="宋体" w:eastAsia="宋体" w:cs="宋体"/>
                <w:b/>
                <w:bCs/>
                <w:color w:val="auto"/>
                <w:kern w:val="0"/>
                <w:sz w:val="28"/>
                <w:szCs w:val="28"/>
                <w:highlight w:val="none"/>
                <w:lang w:val="en-US" w:eastAsia="zh-CN" w:bidi="ar-SA"/>
              </w:rPr>
            </w:pPr>
            <w:bookmarkStart w:id="153" w:name="_Toc221356892"/>
            <w:bookmarkStart w:id="154" w:name="_Toc241404207"/>
            <w:bookmarkStart w:id="155" w:name="_Toc249758718"/>
            <w:bookmarkStart w:id="156" w:name="_Toc249758870"/>
            <w:bookmarkStart w:id="157" w:name="_Toc467175860"/>
            <w:bookmarkStart w:id="158" w:name="_Toc507146682"/>
            <w:bookmarkStart w:id="159" w:name="_Toc458516429"/>
            <w:bookmarkStart w:id="160" w:name="_Toc21056"/>
            <w:bookmarkStart w:id="161" w:name="_Toc249758719"/>
            <w:bookmarkStart w:id="162" w:name="_Toc239145359"/>
            <w:bookmarkStart w:id="163" w:name="_Toc245191319"/>
            <w:bookmarkStart w:id="164" w:name="_Toc445832494"/>
            <w:bookmarkStart w:id="165" w:name="_Toc221374631"/>
            <w:bookmarkStart w:id="166" w:name="_Toc221423624"/>
            <w:bookmarkStart w:id="167" w:name="_Toc262105509"/>
            <w:bookmarkStart w:id="168" w:name="_Toc246261270"/>
            <w:bookmarkStart w:id="169" w:name="_Toc221356956"/>
            <w:bookmarkStart w:id="170" w:name="_Toc223716003"/>
            <w:bookmarkStart w:id="171" w:name="_Toc527717315"/>
            <w:bookmarkStart w:id="172" w:name="_Toc262049424"/>
            <w:bookmarkStart w:id="173" w:name="_Toc245722286"/>
            <w:bookmarkStart w:id="174" w:name="_Toc222114884"/>
            <w:r>
              <w:rPr>
                <w:rFonts w:hint="eastAsia" w:ascii="宋体" w:hAnsi="宋体" w:eastAsia="宋体" w:cs="宋体"/>
                <w:b/>
                <w:bCs/>
                <w:color w:val="auto"/>
                <w:kern w:val="0"/>
                <w:sz w:val="28"/>
                <w:szCs w:val="28"/>
                <w:highlight w:val="none"/>
                <w:lang w:val="en-US" w:eastAsia="zh-CN" w:bidi="ar-SA"/>
              </w:rPr>
              <w:t>一、总则</w:t>
            </w:r>
          </w:p>
          <w:p>
            <w:pPr>
              <w:pStyle w:val="21"/>
              <w:snapToGrid w:val="0"/>
              <w:spacing w:line="324" w:lineRule="auto"/>
              <w:ind w:firstLine="420"/>
              <w:rPr>
                <w:rFonts w:hint="eastAsia" w:hAnsi="宋体" w:cs="宋体"/>
                <w:color w:val="auto"/>
                <w:sz w:val="22"/>
                <w:szCs w:val="22"/>
                <w:highlight w:val="none"/>
              </w:rPr>
            </w:pPr>
            <w:r>
              <w:rPr>
                <w:rFonts w:hint="eastAsia" w:hAnsi="宋体" w:cs="宋体"/>
                <w:color w:val="auto"/>
                <w:sz w:val="22"/>
                <w:szCs w:val="22"/>
                <w:highlight w:val="none"/>
              </w:rPr>
              <w:t>1.1本采购内容要求提出的是最低限度的基本服务要求，并未对所有服务细节作出规定，供应商应提供符合本采购内容要求和国家标准、行业标准的优质服务。</w:t>
            </w:r>
          </w:p>
          <w:p>
            <w:pPr>
              <w:pStyle w:val="21"/>
              <w:snapToGrid w:val="0"/>
              <w:spacing w:line="324" w:lineRule="auto"/>
              <w:ind w:firstLine="420"/>
              <w:rPr>
                <w:rFonts w:hint="eastAsia" w:hAnsi="宋体" w:cs="宋体"/>
                <w:color w:val="auto"/>
                <w:sz w:val="22"/>
                <w:szCs w:val="22"/>
                <w:highlight w:val="none"/>
              </w:rPr>
            </w:pPr>
            <w:r>
              <w:rPr>
                <w:rFonts w:hint="eastAsia" w:hAnsi="宋体" w:cs="宋体"/>
                <w:color w:val="auto"/>
                <w:sz w:val="22"/>
                <w:szCs w:val="22"/>
                <w:highlight w:val="none"/>
              </w:rPr>
              <w:t>1.2供应商服务与本采购内容要求不一致时，供应商应在投标文件中予以说明，并由评标委员会鉴定供应商服务能否达到要求。如供应商没有在投标文件中提出异议，则视为供应商提供的服务完全按照本采购文件要求。</w:t>
            </w:r>
          </w:p>
          <w:p>
            <w:pPr>
              <w:pStyle w:val="21"/>
              <w:snapToGrid w:val="0"/>
              <w:spacing w:line="324" w:lineRule="auto"/>
              <w:ind w:firstLine="420"/>
              <w:rPr>
                <w:rFonts w:hint="eastAsia" w:hAnsi="宋体" w:cs="宋体"/>
                <w:color w:val="auto"/>
                <w:sz w:val="22"/>
                <w:szCs w:val="22"/>
                <w:highlight w:val="none"/>
              </w:rPr>
            </w:pPr>
            <w:r>
              <w:rPr>
                <w:rFonts w:hint="eastAsia" w:hAnsi="宋体" w:cs="宋体"/>
                <w:color w:val="auto"/>
                <w:sz w:val="22"/>
                <w:szCs w:val="22"/>
                <w:highlight w:val="none"/>
              </w:rPr>
              <w:t>2</w:t>
            </w:r>
            <w:r>
              <w:rPr>
                <w:rFonts w:hint="eastAsia" w:hAnsi="宋体" w:cs="宋体"/>
                <w:color w:val="auto"/>
                <w:sz w:val="22"/>
                <w:szCs w:val="22"/>
                <w:highlight w:val="none"/>
                <w:lang w:val="en-US" w:eastAsia="zh-CN"/>
              </w:rPr>
              <w:t>.</w:t>
            </w:r>
            <w:r>
              <w:rPr>
                <w:rFonts w:hint="eastAsia" w:hAnsi="宋体" w:cs="宋体"/>
                <w:color w:val="auto"/>
                <w:sz w:val="22"/>
                <w:szCs w:val="22"/>
                <w:highlight w:val="none"/>
              </w:rPr>
              <w:t>技术要求及标准的执行</w:t>
            </w:r>
          </w:p>
          <w:p>
            <w:pPr>
              <w:pStyle w:val="21"/>
              <w:snapToGrid w:val="0"/>
              <w:spacing w:line="324" w:lineRule="auto"/>
              <w:ind w:firstLine="420"/>
              <w:rPr>
                <w:rFonts w:hint="eastAsia" w:hAnsi="宋体" w:cs="宋体"/>
                <w:color w:val="auto"/>
                <w:sz w:val="22"/>
                <w:szCs w:val="22"/>
                <w:highlight w:val="none"/>
              </w:rPr>
            </w:pPr>
            <w:r>
              <w:rPr>
                <w:rFonts w:hint="eastAsia" w:hAnsi="宋体" w:cs="宋体"/>
                <w:color w:val="auto"/>
                <w:sz w:val="22"/>
                <w:szCs w:val="22"/>
                <w:highlight w:val="none"/>
              </w:rPr>
              <w:t>供应商提供的服务应标明所执行的技术标准，若同一标准已颁发新标准，则按最新标准执行。若同一服务同时有几个标准（国际标准、国家标准、行业标准、企业标准等），则按最高层次的标准执行。</w:t>
            </w:r>
          </w:p>
          <w:p>
            <w:pPr>
              <w:pStyle w:val="21"/>
              <w:snapToGrid w:val="0"/>
              <w:spacing w:line="324" w:lineRule="auto"/>
              <w:ind w:firstLine="420"/>
              <w:rPr>
                <w:rFonts w:hint="eastAsia" w:ascii="宋体" w:hAnsi="宋体" w:cs="宋体"/>
                <w:b/>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供应商须按国家有关规定及标准完成本次采购项目的采购文件要求的各项工作。如中标，中标供应商对中标服务的可靠性负全部责任。供应商提供相关数据与说明，投标文件须对下列要求作出实质性回应。</w:t>
            </w:r>
            <w:bookmarkStart w:id="175" w:name="_Toc8351"/>
            <w:bookmarkStart w:id="176" w:name="_Toc467576665"/>
            <w:bookmarkStart w:id="177" w:name="_Toc443989291"/>
            <w:bookmarkStart w:id="178" w:name="_Toc443989285"/>
          </w:p>
          <w:p>
            <w:pPr>
              <w:widowControl/>
              <w:autoSpaceDE w:val="0"/>
              <w:autoSpaceDN w:val="0"/>
              <w:adjustRightInd w:val="0"/>
              <w:snapToGrid w:val="0"/>
              <w:spacing w:line="360" w:lineRule="auto"/>
              <w:ind w:firstLine="422"/>
              <w:jc w:val="center"/>
              <w:rPr>
                <w:rFonts w:hint="eastAsia" w:ascii="宋体" w:hAnsi="宋体" w:eastAsia="宋体" w:cs="宋体"/>
                <w:b/>
                <w:color w:val="auto"/>
                <w:sz w:val="22"/>
                <w:szCs w:val="22"/>
                <w:highlight w:val="none"/>
              </w:rPr>
            </w:pPr>
            <w:r>
              <w:rPr>
                <w:rFonts w:hint="eastAsia" w:ascii="宋体" w:hAnsi="宋体" w:eastAsia="宋体" w:cs="宋体"/>
                <w:b/>
                <w:bCs/>
                <w:color w:val="auto"/>
                <w:kern w:val="0"/>
                <w:sz w:val="28"/>
                <w:szCs w:val="28"/>
                <w:highlight w:val="none"/>
                <w:lang w:val="en-US" w:eastAsia="zh-CN" w:bidi="ar-SA"/>
              </w:rPr>
              <w:t>二、招标内容</w:t>
            </w:r>
          </w:p>
          <w:p>
            <w:pPr>
              <w:spacing w:line="440" w:lineRule="exact"/>
              <w:ind w:firstLine="442" w:firstLineChars="20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eastAsia="zh-CN"/>
              </w:rPr>
              <w:t>本项目采购内容包括</w:t>
            </w:r>
            <w:r>
              <w:rPr>
                <w:rFonts w:hint="eastAsia" w:ascii="宋体" w:hAnsi="宋体" w:cs="宋体"/>
                <w:b/>
                <w:color w:val="auto"/>
                <w:sz w:val="22"/>
                <w:szCs w:val="22"/>
                <w:highlight w:val="none"/>
                <w:lang w:eastAsia="zh-CN"/>
              </w:rPr>
              <w:t>2024年茶山街道机关食堂外包运营服务</w:t>
            </w:r>
            <w:r>
              <w:rPr>
                <w:rFonts w:hint="eastAsia" w:ascii="宋体" w:hAnsi="宋体" w:eastAsia="宋体" w:cs="宋体"/>
                <w:b/>
                <w:color w:val="auto"/>
                <w:sz w:val="22"/>
                <w:szCs w:val="22"/>
                <w:highlight w:val="none"/>
                <w:lang w:eastAsia="zh-CN"/>
              </w:rPr>
              <w:t>，包含但不限于</w:t>
            </w:r>
            <w:r>
              <w:rPr>
                <w:rFonts w:hint="eastAsia" w:ascii="宋体" w:hAnsi="宋体" w:eastAsia="宋体" w:cs="宋体"/>
                <w:b/>
                <w:color w:val="auto"/>
                <w:sz w:val="22"/>
                <w:szCs w:val="22"/>
                <w:highlight w:val="none"/>
                <w:lang w:val="en-US" w:eastAsia="zh-CN"/>
              </w:rPr>
              <w:t>以下</w:t>
            </w:r>
            <w:r>
              <w:rPr>
                <w:rFonts w:hint="eastAsia" w:ascii="宋体" w:hAnsi="宋体" w:eastAsia="宋体" w:cs="宋体"/>
                <w:b/>
                <w:color w:val="auto"/>
                <w:sz w:val="22"/>
                <w:szCs w:val="22"/>
                <w:highlight w:val="none"/>
                <w:lang w:eastAsia="zh-CN"/>
              </w:rPr>
              <w:t>内容即</w:t>
            </w:r>
            <w:r>
              <w:rPr>
                <w:rFonts w:hint="eastAsia" w:ascii="宋体" w:hAnsi="宋体" w:eastAsia="宋体" w:cs="宋体"/>
                <w:b/>
                <w:color w:val="auto"/>
                <w:sz w:val="22"/>
                <w:szCs w:val="22"/>
                <w:highlight w:val="none"/>
                <w:lang w:val="en-US" w:eastAsia="zh-CN"/>
              </w:rPr>
              <w:t>供应商</w:t>
            </w:r>
            <w:r>
              <w:rPr>
                <w:rFonts w:hint="eastAsia" w:ascii="宋体" w:hAnsi="宋体" w:eastAsia="宋体" w:cs="宋体"/>
                <w:b/>
                <w:color w:val="auto"/>
                <w:sz w:val="22"/>
                <w:szCs w:val="22"/>
                <w:highlight w:val="none"/>
                <w:lang w:eastAsia="zh-CN"/>
              </w:rPr>
              <w:t>负责</w:t>
            </w:r>
            <w:r>
              <w:rPr>
                <w:rFonts w:hint="eastAsia" w:ascii="宋体" w:hAnsi="宋体" w:eastAsia="宋体" w:cs="宋体"/>
                <w:b/>
                <w:color w:val="auto"/>
                <w:sz w:val="22"/>
                <w:szCs w:val="22"/>
                <w:highlight w:val="none"/>
                <w:lang w:val="en-US" w:eastAsia="zh-CN"/>
              </w:rPr>
              <w:t>梧田街道</w:t>
            </w:r>
            <w:r>
              <w:rPr>
                <w:rFonts w:hint="eastAsia" w:ascii="宋体" w:hAnsi="宋体" w:eastAsia="宋体" w:cs="宋体"/>
                <w:b/>
                <w:color w:val="auto"/>
                <w:sz w:val="22"/>
                <w:szCs w:val="22"/>
                <w:highlight w:val="none"/>
                <w:lang w:eastAsia="zh-CN"/>
              </w:rPr>
              <w:t>食堂的每日用餐所需的食品及原材料的</w:t>
            </w:r>
            <w:r>
              <w:rPr>
                <w:rFonts w:hint="eastAsia" w:ascii="宋体" w:hAnsi="宋体" w:eastAsia="宋体" w:cs="宋体"/>
                <w:b/>
                <w:color w:val="auto"/>
                <w:sz w:val="22"/>
                <w:szCs w:val="22"/>
                <w:highlight w:val="none"/>
                <w:lang w:val="en-US" w:eastAsia="zh-CN"/>
              </w:rPr>
              <w:t>采购、</w:t>
            </w:r>
            <w:r>
              <w:rPr>
                <w:rFonts w:hint="eastAsia" w:ascii="宋体" w:hAnsi="宋体" w:eastAsia="宋体" w:cs="宋体"/>
                <w:b/>
                <w:color w:val="auto"/>
                <w:sz w:val="22"/>
                <w:szCs w:val="22"/>
                <w:highlight w:val="none"/>
                <w:lang w:eastAsia="zh-CN"/>
              </w:rPr>
              <w:t>验收、管理、食品存储、食品加工、配售、食堂内保洁服务、餐具卫生消毒及采购人要求的其他相关服务内容等所有食堂所需的服务工作（食堂日常的食品及原材料、调料的采购由供应商负责）</w:t>
            </w:r>
            <w:r>
              <w:rPr>
                <w:rFonts w:hint="eastAsia" w:ascii="宋体" w:hAnsi="宋体" w:cs="宋体"/>
                <w:b/>
                <w:color w:val="auto"/>
                <w:sz w:val="22"/>
                <w:szCs w:val="22"/>
                <w:highlight w:val="none"/>
                <w:lang w:eastAsia="zh-CN"/>
              </w:rPr>
              <w:t>。</w:t>
            </w:r>
            <w:r>
              <w:rPr>
                <w:rFonts w:hint="eastAsia" w:ascii="宋体" w:hAnsi="宋体" w:eastAsia="宋体" w:cs="宋体"/>
                <w:b/>
                <w:color w:val="auto"/>
                <w:sz w:val="22"/>
                <w:szCs w:val="22"/>
                <w:highlight w:val="none"/>
                <w:lang w:eastAsia="zh-CN"/>
              </w:rPr>
              <w:t>服务工作范围内收支由供应商</w:t>
            </w:r>
            <w:r>
              <w:rPr>
                <w:rFonts w:hint="eastAsia" w:ascii="宋体" w:hAnsi="宋体" w:eastAsia="宋体" w:cs="宋体"/>
                <w:b/>
                <w:color w:val="auto"/>
                <w:sz w:val="22"/>
                <w:szCs w:val="22"/>
                <w:highlight w:val="none"/>
                <w:lang w:val="en-US" w:eastAsia="zh-CN"/>
              </w:rPr>
              <w:t>自行</w:t>
            </w:r>
            <w:r>
              <w:rPr>
                <w:rFonts w:hint="eastAsia" w:ascii="宋体" w:hAnsi="宋体" w:eastAsia="宋体" w:cs="宋体"/>
                <w:b/>
                <w:color w:val="auto"/>
                <w:sz w:val="22"/>
                <w:szCs w:val="22"/>
                <w:highlight w:val="none"/>
                <w:lang w:eastAsia="zh-CN"/>
              </w:rPr>
              <w:t>负责</w:t>
            </w:r>
            <w:r>
              <w:rPr>
                <w:rFonts w:hint="eastAsia" w:ascii="宋体" w:hAnsi="宋体" w:cs="宋体"/>
                <w:b/>
                <w:color w:val="auto"/>
                <w:sz w:val="22"/>
                <w:szCs w:val="22"/>
                <w:highlight w:val="none"/>
                <w:lang w:eastAsia="zh-CN"/>
              </w:rPr>
              <w:t>，</w:t>
            </w:r>
            <w:r>
              <w:rPr>
                <w:rFonts w:hint="eastAsia" w:ascii="宋体" w:hAnsi="宋体" w:eastAsia="宋体" w:cs="宋体"/>
                <w:b/>
                <w:color w:val="auto"/>
                <w:sz w:val="22"/>
                <w:szCs w:val="22"/>
                <w:highlight w:val="none"/>
                <w:lang w:eastAsia="zh-CN"/>
              </w:rPr>
              <w:t>乙方必须每月向甲方上报一次餐饮收支台帐</w:t>
            </w:r>
            <w:r>
              <w:rPr>
                <w:rFonts w:hint="eastAsia" w:ascii="宋体" w:hAnsi="宋体" w:eastAsia="宋体" w:cs="宋体"/>
                <w:b/>
                <w:color w:val="auto"/>
                <w:sz w:val="22"/>
                <w:szCs w:val="22"/>
                <w:highlight w:val="none"/>
                <w:lang w:val="en-US" w:eastAsia="zh-CN"/>
              </w:rPr>
              <w:t>盈亏自负</w:t>
            </w:r>
            <w:r>
              <w:rPr>
                <w:rFonts w:hint="eastAsia" w:ascii="宋体" w:hAnsi="宋体" w:eastAsia="宋体" w:cs="宋体"/>
                <w:b/>
                <w:color w:val="auto"/>
                <w:sz w:val="22"/>
                <w:szCs w:val="22"/>
                <w:highlight w:val="none"/>
                <w:lang w:eastAsia="zh-CN"/>
              </w:rPr>
              <w:t>。</w:t>
            </w:r>
          </w:p>
          <w:p>
            <w:pPr>
              <w:spacing w:line="440" w:lineRule="exact"/>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一、</w:t>
            </w:r>
            <w:r>
              <w:rPr>
                <w:rFonts w:hint="eastAsia" w:ascii="宋体" w:hAnsi="宋体" w:eastAsia="宋体" w:cs="宋体"/>
                <w:b/>
                <w:color w:val="auto"/>
                <w:sz w:val="22"/>
                <w:szCs w:val="22"/>
                <w:highlight w:val="none"/>
                <w:lang w:eastAsia="zh-CN"/>
              </w:rPr>
              <w:t>食品及原材料的</w:t>
            </w:r>
            <w:r>
              <w:rPr>
                <w:rFonts w:hint="eastAsia" w:ascii="宋体" w:hAnsi="宋体" w:eastAsia="宋体" w:cs="宋体"/>
                <w:b/>
                <w:color w:val="auto"/>
                <w:sz w:val="22"/>
                <w:szCs w:val="22"/>
                <w:highlight w:val="none"/>
                <w:lang w:val="en-US" w:eastAsia="zh-CN"/>
              </w:rPr>
              <w:t>要求：</w:t>
            </w:r>
          </w:p>
          <w:p>
            <w:pPr>
              <w:pStyle w:val="30"/>
              <w:widowControl w:val="0"/>
              <w:numPr>
                <w:ilvl w:val="0"/>
                <w:numId w:val="0"/>
              </w:numPr>
              <w:jc w:val="left"/>
              <w:rPr>
                <w:rFonts w:hint="default"/>
                <w:color w:val="auto"/>
                <w:highlight w:val="none"/>
                <w:lang w:val="en-US" w:eastAsia="zh-CN"/>
              </w:rPr>
            </w:pPr>
          </w:p>
          <w:p>
            <w:pPr>
              <w:numPr>
                <w:ilvl w:val="0"/>
                <w:numId w:val="0"/>
              </w:numPr>
              <w:adjustRightInd w:val="0"/>
              <w:snapToGrid w:val="0"/>
              <w:spacing w:line="400" w:lineRule="exact"/>
              <w:ind w:left="420" w:leftChars="0"/>
              <w:outlineLvl w:val="0"/>
              <w:rPr>
                <w:rFonts w:hint="eastAsia" w:ascii="宋体" w:hAnsi="宋体" w:eastAsia="宋体" w:cs="宋体"/>
                <w:b/>
                <w:bCs/>
                <w:color w:val="auto"/>
                <w:sz w:val="22"/>
                <w:szCs w:val="22"/>
                <w:highlight w:val="none"/>
              </w:rPr>
            </w:pPr>
            <w:r>
              <w:rPr>
                <w:rFonts w:hint="eastAsia"/>
                <w:color w:val="auto"/>
                <w:highlight w:val="none"/>
                <w:lang w:val="en-US" w:eastAsia="zh-CN"/>
              </w:rPr>
              <w:t>（一）</w:t>
            </w:r>
            <w:r>
              <w:rPr>
                <w:rFonts w:hint="eastAsia" w:ascii="宋体" w:hAnsi="宋体" w:eastAsia="宋体" w:cs="宋体"/>
                <w:b/>
                <w:color w:val="auto"/>
                <w:sz w:val="22"/>
                <w:szCs w:val="22"/>
                <w:highlight w:val="none"/>
                <w:lang w:eastAsia="zh-CN"/>
              </w:rPr>
              <w:t>食品及原材料的</w:t>
            </w:r>
            <w:r>
              <w:rPr>
                <w:rFonts w:hint="eastAsia" w:ascii="宋体" w:hAnsi="宋体" w:cs="宋体"/>
                <w:b/>
                <w:bCs/>
                <w:color w:val="auto"/>
                <w:sz w:val="22"/>
                <w:szCs w:val="22"/>
                <w:highlight w:val="none"/>
                <w:lang w:val="en-US" w:eastAsia="zh-CN"/>
              </w:rPr>
              <w:t>服务</w:t>
            </w:r>
            <w:r>
              <w:rPr>
                <w:rFonts w:hint="eastAsia" w:ascii="宋体" w:hAnsi="宋体" w:eastAsia="宋体" w:cs="宋体"/>
                <w:b/>
                <w:bCs/>
                <w:color w:val="auto"/>
                <w:sz w:val="22"/>
                <w:szCs w:val="22"/>
                <w:highlight w:val="none"/>
              </w:rPr>
              <w:t>要求：</w:t>
            </w:r>
          </w:p>
          <w:p>
            <w:pPr>
              <w:widowControl w:val="0"/>
              <w:numPr>
                <w:ilvl w:val="0"/>
                <w:numId w:val="32"/>
              </w:numPr>
              <w:adjustRightInd w:val="0"/>
              <w:snapToGrid w:val="0"/>
              <w:spacing w:line="400" w:lineRule="exact"/>
              <w:ind w:left="230" w:leftChars="0" w:firstLine="400" w:firstLineChars="0"/>
              <w:jc w:val="both"/>
              <w:outlineLvl w:val="0"/>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肉、禽、蛋、水产等必须具有动物检验检疫合格证明或化验单；</w:t>
            </w:r>
          </w:p>
          <w:p>
            <w:pPr>
              <w:widowControl w:val="0"/>
              <w:numPr>
                <w:ilvl w:val="0"/>
                <w:numId w:val="32"/>
              </w:numPr>
              <w:adjustRightInd w:val="0"/>
              <w:snapToGrid w:val="0"/>
              <w:spacing w:line="400" w:lineRule="exact"/>
              <w:ind w:left="230" w:leftChars="0" w:firstLine="400" w:firstLineChars="0"/>
              <w:jc w:val="both"/>
              <w:outlineLvl w:val="0"/>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豆制品、辅料、半成品必须具有“</w:t>
            </w:r>
            <w:r>
              <w:rPr>
                <w:rFonts w:hint="eastAsia" w:ascii="宋体" w:hAnsi="宋体" w:eastAsia="宋体" w:cs="宋体"/>
                <w:color w:val="auto"/>
                <w:kern w:val="2"/>
                <w:sz w:val="22"/>
                <w:szCs w:val="22"/>
                <w:highlight w:val="none"/>
                <w:lang w:val="en-US" w:eastAsia="zh-CN" w:bidi="ar-SA"/>
              </w:rPr>
              <w:t>SC</w:t>
            </w:r>
            <w:r>
              <w:rPr>
                <w:rFonts w:hint="eastAsia" w:ascii="宋体" w:hAnsi="宋体" w:eastAsia="宋体" w:cs="宋体"/>
                <w:color w:val="auto"/>
                <w:kern w:val="2"/>
                <w:sz w:val="22"/>
                <w:szCs w:val="22"/>
                <w:highlight w:val="none"/>
                <w:lang w:val="zh-CN" w:eastAsia="zh-CN" w:bidi="ar-SA"/>
              </w:rPr>
              <w:t>”食品质量安全认证；</w:t>
            </w:r>
          </w:p>
          <w:p>
            <w:pPr>
              <w:widowControl w:val="0"/>
              <w:numPr>
                <w:ilvl w:val="0"/>
                <w:numId w:val="32"/>
              </w:numPr>
              <w:adjustRightInd w:val="0"/>
              <w:snapToGrid w:val="0"/>
              <w:spacing w:line="400" w:lineRule="exact"/>
              <w:ind w:left="230" w:leftChars="0" w:firstLine="400" w:firstLineChars="0"/>
              <w:jc w:val="both"/>
              <w:outlineLvl w:val="0"/>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蔬菜必须保证新鲜，按供货批次提供农贸市场蔬菜农药检测结果，且符合食品卫生安全法要求；</w:t>
            </w:r>
          </w:p>
          <w:p>
            <w:pPr>
              <w:widowControl w:val="0"/>
              <w:numPr>
                <w:ilvl w:val="0"/>
                <w:numId w:val="32"/>
              </w:numPr>
              <w:adjustRightInd w:val="0"/>
              <w:snapToGrid w:val="0"/>
              <w:spacing w:line="400" w:lineRule="exact"/>
              <w:ind w:left="230" w:leftChars="0" w:firstLine="400" w:firstLineChars="0"/>
              <w:jc w:val="both"/>
              <w:outlineLvl w:val="0"/>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采购货源必须持有与销售内容相对应的有效营业执照，食品生产许可证或食品销售许可证；</w:t>
            </w:r>
          </w:p>
          <w:p>
            <w:pPr>
              <w:widowControl w:val="0"/>
              <w:numPr>
                <w:ilvl w:val="0"/>
                <w:numId w:val="32"/>
              </w:numPr>
              <w:adjustRightInd w:val="0"/>
              <w:snapToGrid w:val="0"/>
              <w:spacing w:line="400" w:lineRule="exact"/>
              <w:ind w:left="230" w:leftChars="0" w:firstLine="400" w:firstLineChars="0"/>
              <w:jc w:val="both"/>
              <w:outlineLvl w:val="0"/>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供应商负责供货产品的食品安全，须做到来源可溯，食材必需留存24小时及以上，以备安全核查；</w:t>
            </w:r>
          </w:p>
          <w:p>
            <w:pPr>
              <w:widowControl w:val="0"/>
              <w:numPr>
                <w:ilvl w:val="0"/>
                <w:numId w:val="32"/>
              </w:numPr>
              <w:adjustRightInd w:val="0"/>
              <w:snapToGrid w:val="0"/>
              <w:spacing w:line="400" w:lineRule="exact"/>
              <w:ind w:left="230" w:leftChars="0" w:firstLine="400" w:firstLineChars="0"/>
              <w:jc w:val="both"/>
              <w:outlineLvl w:val="0"/>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具体配送产品品质要求详见“</w:t>
            </w:r>
            <w:r>
              <w:rPr>
                <w:rFonts w:hint="eastAsia" w:ascii="宋体" w:hAnsi="宋体" w:eastAsia="宋体" w:cs="宋体"/>
                <w:b/>
                <w:bCs/>
                <w:color w:val="auto"/>
                <w:kern w:val="2"/>
                <w:sz w:val="22"/>
                <w:szCs w:val="22"/>
                <w:highlight w:val="none"/>
                <w:lang w:val="en-US" w:eastAsia="zh-CN" w:bidi="ar-SA"/>
              </w:rPr>
              <w:t>（二）</w:t>
            </w:r>
            <w:r>
              <w:rPr>
                <w:rFonts w:hint="eastAsia" w:ascii="宋体" w:hAnsi="宋体" w:eastAsia="宋体" w:cs="宋体"/>
                <w:b/>
                <w:bCs/>
                <w:color w:val="auto"/>
                <w:kern w:val="2"/>
                <w:sz w:val="22"/>
                <w:szCs w:val="22"/>
                <w:highlight w:val="none"/>
                <w:lang w:val="zh-CN" w:eastAsia="zh-CN" w:bidi="ar-SA"/>
              </w:rPr>
              <w:t>对配送产品品质的基本要求</w:t>
            </w:r>
            <w:r>
              <w:rPr>
                <w:rFonts w:hint="eastAsia" w:ascii="宋体" w:hAnsi="宋体" w:eastAsia="宋体" w:cs="宋体"/>
                <w:color w:val="auto"/>
                <w:kern w:val="2"/>
                <w:sz w:val="22"/>
                <w:szCs w:val="22"/>
                <w:highlight w:val="none"/>
                <w:lang w:val="zh-CN" w:eastAsia="zh-CN" w:bidi="ar-SA"/>
              </w:rPr>
              <w:t>”。</w:t>
            </w:r>
          </w:p>
          <w:p>
            <w:pPr>
              <w:widowControl w:val="0"/>
              <w:numPr>
                <w:ilvl w:val="0"/>
                <w:numId w:val="32"/>
              </w:numPr>
              <w:adjustRightInd w:val="0"/>
              <w:snapToGrid w:val="0"/>
              <w:spacing w:line="400" w:lineRule="exact"/>
              <w:ind w:left="230" w:leftChars="0" w:firstLine="400" w:firstLineChars="0"/>
              <w:jc w:val="both"/>
              <w:outlineLvl w:val="0"/>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供应商需对所有配送品类进行提前分拣，保证食材的新鲜、大小均匀。</w:t>
            </w:r>
          </w:p>
          <w:p>
            <w:pPr>
              <w:widowControl w:val="0"/>
              <w:numPr>
                <w:ilvl w:val="0"/>
                <w:numId w:val="32"/>
              </w:numPr>
              <w:adjustRightInd w:val="0"/>
              <w:snapToGrid w:val="0"/>
              <w:spacing w:line="400" w:lineRule="exact"/>
              <w:ind w:left="230" w:leftChars="0" w:firstLine="400" w:firstLineChars="0"/>
              <w:jc w:val="both"/>
              <w:outlineLvl w:val="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国家法定禁渔期间可适当提供冰冻海鲜食材，其余时间需按照采购方采购要求供应新鲜海鲜原材料。（冰冻海鲜产品提供必须符合国家食品安全法对于冰冻海鲜类产品相应条例）。</w:t>
            </w:r>
          </w:p>
          <w:p>
            <w:pPr>
              <w:rPr>
                <w:rFonts w:hint="default"/>
                <w:color w:val="auto"/>
                <w:highlight w:val="none"/>
                <w:lang w:val="en-US" w:eastAsia="zh-CN"/>
              </w:rPr>
            </w:pPr>
          </w:p>
          <w:p>
            <w:pPr>
              <w:numPr>
                <w:ilvl w:val="0"/>
                <w:numId w:val="0"/>
              </w:numPr>
              <w:adjustRightInd w:val="0"/>
              <w:snapToGrid w:val="0"/>
              <w:spacing w:line="400" w:lineRule="exact"/>
              <w:ind w:left="420" w:leftChars="0"/>
              <w:outlineLvl w:val="0"/>
              <w:rPr>
                <w:rFonts w:hint="eastAsia" w:ascii="宋体" w:hAnsi="宋体" w:eastAsia="宋体" w:cs="宋体"/>
                <w:b/>
                <w:bCs/>
                <w:color w:val="auto"/>
                <w:sz w:val="22"/>
                <w:szCs w:val="22"/>
                <w:highlight w:val="none"/>
                <w:lang w:val="zh-CN" w:eastAsia="zh-CN"/>
              </w:rPr>
            </w:pPr>
            <w:r>
              <w:rPr>
                <w:rFonts w:hint="eastAsia" w:ascii="宋体" w:hAnsi="宋体" w:eastAsia="宋体" w:cs="宋体"/>
                <w:b/>
                <w:bCs/>
                <w:color w:val="auto"/>
                <w:kern w:val="2"/>
                <w:sz w:val="22"/>
                <w:szCs w:val="22"/>
                <w:highlight w:val="none"/>
                <w:lang w:val="en-US" w:eastAsia="zh-CN" w:bidi="ar-SA"/>
              </w:rPr>
              <w:t>（二）</w:t>
            </w:r>
            <w:r>
              <w:rPr>
                <w:rFonts w:hint="eastAsia" w:ascii="宋体" w:hAnsi="宋体" w:eastAsia="宋体" w:cs="宋体"/>
                <w:b/>
                <w:bCs/>
                <w:color w:val="auto"/>
                <w:sz w:val="22"/>
                <w:szCs w:val="22"/>
                <w:highlight w:val="none"/>
                <w:lang w:val="zh-CN" w:eastAsia="zh-CN"/>
              </w:rPr>
              <w:t>对配送产品品质的基本要求</w:t>
            </w:r>
          </w:p>
          <w:p>
            <w:pPr>
              <w:widowControl w:val="0"/>
              <w:numPr>
                <w:ilvl w:val="0"/>
                <w:numId w:val="33"/>
              </w:numPr>
              <w:adjustRightInd w:val="0"/>
              <w:snapToGrid w:val="0"/>
              <w:spacing w:line="400" w:lineRule="exact"/>
              <w:ind w:left="230" w:leftChars="0" w:firstLine="400" w:firstLineChars="0"/>
              <w:jc w:val="both"/>
              <w:outlineLvl w:val="0"/>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en-US" w:eastAsia="zh-CN" w:bidi="ar-SA"/>
              </w:rPr>
              <w:t>品质基本要求</w:t>
            </w:r>
          </w:p>
          <w:tbl>
            <w:tblPr>
              <w:tblStyle w:val="3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696"/>
              <w:gridCol w:w="3560"/>
              <w:gridCol w:w="4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070" w:type="pct"/>
                  <w:gridSpan w:val="2"/>
                  <w:noWrap w:val="0"/>
                  <w:vAlign w:val="center"/>
                </w:tcPr>
                <w:p>
                  <w:pPr>
                    <w:autoSpaceDE w:val="0"/>
                    <w:autoSpaceDN w:val="0"/>
                    <w:adjustRightInd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名称</w:t>
                  </w:r>
                </w:p>
              </w:tc>
              <w:tc>
                <w:tcPr>
                  <w:tcW w:w="1713" w:type="pct"/>
                  <w:noWrap w:val="0"/>
                  <w:vAlign w:val="center"/>
                </w:tcPr>
                <w:p>
                  <w:pPr>
                    <w:autoSpaceDE w:val="0"/>
                    <w:autoSpaceDN w:val="0"/>
                    <w:adjustRightInd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验收标准</w:t>
                  </w:r>
                </w:p>
              </w:tc>
              <w:tc>
                <w:tcPr>
                  <w:tcW w:w="2215" w:type="pct"/>
                  <w:noWrap w:val="0"/>
                  <w:vAlign w:val="center"/>
                </w:tcPr>
                <w:p>
                  <w:pPr>
                    <w:autoSpaceDE w:val="0"/>
                    <w:autoSpaceDN w:val="0"/>
                    <w:adjustRightInd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退货依据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070" w:type="pct"/>
                  <w:gridSpan w:val="2"/>
                  <w:noWrap w:val="0"/>
                  <w:vAlign w:val="center"/>
                </w:tcPr>
                <w:p>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大米</w:t>
                  </w:r>
                </w:p>
              </w:tc>
              <w:tc>
                <w:tcPr>
                  <w:tcW w:w="1713" w:type="pct"/>
                  <w:noWrap w:val="0"/>
                  <w:vAlign w:val="center"/>
                </w:tcPr>
                <w:p>
                  <w:pPr>
                    <w:autoSpaceDE w:val="0"/>
                    <w:autoSpaceDN w:val="0"/>
                    <w:adjustRightInd w:val="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w:t>
                  </w:r>
                  <w:r>
                    <w:rPr>
                      <w:rFonts w:hint="eastAsia" w:ascii="宋体" w:hAnsi="宋体" w:eastAsia="宋体" w:cs="宋体"/>
                      <w:color w:val="auto"/>
                      <w:kern w:val="0"/>
                      <w:sz w:val="22"/>
                      <w:szCs w:val="22"/>
                      <w:highlight w:val="none"/>
                      <w:lang w:eastAsia="zh-CN"/>
                    </w:rPr>
                    <w:t>采购人</w:t>
                  </w:r>
                  <w:r>
                    <w:rPr>
                      <w:rFonts w:hint="eastAsia" w:ascii="宋体" w:hAnsi="宋体" w:eastAsia="宋体" w:cs="宋体"/>
                      <w:color w:val="auto"/>
                      <w:kern w:val="0"/>
                      <w:sz w:val="22"/>
                      <w:szCs w:val="22"/>
                      <w:highlight w:val="none"/>
                    </w:rPr>
                    <w:t>要求提供各类货品，保证新鲜度，注意保质期，外包装清洁卫生，完整坚固，且包装上的商品名称、厂址、规格等与内容物相符，标示清晰，批次清楚等</w:t>
                  </w:r>
                </w:p>
              </w:tc>
              <w:tc>
                <w:tcPr>
                  <w:tcW w:w="2215" w:type="pct"/>
                  <w:noWrap w:val="0"/>
                  <w:vAlign w:val="center"/>
                </w:tcPr>
                <w:p>
                  <w:pPr>
                    <w:autoSpaceDE w:val="0"/>
                    <w:autoSpaceDN w:val="0"/>
                    <w:adjustRightInd w:val="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(1)不符合验收标准的、无“</w:t>
                  </w:r>
                  <w:r>
                    <w:rPr>
                      <w:rFonts w:hint="eastAsia" w:ascii="宋体" w:hAnsi="宋体" w:eastAsia="宋体" w:cs="宋体"/>
                      <w:color w:val="auto"/>
                      <w:kern w:val="0"/>
                      <w:sz w:val="22"/>
                      <w:szCs w:val="22"/>
                      <w:highlight w:val="none"/>
                      <w:lang w:eastAsia="zh-CN"/>
                    </w:rPr>
                    <w:t>SC</w:t>
                  </w:r>
                  <w:r>
                    <w:rPr>
                      <w:rFonts w:hint="eastAsia" w:ascii="宋体" w:hAnsi="宋体" w:eastAsia="宋体" w:cs="宋体"/>
                      <w:color w:val="auto"/>
                      <w:kern w:val="0"/>
                      <w:sz w:val="22"/>
                      <w:szCs w:val="22"/>
                      <w:highlight w:val="none"/>
                    </w:rPr>
                    <w:t>”食品质量安全认证的产品。 (2)无品名、产地、厂名、生产日期、保质期及中文标识及原料说明的定型包装食品. (3)超过保质期限或不符合食品标签规定的定型包装食品. (4)腐败变质,油脂酸败,霉变,生虫,污秽不洁,混有异物或者其他感官性状异常,含有毒,有害物质污染,可能对人体健康有害的食品.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070" w:type="pct"/>
                  <w:gridSpan w:val="2"/>
                  <w:noWrap w:val="0"/>
                  <w:vAlign w:val="center"/>
                </w:tcPr>
                <w:p>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食用油、调味品</w:t>
                  </w:r>
                  <w:r>
                    <w:rPr>
                      <w:rFonts w:hint="eastAsia" w:ascii="宋体" w:hAnsi="宋体" w:eastAsia="宋体" w:cs="宋体"/>
                      <w:color w:val="auto"/>
                      <w:kern w:val="0"/>
                      <w:sz w:val="22"/>
                      <w:szCs w:val="22"/>
                      <w:highlight w:val="none"/>
                    </w:rPr>
                    <w:t>及</w:t>
                  </w:r>
                  <w:r>
                    <w:rPr>
                      <w:rFonts w:hint="eastAsia" w:ascii="宋体" w:hAnsi="宋体" w:eastAsia="宋体" w:cs="宋体"/>
                      <w:color w:val="auto"/>
                      <w:sz w:val="22"/>
                      <w:szCs w:val="22"/>
                      <w:highlight w:val="none"/>
                    </w:rPr>
                    <w:t xml:space="preserve">其他 </w:t>
                  </w:r>
                </w:p>
              </w:tc>
              <w:tc>
                <w:tcPr>
                  <w:tcW w:w="1713" w:type="pct"/>
                  <w:noWrap w:val="0"/>
                  <w:vAlign w:val="center"/>
                </w:tcPr>
                <w:p>
                  <w:pPr>
                    <w:autoSpaceDE w:val="0"/>
                    <w:autoSpaceDN w:val="0"/>
                    <w:adjustRightInd w:val="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w:t>
                  </w:r>
                  <w:r>
                    <w:rPr>
                      <w:rFonts w:hint="eastAsia" w:ascii="宋体" w:hAnsi="宋体" w:eastAsia="宋体" w:cs="宋体"/>
                      <w:color w:val="auto"/>
                      <w:kern w:val="0"/>
                      <w:sz w:val="22"/>
                      <w:szCs w:val="22"/>
                      <w:highlight w:val="none"/>
                      <w:lang w:eastAsia="zh-CN"/>
                    </w:rPr>
                    <w:t>采购人</w:t>
                  </w:r>
                  <w:r>
                    <w:rPr>
                      <w:rFonts w:hint="eastAsia" w:ascii="宋体" w:hAnsi="宋体" w:eastAsia="宋体" w:cs="宋体"/>
                      <w:color w:val="auto"/>
                      <w:kern w:val="0"/>
                      <w:sz w:val="22"/>
                      <w:szCs w:val="22"/>
                      <w:highlight w:val="none"/>
                    </w:rPr>
                    <w:t>要求提供各类货品，保证新鲜度，注意保质期，外包装清洁卫生，完整坚固，且包装上的商品名称、厂址、规格等与内容物相符，标示清晰，批次清楚等；</w:t>
                  </w:r>
                  <w:r>
                    <w:rPr>
                      <w:rFonts w:hint="eastAsia" w:ascii="宋体" w:hAnsi="宋体" w:eastAsia="宋体" w:cs="宋体"/>
                      <w:color w:val="auto"/>
                      <w:sz w:val="22"/>
                      <w:szCs w:val="22"/>
                      <w:highlight w:val="none"/>
                    </w:rPr>
                    <w:t>食用油要求非转基因食用油</w:t>
                  </w:r>
                </w:p>
              </w:tc>
              <w:tc>
                <w:tcPr>
                  <w:tcW w:w="2215" w:type="pct"/>
                  <w:noWrap w:val="0"/>
                  <w:vAlign w:val="center"/>
                </w:tcPr>
                <w:p>
                  <w:pPr>
                    <w:autoSpaceDE w:val="0"/>
                    <w:autoSpaceDN w:val="0"/>
                    <w:adjustRightInd w:val="0"/>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(1)不符合验收标准的、无“</w:t>
                  </w:r>
                  <w:r>
                    <w:rPr>
                      <w:rFonts w:hint="eastAsia" w:ascii="宋体" w:hAnsi="宋体" w:eastAsia="宋体" w:cs="宋体"/>
                      <w:color w:val="auto"/>
                      <w:sz w:val="22"/>
                      <w:szCs w:val="22"/>
                      <w:highlight w:val="none"/>
                      <w:lang w:eastAsia="zh-CN"/>
                    </w:rPr>
                    <w:t>SC</w:t>
                  </w:r>
                  <w:r>
                    <w:rPr>
                      <w:rFonts w:hint="eastAsia" w:ascii="宋体" w:hAnsi="宋体" w:eastAsia="宋体" w:cs="宋体"/>
                      <w:color w:val="auto"/>
                      <w:sz w:val="22"/>
                      <w:szCs w:val="22"/>
                      <w:highlight w:val="none"/>
                    </w:rPr>
                    <w:t>”食品质量安全认证的产品。 (2)无品名、产地、厂名、生产日期、保质期及中文标识及原料说明的定型包装食品. (3)超过保质期限或不符合食品标签规定的定型包装食品. (4)腐败变质,油脂酸败,霉变,生虫,污秽不洁,混有异物或者其他感官性状异常,含有毒,有害物质污染,可能对人体健康有害的食品。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070" w:type="pct"/>
                  <w:gridSpan w:val="2"/>
                  <w:noWrap w:val="0"/>
                  <w:vAlign w:val="center"/>
                </w:tcPr>
                <w:p>
                  <w:pPr>
                    <w:autoSpaceDE w:val="0"/>
                    <w:autoSpaceDN w:val="0"/>
                    <w:adjustRightIn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面粉</w:t>
                  </w:r>
                </w:p>
              </w:tc>
              <w:tc>
                <w:tcPr>
                  <w:tcW w:w="1713" w:type="pct"/>
                  <w:noWrap w:val="0"/>
                  <w:vAlign w:val="center"/>
                </w:tcPr>
                <w:p>
                  <w:pPr>
                    <w:autoSpaceDE w:val="0"/>
                    <w:autoSpaceDN w:val="0"/>
                    <w:adjustRightInd w:val="0"/>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 xml:space="preserve">要求提供各类货品，保证新鲜度，注意保质期，外包装清洁卫生，完整坚固，且包装上的商品名称、厂址、规格等与内容物相符，标示清晰，批次清楚等 </w:t>
                  </w:r>
                </w:p>
              </w:tc>
              <w:tc>
                <w:tcPr>
                  <w:tcW w:w="2215" w:type="pct"/>
                  <w:noWrap w:val="0"/>
                  <w:vAlign w:val="center"/>
                </w:tcPr>
                <w:p>
                  <w:pPr>
                    <w:autoSpaceDE w:val="0"/>
                    <w:autoSpaceDN w:val="0"/>
                    <w:adjustRightIn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(1)不符合验收标准的、无“</w:t>
                  </w:r>
                  <w:r>
                    <w:rPr>
                      <w:rFonts w:hint="eastAsia" w:ascii="宋体" w:hAnsi="宋体" w:eastAsia="宋体" w:cs="宋体"/>
                      <w:color w:val="auto"/>
                      <w:sz w:val="22"/>
                      <w:szCs w:val="22"/>
                      <w:highlight w:val="none"/>
                      <w:lang w:eastAsia="zh-CN"/>
                    </w:rPr>
                    <w:t>SC</w:t>
                  </w:r>
                  <w:r>
                    <w:rPr>
                      <w:rFonts w:hint="eastAsia" w:ascii="宋体" w:hAnsi="宋体" w:eastAsia="宋体" w:cs="宋体"/>
                      <w:color w:val="auto"/>
                      <w:sz w:val="22"/>
                      <w:szCs w:val="22"/>
                      <w:highlight w:val="none"/>
                    </w:rPr>
                    <w:t>”食品质量安全认证的产品。 (2)无品名、产地、厂名、生产日期、保质期及中文标识及原料说明的定型包装食品. (3)超过保质期限或不符合食品标签规定的定型包装食品. (4)腐败变质,油脂酸败,霉变,生虫,污秽不洁,混有异物或者其他感官性状异常,含有毒,有害物质污染,可能对人体健康有害的食品。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070" w:type="pct"/>
                  <w:gridSpan w:val="2"/>
                  <w:noWrap w:val="0"/>
                  <w:vAlign w:val="center"/>
                </w:tcPr>
                <w:p>
                  <w:pPr>
                    <w:autoSpaceDE w:val="0"/>
                    <w:autoSpaceDN w:val="0"/>
                    <w:adjustRightIn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冻禽类 </w:t>
                  </w:r>
                </w:p>
              </w:tc>
              <w:tc>
                <w:tcPr>
                  <w:tcW w:w="1713" w:type="pct"/>
                  <w:noWrap w:val="0"/>
                  <w:vAlign w:val="center"/>
                </w:tcPr>
                <w:p>
                  <w:pPr>
                    <w:autoSpaceDE w:val="0"/>
                    <w:autoSpaceDN w:val="0"/>
                    <w:adjustRightInd w:val="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皮肤有光泽，呈淡黄、淡红、灰白色等，肌肉切面有光泽，指压后凹陷恢复得慢，且不能完全恢复。</w:t>
                  </w:r>
                </w:p>
              </w:tc>
              <w:tc>
                <w:tcPr>
                  <w:tcW w:w="2215" w:type="pct"/>
                  <w:noWrap w:val="0"/>
                  <w:vAlign w:val="center"/>
                </w:tcPr>
                <w:p>
                  <w:pPr>
                    <w:autoSpaceDE w:val="0"/>
                    <w:autoSpaceDN w:val="0"/>
                    <w:adjustRightInd w:val="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干缩凹陷、表面干燥粘手，新切面湿润粘手，肌肉松弛，指压后凹陷不能恢复，并由明显的痕迹；有腐败味或霉味。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0" w:type="pct"/>
                  <w:gridSpan w:val="2"/>
                  <w:noWrap w:val="0"/>
                  <w:vAlign w:val="center"/>
                </w:tcPr>
                <w:p>
                  <w:pPr>
                    <w:autoSpaceDE w:val="0"/>
                    <w:autoSpaceDN w:val="0"/>
                    <w:adjustRightIn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猪肉类 </w:t>
                  </w:r>
                </w:p>
              </w:tc>
              <w:tc>
                <w:tcPr>
                  <w:tcW w:w="1713" w:type="pct"/>
                  <w:noWrap w:val="0"/>
                  <w:vAlign w:val="center"/>
                </w:tcPr>
                <w:p>
                  <w:pPr>
                    <w:autoSpaceDE w:val="0"/>
                    <w:autoSpaceDN w:val="0"/>
                    <w:adjustRightInd w:val="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后腿净肉：不带碎骨、不带肥肉，肉色鲜艳，无病变、不打水；猪肉：不带碎骨（一斤猪肉，三两肥肉七两瘦肉），肉色鲜艳，不打水；五花肉：要求中肋部分整方形，不带腩肉，带少量排骨，肉色鲜艳，层次分明。</w:t>
                  </w:r>
                </w:p>
              </w:tc>
              <w:tc>
                <w:tcPr>
                  <w:tcW w:w="2215" w:type="pct"/>
                  <w:noWrap w:val="0"/>
                  <w:vAlign w:val="center"/>
                </w:tcPr>
                <w:p>
                  <w:pPr>
                    <w:autoSpaceDE w:val="0"/>
                    <w:autoSpaceDN w:val="0"/>
                    <w:adjustRightInd w:val="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与验收标准不符，病死或者死因不明的畜禽及其制品等。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1070" w:type="pct"/>
                  <w:gridSpan w:val="2"/>
                  <w:noWrap w:val="0"/>
                  <w:vAlign w:val="center"/>
                </w:tcPr>
                <w:p>
                  <w:pPr>
                    <w:autoSpaceDE w:val="0"/>
                    <w:autoSpaceDN w:val="0"/>
                    <w:adjustRightIn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鱼类 </w:t>
                  </w:r>
                </w:p>
              </w:tc>
              <w:tc>
                <w:tcPr>
                  <w:tcW w:w="1713" w:type="pct"/>
                  <w:noWrap w:val="0"/>
                  <w:vAlign w:val="center"/>
                </w:tcPr>
                <w:p>
                  <w:pPr>
                    <w:autoSpaceDE w:val="0"/>
                    <w:autoSpaceDN w:val="0"/>
                    <w:adjustRightInd w:val="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具有鲜鱼固有的鲜明体色余光泽，粘度透明；鳞完整或稍有花鳞，紧贴鱼体不易剥落，有透明黏液；鳃盖紧合，鳃丝鲜红或紫红，色清晰，黏液透明无异味；鱼眼饱满，角膜光亮透明；腹部呈白色或淡玫瑰红色，破肚率小于等于5%；肌肉结实或富有弹性，无风干、异味现象。</w:t>
                  </w:r>
                </w:p>
              </w:tc>
              <w:tc>
                <w:tcPr>
                  <w:tcW w:w="2215" w:type="pct"/>
                  <w:noWrap w:val="0"/>
                  <w:vAlign w:val="center"/>
                </w:tcPr>
                <w:p>
                  <w:pPr>
                    <w:autoSpaceDE w:val="0"/>
                    <w:autoSpaceDN w:val="0"/>
                    <w:adjustRightInd w:val="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体表色暗淡无关黏液透明度较差、浑浊且有腐败味；鳞不完整松弛、易剥落；鳃盖松弛，鳃丝粘连，呈淡红暗红或灰红褐色，有显著腥味；眼球凹陷，角膜混沌或发糊；腹部膨胀或变软，表面发暗色或淡绿色斑点；肌肉松弛，弹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54" w:type="pct"/>
                  <w:vMerge w:val="restart"/>
                  <w:noWrap w:val="0"/>
                  <w:vAlign w:val="center"/>
                </w:tcPr>
                <w:p>
                  <w:pPr>
                    <w:pStyle w:val="149"/>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蔬</w:t>
                  </w:r>
                </w:p>
                <w:p>
                  <w:pPr>
                    <w:pStyle w:val="149"/>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菜</w:t>
                  </w:r>
                </w:p>
                <w:p>
                  <w:pPr>
                    <w:pStyle w:val="149"/>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类</w:t>
                  </w:r>
                </w:p>
              </w:tc>
              <w:tc>
                <w:tcPr>
                  <w:tcW w:w="815" w:type="pct"/>
                  <w:noWrap w:val="0"/>
                  <w:vAlign w:val="center"/>
                </w:tcPr>
                <w:p>
                  <w:pPr>
                    <w:pStyle w:val="149"/>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叶菜</w:t>
                  </w:r>
                </w:p>
              </w:tc>
              <w:tc>
                <w:tcPr>
                  <w:tcW w:w="1713" w:type="pct"/>
                  <w:noWrap w:val="0"/>
                  <w:vAlign w:val="center"/>
                </w:tcPr>
                <w:p>
                  <w:pPr>
                    <w:autoSpaceDE w:val="0"/>
                    <w:autoSpaceDN w:val="0"/>
                    <w:adjustRightInd w:val="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外形正常，叶梗光滑幼嫩，不干瘪凋萎，无过多黄叶，色泽正常。去除根须，不含土，无虫害，大白菜、卷心菜切开心不变黑，无腐烂情形，无明显浸水现象；农药残留不超标。</w:t>
                  </w:r>
                </w:p>
              </w:tc>
              <w:tc>
                <w:tcPr>
                  <w:tcW w:w="2215" w:type="pct"/>
                  <w:noWrap w:val="0"/>
                  <w:vAlign w:val="center"/>
                </w:tcPr>
                <w:p>
                  <w:pPr>
                    <w:autoSpaceDE w:val="0"/>
                    <w:autoSpaceDN w:val="0"/>
                    <w:adjustRightInd w:val="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味苦，鲜度嫩度明显不佳，含黄叶须根，泥土、虫害严重，萎捏严重，浸水后仍不可恢复；农药残留超标。 </w:t>
                  </w:r>
                </w:p>
                <w:p>
                  <w:pPr>
                    <w:autoSpaceDE w:val="0"/>
                    <w:autoSpaceDN w:val="0"/>
                    <w:adjustRightInd w:val="0"/>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254" w:type="pct"/>
                  <w:vMerge w:val="continue"/>
                  <w:noWrap w:val="0"/>
                  <w:vAlign w:val="center"/>
                </w:tcPr>
                <w:p>
                  <w:pPr>
                    <w:pStyle w:val="149"/>
                    <w:jc w:val="center"/>
                    <w:rPr>
                      <w:rFonts w:hint="eastAsia" w:ascii="宋体" w:hAnsi="宋体" w:eastAsia="宋体" w:cs="宋体"/>
                      <w:color w:val="auto"/>
                      <w:sz w:val="22"/>
                      <w:szCs w:val="22"/>
                      <w:highlight w:val="none"/>
                    </w:rPr>
                  </w:pPr>
                </w:p>
              </w:tc>
              <w:tc>
                <w:tcPr>
                  <w:tcW w:w="815" w:type="pct"/>
                  <w:noWrap w:val="0"/>
                  <w:vAlign w:val="center"/>
                </w:tcPr>
                <w:p>
                  <w:pPr>
                    <w:pStyle w:val="149"/>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根茎类（如香芋、土豆、莴笋等）</w:t>
                  </w:r>
                </w:p>
              </w:tc>
              <w:tc>
                <w:tcPr>
                  <w:tcW w:w="1713" w:type="pct"/>
                  <w:noWrap w:val="0"/>
                  <w:vAlign w:val="center"/>
                </w:tcPr>
                <w:p>
                  <w:pPr>
                    <w:autoSpaceDE w:val="0"/>
                    <w:autoSpaceDN w:val="0"/>
                    <w:adjustRightInd w:val="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无虫咬、发芽、发霉现象，新鲜，形态大小与</w:t>
                  </w:r>
                  <w:r>
                    <w:rPr>
                      <w:rFonts w:hint="eastAsia" w:ascii="宋体" w:hAnsi="宋体" w:eastAsia="宋体" w:cs="宋体"/>
                      <w:color w:val="auto"/>
                      <w:kern w:val="0"/>
                      <w:sz w:val="22"/>
                      <w:szCs w:val="22"/>
                      <w:highlight w:val="none"/>
                      <w:lang w:eastAsia="zh-CN"/>
                    </w:rPr>
                    <w:t>采购人</w:t>
                  </w:r>
                  <w:r>
                    <w:rPr>
                      <w:rFonts w:hint="eastAsia" w:ascii="宋体" w:hAnsi="宋体" w:eastAsia="宋体" w:cs="宋体"/>
                      <w:color w:val="auto"/>
                      <w:kern w:val="0"/>
                      <w:sz w:val="22"/>
                      <w:szCs w:val="22"/>
                      <w:highlight w:val="none"/>
                    </w:rPr>
                    <w:t xml:space="preserve">自购标准相当。农药残留不超标。 </w:t>
                  </w:r>
                </w:p>
              </w:tc>
              <w:tc>
                <w:tcPr>
                  <w:tcW w:w="2215" w:type="pct"/>
                  <w:noWrap w:val="0"/>
                  <w:vAlign w:val="center"/>
                </w:tcPr>
                <w:p>
                  <w:pPr>
                    <w:autoSpaceDE w:val="0"/>
                    <w:autoSpaceDN w:val="0"/>
                    <w:adjustRightInd w:val="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发芽严重、发霉，新鲜度不佳，形态大小与</w:t>
                  </w:r>
                  <w:r>
                    <w:rPr>
                      <w:rFonts w:hint="eastAsia" w:ascii="宋体" w:hAnsi="宋体" w:eastAsia="宋体" w:cs="宋体"/>
                      <w:color w:val="auto"/>
                      <w:kern w:val="0"/>
                      <w:sz w:val="22"/>
                      <w:szCs w:val="22"/>
                      <w:highlight w:val="none"/>
                      <w:lang w:eastAsia="zh-CN"/>
                    </w:rPr>
                    <w:t>采购人</w:t>
                  </w:r>
                  <w:r>
                    <w:rPr>
                      <w:rFonts w:hint="eastAsia" w:ascii="宋体" w:hAnsi="宋体" w:eastAsia="宋体" w:cs="宋体"/>
                      <w:color w:val="auto"/>
                      <w:kern w:val="0"/>
                      <w:sz w:val="22"/>
                      <w:szCs w:val="22"/>
                      <w:highlight w:val="none"/>
                    </w:rPr>
                    <w:t xml:space="preserve">自购标准存在较大负偏差。农药残留超标。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254" w:type="pct"/>
                  <w:vMerge w:val="continue"/>
                  <w:noWrap w:val="0"/>
                  <w:vAlign w:val="center"/>
                </w:tcPr>
                <w:p>
                  <w:pPr>
                    <w:pStyle w:val="149"/>
                    <w:jc w:val="center"/>
                    <w:rPr>
                      <w:rFonts w:hint="eastAsia" w:ascii="宋体" w:hAnsi="宋体" w:eastAsia="宋体" w:cs="宋体"/>
                      <w:color w:val="auto"/>
                      <w:sz w:val="22"/>
                      <w:szCs w:val="22"/>
                      <w:highlight w:val="none"/>
                    </w:rPr>
                  </w:pPr>
                </w:p>
              </w:tc>
              <w:tc>
                <w:tcPr>
                  <w:tcW w:w="815" w:type="pct"/>
                  <w:noWrap w:val="0"/>
                  <w:vAlign w:val="center"/>
                </w:tcPr>
                <w:p>
                  <w:pPr>
                    <w:pStyle w:val="149"/>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花果类，如西兰花、白菜花 </w:t>
                  </w:r>
                </w:p>
              </w:tc>
              <w:tc>
                <w:tcPr>
                  <w:tcW w:w="1713" w:type="pct"/>
                  <w:noWrap w:val="0"/>
                  <w:vAlign w:val="center"/>
                </w:tcPr>
                <w:p>
                  <w:pPr>
                    <w:autoSpaceDE w:val="0"/>
                    <w:autoSpaceDN w:val="0"/>
                    <w:adjustRightInd w:val="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无虫害，成熟度良好，新鲜固有的色泽鲜明，无发霉发黄。农药残留不超标。</w:t>
                  </w:r>
                </w:p>
              </w:tc>
              <w:tc>
                <w:tcPr>
                  <w:tcW w:w="2215" w:type="pct"/>
                  <w:noWrap w:val="0"/>
                  <w:vAlign w:val="center"/>
                </w:tcPr>
                <w:p>
                  <w:pPr>
                    <w:autoSpaceDE w:val="0"/>
                    <w:autoSpaceDN w:val="0"/>
                    <w:adjustRightInd w:val="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不新鲜，发霉，虫害过多。农药残留超标。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987" w:type="dxa"/>
                  <w:gridSpan w:val="2"/>
                  <w:noWrap w:val="0"/>
                  <w:vAlign w:val="center"/>
                </w:tcPr>
                <w:p>
                  <w:pPr>
                    <w:pStyle w:val="149"/>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SA"/>
                    </w:rPr>
                    <w:t>水果（餐后水果）</w:t>
                  </w:r>
                </w:p>
              </w:tc>
              <w:tc>
                <w:tcPr>
                  <w:tcW w:w="3181" w:type="dxa"/>
                  <w:noWrap w:val="0"/>
                  <w:vAlign w:val="center"/>
                </w:tcPr>
                <w:p>
                  <w:pPr>
                    <w:autoSpaceDE w:val="0"/>
                    <w:autoSpaceDN w:val="0"/>
                    <w:adjustRightInd w:val="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bidi="ar-SA"/>
                    </w:rPr>
                    <w:t xml:space="preserve">具有本品种应有的外形，大小均匀，无黑斑凹陷、无腐烂、无破损、农药残留不超标。 </w:t>
                  </w:r>
                </w:p>
              </w:tc>
              <w:tc>
                <w:tcPr>
                  <w:tcW w:w="4113" w:type="dxa"/>
                  <w:noWrap w:val="0"/>
                  <w:vAlign w:val="center"/>
                </w:tcPr>
                <w:p>
                  <w:pPr>
                    <w:autoSpaceDE w:val="0"/>
                    <w:autoSpaceDN w:val="0"/>
                    <w:adjustRightInd w:val="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bidi="ar-SA"/>
                    </w:rPr>
                    <w:t>腐烂、黑斑、凹陷、破损。农药残留超标。</w:t>
                  </w:r>
                </w:p>
              </w:tc>
            </w:tr>
          </w:tbl>
          <w:p>
            <w:pPr>
              <w:widowControl w:val="0"/>
              <w:numPr>
                <w:ilvl w:val="0"/>
                <w:numId w:val="33"/>
              </w:numPr>
              <w:adjustRightInd w:val="0"/>
              <w:snapToGrid w:val="0"/>
              <w:spacing w:line="400" w:lineRule="exact"/>
              <w:ind w:left="230" w:leftChars="0" w:firstLine="400" w:firstLineChars="0"/>
              <w:jc w:val="both"/>
              <w:outlineLvl w:val="0"/>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鲜蛋质量要求：鸡蛋等新鲜蛋类必须符合GB 2749-2015标准（如遇标准更新则按最新的标准执行，下同）。</w:t>
            </w:r>
          </w:p>
          <w:p>
            <w:pPr>
              <w:widowControl w:val="0"/>
              <w:numPr>
                <w:ilvl w:val="0"/>
                <w:numId w:val="33"/>
              </w:numPr>
              <w:adjustRightInd w:val="0"/>
              <w:snapToGrid w:val="0"/>
              <w:spacing w:line="400" w:lineRule="exact"/>
              <w:ind w:left="230" w:leftChars="0" w:firstLine="400" w:firstLineChars="0"/>
              <w:jc w:val="both"/>
              <w:outlineLvl w:val="0"/>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供应商提供的货品不得缺斤少两，提供诚信服务。质量、重量的规格等相关方面未达到要求的，应无条件退回，所产生的一切费用由供应商自理，并按采购方要求及时更换。</w:t>
            </w:r>
          </w:p>
          <w:p>
            <w:pPr>
              <w:widowControl w:val="0"/>
              <w:numPr>
                <w:ilvl w:val="0"/>
                <w:numId w:val="33"/>
              </w:numPr>
              <w:adjustRightInd w:val="0"/>
              <w:snapToGrid w:val="0"/>
              <w:spacing w:line="400" w:lineRule="exact"/>
              <w:ind w:left="230" w:leftChars="0" w:firstLine="400" w:firstLineChars="0"/>
              <w:jc w:val="both"/>
              <w:outlineLvl w:val="0"/>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供应商须根据市场情况向采购方提供换季原材料的品种及价格，供采购方参考。</w:t>
            </w:r>
          </w:p>
          <w:p>
            <w:pPr>
              <w:numPr>
                <w:ilvl w:val="0"/>
                <w:numId w:val="0"/>
              </w:numPr>
              <w:adjustRightInd w:val="0"/>
              <w:snapToGrid w:val="0"/>
              <w:spacing w:line="400" w:lineRule="exact"/>
              <w:ind w:left="420" w:leftChars="0"/>
              <w:outlineLvl w:val="0"/>
              <w:rPr>
                <w:rFonts w:hint="eastAsia" w:ascii="宋体" w:hAnsi="宋体" w:eastAsia="宋体" w:cs="宋体"/>
                <w:b/>
                <w:bCs/>
                <w:color w:val="auto"/>
                <w:sz w:val="22"/>
                <w:szCs w:val="22"/>
                <w:highlight w:val="none"/>
                <w:lang w:val="zh-CN" w:eastAsia="zh-CN"/>
              </w:rPr>
            </w:pPr>
            <w:r>
              <w:rPr>
                <w:rFonts w:hint="eastAsia" w:ascii="宋体" w:hAnsi="宋体" w:eastAsia="宋体" w:cs="宋体"/>
                <w:b/>
                <w:bCs/>
                <w:color w:val="auto"/>
                <w:kern w:val="2"/>
                <w:sz w:val="22"/>
                <w:szCs w:val="22"/>
                <w:highlight w:val="none"/>
                <w:lang w:val="en-US" w:eastAsia="zh-CN" w:bidi="ar-SA"/>
              </w:rPr>
              <w:t>（三）</w:t>
            </w:r>
            <w:r>
              <w:rPr>
                <w:rFonts w:hint="eastAsia" w:ascii="宋体" w:hAnsi="宋体" w:eastAsia="宋体" w:cs="宋体"/>
                <w:b/>
                <w:bCs/>
                <w:color w:val="auto"/>
                <w:sz w:val="22"/>
                <w:szCs w:val="22"/>
                <w:highlight w:val="none"/>
                <w:lang w:val="zh-CN" w:eastAsia="zh-CN"/>
              </w:rPr>
              <w:t>交货要求</w:t>
            </w:r>
          </w:p>
          <w:p>
            <w:pPr>
              <w:widowControl w:val="0"/>
              <w:numPr>
                <w:ilvl w:val="0"/>
                <w:numId w:val="34"/>
              </w:numPr>
              <w:adjustRightInd w:val="0"/>
              <w:snapToGrid w:val="0"/>
              <w:spacing w:line="400" w:lineRule="exact"/>
              <w:ind w:left="230" w:leftChars="0" w:firstLine="400" w:firstLineChars="0"/>
              <w:jc w:val="both"/>
              <w:outlineLvl w:val="0"/>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供应商每天（包括法定节假日）早上6：00-7：30订单内所有货品送到采购方指定的地点并配送完毕，根据实际情况，如需一天配送多次，供应商必须无条件响应。供应商提供《送货清单》一式</w:t>
            </w:r>
            <w:r>
              <w:rPr>
                <w:rFonts w:hint="eastAsia" w:ascii="宋体" w:hAnsi="宋体" w:eastAsia="宋体" w:cs="宋体"/>
                <w:color w:val="auto"/>
                <w:kern w:val="2"/>
                <w:sz w:val="22"/>
                <w:szCs w:val="22"/>
                <w:highlight w:val="none"/>
                <w:lang w:val="en-US" w:eastAsia="zh-CN" w:bidi="ar-SA"/>
              </w:rPr>
              <w:t>二</w:t>
            </w:r>
            <w:r>
              <w:rPr>
                <w:rFonts w:hint="eastAsia" w:ascii="宋体" w:hAnsi="宋体" w:eastAsia="宋体" w:cs="宋体"/>
                <w:color w:val="auto"/>
                <w:kern w:val="2"/>
                <w:sz w:val="22"/>
                <w:szCs w:val="22"/>
                <w:highlight w:val="none"/>
                <w:lang w:val="zh-CN" w:eastAsia="zh-CN" w:bidi="ar-SA"/>
              </w:rPr>
              <w:t>份。</w:t>
            </w:r>
          </w:p>
          <w:p>
            <w:pPr>
              <w:widowControl w:val="0"/>
              <w:numPr>
                <w:ilvl w:val="0"/>
                <w:numId w:val="34"/>
              </w:numPr>
              <w:adjustRightInd w:val="0"/>
              <w:snapToGrid w:val="0"/>
              <w:spacing w:line="400" w:lineRule="exact"/>
              <w:ind w:left="230" w:leftChars="0" w:firstLine="400" w:firstLineChars="0"/>
              <w:jc w:val="both"/>
              <w:outlineLvl w:val="0"/>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配送地址：按甲方指定时间及地点进行配送。</w:t>
            </w:r>
          </w:p>
          <w:p>
            <w:pPr>
              <w:widowControl w:val="0"/>
              <w:numPr>
                <w:ilvl w:val="0"/>
                <w:numId w:val="34"/>
              </w:numPr>
              <w:adjustRightInd w:val="0"/>
              <w:snapToGrid w:val="0"/>
              <w:spacing w:line="400" w:lineRule="exact"/>
              <w:ind w:left="230" w:leftChars="0" w:firstLine="400" w:firstLineChars="0"/>
              <w:jc w:val="both"/>
              <w:outlineLvl w:val="0"/>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供应商送货人员负责将货物从车上搬到称上过磅，按除箱净重过磅，最终交易重量以双方确认的过磅数为准，然后放到指定地点，由食堂人员负责验收并签字确认。</w:t>
            </w:r>
          </w:p>
          <w:p>
            <w:pPr>
              <w:widowControl w:val="0"/>
              <w:numPr>
                <w:ilvl w:val="0"/>
                <w:numId w:val="34"/>
              </w:numPr>
              <w:adjustRightInd w:val="0"/>
              <w:snapToGrid w:val="0"/>
              <w:spacing w:line="400" w:lineRule="exact"/>
              <w:ind w:left="230" w:leftChars="0" w:firstLine="400" w:firstLineChars="0"/>
              <w:jc w:val="both"/>
              <w:outlineLvl w:val="0"/>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考虑到叶菜类品种的特殊性，要求供应商实际供应的叶菜类品种及数量与采购方订单要求相差不能超过20％，其他品种及数量与采购方订单要求相差不能超过10％。各品种数量超出规定的部分由供应商带回，不纳入结算，短缺的部份由供应商补足。</w:t>
            </w:r>
          </w:p>
          <w:p>
            <w:pPr>
              <w:widowControl w:val="0"/>
              <w:numPr>
                <w:ilvl w:val="0"/>
                <w:numId w:val="34"/>
              </w:numPr>
              <w:adjustRightInd w:val="0"/>
              <w:snapToGrid w:val="0"/>
              <w:spacing w:line="400" w:lineRule="exact"/>
              <w:ind w:left="230" w:leftChars="0" w:firstLine="400" w:firstLineChars="0"/>
              <w:jc w:val="both"/>
              <w:outlineLvl w:val="0"/>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 xml:space="preserve">肉类货品根据采购人要求加工，肉末、肉丝等原则上由采购人食堂自行加工，在发生急需加工的情况时，可由供应商代为加工，但必须是采购单位的相关人员确定原材料量和价格后，在采购单位的相关人员在场的情况下完成加工。                                                     </w:t>
            </w:r>
          </w:p>
          <w:p>
            <w:pPr>
              <w:widowControl w:val="0"/>
              <w:numPr>
                <w:ilvl w:val="0"/>
                <w:numId w:val="34"/>
              </w:numPr>
              <w:adjustRightInd w:val="0"/>
              <w:snapToGrid w:val="0"/>
              <w:spacing w:line="400" w:lineRule="exact"/>
              <w:ind w:left="230" w:leftChars="0" w:firstLine="400" w:firstLineChars="0"/>
              <w:jc w:val="both"/>
              <w:outlineLvl w:val="0"/>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质量必须达到本标书配送所列的要求及验收标准，并且品质不低于采购方当天在各大蔬菜批发市场的自购标准。</w:t>
            </w:r>
          </w:p>
          <w:p>
            <w:pPr>
              <w:numPr>
                <w:ilvl w:val="0"/>
                <w:numId w:val="0"/>
              </w:numPr>
              <w:adjustRightInd w:val="0"/>
              <w:snapToGrid w:val="0"/>
              <w:spacing w:line="400" w:lineRule="exact"/>
              <w:ind w:left="420" w:leftChars="0"/>
              <w:outlineLvl w:val="0"/>
              <w:rPr>
                <w:rFonts w:hint="eastAsia" w:ascii="宋体" w:hAnsi="宋体" w:eastAsia="宋体" w:cs="宋体"/>
                <w:b/>
                <w:bCs/>
                <w:color w:val="auto"/>
                <w:sz w:val="22"/>
                <w:szCs w:val="22"/>
                <w:highlight w:val="none"/>
                <w:lang w:val="zh-CN" w:eastAsia="zh-CN"/>
              </w:rPr>
            </w:pPr>
            <w:r>
              <w:rPr>
                <w:rFonts w:hint="eastAsia" w:ascii="宋体" w:hAnsi="宋体" w:eastAsia="宋体" w:cs="宋体"/>
                <w:b/>
                <w:bCs/>
                <w:color w:val="auto"/>
                <w:kern w:val="2"/>
                <w:sz w:val="22"/>
                <w:szCs w:val="22"/>
                <w:highlight w:val="none"/>
                <w:lang w:val="en-US" w:eastAsia="zh-CN" w:bidi="ar-SA"/>
              </w:rPr>
              <w:t>（四）</w:t>
            </w:r>
            <w:r>
              <w:rPr>
                <w:rFonts w:hint="eastAsia" w:ascii="宋体" w:hAnsi="宋体" w:eastAsia="宋体" w:cs="宋体"/>
                <w:b/>
                <w:bCs/>
                <w:color w:val="auto"/>
                <w:sz w:val="22"/>
                <w:szCs w:val="22"/>
                <w:highlight w:val="none"/>
                <w:lang w:val="en-US" w:eastAsia="zh-CN"/>
              </w:rPr>
              <w:t>食品安全</w:t>
            </w:r>
            <w:r>
              <w:rPr>
                <w:rFonts w:hint="eastAsia" w:ascii="宋体" w:hAnsi="宋体" w:eastAsia="宋体" w:cs="宋体"/>
                <w:b/>
                <w:bCs/>
                <w:color w:val="auto"/>
                <w:sz w:val="22"/>
                <w:szCs w:val="22"/>
                <w:highlight w:val="none"/>
                <w:lang w:val="zh-CN" w:eastAsia="zh-CN"/>
              </w:rPr>
              <w:t>要求</w:t>
            </w:r>
          </w:p>
          <w:p>
            <w:pPr>
              <w:widowControl w:val="0"/>
              <w:numPr>
                <w:ilvl w:val="0"/>
                <w:numId w:val="35"/>
              </w:numPr>
              <w:adjustRightInd w:val="0"/>
              <w:snapToGrid w:val="0"/>
              <w:spacing w:line="400" w:lineRule="exact"/>
              <w:ind w:left="230" w:leftChars="0" w:firstLine="400" w:firstLineChars="0"/>
              <w:jc w:val="both"/>
              <w:outlineLvl w:val="0"/>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对食品质量</w:t>
            </w:r>
            <w:r>
              <w:rPr>
                <w:rFonts w:hint="eastAsia" w:ascii="宋体" w:hAnsi="宋体" w:eastAsia="宋体" w:cs="宋体"/>
                <w:color w:val="auto"/>
                <w:kern w:val="2"/>
                <w:sz w:val="22"/>
                <w:szCs w:val="22"/>
                <w:highlight w:val="none"/>
                <w:lang w:val="en-US" w:eastAsia="zh-CN" w:bidi="ar-SA"/>
              </w:rPr>
              <w:t>安全</w:t>
            </w:r>
            <w:r>
              <w:rPr>
                <w:rFonts w:hint="eastAsia" w:ascii="宋体" w:hAnsi="宋体" w:eastAsia="宋体" w:cs="宋体"/>
                <w:color w:val="auto"/>
                <w:kern w:val="2"/>
                <w:sz w:val="22"/>
                <w:szCs w:val="22"/>
                <w:highlight w:val="none"/>
                <w:lang w:val="zh-CN" w:eastAsia="zh-CN" w:bidi="ar-SA"/>
              </w:rPr>
              <w:t>问题在30分钟内响应，2小时以内到现场解决问题；不能当场解决的，必须采取更换等措施，以保证采购单位的正常使用，如因食品质量问题造成食用人的不良反应，供应商需负全部责任。</w:t>
            </w:r>
          </w:p>
          <w:p>
            <w:pPr>
              <w:pStyle w:val="30"/>
              <w:rPr>
                <w:rFonts w:hint="default"/>
                <w:color w:val="auto"/>
                <w:highlight w:val="none"/>
                <w:lang w:val="en-US" w:eastAsia="zh-CN"/>
              </w:rPr>
            </w:pPr>
          </w:p>
          <w:p>
            <w:pPr>
              <w:rPr>
                <w:rFonts w:hint="default"/>
                <w:color w:val="auto"/>
                <w:highlight w:val="none"/>
                <w:lang w:val="en-US" w:eastAsia="zh-CN"/>
              </w:rPr>
            </w:pPr>
          </w:p>
          <w:p>
            <w:pPr>
              <w:spacing w:line="440" w:lineRule="exact"/>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二、食堂服务要求：</w:t>
            </w:r>
          </w:p>
          <w:p>
            <w:pPr>
              <w:numPr>
                <w:ilvl w:val="0"/>
                <w:numId w:val="36"/>
              </w:numPr>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食堂设备、工具等</w:t>
            </w:r>
          </w:p>
          <w:p>
            <w:pPr>
              <w:numPr>
                <w:ilvl w:val="0"/>
                <w:numId w:val="37"/>
              </w:numPr>
              <w:spacing w:line="44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  采购人食堂内外已装修，投标供应商不应改变。如确需改动的，必须经采购人同意，方可</w:t>
            </w:r>
          </w:p>
          <w:p>
            <w:pPr>
              <w:spacing w:line="440" w:lineRule="exact"/>
              <w:ind w:firstLine="550" w:firstLineChars="250"/>
              <w:rPr>
                <w:rFonts w:hint="eastAsia" w:ascii="宋体" w:hAnsi="宋体" w:cs="宋体"/>
                <w:bCs/>
                <w:color w:val="auto"/>
                <w:sz w:val="22"/>
                <w:szCs w:val="22"/>
                <w:highlight w:val="none"/>
              </w:rPr>
            </w:pPr>
            <w:r>
              <w:rPr>
                <w:rFonts w:hint="eastAsia" w:ascii="宋体" w:hAnsi="宋体" w:cs="宋体"/>
                <w:bCs/>
                <w:color w:val="auto"/>
                <w:sz w:val="22"/>
                <w:szCs w:val="22"/>
                <w:highlight w:val="none"/>
              </w:rPr>
              <w:t>动。</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bCs/>
                <w:color w:val="auto"/>
                <w:sz w:val="22"/>
                <w:szCs w:val="22"/>
                <w:highlight w:val="none"/>
              </w:rPr>
              <w:t>2．  采购人食堂的桌椅、厨房设备，提供给投标供应商免费使用，投标供应商应爱惜财物保持其完好性。</w:t>
            </w:r>
            <w:r>
              <w:rPr>
                <w:rFonts w:hint="eastAsia" w:ascii="宋体" w:hAnsi="宋体" w:cs="宋体"/>
                <w:color w:val="auto"/>
                <w:sz w:val="22"/>
                <w:szCs w:val="22"/>
                <w:highlight w:val="none"/>
              </w:rPr>
              <w:t>日常维修由采购人负责。如发现属人工操作不当或故意损坏由投标供应商负责维修和赔偿。</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  </w:t>
            </w:r>
            <w:r>
              <w:rPr>
                <w:rFonts w:hint="eastAsia" w:ascii="宋体" w:hAnsi="宋体" w:cs="宋体"/>
                <w:color w:val="auto"/>
                <w:sz w:val="22"/>
                <w:szCs w:val="22"/>
                <w:highlight w:val="none"/>
                <w:lang w:val="en-US" w:eastAsia="zh-CN"/>
              </w:rPr>
              <w:t>现有</w:t>
            </w:r>
            <w:r>
              <w:rPr>
                <w:rFonts w:hint="eastAsia" w:ascii="宋体" w:hAnsi="宋体" w:cs="宋体"/>
                <w:color w:val="auto"/>
                <w:sz w:val="22"/>
                <w:szCs w:val="22"/>
                <w:highlight w:val="none"/>
              </w:rPr>
              <w:t>碗、勺、筷、盘、酒杯等日常餐具由采购人统一调配，</w:t>
            </w:r>
            <w:r>
              <w:rPr>
                <w:rFonts w:hint="eastAsia" w:ascii="宋体" w:hAnsi="宋体" w:cs="宋体"/>
                <w:color w:val="auto"/>
                <w:sz w:val="22"/>
                <w:szCs w:val="22"/>
                <w:highlight w:val="none"/>
                <w:lang w:val="en-US" w:eastAsia="zh-CN"/>
              </w:rPr>
              <w:t>不足或者</w:t>
            </w:r>
            <w:r>
              <w:rPr>
                <w:rFonts w:hint="eastAsia" w:ascii="宋体" w:hAnsi="宋体" w:cs="宋体"/>
                <w:color w:val="auto"/>
                <w:sz w:val="22"/>
                <w:szCs w:val="22"/>
                <w:highlight w:val="none"/>
              </w:rPr>
              <w:t>损耗</w:t>
            </w:r>
            <w:r>
              <w:rPr>
                <w:rFonts w:hint="eastAsia" w:ascii="宋体" w:hAnsi="宋体" w:cs="宋体"/>
                <w:color w:val="auto"/>
                <w:sz w:val="22"/>
                <w:szCs w:val="22"/>
                <w:highlight w:val="none"/>
                <w:lang w:val="en-US" w:eastAsia="zh-CN"/>
              </w:rPr>
              <w:t>的由</w:t>
            </w:r>
            <w:r>
              <w:rPr>
                <w:rFonts w:hint="eastAsia" w:ascii="宋体" w:hAnsi="宋体" w:cs="宋体"/>
                <w:color w:val="auto"/>
                <w:sz w:val="22"/>
                <w:szCs w:val="22"/>
                <w:highlight w:val="none"/>
              </w:rPr>
              <w:t>投标供应商承担。</w:t>
            </w:r>
          </w:p>
          <w:p>
            <w:pPr>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（二）用餐时间及服务</w:t>
            </w:r>
          </w:p>
          <w:p>
            <w:pPr>
              <w:spacing w:line="440" w:lineRule="exact"/>
              <w:ind w:left="550" w:hanging="550" w:hangingChars="25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eastAsia="宋体" w:cs="宋体"/>
                <w:bCs/>
                <w:color w:val="auto"/>
                <w:sz w:val="22"/>
                <w:szCs w:val="22"/>
                <w:highlight w:val="none"/>
                <w:lang w:val="en-US" w:eastAsia="zh-CN"/>
              </w:rPr>
              <w:t xml:space="preserve">  </w:t>
            </w:r>
            <w:r>
              <w:rPr>
                <w:rFonts w:hint="eastAsia" w:ascii="宋体" w:hAnsi="宋体" w:eastAsia="宋体" w:cs="宋体"/>
                <w:bCs/>
                <w:color w:val="auto"/>
                <w:sz w:val="22"/>
                <w:szCs w:val="22"/>
                <w:highlight w:val="none"/>
              </w:rPr>
              <w:t>投标人提供早餐、中餐、晚餐、包厢</w:t>
            </w:r>
            <w:r>
              <w:rPr>
                <w:rFonts w:hint="eastAsia" w:ascii="宋体" w:hAnsi="宋体" w:eastAsia="宋体" w:cs="宋体"/>
                <w:bCs/>
                <w:color w:val="auto"/>
                <w:sz w:val="22"/>
                <w:szCs w:val="22"/>
                <w:highlight w:val="none"/>
                <w:lang w:val="en-US" w:eastAsia="zh-CN"/>
              </w:rPr>
              <w:t>用餐</w:t>
            </w:r>
            <w:r>
              <w:rPr>
                <w:rFonts w:hint="eastAsia" w:ascii="宋体" w:hAnsi="宋体" w:eastAsia="宋体" w:cs="宋体"/>
                <w:bCs/>
                <w:color w:val="auto"/>
                <w:sz w:val="22"/>
                <w:szCs w:val="22"/>
                <w:highlight w:val="none"/>
              </w:rPr>
              <w:t>服务。</w:t>
            </w:r>
            <w:r>
              <w:rPr>
                <w:rFonts w:hint="eastAsia" w:ascii="宋体" w:hAnsi="宋体" w:cs="宋体"/>
                <w:bCs/>
                <w:color w:val="auto"/>
                <w:sz w:val="22"/>
                <w:szCs w:val="22"/>
                <w:highlight w:val="none"/>
                <w:lang w:val="en-US" w:eastAsia="zh-CN"/>
              </w:rPr>
              <w:t>全勤用餐人数约330人</w:t>
            </w:r>
            <w:r>
              <w:rPr>
                <w:rFonts w:hint="eastAsia" w:ascii="宋体" w:hAnsi="宋体" w:eastAsia="宋体" w:cs="宋体"/>
                <w:bCs/>
                <w:color w:val="auto"/>
                <w:sz w:val="22"/>
                <w:szCs w:val="22"/>
                <w:highlight w:val="none"/>
                <w:lang w:val="en-US" w:eastAsia="zh-CN"/>
              </w:rPr>
              <w:t>，</w:t>
            </w:r>
            <w:r>
              <w:rPr>
                <w:rFonts w:hint="eastAsia" w:ascii="宋体" w:hAnsi="宋体" w:cs="宋体"/>
                <w:bCs/>
                <w:color w:val="auto"/>
                <w:sz w:val="22"/>
                <w:szCs w:val="22"/>
                <w:highlight w:val="none"/>
                <w:lang w:val="en-US" w:eastAsia="zh-CN"/>
              </w:rPr>
              <w:t>晚上固定值班人员用餐约15人</w:t>
            </w:r>
            <w:r>
              <w:rPr>
                <w:rFonts w:hint="eastAsia" w:ascii="宋体" w:hAnsi="宋体" w:eastAsia="宋体" w:cs="宋体"/>
                <w:bCs/>
                <w:color w:val="auto"/>
                <w:sz w:val="22"/>
                <w:szCs w:val="22"/>
                <w:highlight w:val="none"/>
                <w:lang w:val="en-US" w:eastAsia="zh-CN"/>
              </w:rPr>
              <w:t>，</w:t>
            </w:r>
            <w:r>
              <w:rPr>
                <w:rFonts w:hint="eastAsia" w:ascii="宋体" w:hAnsi="宋体" w:cs="宋体"/>
                <w:bCs/>
                <w:color w:val="auto"/>
                <w:sz w:val="22"/>
                <w:szCs w:val="22"/>
                <w:highlight w:val="none"/>
                <w:lang w:val="en-US" w:eastAsia="zh-CN"/>
              </w:rPr>
              <w:t>每周定加班用餐人员约280人</w:t>
            </w:r>
            <w:r>
              <w:rPr>
                <w:rFonts w:hint="eastAsia" w:ascii="宋体" w:hAnsi="宋体" w:eastAsia="宋体" w:cs="宋体"/>
                <w:bCs/>
                <w:color w:val="auto"/>
                <w:sz w:val="22"/>
                <w:szCs w:val="22"/>
                <w:highlight w:val="none"/>
                <w:lang w:val="en-US" w:eastAsia="zh-CN"/>
              </w:rPr>
              <w:t>。早餐用餐</w:t>
            </w:r>
            <w:r>
              <w:rPr>
                <w:rFonts w:hint="eastAsia" w:ascii="宋体" w:hAnsi="宋体" w:eastAsia="宋体" w:cs="宋体"/>
                <w:bCs/>
                <w:color w:val="auto"/>
                <w:sz w:val="22"/>
                <w:szCs w:val="22"/>
                <w:highlight w:val="none"/>
              </w:rPr>
              <w:t>服务时间为</w:t>
            </w:r>
            <w:r>
              <w:rPr>
                <w:rFonts w:hint="eastAsia" w:ascii="宋体" w:hAnsi="宋体" w:eastAsia="宋体" w:cs="宋体"/>
                <w:bCs/>
                <w:color w:val="auto"/>
                <w:sz w:val="22"/>
                <w:szCs w:val="22"/>
                <w:highlight w:val="none"/>
                <w:lang w:val="en-US" w:eastAsia="zh-CN"/>
              </w:rPr>
              <w:t>6</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en-US" w:eastAsia="zh-CN"/>
              </w:rPr>
              <w:t>0</w:t>
            </w:r>
            <w:r>
              <w:rPr>
                <w:rFonts w:hint="eastAsia" w:ascii="宋体" w:hAnsi="宋体" w:eastAsia="宋体" w:cs="宋体"/>
                <w:bCs/>
                <w:color w:val="auto"/>
                <w:sz w:val="22"/>
                <w:szCs w:val="22"/>
                <w:highlight w:val="none"/>
              </w:rPr>
              <w:t>0-</w:t>
            </w:r>
            <w:r>
              <w:rPr>
                <w:rFonts w:hint="eastAsia" w:ascii="宋体" w:hAnsi="宋体" w:eastAsia="宋体" w:cs="宋体"/>
                <w:bCs/>
                <w:color w:val="auto"/>
                <w:sz w:val="22"/>
                <w:szCs w:val="22"/>
                <w:highlight w:val="none"/>
                <w:lang w:val="en-US" w:eastAsia="zh-CN"/>
              </w:rPr>
              <w:t>8</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en-US" w:eastAsia="zh-CN"/>
              </w:rPr>
              <w:t>3</w:t>
            </w:r>
            <w:r>
              <w:rPr>
                <w:rFonts w:hint="eastAsia" w:ascii="宋体" w:hAnsi="宋体" w:eastAsia="宋体" w:cs="宋体"/>
                <w:bCs/>
                <w:color w:val="auto"/>
                <w:sz w:val="22"/>
                <w:szCs w:val="22"/>
                <w:highlight w:val="none"/>
                <w:lang w:val="en-US"/>
              </w:rPr>
              <w:t>0</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en-US" w:eastAsia="zh-CN"/>
              </w:rPr>
              <w:t>中餐用餐</w:t>
            </w:r>
            <w:r>
              <w:rPr>
                <w:rFonts w:hint="eastAsia" w:ascii="宋体" w:hAnsi="宋体" w:eastAsia="宋体" w:cs="宋体"/>
                <w:bCs/>
                <w:color w:val="auto"/>
                <w:sz w:val="22"/>
                <w:szCs w:val="22"/>
                <w:highlight w:val="none"/>
              </w:rPr>
              <w:t>服务时间为</w:t>
            </w:r>
            <w:r>
              <w:rPr>
                <w:rFonts w:hint="eastAsia" w:ascii="宋体" w:hAnsi="宋体" w:eastAsia="宋体" w:cs="宋体"/>
                <w:bCs/>
                <w:color w:val="auto"/>
                <w:sz w:val="22"/>
                <w:szCs w:val="22"/>
                <w:highlight w:val="none"/>
                <w:lang w:val="en-US" w:eastAsia="zh-CN"/>
              </w:rPr>
              <w:t>11</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en-US" w:eastAsia="zh-CN"/>
              </w:rPr>
              <w:t>0</w:t>
            </w:r>
            <w:r>
              <w:rPr>
                <w:rFonts w:hint="eastAsia" w:ascii="宋体" w:hAnsi="宋体" w:eastAsia="宋体" w:cs="宋体"/>
                <w:bCs/>
                <w:color w:val="auto"/>
                <w:sz w:val="22"/>
                <w:szCs w:val="22"/>
                <w:highlight w:val="none"/>
              </w:rPr>
              <w:t>0-</w:t>
            </w:r>
            <w:r>
              <w:rPr>
                <w:rFonts w:hint="eastAsia" w:ascii="宋体" w:hAnsi="宋体" w:eastAsia="宋体" w:cs="宋体"/>
                <w:bCs/>
                <w:color w:val="auto"/>
                <w:sz w:val="22"/>
                <w:szCs w:val="22"/>
                <w:highlight w:val="none"/>
                <w:lang w:val="en-US" w:eastAsia="zh-CN"/>
              </w:rPr>
              <w:t>13</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en-US" w:eastAsia="zh-CN"/>
              </w:rPr>
              <w:t>3</w:t>
            </w:r>
            <w:r>
              <w:rPr>
                <w:rFonts w:hint="eastAsia" w:ascii="宋体" w:hAnsi="宋体" w:eastAsia="宋体" w:cs="宋体"/>
                <w:bCs/>
                <w:color w:val="auto"/>
                <w:sz w:val="22"/>
                <w:szCs w:val="22"/>
                <w:highlight w:val="none"/>
                <w:lang w:val="en-US"/>
              </w:rPr>
              <w:t>0</w:t>
            </w:r>
            <w:r>
              <w:rPr>
                <w:rFonts w:hint="eastAsia" w:ascii="宋体" w:hAnsi="宋体" w:eastAsia="宋体" w:cs="宋体"/>
                <w:bCs/>
                <w:color w:val="auto"/>
                <w:sz w:val="22"/>
                <w:szCs w:val="22"/>
                <w:highlight w:val="none"/>
              </w:rPr>
              <w:t>，晚上</w:t>
            </w:r>
            <w:r>
              <w:rPr>
                <w:rFonts w:hint="eastAsia" w:ascii="宋体" w:hAnsi="宋体" w:eastAsia="宋体" w:cs="宋体"/>
                <w:bCs/>
                <w:color w:val="auto"/>
                <w:sz w:val="22"/>
                <w:szCs w:val="22"/>
                <w:highlight w:val="none"/>
                <w:lang w:val="en-US" w:eastAsia="zh-CN"/>
              </w:rPr>
              <w:t>用餐</w:t>
            </w:r>
            <w:r>
              <w:rPr>
                <w:rFonts w:hint="eastAsia" w:ascii="宋体" w:hAnsi="宋体" w:eastAsia="宋体" w:cs="宋体"/>
                <w:bCs/>
                <w:color w:val="auto"/>
                <w:sz w:val="22"/>
                <w:szCs w:val="22"/>
                <w:highlight w:val="none"/>
              </w:rPr>
              <w:t>服务时间为17:</w:t>
            </w:r>
            <w:r>
              <w:rPr>
                <w:rFonts w:hint="eastAsia" w:ascii="宋体" w:hAnsi="宋体" w:eastAsia="宋体" w:cs="宋体"/>
                <w:bCs/>
                <w:color w:val="auto"/>
                <w:sz w:val="22"/>
                <w:szCs w:val="22"/>
                <w:highlight w:val="none"/>
                <w:lang w:val="en-US" w:eastAsia="zh-CN"/>
              </w:rPr>
              <w:t>0</w:t>
            </w:r>
            <w:r>
              <w:rPr>
                <w:rFonts w:hint="eastAsia" w:ascii="宋体" w:hAnsi="宋体" w:eastAsia="宋体" w:cs="宋体"/>
                <w:bCs/>
                <w:color w:val="auto"/>
                <w:sz w:val="22"/>
                <w:szCs w:val="22"/>
                <w:highlight w:val="none"/>
              </w:rPr>
              <w:t>0-</w:t>
            </w:r>
            <w:r>
              <w:rPr>
                <w:rFonts w:hint="eastAsia" w:ascii="宋体" w:hAnsi="宋体" w:eastAsia="宋体" w:cs="宋体"/>
                <w:bCs/>
                <w:color w:val="auto"/>
                <w:sz w:val="22"/>
                <w:szCs w:val="22"/>
                <w:highlight w:val="none"/>
                <w:lang w:val="en-US" w:eastAsia="zh-CN"/>
              </w:rPr>
              <w:t>20</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en-US" w:eastAsia="zh-CN"/>
              </w:rPr>
              <w:t>0</w:t>
            </w:r>
            <w:r>
              <w:rPr>
                <w:rFonts w:hint="eastAsia" w:ascii="宋体" w:hAnsi="宋体" w:eastAsia="宋体" w:cs="宋体"/>
                <w:bCs/>
                <w:color w:val="auto"/>
                <w:sz w:val="22"/>
                <w:szCs w:val="22"/>
                <w:highlight w:val="none"/>
              </w:rPr>
              <w:t>0。（具体就餐时间根据作息时间</w:t>
            </w:r>
            <w:r>
              <w:rPr>
                <w:rFonts w:hint="eastAsia" w:ascii="宋体" w:hAnsi="宋体" w:eastAsia="宋体" w:cs="宋体"/>
                <w:bCs/>
                <w:color w:val="auto"/>
                <w:sz w:val="22"/>
                <w:szCs w:val="22"/>
                <w:highlight w:val="none"/>
                <w:lang w:val="en-US"/>
              </w:rPr>
              <w:t>和</w:t>
            </w:r>
            <w:r>
              <w:rPr>
                <w:rFonts w:hint="eastAsia" w:ascii="宋体" w:hAnsi="宋体" w:eastAsia="宋体" w:cs="宋体"/>
                <w:bCs/>
                <w:color w:val="auto"/>
                <w:sz w:val="22"/>
                <w:szCs w:val="22"/>
                <w:highlight w:val="none"/>
              </w:rPr>
              <w:t>采购人</w:t>
            </w:r>
            <w:r>
              <w:rPr>
                <w:rFonts w:hint="eastAsia" w:ascii="宋体" w:hAnsi="宋体" w:eastAsia="宋体" w:cs="宋体"/>
                <w:bCs/>
                <w:color w:val="auto"/>
                <w:sz w:val="22"/>
                <w:szCs w:val="22"/>
                <w:highlight w:val="none"/>
                <w:lang w:val="en-US" w:eastAsia="zh-CN"/>
              </w:rPr>
              <w:t>要求</w:t>
            </w:r>
            <w:r>
              <w:rPr>
                <w:rFonts w:hint="eastAsia" w:ascii="宋体" w:hAnsi="宋体" w:eastAsia="宋体" w:cs="宋体"/>
                <w:bCs/>
                <w:color w:val="auto"/>
                <w:sz w:val="22"/>
                <w:szCs w:val="22"/>
                <w:highlight w:val="none"/>
              </w:rPr>
              <w:t>作相应调整）</w:t>
            </w:r>
          </w:p>
          <w:p>
            <w:pPr>
              <w:spacing w:line="440" w:lineRule="exact"/>
              <w:ind w:left="550" w:hanging="550" w:hangingChars="25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1.1</w:t>
            </w:r>
            <w:r>
              <w:rPr>
                <w:rFonts w:hint="eastAsia" w:ascii="宋体" w:hAnsi="宋体" w:eastAsia="宋体" w:cs="宋体"/>
                <w:bCs/>
                <w:color w:val="auto"/>
                <w:sz w:val="22"/>
                <w:szCs w:val="22"/>
                <w:highlight w:val="none"/>
              </w:rPr>
              <w:t>早餐设稀饭、豆浆、糯米饭、大饼、油条、煮粉干、面条</w:t>
            </w:r>
            <w:r>
              <w:rPr>
                <w:rFonts w:hint="eastAsia" w:ascii="宋体" w:hAnsi="宋体" w:eastAsia="宋体" w:cs="宋体"/>
                <w:bCs/>
                <w:color w:val="auto"/>
                <w:sz w:val="22"/>
                <w:szCs w:val="22"/>
                <w:highlight w:val="none"/>
                <w:lang w:val="en-US"/>
              </w:rPr>
              <w:t>、面包、</w:t>
            </w:r>
            <w:r>
              <w:rPr>
                <w:rFonts w:hint="eastAsia" w:ascii="宋体" w:hAnsi="宋体" w:eastAsia="宋体" w:cs="宋体"/>
                <w:bCs/>
                <w:color w:val="auto"/>
                <w:sz w:val="22"/>
                <w:szCs w:val="22"/>
                <w:highlight w:val="none"/>
              </w:rPr>
              <w:t>馒头、</w:t>
            </w:r>
            <w:r>
              <w:rPr>
                <w:rFonts w:hint="eastAsia" w:ascii="宋体" w:hAnsi="宋体" w:eastAsia="宋体" w:cs="宋体"/>
                <w:bCs/>
                <w:color w:val="auto"/>
                <w:sz w:val="22"/>
                <w:szCs w:val="22"/>
                <w:highlight w:val="none"/>
                <w:lang w:val="en-US"/>
              </w:rPr>
              <w:t>饺子</w:t>
            </w:r>
            <w:r>
              <w:rPr>
                <w:rFonts w:hint="eastAsia" w:ascii="宋体" w:hAnsi="宋体" w:eastAsia="宋体" w:cs="宋体"/>
                <w:bCs/>
                <w:color w:val="auto"/>
                <w:sz w:val="22"/>
                <w:szCs w:val="22"/>
                <w:highlight w:val="none"/>
              </w:rPr>
              <w:t>等各式早点</w:t>
            </w:r>
            <w:r>
              <w:rPr>
                <w:rFonts w:hint="eastAsia" w:ascii="宋体" w:hAnsi="宋体" w:eastAsia="宋体" w:cs="宋体"/>
                <w:bCs/>
                <w:color w:val="auto"/>
                <w:sz w:val="22"/>
                <w:szCs w:val="22"/>
                <w:highlight w:val="none"/>
                <w:lang w:val="en-US" w:eastAsia="zh-CN"/>
              </w:rPr>
              <w:t>8</w:t>
            </w:r>
            <w:r>
              <w:rPr>
                <w:rFonts w:hint="eastAsia" w:ascii="宋体" w:hAnsi="宋体" w:eastAsia="宋体" w:cs="宋体"/>
                <w:bCs/>
                <w:color w:val="auto"/>
                <w:sz w:val="22"/>
                <w:szCs w:val="22"/>
                <w:highlight w:val="none"/>
              </w:rPr>
              <w:t>-12样</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价格参考采购单位历年供应价格设定并须采购人确认</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并经常更换品种（甲方有权提出增加</w:t>
            </w:r>
            <w:r>
              <w:rPr>
                <w:rFonts w:hint="eastAsia" w:ascii="宋体" w:hAnsi="宋体" w:eastAsia="宋体" w:cs="宋体"/>
                <w:bCs/>
                <w:color w:val="auto"/>
                <w:sz w:val="22"/>
                <w:szCs w:val="22"/>
                <w:highlight w:val="none"/>
                <w:lang w:val="en-US" w:eastAsia="zh-CN"/>
              </w:rPr>
              <w:t>或调整</w:t>
            </w:r>
            <w:r>
              <w:rPr>
                <w:rFonts w:hint="eastAsia" w:ascii="宋体" w:hAnsi="宋体" w:eastAsia="宋体" w:cs="宋体"/>
                <w:bCs/>
                <w:color w:val="auto"/>
                <w:sz w:val="22"/>
                <w:szCs w:val="22"/>
                <w:highlight w:val="none"/>
              </w:rPr>
              <w:t>用餐内容）</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基础早餐</w:t>
            </w:r>
            <w:r>
              <w:rPr>
                <w:rFonts w:hint="eastAsia" w:ascii="宋体" w:hAnsi="宋体" w:eastAsia="宋体" w:cs="宋体"/>
                <w:bCs/>
                <w:color w:val="auto"/>
                <w:sz w:val="22"/>
                <w:szCs w:val="22"/>
                <w:highlight w:val="none"/>
              </w:rPr>
              <w:t>每人每餐</w:t>
            </w:r>
            <w:r>
              <w:rPr>
                <w:rFonts w:hint="eastAsia" w:ascii="宋体" w:hAnsi="宋体" w:eastAsia="宋体" w:cs="宋体"/>
                <w:bCs/>
                <w:color w:val="auto"/>
                <w:sz w:val="22"/>
                <w:szCs w:val="22"/>
                <w:highlight w:val="none"/>
                <w:lang w:val="en-US" w:eastAsia="zh-CN"/>
              </w:rPr>
              <w:t>按6元计算</w:t>
            </w:r>
            <w:r>
              <w:rPr>
                <w:rFonts w:hint="eastAsia" w:ascii="宋体" w:hAnsi="宋体" w:eastAsia="宋体" w:cs="宋体"/>
                <w:bCs/>
                <w:color w:val="auto"/>
                <w:sz w:val="22"/>
                <w:szCs w:val="22"/>
                <w:highlight w:val="none"/>
              </w:rPr>
              <w:t>；</w:t>
            </w:r>
          </w:p>
          <w:p>
            <w:pPr>
              <w:spacing w:line="440" w:lineRule="exact"/>
              <w:ind w:left="550" w:hanging="550" w:hangingChars="25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1.2午餐和晚餐按照用餐人流量，实行错时上菜，中餐、晚餐及加班用餐菜单由供应商提出采购人确认执行，合理搭配，用餐以打餐形式餐标为每人每餐13元。主食1样，副食不少于4样（2样晕菜和2样素菜），清汤1样，水果1样。特殊小炒菜品价格另计。</w:t>
            </w:r>
          </w:p>
          <w:p>
            <w:pPr>
              <w:spacing w:line="440" w:lineRule="exact"/>
              <w:ind w:left="550" w:hanging="550" w:hangingChars="250"/>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1.3</w:t>
            </w:r>
            <w:r>
              <w:rPr>
                <w:rFonts w:hint="eastAsia" w:ascii="宋体" w:hAnsi="宋体" w:cs="宋体"/>
                <w:color w:val="auto"/>
                <w:sz w:val="22"/>
                <w:szCs w:val="22"/>
                <w:highlight w:val="none"/>
                <w:lang w:val="en-US" w:eastAsia="zh-CN"/>
              </w:rPr>
              <w:t>工作餐桌餐约150桌，</w:t>
            </w:r>
            <w:r>
              <w:rPr>
                <w:rFonts w:hint="eastAsia" w:ascii="宋体" w:hAnsi="宋体" w:eastAsia="宋体" w:cs="宋体"/>
                <w:bCs/>
                <w:color w:val="auto"/>
                <w:sz w:val="22"/>
                <w:szCs w:val="22"/>
                <w:highlight w:val="none"/>
                <w:lang w:val="en-US" w:eastAsia="zh-CN"/>
              </w:rPr>
              <w:t>工作餐桌餐要求按照机关食堂桌餐相关标准和采购单位要求执行。</w:t>
            </w:r>
          </w:p>
          <w:p>
            <w:pPr>
              <w:spacing w:line="440" w:lineRule="exact"/>
              <w:ind w:left="550" w:hanging="550" w:hangingChars="250"/>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w:t>
            </w:r>
            <w:r>
              <w:rPr>
                <w:rFonts w:hint="eastAsia" w:ascii="宋体" w:hAnsi="宋体" w:eastAsia="宋体" w:cs="宋体"/>
                <w:bCs/>
                <w:color w:val="auto"/>
                <w:sz w:val="22"/>
                <w:szCs w:val="22"/>
                <w:highlight w:val="none"/>
                <w:lang w:val="en-US" w:eastAsia="zh-CN"/>
              </w:rPr>
              <w:t xml:space="preserve">．  </w:t>
            </w:r>
            <w:r>
              <w:rPr>
                <w:rFonts w:hint="eastAsia" w:ascii="宋体" w:hAnsi="宋体" w:cs="宋体"/>
                <w:bCs/>
                <w:color w:val="auto"/>
                <w:sz w:val="22"/>
                <w:szCs w:val="22"/>
                <w:highlight w:val="none"/>
                <w:lang w:val="en-US" w:eastAsia="zh-CN"/>
              </w:rPr>
              <w:t>街道工作人员等用餐人员使用甲方统一制作的就餐卡刷卡用餐，乙方不得擅自制作饭菜票或收取现金，不得对外经营。</w:t>
            </w:r>
          </w:p>
          <w:p>
            <w:pPr>
              <w:spacing w:line="440" w:lineRule="exact"/>
              <w:ind w:left="550" w:hanging="550" w:hangingChars="250"/>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w:t>
            </w:r>
            <w:r>
              <w:rPr>
                <w:rFonts w:hint="eastAsia" w:ascii="宋体" w:hAnsi="宋体" w:eastAsia="宋体" w:cs="宋体"/>
                <w:bCs/>
                <w:color w:val="auto"/>
                <w:sz w:val="22"/>
                <w:szCs w:val="22"/>
                <w:highlight w:val="none"/>
                <w:lang w:val="en-US" w:eastAsia="zh-CN"/>
              </w:rPr>
              <w:t>．  投标人必须安排好一周菜谱，每周的菜肴品种不少于40个，保证每天供应每人1份的新鲜时令水果，菜单必须经甲方及其委托的管理人员认可方可执行。</w:t>
            </w:r>
          </w:p>
          <w:p>
            <w:pPr>
              <w:spacing w:line="440" w:lineRule="exact"/>
              <w:ind w:left="550" w:hanging="550" w:hangingChars="250"/>
              <w:rPr>
                <w:rStyle w:val="248"/>
                <w:rFonts w:ascii="宋体" w:hAnsi="宋体"/>
                <w:color w:val="auto"/>
                <w:sz w:val="22"/>
                <w:highlight w:val="none"/>
              </w:rPr>
            </w:pPr>
            <w:r>
              <w:rPr>
                <w:rStyle w:val="248"/>
                <w:rFonts w:hint="eastAsia" w:ascii="宋体" w:hAnsi="宋体"/>
                <w:color w:val="auto"/>
                <w:sz w:val="22"/>
                <w:highlight w:val="none"/>
                <w:lang w:val="en-US" w:eastAsia="zh-CN"/>
              </w:rPr>
              <w:t>4</w:t>
            </w:r>
            <w:r>
              <w:rPr>
                <w:rStyle w:val="248"/>
                <w:rFonts w:hint="eastAsia" w:ascii="宋体" w:hAnsi="宋体"/>
                <w:color w:val="auto"/>
                <w:sz w:val="22"/>
                <w:highlight w:val="none"/>
              </w:rPr>
              <w:t xml:space="preserve">.   </w:t>
            </w:r>
            <w:r>
              <w:rPr>
                <w:rStyle w:val="248"/>
                <w:rFonts w:hint="eastAsia" w:ascii="宋体" w:hAnsi="宋体"/>
                <w:color w:val="auto"/>
                <w:sz w:val="22"/>
                <w:highlight w:val="none"/>
                <w:lang w:val="en-US"/>
              </w:rPr>
              <w:t>临时性的加班用餐</w:t>
            </w:r>
            <w:r>
              <w:rPr>
                <w:rStyle w:val="248"/>
                <w:rFonts w:ascii="宋体" w:hAnsi="宋体"/>
                <w:color w:val="auto"/>
                <w:sz w:val="22"/>
                <w:highlight w:val="none"/>
              </w:rPr>
              <w:t>服务必须提前一天向食堂预订，</w:t>
            </w:r>
            <w:r>
              <w:rPr>
                <w:rStyle w:val="248"/>
                <w:rFonts w:hint="eastAsia" w:ascii="宋体" w:hAnsi="宋体"/>
                <w:color w:val="auto"/>
                <w:sz w:val="22"/>
                <w:highlight w:val="none"/>
                <w:lang w:val="en-US"/>
              </w:rPr>
              <w:t>如应急情况通知用餐服务的，尽量提早1小时预定</w:t>
            </w:r>
            <w:r>
              <w:rPr>
                <w:rStyle w:val="248"/>
                <w:rFonts w:ascii="宋体" w:hAnsi="宋体"/>
                <w:color w:val="auto"/>
                <w:sz w:val="22"/>
                <w:highlight w:val="none"/>
              </w:rPr>
              <w:t>。</w:t>
            </w:r>
          </w:p>
          <w:p>
            <w:pPr>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（三）服务质量要求</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1．  投标供应商需本着对企业品牌的延伸，以社会化效益为主的原则进行服务。对承包期内的人员费用、质量、安全、文明服务等实行全面承包。</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2．  服务质量标准要求按三星级酒店标准订立服务规程。投标供应商应制订具体的服务质量保证措施及相关服务承诺，如因质量未达到要求，投标供应商就因此承担质量安全责任和经济赔偿。</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3．  应建立健全以岗位责任制为中心的各项质量管理制度，做到工作有计划，行为有规范，操作有程序，质量有标准，劳动有纪律。要结合</w:t>
            </w:r>
            <w:r>
              <w:rPr>
                <w:rFonts w:hint="eastAsia" w:ascii="宋体" w:hAnsi="宋体" w:cs="宋体"/>
                <w:color w:val="auto"/>
                <w:sz w:val="22"/>
                <w:szCs w:val="22"/>
                <w:highlight w:val="none"/>
                <w:lang w:eastAsia="zh-CN"/>
              </w:rPr>
              <w:t>街道食堂</w:t>
            </w:r>
            <w:r>
              <w:rPr>
                <w:rFonts w:hint="eastAsia" w:ascii="宋体" w:hAnsi="宋体" w:cs="宋体"/>
                <w:color w:val="auto"/>
                <w:sz w:val="22"/>
                <w:szCs w:val="22"/>
                <w:highlight w:val="none"/>
              </w:rPr>
              <w:t>的特点，从食品质量、花色品种、口感味道、服务方式、饮食卫生等方面制定服务规范或质量标准，不断提高食堂的服务水平。</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4．  对食堂工作的全过程，即对食品及原材料、调料的清点验收、保管、储存、制作加工、配售等工作进行全面质量管理，对食堂职工进行质量管理教育，解全面质量管理的基本知识和方法，树立质量意识。</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5.   投标供应商要加强菜肴的质量管理，不断提高加工水平，各类调味品在菜肴成分里所占比例要控制在</w:t>
            </w:r>
            <w:r>
              <w:rPr>
                <w:rFonts w:hint="eastAsia" w:ascii="宋体" w:hAnsi="宋体" w:cs="宋体"/>
                <w:color w:val="auto"/>
                <w:sz w:val="22"/>
                <w:szCs w:val="22"/>
                <w:highlight w:val="none"/>
                <w:lang w:val="en-US" w:eastAsia="zh-CN"/>
              </w:rPr>
              <w:t>合理范围</w:t>
            </w:r>
            <w:r>
              <w:rPr>
                <w:rFonts w:hint="eastAsia" w:ascii="宋体" w:hAnsi="宋体" w:cs="宋体"/>
                <w:color w:val="auto"/>
                <w:sz w:val="22"/>
                <w:szCs w:val="22"/>
                <w:highlight w:val="none"/>
              </w:rPr>
              <w:t>以内，真正让干部职工吃出健康。</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6．  加强内部质量自查和自我监督，建立内部质量检查小组，定期实施质量检查工作，记录检查结果，建立质量检查档案，组织职工在日常工作中开展质量自查、互查活动。</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7．  服务区内垃圾用袋装收集，存放在指定地点，清扫、保洁及生活服务的工作质量按国家卫生城市管理的有关标准严格验收。</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8．  投标供应商须按现代企业制度运行，发挥自身优势，以热心、爱心、专心、贴心的服务，为采购人提供全方位、一体化的专业服务保障，确保单位食堂正常运转，各项重大活动顺利完成。</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9．  投标供应商所有工作人员，必须无条件服从采购人管理人员的调度、指挥，如发现不符合采购人管理要求的工作人员，采购人有权提出整改、更换，如3天内整改、更换、不及时或不到位，经协商无效，采购人有权终止合同。投标供应商更换或调整人员应提前征求采购人意见，在征得采购人同意后方可更换、调整。</w:t>
            </w:r>
          </w:p>
          <w:p>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10．  投标供应商达不到采购人要求及各项服务承诺，采购人有权要求其整改，直到扣款或终止合同。</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11． 投标供应商应严格执行采购人统一管理标准，认真做好防盗、防毒、防火、防食品变味变质、防工伤事故和消防安全、秩序管理工作。需制定消防、抗台、安全等应急措施，并切实地培训到每个岗位人员。</w:t>
            </w:r>
          </w:p>
          <w:p>
            <w:pPr>
              <w:pStyle w:val="16"/>
              <w:rPr>
                <w:rFonts w:hint="eastAsia" w:ascii="宋体" w:hAnsi="宋体"/>
                <w:color w:val="auto"/>
                <w:highlight w:val="none"/>
                <w:lang w:val="en-US" w:eastAsia="zh-CN"/>
              </w:rPr>
            </w:pPr>
          </w:p>
          <w:p>
            <w:pPr>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（四）食品安全管理要求</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1．  严格执行《中华人民共和国食品安全法》、《餐饮业食品卫生管理办法》、GB16153《饭馆（餐厅）卫生标准》、GB14934《食（饮）具消毒卫生标准》等卫生安全法律法规及标准。</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2．  认真执行《食品加工、销售、饮食业卫生“五、四”制》，并结合采购人单位的具体情况，建立健全卫生制度，保证食品卫生，保障就餐人员的身体健康，并按采购人要求对食堂所需有关蔬菜、食品卫生实行最优质的保证。</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3．  食品的卫生质量按《全国救灾防病预案》的规定，不用来源不明的原料；不加工、不发售来源不明的食品，防止疾病传染和食物中毒。</w:t>
            </w:r>
          </w:p>
          <w:p>
            <w:pPr>
              <w:spacing w:line="440" w:lineRule="exact"/>
              <w:ind w:left="550" w:hanging="550" w:hangingChars="250"/>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4．  食堂工作人员必须持有健康合格证上岗，定期复查，严禁患病上岗。负责餐饮加工和冷拼人员须戴口罩、手套上岗。出售直接入口食品时，必须使用</w:t>
            </w:r>
            <w:r>
              <w:rPr>
                <w:rFonts w:hint="eastAsia" w:ascii="宋体" w:hAnsi="宋体" w:eastAsia="宋体" w:cs="宋体"/>
                <w:color w:val="auto"/>
                <w:sz w:val="22"/>
                <w:szCs w:val="22"/>
                <w:highlight w:val="none"/>
              </w:rPr>
              <w:t>售餐用具。食堂工作人员讲究个人卫生，统一着装，规范操作。</w:t>
            </w:r>
          </w:p>
          <w:p>
            <w:pPr>
              <w:spacing w:line="440" w:lineRule="exact"/>
              <w:ind w:left="550" w:hanging="550" w:hangingChars="250"/>
              <w:rPr>
                <w:rFonts w:hint="eastAsia" w:ascii="宋体" w:hAnsi="宋体" w:cs="宋体"/>
                <w:bCs/>
                <w:color w:val="auto"/>
                <w:sz w:val="22"/>
                <w:szCs w:val="22"/>
                <w:highlight w:val="none"/>
              </w:rPr>
            </w:pPr>
            <w:r>
              <w:rPr>
                <w:rFonts w:hint="eastAsia" w:ascii="宋体" w:hAnsi="宋体" w:cs="宋体"/>
                <w:bCs/>
                <w:color w:val="auto"/>
                <w:sz w:val="22"/>
                <w:szCs w:val="22"/>
                <w:highlight w:val="none"/>
              </w:rPr>
              <w:t>5．  食品原料的采购</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bCs/>
                <w:color w:val="auto"/>
                <w:sz w:val="22"/>
                <w:szCs w:val="22"/>
                <w:highlight w:val="none"/>
              </w:rPr>
              <w:t>（1）食品的主料、辅料、</w:t>
            </w:r>
            <w:r>
              <w:rPr>
                <w:rFonts w:hint="eastAsia" w:ascii="宋体" w:hAnsi="宋体" w:cs="宋体"/>
                <w:color w:val="auto"/>
                <w:sz w:val="22"/>
                <w:szCs w:val="22"/>
                <w:highlight w:val="none"/>
              </w:rPr>
              <w:t>调料等原材料，投标供应商负责进行采购</w:t>
            </w:r>
            <w:r>
              <w:rPr>
                <w:rFonts w:hint="eastAsia" w:ascii="宋体" w:hAnsi="宋体" w:cs="宋体"/>
                <w:color w:val="auto"/>
                <w:sz w:val="22"/>
                <w:szCs w:val="22"/>
                <w:highlight w:val="none"/>
                <w:lang w:val="en-US" w:eastAsia="zh-CN"/>
              </w:rPr>
              <w:t>和</w:t>
            </w:r>
            <w:r>
              <w:rPr>
                <w:rFonts w:hint="eastAsia" w:ascii="宋体" w:hAnsi="宋体" w:cs="宋体"/>
                <w:color w:val="auto"/>
                <w:sz w:val="22"/>
                <w:szCs w:val="22"/>
                <w:highlight w:val="none"/>
              </w:rPr>
              <w:t>验收</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确保质量和价格等因素，</w:t>
            </w:r>
            <w:r>
              <w:rPr>
                <w:rFonts w:hint="eastAsia" w:ascii="宋体" w:hAnsi="宋体" w:cs="宋体"/>
                <w:color w:val="auto"/>
                <w:sz w:val="22"/>
                <w:szCs w:val="22"/>
                <w:highlight w:val="none"/>
              </w:rPr>
              <w:t>采购人</w:t>
            </w:r>
            <w:r>
              <w:rPr>
                <w:rFonts w:hint="eastAsia" w:ascii="宋体" w:hAnsi="宋体" w:cs="宋体"/>
                <w:color w:val="auto"/>
                <w:sz w:val="22"/>
                <w:szCs w:val="22"/>
                <w:highlight w:val="none"/>
                <w:lang w:val="en-US" w:eastAsia="zh-CN"/>
              </w:rPr>
              <w:t>进行抽查或监督</w:t>
            </w:r>
            <w:r>
              <w:rPr>
                <w:rFonts w:hint="eastAsia" w:ascii="宋体" w:hAnsi="宋体" w:cs="宋体"/>
                <w:color w:val="auto"/>
                <w:sz w:val="22"/>
                <w:szCs w:val="22"/>
                <w:highlight w:val="none"/>
              </w:rPr>
              <w:t>。</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（2）采购的食品及原料每天都要有登记，记录品名、采购点、价格、数量和金额等。由投标供应商负责验收和入库，妥善保管</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采购人</w:t>
            </w:r>
            <w:r>
              <w:rPr>
                <w:rFonts w:hint="eastAsia" w:ascii="宋体" w:hAnsi="宋体" w:cs="宋体"/>
                <w:color w:val="auto"/>
                <w:sz w:val="22"/>
                <w:szCs w:val="22"/>
                <w:highlight w:val="none"/>
                <w:lang w:val="en-US" w:eastAsia="zh-CN"/>
              </w:rPr>
              <w:t>进行抽查或监督</w:t>
            </w:r>
            <w:r>
              <w:rPr>
                <w:rFonts w:hint="eastAsia" w:ascii="宋体" w:hAnsi="宋体" w:cs="宋体"/>
                <w:color w:val="auto"/>
                <w:sz w:val="22"/>
                <w:szCs w:val="22"/>
                <w:highlight w:val="none"/>
              </w:rPr>
              <w:t>。</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（3）食品采购验收人员对清点验收的加工食品及原料，必须检查其商标、出产地（厂家）、检验合格证等是否齐全，并整理归档，严禁接收加工无证产品。</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4）必须严格遵守国家新颁布的《餐饮业食品卫生管理办法》，发现有毒、有害、腐烂变质、酸败、霉变、生虫、污秽、不洁、混有异物或者其他感官性状异常的食品，无检验合格证明的食品，超过保质期限及其他不符合食品标签规定的定型包装食品，应禁止接收或加工制作，并上报采购人处理。</w:t>
            </w:r>
          </w:p>
          <w:p>
            <w:pPr>
              <w:spacing w:line="44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6．  食品加工</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1）食品加工人员在工作前、处理食品后或接触直接入口的食品前，都必须洗手消毒；不得留长指甲、涂指甲油、戴戒指，勤理发，勤修面，勤洗澡，勤换衣；不得有面对食品打喷嚏、咳嗽及其他有碍食品卫生的行为；不得在食品加工和出售场所内吸烟；厨师应当穿戴整洁的工作衣帽，头发应梳理整齐并置于帽内。</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（2）食品加工人员必须认真检查待加工的食品及其他食品原料，发现有腐败变质或其他感官性状异常的，不得加工或使用。</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（3）各种食品原料在使用前必须洗净，蔬菜应当与肉类、水产品类分池清洗；禽蛋在使用前应当对外壳进行清洗，必要时进行消毒处理；对怀疑带有农药的蔬菜，不得投入加工制作或使用。</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（4）用于原料、半成品、成品的刀、墩、板、桶、盆、筐、抹布以及其他工具或容器必须标志明显，并做到分开使用，尤其是生、熟工具要分开，定位存放，用后洗净，保持清洁。</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（5）需要热制加工的食品必须烧熟煮透，其中心温度不得低于70</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；加工后的热制品应当与食品原料或半成品分开存放；半成品应当与食品原料分开存放。</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（6）在烹饪后至食用前需要较长时间(超过2小时)存放的食品，应当在高于</w:t>
            </w:r>
            <w:r>
              <w:rPr>
                <w:rFonts w:hint="eastAsia" w:ascii="宋体" w:hAnsi="宋体" w:cs="宋体"/>
                <w:color w:val="auto"/>
                <w:sz w:val="22"/>
                <w:szCs w:val="22"/>
                <w:highlight w:val="none"/>
                <w:lang w:val="en-US" w:eastAsia="zh-CN"/>
              </w:rPr>
              <w:t>60℃</w:t>
            </w:r>
            <w:r>
              <w:rPr>
                <w:rFonts w:hint="eastAsia" w:ascii="宋体" w:hAnsi="宋体" w:cs="宋体"/>
                <w:color w:val="auto"/>
                <w:sz w:val="22"/>
                <w:szCs w:val="22"/>
                <w:highlight w:val="none"/>
              </w:rPr>
              <w:t>或低于</w:t>
            </w:r>
            <w:r>
              <w:rPr>
                <w:rFonts w:hint="eastAsia" w:ascii="宋体" w:hAnsi="宋体" w:cs="宋体"/>
                <w:color w:val="auto"/>
                <w:sz w:val="22"/>
                <w:szCs w:val="22"/>
                <w:highlight w:val="none"/>
                <w:lang w:val="en-US" w:eastAsia="zh-CN"/>
              </w:rPr>
              <w:t>10℃</w:t>
            </w:r>
            <w:r>
              <w:rPr>
                <w:rFonts w:hint="eastAsia" w:ascii="宋体" w:hAnsi="宋体" w:cs="宋体"/>
                <w:color w:val="auto"/>
                <w:sz w:val="22"/>
                <w:szCs w:val="22"/>
                <w:highlight w:val="none"/>
              </w:rPr>
              <w:t>的条件下存放。需要冷藏的熟制品，应当放凉后再冷藏。凡隔餐、隔夜的熟制品必须经充分再加热后方可食用。</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（7）不允许使用食品添加剂和来源不明的调味品，若确需使用食品添加剂的应严格按照国家卫生标准和有关规定使用。</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（8）加工出售食品时要做好防蝇、防虫、防尘、防霉变、保洁及秋冬季节的食品保温工作。出售食品必须坚持使用清洁的专用工具，严禁用手直接接触食物。</w:t>
            </w:r>
          </w:p>
          <w:p>
            <w:pPr>
              <w:spacing w:line="44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7．  食品储存</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（1）储存食品场所、设备应当保持清洁，无霉斑、鼠迹、苍蝇、蟑螂；仓库应当通风良好。禁止存放有毒、有害物品及个人生活物品。</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（2）库房食品应当分类、分架、隔墙、离地(30厘米以上)存放，并贴上标签：定期检查处理变质或超过保质期限的食品。</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（3）库房必须安排专人负责保管。凡新购食物必须经专人检查合格后，才允许入库；需冷冻食品应及时放入规定冰柜存放。</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（4）每次、每批食品入库、领用都必须做好登记。</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（5）当餐未出售完的食品，应按卫生规定要求放入冰箱、冰柜。</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（6）保管人离开库房时，应立即将门锁好。</w:t>
            </w:r>
          </w:p>
          <w:p>
            <w:pPr>
              <w:spacing w:line="44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8．  餐饮具消毒卫生</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（1）餐饮具使用前必须做到一清、二洗、三消毒、四保洁，符合国家有关卫生标准。未经消毒的餐饮均不得使用，禁止重复使用—次性餐具。</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（2）洗刷餐饮具必须在专用水池，不得与清洗蔬菜、肉类及其他水池混用。</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（3）洗涤消毒餐饮具使用的洗涤剂、消毒剂必须符合食品卫生标准要求。</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（4）餐饮具，尤其是配餐餐饮具，每餐洗净后必须放入电子消毒柜中消毒或高温消毒；若用消毒剂消毒必须按正确的使用剂量和规定时间程序消毒清洗。</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（5）消毒后的餐饮具必须贮存在餐饮具专用保洁柜内备用；已经消毒与末消毒的餐饮具应分开存放，并在餐饮具贮存柜上有明显标志。</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（6）餐饮具保洁柜应当定期清洗，保持洁净。</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9．  要保持餐厅内餐桌、餐椅、墙面、地面等环境设施的消毒清洁。每次售餐完毕后，应按卫生管理规范收放好食品，清洗餐具、柜台，清扫场地。保持室内空气流通，严防各种污染。</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10． 洗碗间、冷菜间、烹调制作间保持清洁卫生，厨房用具应及时清洗、消毒，严格做到生熟分开。</w:t>
            </w:r>
          </w:p>
          <w:p>
            <w:pPr>
              <w:pStyle w:val="16"/>
              <w:rPr>
                <w:rFonts w:hint="eastAsia" w:ascii="宋体" w:hAnsi="宋体"/>
                <w:color w:val="auto"/>
                <w:highlight w:val="none"/>
                <w:lang w:val="en-US" w:eastAsia="zh-CN"/>
              </w:rPr>
            </w:pPr>
          </w:p>
          <w:p>
            <w:pPr>
              <w:pStyle w:val="247"/>
              <w:widowControl/>
              <w:snapToGrid w:val="0"/>
              <w:spacing w:line="400" w:lineRule="exact"/>
              <w:rPr>
                <w:rStyle w:val="248"/>
                <w:rFonts w:ascii="宋体" w:hAnsi="宋体"/>
                <w:b/>
                <w:color w:val="auto"/>
                <w:sz w:val="22"/>
                <w:highlight w:val="none"/>
              </w:rPr>
            </w:pPr>
            <w:r>
              <w:rPr>
                <w:rFonts w:hint="eastAsia" w:ascii="宋体" w:hAnsi="宋体"/>
                <w:b/>
                <w:color w:val="auto"/>
                <w:sz w:val="22"/>
                <w:highlight w:val="none"/>
              </w:rPr>
              <w:t>（五）</w:t>
            </w:r>
            <w:r>
              <w:rPr>
                <w:rStyle w:val="248"/>
                <w:rFonts w:ascii="宋体" w:hAnsi="宋体"/>
                <w:b/>
                <w:color w:val="auto"/>
                <w:sz w:val="22"/>
                <w:highlight w:val="none"/>
              </w:rPr>
              <w:t>应遵守的国家相关法律法规及标准（不仅限于如下）：</w:t>
            </w:r>
          </w:p>
          <w:p>
            <w:pPr>
              <w:pStyle w:val="247"/>
              <w:widowControl/>
              <w:snapToGrid w:val="0"/>
              <w:spacing w:line="400" w:lineRule="exact"/>
              <w:rPr>
                <w:rStyle w:val="248"/>
                <w:rFonts w:ascii="宋体" w:hAnsi="宋体"/>
                <w:color w:val="auto"/>
                <w:sz w:val="22"/>
                <w:highlight w:val="none"/>
              </w:rPr>
            </w:pPr>
            <w:r>
              <w:rPr>
                <w:rStyle w:val="248"/>
                <w:rFonts w:ascii="宋体" w:hAnsi="宋体"/>
                <w:color w:val="auto"/>
                <w:sz w:val="22"/>
                <w:highlight w:val="none"/>
              </w:rPr>
              <w:t>《中华人民共和国食品安全法》</w:t>
            </w:r>
          </w:p>
          <w:p>
            <w:pPr>
              <w:pStyle w:val="247"/>
              <w:widowControl/>
              <w:snapToGrid w:val="0"/>
              <w:spacing w:line="400" w:lineRule="exact"/>
              <w:rPr>
                <w:rStyle w:val="248"/>
                <w:rFonts w:ascii="宋体" w:hAnsi="宋体"/>
                <w:color w:val="auto"/>
                <w:sz w:val="22"/>
                <w:highlight w:val="none"/>
              </w:rPr>
            </w:pPr>
            <w:r>
              <w:rPr>
                <w:rStyle w:val="248"/>
                <w:rFonts w:ascii="宋体" w:hAnsi="宋体"/>
                <w:color w:val="auto"/>
                <w:sz w:val="22"/>
                <w:highlight w:val="none"/>
              </w:rPr>
              <w:t>《餐饮业食品卫生管理办法》</w:t>
            </w:r>
          </w:p>
          <w:p>
            <w:pPr>
              <w:pStyle w:val="247"/>
              <w:widowControl/>
              <w:snapToGrid w:val="0"/>
              <w:spacing w:line="400" w:lineRule="exact"/>
              <w:ind w:firstLine="107" w:firstLineChars="49"/>
              <w:rPr>
                <w:rStyle w:val="248"/>
                <w:rFonts w:ascii="宋体" w:hAnsi="宋体"/>
                <w:color w:val="auto"/>
                <w:sz w:val="22"/>
                <w:highlight w:val="none"/>
              </w:rPr>
            </w:pPr>
            <w:r>
              <w:rPr>
                <w:rStyle w:val="248"/>
                <w:rFonts w:ascii="宋体" w:hAnsi="宋体"/>
                <w:color w:val="auto"/>
                <w:sz w:val="22"/>
                <w:highlight w:val="none"/>
              </w:rPr>
              <w:t>GB16153《饭馆（餐厅）卫生标准》</w:t>
            </w:r>
          </w:p>
          <w:p>
            <w:pPr>
              <w:pStyle w:val="247"/>
              <w:widowControl/>
              <w:snapToGrid w:val="0"/>
              <w:spacing w:line="400" w:lineRule="exact"/>
              <w:ind w:firstLine="107" w:firstLineChars="49"/>
              <w:rPr>
                <w:rStyle w:val="248"/>
                <w:rFonts w:ascii="宋体" w:hAnsi="宋体"/>
                <w:color w:val="auto"/>
                <w:sz w:val="22"/>
                <w:highlight w:val="none"/>
              </w:rPr>
            </w:pPr>
            <w:r>
              <w:rPr>
                <w:rStyle w:val="248"/>
                <w:rFonts w:ascii="宋体" w:hAnsi="宋体"/>
                <w:color w:val="auto"/>
                <w:sz w:val="22"/>
                <w:highlight w:val="none"/>
              </w:rPr>
              <w:t>GB14934《食（饮）具消毒卫生标准》</w:t>
            </w:r>
          </w:p>
          <w:p>
            <w:pPr>
              <w:pStyle w:val="247"/>
              <w:widowControl/>
              <w:snapToGrid w:val="0"/>
              <w:spacing w:line="400" w:lineRule="exact"/>
              <w:ind w:firstLine="107" w:firstLineChars="49"/>
              <w:rPr>
                <w:rStyle w:val="248"/>
                <w:rFonts w:ascii="宋体" w:hAnsi="宋体"/>
                <w:color w:val="auto"/>
                <w:sz w:val="22"/>
                <w:highlight w:val="none"/>
              </w:rPr>
            </w:pPr>
            <w:r>
              <w:rPr>
                <w:rStyle w:val="248"/>
                <w:rFonts w:ascii="宋体" w:hAnsi="宋体"/>
                <w:color w:val="auto"/>
                <w:sz w:val="22"/>
                <w:highlight w:val="none"/>
              </w:rPr>
              <w:t>GB18483《饮食业油烟排放标准》</w:t>
            </w:r>
          </w:p>
          <w:p>
            <w:pPr>
              <w:pStyle w:val="247"/>
              <w:widowControl/>
              <w:snapToGrid w:val="0"/>
              <w:spacing w:line="400" w:lineRule="exact"/>
              <w:ind w:firstLine="107" w:firstLineChars="49"/>
              <w:rPr>
                <w:rStyle w:val="248"/>
                <w:rFonts w:ascii="宋体" w:hAnsi="宋体"/>
                <w:color w:val="auto"/>
                <w:sz w:val="22"/>
                <w:highlight w:val="none"/>
              </w:rPr>
            </w:pPr>
            <w:r>
              <w:rPr>
                <w:rStyle w:val="248"/>
                <w:rFonts w:ascii="宋体" w:hAnsi="宋体"/>
                <w:color w:val="auto"/>
                <w:sz w:val="22"/>
                <w:highlight w:val="none"/>
              </w:rPr>
              <w:t>GB13495《消防安全标志》</w:t>
            </w:r>
          </w:p>
          <w:p>
            <w:pPr>
              <w:pStyle w:val="247"/>
              <w:widowControl/>
              <w:snapToGrid w:val="0"/>
              <w:spacing w:line="400" w:lineRule="exact"/>
              <w:ind w:firstLine="107" w:firstLineChars="49"/>
              <w:rPr>
                <w:rStyle w:val="248"/>
                <w:rFonts w:ascii="宋体" w:hAnsi="宋体"/>
                <w:color w:val="auto"/>
                <w:sz w:val="22"/>
                <w:highlight w:val="none"/>
              </w:rPr>
            </w:pPr>
            <w:r>
              <w:rPr>
                <w:rStyle w:val="248"/>
                <w:rFonts w:ascii="宋体" w:hAnsi="宋体"/>
                <w:color w:val="auto"/>
                <w:sz w:val="22"/>
                <w:highlight w:val="none"/>
              </w:rPr>
              <w:t>GB / T 18883－2002《室内空气质量标准》</w:t>
            </w:r>
          </w:p>
          <w:p>
            <w:pPr>
              <w:pStyle w:val="247"/>
              <w:widowControl/>
              <w:snapToGrid w:val="0"/>
              <w:spacing w:line="400" w:lineRule="exact"/>
              <w:ind w:firstLine="107" w:firstLineChars="49"/>
              <w:rPr>
                <w:rStyle w:val="248"/>
                <w:rFonts w:ascii="宋体" w:hAnsi="宋体"/>
                <w:color w:val="auto"/>
                <w:sz w:val="22"/>
                <w:highlight w:val="none"/>
              </w:rPr>
            </w:pPr>
            <w:r>
              <w:rPr>
                <w:rStyle w:val="248"/>
                <w:rFonts w:ascii="宋体" w:hAnsi="宋体"/>
                <w:color w:val="auto"/>
                <w:sz w:val="22"/>
                <w:highlight w:val="none"/>
              </w:rPr>
              <w:t>SB/T10420《饭店业星级服务人员资格条件》</w:t>
            </w:r>
          </w:p>
          <w:p>
            <w:pPr>
              <w:pStyle w:val="247"/>
              <w:widowControl/>
              <w:snapToGrid w:val="0"/>
              <w:spacing w:line="400" w:lineRule="exact"/>
              <w:ind w:firstLine="107" w:firstLineChars="49"/>
              <w:rPr>
                <w:rFonts w:hint="eastAsia" w:ascii="宋体" w:hAnsi="宋体"/>
                <w:color w:val="auto"/>
                <w:highlight w:val="none"/>
                <w:lang w:val="en-US" w:eastAsia="zh-CN"/>
              </w:rPr>
            </w:pPr>
            <w:r>
              <w:rPr>
                <w:rStyle w:val="248"/>
                <w:rFonts w:ascii="宋体" w:hAnsi="宋体"/>
                <w:color w:val="auto"/>
                <w:sz w:val="22"/>
                <w:highlight w:val="none"/>
              </w:rPr>
              <w:t>SB/T 10426《餐饮企业经营规范》</w:t>
            </w:r>
          </w:p>
          <w:p>
            <w:pPr>
              <w:pStyle w:val="3"/>
              <w:spacing w:line="680" w:lineRule="exact"/>
              <w:jc w:val="center"/>
              <w:rPr>
                <w:rFonts w:hint="eastAsia" w:ascii="宋体" w:hAnsi="宋体" w:eastAsia="宋体" w:cs="宋体"/>
                <w:color w:val="auto"/>
                <w:sz w:val="28"/>
                <w:szCs w:val="28"/>
                <w:highlight w:val="none"/>
              </w:rPr>
            </w:pPr>
            <w:bookmarkStart w:id="179" w:name="_Toc9844536"/>
            <w:bookmarkStart w:id="180" w:name="_Toc716"/>
            <w:bookmarkStart w:id="181" w:name="_Toc51010449"/>
            <w:bookmarkStart w:id="182" w:name="_Toc487445460"/>
          </w:p>
          <w:p>
            <w:pPr>
              <w:pStyle w:val="3"/>
              <w:spacing w:line="680" w:lineRule="exact"/>
              <w:jc w:val="center"/>
              <w:rPr>
                <w:rFonts w:hint="eastAsia" w:ascii="宋体" w:hAnsi="宋体" w:eastAsia="宋体" w:cs="宋体"/>
                <w:color w:val="auto"/>
                <w:sz w:val="28"/>
                <w:szCs w:val="28"/>
                <w:highlight w:val="none"/>
              </w:rPr>
            </w:pPr>
          </w:p>
          <w:p>
            <w:pPr>
              <w:pStyle w:val="3"/>
              <w:spacing w:line="680" w:lineRule="exact"/>
              <w:jc w:val="center"/>
              <w:rPr>
                <w:rFonts w:hint="eastAsia" w:ascii="宋体" w:hAnsi="宋体" w:eastAsia="宋体" w:cs="宋体"/>
                <w:color w:val="auto"/>
                <w:sz w:val="28"/>
                <w:szCs w:val="28"/>
                <w:highlight w:val="none"/>
              </w:rPr>
            </w:pPr>
          </w:p>
          <w:p>
            <w:pPr>
              <w:pStyle w:val="3"/>
              <w:spacing w:line="680" w:lineRule="exact"/>
              <w:jc w:val="center"/>
              <w:rPr>
                <w:rFonts w:hint="eastAsia" w:ascii="宋体" w:hAnsi="宋体" w:eastAsia="宋体" w:cs="宋体"/>
                <w:color w:val="auto"/>
                <w:sz w:val="28"/>
                <w:szCs w:val="28"/>
                <w:highlight w:val="none"/>
              </w:rPr>
            </w:pPr>
          </w:p>
          <w:p>
            <w:pPr>
              <w:pStyle w:val="3"/>
              <w:spacing w:line="68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三、食堂服务人员配备要求</w:t>
            </w:r>
            <w:bookmarkEnd w:id="179"/>
            <w:bookmarkEnd w:id="180"/>
            <w:bookmarkEnd w:id="181"/>
            <w:bookmarkEnd w:id="182"/>
          </w:p>
          <w:tbl>
            <w:tblPr>
              <w:tblStyle w:val="38"/>
              <w:tblpPr w:leftFromText="180" w:rightFromText="180" w:vertAnchor="text" w:horzAnchor="page" w:tblpX="37" w:tblpY="1867"/>
              <w:tblOverlap w:val="never"/>
              <w:tblW w:w="10358"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006"/>
              <w:gridCol w:w="1711"/>
              <w:gridCol w:w="851"/>
              <w:gridCol w:w="4299"/>
              <w:gridCol w:w="249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0" w:hRule="exact"/>
              </w:trPr>
              <w:tc>
                <w:tcPr>
                  <w:tcW w:w="1006" w:type="dxa"/>
                  <w:tcBorders>
                    <w:top w:val="single" w:color="000000" w:sz="12" w:space="0"/>
                    <w:left w:val="single" w:color="000000" w:sz="12" w:space="0"/>
                    <w:bottom w:val="single" w:color="000000" w:sz="12" w:space="0"/>
                    <w:right w:val="single" w:color="000000" w:sz="6" w:space="0"/>
                  </w:tcBorders>
                  <w:shd w:val="clear" w:color="auto" w:fill="CCCCCC"/>
                  <w:noWrap/>
                  <w:vAlign w:val="center"/>
                </w:tcPr>
                <w:p>
                  <w:pPr>
                    <w:jc w:val="center"/>
                    <w:textAlignment w:val="baseline"/>
                    <w:rPr>
                      <w:rStyle w:val="248"/>
                      <w:rFonts w:ascii="宋体" w:hAnsi="宋体"/>
                      <w:b/>
                      <w:color w:val="auto"/>
                      <w:sz w:val="22"/>
                      <w:highlight w:val="none"/>
                    </w:rPr>
                  </w:pPr>
                  <w:r>
                    <w:rPr>
                      <w:rStyle w:val="248"/>
                      <w:rFonts w:ascii="宋体" w:hAnsi="宋体"/>
                      <w:color w:val="auto"/>
                      <w:sz w:val="22"/>
                      <w:highlight w:val="none"/>
                    </w:rPr>
                    <w:t>组别</w:t>
                  </w:r>
                </w:p>
              </w:tc>
              <w:tc>
                <w:tcPr>
                  <w:tcW w:w="1711" w:type="dxa"/>
                  <w:tcBorders>
                    <w:top w:val="single" w:color="000000" w:sz="12" w:space="0"/>
                    <w:left w:val="single" w:color="000000" w:sz="6" w:space="0"/>
                    <w:bottom w:val="single" w:color="000000" w:sz="12" w:space="0"/>
                    <w:right w:val="single" w:color="000000" w:sz="6" w:space="0"/>
                  </w:tcBorders>
                  <w:shd w:val="clear" w:color="auto" w:fill="CCCCCC"/>
                  <w:noWrap/>
                  <w:vAlign w:val="center"/>
                </w:tcPr>
                <w:p>
                  <w:pPr>
                    <w:jc w:val="center"/>
                    <w:textAlignment w:val="baseline"/>
                    <w:rPr>
                      <w:rStyle w:val="248"/>
                      <w:rFonts w:ascii="宋体" w:hAnsi="宋体"/>
                      <w:b/>
                      <w:color w:val="auto"/>
                      <w:sz w:val="22"/>
                      <w:highlight w:val="none"/>
                    </w:rPr>
                  </w:pPr>
                  <w:r>
                    <w:rPr>
                      <w:rStyle w:val="248"/>
                      <w:rFonts w:ascii="宋体" w:hAnsi="宋体"/>
                      <w:color w:val="auto"/>
                      <w:sz w:val="22"/>
                      <w:highlight w:val="none"/>
                    </w:rPr>
                    <w:t xml:space="preserve"> 岗位</w:t>
                  </w:r>
                </w:p>
              </w:tc>
              <w:tc>
                <w:tcPr>
                  <w:tcW w:w="851" w:type="dxa"/>
                  <w:tcBorders>
                    <w:top w:val="single" w:color="000000" w:sz="12" w:space="0"/>
                    <w:left w:val="single" w:color="000000" w:sz="6" w:space="0"/>
                    <w:bottom w:val="single" w:color="000000" w:sz="12" w:space="0"/>
                    <w:right w:val="single" w:color="000000" w:sz="6" w:space="0"/>
                  </w:tcBorders>
                  <w:shd w:val="clear" w:color="auto" w:fill="CCCCCC"/>
                  <w:noWrap/>
                  <w:vAlign w:val="center"/>
                </w:tcPr>
                <w:p>
                  <w:pPr>
                    <w:jc w:val="center"/>
                    <w:textAlignment w:val="baseline"/>
                    <w:rPr>
                      <w:rStyle w:val="248"/>
                      <w:rFonts w:ascii="宋体" w:hAnsi="宋体"/>
                      <w:b/>
                      <w:color w:val="auto"/>
                      <w:sz w:val="22"/>
                      <w:highlight w:val="none"/>
                    </w:rPr>
                  </w:pPr>
                  <w:r>
                    <w:rPr>
                      <w:rStyle w:val="248"/>
                      <w:rFonts w:ascii="宋体" w:hAnsi="宋体"/>
                      <w:color w:val="auto"/>
                      <w:sz w:val="22"/>
                      <w:highlight w:val="none"/>
                    </w:rPr>
                    <w:t>人数</w:t>
                  </w:r>
                </w:p>
              </w:tc>
              <w:tc>
                <w:tcPr>
                  <w:tcW w:w="4299" w:type="dxa"/>
                  <w:tcBorders>
                    <w:top w:val="single" w:color="000000" w:sz="12" w:space="0"/>
                    <w:left w:val="single" w:color="000000" w:sz="6" w:space="0"/>
                    <w:bottom w:val="single" w:color="000000" w:sz="12" w:space="0"/>
                    <w:right w:val="single" w:color="000000" w:sz="6" w:space="0"/>
                  </w:tcBorders>
                  <w:shd w:val="clear" w:color="auto" w:fill="CCCCCC"/>
                  <w:noWrap/>
                  <w:vAlign w:val="center"/>
                </w:tcPr>
                <w:p>
                  <w:pPr>
                    <w:jc w:val="center"/>
                    <w:textAlignment w:val="baseline"/>
                    <w:rPr>
                      <w:rStyle w:val="248"/>
                      <w:rFonts w:ascii="宋体" w:hAnsi="宋体"/>
                      <w:b/>
                      <w:color w:val="auto"/>
                      <w:sz w:val="22"/>
                      <w:highlight w:val="none"/>
                    </w:rPr>
                  </w:pPr>
                  <w:r>
                    <w:rPr>
                      <w:rStyle w:val="248"/>
                      <w:rFonts w:ascii="宋体" w:hAnsi="宋体"/>
                      <w:color w:val="auto"/>
                      <w:sz w:val="22"/>
                      <w:highlight w:val="none"/>
                    </w:rPr>
                    <w:t>现 场 承 担 工 作</w:t>
                  </w:r>
                </w:p>
              </w:tc>
              <w:tc>
                <w:tcPr>
                  <w:tcW w:w="2491" w:type="dxa"/>
                  <w:tcBorders>
                    <w:top w:val="single" w:color="000000" w:sz="12" w:space="0"/>
                    <w:left w:val="single" w:color="000000" w:sz="4" w:space="0"/>
                    <w:bottom w:val="single" w:color="000000" w:sz="12" w:space="0"/>
                    <w:right w:val="single" w:color="000000" w:sz="12" w:space="0"/>
                  </w:tcBorders>
                  <w:shd w:val="clear" w:color="auto" w:fill="CCCCCC"/>
                  <w:noWrap/>
                  <w:vAlign w:val="center"/>
                </w:tcPr>
                <w:p>
                  <w:pPr>
                    <w:jc w:val="center"/>
                    <w:textAlignment w:val="baseline"/>
                    <w:rPr>
                      <w:rStyle w:val="248"/>
                      <w:rFonts w:ascii="宋体" w:hAnsi="宋体"/>
                      <w:b/>
                      <w:color w:val="auto"/>
                      <w:sz w:val="22"/>
                      <w:highlight w:val="none"/>
                    </w:rPr>
                  </w:pPr>
                  <w:r>
                    <w:rPr>
                      <w:rStyle w:val="248"/>
                      <w:rFonts w:ascii="宋体" w:hAnsi="宋体"/>
                      <w:color w:val="auto"/>
                      <w:sz w:val="22"/>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573" w:hRule="exact"/>
              </w:trPr>
              <w:tc>
                <w:tcPr>
                  <w:tcW w:w="1006" w:type="dxa"/>
                  <w:vMerge w:val="restart"/>
                  <w:tcBorders>
                    <w:top w:val="single" w:color="000000" w:sz="6" w:space="0"/>
                    <w:left w:val="single" w:color="000000" w:sz="12" w:space="0"/>
                    <w:bottom w:val="single" w:color="000000" w:sz="6" w:space="0"/>
                    <w:right w:val="single" w:color="000000" w:sz="6" w:space="0"/>
                  </w:tcBorders>
                  <w:noWrap/>
                  <w:vAlign w:val="center"/>
                </w:tcPr>
                <w:p>
                  <w:pPr>
                    <w:snapToGrid w:val="0"/>
                    <w:jc w:val="center"/>
                    <w:textAlignment w:val="baseline"/>
                    <w:rPr>
                      <w:rStyle w:val="248"/>
                      <w:rFonts w:ascii="宋体" w:hAnsi="宋体"/>
                      <w:color w:val="auto"/>
                      <w:sz w:val="22"/>
                      <w:highlight w:val="none"/>
                    </w:rPr>
                  </w:pPr>
                  <w:r>
                    <w:rPr>
                      <w:rStyle w:val="248"/>
                      <w:rFonts w:ascii="宋体" w:hAnsi="宋体"/>
                      <w:color w:val="auto"/>
                      <w:sz w:val="22"/>
                      <w:highlight w:val="none"/>
                    </w:rPr>
                    <w:t>厨师组</w:t>
                  </w:r>
                </w:p>
                <w:p>
                  <w:pPr>
                    <w:snapToGrid w:val="0"/>
                    <w:jc w:val="center"/>
                    <w:textAlignment w:val="baseline"/>
                    <w:rPr>
                      <w:rStyle w:val="248"/>
                      <w:rFonts w:ascii="宋体" w:hAnsi="宋体"/>
                      <w:color w:val="auto"/>
                      <w:sz w:val="22"/>
                      <w:highlight w:val="none"/>
                    </w:rPr>
                  </w:pPr>
                  <w:r>
                    <w:rPr>
                      <w:rStyle w:val="248"/>
                      <w:rFonts w:ascii="宋体" w:hAnsi="宋体"/>
                      <w:color w:val="auto"/>
                      <w:sz w:val="22"/>
                      <w:highlight w:val="none"/>
                    </w:rPr>
                    <w:t>(</w:t>
                  </w:r>
                  <w:r>
                    <w:rPr>
                      <w:rStyle w:val="248"/>
                      <w:rFonts w:hint="eastAsia" w:ascii="宋体" w:hAnsi="宋体"/>
                      <w:color w:val="auto"/>
                      <w:sz w:val="22"/>
                      <w:highlight w:val="none"/>
                      <w:lang w:val="en-US"/>
                    </w:rPr>
                    <w:t>2</w:t>
                  </w:r>
                  <w:r>
                    <w:rPr>
                      <w:rStyle w:val="248"/>
                      <w:rFonts w:ascii="宋体" w:hAnsi="宋体"/>
                      <w:color w:val="auto"/>
                      <w:sz w:val="22"/>
                      <w:highlight w:val="none"/>
                    </w:rPr>
                    <w:t>人)</w:t>
                  </w:r>
                </w:p>
              </w:tc>
              <w:tc>
                <w:tcPr>
                  <w:tcW w:w="1711" w:type="dxa"/>
                  <w:tcBorders>
                    <w:top w:val="single" w:color="000000" w:sz="6" w:space="0"/>
                    <w:left w:val="single" w:color="000000" w:sz="6" w:space="0"/>
                    <w:bottom w:val="single" w:color="000000" w:sz="6" w:space="0"/>
                    <w:right w:val="single" w:color="000000" w:sz="6" w:space="0"/>
                  </w:tcBorders>
                  <w:noWrap/>
                  <w:vAlign w:val="center"/>
                </w:tcPr>
                <w:p>
                  <w:pPr>
                    <w:jc w:val="center"/>
                    <w:textAlignment w:val="baseline"/>
                    <w:rPr>
                      <w:rStyle w:val="248"/>
                      <w:rFonts w:ascii="宋体" w:hAnsi="宋体"/>
                      <w:color w:val="auto"/>
                      <w:sz w:val="22"/>
                      <w:highlight w:val="none"/>
                    </w:rPr>
                  </w:pPr>
                  <w:r>
                    <w:rPr>
                      <w:rFonts w:hint="eastAsia" w:ascii="宋体" w:hAnsi="宋体" w:eastAsia="宋体" w:cs="宋体"/>
                      <w:color w:val="auto"/>
                      <w:kern w:val="0"/>
                      <w:sz w:val="24"/>
                      <w:szCs w:val="24"/>
                      <w:highlight w:val="none"/>
                      <w:lang w:val="en-US" w:eastAsia="zh-CN" w:bidi="ar"/>
                    </w:rPr>
                    <w:t>项目负责人、</w:t>
                  </w:r>
                  <w:r>
                    <w:rPr>
                      <w:rFonts w:ascii="宋体" w:hAnsi="宋体" w:eastAsia="宋体" w:cs="宋体"/>
                      <w:color w:val="auto"/>
                      <w:kern w:val="0"/>
                      <w:sz w:val="24"/>
                      <w:szCs w:val="24"/>
                      <w:highlight w:val="none"/>
                      <w:lang w:val="en-US" w:eastAsia="zh-CN" w:bidi="ar"/>
                    </w:rPr>
                    <w:t>主厨</w:t>
                  </w:r>
                </w:p>
              </w:tc>
              <w:tc>
                <w:tcPr>
                  <w:tcW w:w="851" w:type="dxa"/>
                  <w:tcBorders>
                    <w:top w:val="single" w:color="000000" w:sz="6" w:space="0"/>
                    <w:left w:val="single" w:color="000000" w:sz="6" w:space="0"/>
                    <w:bottom w:val="single" w:color="000000" w:sz="6" w:space="0"/>
                    <w:right w:val="single" w:color="000000" w:sz="6" w:space="0"/>
                  </w:tcBorders>
                  <w:noWrap/>
                  <w:vAlign w:val="center"/>
                </w:tcPr>
                <w:p>
                  <w:pPr>
                    <w:jc w:val="center"/>
                    <w:textAlignment w:val="baseline"/>
                    <w:rPr>
                      <w:rStyle w:val="248"/>
                      <w:rFonts w:ascii="宋体" w:hAnsi="宋体"/>
                      <w:color w:val="auto"/>
                      <w:sz w:val="22"/>
                      <w:highlight w:val="none"/>
                    </w:rPr>
                  </w:pPr>
                  <w:r>
                    <w:rPr>
                      <w:rStyle w:val="248"/>
                      <w:rFonts w:hint="eastAsia" w:ascii="宋体" w:hAnsi="宋体"/>
                      <w:color w:val="auto"/>
                      <w:sz w:val="22"/>
                      <w:highlight w:val="none"/>
                      <w:lang w:val="en-US"/>
                    </w:rPr>
                    <w:t>1</w:t>
                  </w:r>
                </w:p>
              </w:tc>
              <w:tc>
                <w:tcPr>
                  <w:tcW w:w="4299" w:type="dxa"/>
                  <w:tcBorders>
                    <w:top w:val="single" w:color="000000" w:sz="6" w:space="0"/>
                    <w:left w:val="single" w:color="000000" w:sz="6" w:space="0"/>
                    <w:bottom w:val="single" w:color="000000" w:sz="6" w:space="0"/>
                    <w:right w:val="single" w:color="000000" w:sz="6" w:space="0"/>
                  </w:tcBorders>
                  <w:noWrap/>
                  <w:vAlign w:val="center"/>
                </w:tcPr>
                <w:p>
                  <w:pPr>
                    <w:textAlignment w:val="baseline"/>
                    <w:rPr>
                      <w:rStyle w:val="248"/>
                      <w:rFonts w:ascii="宋体" w:hAnsi="宋体"/>
                      <w:color w:val="auto"/>
                      <w:sz w:val="22"/>
                      <w:highlight w:val="none"/>
                    </w:rPr>
                  </w:pPr>
                  <w:r>
                    <w:rPr>
                      <w:rStyle w:val="248"/>
                      <w:rFonts w:ascii="宋体" w:hAnsi="宋体"/>
                      <w:bCs/>
                      <w:color w:val="auto"/>
                      <w:sz w:val="22"/>
                      <w:highlight w:val="none"/>
                    </w:rPr>
                    <w:t>负责项目食堂餐饮的炉台餐饮烹饪工作，兼负宴请接待、小餐厅小锅烹饪工作，并负责每天供菜的验收。全面负责项目食堂的厨房、餐厅、包厢接待等各项管理及与</w:t>
                  </w:r>
                  <w:r>
                    <w:rPr>
                      <w:rStyle w:val="248"/>
                      <w:rFonts w:hint="eastAsia" w:ascii="宋体" w:hAnsi="宋体"/>
                      <w:bCs/>
                      <w:color w:val="auto"/>
                      <w:sz w:val="22"/>
                      <w:highlight w:val="none"/>
                    </w:rPr>
                    <w:t>甲方</w:t>
                  </w:r>
                  <w:r>
                    <w:rPr>
                      <w:rStyle w:val="248"/>
                      <w:rFonts w:ascii="宋体" w:hAnsi="宋体"/>
                      <w:bCs/>
                      <w:color w:val="auto"/>
                      <w:sz w:val="22"/>
                      <w:highlight w:val="none"/>
                    </w:rPr>
                    <w:t>的协调，负责食堂厨房外餐厅、小餐厅、包厢等各区域，服务、清洁组员工的管理、培训及区域内相关日常工作协调、监督</w:t>
                  </w:r>
                  <w:r>
                    <w:rPr>
                      <w:rStyle w:val="248"/>
                      <w:rFonts w:hint="eastAsia" w:ascii="宋体" w:hAnsi="宋体"/>
                      <w:bCs/>
                      <w:color w:val="auto"/>
                      <w:sz w:val="22"/>
                      <w:highlight w:val="none"/>
                    </w:rPr>
                    <w:t>、收银登记管理</w:t>
                  </w:r>
                  <w:r>
                    <w:rPr>
                      <w:rStyle w:val="248"/>
                      <w:rFonts w:ascii="宋体" w:hAnsi="宋体"/>
                      <w:bCs/>
                      <w:color w:val="auto"/>
                      <w:sz w:val="22"/>
                      <w:highlight w:val="none"/>
                    </w:rPr>
                    <w:t>等工作</w:t>
                  </w:r>
                  <w:r>
                    <w:rPr>
                      <w:rStyle w:val="248"/>
                      <w:rFonts w:hint="eastAsia" w:ascii="宋体" w:hAnsi="宋体"/>
                      <w:bCs/>
                      <w:color w:val="auto"/>
                      <w:sz w:val="22"/>
                      <w:highlight w:val="none"/>
                    </w:rPr>
                    <w:t>。</w:t>
                  </w:r>
                </w:p>
              </w:tc>
              <w:tc>
                <w:tcPr>
                  <w:tcW w:w="2491" w:type="dxa"/>
                  <w:tcBorders>
                    <w:top w:val="single" w:color="000000" w:sz="6" w:space="0"/>
                    <w:left w:val="single" w:color="000000" w:sz="4" w:space="0"/>
                    <w:bottom w:val="single" w:color="000000" w:sz="6" w:space="0"/>
                    <w:right w:val="single" w:color="000000" w:sz="12" w:space="0"/>
                  </w:tcBorders>
                  <w:noWrap/>
                  <w:vAlign w:val="center"/>
                </w:tcPr>
                <w:p>
                  <w:pPr>
                    <w:jc w:val="center"/>
                    <w:textAlignment w:val="baseline"/>
                    <w:rPr>
                      <w:rStyle w:val="248"/>
                      <w:rFonts w:ascii="宋体" w:hAnsi="宋体"/>
                      <w:color w:val="auto"/>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7" w:hRule="exact"/>
              </w:trPr>
              <w:tc>
                <w:tcPr>
                  <w:tcW w:w="1006" w:type="dxa"/>
                  <w:vMerge w:val="continue"/>
                  <w:tcBorders>
                    <w:top w:val="single" w:color="000000" w:sz="6" w:space="0"/>
                    <w:left w:val="single" w:color="000000" w:sz="12" w:space="0"/>
                    <w:bottom w:val="single" w:color="000000" w:sz="6" w:space="0"/>
                    <w:right w:val="single" w:color="000000" w:sz="6" w:space="0"/>
                  </w:tcBorders>
                  <w:noWrap/>
                  <w:vAlign w:val="center"/>
                </w:tcPr>
                <w:p>
                  <w:pPr>
                    <w:jc w:val="center"/>
                    <w:textAlignment w:val="baseline"/>
                    <w:rPr>
                      <w:rStyle w:val="248"/>
                      <w:rFonts w:ascii="宋体" w:hAnsi="宋体"/>
                      <w:color w:val="auto"/>
                      <w:sz w:val="22"/>
                      <w:highlight w:val="none"/>
                    </w:rPr>
                  </w:pPr>
                </w:p>
              </w:tc>
              <w:tc>
                <w:tcPr>
                  <w:tcW w:w="1711" w:type="dxa"/>
                  <w:tcBorders>
                    <w:top w:val="single" w:color="000000" w:sz="6" w:space="0"/>
                    <w:left w:val="single" w:color="000000" w:sz="6" w:space="0"/>
                    <w:right w:val="single" w:color="000000" w:sz="6" w:space="0"/>
                  </w:tcBorders>
                  <w:noWrap/>
                  <w:vAlign w:val="center"/>
                </w:tcPr>
                <w:p>
                  <w:pPr>
                    <w:snapToGrid w:val="0"/>
                    <w:jc w:val="center"/>
                    <w:textAlignment w:val="baseline"/>
                    <w:rPr>
                      <w:rStyle w:val="248"/>
                      <w:rFonts w:ascii="宋体" w:hAnsi="宋体"/>
                      <w:color w:val="auto"/>
                      <w:sz w:val="22"/>
                      <w:highlight w:val="none"/>
                    </w:rPr>
                  </w:pPr>
                  <w:r>
                    <w:rPr>
                      <w:rFonts w:ascii="宋体" w:hAnsi="宋体" w:eastAsia="宋体" w:cs="宋体"/>
                      <w:color w:val="auto"/>
                      <w:kern w:val="0"/>
                      <w:sz w:val="24"/>
                      <w:szCs w:val="24"/>
                      <w:highlight w:val="none"/>
                      <w:lang w:val="en-US" w:eastAsia="zh-CN" w:bidi="ar"/>
                    </w:rPr>
                    <w:t>副厨</w:t>
                  </w:r>
                </w:p>
              </w:tc>
              <w:tc>
                <w:tcPr>
                  <w:tcW w:w="851" w:type="dxa"/>
                  <w:tcBorders>
                    <w:top w:val="single" w:color="000000" w:sz="6" w:space="0"/>
                    <w:left w:val="single" w:color="000000" w:sz="6" w:space="0"/>
                    <w:right w:val="single" w:color="000000" w:sz="6" w:space="0"/>
                  </w:tcBorders>
                  <w:noWrap/>
                  <w:vAlign w:val="center"/>
                </w:tcPr>
                <w:p>
                  <w:pPr>
                    <w:snapToGrid w:val="0"/>
                    <w:jc w:val="center"/>
                    <w:textAlignment w:val="baseline"/>
                    <w:rPr>
                      <w:rStyle w:val="248"/>
                      <w:rFonts w:ascii="宋体" w:hAnsi="宋体"/>
                      <w:color w:val="auto"/>
                      <w:sz w:val="22"/>
                      <w:highlight w:val="none"/>
                    </w:rPr>
                  </w:pPr>
                  <w:r>
                    <w:rPr>
                      <w:rStyle w:val="248"/>
                      <w:rFonts w:hint="eastAsia" w:ascii="宋体" w:hAnsi="宋体"/>
                      <w:color w:val="auto"/>
                      <w:sz w:val="22"/>
                      <w:highlight w:val="none"/>
                    </w:rPr>
                    <w:t>1</w:t>
                  </w:r>
                </w:p>
              </w:tc>
              <w:tc>
                <w:tcPr>
                  <w:tcW w:w="4299" w:type="dxa"/>
                  <w:tcBorders>
                    <w:top w:val="single" w:color="000000" w:sz="6" w:space="0"/>
                    <w:left w:val="single" w:color="000000" w:sz="6" w:space="0"/>
                    <w:right w:val="single" w:color="000000" w:sz="6" w:space="0"/>
                  </w:tcBorders>
                  <w:noWrap/>
                  <w:vAlign w:val="center"/>
                </w:tcPr>
                <w:p>
                  <w:pPr>
                    <w:snapToGrid w:val="0"/>
                    <w:textAlignment w:val="baseline"/>
                    <w:rPr>
                      <w:rStyle w:val="248"/>
                      <w:rFonts w:ascii="宋体" w:hAnsi="宋体"/>
                      <w:color w:val="auto"/>
                      <w:sz w:val="22"/>
                      <w:highlight w:val="none"/>
                    </w:rPr>
                  </w:pPr>
                  <w:r>
                    <w:rPr>
                      <w:rStyle w:val="248"/>
                      <w:rFonts w:ascii="宋体" w:hAnsi="宋体"/>
                      <w:color w:val="auto"/>
                      <w:sz w:val="22"/>
                      <w:highlight w:val="none"/>
                    </w:rPr>
                    <w:t>负责项目食堂</w:t>
                  </w:r>
                  <w:r>
                    <w:rPr>
                      <w:rStyle w:val="248"/>
                      <w:rFonts w:hint="eastAsia" w:ascii="宋体" w:hAnsi="宋体"/>
                      <w:color w:val="auto"/>
                      <w:sz w:val="22"/>
                      <w:highlight w:val="none"/>
                      <w:lang w:val="en-US"/>
                    </w:rPr>
                    <w:t>的</w:t>
                  </w:r>
                  <w:r>
                    <w:rPr>
                      <w:rStyle w:val="248"/>
                      <w:rFonts w:ascii="宋体" w:hAnsi="宋体"/>
                      <w:color w:val="auto"/>
                      <w:sz w:val="22"/>
                      <w:highlight w:val="none"/>
                    </w:rPr>
                    <w:t>协助任务</w:t>
                  </w:r>
                  <w:r>
                    <w:rPr>
                      <w:rStyle w:val="248"/>
                      <w:rFonts w:hint="eastAsia" w:ascii="宋体" w:hAnsi="宋体"/>
                      <w:color w:val="auto"/>
                      <w:sz w:val="22"/>
                      <w:highlight w:val="none"/>
                    </w:rPr>
                    <w:t>，</w:t>
                  </w:r>
                  <w:r>
                    <w:rPr>
                      <w:rStyle w:val="248"/>
                      <w:rFonts w:hint="eastAsia" w:ascii="宋体" w:hAnsi="宋体"/>
                      <w:color w:val="auto"/>
                      <w:sz w:val="22"/>
                      <w:highlight w:val="none"/>
                      <w:lang w:val="en-US"/>
                    </w:rPr>
                    <w:t>配合</w:t>
                  </w:r>
                  <w:r>
                    <w:rPr>
                      <w:rFonts w:ascii="宋体" w:hAnsi="宋体" w:eastAsia="宋体" w:cs="宋体"/>
                      <w:color w:val="auto"/>
                      <w:kern w:val="0"/>
                      <w:sz w:val="24"/>
                      <w:szCs w:val="24"/>
                      <w:highlight w:val="none"/>
                      <w:lang w:val="en-US" w:eastAsia="zh-CN" w:bidi="ar"/>
                    </w:rPr>
                    <w:t>主厨</w:t>
                  </w:r>
                  <w:r>
                    <w:rPr>
                      <w:rFonts w:hint="eastAsia" w:ascii="宋体" w:hAnsi="宋体" w:eastAsia="宋体" w:cs="宋体"/>
                      <w:color w:val="auto"/>
                      <w:kern w:val="0"/>
                      <w:sz w:val="24"/>
                      <w:szCs w:val="24"/>
                      <w:highlight w:val="none"/>
                      <w:lang w:val="en-US" w:eastAsia="zh-CN" w:bidi="ar"/>
                    </w:rPr>
                    <w:t>一起完成工作</w:t>
                  </w:r>
                  <w:r>
                    <w:rPr>
                      <w:rStyle w:val="248"/>
                      <w:rFonts w:hint="eastAsia" w:ascii="宋体" w:hAnsi="宋体"/>
                      <w:color w:val="auto"/>
                      <w:sz w:val="22"/>
                      <w:highlight w:val="none"/>
                    </w:rPr>
                    <w:t>。</w:t>
                  </w:r>
                </w:p>
              </w:tc>
              <w:tc>
                <w:tcPr>
                  <w:tcW w:w="2491" w:type="dxa"/>
                  <w:tcBorders>
                    <w:top w:val="single" w:color="000000" w:sz="6" w:space="0"/>
                    <w:left w:val="single" w:color="000000" w:sz="4" w:space="0"/>
                    <w:bottom w:val="single" w:color="000000" w:sz="6" w:space="0"/>
                    <w:right w:val="single" w:color="000000" w:sz="12" w:space="0"/>
                  </w:tcBorders>
                  <w:noWrap/>
                  <w:vAlign w:val="center"/>
                </w:tcPr>
                <w:p>
                  <w:pPr>
                    <w:jc w:val="center"/>
                    <w:textAlignment w:val="baseline"/>
                    <w:rPr>
                      <w:rStyle w:val="248"/>
                      <w:rFonts w:ascii="宋体" w:hAnsi="宋体"/>
                      <w:color w:val="auto"/>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771" w:hRule="exact"/>
              </w:trPr>
              <w:tc>
                <w:tcPr>
                  <w:tcW w:w="1006" w:type="dxa"/>
                  <w:tcBorders>
                    <w:top w:val="single" w:color="000000" w:sz="6" w:space="0"/>
                    <w:left w:val="single" w:color="000000" w:sz="12" w:space="0"/>
                    <w:bottom w:val="single" w:color="000000" w:sz="6" w:space="0"/>
                    <w:right w:val="single" w:color="000000" w:sz="6" w:space="0"/>
                  </w:tcBorders>
                  <w:noWrap/>
                  <w:vAlign w:val="center"/>
                </w:tcPr>
                <w:p>
                  <w:pPr>
                    <w:snapToGrid w:val="0"/>
                    <w:jc w:val="center"/>
                    <w:textAlignment w:val="baseline"/>
                    <w:rPr>
                      <w:rStyle w:val="248"/>
                      <w:rFonts w:ascii="宋体" w:hAnsi="宋体"/>
                      <w:bCs/>
                      <w:color w:val="auto"/>
                      <w:sz w:val="22"/>
                      <w:highlight w:val="none"/>
                    </w:rPr>
                  </w:pPr>
                  <w:r>
                    <w:rPr>
                      <w:rStyle w:val="248"/>
                      <w:rFonts w:ascii="宋体" w:hAnsi="宋体"/>
                      <w:bCs/>
                      <w:color w:val="auto"/>
                      <w:sz w:val="22"/>
                      <w:highlight w:val="none"/>
                    </w:rPr>
                    <w:t>服务组</w:t>
                  </w:r>
                </w:p>
                <w:p>
                  <w:pPr>
                    <w:snapToGrid w:val="0"/>
                    <w:jc w:val="center"/>
                    <w:textAlignment w:val="baseline"/>
                    <w:rPr>
                      <w:rStyle w:val="248"/>
                      <w:rFonts w:ascii="宋体" w:hAnsi="宋体"/>
                      <w:bCs/>
                      <w:color w:val="auto"/>
                      <w:sz w:val="22"/>
                      <w:highlight w:val="none"/>
                    </w:rPr>
                  </w:pPr>
                  <w:r>
                    <w:rPr>
                      <w:rStyle w:val="248"/>
                      <w:rFonts w:ascii="宋体" w:hAnsi="宋体"/>
                      <w:bCs/>
                      <w:color w:val="auto"/>
                      <w:sz w:val="22"/>
                      <w:highlight w:val="none"/>
                    </w:rPr>
                    <w:t>(</w:t>
                  </w:r>
                  <w:r>
                    <w:rPr>
                      <w:rStyle w:val="248"/>
                      <w:rFonts w:hint="eastAsia" w:ascii="宋体" w:hAnsi="宋体"/>
                      <w:bCs/>
                      <w:color w:val="auto"/>
                      <w:sz w:val="22"/>
                      <w:highlight w:val="none"/>
                      <w:lang w:val="en-US"/>
                    </w:rPr>
                    <w:t>5</w:t>
                  </w:r>
                  <w:r>
                    <w:rPr>
                      <w:rStyle w:val="248"/>
                      <w:rFonts w:ascii="宋体" w:hAnsi="宋体"/>
                      <w:bCs/>
                      <w:color w:val="auto"/>
                      <w:sz w:val="22"/>
                      <w:highlight w:val="none"/>
                    </w:rPr>
                    <w:t>人)</w:t>
                  </w:r>
                </w:p>
                <w:p>
                  <w:pPr>
                    <w:snapToGrid w:val="0"/>
                    <w:jc w:val="center"/>
                    <w:textAlignment w:val="baseline"/>
                    <w:rPr>
                      <w:rStyle w:val="248"/>
                      <w:rFonts w:ascii="宋体" w:hAnsi="宋体"/>
                      <w:bCs/>
                      <w:color w:val="auto"/>
                      <w:sz w:val="22"/>
                      <w:highlight w:val="none"/>
                    </w:rPr>
                  </w:pPr>
                </w:p>
                <w:p>
                  <w:pPr>
                    <w:snapToGrid w:val="0"/>
                    <w:jc w:val="center"/>
                    <w:textAlignment w:val="baseline"/>
                    <w:rPr>
                      <w:rStyle w:val="248"/>
                      <w:rFonts w:ascii="宋体" w:hAnsi="宋体"/>
                      <w:bCs/>
                      <w:color w:val="auto"/>
                      <w:sz w:val="22"/>
                      <w:highlight w:val="none"/>
                    </w:rPr>
                  </w:pPr>
                </w:p>
              </w:tc>
              <w:tc>
                <w:tcPr>
                  <w:tcW w:w="1711" w:type="dxa"/>
                  <w:tcBorders>
                    <w:top w:val="single" w:color="000000" w:sz="6" w:space="0"/>
                    <w:left w:val="single" w:color="000000" w:sz="6" w:space="0"/>
                    <w:right w:val="single" w:color="000000" w:sz="6" w:space="0"/>
                  </w:tcBorders>
                  <w:noWrap/>
                  <w:vAlign w:val="center"/>
                </w:tcPr>
                <w:p>
                  <w:pPr>
                    <w:snapToGrid w:val="0"/>
                    <w:jc w:val="center"/>
                    <w:textAlignment w:val="baseline"/>
                    <w:rPr>
                      <w:rStyle w:val="248"/>
                      <w:rFonts w:ascii="宋体" w:hAnsi="宋体"/>
                      <w:bCs/>
                      <w:color w:val="auto"/>
                      <w:sz w:val="22"/>
                      <w:highlight w:val="none"/>
                    </w:rPr>
                  </w:pPr>
                  <w:r>
                    <w:rPr>
                      <w:rStyle w:val="248"/>
                      <w:rFonts w:ascii="宋体" w:hAnsi="宋体"/>
                      <w:bCs/>
                      <w:color w:val="auto"/>
                      <w:sz w:val="22"/>
                      <w:highlight w:val="none"/>
                    </w:rPr>
                    <w:t>服务员</w:t>
                  </w:r>
                </w:p>
              </w:tc>
              <w:tc>
                <w:tcPr>
                  <w:tcW w:w="851" w:type="dxa"/>
                  <w:tcBorders>
                    <w:top w:val="single" w:color="000000" w:sz="6" w:space="0"/>
                    <w:left w:val="single" w:color="000000" w:sz="6" w:space="0"/>
                    <w:right w:val="single" w:color="000000" w:sz="6" w:space="0"/>
                  </w:tcBorders>
                  <w:noWrap/>
                  <w:vAlign w:val="center"/>
                </w:tcPr>
                <w:p>
                  <w:pPr>
                    <w:snapToGrid w:val="0"/>
                    <w:jc w:val="center"/>
                    <w:textAlignment w:val="baseline"/>
                    <w:rPr>
                      <w:rStyle w:val="248"/>
                      <w:rFonts w:ascii="宋体" w:hAnsi="宋体"/>
                      <w:bCs/>
                      <w:color w:val="auto"/>
                      <w:sz w:val="22"/>
                      <w:highlight w:val="none"/>
                    </w:rPr>
                  </w:pPr>
                  <w:r>
                    <w:rPr>
                      <w:rStyle w:val="248"/>
                      <w:rFonts w:hint="eastAsia" w:ascii="宋体" w:hAnsi="宋体"/>
                      <w:bCs/>
                      <w:color w:val="auto"/>
                      <w:sz w:val="22"/>
                      <w:highlight w:val="none"/>
                      <w:lang w:val="en-US"/>
                    </w:rPr>
                    <w:t>5</w:t>
                  </w:r>
                </w:p>
              </w:tc>
              <w:tc>
                <w:tcPr>
                  <w:tcW w:w="4299" w:type="dxa"/>
                  <w:tcBorders>
                    <w:top w:val="single" w:color="000000" w:sz="6" w:space="0"/>
                    <w:left w:val="single" w:color="000000" w:sz="6" w:space="0"/>
                    <w:right w:val="single" w:color="000000" w:sz="6" w:space="0"/>
                  </w:tcBorders>
                  <w:noWrap/>
                  <w:vAlign w:val="center"/>
                </w:tcPr>
                <w:p>
                  <w:pPr>
                    <w:snapToGrid w:val="0"/>
                    <w:textAlignment w:val="baseline"/>
                    <w:rPr>
                      <w:rStyle w:val="248"/>
                      <w:rFonts w:hint="default" w:ascii="宋体" w:hAnsi="宋体"/>
                      <w:bCs/>
                      <w:color w:val="auto"/>
                      <w:sz w:val="22"/>
                      <w:highlight w:val="none"/>
                      <w:lang w:val="en-US"/>
                    </w:rPr>
                  </w:pPr>
                  <w:r>
                    <w:rPr>
                      <w:rStyle w:val="248"/>
                      <w:rFonts w:ascii="宋体" w:hAnsi="宋体"/>
                      <w:color w:val="auto"/>
                      <w:sz w:val="22"/>
                      <w:highlight w:val="none"/>
                    </w:rPr>
                    <w:t>负责食堂餐厅服务、包厢接待、小餐厅服务，协助餐厅其他工作</w:t>
                  </w:r>
                  <w:r>
                    <w:rPr>
                      <w:rStyle w:val="248"/>
                      <w:rFonts w:hint="eastAsia" w:ascii="宋体" w:hAnsi="宋体"/>
                      <w:color w:val="auto"/>
                      <w:sz w:val="22"/>
                      <w:highlight w:val="none"/>
                    </w:rPr>
                    <w:t>。</w:t>
                  </w:r>
                  <w:r>
                    <w:rPr>
                      <w:rStyle w:val="248"/>
                      <w:rFonts w:ascii="宋体" w:hAnsi="宋体"/>
                      <w:bCs/>
                      <w:color w:val="auto"/>
                      <w:kern w:val="0"/>
                      <w:sz w:val="22"/>
                      <w:highlight w:val="none"/>
                    </w:rPr>
                    <w:t>负责蒸饭、面点等帮厨工作，负责食堂餐厅、包厢、小餐厅的地面等就餐环境清洁服务，食堂食材的清洗清洁、粗加工，餐具的回收、清洗、消毒，协助食堂</w:t>
                  </w:r>
                  <w:r>
                    <w:rPr>
                      <w:rStyle w:val="248"/>
                      <w:rFonts w:hint="eastAsia" w:ascii="宋体" w:hAnsi="宋体"/>
                      <w:bCs/>
                      <w:color w:val="auto"/>
                      <w:kern w:val="0"/>
                      <w:sz w:val="22"/>
                      <w:highlight w:val="none"/>
                    </w:rPr>
                    <w:t>刷卡</w:t>
                  </w:r>
                  <w:r>
                    <w:rPr>
                      <w:rStyle w:val="248"/>
                      <w:rFonts w:ascii="宋体" w:hAnsi="宋体"/>
                      <w:bCs/>
                      <w:color w:val="auto"/>
                      <w:kern w:val="0"/>
                      <w:sz w:val="22"/>
                      <w:highlight w:val="none"/>
                    </w:rPr>
                    <w:t>，打菜</w:t>
                  </w:r>
                  <w:r>
                    <w:rPr>
                      <w:rStyle w:val="248"/>
                      <w:rFonts w:hint="eastAsia" w:ascii="宋体" w:hAnsi="宋体"/>
                      <w:bCs/>
                      <w:color w:val="auto"/>
                      <w:kern w:val="0"/>
                      <w:sz w:val="22"/>
                      <w:highlight w:val="none"/>
                    </w:rPr>
                    <w:t>、厨房相关设备专门配备人员定期检查</w:t>
                  </w:r>
                  <w:r>
                    <w:rPr>
                      <w:rStyle w:val="248"/>
                      <w:rFonts w:ascii="宋体" w:hAnsi="宋体"/>
                      <w:bCs/>
                      <w:color w:val="auto"/>
                      <w:kern w:val="0"/>
                      <w:sz w:val="22"/>
                      <w:highlight w:val="none"/>
                    </w:rPr>
                    <w:t>等其他各项服务工作</w:t>
                  </w:r>
                  <w:r>
                    <w:rPr>
                      <w:rStyle w:val="248"/>
                      <w:rFonts w:hint="eastAsia" w:ascii="宋体" w:hAnsi="宋体"/>
                      <w:bCs/>
                      <w:color w:val="auto"/>
                      <w:kern w:val="0"/>
                      <w:sz w:val="22"/>
                      <w:highlight w:val="none"/>
                    </w:rPr>
                    <w:t>。</w:t>
                  </w:r>
                </w:p>
              </w:tc>
              <w:tc>
                <w:tcPr>
                  <w:tcW w:w="2491" w:type="dxa"/>
                  <w:tcBorders>
                    <w:top w:val="single" w:color="000000" w:sz="6" w:space="0"/>
                    <w:left w:val="single" w:color="000000" w:sz="4" w:space="0"/>
                    <w:right w:val="single" w:color="000000" w:sz="12" w:space="0"/>
                  </w:tcBorders>
                  <w:noWrap/>
                  <w:vAlign w:val="center"/>
                </w:tcPr>
                <w:p>
                  <w:pPr>
                    <w:jc w:val="center"/>
                    <w:textAlignment w:val="baseline"/>
                    <w:rPr>
                      <w:rStyle w:val="248"/>
                      <w:rFonts w:hint="default" w:ascii="宋体" w:hAnsi="宋体"/>
                      <w:color w:val="auto"/>
                      <w:sz w:val="22"/>
                      <w:highlight w:val="none"/>
                      <w:lang w:val="en-U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2717" w:type="dxa"/>
                  <w:gridSpan w:val="2"/>
                  <w:tcBorders>
                    <w:top w:val="single" w:color="000000" w:sz="6" w:space="0"/>
                    <w:left w:val="single" w:color="000000" w:sz="12" w:space="0"/>
                    <w:bottom w:val="single" w:color="000000" w:sz="6" w:space="0"/>
                    <w:right w:val="single" w:color="000000" w:sz="6" w:space="0"/>
                  </w:tcBorders>
                  <w:noWrap/>
                  <w:vAlign w:val="center"/>
                </w:tcPr>
                <w:p>
                  <w:pPr>
                    <w:snapToGrid w:val="0"/>
                    <w:jc w:val="center"/>
                    <w:textAlignment w:val="baseline"/>
                    <w:rPr>
                      <w:rStyle w:val="248"/>
                      <w:rFonts w:ascii="宋体" w:hAnsi="宋体"/>
                      <w:bCs/>
                      <w:color w:val="auto"/>
                      <w:sz w:val="22"/>
                      <w:highlight w:val="none"/>
                    </w:rPr>
                  </w:pPr>
                  <w:r>
                    <w:rPr>
                      <w:rStyle w:val="248"/>
                      <w:rFonts w:ascii="宋体" w:hAnsi="宋体"/>
                      <w:bCs/>
                      <w:color w:val="auto"/>
                      <w:sz w:val="22"/>
                      <w:highlight w:val="none"/>
                    </w:rPr>
                    <w:t>合计</w:t>
                  </w:r>
                </w:p>
              </w:tc>
              <w:tc>
                <w:tcPr>
                  <w:tcW w:w="851" w:type="dxa"/>
                  <w:tcBorders>
                    <w:top w:val="single" w:color="000000" w:sz="6" w:space="0"/>
                    <w:left w:val="single" w:color="000000" w:sz="6" w:space="0"/>
                    <w:bottom w:val="single" w:color="000000" w:sz="6" w:space="0"/>
                    <w:right w:val="single" w:color="000000" w:sz="6" w:space="0"/>
                  </w:tcBorders>
                  <w:noWrap/>
                  <w:vAlign w:val="center"/>
                </w:tcPr>
                <w:p>
                  <w:pPr>
                    <w:snapToGrid w:val="0"/>
                    <w:jc w:val="center"/>
                    <w:textAlignment w:val="baseline"/>
                    <w:rPr>
                      <w:rStyle w:val="248"/>
                      <w:rFonts w:ascii="宋体" w:hAnsi="宋体"/>
                      <w:bCs/>
                      <w:color w:val="auto"/>
                      <w:sz w:val="22"/>
                      <w:highlight w:val="none"/>
                    </w:rPr>
                  </w:pPr>
                  <w:r>
                    <w:rPr>
                      <w:rStyle w:val="248"/>
                      <w:rFonts w:hint="eastAsia" w:ascii="宋体" w:hAnsi="宋体"/>
                      <w:bCs/>
                      <w:color w:val="auto"/>
                      <w:sz w:val="22"/>
                      <w:highlight w:val="none"/>
                    </w:rPr>
                    <w:t>7人</w:t>
                  </w:r>
                </w:p>
              </w:tc>
              <w:tc>
                <w:tcPr>
                  <w:tcW w:w="4299" w:type="dxa"/>
                  <w:tcBorders>
                    <w:top w:val="single" w:color="000000" w:sz="6" w:space="0"/>
                    <w:left w:val="single" w:color="000000" w:sz="6" w:space="0"/>
                    <w:bottom w:val="single" w:color="000000" w:sz="6" w:space="0"/>
                    <w:right w:val="single" w:color="000000" w:sz="6" w:space="0"/>
                  </w:tcBorders>
                  <w:noWrap/>
                  <w:vAlign w:val="center"/>
                </w:tcPr>
                <w:p>
                  <w:pPr>
                    <w:snapToGrid w:val="0"/>
                    <w:textAlignment w:val="baseline"/>
                    <w:rPr>
                      <w:rStyle w:val="248"/>
                      <w:rFonts w:ascii="宋体" w:hAnsi="宋体"/>
                      <w:bCs/>
                      <w:color w:val="auto"/>
                      <w:kern w:val="0"/>
                      <w:sz w:val="22"/>
                      <w:highlight w:val="none"/>
                    </w:rPr>
                  </w:pPr>
                </w:p>
              </w:tc>
              <w:tc>
                <w:tcPr>
                  <w:tcW w:w="2491" w:type="dxa"/>
                  <w:tcBorders>
                    <w:top w:val="single" w:color="000000" w:sz="6" w:space="0"/>
                    <w:left w:val="single" w:color="000000" w:sz="4" w:space="0"/>
                    <w:bottom w:val="single" w:color="000000" w:sz="6" w:space="0"/>
                    <w:right w:val="single" w:color="000000" w:sz="12" w:space="0"/>
                  </w:tcBorders>
                  <w:noWrap/>
                  <w:vAlign w:val="center"/>
                </w:tcPr>
                <w:p>
                  <w:pPr>
                    <w:jc w:val="center"/>
                    <w:textAlignment w:val="baseline"/>
                    <w:rPr>
                      <w:rStyle w:val="248"/>
                      <w:rFonts w:ascii="宋体" w:hAnsi="宋体"/>
                      <w:color w:val="auto"/>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80" w:hRule="atLeast"/>
              </w:trPr>
              <w:tc>
                <w:tcPr>
                  <w:tcW w:w="10358" w:type="dxa"/>
                  <w:gridSpan w:val="5"/>
                  <w:tcBorders>
                    <w:top w:val="single" w:color="000000" w:sz="6" w:space="0"/>
                    <w:left w:val="single" w:color="000000" w:sz="12" w:space="0"/>
                    <w:bottom w:val="single" w:color="000000" w:sz="12" w:space="0"/>
                    <w:right w:val="single" w:color="000000" w:sz="12" w:space="0"/>
                  </w:tcBorders>
                  <w:noWrap/>
                  <w:vAlign w:val="center"/>
                </w:tcPr>
                <w:p>
                  <w:pPr>
                    <w:jc w:val="left"/>
                    <w:textAlignment w:val="baseline"/>
                    <w:rPr>
                      <w:color w:val="auto"/>
                      <w:highlight w:val="none"/>
                    </w:rPr>
                  </w:pPr>
                  <w:r>
                    <w:rPr>
                      <w:rStyle w:val="248"/>
                      <w:rFonts w:hint="eastAsia" w:ascii="宋体" w:hAnsi="宋体"/>
                      <w:b/>
                      <w:color w:val="auto"/>
                      <w:sz w:val="22"/>
                      <w:highlight w:val="none"/>
                      <w:lang w:val="en-US" w:eastAsia="zh-CN"/>
                    </w:rPr>
                    <w:t>注：供应商应确保</w:t>
                  </w:r>
                  <w:r>
                    <w:rPr>
                      <w:rStyle w:val="248"/>
                      <w:rFonts w:hint="eastAsia" w:ascii="宋体" w:hAnsi="宋体"/>
                      <w:b/>
                      <w:color w:val="auto"/>
                      <w:sz w:val="22"/>
                      <w:highlight w:val="none"/>
                    </w:rPr>
                    <w:t>以上人员配置</w:t>
                  </w:r>
                  <w:r>
                    <w:rPr>
                      <w:rStyle w:val="248"/>
                      <w:rFonts w:hint="eastAsia" w:ascii="宋体" w:hAnsi="宋体"/>
                      <w:b/>
                      <w:color w:val="auto"/>
                      <w:sz w:val="22"/>
                      <w:highlight w:val="none"/>
                      <w:lang w:val="en-US" w:eastAsia="zh-CN"/>
                    </w:rPr>
                    <w:t>齐全</w:t>
                  </w:r>
                  <w:r>
                    <w:rPr>
                      <w:rStyle w:val="248"/>
                      <w:rFonts w:hint="eastAsia" w:ascii="宋体" w:hAnsi="宋体"/>
                      <w:b/>
                      <w:color w:val="auto"/>
                      <w:sz w:val="22"/>
                      <w:highlight w:val="none"/>
                    </w:rPr>
                    <w:t>，</w:t>
                  </w:r>
                  <w:r>
                    <w:rPr>
                      <w:rStyle w:val="248"/>
                      <w:rFonts w:hint="eastAsia" w:ascii="宋体" w:hAnsi="宋体"/>
                      <w:b/>
                      <w:color w:val="auto"/>
                      <w:sz w:val="22"/>
                      <w:highlight w:val="none"/>
                      <w:lang w:val="en-US" w:eastAsia="zh-CN"/>
                    </w:rPr>
                    <w:t>配置不齐或者到位率不足的，</w:t>
                  </w:r>
                  <w:r>
                    <w:rPr>
                      <w:rStyle w:val="248"/>
                      <w:rFonts w:hint="eastAsia" w:ascii="宋体" w:hAnsi="宋体"/>
                      <w:b/>
                      <w:color w:val="auto"/>
                      <w:sz w:val="22"/>
                      <w:highlight w:val="none"/>
                    </w:rPr>
                    <w:t>招标人</w:t>
                  </w:r>
                  <w:r>
                    <w:rPr>
                      <w:rStyle w:val="248"/>
                      <w:rFonts w:hint="eastAsia" w:ascii="宋体" w:hAnsi="宋体"/>
                      <w:b/>
                      <w:color w:val="auto"/>
                      <w:sz w:val="22"/>
                      <w:highlight w:val="none"/>
                      <w:lang w:val="en-US" w:eastAsia="zh-CN"/>
                    </w:rPr>
                    <w:t>有权要求进行改进或进行相应的</w:t>
                  </w:r>
                  <w:r>
                    <w:rPr>
                      <w:rStyle w:val="248"/>
                      <w:rFonts w:hint="eastAsia" w:ascii="宋体" w:hAnsi="宋体"/>
                      <w:b/>
                      <w:color w:val="auto"/>
                      <w:sz w:val="22"/>
                      <w:highlight w:val="none"/>
                    </w:rPr>
                    <w:t>处罚。</w:t>
                  </w:r>
                </w:p>
              </w:tc>
            </w:tr>
          </w:tbl>
          <w:p>
            <w:pPr>
              <w:adjustRightInd w:val="0"/>
              <w:snapToGrid w:val="0"/>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 </w:t>
            </w:r>
            <w:r>
              <w:rPr>
                <w:rFonts w:hint="eastAsia" w:ascii="宋体" w:hAnsi="宋体" w:cs="宋体"/>
                <w:b/>
                <w:color w:val="auto"/>
                <w:sz w:val="22"/>
                <w:szCs w:val="22"/>
                <w:highlight w:val="none"/>
              </w:rPr>
              <w:t>▲</w:t>
            </w:r>
            <w:r>
              <w:rPr>
                <w:rFonts w:hint="eastAsia" w:ascii="宋体" w:hAnsi="宋体" w:cs="宋体"/>
                <w:color w:val="auto"/>
                <w:sz w:val="22"/>
                <w:szCs w:val="22"/>
                <w:highlight w:val="none"/>
                <w:u w:val="single"/>
              </w:rPr>
              <w:t>本次食堂服务总人数要求不少于</w:t>
            </w:r>
            <w:r>
              <w:rPr>
                <w:rFonts w:hint="eastAsia" w:ascii="宋体" w:hAnsi="宋体" w:cs="宋体"/>
                <w:color w:val="auto"/>
                <w:sz w:val="22"/>
                <w:szCs w:val="22"/>
                <w:highlight w:val="none"/>
                <w:u w:val="single"/>
                <w:lang w:eastAsia="zh-CN"/>
              </w:rPr>
              <w:t>7人</w:t>
            </w:r>
            <w:r>
              <w:rPr>
                <w:rFonts w:hint="eastAsia" w:ascii="宋体" w:hAnsi="宋体" w:cs="宋体"/>
                <w:color w:val="auto"/>
                <w:sz w:val="22"/>
                <w:szCs w:val="22"/>
                <w:highlight w:val="none"/>
                <w:u w:val="single"/>
              </w:rPr>
              <w:t>（成交供应商实际人员原则上不得少于</w:t>
            </w:r>
            <w:r>
              <w:rPr>
                <w:rFonts w:hint="eastAsia" w:ascii="宋体" w:hAnsi="宋体" w:cs="宋体"/>
                <w:color w:val="auto"/>
                <w:sz w:val="22"/>
                <w:szCs w:val="22"/>
                <w:highlight w:val="none"/>
                <w:u w:val="single"/>
                <w:lang w:eastAsia="zh-CN"/>
              </w:rPr>
              <w:t>7人</w:t>
            </w:r>
            <w:r>
              <w:rPr>
                <w:rFonts w:hint="eastAsia" w:ascii="宋体" w:hAnsi="宋体" w:cs="宋体"/>
                <w:color w:val="auto"/>
                <w:sz w:val="22"/>
                <w:szCs w:val="22"/>
                <w:highlight w:val="none"/>
                <w:u w:val="single"/>
              </w:rPr>
              <w:t>，如采购人认为具体岗位人员配置不合理，需要变动，可要求成交供应商进行调整，成交供应商应积极配合，不得拒绝）,</w:t>
            </w:r>
            <w:r>
              <w:rPr>
                <w:rFonts w:hint="eastAsia" w:ascii="宋体" w:hAnsi="宋体" w:cs="宋体"/>
                <w:color w:val="auto"/>
                <w:sz w:val="22"/>
                <w:szCs w:val="22"/>
                <w:highlight w:val="none"/>
              </w:rPr>
              <w:t>各岗位人员配置表如下表：</w:t>
            </w:r>
          </w:p>
          <w:p>
            <w:pPr>
              <w:pStyle w:val="36"/>
              <w:rPr>
                <w:rFonts w:hint="eastAsia"/>
                <w:color w:val="auto"/>
                <w:highlight w:val="none"/>
              </w:rPr>
            </w:pPr>
          </w:p>
          <w:p>
            <w:pPr>
              <w:pStyle w:val="16"/>
              <w:rPr>
                <w:rFonts w:hint="eastAsia"/>
                <w:color w:val="auto"/>
                <w:highlight w:val="none"/>
                <w:lang w:val="en-US" w:eastAsia="zh-CN"/>
              </w:rPr>
            </w:pPr>
          </w:p>
          <w:p>
            <w:pPr>
              <w:adjustRightInd w:val="0"/>
              <w:snapToGrid w:val="0"/>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2</w:t>
            </w:r>
            <w:r>
              <w:rPr>
                <w:rFonts w:hint="eastAsia" w:ascii="宋体" w:hAnsi="宋体" w:cs="宋体"/>
                <w:b/>
                <w:color w:val="auto"/>
                <w:sz w:val="22"/>
                <w:szCs w:val="22"/>
                <w:highlight w:val="none"/>
                <w:lang w:val="en-US" w:eastAsia="zh-CN"/>
              </w:rPr>
              <w:t>.</w:t>
            </w:r>
            <w:r>
              <w:rPr>
                <w:rFonts w:hint="eastAsia" w:ascii="宋体" w:hAnsi="宋体" w:cs="宋体"/>
                <w:b/>
                <w:color w:val="auto"/>
                <w:sz w:val="22"/>
                <w:szCs w:val="22"/>
                <w:highlight w:val="none"/>
              </w:rPr>
              <w:t xml:space="preserve">    服务人员的要求（投标供应商成交后，应按照投标时所配备的人员进场，在运作期间如项目负责人或人员需变更应事先得到业主同意）如有出现到岗人员与岗位设置要求不匹配的，业主单位有权进行罚扣。</w:t>
            </w:r>
          </w:p>
          <w:p>
            <w:pPr>
              <w:adjustRightInd w:val="0"/>
              <w:snapToGrid w:val="0"/>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   </w:t>
            </w:r>
            <w:r>
              <w:rPr>
                <w:rStyle w:val="248"/>
                <w:rFonts w:hint="eastAsia" w:ascii="宋体" w:hAnsi="宋体" w:eastAsia="宋体" w:cs="宋体"/>
                <w:color w:val="auto"/>
                <w:sz w:val="22"/>
                <w:highlight w:val="none"/>
              </w:rPr>
              <w:t>厨师配备要求：聘请的厨师</w:t>
            </w:r>
            <w:r>
              <w:rPr>
                <w:rStyle w:val="248"/>
                <w:rFonts w:hint="eastAsia" w:ascii="宋体" w:hAnsi="宋体" w:eastAsia="宋体" w:cs="宋体"/>
                <w:color w:val="auto"/>
                <w:sz w:val="22"/>
                <w:highlight w:val="none"/>
                <w:lang w:val="en-US"/>
              </w:rPr>
              <w:t>必须</w:t>
            </w:r>
            <w:r>
              <w:rPr>
                <w:rStyle w:val="248"/>
                <w:rFonts w:hint="eastAsia" w:ascii="宋体" w:hAnsi="宋体" w:eastAsia="宋体" w:cs="宋体"/>
                <w:color w:val="auto"/>
                <w:sz w:val="22"/>
                <w:highlight w:val="none"/>
              </w:rPr>
              <w:t>能烧大锅菜，有街道食堂</w:t>
            </w:r>
            <w:r>
              <w:rPr>
                <w:rStyle w:val="248"/>
                <w:rFonts w:hint="eastAsia" w:ascii="宋体" w:hAnsi="宋体" w:eastAsia="宋体" w:cs="宋体"/>
                <w:color w:val="auto"/>
                <w:sz w:val="22"/>
                <w:highlight w:val="none"/>
                <w:lang w:val="en-US"/>
              </w:rPr>
              <w:t>、企业</w:t>
            </w:r>
            <w:r>
              <w:rPr>
                <w:rStyle w:val="248"/>
                <w:rFonts w:hint="eastAsia" w:ascii="宋体" w:hAnsi="宋体" w:eastAsia="宋体" w:cs="宋体"/>
                <w:color w:val="auto"/>
                <w:sz w:val="22"/>
                <w:highlight w:val="none"/>
              </w:rPr>
              <w:t>食堂</w:t>
            </w:r>
            <w:r>
              <w:rPr>
                <w:rStyle w:val="248"/>
                <w:rFonts w:hint="eastAsia" w:ascii="宋体" w:hAnsi="宋体" w:eastAsia="宋体" w:cs="宋体"/>
                <w:color w:val="auto"/>
                <w:sz w:val="22"/>
                <w:highlight w:val="none"/>
                <w:lang w:val="en-US"/>
              </w:rPr>
              <w:t>或机关单位食堂</w:t>
            </w:r>
            <w:r>
              <w:rPr>
                <w:rStyle w:val="248"/>
                <w:rFonts w:hint="eastAsia" w:ascii="宋体" w:hAnsi="宋体" w:eastAsia="宋体" w:cs="宋体"/>
                <w:color w:val="auto"/>
                <w:sz w:val="22"/>
                <w:highlight w:val="none"/>
              </w:rPr>
              <w:t>工作经验的厨师，</w:t>
            </w:r>
            <w:r>
              <w:rPr>
                <w:rStyle w:val="248"/>
                <w:rFonts w:hint="eastAsia" w:ascii="宋体" w:hAnsi="宋体" w:eastAsia="宋体" w:cs="宋体"/>
                <w:color w:val="auto"/>
                <w:sz w:val="22"/>
                <w:highlight w:val="none"/>
                <w:lang w:val="en-US"/>
              </w:rPr>
              <w:t>主厨建议持有厨</w:t>
            </w:r>
            <w:r>
              <w:rPr>
                <w:rStyle w:val="248"/>
                <w:rFonts w:hint="eastAsia" w:ascii="宋体" w:hAnsi="宋体" w:eastAsia="宋体" w:cs="宋体"/>
                <w:color w:val="auto"/>
                <w:sz w:val="22"/>
                <w:highlight w:val="none"/>
              </w:rPr>
              <w:t>师资格证书。</w:t>
            </w:r>
            <w:r>
              <w:rPr>
                <w:rStyle w:val="248"/>
                <w:rFonts w:hint="eastAsia" w:ascii="宋体" w:hAnsi="宋体" w:eastAsia="宋体" w:cs="宋体"/>
                <w:color w:val="auto"/>
                <w:sz w:val="22"/>
                <w:highlight w:val="none"/>
                <w:lang w:val="en-US" w:eastAsia="zh-CN"/>
              </w:rPr>
              <w:t>食堂服务人员：5位食堂服务人员，主要负责面点准备和制作及其它服务员所需的各项服务工作。</w:t>
            </w:r>
            <w:r>
              <w:rPr>
                <w:rFonts w:hint="eastAsia" w:ascii="宋体" w:hAnsi="宋体" w:cs="宋体"/>
                <w:color w:val="auto"/>
                <w:sz w:val="22"/>
                <w:szCs w:val="22"/>
                <w:highlight w:val="none"/>
              </w:rPr>
              <w:t>所有上岗人员要求政治上可靠、无不良行为记录，身体素质好，重要岗位人员配备必须业主审核，政治审查通过方可录用。</w:t>
            </w:r>
          </w:p>
          <w:p>
            <w:pPr>
              <w:adjustRightInd w:val="0"/>
              <w:snapToGrid w:val="0"/>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4.   相关人员应持有相关上岗证书，不得有违法犯罪记录。特种作业人员应持有政府相关专业部门颁发的有效上岗证</w:t>
            </w:r>
            <w:r>
              <w:rPr>
                <w:rFonts w:hint="eastAsia" w:ascii="宋体" w:hAnsi="宋体" w:eastAsia="宋体" w:cs="宋体"/>
                <w:color w:val="auto"/>
                <w:sz w:val="22"/>
                <w:szCs w:val="22"/>
                <w:highlight w:val="none"/>
              </w:rPr>
              <w:t>书。甲方不提供房间留宿</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服务人员</w:t>
            </w:r>
            <w:r>
              <w:rPr>
                <w:rFonts w:hint="eastAsia" w:ascii="宋体" w:hAnsi="宋体" w:cs="宋体"/>
                <w:color w:val="auto"/>
                <w:sz w:val="22"/>
                <w:szCs w:val="22"/>
                <w:highlight w:val="none"/>
              </w:rPr>
              <w:t>应每年一次体检，体检合格方可上岗。</w:t>
            </w:r>
          </w:p>
          <w:p>
            <w:pPr>
              <w:adjustRightInd w:val="0"/>
              <w:snapToGrid w:val="0"/>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5.   成交供应商需对下属服务人员严格管理，如发现服务人员有赌博、滋事、扰乱治安、偷盗物资，拿一次性消耗品回家等情况，发现一次则扣发当月工资10%。</w:t>
            </w:r>
          </w:p>
          <w:p>
            <w:pPr>
              <w:adjustRightInd w:val="0"/>
              <w:snapToGrid w:val="0"/>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6.   成交供应商所有工总人员，必须无条件服从采购人管理人员的调度、指挥，如发现不符合采购人管理要求的工作人员，采购人有权提出整改、更换，如3天内整改、更换、不及时或不到位，经协商无效，采购人有权终止合同。成交供应商更换或调整人员应提前征求采购人意见在征得采购人同意后方可更换、调整。</w:t>
            </w:r>
          </w:p>
          <w:p>
            <w:pPr>
              <w:pStyle w:val="3"/>
              <w:spacing w:line="680" w:lineRule="exact"/>
              <w:jc w:val="center"/>
              <w:rPr>
                <w:rFonts w:hint="eastAsia" w:ascii="宋体" w:hAnsi="宋体" w:eastAsia="宋体" w:cs="宋体"/>
                <w:color w:val="auto"/>
                <w:sz w:val="28"/>
                <w:szCs w:val="28"/>
                <w:highlight w:val="none"/>
              </w:rPr>
            </w:pPr>
            <w:bookmarkStart w:id="183" w:name="_Toc51010450"/>
            <w:bookmarkStart w:id="184" w:name="_Toc11475"/>
            <w:r>
              <w:rPr>
                <w:rFonts w:hint="eastAsia" w:ascii="宋体" w:hAnsi="宋体" w:eastAsia="宋体" w:cs="宋体"/>
                <w:color w:val="auto"/>
                <w:sz w:val="28"/>
                <w:szCs w:val="28"/>
                <w:highlight w:val="none"/>
              </w:rPr>
              <w:t>四、合同执行考核</w:t>
            </w:r>
            <w:bookmarkEnd w:id="175"/>
            <w:bookmarkEnd w:id="176"/>
            <w:bookmarkEnd w:id="183"/>
            <w:bookmarkEnd w:id="184"/>
          </w:p>
          <w:p>
            <w:pPr>
              <w:tabs>
                <w:tab w:val="left" w:pos="1620"/>
                <w:tab w:val="left" w:pos="2786"/>
              </w:tabs>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1.   采购人可以组织考核小组每月采取定时或抽查</w:t>
            </w:r>
            <w:r>
              <w:rPr>
                <w:rFonts w:hint="eastAsia" w:ascii="宋体" w:hAnsi="宋体" w:eastAsia="宋体" w:cs="宋体"/>
                <w:color w:val="auto"/>
                <w:sz w:val="22"/>
                <w:szCs w:val="22"/>
                <w:highlight w:val="none"/>
              </w:rPr>
              <w:t>形式根据“</w:t>
            </w:r>
            <w:r>
              <w:rPr>
                <w:rFonts w:hint="eastAsia" w:ascii="宋体" w:hAnsi="宋体" w:eastAsia="宋体" w:cs="宋体"/>
                <w:color w:val="auto"/>
                <w:sz w:val="22"/>
                <w:szCs w:val="22"/>
                <w:highlight w:val="none"/>
                <w:lang w:val="en-US" w:eastAsia="zh-CN"/>
              </w:rPr>
              <w:t>考核评分细则</w:t>
            </w:r>
            <w:r>
              <w:rPr>
                <w:rFonts w:hint="eastAsia" w:ascii="宋体" w:hAnsi="宋体" w:eastAsia="宋体" w:cs="宋体"/>
                <w:color w:val="auto"/>
                <w:sz w:val="22"/>
                <w:szCs w:val="22"/>
                <w:highlight w:val="none"/>
              </w:rPr>
              <w:t>”上所</w:t>
            </w:r>
            <w:r>
              <w:rPr>
                <w:rFonts w:hint="eastAsia" w:ascii="宋体" w:hAnsi="宋体" w:cs="宋体"/>
                <w:color w:val="auto"/>
                <w:sz w:val="22"/>
                <w:szCs w:val="22"/>
                <w:highlight w:val="none"/>
              </w:rPr>
              <w:t>列内容对成交供应商服务质量进行综合考核评分，投标供应商须无条件接受，采购人有权根据评分结果对成交供应商进行处罚。</w:t>
            </w:r>
          </w:p>
          <w:p>
            <w:pPr>
              <w:tabs>
                <w:tab w:val="left" w:pos="1620"/>
                <w:tab w:val="left" w:pos="2786"/>
              </w:tabs>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2.   每次根据采购人检查的 “考核表”统计结果进行综合评分。</w:t>
            </w:r>
          </w:p>
          <w:p>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3.   由于服务不到位造成财产与设施损失的，或者违反规定造成恶劣影响的，采购人有权提前终止合同，并没收履约保证金和扣除服务费用，造成经济损失应承担赔偿责任，情节严重的，将予追究法律责任。</w:t>
            </w:r>
            <w:bookmarkEnd w:id="177"/>
            <w:bookmarkEnd w:id="178"/>
            <w:bookmarkStart w:id="185" w:name="_Toc420567047"/>
            <w:bookmarkStart w:id="186" w:name="_Toc443989294"/>
            <w:bookmarkStart w:id="187" w:name="_Toc421712456"/>
            <w:bookmarkStart w:id="188" w:name="_Toc420567008"/>
          </w:p>
          <w:p>
            <w:pPr>
              <w:pStyle w:val="3"/>
              <w:spacing w:line="680" w:lineRule="exact"/>
              <w:jc w:val="center"/>
              <w:rPr>
                <w:rFonts w:hint="eastAsia" w:ascii="宋体" w:hAnsi="宋体" w:eastAsia="宋体"/>
                <w:color w:val="auto"/>
                <w:sz w:val="28"/>
                <w:szCs w:val="28"/>
                <w:highlight w:val="none"/>
              </w:rPr>
            </w:pPr>
            <w:bookmarkStart w:id="189" w:name="_Toc467576666"/>
            <w:bookmarkStart w:id="190" w:name="_Toc16973325"/>
            <w:bookmarkStart w:id="191" w:name="_Toc51010451"/>
            <w:bookmarkStart w:id="192" w:name="_Toc30600042"/>
            <w:bookmarkStart w:id="193" w:name="_Toc17265"/>
            <w:r>
              <w:rPr>
                <w:rFonts w:hint="eastAsia" w:ascii="宋体" w:hAnsi="宋体" w:eastAsia="宋体"/>
                <w:color w:val="auto"/>
                <w:sz w:val="28"/>
                <w:szCs w:val="28"/>
                <w:highlight w:val="none"/>
              </w:rPr>
              <w:t>五、报价要求</w:t>
            </w:r>
            <w:bookmarkEnd w:id="189"/>
            <w:bookmarkEnd w:id="190"/>
            <w:bookmarkEnd w:id="191"/>
            <w:bookmarkEnd w:id="192"/>
            <w:bookmarkEnd w:id="193"/>
          </w:p>
          <w:p>
            <w:pPr>
              <w:rPr>
                <w:rFonts w:hint="default" w:eastAsia="宋体"/>
                <w:color w:val="auto"/>
                <w:highlight w:val="none"/>
                <w:lang w:val="en-US" w:eastAsia="zh-CN"/>
              </w:rPr>
            </w:pPr>
            <w:r>
              <w:rPr>
                <w:rFonts w:hint="eastAsia" w:ascii="宋体" w:hAnsi="宋体" w:eastAsia="宋体"/>
                <w:color w:val="auto"/>
                <w:sz w:val="28"/>
                <w:szCs w:val="28"/>
                <w:highlight w:val="none"/>
                <w:lang w:val="en-US" w:eastAsia="zh-CN"/>
              </w:rPr>
              <w:t>主要服务内容</w:t>
            </w:r>
          </w:p>
          <w:tbl>
            <w:tblPr>
              <w:tblStyle w:val="38"/>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5661"/>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925" w:type="dxa"/>
                  <w:noWrap w:val="0"/>
                  <w:vAlign w:val="center"/>
                </w:tcPr>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5661" w:type="dxa"/>
                  <w:noWrap w:val="0"/>
                  <w:vAlign w:val="center"/>
                </w:tcPr>
                <w:p>
                  <w:pPr>
                    <w:spacing w:line="40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主要服务</w:t>
                  </w:r>
                  <w:r>
                    <w:rPr>
                      <w:rFonts w:hint="eastAsia" w:ascii="宋体" w:hAnsi="宋体" w:eastAsia="宋体" w:cs="宋体"/>
                      <w:color w:val="auto"/>
                      <w:sz w:val="22"/>
                      <w:szCs w:val="22"/>
                      <w:highlight w:val="none"/>
                    </w:rPr>
                    <w:t>内容</w:t>
                  </w:r>
                </w:p>
              </w:tc>
              <w:tc>
                <w:tcPr>
                  <w:tcW w:w="2092" w:type="dxa"/>
                  <w:noWrap w:val="0"/>
                  <w:vAlign w:val="center"/>
                </w:tcPr>
                <w:p>
                  <w:pPr>
                    <w:spacing w:line="40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价格（暂定）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25" w:type="dxa"/>
                  <w:noWrap w:val="0"/>
                  <w:vAlign w:val="center"/>
                </w:tcPr>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5661" w:type="dxa"/>
                  <w:noWrap w:val="0"/>
                  <w:vAlign w:val="center"/>
                </w:tcPr>
                <w:p>
                  <w:pPr>
                    <w:keepNext w:val="0"/>
                    <w:keepLines w:val="0"/>
                    <w:widowControl/>
                    <w:suppressLineNumbers w:val="0"/>
                    <w:jc w:val="center"/>
                    <w:textAlignment w:val="center"/>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val="en-US" w:eastAsia="zh-CN"/>
                    </w:rPr>
                    <w:t>日常常规</w:t>
                  </w:r>
                  <w:r>
                    <w:rPr>
                      <w:rFonts w:hint="eastAsia" w:ascii="宋体" w:hAnsi="宋体" w:cs="宋体"/>
                      <w:color w:val="auto"/>
                      <w:sz w:val="22"/>
                      <w:szCs w:val="22"/>
                      <w:highlight w:val="none"/>
                      <w:lang w:eastAsia="zh-CN"/>
                    </w:rPr>
                    <w:t>正餐（</w:t>
                  </w:r>
                  <w:r>
                    <w:rPr>
                      <w:rFonts w:hint="eastAsia" w:ascii="宋体" w:hAnsi="宋体" w:cs="宋体"/>
                      <w:color w:val="auto"/>
                      <w:sz w:val="22"/>
                      <w:szCs w:val="22"/>
                      <w:highlight w:val="none"/>
                      <w:lang w:val="en-US" w:eastAsia="zh-CN"/>
                    </w:rPr>
                    <w:t>早餐和</w:t>
                  </w:r>
                  <w:r>
                    <w:rPr>
                      <w:rFonts w:hint="eastAsia" w:ascii="宋体" w:hAnsi="宋体" w:cs="宋体"/>
                      <w:color w:val="auto"/>
                      <w:sz w:val="22"/>
                      <w:szCs w:val="22"/>
                      <w:highlight w:val="none"/>
                      <w:lang w:eastAsia="zh-CN"/>
                    </w:rPr>
                    <w:t>中餐）</w:t>
                  </w:r>
                  <w:r>
                    <w:rPr>
                      <w:rFonts w:hint="eastAsia" w:ascii="宋体" w:hAnsi="宋体" w:cs="宋体"/>
                      <w:color w:val="auto"/>
                      <w:sz w:val="22"/>
                      <w:szCs w:val="22"/>
                      <w:highlight w:val="none"/>
                      <w:lang w:val="en-US" w:eastAsia="zh-CN"/>
                    </w:rPr>
                    <w:t>约170</w:t>
                  </w:r>
                  <w:r>
                    <w:rPr>
                      <w:rFonts w:hint="eastAsia" w:ascii="宋体" w:hAnsi="宋体" w:cs="宋体"/>
                      <w:color w:val="auto"/>
                      <w:sz w:val="22"/>
                      <w:szCs w:val="22"/>
                      <w:highlight w:val="none"/>
                      <w:lang w:eastAsia="zh-CN"/>
                    </w:rPr>
                    <w:t>人</w:t>
                  </w:r>
                </w:p>
              </w:tc>
              <w:tc>
                <w:tcPr>
                  <w:tcW w:w="2092" w:type="dxa"/>
                  <w:noWrap w:val="0"/>
                  <w:vAlign w:val="center"/>
                </w:tcPr>
                <w:p>
                  <w:pPr>
                    <w:keepNext w:val="0"/>
                    <w:keepLines w:val="0"/>
                    <w:widowControl/>
                    <w:suppressLineNumbers w:val="0"/>
                    <w:jc w:val="center"/>
                    <w:textAlignment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612000元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25" w:type="dxa"/>
                  <w:noWrap w:val="0"/>
                  <w:vAlign w:val="center"/>
                </w:tcPr>
                <w:p>
                  <w:pPr>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2</w:t>
                  </w:r>
                </w:p>
              </w:tc>
              <w:tc>
                <w:tcPr>
                  <w:tcW w:w="5661" w:type="dxa"/>
                  <w:noWrap w:val="0"/>
                  <w:vAlign w:val="center"/>
                </w:tcPr>
                <w:p>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纳入街道日常中餐考核部分约170人</w:t>
                  </w:r>
                </w:p>
              </w:tc>
              <w:tc>
                <w:tcPr>
                  <w:tcW w:w="2092" w:type="dxa"/>
                  <w:noWrap w:val="0"/>
                  <w:vAlign w:val="center"/>
                </w:tcPr>
                <w:p>
                  <w:pPr>
                    <w:keepNext w:val="0"/>
                    <w:keepLines w:val="0"/>
                    <w:widowControl/>
                    <w:suppressLineNumbers w:val="0"/>
                    <w:jc w:val="center"/>
                    <w:textAlignment w:val="center"/>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204000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25" w:type="dxa"/>
                  <w:noWrap w:val="0"/>
                  <w:vAlign w:val="center"/>
                </w:tcPr>
                <w:p>
                  <w:pPr>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3</w:t>
                  </w:r>
                </w:p>
              </w:tc>
              <w:tc>
                <w:tcPr>
                  <w:tcW w:w="5661" w:type="dxa"/>
                  <w:noWrap w:val="0"/>
                  <w:vAlign w:val="center"/>
                </w:tcPr>
                <w:p>
                  <w:pPr>
                    <w:keepNext w:val="0"/>
                    <w:keepLines w:val="0"/>
                    <w:widowControl/>
                    <w:suppressLineNumbers w:val="0"/>
                    <w:jc w:val="center"/>
                    <w:textAlignment w:val="center"/>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val="en-US" w:eastAsia="zh-CN"/>
                    </w:rPr>
                    <w:t>晚上固定值班人员用餐约20人</w:t>
                  </w:r>
                </w:p>
              </w:tc>
              <w:tc>
                <w:tcPr>
                  <w:tcW w:w="2092" w:type="dxa"/>
                  <w:noWrap w:val="0"/>
                  <w:vAlign w:val="center"/>
                </w:tcPr>
                <w:p>
                  <w:pPr>
                    <w:keepNext w:val="0"/>
                    <w:keepLines w:val="0"/>
                    <w:widowControl/>
                    <w:suppressLineNumbers w:val="0"/>
                    <w:jc w:val="center"/>
                    <w:textAlignment w:val="center"/>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182500元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25" w:type="dxa"/>
                  <w:noWrap w:val="0"/>
                  <w:vAlign w:val="center"/>
                </w:tcPr>
                <w:p>
                  <w:pPr>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4</w:t>
                  </w:r>
                </w:p>
              </w:tc>
              <w:tc>
                <w:tcPr>
                  <w:tcW w:w="5661" w:type="dxa"/>
                  <w:noWrap w:val="0"/>
                  <w:vAlign w:val="center"/>
                </w:tcPr>
                <w:p>
                  <w:pPr>
                    <w:keepNext w:val="0"/>
                    <w:keepLines w:val="0"/>
                    <w:widowControl/>
                    <w:suppressLineNumbers w:val="0"/>
                    <w:jc w:val="center"/>
                    <w:textAlignment w:val="center"/>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val="en-US" w:eastAsia="zh-CN"/>
                    </w:rPr>
                    <w:t>每周固定加班用餐人员约150人</w:t>
                  </w:r>
                </w:p>
              </w:tc>
              <w:tc>
                <w:tcPr>
                  <w:tcW w:w="2092" w:type="dxa"/>
                  <w:noWrap w:val="0"/>
                  <w:vAlign w:val="center"/>
                </w:tcPr>
                <w:p>
                  <w:pPr>
                    <w:keepNext w:val="0"/>
                    <w:keepLines w:val="0"/>
                    <w:widowControl/>
                    <w:suppressLineNumbers w:val="0"/>
                    <w:jc w:val="center"/>
                    <w:textAlignment w:val="center"/>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93600元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25" w:type="dxa"/>
                  <w:noWrap w:val="0"/>
                  <w:vAlign w:val="center"/>
                </w:tcPr>
                <w:p>
                  <w:pPr>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5</w:t>
                  </w:r>
                </w:p>
              </w:tc>
              <w:tc>
                <w:tcPr>
                  <w:tcW w:w="5661" w:type="dxa"/>
                  <w:noWrap w:val="0"/>
                  <w:vAlign w:val="center"/>
                </w:tcPr>
                <w:p>
                  <w:pPr>
                    <w:keepNext w:val="0"/>
                    <w:keepLines w:val="0"/>
                    <w:widowControl/>
                    <w:suppressLineNumbers w:val="0"/>
                    <w:jc w:val="center"/>
                    <w:textAlignment w:val="center"/>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val="en-US" w:eastAsia="zh-CN"/>
                    </w:rPr>
                    <w:t>工作餐桌餐约150桌</w:t>
                  </w:r>
                </w:p>
              </w:tc>
              <w:tc>
                <w:tcPr>
                  <w:tcW w:w="2092" w:type="dxa"/>
                  <w:noWrap w:val="0"/>
                  <w:vAlign w:val="center"/>
                </w:tcPr>
                <w:p>
                  <w:pPr>
                    <w:keepNext w:val="0"/>
                    <w:keepLines w:val="0"/>
                    <w:widowControl/>
                    <w:suppressLineNumbers w:val="0"/>
                    <w:jc w:val="center"/>
                    <w:textAlignment w:val="center"/>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45000元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25" w:type="dxa"/>
                  <w:noWrap w:val="0"/>
                  <w:vAlign w:val="center"/>
                </w:tcPr>
                <w:p>
                  <w:pPr>
                    <w:spacing w:line="40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6</w:t>
                  </w:r>
                </w:p>
              </w:tc>
              <w:tc>
                <w:tcPr>
                  <w:tcW w:w="5661" w:type="dxa"/>
                  <w:noWrap w:val="0"/>
                  <w:vAlign w:val="center"/>
                </w:tcPr>
                <w:p>
                  <w:pPr>
                    <w:keepNext w:val="0"/>
                    <w:keepLines w:val="0"/>
                    <w:widowControl/>
                    <w:suppressLineNumbers w:val="0"/>
                    <w:jc w:val="center"/>
                    <w:textAlignment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法定节假日用餐等其它费用</w:t>
                  </w:r>
                </w:p>
              </w:tc>
              <w:tc>
                <w:tcPr>
                  <w:tcW w:w="2092" w:type="dxa"/>
                  <w:noWrap w:val="0"/>
                  <w:vAlign w:val="center"/>
                </w:tcPr>
                <w:p>
                  <w:pPr>
                    <w:keepNext w:val="0"/>
                    <w:keepLines w:val="0"/>
                    <w:widowControl/>
                    <w:suppressLineNumbers w:val="0"/>
                    <w:jc w:val="center"/>
                    <w:textAlignment w:val="center"/>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25" w:type="dxa"/>
                  <w:noWrap w:val="0"/>
                  <w:vAlign w:val="center"/>
                </w:tcPr>
                <w:p>
                  <w:pPr>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p>
              </w:tc>
              <w:tc>
                <w:tcPr>
                  <w:tcW w:w="5661" w:type="dxa"/>
                  <w:noWrap w:val="0"/>
                  <w:vAlign w:val="center"/>
                </w:tcPr>
                <w:p>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合计</w:t>
                  </w:r>
                </w:p>
              </w:tc>
              <w:tc>
                <w:tcPr>
                  <w:tcW w:w="2092" w:type="dxa"/>
                  <w:noWrap w:val="0"/>
                  <w:vAlign w:val="center"/>
                </w:tcPr>
                <w:p>
                  <w:pPr>
                    <w:keepNext w:val="0"/>
                    <w:keepLines w:val="0"/>
                    <w:widowControl/>
                    <w:suppressLineNumbers w:val="0"/>
                    <w:jc w:val="center"/>
                    <w:textAlignment w:val="center"/>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1157100元</w:t>
                  </w:r>
                </w:p>
              </w:tc>
            </w:tr>
          </w:tbl>
          <w:p>
            <w:pPr>
              <w:adjustRightInd w:val="0"/>
              <w:snapToGrid w:val="0"/>
              <w:spacing w:line="440" w:lineRule="exact"/>
              <w:rPr>
                <w:rFonts w:hint="eastAsia" w:ascii="宋体" w:hAnsi="宋体" w:cs="Arial"/>
                <w:color w:val="auto"/>
                <w:sz w:val="22"/>
                <w:szCs w:val="22"/>
                <w:highlight w:val="none"/>
              </w:rPr>
            </w:pPr>
          </w:p>
          <w:p>
            <w:pPr>
              <w:adjustRightInd w:val="0"/>
              <w:snapToGrid w:val="0"/>
              <w:spacing w:line="440" w:lineRule="exact"/>
              <w:rPr>
                <w:rFonts w:ascii="宋体" w:hAnsi="宋体" w:cs="Arial"/>
                <w:color w:val="auto"/>
                <w:sz w:val="22"/>
                <w:szCs w:val="22"/>
                <w:highlight w:val="none"/>
              </w:rPr>
            </w:pPr>
            <w:r>
              <w:rPr>
                <w:rFonts w:hint="eastAsia" w:ascii="宋体" w:hAnsi="宋体" w:cs="Arial"/>
                <w:color w:val="auto"/>
                <w:sz w:val="22"/>
                <w:szCs w:val="22"/>
                <w:highlight w:val="none"/>
              </w:rPr>
              <w:t>1.投标供应商应考虑企业自身实力、经验及项目实施过程中的各种因素，根据采购要求，详细说明所能提供的各项具体服务内容，自主确定报价</w:t>
            </w:r>
            <w:r>
              <w:rPr>
                <w:rFonts w:hint="eastAsia" w:ascii="宋体" w:hAnsi="宋体" w:cs="Arial"/>
                <w:b/>
                <w:bCs/>
                <w:color w:val="auto"/>
                <w:sz w:val="22"/>
                <w:szCs w:val="22"/>
                <w:highlight w:val="none"/>
                <w:u w:val="single"/>
              </w:rPr>
              <w:t>（</w:t>
            </w:r>
            <w:r>
              <w:rPr>
                <w:rFonts w:hint="eastAsia" w:ascii="宋体" w:hAnsi="宋体" w:eastAsia="宋体" w:cs="Arial"/>
                <w:b/>
                <w:bCs/>
                <w:color w:val="auto"/>
                <w:sz w:val="22"/>
                <w:szCs w:val="22"/>
                <w:highlight w:val="none"/>
                <w:u w:val="single"/>
              </w:rPr>
              <w:t>按</w:t>
            </w:r>
            <w:r>
              <w:rPr>
                <w:rFonts w:hint="eastAsia" w:ascii="宋体" w:hAnsi="宋体" w:eastAsia="宋体" w:cs="Arial"/>
                <w:b/>
                <w:bCs/>
                <w:color w:val="auto"/>
                <w:sz w:val="22"/>
                <w:szCs w:val="22"/>
                <w:highlight w:val="none"/>
                <w:u w:val="single"/>
                <w:lang w:val="en-US" w:eastAsia="zh-CN"/>
              </w:rPr>
              <w:t>1年</w:t>
            </w:r>
            <w:r>
              <w:rPr>
                <w:rFonts w:hint="eastAsia" w:ascii="宋体" w:hAnsi="宋体" w:eastAsia="宋体" w:cs="Arial"/>
                <w:b/>
                <w:bCs/>
                <w:color w:val="auto"/>
                <w:sz w:val="22"/>
                <w:szCs w:val="22"/>
                <w:highlight w:val="none"/>
                <w:u w:val="single"/>
              </w:rPr>
              <w:t>服务期</w:t>
            </w:r>
            <w:r>
              <w:rPr>
                <w:rFonts w:hint="eastAsia" w:ascii="宋体" w:hAnsi="宋体" w:cs="Arial"/>
                <w:b/>
                <w:bCs/>
                <w:color w:val="auto"/>
                <w:sz w:val="22"/>
                <w:szCs w:val="22"/>
                <w:highlight w:val="none"/>
                <w:u w:val="single"/>
              </w:rPr>
              <w:t>进行报价）</w:t>
            </w:r>
            <w:r>
              <w:rPr>
                <w:rFonts w:hint="eastAsia" w:ascii="宋体" w:hAnsi="宋体" w:cs="Arial"/>
                <w:color w:val="auto"/>
                <w:sz w:val="22"/>
                <w:szCs w:val="22"/>
                <w:highlight w:val="none"/>
              </w:rPr>
              <w:t>，实行</w:t>
            </w:r>
            <w:r>
              <w:rPr>
                <w:rFonts w:hint="eastAsia" w:ascii="宋体" w:hAnsi="宋体" w:cs="Arial"/>
                <w:color w:val="auto"/>
                <w:sz w:val="22"/>
                <w:szCs w:val="22"/>
                <w:highlight w:val="none"/>
                <w:lang w:val="en-US" w:eastAsia="zh-CN"/>
              </w:rPr>
              <w:t>总价</w:t>
            </w:r>
            <w:r>
              <w:rPr>
                <w:rFonts w:hint="eastAsia" w:ascii="宋体" w:hAnsi="宋体" w:cs="Arial"/>
                <w:color w:val="auto"/>
                <w:sz w:val="22"/>
                <w:szCs w:val="22"/>
                <w:highlight w:val="none"/>
              </w:rPr>
              <w:t>包干。</w:t>
            </w:r>
          </w:p>
          <w:p>
            <w:pPr>
              <w:adjustRightInd w:val="0"/>
              <w:snapToGrid w:val="0"/>
              <w:spacing w:line="440" w:lineRule="exact"/>
              <w:rPr>
                <w:rFonts w:hint="eastAsia" w:ascii="宋体" w:hAnsi="宋体" w:eastAsia="宋体" w:cs="Times New Roman"/>
                <w:b/>
                <w:color w:val="auto"/>
                <w:sz w:val="22"/>
                <w:szCs w:val="21"/>
                <w:highlight w:val="none"/>
                <w:u w:val="single"/>
              </w:rPr>
            </w:pPr>
            <w:r>
              <w:rPr>
                <w:rFonts w:hint="eastAsia" w:ascii="宋体" w:hAnsi="宋体" w:cs="Arial"/>
                <w:color w:val="auto"/>
                <w:sz w:val="22"/>
                <w:szCs w:val="22"/>
                <w:highlight w:val="none"/>
              </w:rPr>
              <w:t>2.投标供应商的报价应包括为完成本项目服务可能发生的全部费用及</w:t>
            </w:r>
            <w:r>
              <w:rPr>
                <w:rFonts w:hint="eastAsia" w:ascii="宋体" w:hAnsi="宋体" w:eastAsia="宋体" w:cs="Times New Roman"/>
                <w:b/>
                <w:color w:val="auto"/>
                <w:sz w:val="22"/>
                <w:szCs w:val="21"/>
                <w:highlight w:val="none"/>
                <w:u w:val="single"/>
              </w:rPr>
              <w:t>承</w:t>
            </w:r>
            <w:r>
              <w:rPr>
                <w:rFonts w:hint="eastAsia" w:ascii="宋体" w:hAnsi="宋体" w:cs="Times New Roman"/>
                <w:b/>
                <w:color w:val="auto"/>
                <w:sz w:val="22"/>
                <w:szCs w:val="21"/>
                <w:highlight w:val="none"/>
                <w:u w:val="single"/>
                <w:lang w:val="en-US" w:eastAsia="zh-CN"/>
              </w:rPr>
              <w:t>包总价</w:t>
            </w:r>
            <w:r>
              <w:rPr>
                <w:rFonts w:hint="eastAsia" w:ascii="宋体" w:hAnsi="宋体" w:eastAsia="宋体" w:cs="Times New Roman"/>
                <w:b/>
                <w:color w:val="auto"/>
                <w:sz w:val="22"/>
                <w:szCs w:val="21"/>
                <w:highlight w:val="none"/>
                <w:u w:val="single"/>
              </w:rPr>
              <w:t>必须包括完成本项目各项内容可能发生的全部费用及乙方的利润和应交纳的税金等（包括</w:t>
            </w:r>
            <w:r>
              <w:rPr>
                <w:rFonts w:hint="eastAsia" w:ascii="宋体" w:hAnsi="宋体" w:eastAsia="宋体" w:cs="宋体"/>
                <w:b/>
                <w:color w:val="auto"/>
                <w:sz w:val="22"/>
                <w:szCs w:val="22"/>
                <w:highlight w:val="none"/>
                <w:u w:val="single"/>
                <w:lang w:val="en-US" w:eastAsia="zh-CN"/>
              </w:rPr>
              <w:t>街道</w:t>
            </w:r>
            <w:r>
              <w:rPr>
                <w:rFonts w:hint="eastAsia" w:ascii="宋体" w:hAnsi="宋体" w:eastAsia="宋体" w:cs="宋体"/>
                <w:b/>
                <w:color w:val="auto"/>
                <w:sz w:val="22"/>
                <w:szCs w:val="22"/>
                <w:highlight w:val="none"/>
                <w:u w:val="single"/>
                <w:lang w:eastAsia="zh-CN"/>
              </w:rPr>
              <w:t>食堂的每日用餐所需的食品及原材料的</w:t>
            </w:r>
            <w:r>
              <w:rPr>
                <w:rFonts w:hint="eastAsia" w:ascii="宋体" w:hAnsi="宋体" w:eastAsia="宋体" w:cs="宋体"/>
                <w:b/>
                <w:color w:val="auto"/>
                <w:sz w:val="22"/>
                <w:szCs w:val="22"/>
                <w:highlight w:val="none"/>
                <w:u w:val="single"/>
                <w:lang w:val="en-US" w:eastAsia="zh-CN"/>
              </w:rPr>
              <w:t>采购、</w:t>
            </w:r>
            <w:r>
              <w:rPr>
                <w:rFonts w:hint="eastAsia" w:ascii="宋体" w:hAnsi="宋体" w:eastAsia="宋体" w:cs="宋体"/>
                <w:b/>
                <w:color w:val="auto"/>
                <w:sz w:val="22"/>
                <w:szCs w:val="22"/>
                <w:highlight w:val="none"/>
                <w:u w:val="single"/>
                <w:lang w:eastAsia="zh-CN"/>
              </w:rPr>
              <w:t>验收、管理、食品存储、食品加工、配售、食堂内保洁服务、餐具卫生消毒及采购人要求的其他相关服务内容等所有食堂所需的服务工作，</w:t>
            </w:r>
            <w:r>
              <w:rPr>
                <w:rFonts w:hint="eastAsia" w:ascii="宋体" w:hAnsi="宋体" w:eastAsia="宋体" w:cs="Times New Roman"/>
                <w:b/>
                <w:color w:val="auto"/>
                <w:sz w:val="22"/>
                <w:szCs w:val="21"/>
                <w:highlight w:val="none"/>
                <w:u w:val="single"/>
              </w:rPr>
              <w:t>人员工资、《劳动合同法》规定的各种社会保险费、培训费、人员福利、人员食宿费、</w:t>
            </w:r>
            <w:r>
              <w:rPr>
                <w:rFonts w:hint="eastAsia" w:ascii="宋体" w:hAnsi="宋体" w:eastAsia="宋体" w:cs="Times New Roman"/>
                <w:b/>
                <w:color w:val="auto"/>
                <w:sz w:val="22"/>
                <w:szCs w:val="21"/>
                <w:highlight w:val="none"/>
                <w:u w:val="single"/>
                <w:lang w:eastAsia="zh-CN"/>
              </w:rPr>
              <w:t>节假日加班费、体检费、交通、运输费、</w:t>
            </w:r>
            <w:r>
              <w:rPr>
                <w:rFonts w:hint="eastAsia" w:ascii="宋体" w:hAnsi="宋体" w:eastAsia="宋体" w:cs="Times New Roman"/>
                <w:b/>
                <w:color w:val="auto"/>
                <w:sz w:val="22"/>
                <w:szCs w:val="21"/>
                <w:highlight w:val="none"/>
                <w:u w:val="single"/>
              </w:rPr>
              <w:t>服装费、管理费、采购代理服务费、食堂清洗、排油烟管道清洗、税金、利润等完成合同所需的一切本身和不可或缺的所有工作开支、政策性文件规定计合同包含的所有风险、责任等各项全部费用并承担一切风险责任）凡未列入的将被认为均已包含在投标</w:t>
            </w:r>
            <w:r>
              <w:rPr>
                <w:rFonts w:hint="eastAsia" w:ascii="宋体" w:hAnsi="宋体" w:eastAsia="宋体" w:cs="Times New Roman"/>
                <w:b/>
                <w:color w:val="auto"/>
                <w:sz w:val="22"/>
                <w:szCs w:val="21"/>
                <w:highlight w:val="none"/>
                <w:u w:val="single"/>
                <w:lang w:val="en-US" w:eastAsia="zh-CN"/>
              </w:rPr>
              <w:t>报价</w:t>
            </w:r>
            <w:r>
              <w:rPr>
                <w:rFonts w:hint="eastAsia" w:ascii="宋体" w:hAnsi="宋体" w:eastAsia="宋体" w:cs="Times New Roman"/>
                <w:b/>
                <w:color w:val="auto"/>
                <w:sz w:val="22"/>
                <w:szCs w:val="21"/>
                <w:highlight w:val="none"/>
                <w:u w:val="single"/>
              </w:rPr>
              <w:t>中，今后不得以任何理由追加或调整。</w:t>
            </w:r>
          </w:p>
          <w:p>
            <w:pPr>
              <w:adjustRightInd w:val="0"/>
              <w:snapToGrid w:val="0"/>
              <w:spacing w:line="440" w:lineRule="exact"/>
              <w:rPr>
                <w:rFonts w:ascii="宋体" w:hAnsi="宋体" w:cs="Arial"/>
                <w:b/>
                <w:color w:val="auto"/>
                <w:sz w:val="22"/>
                <w:szCs w:val="22"/>
                <w:highlight w:val="none"/>
              </w:rPr>
            </w:pPr>
            <w:r>
              <w:rPr>
                <w:rFonts w:hint="eastAsia" w:ascii="宋体" w:hAnsi="宋体" w:cs="Arial"/>
                <w:b/>
                <w:color w:val="auto"/>
                <w:sz w:val="22"/>
                <w:szCs w:val="22"/>
                <w:highlight w:val="none"/>
              </w:rPr>
              <w:t xml:space="preserve">3. </w:t>
            </w:r>
            <w:r>
              <w:rPr>
                <w:rFonts w:hint="eastAsia" w:ascii="宋体" w:hAnsi="宋体" w:cs="Arial"/>
                <w:b/>
                <w:color w:val="auto"/>
                <w:sz w:val="22"/>
                <w:szCs w:val="22"/>
                <w:highlight w:val="none"/>
                <w:u w:val="single"/>
              </w:rPr>
              <w:t>本项目相关报价要求</w:t>
            </w:r>
            <w:r>
              <w:rPr>
                <w:rFonts w:hint="eastAsia" w:ascii="宋体" w:hAnsi="宋体" w:cs="Arial"/>
                <w:b/>
                <w:color w:val="auto"/>
                <w:sz w:val="22"/>
                <w:szCs w:val="22"/>
                <w:highlight w:val="none"/>
                <w:u w:val="single"/>
                <w:lang w:val="en-US" w:eastAsia="zh-CN"/>
              </w:rPr>
              <w:t>说明</w:t>
            </w:r>
            <w:r>
              <w:rPr>
                <w:rFonts w:hint="eastAsia" w:ascii="宋体" w:hAnsi="宋体" w:cs="Arial"/>
                <w:b/>
                <w:color w:val="auto"/>
                <w:sz w:val="22"/>
                <w:szCs w:val="22"/>
                <w:highlight w:val="none"/>
                <w:u w:val="single"/>
              </w:rPr>
              <w:t>。</w:t>
            </w:r>
          </w:p>
          <w:p>
            <w:pPr>
              <w:widowControl/>
              <w:numPr>
                <w:ilvl w:val="0"/>
                <w:numId w:val="38"/>
              </w:numPr>
              <w:tabs>
                <w:tab w:val="left" w:pos="540"/>
                <w:tab w:val="clear" w:pos="840"/>
              </w:tabs>
              <w:adjustRightInd w:val="0"/>
              <w:snapToGrid w:val="0"/>
              <w:spacing w:line="440" w:lineRule="exact"/>
              <w:ind w:left="0" w:firstLine="0"/>
              <w:jc w:val="left"/>
              <w:rPr>
                <w:rFonts w:ascii="宋体" w:hAnsi="宋体" w:cs="Arial"/>
                <w:color w:val="auto"/>
                <w:sz w:val="22"/>
                <w:szCs w:val="22"/>
                <w:highlight w:val="none"/>
                <w:u w:val="single"/>
              </w:rPr>
            </w:pPr>
            <w:r>
              <w:rPr>
                <w:rFonts w:hint="eastAsia" w:ascii="宋体" w:hAnsi="宋体" w:cs="Arial"/>
                <w:color w:val="auto"/>
                <w:sz w:val="22"/>
                <w:szCs w:val="22"/>
                <w:highlight w:val="none"/>
                <w:u w:val="single"/>
              </w:rPr>
              <w:t>投标供应商投入全职工作人员不得少于采购文件规定的人数</w:t>
            </w:r>
            <w:r>
              <w:rPr>
                <w:rFonts w:hint="eastAsia" w:ascii="宋体" w:hAnsi="宋体" w:cs="Arial"/>
                <w:color w:val="auto"/>
                <w:sz w:val="22"/>
                <w:szCs w:val="22"/>
                <w:highlight w:val="none"/>
                <w:u w:val="single"/>
                <w:lang w:eastAsia="zh-CN"/>
              </w:rPr>
              <w:t>7人</w:t>
            </w:r>
            <w:r>
              <w:rPr>
                <w:rFonts w:hint="eastAsia" w:ascii="宋体" w:hAnsi="宋体" w:cs="Arial"/>
                <w:color w:val="auto"/>
                <w:sz w:val="22"/>
                <w:szCs w:val="22"/>
                <w:highlight w:val="none"/>
                <w:u w:val="single"/>
              </w:rPr>
              <w:t>，并依法参加社会保险</w:t>
            </w:r>
            <w:r>
              <w:rPr>
                <w:rFonts w:hint="eastAsia" w:ascii="宋体" w:hAnsi="宋体" w:cs="宋体"/>
                <w:color w:val="auto"/>
                <w:sz w:val="22"/>
                <w:szCs w:val="22"/>
                <w:highlight w:val="none"/>
                <w:u w:val="single"/>
              </w:rPr>
              <w:t>（成交供应商实际人员原则上不得少于</w:t>
            </w:r>
            <w:r>
              <w:rPr>
                <w:rFonts w:hint="eastAsia" w:ascii="宋体" w:hAnsi="宋体" w:cs="宋体"/>
                <w:color w:val="auto"/>
                <w:sz w:val="22"/>
                <w:szCs w:val="22"/>
                <w:highlight w:val="none"/>
                <w:u w:val="single"/>
                <w:lang w:eastAsia="zh-CN"/>
              </w:rPr>
              <w:t>7人</w:t>
            </w:r>
            <w:r>
              <w:rPr>
                <w:rFonts w:hint="eastAsia" w:ascii="宋体" w:hAnsi="宋体" w:cs="宋体"/>
                <w:color w:val="auto"/>
                <w:sz w:val="22"/>
                <w:szCs w:val="22"/>
                <w:highlight w:val="none"/>
                <w:u w:val="single"/>
              </w:rPr>
              <w:t>，如采购人认为具体岗位人员配置不合理，需要变动，可要求成交供应商进行调整，成交供应商应积极配合，不得拒绝）。</w:t>
            </w:r>
          </w:p>
          <w:p>
            <w:pPr>
              <w:widowControl/>
              <w:numPr>
                <w:ilvl w:val="0"/>
                <w:numId w:val="38"/>
              </w:numPr>
              <w:tabs>
                <w:tab w:val="left" w:pos="540"/>
                <w:tab w:val="clear" w:pos="840"/>
              </w:tabs>
              <w:adjustRightInd w:val="0"/>
              <w:snapToGrid w:val="0"/>
              <w:spacing w:line="440" w:lineRule="exact"/>
              <w:ind w:left="0" w:firstLine="0"/>
              <w:jc w:val="left"/>
              <w:rPr>
                <w:rFonts w:ascii="宋体" w:hAnsi="宋体" w:cs="Arial"/>
                <w:color w:val="auto"/>
                <w:sz w:val="22"/>
                <w:szCs w:val="22"/>
                <w:highlight w:val="none"/>
                <w:u w:val="single"/>
              </w:rPr>
            </w:pPr>
            <w:r>
              <w:rPr>
                <w:rFonts w:hint="eastAsia" w:ascii="宋体" w:hAnsi="宋体" w:cs="Arial"/>
                <w:color w:val="auto"/>
                <w:sz w:val="22"/>
                <w:szCs w:val="22"/>
                <w:highlight w:val="none"/>
                <w:u w:val="single"/>
              </w:rPr>
              <w:t>结合本项目具体情况，要求本次投标供应商员工基本工资最低不得低于温州市最低工资标准、（每月最低工资不包括下列四项收入：延长工作时间的工资；中班、夜班、高温、低温、有毒有害等特殊工作环境、条件下的津贴；贴补伙食、住房等支付给劳动者的非货币性收入；法律、法规和国家规定的劳动者福利待遇等）。</w:t>
            </w:r>
          </w:p>
          <w:p>
            <w:pPr>
              <w:widowControl/>
              <w:numPr>
                <w:ilvl w:val="0"/>
                <w:numId w:val="38"/>
              </w:numPr>
              <w:tabs>
                <w:tab w:val="left" w:pos="540"/>
                <w:tab w:val="clear" w:pos="840"/>
              </w:tabs>
              <w:adjustRightInd w:val="0"/>
              <w:snapToGrid w:val="0"/>
              <w:spacing w:line="440" w:lineRule="exact"/>
              <w:ind w:left="0" w:firstLine="0"/>
              <w:jc w:val="left"/>
              <w:rPr>
                <w:rStyle w:val="248"/>
                <w:rFonts w:ascii="宋体" w:hAnsi="宋体" w:eastAsia="宋体" w:cs="宋体"/>
                <w:color w:val="auto"/>
                <w:sz w:val="22"/>
                <w:highlight w:val="none"/>
              </w:rPr>
            </w:pPr>
            <w:r>
              <w:rPr>
                <w:rFonts w:hint="eastAsia" w:ascii="宋体" w:hAnsi="宋体" w:cs="Arial"/>
                <w:color w:val="auto"/>
                <w:sz w:val="22"/>
                <w:szCs w:val="22"/>
                <w:highlight w:val="none"/>
                <w:u w:val="single"/>
              </w:rPr>
              <w:t>双休日、节假日等加班费用</w:t>
            </w:r>
            <w:r>
              <w:rPr>
                <w:rFonts w:hint="eastAsia" w:ascii="宋体" w:hAnsi="宋体" w:cs="Arial"/>
                <w:color w:val="auto"/>
                <w:sz w:val="22"/>
                <w:szCs w:val="22"/>
                <w:highlight w:val="none"/>
                <w:u w:val="single"/>
                <w:lang w:val="en-US" w:eastAsia="zh-CN"/>
              </w:rPr>
              <w:t>已包含在投标总价之内</w:t>
            </w:r>
            <w:r>
              <w:rPr>
                <w:rFonts w:hint="eastAsia" w:ascii="宋体" w:hAnsi="宋体" w:cs="Arial"/>
                <w:color w:val="auto"/>
                <w:sz w:val="22"/>
                <w:szCs w:val="22"/>
                <w:highlight w:val="none"/>
                <w:u w:val="single"/>
              </w:rPr>
              <w:t>，采购人</w:t>
            </w:r>
            <w:r>
              <w:rPr>
                <w:rFonts w:hint="eastAsia" w:ascii="宋体" w:hAnsi="宋体" w:cs="Arial"/>
                <w:color w:val="auto"/>
                <w:sz w:val="22"/>
                <w:szCs w:val="22"/>
                <w:highlight w:val="none"/>
                <w:u w:val="single"/>
                <w:lang w:val="en-US" w:eastAsia="zh-CN"/>
              </w:rPr>
              <w:t>无</w:t>
            </w:r>
            <w:r>
              <w:rPr>
                <w:rFonts w:hint="eastAsia" w:ascii="宋体" w:hAnsi="宋体" w:cs="Arial"/>
                <w:color w:val="auto"/>
                <w:sz w:val="22"/>
                <w:szCs w:val="22"/>
                <w:highlight w:val="none"/>
                <w:u w:val="single"/>
              </w:rPr>
              <w:t>需另行支付。</w:t>
            </w:r>
          </w:p>
          <w:p>
            <w:pPr>
              <w:widowControl/>
              <w:numPr>
                <w:ilvl w:val="0"/>
                <w:numId w:val="38"/>
              </w:numPr>
              <w:tabs>
                <w:tab w:val="left" w:pos="540"/>
                <w:tab w:val="clear" w:pos="840"/>
              </w:tabs>
              <w:adjustRightInd w:val="0"/>
              <w:snapToGrid w:val="0"/>
              <w:spacing w:line="440" w:lineRule="exact"/>
              <w:ind w:left="0" w:firstLine="0"/>
              <w:jc w:val="left"/>
              <w:rPr>
                <w:rFonts w:ascii="宋体" w:hAnsi="宋体" w:cs="Arial"/>
                <w:color w:val="auto"/>
                <w:sz w:val="22"/>
                <w:szCs w:val="22"/>
                <w:highlight w:val="none"/>
                <w:u w:val="single"/>
              </w:rPr>
            </w:pPr>
            <w:r>
              <w:rPr>
                <w:rStyle w:val="248"/>
                <w:rFonts w:ascii="宋体" w:hAnsi="宋体" w:eastAsia="宋体" w:cs="宋体"/>
                <w:color w:val="auto"/>
                <w:sz w:val="22"/>
                <w:highlight w:val="none"/>
                <w:u w:val="single"/>
              </w:rPr>
              <w:t>甲方提供食堂设施和餐饮用具，承担食堂水电、燃料的费用</w:t>
            </w:r>
            <w:r>
              <w:rPr>
                <w:rStyle w:val="248"/>
                <w:rFonts w:hint="eastAsia" w:ascii="宋体" w:hAnsi="宋体" w:cs="宋体"/>
                <w:color w:val="auto"/>
                <w:sz w:val="22"/>
                <w:highlight w:val="none"/>
                <w:u w:val="single"/>
                <w:lang w:eastAsia="zh-CN"/>
              </w:rPr>
              <w:t>。</w:t>
            </w:r>
          </w:p>
          <w:p>
            <w:pPr>
              <w:widowControl/>
              <w:numPr>
                <w:ilvl w:val="0"/>
                <w:numId w:val="38"/>
              </w:numPr>
              <w:tabs>
                <w:tab w:val="left" w:pos="540"/>
                <w:tab w:val="clear" w:pos="840"/>
              </w:tabs>
              <w:adjustRightInd w:val="0"/>
              <w:snapToGrid w:val="0"/>
              <w:spacing w:line="440" w:lineRule="exact"/>
              <w:ind w:left="0" w:firstLine="0"/>
              <w:jc w:val="left"/>
              <w:rPr>
                <w:rFonts w:hint="eastAsia" w:ascii="宋体" w:hAnsi="宋体" w:cs="宋体"/>
                <w:color w:val="auto"/>
                <w:sz w:val="22"/>
                <w:szCs w:val="22"/>
                <w:highlight w:val="none"/>
                <w:u w:val="single"/>
                <w:lang w:val="en-US" w:eastAsia="zh-CN"/>
              </w:rPr>
            </w:pPr>
            <w:r>
              <w:rPr>
                <w:rFonts w:hint="eastAsia" w:ascii="宋体" w:hAnsi="宋体" w:cs="宋体"/>
                <w:color w:val="auto"/>
                <w:sz w:val="22"/>
                <w:szCs w:val="22"/>
                <w:highlight w:val="none"/>
                <w:u w:val="single"/>
                <w:lang w:val="en-US" w:eastAsia="zh-CN"/>
              </w:rPr>
              <w:t>纳入街道日常中餐考核部分约330人的费用，按中标价等比下浮后由街道结合考核情况给予，此项内容考核办法另行规定。</w:t>
            </w:r>
          </w:p>
          <w:p>
            <w:pPr>
              <w:adjustRightInd w:val="0"/>
              <w:snapToGrid w:val="0"/>
              <w:spacing w:line="440" w:lineRule="exact"/>
              <w:rPr>
                <w:rFonts w:ascii="宋体" w:hAnsi="宋体" w:cs="Arial"/>
                <w:color w:val="auto"/>
                <w:sz w:val="22"/>
                <w:szCs w:val="22"/>
                <w:highlight w:val="none"/>
              </w:rPr>
            </w:pPr>
            <w:r>
              <w:rPr>
                <w:rFonts w:hint="eastAsia" w:ascii="宋体" w:hAnsi="宋体" w:cs="Arial"/>
                <w:color w:val="auto"/>
                <w:sz w:val="22"/>
                <w:szCs w:val="22"/>
                <w:highlight w:val="none"/>
              </w:rPr>
              <w:t>4.   在</w:t>
            </w:r>
            <w:r>
              <w:rPr>
                <w:rFonts w:ascii="宋体" w:hAnsi="宋体" w:cs="Arial"/>
                <w:color w:val="auto"/>
                <w:sz w:val="22"/>
                <w:szCs w:val="22"/>
                <w:highlight w:val="none"/>
              </w:rPr>
              <w:t>合同执行期间</w:t>
            </w:r>
            <w:r>
              <w:rPr>
                <w:rFonts w:hint="eastAsia" w:ascii="宋体" w:hAnsi="宋体" w:cs="Arial"/>
                <w:color w:val="auto"/>
                <w:sz w:val="22"/>
                <w:szCs w:val="22"/>
                <w:highlight w:val="none"/>
              </w:rPr>
              <w:t>，如</w:t>
            </w:r>
            <w:r>
              <w:rPr>
                <w:rFonts w:ascii="宋体" w:hAnsi="宋体" w:cs="Arial"/>
                <w:color w:val="auto"/>
                <w:sz w:val="22"/>
                <w:szCs w:val="22"/>
                <w:highlight w:val="none"/>
              </w:rPr>
              <w:t>采购人发现</w:t>
            </w:r>
            <w:r>
              <w:rPr>
                <w:rFonts w:hint="eastAsia" w:ascii="宋体" w:hAnsi="宋体" w:cs="Arial"/>
                <w:color w:val="auto"/>
                <w:sz w:val="22"/>
                <w:szCs w:val="22"/>
                <w:highlight w:val="none"/>
              </w:rPr>
              <w:t>成交供应商未按上述规定及投标承诺提供员工相关待遇及其他福利发放的</w:t>
            </w:r>
            <w:r>
              <w:rPr>
                <w:rFonts w:ascii="宋体" w:hAnsi="宋体" w:cs="Arial"/>
                <w:color w:val="auto"/>
                <w:sz w:val="22"/>
                <w:szCs w:val="22"/>
                <w:highlight w:val="none"/>
              </w:rPr>
              <w:t>，采购人有权拒付合同款</w:t>
            </w:r>
            <w:r>
              <w:rPr>
                <w:rFonts w:hint="eastAsia" w:ascii="宋体" w:hAnsi="宋体" w:cs="Arial"/>
                <w:color w:val="auto"/>
                <w:sz w:val="22"/>
                <w:szCs w:val="22"/>
                <w:highlight w:val="none"/>
              </w:rPr>
              <w:t>，</w:t>
            </w:r>
            <w:r>
              <w:rPr>
                <w:rFonts w:ascii="宋体" w:hAnsi="宋体" w:cs="Arial"/>
                <w:color w:val="auto"/>
                <w:sz w:val="22"/>
                <w:szCs w:val="22"/>
                <w:highlight w:val="none"/>
              </w:rPr>
              <w:t>且可以终止服务合同。</w:t>
            </w:r>
            <w:r>
              <w:rPr>
                <w:rFonts w:hint="eastAsia" w:ascii="宋体" w:hAnsi="宋体" w:cs="Arial"/>
                <w:color w:val="auto"/>
                <w:sz w:val="22"/>
                <w:szCs w:val="22"/>
                <w:highlight w:val="none"/>
              </w:rPr>
              <w:t>采购人有权随时进行检查核实。</w:t>
            </w:r>
          </w:p>
          <w:bookmarkEnd w:id="185"/>
          <w:bookmarkEnd w:id="186"/>
          <w:bookmarkEnd w:id="187"/>
          <w:bookmarkEnd w:id="188"/>
          <w:p>
            <w:pPr>
              <w:pStyle w:val="3"/>
              <w:spacing w:line="680" w:lineRule="exact"/>
              <w:jc w:val="center"/>
              <w:rPr>
                <w:rFonts w:hint="eastAsia" w:ascii="宋体" w:hAnsi="宋体" w:eastAsia="宋体" w:cs="宋体"/>
                <w:color w:val="auto"/>
                <w:sz w:val="28"/>
                <w:szCs w:val="28"/>
                <w:highlight w:val="none"/>
              </w:rPr>
            </w:pPr>
            <w:bookmarkStart w:id="194" w:name="_Toc31065"/>
            <w:bookmarkStart w:id="195" w:name="_Toc51010452"/>
            <w:bookmarkStart w:id="196" w:name="_Toc421712457"/>
            <w:bookmarkStart w:id="197" w:name="_Toc443989295"/>
            <w:r>
              <w:rPr>
                <w:rFonts w:hint="eastAsia" w:ascii="宋体" w:hAnsi="宋体" w:eastAsia="宋体" w:cs="宋体"/>
                <w:color w:val="auto"/>
                <w:sz w:val="28"/>
                <w:szCs w:val="28"/>
                <w:highlight w:val="none"/>
              </w:rPr>
              <w:t>六、其他说明及要求</w:t>
            </w:r>
            <w:bookmarkEnd w:id="194"/>
            <w:bookmarkEnd w:id="195"/>
            <w:bookmarkEnd w:id="196"/>
            <w:bookmarkEnd w:id="197"/>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1.   应本着对企业品牌延伸、社会效益为重的原则，根据采购文件的要求，以合理的服务流程和服务人数、优良的服务质量、科学的物业养护、稳定服务的队伍、优惠的价格制定详细的服务方案前来投标，充分显示自身的竞争实力。</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2.   现场、周边环境全面了解的情况下编制科学合理、切实可行的组织实施计划以及具体的保 措施、工作程序，制订具体的质量保证措施及质量保证和相关服务承诺。</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3.   应按照三星级宾馆服务质量标准订立本项目服务规程，如服务质量未达到目标，采购人</w:t>
            </w:r>
            <w:r>
              <w:rPr>
                <w:rFonts w:hint="eastAsia" w:ascii="宋体" w:hAnsi="宋体" w:cs="宋体"/>
                <w:color w:val="auto"/>
                <w:sz w:val="22"/>
                <w:szCs w:val="22"/>
                <w:highlight w:val="none"/>
                <w:lang w:val="en-US" w:eastAsia="zh-CN"/>
              </w:rPr>
              <w:t>有权提出要求让</w:t>
            </w:r>
            <w:r>
              <w:rPr>
                <w:rFonts w:hint="eastAsia" w:ascii="宋体" w:hAnsi="宋体" w:cs="宋体"/>
                <w:color w:val="auto"/>
                <w:sz w:val="22"/>
                <w:szCs w:val="22"/>
                <w:highlight w:val="none"/>
              </w:rPr>
              <w:t>供应商</w:t>
            </w:r>
            <w:r>
              <w:rPr>
                <w:rFonts w:hint="eastAsia" w:ascii="宋体" w:hAnsi="宋体" w:cs="宋体"/>
                <w:color w:val="auto"/>
                <w:sz w:val="22"/>
                <w:szCs w:val="22"/>
                <w:highlight w:val="none"/>
                <w:lang w:val="en-US" w:eastAsia="zh-CN"/>
              </w:rPr>
              <w:t>改进，</w:t>
            </w:r>
            <w:r>
              <w:rPr>
                <w:rFonts w:hint="eastAsia" w:ascii="宋体" w:hAnsi="宋体" w:cs="宋体"/>
                <w:color w:val="auto"/>
                <w:sz w:val="22"/>
                <w:szCs w:val="22"/>
                <w:highlight w:val="none"/>
              </w:rPr>
              <w:t>投标供应商将为此承担责任和经济赔偿。</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4.   采购人提供的各种设备、设施、工具，供应商应安全、规范使用。除正常使用折旧外，供应商应保证各设备、设施、工具的完好性，如有非正常损坏或遗失，供应商应照价赔偿。</w:t>
            </w:r>
          </w:p>
          <w:p>
            <w:pPr>
              <w:spacing w:line="44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   所有人员的服装费用由投标供应商自行负责配备，要求分类统一着装，原则上要求人手每年替换更新，服装样式上必须新颖、实用（人员着装上应端庄、大方、整洁、得体、美观、便于工作且实用），最终样式需经采购人核准。</w:t>
            </w:r>
          </w:p>
          <w:p>
            <w:pPr>
              <w:spacing w:line="44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   成交供应商必须节约用水、用电、用汽、用油，避免浪费。</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 xml:space="preserve">.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成交供应商达不到采购人要求及成交供应商各项服务承诺，采购人有权要求其整改，直至扣款或终止合同。</w:t>
            </w:r>
          </w:p>
          <w:p>
            <w:pPr>
              <w:spacing w:line="44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   成交供应商所有的工作除应按成交供应商的内部流程实施外还应接受采购人的检查。</w:t>
            </w:r>
          </w:p>
          <w:p>
            <w:pPr>
              <w:spacing w:line="44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  付款方式及其他要求见第二部分“合同主要条款”。</w:t>
            </w:r>
          </w:p>
          <w:p>
            <w:pPr>
              <w:spacing w:line="44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eastAsia="zh-CN"/>
              </w:rPr>
              <w:t>本项目总服务期限为1年，</w:t>
            </w:r>
            <w:r>
              <w:rPr>
                <w:rFonts w:hint="eastAsia" w:ascii="宋体" w:hAnsi="宋体" w:cs="宋体"/>
                <w:color w:val="auto"/>
                <w:sz w:val="22"/>
                <w:szCs w:val="22"/>
                <w:highlight w:val="none"/>
                <w:lang w:val="en-US" w:eastAsia="zh-CN"/>
              </w:rPr>
              <w:t>如有</w:t>
            </w:r>
            <w:r>
              <w:rPr>
                <w:rFonts w:hint="eastAsia" w:ascii="宋体" w:hAnsi="宋体" w:eastAsia="宋体" w:cs="宋体"/>
                <w:bCs/>
                <w:color w:val="auto"/>
                <w:kern w:val="0"/>
                <w:sz w:val="22"/>
                <w:szCs w:val="22"/>
                <w:highlight w:val="none"/>
              </w:rPr>
              <w:t>考核得分累计两次低于80分或一次低于60分，</w:t>
            </w:r>
            <w:r>
              <w:rPr>
                <w:rFonts w:hint="eastAsia" w:ascii="宋体" w:hAnsi="宋体" w:eastAsia="宋体" w:cs="宋体"/>
                <w:color w:val="auto"/>
                <w:sz w:val="22"/>
                <w:szCs w:val="22"/>
                <w:highlight w:val="none"/>
                <w:lang w:eastAsia="zh-CN"/>
              </w:rPr>
              <w:t>采购人有权终止合同。</w:t>
            </w:r>
          </w:p>
          <w:p>
            <w:pPr>
              <w:spacing w:line="440" w:lineRule="exact"/>
              <w:ind w:left="550" w:hanging="550" w:hangingChars="25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single"/>
              </w:rPr>
              <w:t>▲中标的单位有必要对菜品</w:t>
            </w:r>
            <w:r>
              <w:rPr>
                <w:rFonts w:hint="eastAsia" w:ascii="宋体" w:hAnsi="宋体" w:cs="宋体"/>
                <w:color w:val="auto"/>
                <w:sz w:val="22"/>
                <w:szCs w:val="22"/>
                <w:highlight w:val="none"/>
                <w:u w:val="single"/>
                <w:lang w:eastAsia="zh-CN"/>
              </w:rPr>
              <w:t>的</w:t>
            </w:r>
            <w:r>
              <w:rPr>
                <w:rFonts w:hint="eastAsia" w:ascii="宋体" w:hAnsi="宋体" w:cs="宋体"/>
                <w:color w:val="auto"/>
                <w:sz w:val="22"/>
                <w:szCs w:val="22"/>
                <w:highlight w:val="none"/>
                <w:u w:val="single"/>
                <w:lang w:val="en-US" w:eastAsia="zh-CN"/>
              </w:rPr>
              <w:t>质量和安全性</w:t>
            </w:r>
            <w:r>
              <w:rPr>
                <w:rFonts w:hint="eastAsia" w:ascii="宋体" w:hAnsi="宋体" w:cs="宋体"/>
                <w:color w:val="auto"/>
                <w:sz w:val="22"/>
                <w:szCs w:val="22"/>
                <w:highlight w:val="none"/>
                <w:u w:val="single"/>
              </w:rPr>
              <w:t>进行监测，并整理台账记录依据提供给招标人，每月至少一次。</w:t>
            </w:r>
          </w:p>
          <w:p>
            <w:pPr>
              <w:spacing w:line="440" w:lineRule="exact"/>
              <w:rPr>
                <w:rFonts w:hint="eastAsia" w:ascii="宋体" w:hAnsi="宋体"/>
                <w:b/>
                <w:bCs/>
                <w:color w:val="auto"/>
                <w:sz w:val="32"/>
                <w:szCs w:val="32"/>
                <w:highlight w:val="none"/>
                <w:lang w:val="en-US" w:eastAsia="zh-CN"/>
              </w:rPr>
            </w:pPr>
            <w:r>
              <w:rPr>
                <w:rFonts w:hint="eastAsia" w:ascii="宋体" w:hAnsi="宋体" w:eastAsia="宋体" w:cs="宋体"/>
                <w:color w:val="auto"/>
                <w:sz w:val="22"/>
                <w:szCs w:val="22"/>
                <w:highlight w:val="none"/>
                <w:u w:val="none"/>
              </w:rPr>
              <w:t>1</w:t>
            </w:r>
            <w:r>
              <w:rPr>
                <w:rFonts w:hint="eastAsia" w:ascii="宋体" w:hAnsi="宋体" w:eastAsia="宋体" w:cs="宋体"/>
                <w:color w:val="auto"/>
                <w:sz w:val="22"/>
                <w:szCs w:val="22"/>
                <w:highlight w:val="none"/>
                <w:u w:val="none"/>
                <w:lang w:val="en-US" w:eastAsia="zh-CN"/>
              </w:rPr>
              <w:t>2</w:t>
            </w:r>
            <w:r>
              <w:rPr>
                <w:rFonts w:hint="eastAsia" w:ascii="宋体" w:hAnsi="宋体" w:eastAsia="宋体" w:cs="宋体"/>
                <w:color w:val="auto"/>
                <w:sz w:val="22"/>
                <w:szCs w:val="22"/>
                <w:highlight w:val="none"/>
                <w:u w:val="none"/>
              </w:rPr>
              <w:t xml:space="preserve">.  </w:t>
            </w:r>
            <w:r>
              <w:rPr>
                <w:rFonts w:hint="eastAsia" w:ascii="宋体" w:hAnsi="宋体" w:eastAsia="宋体" w:cs="宋体"/>
                <w:color w:val="auto"/>
                <w:sz w:val="22"/>
                <w:szCs w:val="22"/>
                <w:highlight w:val="none"/>
                <w:u w:val="none"/>
                <w:lang w:val="en-US" w:eastAsia="zh-CN"/>
              </w:rPr>
              <w:t>付款方式：</w:t>
            </w:r>
            <w:r>
              <w:rPr>
                <w:rStyle w:val="248"/>
                <w:rFonts w:hint="eastAsia" w:ascii="宋体" w:hAnsi="宋体" w:eastAsia="宋体" w:cs="宋体"/>
                <w:color w:val="auto"/>
                <w:sz w:val="22"/>
                <w:highlight w:val="none"/>
                <w:u w:val="single"/>
              </w:rPr>
              <w:t>双方合同签订后，每月根据考核结果和经双方确认的实际情况支付相应的金额，每月支付</w:t>
            </w:r>
            <w:r>
              <w:rPr>
                <w:rStyle w:val="248"/>
                <w:rFonts w:hint="eastAsia" w:ascii="宋体" w:hAnsi="宋体" w:eastAsia="宋体" w:cs="宋体"/>
                <w:color w:val="auto"/>
                <w:sz w:val="22"/>
                <w:highlight w:val="none"/>
                <w:u w:val="single"/>
                <w:lang w:val="en-US"/>
              </w:rPr>
              <w:t>上个月份产生的费用</w:t>
            </w:r>
            <w:r>
              <w:rPr>
                <w:rStyle w:val="248"/>
                <w:rFonts w:hint="eastAsia" w:ascii="宋体" w:hAnsi="宋体" w:eastAsia="宋体" w:cs="宋体"/>
                <w:color w:val="auto"/>
                <w:sz w:val="22"/>
                <w:highlight w:val="none"/>
                <w:u w:val="single"/>
              </w:rPr>
              <w:t>（中标人提供对等发票后支付）。中标供应商需提供正式发票，做为领取凭证。</w:t>
            </w:r>
          </w:p>
          <w:p>
            <w:pPr>
              <w:rPr>
                <w:rFonts w:hint="eastAsia"/>
                <w:color w:val="auto"/>
                <w:highlight w:val="none"/>
                <w:lang w:val="en-US" w:eastAsia="zh-CN"/>
              </w:rPr>
            </w:pPr>
          </w:p>
          <w:p>
            <w:pPr>
              <w:pStyle w:val="16"/>
              <w:jc w:val="both"/>
              <w:rPr>
                <w:rFonts w:hint="eastAsia" w:ascii="宋体" w:hAnsi="宋体"/>
                <w:b/>
                <w:bCs/>
                <w:color w:val="auto"/>
                <w:sz w:val="32"/>
                <w:szCs w:val="32"/>
                <w:highlight w:val="none"/>
                <w:lang w:val="en-US" w:eastAsia="zh-CN"/>
              </w:rPr>
            </w:pPr>
          </w:p>
          <w:p>
            <w:pPr>
              <w:pStyle w:val="16"/>
              <w:jc w:val="center"/>
              <w:rPr>
                <w:rFonts w:hint="eastAsia" w:ascii="宋体" w:hAnsi="宋体"/>
                <w:b/>
                <w:bCs/>
                <w:color w:val="auto"/>
                <w:sz w:val="32"/>
                <w:szCs w:val="32"/>
                <w:highlight w:val="none"/>
                <w:lang w:val="en-US" w:eastAsia="zh-CN"/>
              </w:rPr>
            </w:pPr>
          </w:p>
          <w:p>
            <w:pPr>
              <w:pStyle w:val="16"/>
              <w:jc w:val="center"/>
              <w:rPr>
                <w:rFonts w:hint="eastAsia" w:ascii="宋体" w:hAnsi="宋体"/>
                <w:b/>
                <w:bCs/>
                <w:color w:val="auto"/>
                <w:sz w:val="32"/>
                <w:szCs w:val="32"/>
                <w:highlight w:val="none"/>
                <w:lang w:val="en-US" w:eastAsia="zh-CN"/>
              </w:rPr>
            </w:pPr>
          </w:p>
          <w:p>
            <w:pPr>
              <w:pStyle w:val="16"/>
              <w:jc w:val="center"/>
              <w:rPr>
                <w:rFonts w:hint="eastAsia" w:ascii="宋体" w:hAnsi="宋体"/>
                <w:b/>
                <w:bCs/>
                <w:color w:val="auto"/>
                <w:sz w:val="32"/>
                <w:szCs w:val="32"/>
                <w:highlight w:val="none"/>
                <w:lang w:val="en-US" w:eastAsia="zh-CN"/>
              </w:rPr>
            </w:pPr>
          </w:p>
          <w:p>
            <w:pPr>
              <w:pStyle w:val="16"/>
              <w:jc w:val="center"/>
              <w:rPr>
                <w:rFonts w:hint="eastAsia" w:ascii="宋体" w:hAnsi="宋体"/>
                <w:b/>
                <w:bCs/>
                <w:color w:val="auto"/>
                <w:sz w:val="32"/>
                <w:szCs w:val="32"/>
                <w:highlight w:val="none"/>
                <w:lang w:val="en-US" w:eastAsia="zh-CN"/>
              </w:rPr>
            </w:pPr>
          </w:p>
          <w:p>
            <w:pPr>
              <w:pStyle w:val="16"/>
              <w:jc w:val="center"/>
              <w:rPr>
                <w:rFonts w:hint="eastAsia" w:ascii="宋体" w:hAnsi="宋体"/>
                <w:b/>
                <w:bCs/>
                <w:color w:val="auto"/>
                <w:sz w:val="32"/>
                <w:szCs w:val="32"/>
                <w:highlight w:val="none"/>
                <w:lang w:val="en-US" w:eastAsia="zh-CN"/>
              </w:rPr>
            </w:pPr>
          </w:p>
          <w:p>
            <w:pPr>
              <w:pStyle w:val="16"/>
              <w:jc w:val="center"/>
              <w:rPr>
                <w:rFonts w:hint="eastAsia" w:ascii="宋体" w:hAnsi="宋体"/>
                <w:b/>
                <w:bCs/>
                <w:color w:val="auto"/>
                <w:sz w:val="32"/>
                <w:szCs w:val="32"/>
                <w:highlight w:val="none"/>
                <w:lang w:val="en-US" w:eastAsia="zh-CN"/>
              </w:rPr>
            </w:pPr>
          </w:p>
          <w:p>
            <w:pPr>
              <w:pStyle w:val="16"/>
              <w:jc w:val="center"/>
              <w:rPr>
                <w:rFonts w:hint="eastAsia" w:ascii="宋体" w:hAnsi="宋体"/>
                <w:b/>
                <w:bCs/>
                <w:color w:val="auto"/>
                <w:sz w:val="32"/>
                <w:szCs w:val="32"/>
                <w:highlight w:val="none"/>
                <w:lang w:val="en-US" w:eastAsia="zh-CN"/>
              </w:rPr>
            </w:pPr>
          </w:p>
          <w:p>
            <w:pPr>
              <w:pStyle w:val="16"/>
              <w:jc w:val="center"/>
              <w:rPr>
                <w:rFonts w:hint="eastAsia" w:ascii="宋体" w:hAnsi="宋体"/>
                <w:b/>
                <w:bCs/>
                <w:color w:val="auto"/>
                <w:sz w:val="32"/>
                <w:szCs w:val="32"/>
                <w:highlight w:val="none"/>
                <w:lang w:val="en-US" w:eastAsia="zh-CN"/>
              </w:rPr>
            </w:pPr>
          </w:p>
          <w:p>
            <w:pPr>
              <w:pStyle w:val="16"/>
              <w:jc w:val="center"/>
              <w:rPr>
                <w:rFonts w:hint="eastAsia" w:ascii="宋体" w:hAnsi="宋体"/>
                <w:b/>
                <w:bCs/>
                <w:color w:val="auto"/>
                <w:sz w:val="32"/>
                <w:szCs w:val="32"/>
                <w:highlight w:val="none"/>
                <w:lang w:val="en-US" w:eastAsia="zh-CN"/>
              </w:rPr>
            </w:pPr>
          </w:p>
          <w:p>
            <w:pPr>
              <w:pStyle w:val="16"/>
              <w:jc w:val="center"/>
              <w:rPr>
                <w:rFonts w:hint="eastAsia" w:ascii="宋体" w:hAnsi="宋体"/>
                <w:b/>
                <w:bCs/>
                <w:color w:val="auto"/>
                <w:sz w:val="32"/>
                <w:szCs w:val="32"/>
                <w:highlight w:val="none"/>
                <w:lang w:val="en-US" w:eastAsia="zh-CN"/>
              </w:rPr>
            </w:pPr>
          </w:p>
          <w:p>
            <w:pPr>
              <w:pStyle w:val="16"/>
              <w:jc w:val="center"/>
              <w:rPr>
                <w:rFonts w:hint="eastAsia" w:ascii="宋体" w:hAnsi="宋体"/>
                <w:b/>
                <w:bCs/>
                <w:color w:val="auto"/>
                <w:sz w:val="32"/>
                <w:szCs w:val="32"/>
                <w:highlight w:val="none"/>
                <w:lang w:val="en-US" w:eastAsia="zh-CN"/>
              </w:rPr>
            </w:pPr>
          </w:p>
          <w:p>
            <w:pPr>
              <w:pStyle w:val="16"/>
              <w:jc w:val="center"/>
              <w:rPr>
                <w:rFonts w:hint="eastAsia" w:ascii="宋体" w:hAnsi="宋体"/>
                <w:b/>
                <w:bCs/>
                <w:color w:val="auto"/>
                <w:sz w:val="32"/>
                <w:szCs w:val="32"/>
                <w:highlight w:val="none"/>
                <w:lang w:val="en-US" w:eastAsia="zh-CN"/>
              </w:rPr>
            </w:pPr>
          </w:p>
          <w:p>
            <w:pPr>
              <w:pStyle w:val="16"/>
              <w:jc w:val="center"/>
              <w:rPr>
                <w:rFonts w:hint="eastAsia" w:ascii="宋体" w:hAnsi="宋体"/>
                <w:b/>
                <w:bCs/>
                <w:color w:val="auto"/>
                <w:sz w:val="32"/>
                <w:szCs w:val="32"/>
                <w:highlight w:val="none"/>
                <w:lang w:val="en-US" w:eastAsia="zh-CN"/>
              </w:rPr>
            </w:pPr>
          </w:p>
          <w:p>
            <w:pPr>
              <w:pStyle w:val="16"/>
              <w:jc w:val="center"/>
              <w:rPr>
                <w:rFonts w:hint="eastAsia" w:ascii="宋体" w:hAnsi="宋体"/>
                <w:b/>
                <w:bCs/>
                <w:color w:val="auto"/>
                <w:sz w:val="32"/>
                <w:szCs w:val="32"/>
                <w:highlight w:val="none"/>
                <w:lang w:val="en-US" w:eastAsia="zh-CN"/>
              </w:rPr>
            </w:pPr>
          </w:p>
          <w:p>
            <w:pPr>
              <w:pStyle w:val="16"/>
              <w:jc w:val="center"/>
              <w:rPr>
                <w:rFonts w:hint="eastAsia" w:ascii="宋体" w:hAnsi="宋体"/>
                <w:b/>
                <w:bCs/>
                <w:color w:val="auto"/>
                <w:sz w:val="32"/>
                <w:szCs w:val="32"/>
                <w:highlight w:val="none"/>
                <w:lang w:val="en-US" w:eastAsia="zh-CN"/>
              </w:rPr>
            </w:pPr>
          </w:p>
          <w:p>
            <w:pPr>
              <w:pStyle w:val="16"/>
              <w:jc w:val="center"/>
              <w:rPr>
                <w:rFonts w:hint="eastAsia" w:ascii="宋体" w:hAnsi="宋体"/>
                <w:b/>
                <w:bCs/>
                <w:color w:val="auto"/>
                <w:sz w:val="32"/>
                <w:szCs w:val="32"/>
                <w:highlight w:val="none"/>
                <w:lang w:val="en-US" w:eastAsia="zh-CN"/>
              </w:rPr>
            </w:pPr>
          </w:p>
          <w:p>
            <w:pPr>
              <w:pStyle w:val="16"/>
              <w:jc w:val="center"/>
              <w:rPr>
                <w:rFonts w:ascii="宋体" w:hAnsi="宋体"/>
                <w:b/>
                <w:bCs/>
                <w:color w:val="auto"/>
                <w:sz w:val="36"/>
                <w:szCs w:val="36"/>
                <w:highlight w:val="none"/>
              </w:rPr>
            </w:pPr>
            <w:r>
              <w:rPr>
                <w:rFonts w:hint="eastAsia" w:ascii="宋体" w:hAnsi="宋体"/>
                <w:b/>
                <w:bCs/>
                <w:color w:val="auto"/>
                <w:sz w:val="32"/>
                <w:szCs w:val="32"/>
                <w:highlight w:val="none"/>
                <w:lang w:val="en-US" w:eastAsia="zh-CN"/>
              </w:rPr>
              <w:br w:type="textWrapping"/>
            </w:r>
            <w:r>
              <w:rPr>
                <w:rFonts w:hint="eastAsia" w:ascii="宋体" w:hAnsi="宋体"/>
                <w:b/>
                <w:bCs/>
                <w:color w:val="auto"/>
                <w:sz w:val="32"/>
                <w:szCs w:val="32"/>
                <w:highlight w:val="none"/>
                <w:lang w:val="en-US" w:eastAsia="zh-CN"/>
              </w:rPr>
              <w:br w:type="textWrapping"/>
            </w:r>
            <w:r>
              <w:rPr>
                <w:rFonts w:hint="eastAsia" w:ascii="宋体" w:hAnsi="宋体"/>
                <w:b/>
                <w:bCs/>
                <w:color w:val="auto"/>
                <w:sz w:val="32"/>
                <w:szCs w:val="32"/>
                <w:highlight w:val="none"/>
                <w:lang w:val="en-US" w:eastAsia="zh-CN"/>
              </w:rPr>
              <w:t>2024年茶山街道机关食堂外包运营服务考核评分细则</w:t>
            </w:r>
          </w:p>
          <w:p>
            <w:pPr>
              <w:rPr>
                <w:rFonts w:ascii="宋体" w:hAnsi="宋体"/>
                <w:color w:val="auto"/>
                <w:highlight w:val="none"/>
              </w:rPr>
            </w:pPr>
            <w:r>
              <w:rPr>
                <w:rFonts w:hint="eastAsia" w:ascii="宋体" w:hAnsi="宋体" w:cs="宋体"/>
                <w:color w:val="auto"/>
                <w:highlight w:val="none"/>
              </w:rPr>
              <w:t xml:space="preserve"> </w:t>
            </w:r>
          </w:p>
          <w:tbl>
            <w:tblPr>
              <w:tblStyle w:val="38"/>
              <w:tblW w:w="10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7458"/>
              <w:gridCol w:w="750"/>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423" w:type="dxa"/>
                  <w:gridSpan w:val="2"/>
                  <w:tcBorders>
                    <w:top w:val="single" w:color="auto" w:sz="4" w:space="0"/>
                    <w:left w:val="single" w:color="auto" w:sz="4" w:space="0"/>
                    <w:bottom w:val="single" w:color="auto" w:sz="4" w:space="0"/>
                    <w:right w:val="single" w:color="auto" w:sz="4" w:space="0"/>
                  </w:tcBorders>
                  <w:noWrap w:val="0"/>
                  <w:vAlign w:val="center"/>
                </w:tcPr>
                <w:p>
                  <w:pPr>
                    <w:spacing w:line="160" w:lineRule="atLeast"/>
                    <w:jc w:val="center"/>
                    <w:rPr>
                      <w:rFonts w:ascii="宋体" w:hAnsi="宋体"/>
                      <w:color w:val="auto"/>
                      <w:sz w:val="21"/>
                      <w:szCs w:val="21"/>
                      <w:highlight w:val="none"/>
                    </w:rPr>
                  </w:pPr>
                  <w:r>
                    <w:rPr>
                      <w:rFonts w:hint="eastAsia" w:ascii="宋体" w:hAnsi="宋体"/>
                      <w:color w:val="auto"/>
                      <w:sz w:val="21"/>
                      <w:szCs w:val="21"/>
                      <w:highlight w:val="none"/>
                    </w:rPr>
                    <w:t>检 查 考 核 项 目</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jc w:val="center"/>
                    <w:rPr>
                      <w:rFonts w:ascii="宋体" w:hAnsi="宋体"/>
                      <w:color w:val="auto"/>
                      <w:sz w:val="21"/>
                      <w:szCs w:val="21"/>
                      <w:highlight w:val="none"/>
                    </w:rPr>
                  </w:pPr>
                  <w:r>
                    <w:rPr>
                      <w:rFonts w:hint="eastAsia" w:ascii="宋体" w:hAnsi="宋体"/>
                      <w:color w:val="auto"/>
                      <w:sz w:val="21"/>
                      <w:szCs w:val="21"/>
                      <w:highlight w:val="none"/>
                    </w:rPr>
                    <w:t>基本分</w:t>
                  </w:r>
                </w:p>
              </w:tc>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jc w:val="center"/>
                    <w:rPr>
                      <w:rFonts w:ascii="宋体" w:hAnsi="宋体"/>
                      <w:color w:val="auto"/>
                      <w:sz w:val="21"/>
                      <w:szCs w:val="21"/>
                      <w:highlight w:val="none"/>
                    </w:rPr>
                  </w:pPr>
                  <w:r>
                    <w:rPr>
                      <w:rFonts w:hint="eastAsia" w:ascii="宋体" w:hAnsi="宋体"/>
                      <w:color w:val="auto"/>
                      <w:sz w:val="21"/>
                      <w:szCs w:val="21"/>
                      <w:highlight w:val="none"/>
                    </w:rPr>
                    <w:t>打分情况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4"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厨房间环境卫生</w:t>
                  </w:r>
                </w:p>
              </w:tc>
              <w:tc>
                <w:tcPr>
                  <w:tcW w:w="7458"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rPr>
                      <w:rFonts w:hint="eastAsia" w:ascii="宋体" w:hAnsi="宋体"/>
                      <w:color w:val="auto"/>
                      <w:sz w:val="21"/>
                      <w:szCs w:val="21"/>
                      <w:highlight w:val="none"/>
                    </w:rPr>
                  </w:pPr>
                  <w:r>
                    <w:rPr>
                      <w:rFonts w:hint="eastAsia" w:ascii="宋体" w:hAnsi="宋体"/>
                      <w:color w:val="auto"/>
                      <w:sz w:val="21"/>
                      <w:szCs w:val="21"/>
                      <w:highlight w:val="none"/>
                    </w:rPr>
                    <w:t>1、地面、下水道、明沟积有污水、污物视情节</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2、墙壁、门窗、天花板有积尘、油污、蜘蛛网和涂层脱落</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3、有关设备、设施、用具没有保持卫生清洁，有污渍视情节</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4、垃圾桶没有及时加盖</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5、地面、灶台、厨具卫生保洁没有按规定每天定时清洗</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6、冷库没有按要求做到专人负责保管、使用及定时清洗</w:t>
                  </w:r>
                </w:p>
                <w:p>
                  <w:pPr>
                    <w:spacing w:line="160" w:lineRule="atLeas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7、禁止无关人员进入厨房间，如发现属于本工作人员带入视情节轻重</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hint="eastAsia" w:ascii="宋体" w:hAnsi="宋体"/>
                      <w:color w:val="auto"/>
                      <w:sz w:val="21"/>
                      <w:szCs w:val="21"/>
                      <w:highlight w:val="none"/>
                    </w:rPr>
                  </w:pP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分</w:t>
                  </w:r>
                </w:p>
                <w:p>
                  <w:pPr>
                    <w:spacing w:line="160" w:lineRule="atLeast"/>
                    <w:ind w:right="-466" w:rightChars="-222"/>
                    <w:rPr>
                      <w:rFonts w:ascii="宋体" w:hAnsi="宋体"/>
                      <w:color w:val="auto"/>
                      <w:sz w:val="21"/>
                      <w:szCs w:val="21"/>
                      <w:highlight w:val="none"/>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0"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粗加工、配菜、烹调卫生</w:t>
                  </w:r>
                </w:p>
              </w:tc>
              <w:tc>
                <w:tcPr>
                  <w:tcW w:w="7458"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rPr>
                      <w:rFonts w:hint="eastAsia" w:ascii="宋体" w:hAnsi="宋体"/>
                      <w:color w:val="auto"/>
                      <w:sz w:val="21"/>
                      <w:szCs w:val="21"/>
                      <w:highlight w:val="none"/>
                    </w:rPr>
                  </w:pPr>
                  <w:r>
                    <w:rPr>
                      <w:rFonts w:hint="eastAsia" w:ascii="宋体" w:hAnsi="宋体"/>
                      <w:color w:val="auto"/>
                      <w:sz w:val="21"/>
                      <w:szCs w:val="21"/>
                      <w:highlight w:val="none"/>
                    </w:rPr>
                    <w:t>1、荤、素食品没有按要求做到分池（定位）清洗视情节</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2、清洗后的食品不能接触地面如发现视情节</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3、鸡蛋在使用前必须清洗后方可使用，发现不经清洗直接使用</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4、加工生、熟食品的刀、砧板及盛器要分开，如发现混用</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5、配菜没有做到科学合理（要求做到色、香、味俱全）</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6、食物加工半生不熟的</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7、菜肴里或汤里、米饭里发现有杂物，按问题严重程度扣分</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8、各种盛调味品的容器没有按要求做到及时定期清洗</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9、每天配菜的数量要求在提供用餐人数的基础上上下浮动10%，如出现失误视情节轻重</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10、要提倡节约不浪费，发现无故浪费现象视情节轻重</w:t>
                  </w:r>
                </w:p>
                <w:p>
                  <w:pPr>
                    <w:spacing w:line="320" w:lineRule="exact"/>
                    <w:rPr>
                      <w:rFonts w:hint="eastAsia" w:ascii="宋体" w:hAnsi="宋体"/>
                      <w:color w:val="auto"/>
                      <w:sz w:val="21"/>
                      <w:szCs w:val="21"/>
                      <w:highlight w:val="none"/>
                    </w:rPr>
                  </w:pPr>
                  <w:r>
                    <w:rPr>
                      <w:rFonts w:hint="eastAsia" w:ascii="宋体" w:hAnsi="宋体"/>
                      <w:color w:val="auto"/>
                      <w:sz w:val="21"/>
                      <w:szCs w:val="21"/>
                      <w:highlight w:val="none"/>
                    </w:rPr>
                    <w:t>11、食堂没有按规定要求建立卫生台帐</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hint="eastAsia" w:ascii="宋体" w:hAnsi="宋体"/>
                      <w:color w:val="auto"/>
                      <w:sz w:val="21"/>
                      <w:szCs w:val="21"/>
                      <w:highlight w:val="none"/>
                    </w:rPr>
                  </w:pP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分</w:t>
                  </w:r>
                </w:p>
                <w:p>
                  <w:pPr>
                    <w:spacing w:line="160" w:lineRule="atLeast"/>
                    <w:ind w:right="-466" w:rightChars="-222"/>
                    <w:rPr>
                      <w:rFonts w:hint="default" w:ascii="宋体" w:hAnsi="宋体" w:eastAsia="宋体"/>
                      <w:color w:val="auto"/>
                      <w:sz w:val="21"/>
                      <w:szCs w:val="21"/>
                      <w:highlight w:val="none"/>
                      <w:lang w:val="en-US" w:eastAsia="zh-CN"/>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9"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 xml:space="preserve">个人卫生及要求 </w:t>
                  </w:r>
                </w:p>
              </w:tc>
              <w:tc>
                <w:tcPr>
                  <w:tcW w:w="7458"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rPr>
                      <w:rFonts w:hint="eastAsia" w:ascii="宋体" w:hAnsi="宋体"/>
                      <w:color w:val="auto"/>
                      <w:sz w:val="21"/>
                      <w:szCs w:val="21"/>
                      <w:highlight w:val="none"/>
                    </w:rPr>
                  </w:pPr>
                  <w:r>
                    <w:rPr>
                      <w:rFonts w:hint="eastAsia" w:ascii="宋体" w:hAnsi="宋体"/>
                      <w:color w:val="auto"/>
                      <w:sz w:val="21"/>
                      <w:szCs w:val="21"/>
                      <w:highlight w:val="none"/>
                    </w:rPr>
                    <w:t>1、员工的健康证和卫生知识培训合格证是否在有效期内，如发现过期还在使用</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2、要求定期对员工进行培训，新上岗的员工要求做到先培训后上岗，发现未经培训直接上岗</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3、员工上班时间不能留长指甲、涂指甲油、戴戒指及化生活装，经检查发现存在问题</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4、员工上班时间没有按要求穿戴工作服、衣帽、穿戴不整洁或穿拖鞋上班</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5、员工戴的工作帽要求遮盖全部头发，发现不整齐</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6、发现上班时间工作人员在工作区内吸烟、吃零食</w:t>
                  </w:r>
                </w:p>
                <w:p>
                  <w:pPr>
                    <w:spacing w:line="160" w:lineRule="atLeast"/>
                    <w:rPr>
                      <w:rFonts w:hint="eastAsia" w:ascii="宋体" w:hAnsi="宋体"/>
                      <w:color w:val="auto"/>
                      <w:sz w:val="21"/>
                      <w:szCs w:val="21"/>
                      <w:highlight w:val="none"/>
                    </w:rPr>
                  </w:pPr>
                  <w:r>
                    <w:rPr>
                      <w:rFonts w:hint="eastAsia" w:ascii="宋体" w:hAnsi="宋体"/>
                      <w:color w:val="auto"/>
                      <w:sz w:val="21"/>
                      <w:szCs w:val="21"/>
                      <w:highlight w:val="none"/>
                    </w:rPr>
                    <w:t>7、员工上班时间没有按规定佩带健康证上岗</w:t>
                  </w:r>
                </w:p>
                <w:p>
                  <w:pPr>
                    <w:spacing w:line="160" w:lineRule="atLeast"/>
                    <w:rPr>
                      <w:rFonts w:hint="eastAsia" w:ascii="宋体" w:hAnsi="宋体"/>
                      <w:color w:val="auto"/>
                      <w:sz w:val="21"/>
                      <w:szCs w:val="21"/>
                      <w:highlight w:val="none"/>
                    </w:rPr>
                  </w:pPr>
                  <w:r>
                    <w:rPr>
                      <w:rFonts w:hint="eastAsia" w:ascii="宋体" w:hAnsi="宋体"/>
                      <w:color w:val="auto"/>
                      <w:sz w:val="21"/>
                      <w:szCs w:val="21"/>
                      <w:highlight w:val="none"/>
                    </w:rPr>
                    <w:t>8、售饭菜时员工一律要求带一次性手套及一次性口罩，擅自不戴</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9、当班时行为不检点，如嘻皮笑脸，大声喧哗，追逐打闹，勾肩搭背，串岗或擅自离岗</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10、工作时间看小说、杂志、打电话聊天，擅自换班、调班</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11、员工自行车要在指定地方入库、有序停放，发现乱停放、不入库，影响周围环境</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12、检查发现员工未按照合同约定到岗或考勤缺位的。</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13、就餐人员遗失在餐厅的物品，应妥善保管经核实后归还，如发现食堂工作人员占为己有</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14、主管及员工的职责、制度要上墙，严格按照职责、制度规定办事，如发现制度不上墙，职责不分明</w:t>
                  </w:r>
                </w:p>
                <w:p>
                  <w:pPr>
                    <w:spacing w:line="160" w:lineRule="atLeast"/>
                    <w:rPr>
                      <w:rFonts w:hint="eastAsia" w:ascii="宋体" w:hAnsi="宋体"/>
                      <w:color w:val="auto"/>
                      <w:sz w:val="21"/>
                      <w:szCs w:val="21"/>
                      <w:highlight w:val="none"/>
                    </w:rPr>
                  </w:pPr>
                  <w:r>
                    <w:rPr>
                      <w:rFonts w:hint="eastAsia" w:ascii="宋体" w:hAnsi="宋体"/>
                      <w:color w:val="auto"/>
                      <w:sz w:val="21"/>
                      <w:szCs w:val="21"/>
                      <w:highlight w:val="none"/>
                    </w:rPr>
                    <w:t>15、违反操作规程，故意损坏公共财物设备、工具造成经济损失的</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hint="eastAsia" w:ascii="宋体" w:hAnsi="宋体"/>
                      <w:color w:val="auto"/>
                      <w:sz w:val="21"/>
                      <w:szCs w:val="21"/>
                      <w:highlight w:val="none"/>
                    </w:rPr>
                  </w:pP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分</w:t>
                  </w:r>
                </w:p>
                <w:p>
                  <w:pPr>
                    <w:spacing w:line="160" w:lineRule="atLeast"/>
                    <w:ind w:right="-466" w:rightChars="-222"/>
                    <w:rPr>
                      <w:rFonts w:hint="default" w:ascii="宋体" w:hAnsi="宋体" w:eastAsia="宋体"/>
                      <w:color w:val="auto"/>
                      <w:sz w:val="21"/>
                      <w:szCs w:val="21"/>
                      <w:highlight w:val="none"/>
                      <w:lang w:val="en-US" w:eastAsia="zh-CN"/>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1"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rPr>
                      <w:rFonts w:hint="eastAsia" w:ascii="宋体" w:hAnsi="宋体"/>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专用加工间卫生</w:t>
                  </w:r>
                </w:p>
              </w:tc>
              <w:tc>
                <w:tcPr>
                  <w:tcW w:w="7458"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rPr>
                      <w:rFonts w:hint="eastAsia" w:ascii="宋体" w:hAnsi="宋体"/>
                      <w:color w:val="auto"/>
                      <w:sz w:val="21"/>
                      <w:szCs w:val="21"/>
                      <w:highlight w:val="none"/>
                    </w:rPr>
                  </w:pPr>
                  <w:r>
                    <w:rPr>
                      <w:rFonts w:hint="eastAsia" w:ascii="宋体" w:hAnsi="宋体"/>
                      <w:color w:val="auto"/>
                      <w:sz w:val="21"/>
                      <w:szCs w:val="21"/>
                      <w:highlight w:val="none"/>
                    </w:rPr>
                    <w:t>1、有非专间人员进入专用加工间</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2、专间内紫外线灯、空调、冰箱、冰柜不在正常使用</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3、供加工凉菜用的蔬菜、水果有未经清洗带入凉菜间</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4、用于加工直接入口食品的工用具（如刀、砧板、抹布）没有做到专用的</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5、专间内刀、砧板、抹布等工用具使用前没有经过消毒直接使用</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6、凉菜间内的食物必须是可直接使用，发现生、熟混用</w:t>
                  </w:r>
                </w:p>
                <w:p>
                  <w:pPr>
                    <w:spacing w:line="120" w:lineRule="atLeast"/>
                    <w:rPr>
                      <w:rFonts w:ascii="宋体" w:hAnsi="宋体"/>
                      <w:color w:val="auto"/>
                      <w:sz w:val="21"/>
                      <w:szCs w:val="21"/>
                      <w:highlight w:val="none"/>
                    </w:rPr>
                  </w:pPr>
                  <w:r>
                    <w:rPr>
                      <w:rFonts w:hint="eastAsia" w:ascii="宋体" w:hAnsi="宋体"/>
                      <w:color w:val="auto"/>
                      <w:sz w:val="21"/>
                      <w:szCs w:val="21"/>
                      <w:highlight w:val="none"/>
                    </w:rPr>
                    <w:t>7、专间内不准堆放拖把、书报、个人用品等物品，如发现杂物</w:t>
                  </w:r>
                </w:p>
                <w:p>
                  <w:pPr>
                    <w:spacing w:line="120" w:lineRule="atLeast"/>
                    <w:rPr>
                      <w:rFonts w:hint="eastAsia" w:ascii="宋体" w:hAnsi="宋体"/>
                      <w:color w:val="auto"/>
                      <w:sz w:val="21"/>
                      <w:szCs w:val="21"/>
                      <w:highlight w:val="none"/>
                    </w:rPr>
                  </w:pPr>
                  <w:r>
                    <w:rPr>
                      <w:rFonts w:hint="eastAsia" w:ascii="宋体" w:hAnsi="宋体"/>
                      <w:color w:val="auto"/>
                      <w:sz w:val="21"/>
                      <w:szCs w:val="21"/>
                      <w:highlight w:val="none"/>
                    </w:rPr>
                    <w:t>8、专间操作人员没有按规定穿戴专用工作衣帽、口罩、一次性手套，手部没有清洗消毒</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hint="eastAsia" w:ascii="宋体" w:hAnsi="宋体"/>
                      <w:color w:val="auto"/>
                      <w:sz w:val="21"/>
                      <w:szCs w:val="21"/>
                      <w:highlight w:val="none"/>
                    </w:rPr>
                  </w:pP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分</w:t>
                  </w:r>
                </w:p>
                <w:p>
                  <w:pPr>
                    <w:spacing w:line="160" w:lineRule="atLeast"/>
                    <w:ind w:right="-466" w:rightChars="-222"/>
                    <w:rPr>
                      <w:rFonts w:hint="default" w:ascii="宋体" w:hAnsi="宋体" w:eastAsia="宋体"/>
                      <w:color w:val="auto"/>
                      <w:sz w:val="21"/>
                      <w:szCs w:val="21"/>
                      <w:highlight w:val="none"/>
                      <w:lang w:val="en-US" w:eastAsia="zh-CN"/>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1"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食品采购与贮存</w:t>
                  </w:r>
                </w:p>
              </w:tc>
              <w:tc>
                <w:tcPr>
                  <w:tcW w:w="7458" w:type="dxa"/>
                  <w:tcBorders>
                    <w:top w:val="single" w:color="auto" w:sz="4" w:space="0"/>
                    <w:left w:val="single" w:color="auto" w:sz="4" w:space="0"/>
                    <w:bottom w:val="single" w:color="auto" w:sz="4" w:space="0"/>
                    <w:right w:val="single" w:color="auto" w:sz="4" w:space="0"/>
                  </w:tcBorders>
                  <w:noWrap w:val="0"/>
                  <w:vAlign w:val="center"/>
                </w:tcPr>
                <w:p>
                  <w:pPr>
                    <w:spacing w:line="120" w:lineRule="atLeast"/>
                    <w:rPr>
                      <w:rFonts w:hint="eastAsia" w:ascii="宋体" w:hAnsi="宋体"/>
                      <w:color w:val="auto"/>
                      <w:sz w:val="21"/>
                      <w:szCs w:val="21"/>
                      <w:highlight w:val="none"/>
                    </w:rPr>
                  </w:pPr>
                  <w:r>
                    <w:rPr>
                      <w:rFonts w:hint="eastAsia" w:ascii="宋体" w:hAnsi="宋体"/>
                      <w:color w:val="auto"/>
                      <w:sz w:val="21"/>
                      <w:szCs w:val="21"/>
                      <w:highlight w:val="none"/>
                    </w:rPr>
                    <w:t>1、食品出入库要求专人负责验收、登记，发现不经验收，直接领用</w:t>
                  </w:r>
                </w:p>
                <w:p>
                  <w:pPr>
                    <w:spacing w:line="120" w:lineRule="atLeast"/>
                    <w:rPr>
                      <w:rFonts w:ascii="宋体" w:hAnsi="宋体"/>
                      <w:color w:val="auto"/>
                      <w:sz w:val="21"/>
                      <w:szCs w:val="21"/>
                      <w:highlight w:val="none"/>
                    </w:rPr>
                  </w:pPr>
                  <w:r>
                    <w:rPr>
                      <w:rFonts w:hint="eastAsia" w:ascii="宋体" w:hAnsi="宋体"/>
                      <w:color w:val="auto"/>
                      <w:sz w:val="21"/>
                      <w:szCs w:val="21"/>
                      <w:highlight w:val="none"/>
                    </w:rPr>
                    <w:t>2、如验收时发现食品质量有问题或超过保质期，没有及时反映或隐瞒，视情节轻重</w:t>
                  </w:r>
                </w:p>
                <w:p>
                  <w:pPr>
                    <w:spacing w:line="120" w:lineRule="atLeast"/>
                    <w:rPr>
                      <w:rFonts w:ascii="宋体" w:hAnsi="宋体"/>
                      <w:color w:val="auto"/>
                      <w:sz w:val="21"/>
                      <w:szCs w:val="21"/>
                      <w:highlight w:val="none"/>
                    </w:rPr>
                  </w:pPr>
                  <w:r>
                    <w:rPr>
                      <w:rFonts w:hint="eastAsia" w:ascii="宋体" w:hAnsi="宋体"/>
                      <w:color w:val="auto"/>
                      <w:sz w:val="21"/>
                      <w:szCs w:val="21"/>
                      <w:highlight w:val="none"/>
                    </w:rPr>
                    <w:t>3、使用超过保质期的食品，造成事故，视情节轻重</w:t>
                  </w:r>
                </w:p>
                <w:p>
                  <w:pPr>
                    <w:spacing w:line="120" w:lineRule="atLeast"/>
                    <w:rPr>
                      <w:rFonts w:ascii="宋体" w:hAnsi="宋体"/>
                      <w:color w:val="auto"/>
                      <w:sz w:val="21"/>
                      <w:szCs w:val="21"/>
                      <w:highlight w:val="none"/>
                    </w:rPr>
                  </w:pPr>
                  <w:r>
                    <w:rPr>
                      <w:rFonts w:hint="eastAsia" w:ascii="宋体" w:hAnsi="宋体"/>
                      <w:color w:val="auto"/>
                      <w:sz w:val="21"/>
                      <w:szCs w:val="21"/>
                      <w:highlight w:val="none"/>
                    </w:rPr>
                    <w:t>4、库房内食品没有做到分类、分架、离地、离墙整齐堆放</w:t>
                  </w:r>
                </w:p>
                <w:p>
                  <w:pPr>
                    <w:spacing w:line="120" w:lineRule="atLeast"/>
                    <w:rPr>
                      <w:rFonts w:ascii="宋体" w:hAnsi="宋体"/>
                      <w:color w:val="auto"/>
                      <w:sz w:val="21"/>
                      <w:szCs w:val="21"/>
                      <w:highlight w:val="none"/>
                    </w:rPr>
                  </w:pPr>
                  <w:r>
                    <w:rPr>
                      <w:rFonts w:hint="eastAsia" w:ascii="宋体" w:hAnsi="宋体"/>
                      <w:color w:val="auto"/>
                      <w:sz w:val="21"/>
                      <w:szCs w:val="21"/>
                      <w:highlight w:val="none"/>
                    </w:rPr>
                    <w:t>5、不准将食品与有毒有害物品（如老鼠药、杀虫剂）存放在同一场所，经检查发现存在隐患</w:t>
                  </w:r>
                </w:p>
                <w:p>
                  <w:pPr>
                    <w:spacing w:line="120" w:lineRule="atLeast"/>
                    <w:rPr>
                      <w:rFonts w:ascii="宋体" w:hAnsi="宋体"/>
                      <w:color w:val="auto"/>
                      <w:sz w:val="21"/>
                      <w:szCs w:val="21"/>
                      <w:highlight w:val="none"/>
                    </w:rPr>
                  </w:pPr>
                  <w:r>
                    <w:rPr>
                      <w:rFonts w:hint="eastAsia" w:ascii="宋体" w:hAnsi="宋体"/>
                      <w:color w:val="auto"/>
                      <w:sz w:val="21"/>
                      <w:szCs w:val="21"/>
                      <w:highlight w:val="none"/>
                    </w:rPr>
                    <w:t>6、冰箱、冰柜内食品生熟混放</w:t>
                  </w:r>
                </w:p>
                <w:p>
                  <w:pPr>
                    <w:spacing w:line="120" w:lineRule="atLeast"/>
                    <w:rPr>
                      <w:rFonts w:ascii="宋体" w:hAnsi="宋体"/>
                      <w:color w:val="auto"/>
                      <w:sz w:val="21"/>
                      <w:szCs w:val="21"/>
                      <w:highlight w:val="none"/>
                    </w:rPr>
                  </w:pPr>
                  <w:r>
                    <w:rPr>
                      <w:rFonts w:hint="eastAsia" w:ascii="宋体" w:hAnsi="宋体"/>
                      <w:color w:val="auto"/>
                      <w:sz w:val="21"/>
                      <w:szCs w:val="21"/>
                      <w:highlight w:val="none"/>
                    </w:rPr>
                    <w:t>7、冰箱、冰柜没有正常运转，造成食品腐烂，造成损失</w:t>
                  </w:r>
                </w:p>
                <w:p>
                  <w:pPr>
                    <w:spacing w:line="120" w:lineRule="atLeast"/>
                    <w:rPr>
                      <w:rFonts w:hint="eastAsia" w:ascii="宋体" w:hAnsi="宋体"/>
                      <w:color w:val="auto"/>
                      <w:sz w:val="21"/>
                      <w:szCs w:val="21"/>
                      <w:highlight w:val="none"/>
                    </w:rPr>
                  </w:pPr>
                  <w:r>
                    <w:rPr>
                      <w:rFonts w:hint="eastAsia" w:ascii="宋体" w:hAnsi="宋体"/>
                      <w:color w:val="auto"/>
                      <w:sz w:val="21"/>
                      <w:szCs w:val="21"/>
                      <w:highlight w:val="none"/>
                    </w:rPr>
                    <w:t>8、仓库要按规定专人负责保管，建立台帐，月底出报表，如发现管理混乱</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hint="eastAsia" w:ascii="宋体" w:hAnsi="宋体"/>
                      <w:color w:val="auto"/>
                      <w:sz w:val="21"/>
                      <w:szCs w:val="21"/>
                      <w:highlight w:val="none"/>
                    </w:rPr>
                  </w:pP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分</w:t>
                  </w:r>
                </w:p>
                <w:p>
                  <w:pPr>
                    <w:spacing w:line="160" w:lineRule="atLeast"/>
                    <w:ind w:right="-466" w:rightChars="-222"/>
                    <w:rPr>
                      <w:rFonts w:hint="default" w:ascii="宋体" w:hAnsi="宋体" w:eastAsia="宋体"/>
                      <w:color w:val="auto"/>
                      <w:sz w:val="21"/>
                      <w:szCs w:val="21"/>
                      <w:highlight w:val="none"/>
                      <w:lang w:val="en-US" w:eastAsia="zh-CN"/>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1"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餐具、餐厅卫生</w:t>
                  </w:r>
                </w:p>
              </w:tc>
              <w:tc>
                <w:tcPr>
                  <w:tcW w:w="7458" w:type="dxa"/>
                  <w:tcBorders>
                    <w:top w:val="single" w:color="auto" w:sz="4" w:space="0"/>
                    <w:left w:val="single" w:color="auto" w:sz="4" w:space="0"/>
                    <w:bottom w:val="single" w:color="auto" w:sz="4" w:space="0"/>
                    <w:right w:val="single" w:color="auto" w:sz="4" w:space="0"/>
                  </w:tcBorders>
                  <w:noWrap w:val="0"/>
                  <w:vAlign w:val="center"/>
                </w:tcPr>
                <w:p>
                  <w:pPr>
                    <w:spacing w:line="120" w:lineRule="atLeast"/>
                    <w:rPr>
                      <w:rFonts w:hint="eastAsia" w:ascii="宋体" w:hAnsi="宋体"/>
                      <w:color w:val="auto"/>
                      <w:sz w:val="21"/>
                      <w:szCs w:val="21"/>
                      <w:highlight w:val="none"/>
                    </w:rPr>
                  </w:pPr>
                  <w:r>
                    <w:rPr>
                      <w:rFonts w:hint="eastAsia" w:ascii="宋体" w:hAnsi="宋体"/>
                      <w:color w:val="auto"/>
                      <w:sz w:val="21"/>
                      <w:szCs w:val="21"/>
                      <w:highlight w:val="none"/>
                    </w:rPr>
                    <w:t>1、餐具使用前没有做好清洗、消毒工作，直接使用</w:t>
                  </w:r>
                </w:p>
                <w:p>
                  <w:pPr>
                    <w:spacing w:line="120" w:lineRule="atLeast"/>
                    <w:rPr>
                      <w:rFonts w:ascii="宋体" w:hAnsi="宋体"/>
                      <w:color w:val="auto"/>
                      <w:sz w:val="21"/>
                      <w:szCs w:val="21"/>
                      <w:highlight w:val="none"/>
                    </w:rPr>
                  </w:pPr>
                  <w:r>
                    <w:rPr>
                      <w:rFonts w:hint="eastAsia" w:ascii="宋体" w:hAnsi="宋体"/>
                      <w:color w:val="auto"/>
                      <w:sz w:val="21"/>
                      <w:szCs w:val="21"/>
                      <w:highlight w:val="none"/>
                    </w:rPr>
                    <w:t>2、清洗、消毒餐具的水及水池不能与其它混用，如发现混用</w:t>
                  </w:r>
                </w:p>
                <w:p>
                  <w:pPr>
                    <w:spacing w:line="120" w:lineRule="atLeast"/>
                    <w:rPr>
                      <w:rFonts w:ascii="宋体" w:hAnsi="宋体"/>
                      <w:color w:val="auto"/>
                      <w:sz w:val="21"/>
                      <w:szCs w:val="21"/>
                      <w:highlight w:val="none"/>
                    </w:rPr>
                  </w:pPr>
                  <w:r>
                    <w:rPr>
                      <w:rFonts w:hint="eastAsia" w:ascii="宋体" w:hAnsi="宋体"/>
                      <w:color w:val="auto"/>
                      <w:sz w:val="21"/>
                      <w:szCs w:val="21"/>
                      <w:highlight w:val="none"/>
                    </w:rPr>
                    <w:t>3、消毒后的餐饮具要求存放在保洁柜里，发现乱放</w:t>
                  </w:r>
                </w:p>
                <w:p>
                  <w:pPr>
                    <w:spacing w:line="120" w:lineRule="atLeast"/>
                    <w:rPr>
                      <w:rFonts w:ascii="宋体" w:hAnsi="宋体"/>
                      <w:color w:val="auto"/>
                      <w:sz w:val="21"/>
                      <w:szCs w:val="21"/>
                      <w:highlight w:val="none"/>
                    </w:rPr>
                  </w:pPr>
                  <w:r>
                    <w:rPr>
                      <w:rFonts w:hint="eastAsia" w:ascii="宋体" w:hAnsi="宋体"/>
                      <w:color w:val="auto"/>
                      <w:sz w:val="21"/>
                      <w:szCs w:val="21"/>
                      <w:highlight w:val="none"/>
                    </w:rPr>
                    <w:t>4、保洁柜没有保持清洁，或堆放其它杂物</w:t>
                  </w:r>
                </w:p>
                <w:p>
                  <w:pPr>
                    <w:spacing w:line="120" w:lineRule="atLeast"/>
                    <w:rPr>
                      <w:rFonts w:ascii="宋体" w:hAnsi="宋体"/>
                      <w:color w:val="auto"/>
                      <w:sz w:val="21"/>
                      <w:szCs w:val="21"/>
                      <w:highlight w:val="none"/>
                    </w:rPr>
                  </w:pPr>
                  <w:r>
                    <w:rPr>
                      <w:rFonts w:hint="eastAsia" w:ascii="宋体" w:hAnsi="宋体"/>
                      <w:color w:val="auto"/>
                      <w:sz w:val="21"/>
                      <w:szCs w:val="21"/>
                      <w:highlight w:val="none"/>
                    </w:rPr>
                    <w:t>5、放餐饮具的保洁柜没有及时关门</w:t>
                  </w:r>
                </w:p>
                <w:p>
                  <w:pPr>
                    <w:spacing w:line="120" w:lineRule="atLeast"/>
                    <w:rPr>
                      <w:rFonts w:ascii="宋体" w:hAnsi="宋体"/>
                      <w:color w:val="auto"/>
                      <w:sz w:val="21"/>
                      <w:szCs w:val="21"/>
                      <w:highlight w:val="none"/>
                    </w:rPr>
                  </w:pPr>
                  <w:r>
                    <w:rPr>
                      <w:rFonts w:hint="eastAsia" w:ascii="宋体" w:hAnsi="宋体"/>
                      <w:color w:val="auto"/>
                      <w:sz w:val="21"/>
                      <w:szCs w:val="21"/>
                      <w:highlight w:val="none"/>
                    </w:rPr>
                    <w:t>6、用餐环境保持清洁、卫生，没有异味、苍蝇、蚊虫，天花板没有蜘蛛网，发现卫生不到位</w:t>
                  </w:r>
                </w:p>
                <w:p>
                  <w:pPr>
                    <w:spacing w:line="120" w:lineRule="atLeast"/>
                    <w:rPr>
                      <w:rFonts w:ascii="宋体" w:hAnsi="宋体"/>
                      <w:color w:val="auto"/>
                      <w:sz w:val="21"/>
                      <w:szCs w:val="21"/>
                      <w:highlight w:val="none"/>
                    </w:rPr>
                  </w:pPr>
                  <w:r>
                    <w:rPr>
                      <w:rFonts w:hint="eastAsia" w:ascii="宋体" w:hAnsi="宋体"/>
                      <w:color w:val="auto"/>
                      <w:sz w:val="21"/>
                      <w:szCs w:val="21"/>
                      <w:highlight w:val="none"/>
                    </w:rPr>
                    <w:t>7、餐桌上摆放的餐饮用具不清洁光亮，有污迹</w:t>
                  </w:r>
                </w:p>
                <w:p>
                  <w:pPr>
                    <w:spacing w:line="120" w:lineRule="atLeast"/>
                    <w:rPr>
                      <w:rFonts w:ascii="宋体" w:hAnsi="宋体"/>
                      <w:color w:val="auto"/>
                      <w:sz w:val="21"/>
                      <w:szCs w:val="21"/>
                      <w:highlight w:val="none"/>
                    </w:rPr>
                  </w:pPr>
                  <w:r>
                    <w:rPr>
                      <w:rFonts w:hint="eastAsia" w:ascii="宋体" w:hAnsi="宋体"/>
                      <w:color w:val="auto"/>
                      <w:sz w:val="21"/>
                      <w:szCs w:val="21"/>
                      <w:highlight w:val="none"/>
                    </w:rPr>
                    <w:t>8、用餐桌没有随时打扫、清理</w:t>
                  </w:r>
                </w:p>
                <w:p>
                  <w:pPr>
                    <w:spacing w:line="120" w:lineRule="atLeast"/>
                    <w:rPr>
                      <w:rFonts w:ascii="宋体" w:hAnsi="宋体"/>
                      <w:color w:val="auto"/>
                      <w:sz w:val="21"/>
                      <w:szCs w:val="21"/>
                      <w:highlight w:val="none"/>
                    </w:rPr>
                  </w:pPr>
                  <w:r>
                    <w:rPr>
                      <w:rFonts w:hint="eastAsia" w:ascii="宋体" w:hAnsi="宋体"/>
                      <w:color w:val="auto"/>
                      <w:sz w:val="21"/>
                      <w:szCs w:val="21"/>
                      <w:highlight w:val="none"/>
                    </w:rPr>
                    <w:t>9、备餐柜内要求清洁卫生，没有异味，柜内没有杂物，如发现不卫生，有异味、有杂物</w:t>
                  </w:r>
                </w:p>
                <w:p>
                  <w:pPr>
                    <w:spacing w:line="120" w:lineRule="atLeast"/>
                    <w:rPr>
                      <w:rFonts w:ascii="宋体" w:hAnsi="宋体"/>
                      <w:color w:val="auto"/>
                      <w:sz w:val="21"/>
                      <w:szCs w:val="21"/>
                      <w:highlight w:val="none"/>
                    </w:rPr>
                  </w:pPr>
                  <w:r>
                    <w:rPr>
                      <w:rFonts w:hint="eastAsia" w:ascii="宋体" w:hAnsi="宋体"/>
                      <w:color w:val="auto"/>
                      <w:sz w:val="21"/>
                      <w:szCs w:val="21"/>
                      <w:highlight w:val="none"/>
                    </w:rPr>
                    <w:t>10、餐桌上摆放的调味品没有根据用量要求定期更换、清理</w:t>
                  </w:r>
                </w:p>
                <w:p>
                  <w:pPr>
                    <w:spacing w:line="120" w:lineRule="atLeast"/>
                    <w:rPr>
                      <w:rFonts w:ascii="宋体" w:hAnsi="宋体"/>
                      <w:color w:val="auto"/>
                      <w:sz w:val="21"/>
                      <w:szCs w:val="21"/>
                      <w:highlight w:val="none"/>
                    </w:rPr>
                  </w:pPr>
                  <w:r>
                    <w:rPr>
                      <w:rFonts w:hint="eastAsia" w:ascii="宋体" w:hAnsi="宋体"/>
                      <w:color w:val="auto"/>
                      <w:sz w:val="21"/>
                      <w:szCs w:val="21"/>
                      <w:highlight w:val="none"/>
                    </w:rPr>
                    <w:t>11、盛放筷子、汤勺的容器不清洁卫生，有油污</w:t>
                  </w:r>
                </w:p>
                <w:p>
                  <w:pPr>
                    <w:spacing w:line="120" w:lineRule="atLeast"/>
                    <w:rPr>
                      <w:rFonts w:ascii="宋体" w:hAnsi="宋体"/>
                      <w:color w:val="auto"/>
                      <w:sz w:val="21"/>
                      <w:szCs w:val="21"/>
                      <w:highlight w:val="none"/>
                    </w:rPr>
                  </w:pPr>
                  <w:r>
                    <w:rPr>
                      <w:rFonts w:hint="eastAsia" w:ascii="宋体" w:hAnsi="宋体"/>
                      <w:color w:val="auto"/>
                      <w:sz w:val="21"/>
                      <w:szCs w:val="21"/>
                      <w:highlight w:val="none"/>
                    </w:rPr>
                    <w:t>12、发现快餐盘、碗、筷子、汤勺等上面有油污、杂物，视情节轻重</w:t>
                  </w:r>
                </w:p>
                <w:p>
                  <w:pPr>
                    <w:spacing w:line="32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13、没有按规定每天提供菜单内容给管理员，造成餐厅电子显示屏无法公示菜谱</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hint="eastAsia" w:ascii="宋体" w:hAnsi="宋体"/>
                      <w:color w:val="auto"/>
                      <w:sz w:val="21"/>
                      <w:szCs w:val="21"/>
                      <w:highlight w:val="none"/>
                    </w:rPr>
                  </w:pP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分</w:t>
                  </w:r>
                </w:p>
                <w:p>
                  <w:pPr>
                    <w:spacing w:line="160" w:lineRule="atLeast"/>
                    <w:ind w:right="-466" w:rightChars="-222"/>
                    <w:rPr>
                      <w:rFonts w:hint="default" w:ascii="宋体" w:hAnsi="宋体" w:eastAsia="宋体"/>
                      <w:color w:val="auto"/>
                      <w:sz w:val="21"/>
                      <w:szCs w:val="21"/>
                      <w:highlight w:val="none"/>
                      <w:lang w:val="en-US" w:eastAsia="zh-CN"/>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1"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节能管理</w:t>
                  </w:r>
                </w:p>
              </w:tc>
              <w:tc>
                <w:tcPr>
                  <w:tcW w:w="74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olor w:val="auto"/>
                      <w:sz w:val="21"/>
                      <w:szCs w:val="21"/>
                      <w:highlight w:val="none"/>
                    </w:rPr>
                  </w:pPr>
                  <w:r>
                    <w:rPr>
                      <w:rFonts w:hint="eastAsia" w:ascii="宋体" w:hAnsi="宋体"/>
                      <w:color w:val="auto"/>
                      <w:sz w:val="21"/>
                      <w:szCs w:val="21"/>
                      <w:highlight w:val="none"/>
                    </w:rPr>
                    <w:t>1、完成所承担服务区域的全年节电、节水、节油等节能指标</w:t>
                  </w:r>
                </w:p>
                <w:p>
                  <w:pPr>
                    <w:spacing w:line="320" w:lineRule="exact"/>
                    <w:rPr>
                      <w:rFonts w:ascii="宋体" w:hAnsi="宋体"/>
                      <w:color w:val="auto"/>
                      <w:sz w:val="21"/>
                      <w:szCs w:val="21"/>
                      <w:highlight w:val="none"/>
                    </w:rPr>
                  </w:pPr>
                  <w:r>
                    <w:rPr>
                      <w:rFonts w:hint="eastAsia" w:ascii="宋体" w:hAnsi="宋体"/>
                      <w:color w:val="auto"/>
                      <w:sz w:val="21"/>
                      <w:szCs w:val="21"/>
                      <w:highlight w:val="none"/>
                    </w:rPr>
                    <w:t>2、制订年度工作目标，工作计划、具体实施方案</w:t>
                  </w:r>
                </w:p>
                <w:p>
                  <w:pPr>
                    <w:spacing w:line="320" w:lineRule="exact"/>
                    <w:rPr>
                      <w:rFonts w:ascii="宋体" w:hAnsi="宋体"/>
                      <w:color w:val="auto"/>
                      <w:sz w:val="21"/>
                      <w:szCs w:val="21"/>
                      <w:highlight w:val="none"/>
                    </w:rPr>
                  </w:pPr>
                  <w:r>
                    <w:rPr>
                      <w:rFonts w:hint="eastAsia" w:ascii="宋体" w:hAnsi="宋体"/>
                      <w:color w:val="auto"/>
                      <w:sz w:val="21"/>
                      <w:szCs w:val="21"/>
                      <w:highlight w:val="none"/>
                    </w:rPr>
                    <w:t>3、加强节能管理，制定实施切实可行的节能措施，提高用能效率，促进节能规定落到实处</w:t>
                  </w:r>
                </w:p>
                <w:p>
                  <w:pPr>
                    <w:spacing w:line="320" w:lineRule="exact"/>
                    <w:rPr>
                      <w:rFonts w:ascii="宋体" w:hAnsi="宋体"/>
                      <w:color w:val="auto"/>
                      <w:sz w:val="21"/>
                      <w:szCs w:val="21"/>
                      <w:highlight w:val="none"/>
                    </w:rPr>
                  </w:pPr>
                  <w:r>
                    <w:rPr>
                      <w:rFonts w:hint="eastAsia" w:ascii="宋体" w:hAnsi="宋体"/>
                      <w:color w:val="auto"/>
                      <w:sz w:val="21"/>
                      <w:szCs w:val="21"/>
                      <w:highlight w:val="none"/>
                    </w:rPr>
                    <w:t xml:space="preserve">4、提出技改方案，协助甲方做好各项节能项目的改造，并完成技改前后能耗对比图表 </w:t>
                  </w:r>
                </w:p>
                <w:p>
                  <w:pPr>
                    <w:spacing w:line="32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5、每周不少于4次的节能巡查，及时做好巡查记录；不定期抽查</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5分</w:t>
                  </w:r>
                </w:p>
              </w:tc>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8"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olor w:val="auto"/>
                      <w:kern w:val="2"/>
                      <w:sz w:val="21"/>
                      <w:szCs w:val="21"/>
                      <w:highlight w:val="none"/>
                      <w:lang w:val="en-US" w:eastAsia="zh-CN" w:bidi="ar-SA"/>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菜品</w:t>
                  </w:r>
                </w:p>
              </w:tc>
              <w:tc>
                <w:tcPr>
                  <w:tcW w:w="74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Times New Roman"/>
                      <w:color w:val="auto"/>
                      <w:sz w:val="21"/>
                      <w:szCs w:val="21"/>
                      <w:highlight w:val="none"/>
                    </w:rPr>
                  </w:pPr>
                  <w:r>
                    <w:rPr>
                      <w:rFonts w:hint="eastAsia" w:ascii="宋体" w:hAnsi="宋体"/>
                      <w:color w:val="auto"/>
                      <w:sz w:val="21"/>
                      <w:szCs w:val="21"/>
                      <w:highlight w:val="none"/>
                    </w:rPr>
                    <w:t>1、</w:t>
                  </w:r>
                  <w:r>
                    <w:rPr>
                      <w:rFonts w:hint="eastAsia" w:ascii="宋体" w:hAnsi="宋体" w:eastAsia="宋体" w:cs="Times New Roman"/>
                      <w:color w:val="auto"/>
                      <w:sz w:val="21"/>
                      <w:szCs w:val="21"/>
                      <w:highlight w:val="none"/>
                    </w:rPr>
                    <w:t>要求每周菜单更新（菜品不同样，例如这周菜单与上周或下周都不能重样），加强新菜品开发，每周至少推出1个新菜（保证不重样）</w:t>
                  </w:r>
                </w:p>
                <w:p>
                  <w:pPr>
                    <w:spacing w:line="320" w:lineRule="exact"/>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 xml:space="preserve">2、菜品口味的满意度 </w:t>
                  </w:r>
                </w:p>
                <w:p>
                  <w:pPr>
                    <w:spacing w:line="320" w:lineRule="exact"/>
                    <w:rPr>
                      <w:rFonts w:hint="eastAsia" w:eastAsia="宋体"/>
                      <w:color w:val="auto"/>
                      <w:kern w:val="2"/>
                      <w:sz w:val="21"/>
                      <w:szCs w:val="21"/>
                      <w:highlight w:val="none"/>
                      <w:lang w:val="en-US" w:eastAsia="zh-CN" w:bidi="ar-SA"/>
                    </w:rPr>
                  </w:pPr>
                  <w:r>
                    <w:rPr>
                      <w:rFonts w:hint="eastAsia" w:ascii="宋体" w:hAnsi="宋体"/>
                      <w:color w:val="auto"/>
                      <w:sz w:val="21"/>
                      <w:szCs w:val="21"/>
                      <w:highlight w:val="none"/>
                      <w:lang w:eastAsia="zh-CN"/>
                    </w:rPr>
                    <w:t>3、用餐人数</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hint="eastAsia" w:ascii="宋体" w:hAnsi="宋体"/>
                      <w:color w:val="auto"/>
                      <w:sz w:val="21"/>
                      <w:szCs w:val="21"/>
                      <w:highlight w:val="none"/>
                    </w:rPr>
                  </w:pPr>
                  <w:r>
                    <w:rPr>
                      <w:rFonts w:hint="eastAsia" w:ascii="宋体" w:hAnsi="宋体"/>
                      <w:color w:val="auto"/>
                      <w:sz w:val="21"/>
                      <w:szCs w:val="21"/>
                      <w:highlight w:val="none"/>
                      <w:lang w:val="en-US" w:eastAsia="zh-CN"/>
                    </w:rPr>
                    <w:t>15</w:t>
                  </w:r>
                  <w:r>
                    <w:rPr>
                      <w:rFonts w:hint="eastAsia" w:ascii="宋体" w:hAnsi="宋体"/>
                      <w:color w:val="auto"/>
                      <w:sz w:val="21"/>
                      <w:szCs w:val="21"/>
                      <w:highlight w:val="none"/>
                    </w:rPr>
                    <w:t>分</w:t>
                  </w:r>
                </w:p>
                <w:p>
                  <w:pPr>
                    <w:spacing w:line="160" w:lineRule="atLeast"/>
                    <w:ind w:right="-466" w:rightChars="-222"/>
                    <w:rPr>
                      <w:rFonts w:hint="eastAsia" w:ascii="宋体" w:hAnsi="宋体"/>
                      <w:color w:val="auto"/>
                      <w:sz w:val="21"/>
                      <w:szCs w:val="21"/>
                      <w:highlight w:val="none"/>
                      <w:lang w:val="en-US" w:eastAsia="zh-CN"/>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8"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9.食品及原材料质量</w:t>
                  </w:r>
                </w:p>
              </w:tc>
              <w:tc>
                <w:tcPr>
                  <w:tcW w:w="74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olor w:val="auto"/>
                      <w:sz w:val="21"/>
                      <w:szCs w:val="21"/>
                      <w:highlight w:val="none"/>
                      <w:lang w:val="zh-CN" w:eastAsia="zh-CN"/>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lang w:val="zh-CN" w:eastAsia="zh-CN"/>
                    </w:rPr>
                    <w:t>肉、禽、蛋、水产等必须具有动物检验检疫合格证明或化验单；</w:t>
                  </w:r>
                </w:p>
                <w:p>
                  <w:pPr>
                    <w:spacing w:line="320" w:lineRule="exact"/>
                    <w:rPr>
                      <w:rFonts w:hint="eastAsia" w:ascii="宋体" w:hAnsi="宋体"/>
                      <w:color w:val="auto"/>
                      <w:sz w:val="21"/>
                      <w:szCs w:val="21"/>
                      <w:highlight w:val="none"/>
                      <w:lang w:val="zh-CN" w:eastAsia="zh-CN"/>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lang w:val="zh-CN" w:eastAsia="zh-CN"/>
                    </w:rPr>
                    <w:t>豆制品、辅料、半成品必须具有“</w:t>
                  </w:r>
                  <w:r>
                    <w:rPr>
                      <w:rFonts w:hint="eastAsia" w:ascii="宋体" w:hAnsi="宋体"/>
                      <w:color w:val="auto"/>
                      <w:sz w:val="21"/>
                      <w:szCs w:val="21"/>
                      <w:highlight w:val="none"/>
                      <w:lang w:val="en-US" w:eastAsia="zh-CN"/>
                    </w:rPr>
                    <w:t>SC</w:t>
                  </w:r>
                  <w:r>
                    <w:rPr>
                      <w:rFonts w:hint="eastAsia" w:ascii="宋体" w:hAnsi="宋体"/>
                      <w:color w:val="auto"/>
                      <w:sz w:val="21"/>
                      <w:szCs w:val="21"/>
                      <w:highlight w:val="none"/>
                      <w:lang w:val="zh-CN" w:eastAsia="zh-CN"/>
                    </w:rPr>
                    <w:t>”食品质量安全认证；</w:t>
                  </w:r>
                </w:p>
                <w:p>
                  <w:pPr>
                    <w:spacing w:line="320" w:lineRule="exact"/>
                    <w:rPr>
                      <w:rFonts w:hint="eastAsia" w:ascii="宋体" w:hAnsi="宋体"/>
                      <w:color w:val="auto"/>
                      <w:sz w:val="21"/>
                      <w:szCs w:val="21"/>
                      <w:highlight w:val="none"/>
                      <w:lang w:val="zh-CN" w:eastAsia="zh-CN"/>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lang w:val="zh-CN" w:eastAsia="zh-CN"/>
                    </w:rPr>
                    <w:t>蔬菜必须保证新鲜，按供货批次提供农贸市场蔬菜农药检测结果，且符合食品卫生安全法要求；</w:t>
                  </w:r>
                </w:p>
                <w:p>
                  <w:pPr>
                    <w:spacing w:line="320" w:lineRule="exact"/>
                    <w:rPr>
                      <w:rFonts w:hint="eastAsia" w:ascii="宋体" w:hAnsi="宋体"/>
                      <w:color w:val="auto"/>
                      <w:sz w:val="21"/>
                      <w:szCs w:val="21"/>
                      <w:highlight w:val="none"/>
                      <w:lang w:val="zh-CN" w:eastAsia="zh-CN"/>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lang w:val="zh-CN" w:eastAsia="zh-CN"/>
                    </w:rPr>
                    <w:t>采购货源必须持有与销售内容相对应的有效营业执照，食品生产许可证或食品销售许可证；</w:t>
                  </w:r>
                </w:p>
                <w:p>
                  <w:pPr>
                    <w:spacing w:line="320" w:lineRule="exact"/>
                    <w:rPr>
                      <w:rFonts w:hint="eastAsia" w:ascii="宋体" w:hAnsi="宋体"/>
                      <w:color w:val="auto"/>
                      <w:sz w:val="21"/>
                      <w:szCs w:val="21"/>
                      <w:highlight w:val="none"/>
                      <w:lang w:val="zh-CN" w:eastAsia="zh-CN"/>
                    </w:rPr>
                  </w:pP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val="zh-CN" w:eastAsia="zh-CN"/>
                    </w:rPr>
                    <w:t>供应商负责供货产品的食品安全，须做到来源可溯，食材必需留存24小时及以上，以备安全核查；</w:t>
                  </w:r>
                </w:p>
                <w:p>
                  <w:pPr>
                    <w:spacing w:line="320" w:lineRule="exact"/>
                    <w:rPr>
                      <w:rFonts w:hint="eastAsia" w:ascii="宋体" w:hAnsi="宋体"/>
                      <w:color w:val="auto"/>
                      <w:sz w:val="21"/>
                      <w:szCs w:val="21"/>
                      <w:highlight w:val="none"/>
                      <w:lang w:val="zh-CN" w:eastAsia="zh-CN"/>
                    </w:rPr>
                  </w:pPr>
                  <w:r>
                    <w:rPr>
                      <w:rFonts w:hint="eastAsia" w:ascii="宋体" w:hAnsi="宋体"/>
                      <w:color w:val="auto"/>
                      <w:sz w:val="21"/>
                      <w:szCs w:val="21"/>
                      <w:highlight w:val="none"/>
                      <w:lang w:val="en-US" w:eastAsia="zh-CN"/>
                    </w:rPr>
                    <w:t>6、</w:t>
                  </w:r>
                  <w:r>
                    <w:rPr>
                      <w:rFonts w:hint="eastAsia" w:ascii="宋体" w:hAnsi="宋体"/>
                      <w:color w:val="auto"/>
                      <w:sz w:val="21"/>
                      <w:szCs w:val="21"/>
                      <w:highlight w:val="none"/>
                      <w:lang w:val="zh-CN" w:eastAsia="zh-CN"/>
                    </w:rPr>
                    <w:t>具体配送产品品质要求详见“</w:t>
                  </w:r>
                  <w:r>
                    <w:rPr>
                      <w:rFonts w:hint="eastAsia" w:ascii="宋体" w:hAnsi="宋体"/>
                      <w:color w:val="auto"/>
                      <w:sz w:val="21"/>
                      <w:szCs w:val="21"/>
                      <w:highlight w:val="none"/>
                      <w:lang w:val="en-US" w:eastAsia="zh-CN"/>
                    </w:rPr>
                    <w:t>（二）</w:t>
                  </w:r>
                  <w:r>
                    <w:rPr>
                      <w:rFonts w:hint="eastAsia" w:ascii="宋体" w:hAnsi="宋体"/>
                      <w:color w:val="auto"/>
                      <w:sz w:val="21"/>
                      <w:szCs w:val="21"/>
                      <w:highlight w:val="none"/>
                      <w:lang w:val="zh-CN" w:eastAsia="zh-CN"/>
                    </w:rPr>
                    <w:t>对配送产品品质的基本要求”。</w:t>
                  </w:r>
                </w:p>
                <w:p>
                  <w:pPr>
                    <w:spacing w:line="320" w:lineRule="exact"/>
                    <w:rPr>
                      <w:rFonts w:hint="eastAsia" w:ascii="宋体" w:hAnsi="宋体"/>
                      <w:color w:val="auto"/>
                      <w:sz w:val="21"/>
                      <w:szCs w:val="21"/>
                      <w:highlight w:val="none"/>
                      <w:lang w:val="zh-CN" w:eastAsia="zh-CN"/>
                    </w:rPr>
                  </w:pPr>
                  <w:r>
                    <w:rPr>
                      <w:rFonts w:hint="eastAsia" w:ascii="宋体" w:hAnsi="宋体"/>
                      <w:color w:val="auto"/>
                      <w:sz w:val="21"/>
                      <w:szCs w:val="21"/>
                      <w:highlight w:val="none"/>
                      <w:lang w:val="en-US" w:eastAsia="zh-CN"/>
                    </w:rPr>
                    <w:t>7、</w:t>
                  </w:r>
                  <w:r>
                    <w:rPr>
                      <w:rFonts w:hint="eastAsia" w:ascii="宋体" w:hAnsi="宋体"/>
                      <w:color w:val="auto"/>
                      <w:sz w:val="21"/>
                      <w:szCs w:val="21"/>
                      <w:highlight w:val="none"/>
                      <w:lang w:val="zh-CN" w:eastAsia="zh-CN"/>
                    </w:rPr>
                    <w:t>供应商需对所有配送品类进行提前分拣，保证食材的新鲜、大小均匀。</w:t>
                  </w:r>
                </w:p>
                <w:p>
                  <w:pPr>
                    <w:spacing w:line="320" w:lineRule="exac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8、国家法定禁渔期间可适当提供冰冻海鲜食材，其余时间需按照采购方采购要求供应新鲜海鲜原材料。（冰冻海鲜产品提供必须符合国家食品安全法对于冰冻海鲜类产品相应条例）。</w:t>
                  </w:r>
                </w:p>
                <w:p>
                  <w:pPr>
                    <w:spacing w:line="320" w:lineRule="exact"/>
                    <w:rPr>
                      <w:rFonts w:hint="eastAsia" w:ascii="宋体" w:hAnsi="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hint="eastAsia" w:ascii="宋体" w:hAnsi="宋体"/>
                      <w:color w:val="auto"/>
                      <w:sz w:val="21"/>
                      <w:szCs w:val="21"/>
                      <w:highlight w:val="none"/>
                    </w:rPr>
                  </w:pPr>
                  <w:r>
                    <w:rPr>
                      <w:rFonts w:hint="eastAsia" w:ascii="宋体" w:hAnsi="宋体"/>
                      <w:color w:val="auto"/>
                      <w:sz w:val="21"/>
                      <w:szCs w:val="21"/>
                      <w:highlight w:val="none"/>
                      <w:lang w:val="en-US" w:eastAsia="zh-CN"/>
                    </w:rPr>
                    <w:t>15</w:t>
                  </w:r>
                  <w:r>
                    <w:rPr>
                      <w:rFonts w:hint="eastAsia" w:ascii="宋体" w:hAnsi="宋体"/>
                      <w:color w:val="auto"/>
                      <w:sz w:val="21"/>
                      <w:szCs w:val="21"/>
                      <w:highlight w:val="none"/>
                    </w:rPr>
                    <w:t>分</w:t>
                  </w:r>
                </w:p>
                <w:p>
                  <w:pPr>
                    <w:spacing w:line="160" w:lineRule="atLeast"/>
                    <w:ind w:right="-466" w:rightChars="-222"/>
                    <w:rPr>
                      <w:rFonts w:hint="eastAsia" w:ascii="宋体" w:hAnsi="宋体"/>
                      <w:color w:val="auto"/>
                      <w:sz w:val="21"/>
                      <w:szCs w:val="21"/>
                      <w:highlight w:val="none"/>
                      <w:lang w:val="en-US" w:eastAsia="zh-CN"/>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pPr>
                    <w:pStyle w:val="16"/>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10.其它</w:t>
                  </w:r>
                </w:p>
              </w:tc>
              <w:tc>
                <w:tcPr>
                  <w:tcW w:w="74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olor w:val="auto"/>
                      <w:sz w:val="21"/>
                      <w:szCs w:val="21"/>
                      <w:highlight w:val="none"/>
                      <w:lang w:val="zh-CN" w:eastAsia="zh-CN"/>
                    </w:rPr>
                  </w:pPr>
                  <w:r>
                    <w:rPr>
                      <w:rFonts w:hint="eastAsia" w:ascii="宋体" w:hAnsi="宋体"/>
                      <w:color w:val="auto"/>
                      <w:sz w:val="21"/>
                      <w:szCs w:val="21"/>
                      <w:highlight w:val="none"/>
                      <w:lang w:val="zh-CN" w:eastAsia="zh-CN"/>
                    </w:rPr>
                    <w:t>未兑现优质服务承诺的</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5分</w:t>
                  </w:r>
                </w:p>
              </w:tc>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pPr>
                    <w:pStyle w:val="16"/>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11.加分项</w:t>
                  </w:r>
                </w:p>
              </w:tc>
              <w:tc>
                <w:tcPr>
                  <w:tcW w:w="74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临时性加餐或特殊情况加餐给予酌情加分，每月总计最多加5分</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w:t>
                  </w:r>
                </w:p>
              </w:tc>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8423" w:type="dxa"/>
                  <w:gridSpan w:val="2"/>
                  <w:tcBorders>
                    <w:top w:val="single" w:color="auto" w:sz="4" w:space="0"/>
                    <w:left w:val="single" w:color="auto" w:sz="4" w:space="0"/>
                    <w:bottom w:val="single" w:color="auto" w:sz="4" w:space="0"/>
                    <w:right w:val="single" w:color="auto" w:sz="4" w:space="0"/>
                  </w:tcBorders>
                  <w:noWrap w:val="0"/>
                  <w:vAlign w:val="center"/>
                </w:tcPr>
                <w:p>
                  <w:pPr>
                    <w:pStyle w:val="16"/>
                    <w:rPr>
                      <w:rFonts w:hint="eastAsia" w:ascii="宋体" w:hAnsi="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合计总分</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100分</w:t>
                  </w:r>
                </w:p>
              </w:tc>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4" w:hRule="atLeast"/>
                <w:jc w:val="center"/>
              </w:trPr>
              <w:tc>
                <w:tcPr>
                  <w:tcW w:w="10142"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注：</w:t>
                  </w:r>
                  <w:r>
                    <w:rPr>
                      <w:rFonts w:hint="eastAsia" w:ascii="宋体" w:hAnsi="宋体" w:eastAsia="宋体" w:cs="宋体"/>
                      <w:bCs/>
                      <w:color w:val="auto"/>
                      <w:kern w:val="0"/>
                      <w:sz w:val="22"/>
                      <w:szCs w:val="22"/>
                      <w:highlight w:val="none"/>
                    </w:rPr>
                    <w:br w:type="textWrapping"/>
                  </w:r>
                  <w:r>
                    <w:rPr>
                      <w:rFonts w:hint="eastAsia" w:ascii="宋体" w:hAnsi="宋体" w:eastAsia="宋体" w:cs="宋体"/>
                      <w:bCs/>
                      <w:color w:val="auto"/>
                      <w:kern w:val="0"/>
                      <w:sz w:val="22"/>
                      <w:szCs w:val="22"/>
                      <w:highlight w:val="none"/>
                    </w:rPr>
                    <w:t>1、如考核得分高于90分（含），全额支付当月应付款</w:t>
                  </w:r>
                  <w:r>
                    <w:rPr>
                      <w:rFonts w:hint="eastAsia" w:ascii="宋体" w:hAnsi="宋体" w:eastAsia="宋体" w:cs="宋体"/>
                      <w:bCs/>
                      <w:color w:val="auto"/>
                      <w:kern w:val="0"/>
                      <w:sz w:val="22"/>
                      <w:szCs w:val="22"/>
                      <w:highlight w:val="none"/>
                      <w:lang w:eastAsia="zh-CN"/>
                    </w:rPr>
                    <w:t>。</w:t>
                  </w:r>
                </w:p>
                <w:p>
                  <w:pPr>
                    <w:widowControl/>
                    <w:jc w:val="left"/>
                    <w:rPr>
                      <w:rFonts w:hint="eastAsia" w:ascii="宋体" w:hAnsi="宋体" w:eastAsia="宋体" w:cs="宋体"/>
                      <w:bCs/>
                      <w:color w:val="auto"/>
                      <w:kern w:val="0"/>
                      <w:sz w:val="22"/>
                      <w:szCs w:val="22"/>
                      <w:highlight w:val="none"/>
                    </w:rPr>
                  </w:pPr>
                  <w:r>
                    <w:rPr>
                      <w:rFonts w:hint="eastAsia" w:ascii="宋体" w:hAnsi="宋体" w:cs="宋体"/>
                      <w:bCs/>
                      <w:color w:val="auto"/>
                      <w:kern w:val="0"/>
                      <w:sz w:val="22"/>
                      <w:szCs w:val="22"/>
                      <w:highlight w:val="none"/>
                      <w:lang w:val="en-US" w:eastAsia="zh-CN"/>
                    </w:rPr>
                    <w:t>2、</w:t>
                  </w:r>
                  <w:r>
                    <w:rPr>
                      <w:rFonts w:hint="eastAsia" w:ascii="宋体" w:hAnsi="宋体" w:eastAsia="宋体" w:cs="宋体"/>
                      <w:bCs/>
                      <w:color w:val="auto"/>
                      <w:kern w:val="0"/>
                      <w:sz w:val="22"/>
                      <w:szCs w:val="22"/>
                      <w:highlight w:val="none"/>
                    </w:rPr>
                    <w:t>考核得分低于90分且高于80分（含）的，</w:t>
                  </w:r>
                  <w:r>
                    <w:rPr>
                      <w:rFonts w:hint="eastAsia" w:ascii="宋体" w:hAnsi="宋体" w:cs="宋体"/>
                      <w:bCs/>
                      <w:color w:val="auto"/>
                      <w:kern w:val="0"/>
                      <w:sz w:val="22"/>
                      <w:szCs w:val="22"/>
                      <w:highlight w:val="none"/>
                      <w:lang w:eastAsia="zh-CN"/>
                    </w:rPr>
                    <w:t>90分以下每扣一分处罚3000元违约金，80分以下每扣一分处罚5000元违约金，</w:t>
                  </w:r>
                  <w:r>
                    <w:rPr>
                      <w:rFonts w:hint="eastAsia" w:ascii="宋体" w:hAnsi="宋体" w:eastAsia="宋体" w:cs="宋体"/>
                      <w:bCs/>
                      <w:color w:val="auto"/>
                      <w:kern w:val="0"/>
                      <w:sz w:val="22"/>
                      <w:szCs w:val="22"/>
                      <w:highlight w:val="none"/>
                    </w:rPr>
                    <w:t>采购人有权直接从当月应付未付款项中扣除</w:t>
                  </w:r>
                  <w:r>
                    <w:rPr>
                      <w:rFonts w:hint="eastAsia" w:ascii="宋体" w:hAnsi="宋体" w:eastAsia="宋体" w:cs="宋体"/>
                      <w:bCs/>
                      <w:color w:val="auto"/>
                      <w:kern w:val="0"/>
                      <w:sz w:val="22"/>
                      <w:szCs w:val="22"/>
                      <w:highlight w:val="none"/>
                      <w:lang w:eastAsia="zh-CN"/>
                    </w:rPr>
                    <w:t>。</w:t>
                  </w:r>
                </w:p>
                <w:p>
                  <w:pPr>
                    <w:widowControl/>
                    <w:jc w:val="left"/>
                    <w:rPr>
                      <w:rFonts w:hint="eastAsia" w:ascii="宋体" w:hAnsi="宋体" w:eastAsia="宋体" w:cs="宋体"/>
                      <w:bCs/>
                      <w:color w:val="auto"/>
                      <w:kern w:val="0"/>
                      <w:sz w:val="22"/>
                      <w:szCs w:val="22"/>
                      <w:highlight w:val="none"/>
                    </w:rPr>
                  </w:pPr>
                  <w:r>
                    <w:rPr>
                      <w:rFonts w:hint="eastAsia" w:ascii="宋体" w:hAnsi="宋体" w:cs="宋体"/>
                      <w:bCs/>
                      <w:color w:val="auto"/>
                      <w:kern w:val="0"/>
                      <w:sz w:val="22"/>
                      <w:szCs w:val="22"/>
                      <w:highlight w:val="none"/>
                      <w:lang w:val="en-US" w:eastAsia="zh-CN"/>
                    </w:rPr>
                    <w:t>3、</w:t>
                  </w:r>
                  <w:r>
                    <w:rPr>
                      <w:rFonts w:hint="eastAsia" w:ascii="宋体" w:hAnsi="宋体" w:eastAsia="宋体" w:cs="宋体"/>
                      <w:bCs/>
                      <w:color w:val="auto"/>
                      <w:kern w:val="0"/>
                      <w:sz w:val="22"/>
                      <w:szCs w:val="22"/>
                      <w:highlight w:val="none"/>
                    </w:rPr>
                    <w:t>考核得分累计两次低于80分或一次低于60分，采购人有权无条件终止合同。</w:t>
                  </w:r>
                </w:p>
                <w:p>
                  <w:pPr>
                    <w:widowControl/>
                    <w:jc w:val="left"/>
                    <w:rPr>
                      <w:rFonts w:hint="eastAsia" w:ascii="宋体" w:hAnsi="宋体" w:eastAsia="宋体" w:cs="宋体"/>
                      <w:bCs/>
                      <w:color w:val="auto"/>
                      <w:kern w:val="0"/>
                      <w:sz w:val="22"/>
                      <w:szCs w:val="22"/>
                      <w:highlight w:val="none"/>
                    </w:rPr>
                  </w:pPr>
                  <w:r>
                    <w:rPr>
                      <w:rFonts w:hint="eastAsia" w:ascii="宋体" w:hAnsi="宋体" w:cs="宋体"/>
                      <w:bCs/>
                      <w:color w:val="auto"/>
                      <w:kern w:val="0"/>
                      <w:sz w:val="22"/>
                      <w:szCs w:val="22"/>
                      <w:highlight w:val="none"/>
                      <w:lang w:val="en-US" w:eastAsia="zh-CN"/>
                    </w:rPr>
                    <w:t>4</w:t>
                  </w:r>
                  <w:r>
                    <w:rPr>
                      <w:rFonts w:hint="eastAsia" w:ascii="宋体" w:hAnsi="宋体" w:cs="宋体"/>
                      <w:bCs/>
                      <w:color w:val="auto"/>
                      <w:kern w:val="0"/>
                      <w:sz w:val="22"/>
                      <w:szCs w:val="22"/>
                      <w:highlight w:val="none"/>
                      <w:lang w:eastAsia="zh-CN"/>
                    </w:rPr>
                    <w:t>、</w:t>
                  </w:r>
                  <w:r>
                    <w:rPr>
                      <w:rFonts w:hint="eastAsia" w:ascii="宋体" w:hAnsi="宋体" w:eastAsia="宋体" w:cs="宋体"/>
                      <w:bCs/>
                      <w:color w:val="auto"/>
                      <w:kern w:val="0"/>
                      <w:sz w:val="22"/>
                      <w:szCs w:val="22"/>
                      <w:highlight w:val="none"/>
                    </w:rPr>
                    <w:t>如出现因食材问题发生事故，采购人有权无条件终止合同</w:t>
                  </w:r>
                  <w:r>
                    <w:rPr>
                      <w:rFonts w:hint="eastAsia" w:ascii="宋体" w:hAnsi="宋体" w:eastAsia="宋体" w:cs="宋体"/>
                      <w:bCs/>
                      <w:color w:val="auto"/>
                      <w:kern w:val="0"/>
                      <w:sz w:val="22"/>
                      <w:szCs w:val="22"/>
                      <w:highlight w:val="none"/>
                      <w:lang w:eastAsia="zh-CN"/>
                    </w:rPr>
                    <w:t>，</w:t>
                  </w:r>
                  <w:r>
                    <w:rPr>
                      <w:rFonts w:hint="eastAsia" w:ascii="宋体" w:hAnsi="宋体" w:eastAsia="宋体" w:cs="宋体"/>
                      <w:bCs/>
                      <w:color w:val="auto"/>
                      <w:kern w:val="0"/>
                      <w:sz w:val="22"/>
                      <w:szCs w:val="22"/>
                      <w:highlight w:val="none"/>
                      <w:lang w:val="en-US" w:eastAsia="zh-CN"/>
                    </w:rPr>
                    <w:t>并保留追究赔偿的权力</w:t>
                  </w:r>
                  <w:r>
                    <w:rPr>
                      <w:rFonts w:hint="eastAsia" w:ascii="宋体" w:hAnsi="宋体" w:eastAsia="宋体" w:cs="宋体"/>
                      <w:bCs/>
                      <w:color w:val="auto"/>
                      <w:kern w:val="0"/>
                      <w:sz w:val="22"/>
                      <w:szCs w:val="22"/>
                      <w:highlight w:val="none"/>
                    </w:rPr>
                    <w:t>。</w:t>
                  </w:r>
                </w:p>
              </w:tc>
            </w:tr>
          </w:tbl>
          <w:p>
            <w:pPr>
              <w:rPr>
                <w:rFonts w:hint="eastAsia" w:ascii="宋体" w:hAnsi="宋体"/>
                <w:color w:val="auto"/>
                <w:highlight w:val="none"/>
              </w:rPr>
            </w:pPr>
          </w:p>
          <w:p>
            <w:pPr>
              <w:rPr>
                <w:rFonts w:hint="eastAsia" w:ascii="宋体" w:hAnsi="宋体"/>
                <w:color w:val="auto"/>
                <w:highlight w:val="none"/>
              </w:rPr>
            </w:pPr>
          </w:p>
          <w:p>
            <w:pPr>
              <w:ind w:firstLine="840" w:firstLineChars="400"/>
              <w:rPr>
                <w:rFonts w:hint="eastAsia" w:ascii="宋体" w:hAnsi="宋体"/>
                <w:color w:val="auto"/>
                <w:highlight w:val="none"/>
                <w:lang w:val="en-US" w:eastAsia="zh-CN"/>
              </w:rPr>
            </w:pPr>
            <w:r>
              <w:rPr>
                <w:rFonts w:hint="eastAsia" w:ascii="宋体" w:hAnsi="宋体"/>
                <w:color w:val="auto"/>
                <w:highlight w:val="none"/>
              </w:rPr>
              <w:t>考核人：</w:t>
            </w:r>
            <w:r>
              <w:rPr>
                <w:rFonts w:hint="eastAsia" w:ascii="宋体" w:hAnsi="宋体"/>
                <w:color w:val="auto"/>
                <w:highlight w:val="none"/>
                <w:lang w:val="en-US" w:eastAsia="zh-CN"/>
              </w:rPr>
              <w:t xml:space="preserve">                                                       时间：   年 月  日  </w:t>
            </w:r>
          </w:p>
          <w:p>
            <w:pPr>
              <w:rPr>
                <w:rFonts w:hint="eastAsia" w:ascii="宋体" w:hAnsi="宋体"/>
                <w:color w:val="auto"/>
                <w:highlight w:val="none"/>
                <w:lang w:val="en-US" w:eastAsia="zh-CN"/>
              </w:rPr>
            </w:pPr>
          </w:p>
          <w:p>
            <w:pPr>
              <w:widowControl/>
              <w:jc w:val="center"/>
              <w:rPr>
                <w:rFonts w:hint="eastAsia" w:ascii="宋体" w:hAnsi="宋体" w:eastAsia="宋体" w:cs="宋体"/>
                <w:b/>
                <w:bCs w:val="0"/>
                <w:color w:val="auto"/>
                <w:kern w:val="0"/>
                <w:sz w:val="24"/>
                <w:szCs w:val="24"/>
                <w:highlight w:val="none"/>
              </w:rPr>
            </w:pPr>
          </w:p>
          <w:p>
            <w:pPr>
              <w:widowControl/>
              <w:jc w:val="center"/>
              <w:rPr>
                <w:rFonts w:hint="eastAsia" w:ascii="宋体" w:hAnsi="宋体" w:eastAsia="宋体" w:cs="宋体"/>
                <w:bCs/>
                <w:color w:val="auto"/>
                <w:kern w:val="0"/>
                <w:sz w:val="22"/>
                <w:szCs w:val="22"/>
                <w:highlight w:val="none"/>
              </w:rPr>
            </w:pPr>
          </w:p>
        </w:tc>
      </w:tr>
      <w:tr>
        <w:tblPrEx>
          <w:tblCellMar>
            <w:top w:w="0" w:type="dxa"/>
            <w:left w:w="108" w:type="dxa"/>
            <w:bottom w:w="0" w:type="dxa"/>
            <w:right w:w="108" w:type="dxa"/>
          </w:tblCellMar>
        </w:tblPrEx>
        <w:trPr>
          <w:trHeight w:val="270" w:hRule="atLeast"/>
        </w:trPr>
        <w:tc>
          <w:tcPr>
            <w:tcW w:w="10620" w:type="dxa"/>
            <w:tcBorders>
              <w:top w:val="nil"/>
              <w:left w:val="nil"/>
              <w:bottom w:val="nil"/>
              <w:right w:val="nil"/>
            </w:tcBorders>
            <w:noWrap w:val="0"/>
            <w:vAlign w:val="center"/>
          </w:tcPr>
          <w:p>
            <w:pPr>
              <w:widowControl/>
              <w:jc w:val="left"/>
              <w:rPr>
                <w:rFonts w:hint="eastAsia" w:ascii="宋体" w:hAnsi="宋体" w:eastAsia="宋体" w:cs="宋体"/>
                <w:bCs/>
                <w:color w:val="auto"/>
                <w:kern w:val="0"/>
                <w:sz w:val="22"/>
                <w:szCs w:val="22"/>
                <w:highlight w:val="none"/>
              </w:rPr>
            </w:pPr>
          </w:p>
        </w:tc>
      </w:tr>
      <w:tr>
        <w:tblPrEx>
          <w:tblCellMar>
            <w:top w:w="0" w:type="dxa"/>
            <w:left w:w="108" w:type="dxa"/>
            <w:bottom w:w="0" w:type="dxa"/>
            <w:right w:w="108" w:type="dxa"/>
          </w:tblCellMar>
        </w:tblPrEx>
        <w:trPr>
          <w:trHeight w:val="90" w:hRule="atLeast"/>
        </w:trPr>
        <w:tc>
          <w:tcPr>
            <w:tcW w:w="10620" w:type="dxa"/>
            <w:tcBorders>
              <w:top w:val="nil"/>
              <w:left w:val="nil"/>
              <w:bottom w:val="single" w:color="auto" w:sz="4" w:space="0"/>
              <w:right w:val="nil"/>
            </w:tcBorders>
            <w:noWrap w:val="0"/>
            <w:vAlign w:val="center"/>
          </w:tcPr>
          <w:p>
            <w:pPr>
              <w:widowControl/>
              <w:jc w:val="left"/>
              <w:rPr>
                <w:rFonts w:hint="eastAsia" w:ascii="宋体" w:hAnsi="宋体" w:eastAsia="宋体" w:cs="宋体"/>
                <w:bCs/>
                <w:color w:val="auto"/>
                <w:kern w:val="0"/>
                <w:sz w:val="22"/>
                <w:szCs w:val="22"/>
                <w:highlight w:val="none"/>
              </w:rPr>
            </w:pPr>
          </w:p>
          <w:p>
            <w:pPr>
              <w:pStyle w:val="2"/>
              <w:rPr>
                <w:rFonts w:hint="eastAsia"/>
                <w:highlight w:val="none"/>
              </w:rPr>
            </w:pPr>
          </w:p>
        </w:tc>
      </w:tr>
    </w:tbl>
    <w:p>
      <w:pPr>
        <w:jc w:val="center"/>
        <w:rPr>
          <w:rFonts w:hint="eastAsia" w:ascii="宋体" w:hAnsi="宋体" w:eastAsia="宋体" w:cs="宋体"/>
          <w:color w:val="auto"/>
          <w:sz w:val="36"/>
          <w:szCs w:val="36"/>
          <w:highlight w:val="none"/>
        </w:rPr>
        <w:sectPr>
          <w:headerReference r:id="rId9" w:type="first"/>
          <w:footerReference r:id="rId12" w:type="first"/>
          <w:headerReference r:id="rId8" w:type="default"/>
          <w:footerReference r:id="rId10" w:type="default"/>
          <w:footerReference r:id="rId11" w:type="even"/>
          <w:pgSz w:w="11906" w:h="16838"/>
          <w:pgMar w:top="1134" w:right="1134" w:bottom="1134" w:left="1134" w:header="851" w:footer="851" w:gutter="0"/>
          <w:pgNumType w:fmt="decimal"/>
          <w:cols w:space="720" w:num="1"/>
          <w:titlePg/>
          <w:docGrid w:linePitch="312" w:charSpace="0"/>
        </w:sectPr>
      </w:pPr>
      <w:bookmarkStart w:id="198" w:name="RANGE!A3"/>
      <w:bookmarkEnd w:id="198"/>
    </w:p>
    <w:p>
      <w:pPr>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第三部分   磋商原则及方法</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pPr>
        <w:spacing w:beforeLines="20" w:afterLines="20" w:line="440" w:lineRule="exact"/>
        <w:ind w:firstLine="325" w:firstLineChars="147"/>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根据《中华人民共和国政府采购法》、《政府采购竞争性磋商采购方式管理暂行办法》等相关法规特制定以下磋商评审办法。</w:t>
      </w:r>
    </w:p>
    <w:p>
      <w:pPr>
        <w:spacing w:line="420" w:lineRule="exact"/>
        <w:outlineLvl w:val="0"/>
        <w:rPr>
          <w:rFonts w:hint="eastAsia" w:ascii="宋体" w:hAnsi="宋体" w:eastAsia="宋体" w:cs="宋体"/>
          <w:color w:val="auto"/>
          <w:sz w:val="22"/>
          <w:szCs w:val="22"/>
          <w:highlight w:val="none"/>
        </w:rPr>
      </w:pPr>
      <w:bookmarkStart w:id="199" w:name="_Toc458516434"/>
      <w:bookmarkStart w:id="200" w:name="_Toc23884074"/>
      <w:bookmarkStart w:id="201" w:name="_Toc527717319"/>
      <w:bookmarkStart w:id="202" w:name="_Toc15523"/>
      <w:bookmarkStart w:id="203" w:name="_Toc445832502"/>
      <w:bookmarkStart w:id="204" w:name="_Toc467175864"/>
      <w:bookmarkStart w:id="205" w:name="_Toc5821"/>
      <w:bookmarkStart w:id="206" w:name="_Toc507146686"/>
      <w:bookmarkStart w:id="207" w:name="_Toc23884114"/>
      <w:r>
        <w:rPr>
          <w:rFonts w:hint="eastAsia" w:ascii="宋体" w:hAnsi="宋体" w:eastAsia="宋体" w:cs="宋体"/>
          <w:color w:val="auto"/>
          <w:sz w:val="22"/>
          <w:szCs w:val="22"/>
          <w:highlight w:val="none"/>
        </w:rPr>
        <w:t>一. 总则</w:t>
      </w:r>
      <w:bookmarkEnd w:id="199"/>
      <w:bookmarkEnd w:id="200"/>
      <w:bookmarkEnd w:id="201"/>
      <w:bookmarkEnd w:id="202"/>
      <w:bookmarkEnd w:id="203"/>
      <w:bookmarkEnd w:id="204"/>
      <w:bookmarkEnd w:id="205"/>
      <w:bookmarkEnd w:id="206"/>
      <w:bookmarkEnd w:id="207"/>
    </w:p>
    <w:p>
      <w:pPr>
        <w:spacing w:line="420" w:lineRule="exact"/>
        <w:ind w:left="439" w:leftChars="20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工作遵循“公平、公正、科学、择优”原则和“诚实、信誉、效率”的服务原则。最大限度的保护采购人权益，严格按照磋商文件的要求，对磋商响应文件进行综合评审。磋商供应商不得以任何方式干扰采购工作的进行，一经发现其磋商响应文件将被拒绝。</w:t>
      </w:r>
    </w:p>
    <w:p>
      <w:pPr>
        <w:spacing w:line="450" w:lineRule="exac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二. 磋商程序</w:t>
      </w:r>
    </w:p>
    <w:p>
      <w:pPr>
        <w:spacing w:line="400" w:lineRule="exact"/>
        <w:ind w:left="420" w:left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磋商和评审程序：本次磋商分三个阶段进行，具体详见本磋商文件《第一部分 供应商须知》“六 磋商和评审”</w:t>
      </w:r>
      <w:r>
        <w:rPr>
          <w:rFonts w:hint="eastAsia" w:ascii="宋体" w:hAnsi="宋体" w:eastAsia="宋体" w:cs="宋体"/>
          <w:color w:val="auto"/>
          <w:sz w:val="22"/>
          <w:szCs w:val="22"/>
          <w:highlight w:val="none"/>
        </w:rPr>
        <w:t>。</w:t>
      </w:r>
    </w:p>
    <w:p>
      <w:pPr>
        <w:numPr>
          <w:ilvl w:val="0"/>
          <w:numId w:val="39"/>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磋商办法</w:t>
      </w:r>
    </w:p>
    <w:p>
      <w:pPr>
        <w:pStyle w:val="17"/>
        <w:numPr>
          <w:ilvl w:val="0"/>
          <w:numId w:val="40"/>
        </w:numPr>
        <w:spacing w:line="440" w:lineRule="exact"/>
        <w:ind w:left="431" w:leftChars="104" w:hanging="213" w:hangingChars="97"/>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本项目磋商办法采取百分制综合评分法，其中商务技术</w:t>
      </w:r>
      <w:r>
        <w:rPr>
          <w:rFonts w:hint="eastAsia" w:ascii="宋体" w:hAnsi="宋体" w:cs="宋体"/>
          <w:bCs/>
          <w:color w:val="auto"/>
          <w:sz w:val="22"/>
          <w:highlight w:val="none"/>
          <w:lang w:val="en-US" w:eastAsia="zh-CN"/>
        </w:rPr>
        <w:t>80</w:t>
      </w:r>
      <w:r>
        <w:rPr>
          <w:rFonts w:hint="eastAsia" w:ascii="宋体" w:hAnsi="宋体" w:eastAsia="宋体" w:cs="宋体"/>
          <w:bCs/>
          <w:color w:val="auto"/>
          <w:sz w:val="22"/>
          <w:highlight w:val="none"/>
        </w:rPr>
        <w:t>分（商务技术权值为</w:t>
      </w:r>
      <w:r>
        <w:rPr>
          <w:rFonts w:hint="eastAsia" w:ascii="宋体" w:hAnsi="宋体" w:cs="宋体"/>
          <w:bCs/>
          <w:color w:val="auto"/>
          <w:sz w:val="22"/>
          <w:highlight w:val="none"/>
          <w:lang w:val="en-US" w:eastAsia="zh-CN"/>
        </w:rPr>
        <w:t>80</w:t>
      </w:r>
      <w:r>
        <w:rPr>
          <w:rFonts w:hint="eastAsia" w:ascii="宋体" w:hAnsi="宋体" w:eastAsia="宋体" w:cs="宋体"/>
          <w:bCs/>
          <w:color w:val="auto"/>
          <w:sz w:val="22"/>
          <w:highlight w:val="none"/>
        </w:rPr>
        <w:t>%），投标报价</w:t>
      </w:r>
      <w:r>
        <w:rPr>
          <w:rFonts w:hint="eastAsia" w:ascii="宋体" w:hAnsi="宋体" w:cs="宋体"/>
          <w:bCs/>
          <w:color w:val="auto"/>
          <w:sz w:val="22"/>
          <w:highlight w:val="none"/>
          <w:lang w:val="en-US" w:eastAsia="zh-CN"/>
        </w:rPr>
        <w:t>20</w:t>
      </w:r>
      <w:r>
        <w:rPr>
          <w:rFonts w:hint="eastAsia" w:ascii="宋体" w:hAnsi="宋体" w:eastAsia="宋体" w:cs="宋体"/>
          <w:bCs/>
          <w:color w:val="auto"/>
          <w:sz w:val="22"/>
          <w:highlight w:val="none"/>
        </w:rPr>
        <w:t>分（价格权值为</w:t>
      </w:r>
      <w:r>
        <w:rPr>
          <w:rFonts w:hint="eastAsia" w:ascii="宋体" w:hAnsi="宋体" w:cs="宋体"/>
          <w:bCs/>
          <w:color w:val="auto"/>
          <w:sz w:val="22"/>
          <w:highlight w:val="none"/>
          <w:lang w:val="en-US" w:eastAsia="zh-CN"/>
        </w:rPr>
        <w:t>2</w:t>
      </w:r>
      <w:r>
        <w:rPr>
          <w:rFonts w:hint="eastAsia" w:ascii="宋体" w:hAnsi="宋体" w:eastAsia="宋体" w:cs="宋体"/>
          <w:bCs/>
          <w:color w:val="auto"/>
          <w:sz w:val="22"/>
          <w:highlight w:val="none"/>
        </w:rPr>
        <w:t>0%）。即最大限度地满足磋商文件实质性要求前提下，按照磋商文件中规定的各项评分内容进行综合评审。</w:t>
      </w:r>
    </w:p>
    <w:p>
      <w:pPr>
        <w:pStyle w:val="17"/>
        <w:numPr>
          <w:ilvl w:val="0"/>
          <w:numId w:val="40"/>
        </w:numPr>
        <w:spacing w:line="440" w:lineRule="exact"/>
        <w:ind w:left="431" w:leftChars="104" w:hanging="213" w:hangingChars="97"/>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评标过程中遇到特殊情况，由磋商小组遵循公平、公正原则，采取记名投票方式按照少数服从多数原则决定。</w:t>
      </w:r>
    </w:p>
    <w:p>
      <w:pPr>
        <w:pStyle w:val="17"/>
        <w:numPr>
          <w:ilvl w:val="0"/>
          <w:numId w:val="40"/>
        </w:numPr>
        <w:spacing w:line="440" w:lineRule="exact"/>
        <w:ind w:left="431" w:leftChars="104" w:hanging="213" w:hangingChars="97"/>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磋商小组根据综合评分情况，按照</w:t>
      </w:r>
      <w:r>
        <w:rPr>
          <w:rFonts w:hint="eastAsia" w:ascii="宋体" w:hAnsi="宋体" w:cs="宋体"/>
          <w:bCs/>
          <w:color w:val="auto"/>
          <w:sz w:val="22"/>
          <w:highlight w:val="none"/>
          <w:lang w:val="en-US" w:eastAsia="zh-CN"/>
        </w:rPr>
        <w:t>综合</w:t>
      </w:r>
      <w:r>
        <w:rPr>
          <w:rFonts w:hint="eastAsia" w:ascii="宋体" w:hAnsi="宋体" w:eastAsia="宋体" w:cs="宋体"/>
          <w:bCs/>
          <w:color w:val="auto"/>
          <w:sz w:val="22"/>
          <w:highlight w:val="none"/>
        </w:rPr>
        <w:t>得分由高到低顺序推荐</w:t>
      </w:r>
      <w:r>
        <w:rPr>
          <w:rFonts w:hint="eastAsia" w:ascii="宋体" w:hAnsi="宋体" w:cs="宋体"/>
          <w:bCs/>
          <w:color w:val="auto"/>
          <w:sz w:val="22"/>
          <w:highlight w:val="none"/>
          <w:lang w:val="en-US" w:eastAsia="zh-CN"/>
        </w:rPr>
        <w:t>2</w:t>
      </w:r>
      <w:r>
        <w:rPr>
          <w:rFonts w:hint="eastAsia" w:ascii="宋体" w:hAnsi="宋体" w:eastAsia="宋体" w:cs="宋体"/>
          <w:bCs/>
          <w:color w:val="auto"/>
          <w:sz w:val="22"/>
          <w:highlight w:val="none"/>
        </w:rPr>
        <w:t>名成</w:t>
      </w:r>
      <w:r>
        <w:rPr>
          <w:rFonts w:hint="eastAsia" w:ascii="宋体" w:hAnsi="宋体" w:cs="宋体"/>
          <w:color w:val="auto"/>
          <w:sz w:val="22"/>
          <w:szCs w:val="22"/>
          <w:highlight w:val="none"/>
        </w:rPr>
        <w:t>中标候选人</w:t>
      </w:r>
      <w:r>
        <w:rPr>
          <w:rFonts w:hint="eastAsia" w:ascii="宋体" w:hAnsi="宋体" w:eastAsia="宋体" w:cs="宋体"/>
          <w:bCs/>
          <w:color w:val="auto"/>
          <w:sz w:val="22"/>
          <w:highlight w:val="none"/>
        </w:rPr>
        <w:t>，并提交评审报告。综合得分相同的，综以报价分得分高的优先；综合得分相同且报价分得分相同的，由磋商小组抽签决定。</w:t>
      </w:r>
    </w:p>
    <w:p>
      <w:pPr>
        <w:numPr>
          <w:ilvl w:val="0"/>
          <w:numId w:val="39"/>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磋商细则</w:t>
      </w:r>
    </w:p>
    <w:p>
      <w:pPr>
        <w:spacing w:line="45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1、商务技术评分</w:t>
      </w:r>
      <w:r>
        <w:rPr>
          <w:rFonts w:hint="eastAsia" w:ascii="宋体" w:hAnsi="宋体" w:cs="宋体"/>
          <w:b/>
          <w:bCs/>
          <w:color w:val="auto"/>
          <w:sz w:val="22"/>
          <w:szCs w:val="22"/>
          <w:highlight w:val="none"/>
          <w:lang w:val="en-US" w:eastAsia="zh-CN"/>
        </w:rPr>
        <w:t>80</w:t>
      </w:r>
      <w:r>
        <w:rPr>
          <w:rFonts w:hint="eastAsia" w:ascii="宋体" w:hAnsi="宋体" w:eastAsia="宋体" w:cs="宋体"/>
          <w:color w:val="auto"/>
          <w:sz w:val="22"/>
          <w:szCs w:val="22"/>
          <w:highlight w:val="none"/>
        </w:rPr>
        <w:t>分</w:t>
      </w:r>
    </w:p>
    <w:p>
      <w:pPr>
        <w:spacing w:line="45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磋商小组成员按下列评分项目进行评定，每人一张评分计算表，由磋商小组成员各自评定打分并记实名。如任何一张表的一项评分内容分值超过规定的范围，则该张表无效。磋商小组成员对各供应商的各项评分内容评分的合计分的算术平均值为该磋商供应商商务技术分的最终得分（四舍五入，保留小数点后二位）。</w:t>
      </w:r>
    </w:p>
    <w:tbl>
      <w:tblPr>
        <w:tblStyle w:val="38"/>
        <w:tblW w:w="104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674"/>
        <w:gridCol w:w="7158"/>
        <w:gridCol w:w="7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6" w:hRule="atLeast"/>
          <w:tblHeader/>
          <w:jc w:val="center"/>
        </w:trPr>
        <w:tc>
          <w:tcPr>
            <w:tcW w:w="845" w:type="dxa"/>
            <w:noWrap w:val="0"/>
            <w:vAlign w:val="center"/>
          </w:tcPr>
          <w:p>
            <w:pPr>
              <w:keepNext w:val="0"/>
              <w:keepLines w:val="0"/>
              <w:pageBreakBefore w:val="0"/>
              <w:widowControl/>
              <w:kinsoku/>
              <w:wordWrap/>
              <w:overflowPunct/>
              <w:topLinePunct w:val="0"/>
              <w:bidi w:val="0"/>
              <w:snapToGrid/>
              <w:spacing w:line="240" w:lineRule="auto"/>
              <w:jc w:val="center"/>
              <w:textAlignment w:val="baseline"/>
              <w:rPr>
                <w:rFonts w:hint="eastAsia" w:ascii="宋体" w:hAnsi="宋体" w:cs="宋体"/>
                <w:b/>
                <w:bCs/>
                <w:color w:val="auto"/>
                <w:sz w:val="22"/>
                <w:szCs w:val="22"/>
                <w:highlight w:val="none"/>
                <w:shd w:val="clear" w:color="auto" w:fill="auto"/>
              </w:rPr>
            </w:pPr>
            <w:r>
              <w:rPr>
                <w:rFonts w:hint="eastAsia" w:ascii="宋体" w:hAnsi="宋体" w:cs="宋体"/>
                <w:b/>
                <w:bCs/>
                <w:color w:val="auto"/>
                <w:sz w:val="22"/>
                <w:szCs w:val="22"/>
                <w:highlight w:val="none"/>
                <w:shd w:val="clear" w:color="auto" w:fill="auto"/>
              </w:rPr>
              <w:t>序号</w:t>
            </w:r>
          </w:p>
        </w:tc>
        <w:tc>
          <w:tcPr>
            <w:tcW w:w="1674" w:type="dxa"/>
            <w:noWrap w:val="0"/>
            <w:vAlign w:val="center"/>
          </w:tcPr>
          <w:p>
            <w:pPr>
              <w:keepNext w:val="0"/>
              <w:keepLines w:val="0"/>
              <w:pageBreakBefore w:val="0"/>
              <w:widowControl/>
              <w:kinsoku/>
              <w:wordWrap/>
              <w:overflowPunct/>
              <w:topLinePunct w:val="0"/>
              <w:bidi w:val="0"/>
              <w:snapToGrid/>
              <w:spacing w:line="240" w:lineRule="auto"/>
              <w:jc w:val="center"/>
              <w:textAlignment w:val="baseline"/>
              <w:rPr>
                <w:rFonts w:hint="eastAsia" w:ascii="宋体" w:hAnsi="宋体" w:cs="宋体"/>
                <w:b/>
                <w:bCs/>
                <w:color w:val="auto"/>
                <w:sz w:val="22"/>
                <w:szCs w:val="22"/>
                <w:highlight w:val="none"/>
                <w:shd w:val="clear" w:color="auto" w:fill="auto"/>
              </w:rPr>
            </w:pPr>
            <w:r>
              <w:rPr>
                <w:rFonts w:hint="eastAsia" w:ascii="宋体" w:hAnsi="宋体" w:cs="宋体"/>
                <w:b/>
                <w:bCs/>
                <w:color w:val="auto"/>
                <w:sz w:val="22"/>
                <w:szCs w:val="22"/>
                <w:highlight w:val="none"/>
                <w:shd w:val="clear" w:color="auto" w:fill="auto"/>
              </w:rPr>
              <w:t>评标内容</w:t>
            </w:r>
          </w:p>
        </w:tc>
        <w:tc>
          <w:tcPr>
            <w:tcW w:w="7158" w:type="dxa"/>
            <w:noWrap w:val="0"/>
            <w:vAlign w:val="center"/>
          </w:tcPr>
          <w:p>
            <w:pPr>
              <w:keepNext w:val="0"/>
              <w:keepLines w:val="0"/>
              <w:pageBreakBefore w:val="0"/>
              <w:widowControl/>
              <w:kinsoku/>
              <w:wordWrap/>
              <w:overflowPunct/>
              <w:topLinePunct w:val="0"/>
              <w:bidi w:val="0"/>
              <w:snapToGrid/>
              <w:spacing w:line="240" w:lineRule="auto"/>
              <w:jc w:val="center"/>
              <w:textAlignment w:val="baseline"/>
              <w:rPr>
                <w:rFonts w:hint="eastAsia" w:ascii="宋体" w:hAnsi="宋体" w:cs="宋体"/>
                <w:b/>
                <w:bCs/>
                <w:color w:val="auto"/>
                <w:sz w:val="22"/>
                <w:szCs w:val="22"/>
                <w:highlight w:val="none"/>
                <w:shd w:val="clear" w:color="auto" w:fill="auto"/>
              </w:rPr>
            </w:pPr>
            <w:r>
              <w:rPr>
                <w:rFonts w:hint="eastAsia" w:ascii="宋体" w:hAnsi="宋体" w:cs="宋体"/>
                <w:b/>
                <w:bCs/>
                <w:color w:val="auto"/>
                <w:sz w:val="22"/>
                <w:szCs w:val="22"/>
                <w:highlight w:val="none"/>
                <w:shd w:val="clear" w:color="auto" w:fill="auto"/>
              </w:rPr>
              <w:t>评分细则</w:t>
            </w:r>
          </w:p>
        </w:tc>
        <w:tc>
          <w:tcPr>
            <w:tcW w:w="750" w:type="dxa"/>
            <w:noWrap w:val="0"/>
            <w:vAlign w:val="center"/>
          </w:tcPr>
          <w:p>
            <w:pPr>
              <w:keepNext w:val="0"/>
              <w:keepLines w:val="0"/>
              <w:pageBreakBefore w:val="0"/>
              <w:widowControl/>
              <w:kinsoku/>
              <w:wordWrap/>
              <w:overflowPunct/>
              <w:topLinePunct w:val="0"/>
              <w:bidi w:val="0"/>
              <w:snapToGrid/>
              <w:spacing w:line="240" w:lineRule="auto"/>
              <w:jc w:val="center"/>
              <w:textAlignment w:val="baseline"/>
              <w:rPr>
                <w:rFonts w:hint="eastAsia" w:ascii="宋体" w:hAnsi="宋体" w:cs="宋体"/>
                <w:b/>
                <w:bCs/>
                <w:color w:val="auto"/>
                <w:sz w:val="22"/>
                <w:szCs w:val="22"/>
                <w:highlight w:val="none"/>
                <w:shd w:val="clear" w:color="auto" w:fill="auto"/>
              </w:rPr>
            </w:pPr>
            <w:r>
              <w:rPr>
                <w:rFonts w:hint="eastAsia" w:ascii="宋体" w:hAnsi="宋体" w:cs="宋体"/>
                <w:b/>
                <w:bCs/>
                <w:color w:val="auto"/>
                <w:sz w:val="22"/>
                <w:szCs w:val="22"/>
                <w:highlight w:val="none"/>
                <w:shd w:val="clear" w:color="auto" w:fill="auto"/>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845" w:type="dxa"/>
            <w:noWrap w:val="0"/>
            <w:vAlign w:val="center"/>
          </w:tcPr>
          <w:p>
            <w:pPr>
              <w:keepNext w:val="0"/>
              <w:keepLines w:val="0"/>
              <w:pageBreakBefore w:val="0"/>
              <w:kinsoku/>
              <w:wordWrap/>
              <w:overflowPunct/>
              <w:topLinePunct w:val="0"/>
              <w:bidi w:val="0"/>
              <w:snapToGrid/>
              <w:spacing w:line="240" w:lineRule="auto"/>
              <w:jc w:val="center"/>
              <w:textAlignment w:val="baseline"/>
              <w:rPr>
                <w:rFonts w:hint="eastAsia" w:ascii="宋体" w:hAnsi="宋体" w:eastAsia="宋体" w:cs="宋体"/>
                <w:color w:val="auto"/>
                <w:sz w:val="22"/>
                <w:szCs w:val="22"/>
                <w:highlight w:val="none"/>
                <w:shd w:val="clear" w:color="auto" w:fill="auto"/>
                <w:lang w:eastAsia="zh-CN"/>
              </w:rPr>
            </w:pPr>
            <w:r>
              <w:rPr>
                <w:rFonts w:hint="eastAsia" w:ascii="宋体" w:hAnsi="宋体" w:cs="宋体"/>
                <w:color w:val="auto"/>
                <w:sz w:val="22"/>
                <w:szCs w:val="22"/>
                <w:highlight w:val="none"/>
                <w:shd w:val="clear" w:color="auto" w:fill="auto"/>
                <w:lang w:val="en-US" w:eastAsia="zh-CN"/>
              </w:rPr>
              <w:t>1</w:t>
            </w:r>
          </w:p>
        </w:tc>
        <w:tc>
          <w:tcPr>
            <w:tcW w:w="1674" w:type="dxa"/>
            <w:noWrap w:val="0"/>
            <w:vAlign w:val="center"/>
          </w:tcPr>
          <w:p>
            <w:pPr>
              <w:keepNext w:val="0"/>
              <w:keepLines w:val="0"/>
              <w:pageBreakBefore w:val="0"/>
              <w:widowControl/>
              <w:kinsoku/>
              <w:wordWrap/>
              <w:overflowPunct/>
              <w:topLinePunct w:val="0"/>
              <w:bidi w:val="0"/>
              <w:snapToGrid/>
              <w:spacing w:line="240" w:lineRule="auto"/>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投标人类似业绩</w:t>
            </w:r>
          </w:p>
        </w:tc>
        <w:tc>
          <w:tcPr>
            <w:tcW w:w="7158" w:type="dxa"/>
            <w:noWrap w:val="0"/>
            <w:vAlign w:val="center"/>
          </w:tcPr>
          <w:p>
            <w:pPr>
              <w:keepNext w:val="0"/>
              <w:keepLines w:val="0"/>
              <w:pageBreakBefore w:val="0"/>
              <w:widowControl/>
              <w:kinsoku/>
              <w:wordWrap/>
              <w:overflowPunct/>
              <w:topLinePunct w:val="0"/>
              <w:bidi w:val="0"/>
              <w:snapToGrid/>
              <w:spacing w:line="240" w:lineRule="auto"/>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提供2020年1月1日以来，供应商有同类项目实施案例。每提供一个得2分，最多得2分，业绩的有效性由评委认定。</w:t>
            </w:r>
          </w:p>
          <w:p>
            <w:pPr>
              <w:keepNext w:val="0"/>
              <w:keepLines w:val="0"/>
              <w:pageBreakBefore w:val="0"/>
              <w:widowControl/>
              <w:kinsoku/>
              <w:wordWrap/>
              <w:overflowPunct/>
              <w:topLinePunct w:val="0"/>
              <w:bidi w:val="0"/>
              <w:snapToGrid/>
              <w:spacing w:line="240" w:lineRule="auto"/>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注：1、同类业绩是指政府机关、事业单位、医院、学校等公家性质的食堂业绩；</w:t>
            </w:r>
          </w:p>
          <w:p>
            <w:pPr>
              <w:keepNext w:val="0"/>
              <w:keepLines w:val="0"/>
              <w:pageBreakBefore w:val="0"/>
              <w:widowControl/>
              <w:kinsoku/>
              <w:wordWrap/>
              <w:overflowPunct/>
              <w:topLinePunct w:val="0"/>
              <w:bidi w:val="0"/>
              <w:snapToGrid/>
              <w:spacing w:line="240" w:lineRule="auto"/>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2、业绩注明材料须提供合同原件扫描件，业绩证明时间以合同签订时间为准。</w:t>
            </w:r>
          </w:p>
        </w:tc>
        <w:tc>
          <w:tcPr>
            <w:tcW w:w="750" w:type="dxa"/>
            <w:noWrap w:val="0"/>
            <w:vAlign w:val="center"/>
          </w:tcPr>
          <w:p>
            <w:pPr>
              <w:keepNext w:val="0"/>
              <w:keepLines w:val="0"/>
              <w:pageBreakBefore w:val="0"/>
              <w:widowControl/>
              <w:kinsoku/>
              <w:wordWrap/>
              <w:overflowPunct/>
              <w:topLinePunct w:val="0"/>
              <w:bidi w:val="0"/>
              <w:snapToGrid/>
              <w:spacing w:line="240" w:lineRule="auto"/>
              <w:jc w:val="center"/>
              <w:textAlignment w:val="baseline"/>
              <w:rPr>
                <w:rFonts w:hint="eastAsia" w:ascii="宋体" w:hAnsi="宋体" w:cs="宋体"/>
                <w:color w:val="auto"/>
                <w:sz w:val="22"/>
                <w:szCs w:val="22"/>
                <w:highlight w:val="none"/>
                <w:shd w:val="clear" w:color="auto" w:fill="auto"/>
              </w:rPr>
            </w:pPr>
            <w:r>
              <w:rPr>
                <w:rFonts w:hint="eastAsia" w:ascii="宋体" w:hAnsi="宋体" w:cs="宋体"/>
                <w:b/>
                <w:bCs/>
                <w:color w:val="auto"/>
                <w:sz w:val="22"/>
                <w:szCs w:val="22"/>
                <w:highlight w:val="none"/>
                <w:shd w:val="clear" w:color="auto" w:fill="auto"/>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45" w:type="dxa"/>
            <w:noWrap w:val="0"/>
            <w:vAlign w:val="center"/>
          </w:tcPr>
          <w:p>
            <w:pPr>
              <w:keepNext w:val="0"/>
              <w:keepLines w:val="0"/>
              <w:pageBreakBefore w:val="0"/>
              <w:kinsoku/>
              <w:wordWrap/>
              <w:overflowPunct/>
              <w:topLinePunct w:val="0"/>
              <w:bidi w:val="0"/>
              <w:snapToGrid/>
              <w:spacing w:line="240" w:lineRule="auto"/>
              <w:jc w:val="center"/>
              <w:textAlignment w:val="baseline"/>
              <w:rPr>
                <w:rFonts w:hint="eastAsia" w:ascii="宋体" w:hAnsi="宋体" w:eastAsia="宋体" w:cs="宋体"/>
                <w:color w:val="auto"/>
                <w:sz w:val="22"/>
                <w:szCs w:val="22"/>
                <w:highlight w:val="none"/>
                <w:shd w:val="clear" w:color="auto" w:fill="auto"/>
                <w:lang w:eastAsia="zh-CN"/>
              </w:rPr>
            </w:pPr>
            <w:r>
              <w:rPr>
                <w:rFonts w:hint="eastAsia" w:ascii="宋体" w:hAnsi="宋体" w:cs="宋体"/>
                <w:color w:val="auto"/>
                <w:sz w:val="22"/>
                <w:szCs w:val="22"/>
                <w:highlight w:val="none"/>
                <w:shd w:val="clear" w:color="auto" w:fill="auto"/>
                <w:lang w:val="en-US" w:eastAsia="zh-CN"/>
              </w:rPr>
              <w:t>2</w:t>
            </w:r>
          </w:p>
        </w:tc>
        <w:tc>
          <w:tcPr>
            <w:tcW w:w="1674" w:type="dxa"/>
            <w:noWrap w:val="0"/>
            <w:vAlign w:val="center"/>
          </w:tcPr>
          <w:p>
            <w:pPr>
              <w:keepNext w:val="0"/>
              <w:keepLines w:val="0"/>
              <w:pageBreakBefore w:val="0"/>
              <w:widowControl/>
              <w:kinsoku/>
              <w:wordWrap/>
              <w:overflowPunct/>
              <w:topLinePunct w:val="0"/>
              <w:bidi w:val="0"/>
              <w:snapToGrid/>
              <w:spacing w:line="240" w:lineRule="auto"/>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项目实施服务方案</w:t>
            </w:r>
          </w:p>
        </w:tc>
        <w:tc>
          <w:tcPr>
            <w:tcW w:w="7158" w:type="dxa"/>
            <w:noWrap w:val="0"/>
            <w:vAlign w:val="center"/>
          </w:tcPr>
          <w:p>
            <w:pPr>
              <w:keepNext w:val="0"/>
              <w:keepLines w:val="0"/>
              <w:pageBreakBefore w:val="0"/>
              <w:widowControl/>
              <w:kinsoku/>
              <w:wordWrap/>
              <w:overflowPunct/>
              <w:topLinePunct w:val="0"/>
              <w:bidi w:val="0"/>
              <w:snapToGrid/>
              <w:spacing w:line="240" w:lineRule="auto"/>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根据投标人结合招标文件对本项目进行方案服务内容是否明确、相关管理措施、岗位责任制和服务流程说明进行打分：</w:t>
            </w:r>
          </w:p>
          <w:p>
            <w:pPr>
              <w:keepNext w:val="0"/>
              <w:keepLines w:val="0"/>
              <w:pageBreakBefore w:val="0"/>
              <w:widowControl/>
              <w:kinsoku/>
              <w:wordWrap/>
              <w:overflowPunct/>
              <w:topLinePunct w:val="0"/>
              <w:bidi w:val="0"/>
              <w:snapToGrid/>
              <w:spacing w:line="240" w:lineRule="auto"/>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A.方案合理可行的得6-9分；</w:t>
            </w:r>
          </w:p>
          <w:p>
            <w:pPr>
              <w:keepNext w:val="0"/>
              <w:keepLines w:val="0"/>
              <w:pageBreakBefore w:val="0"/>
              <w:widowControl/>
              <w:kinsoku/>
              <w:wordWrap/>
              <w:overflowPunct/>
              <w:topLinePunct w:val="0"/>
              <w:bidi w:val="0"/>
              <w:snapToGrid/>
              <w:spacing w:line="240" w:lineRule="auto"/>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B.基本合理可行的得3-6分：</w:t>
            </w:r>
          </w:p>
          <w:p>
            <w:pPr>
              <w:keepNext w:val="0"/>
              <w:keepLines w:val="0"/>
              <w:pageBreakBefore w:val="0"/>
              <w:widowControl/>
              <w:kinsoku/>
              <w:wordWrap/>
              <w:overflowPunct/>
              <w:topLinePunct w:val="0"/>
              <w:bidi w:val="0"/>
              <w:snapToGrid/>
              <w:spacing w:line="240" w:lineRule="auto"/>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C.合理性和可行性差的得0-3分。</w:t>
            </w:r>
          </w:p>
          <w:p>
            <w:pPr>
              <w:keepNext w:val="0"/>
              <w:keepLines w:val="0"/>
              <w:pageBreakBefore w:val="0"/>
              <w:widowControl/>
              <w:kinsoku/>
              <w:wordWrap/>
              <w:overflowPunct/>
              <w:topLinePunct w:val="0"/>
              <w:bidi w:val="0"/>
              <w:snapToGrid/>
              <w:spacing w:line="240" w:lineRule="auto"/>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未提供不得分。</w:t>
            </w:r>
          </w:p>
        </w:tc>
        <w:tc>
          <w:tcPr>
            <w:tcW w:w="750" w:type="dxa"/>
            <w:noWrap w:val="0"/>
            <w:vAlign w:val="center"/>
          </w:tcPr>
          <w:p>
            <w:pPr>
              <w:keepNext w:val="0"/>
              <w:keepLines w:val="0"/>
              <w:pageBreakBefore w:val="0"/>
              <w:widowControl/>
              <w:kinsoku/>
              <w:wordWrap/>
              <w:overflowPunct/>
              <w:topLinePunct w:val="0"/>
              <w:bidi w:val="0"/>
              <w:snapToGrid/>
              <w:spacing w:line="240" w:lineRule="auto"/>
              <w:jc w:val="center"/>
              <w:textAlignment w:val="baseline"/>
              <w:rPr>
                <w:rFonts w:hint="eastAsia" w:ascii="宋体" w:hAnsi="宋体" w:cs="宋体"/>
                <w:color w:val="auto"/>
                <w:sz w:val="22"/>
                <w:szCs w:val="22"/>
                <w:highlight w:val="none"/>
                <w:shd w:val="clear" w:color="auto" w:fill="auto"/>
              </w:rPr>
            </w:pPr>
            <w:r>
              <w:rPr>
                <w:rFonts w:hint="eastAsia" w:ascii="宋体" w:hAnsi="宋体" w:cs="宋体"/>
                <w:b/>
                <w:bCs/>
                <w:color w:val="auto"/>
                <w:sz w:val="22"/>
                <w:szCs w:val="22"/>
                <w:highlight w:val="none"/>
                <w:shd w:val="clear" w:color="auto" w:fill="auto"/>
                <w:lang w:val="en-US" w:eastAsia="zh-CN"/>
              </w:rPr>
              <w:t>9</w:t>
            </w:r>
            <w:r>
              <w:rPr>
                <w:rFonts w:hint="eastAsia" w:ascii="宋体" w:hAnsi="宋体" w:cs="宋体"/>
                <w:b/>
                <w:bCs/>
                <w:color w:val="auto"/>
                <w:sz w:val="22"/>
                <w:szCs w:val="22"/>
                <w:highlight w:val="none"/>
                <w:shd w:val="clear" w:color="auto" w:fill="auto"/>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10" w:hRule="atLeast"/>
          <w:jc w:val="center"/>
        </w:trPr>
        <w:tc>
          <w:tcPr>
            <w:tcW w:w="845" w:type="dxa"/>
            <w:noWrap w:val="0"/>
            <w:vAlign w:val="center"/>
          </w:tcPr>
          <w:p>
            <w:pPr>
              <w:keepNext w:val="0"/>
              <w:keepLines w:val="0"/>
              <w:pageBreakBefore w:val="0"/>
              <w:widowControl/>
              <w:kinsoku/>
              <w:wordWrap/>
              <w:overflowPunct/>
              <w:topLinePunct w:val="0"/>
              <w:bidi w:val="0"/>
              <w:snapToGrid/>
              <w:spacing w:line="240" w:lineRule="auto"/>
              <w:jc w:val="center"/>
              <w:textAlignment w:val="baseline"/>
              <w:rPr>
                <w:rFonts w:hint="eastAsia" w:ascii="宋体" w:hAnsi="宋体" w:eastAsia="宋体" w:cs="宋体"/>
                <w:color w:val="auto"/>
                <w:sz w:val="22"/>
                <w:szCs w:val="22"/>
                <w:highlight w:val="none"/>
                <w:shd w:val="clear" w:color="auto" w:fill="auto"/>
                <w:lang w:eastAsia="zh-CN"/>
              </w:rPr>
            </w:pPr>
            <w:r>
              <w:rPr>
                <w:rFonts w:hint="eastAsia" w:ascii="宋体" w:hAnsi="宋体" w:cs="宋体"/>
                <w:color w:val="auto"/>
                <w:sz w:val="22"/>
                <w:szCs w:val="22"/>
                <w:highlight w:val="none"/>
                <w:shd w:val="clear" w:color="auto" w:fill="auto"/>
                <w:lang w:val="en-US" w:eastAsia="zh-CN"/>
              </w:rPr>
              <w:t>3</w:t>
            </w:r>
          </w:p>
        </w:tc>
        <w:tc>
          <w:tcPr>
            <w:tcW w:w="1674" w:type="dxa"/>
            <w:noWrap w:val="0"/>
            <w:vAlign w:val="center"/>
          </w:tcPr>
          <w:p>
            <w:pPr>
              <w:keepNext w:val="0"/>
              <w:keepLines w:val="0"/>
              <w:pageBreakBefore w:val="0"/>
              <w:widowControl/>
              <w:kinsoku/>
              <w:wordWrap/>
              <w:overflowPunct/>
              <w:topLinePunct w:val="0"/>
              <w:bidi w:val="0"/>
              <w:snapToGrid/>
              <w:spacing w:line="240" w:lineRule="auto"/>
              <w:jc w:val="center"/>
              <w:textAlignment w:val="baseline"/>
              <w:rPr>
                <w:rFonts w:hint="eastAsia" w:ascii="宋体" w:hAnsi="宋体" w:eastAsia="宋体" w:cs="宋体"/>
                <w:color w:val="auto"/>
                <w:sz w:val="22"/>
                <w:szCs w:val="22"/>
                <w:highlight w:val="none"/>
                <w:shd w:val="clear" w:color="auto" w:fill="auto"/>
                <w:lang w:eastAsia="zh-CN"/>
              </w:rPr>
            </w:pPr>
            <w:r>
              <w:rPr>
                <w:rFonts w:hint="eastAsia" w:ascii="宋体" w:hAnsi="宋体" w:cs="宋体"/>
                <w:color w:val="auto"/>
                <w:sz w:val="22"/>
                <w:szCs w:val="22"/>
                <w:highlight w:val="none"/>
                <w:shd w:val="clear" w:color="auto" w:fill="auto"/>
              </w:rPr>
              <w:t>项目组</w:t>
            </w:r>
            <w:r>
              <w:rPr>
                <w:rFonts w:hint="eastAsia" w:ascii="宋体" w:hAnsi="宋体" w:cs="宋体"/>
                <w:color w:val="auto"/>
                <w:sz w:val="22"/>
                <w:szCs w:val="22"/>
                <w:highlight w:val="none"/>
                <w:shd w:val="clear" w:color="auto" w:fill="auto"/>
                <w:lang w:val="en-US" w:eastAsia="zh-CN"/>
              </w:rPr>
              <w:t>主要</w:t>
            </w:r>
            <w:r>
              <w:rPr>
                <w:rFonts w:hint="eastAsia" w:ascii="宋体" w:hAnsi="宋体" w:cs="宋体"/>
                <w:color w:val="auto"/>
                <w:sz w:val="22"/>
                <w:szCs w:val="22"/>
                <w:highlight w:val="none"/>
                <w:shd w:val="clear" w:color="auto" w:fill="auto"/>
              </w:rPr>
              <w:t>人员</w:t>
            </w:r>
            <w:r>
              <w:rPr>
                <w:rFonts w:hint="eastAsia" w:ascii="宋体" w:hAnsi="宋体" w:cs="宋体"/>
                <w:color w:val="auto"/>
                <w:sz w:val="22"/>
                <w:szCs w:val="22"/>
                <w:highlight w:val="none"/>
                <w:shd w:val="clear" w:color="auto" w:fill="auto"/>
                <w:lang w:val="en-US" w:eastAsia="zh-CN"/>
              </w:rPr>
              <w:t>实力</w:t>
            </w:r>
          </w:p>
        </w:tc>
        <w:tc>
          <w:tcPr>
            <w:tcW w:w="7158" w:type="dxa"/>
            <w:noWrap w:val="0"/>
            <w:vAlign w:val="center"/>
          </w:tcPr>
          <w:p>
            <w:pPr>
              <w:keepNext w:val="0"/>
              <w:keepLines w:val="0"/>
              <w:pageBreakBefore w:val="0"/>
              <w:widowControl/>
              <w:numPr>
                <w:ilvl w:val="0"/>
                <w:numId w:val="0"/>
              </w:numPr>
              <w:kinsoku/>
              <w:wordWrap/>
              <w:overflowPunct/>
              <w:topLinePunct w:val="0"/>
              <w:bidi w:val="0"/>
              <w:snapToGrid/>
              <w:spacing w:line="240" w:lineRule="auto"/>
              <w:textAlignment w:val="baseline"/>
              <w:rPr>
                <w:rFonts w:hint="eastAsia" w:ascii="宋体" w:hAnsi="宋体" w:eastAsia="宋体" w:cs="宋体"/>
                <w:color w:val="auto"/>
                <w:sz w:val="22"/>
                <w:szCs w:val="22"/>
                <w:highlight w:val="none"/>
                <w:shd w:val="clear" w:color="auto" w:fill="auto"/>
                <w:lang w:val="en-US" w:eastAsia="zh-CN"/>
              </w:rPr>
            </w:pPr>
            <w:r>
              <w:rPr>
                <w:rFonts w:hint="eastAsia" w:ascii="宋体" w:hAnsi="宋体" w:cs="宋体"/>
                <w:color w:val="auto"/>
                <w:sz w:val="22"/>
                <w:szCs w:val="22"/>
                <w:highlight w:val="none"/>
                <w:shd w:val="clear" w:color="auto" w:fill="auto"/>
                <w:lang w:val="en-US" w:eastAsia="zh-CN"/>
              </w:rPr>
              <w:t>1</w:t>
            </w:r>
            <w:r>
              <w:rPr>
                <w:rFonts w:hint="eastAsia" w:ascii="宋体" w:hAnsi="宋体" w:eastAsia="宋体" w:cs="宋体"/>
                <w:color w:val="auto"/>
                <w:sz w:val="22"/>
                <w:szCs w:val="22"/>
                <w:highlight w:val="none"/>
                <w:shd w:val="clear" w:color="auto" w:fill="auto"/>
                <w:lang w:val="en-US" w:eastAsia="zh-CN"/>
              </w:rPr>
              <w:t>.拟派人员主厨、副厨具有</w:t>
            </w:r>
            <w:r>
              <w:rPr>
                <w:rFonts w:hint="eastAsia" w:ascii="宋体" w:hAnsi="宋体" w:cs="宋体"/>
                <w:color w:val="auto"/>
                <w:sz w:val="22"/>
                <w:szCs w:val="22"/>
                <w:highlight w:val="none"/>
                <w:shd w:val="clear" w:color="auto" w:fill="auto"/>
                <w:lang w:val="en-US" w:eastAsia="zh-CN"/>
              </w:rPr>
              <w:t>三</w:t>
            </w:r>
            <w:r>
              <w:rPr>
                <w:rFonts w:hint="eastAsia" w:ascii="宋体" w:hAnsi="宋体" w:eastAsia="宋体" w:cs="宋体"/>
                <w:color w:val="auto"/>
                <w:sz w:val="22"/>
                <w:szCs w:val="22"/>
                <w:highlight w:val="none"/>
                <w:shd w:val="clear" w:color="auto" w:fill="auto"/>
                <w:lang w:val="en-US" w:eastAsia="zh-CN"/>
              </w:rPr>
              <w:t>级厨师资质证书各得</w:t>
            </w:r>
            <w:r>
              <w:rPr>
                <w:rFonts w:hint="eastAsia" w:ascii="宋体" w:hAnsi="宋体" w:cs="宋体"/>
                <w:color w:val="auto"/>
                <w:sz w:val="22"/>
                <w:szCs w:val="22"/>
                <w:highlight w:val="none"/>
                <w:shd w:val="clear" w:color="auto" w:fill="auto"/>
                <w:lang w:val="en-US" w:eastAsia="zh-CN"/>
              </w:rPr>
              <w:t>1</w:t>
            </w:r>
            <w:r>
              <w:rPr>
                <w:rFonts w:hint="eastAsia" w:ascii="宋体" w:hAnsi="宋体" w:eastAsia="宋体" w:cs="宋体"/>
                <w:color w:val="auto"/>
                <w:sz w:val="22"/>
                <w:szCs w:val="22"/>
                <w:highlight w:val="none"/>
                <w:shd w:val="clear" w:color="auto" w:fill="auto"/>
                <w:lang w:val="en-US" w:eastAsia="zh-CN"/>
              </w:rPr>
              <w:t>分，具有</w:t>
            </w:r>
            <w:r>
              <w:rPr>
                <w:rFonts w:hint="eastAsia" w:ascii="宋体" w:hAnsi="宋体" w:cs="宋体"/>
                <w:color w:val="auto"/>
                <w:sz w:val="22"/>
                <w:szCs w:val="22"/>
                <w:highlight w:val="none"/>
                <w:shd w:val="clear" w:color="auto" w:fill="auto"/>
                <w:lang w:val="en-US" w:eastAsia="zh-CN"/>
              </w:rPr>
              <w:t>二</w:t>
            </w:r>
            <w:r>
              <w:rPr>
                <w:rFonts w:hint="eastAsia" w:ascii="宋体" w:hAnsi="宋体" w:eastAsia="宋体" w:cs="宋体"/>
                <w:color w:val="auto"/>
                <w:sz w:val="22"/>
                <w:szCs w:val="22"/>
                <w:highlight w:val="none"/>
                <w:shd w:val="clear" w:color="auto" w:fill="auto"/>
                <w:lang w:val="en-US" w:eastAsia="zh-CN"/>
              </w:rPr>
              <w:t>级</w:t>
            </w:r>
            <w:r>
              <w:rPr>
                <w:rFonts w:hint="eastAsia" w:ascii="宋体" w:hAnsi="宋体" w:cs="宋体"/>
                <w:color w:val="auto"/>
                <w:sz w:val="22"/>
                <w:szCs w:val="22"/>
                <w:highlight w:val="none"/>
                <w:shd w:val="clear" w:color="auto" w:fill="auto"/>
                <w:lang w:val="en-US" w:eastAsia="zh-CN"/>
              </w:rPr>
              <w:t>及以上</w:t>
            </w:r>
            <w:r>
              <w:rPr>
                <w:rFonts w:hint="eastAsia" w:ascii="宋体" w:hAnsi="宋体" w:eastAsia="宋体" w:cs="宋体"/>
                <w:color w:val="auto"/>
                <w:sz w:val="22"/>
                <w:szCs w:val="22"/>
                <w:highlight w:val="none"/>
                <w:shd w:val="clear" w:color="auto" w:fill="auto"/>
                <w:lang w:val="en-US" w:eastAsia="zh-CN"/>
              </w:rPr>
              <w:t>厨师资质证书各得</w:t>
            </w:r>
            <w:r>
              <w:rPr>
                <w:rFonts w:hint="eastAsia" w:ascii="宋体" w:hAnsi="宋体" w:cs="宋体"/>
                <w:color w:val="auto"/>
                <w:sz w:val="22"/>
                <w:szCs w:val="22"/>
                <w:highlight w:val="none"/>
                <w:shd w:val="clear" w:color="auto" w:fill="auto"/>
                <w:lang w:val="en-US" w:eastAsia="zh-CN"/>
              </w:rPr>
              <w:t>2</w:t>
            </w:r>
            <w:r>
              <w:rPr>
                <w:rFonts w:hint="eastAsia" w:ascii="宋体" w:hAnsi="宋体" w:eastAsia="宋体" w:cs="宋体"/>
                <w:color w:val="auto"/>
                <w:sz w:val="22"/>
                <w:szCs w:val="22"/>
                <w:highlight w:val="none"/>
                <w:shd w:val="clear" w:color="auto" w:fill="auto"/>
                <w:lang w:val="en-US" w:eastAsia="zh-CN"/>
              </w:rPr>
              <w:t>分，每名厨师只计一次最高得分，最多得4分；</w:t>
            </w:r>
          </w:p>
          <w:p>
            <w:pPr>
              <w:keepNext w:val="0"/>
              <w:keepLines w:val="0"/>
              <w:pageBreakBefore w:val="0"/>
              <w:widowControl/>
              <w:numPr>
                <w:ilvl w:val="0"/>
                <w:numId w:val="0"/>
              </w:numPr>
              <w:kinsoku/>
              <w:wordWrap/>
              <w:overflowPunct/>
              <w:topLinePunct w:val="0"/>
              <w:bidi w:val="0"/>
              <w:snapToGrid/>
              <w:spacing w:line="240" w:lineRule="auto"/>
              <w:textAlignment w:val="baseline"/>
              <w:rPr>
                <w:rFonts w:hint="eastAsia" w:ascii="宋体" w:hAnsi="宋体" w:eastAsia="宋体" w:cs="宋体"/>
                <w:color w:val="auto"/>
                <w:sz w:val="22"/>
                <w:szCs w:val="22"/>
                <w:highlight w:val="none"/>
                <w:shd w:val="clear" w:color="auto" w:fill="auto"/>
                <w:lang w:val="en-US" w:eastAsia="zh-CN"/>
              </w:rPr>
            </w:pPr>
            <w:r>
              <w:rPr>
                <w:rFonts w:hint="eastAsia" w:ascii="宋体" w:hAnsi="宋体" w:cs="宋体"/>
                <w:color w:val="auto"/>
                <w:sz w:val="22"/>
                <w:szCs w:val="22"/>
                <w:highlight w:val="none"/>
                <w:shd w:val="clear" w:color="auto" w:fill="auto"/>
                <w:lang w:val="en-US" w:eastAsia="zh-CN"/>
              </w:rPr>
              <w:t>2</w:t>
            </w:r>
            <w:r>
              <w:rPr>
                <w:rFonts w:hint="eastAsia" w:ascii="宋体" w:hAnsi="宋体" w:eastAsia="宋体" w:cs="宋体"/>
                <w:color w:val="auto"/>
                <w:sz w:val="22"/>
                <w:szCs w:val="22"/>
                <w:highlight w:val="none"/>
                <w:shd w:val="clear" w:color="auto" w:fill="auto"/>
                <w:lang w:val="en-US" w:eastAsia="zh-CN"/>
              </w:rPr>
              <w:t>.根据投标人拟派项目主厨的专业素质、技术能力、餐饮经验</w:t>
            </w:r>
            <w:r>
              <w:rPr>
                <w:rFonts w:hint="eastAsia" w:ascii="宋体" w:hAnsi="宋体" w:cs="宋体"/>
                <w:color w:val="auto"/>
                <w:sz w:val="22"/>
                <w:szCs w:val="22"/>
                <w:highlight w:val="none"/>
                <w:shd w:val="clear" w:color="auto" w:fill="auto"/>
                <w:lang w:val="en-US" w:eastAsia="zh-CN"/>
              </w:rPr>
              <w:t>、个人荣誉</w:t>
            </w:r>
            <w:r>
              <w:rPr>
                <w:rFonts w:hint="eastAsia" w:ascii="宋体" w:hAnsi="宋体" w:eastAsia="宋体" w:cs="宋体"/>
                <w:color w:val="auto"/>
                <w:sz w:val="22"/>
                <w:szCs w:val="22"/>
                <w:highlight w:val="none"/>
                <w:shd w:val="clear" w:color="auto" w:fill="auto"/>
                <w:lang w:val="en-US" w:eastAsia="zh-CN"/>
              </w:rPr>
              <w:t>等综合能力情况进行打分：</w:t>
            </w:r>
          </w:p>
          <w:p>
            <w:pPr>
              <w:keepNext w:val="0"/>
              <w:keepLines w:val="0"/>
              <w:pageBreakBefore w:val="0"/>
              <w:widowControl/>
              <w:numPr>
                <w:ilvl w:val="0"/>
                <w:numId w:val="0"/>
              </w:numPr>
              <w:kinsoku/>
              <w:wordWrap/>
              <w:overflowPunct/>
              <w:topLinePunct w:val="0"/>
              <w:bidi w:val="0"/>
              <w:snapToGrid/>
              <w:spacing w:line="240" w:lineRule="auto"/>
              <w:textAlignment w:val="baseline"/>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A.拟派项目主厨综合能力情况符合项目需求，切实可行的得得5-6分；</w:t>
            </w:r>
          </w:p>
          <w:p>
            <w:pPr>
              <w:keepNext w:val="0"/>
              <w:keepLines w:val="0"/>
              <w:pageBreakBefore w:val="0"/>
              <w:widowControl/>
              <w:numPr>
                <w:ilvl w:val="0"/>
                <w:numId w:val="0"/>
              </w:numPr>
              <w:kinsoku/>
              <w:wordWrap/>
              <w:overflowPunct/>
              <w:topLinePunct w:val="0"/>
              <w:bidi w:val="0"/>
              <w:snapToGrid/>
              <w:spacing w:line="240" w:lineRule="auto"/>
              <w:textAlignment w:val="baseline"/>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B.拟派项目主厨综合能力情况基本符合项目需求，基本可行的得3-5分；</w:t>
            </w:r>
          </w:p>
          <w:p>
            <w:pPr>
              <w:keepNext w:val="0"/>
              <w:keepLines w:val="0"/>
              <w:pageBreakBefore w:val="0"/>
              <w:widowControl/>
              <w:numPr>
                <w:ilvl w:val="0"/>
                <w:numId w:val="0"/>
              </w:numPr>
              <w:kinsoku/>
              <w:wordWrap/>
              <w:overflowPunct/>
              <w:topLinePunct w:val="0"/>
              <w:bidi w:val="0"/>
              <w:snapToGrid/>
              <w:spacing w:line="240" w:lineRule="auto"/>
              <w:textAlignment w:val="baseline"/>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C.拟派项目主厨综合能力情况比较欠缺，不符合项目实际要求的得0-3分。</w:t>
            </w:r>
          </w:p>
          <w:p>
            <w:pPr>
              <w:keepNext w:val="0"/>
              <w:keepLines w:val="0"/>
              <w:pageBreakBefore w:val="0"/>
              <w:widowControl/>
              <w:numPr>
                <w:ilvl w:val="0"/>
                <w:numId w:val="0"/>
              </w:numPr>
              <w:kinsoku/>
              <w:wordWrap/>
              <w:overflowPunct/>
              <w:topLinePunct w:val="0"/>
              <w:bidi w:val="0"/>
              <w:snapToGrid/>
              <w:spacing w:line="240" w:lineRule="auto"/>
              <w:textAlignment w:val="baseline"/>
              <w:rPr>
                <w:rFonts w:hint="eastAsia" w:ascii="宋体" w:hAnsi="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lang w:val="en-US" w:eastAsia="zh-CN"/>
              </w:rPr>
              <w:t>注：需提供相应的证书并加盖公章。</w:t>
            </w:r>
          </w:p>
        </w:tc>
        <w:tc>
          <w:tcPr>
            <w:tcW w:w="750" w:type="dxa"/>
            <w:noWrap w:val="0"/>
            <w:vAlign w:val="center"/>
          </w:tcPr>
          <w:p>
            <w:pPr>
              <w:keepNext w:val="0"/>
              <w:keepLines w:val="0"/>
              <w:pageBreakBefore w:val="0"/>
              <w:widowControl/>
              <w:kinsoku/>
              <w:wordWrap/>
              <w:overflowPunct/>
              <w:topLinePunct w:val="0"/>
              <w:bidi w:val="0"/>
              <w:snapToGrid/>
              <w:spacing w:line="240" w:lineRule="auto"/>
              <w:jc w:val="center"/>
              <w:textAlignment w:val="baseline"/>
              <w:rPr>
                <w:rFonts w:hint="eastAsia" w:ascii="宋体" w:hAnsi="宋体" w:cs="宋体"/>
                <w:color w:val="auto"/>
                <w:sz w:val="22"/>
                <w:szCs w:val="22"/>
                <w:highlight w:val="none"/>
                <w:shd w:val="clear" w:color="auto" w:fill="auto"/>
              </w:rPr>
            </w:pPr>
            <w:r>
              <w:rPr>
                <w:rFonts w:hint="eastAsia" w:ascii="宋体" w:hAnsi="宋体" w:cs="宋体"/>
                <w:b/>
                <w:bCs/>
                <w:color w:val="auto"/>
                <w:sz w:val="22"/>
                <w:szCs w:val="22"/>
                <w:highlight w:val="none"/>
                <w:shd w:val="clear" w:color="auto" w:fill="auto"/>
                <w:lang w:val="en-US" w:eastAsia="zh-CN"/>
              </w:rPr>
              <w:t>1</w:t>
            </w:r>
            <w:r>
              <w:rPr>
                <w:rFonts w:hint="eastAsia" w:ascii="宋体" w:hAnsi="宋体" w:cs="宋体"/>
                <w:b/>
                <w:bCs/>
                <w:color w:val="auto"/>
                <w:sz w:val="22"/>
                <w:szCs w:val="22"/>
                <w:highlight w:val="none"/>
                <w:shd w:val="clear" w:color="auto" w:fill="auto"/>
              </w:rPr>
              <w:t>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845" w:type="dxa"/>
            <w:noWrap w:val="0"/>
            <w:vAlign w:val="center"/>
          </w:tcPr>
          <w:p>
            <w:pPr>
              <w:keepNext w:val="0"/>
              <w:keepLines w:val="0"/>
              <w:pageBreakBefore w:val="0"/>
              <w:widowControl/>
              <w:kinsoku/>
              <w:wordWrap/>
              <w:overflowPunct/>
              <w:topLinePunct w:val="0"/>
              <w:bidi w:val="0"/>
              <w:snapToGrid/>
              <w:spacing w:line="240" w:lineRule="auto"/>
              <w:jc w:val="center"/>
              <w:textAlignment w:val="baseline"/>
              <w:rPr>
                <w:rFonts w:hint="eastAsia" w:ascii="宋体" w:hAnsi="宋体" w:eastAsia="宋体" w:cs="宋体"/>
                <w:color w:val="auto"/>
                <w:sz w:val="22"/>
                <w:szCs w:val="22"/>
                <w:highlight w:val="none"/>
                <w:shd w:val="clear" w:color="auto" w:fill="auto"/>
                <w:lang w:eastAsia="zh-CN"/>
              </w:rPr>
            </w:pPr>
            <w:r>
              <w:rPr>
                <w:rFonts w:hint="eastAsia" w:ascii="宋体" w:hAnsi="宋体" w:cs="宋体"/>
                <w:color w:val="auto"/>
                <w:sz w:val="22"/>
                <w:szCs w:val="22"/>
                <w:highlight w:val="none"/>
                <w:shd w:val="clear" w:color="auto" w:fill="auto"/>
                <w:lang w:val="en-US" w:eastAsia="zh-CN"/>
              </w:rPr>
              <w:t>4</w:t>
            </w:r>
          </w:p>
        </w:tc>
        <w:tc>
          <w:tcPr>
            <w:tcW w:w="1674" w:type="dxa"/>
            <w:noWrap w:val="0"/>
            <w:vAlign w:val="center"/>
          </w:tcPr>
          <w:p>
            <w:pPr>
              <w:keepNext w:val="0"/>
              <w:keepLines w:val="0"/>
              <w:pageBreakBefore w:val="0"/>
              <w:widowControl/>
              <w:kinsoku/>
              <w:wordWrap/>
              <w:overflowPunct/>
              <w:topLinePunct w:val="0"/>
              <w:bidi w:val="0"/>
              <w:snapToGrid/>
              <w:spacing w:line="240" w:lineRule="auto"/>
              <w:jc w:val="center"/>
              <w:textAlignment w:val="baseline"/>
              <w:rPr>
                <w:rFonts w:hint="eastAsia" w:ascii="宋体" w:hAnsi="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lang w:eastAsia="zh-CN"/>
              </w:rPr>
              <w:t>食堂外包运营服务</w:t>
            </w:r>
            <w:r>
              <w:rPr>
                <w:rFonts w:hint="eastAsia" w:ascii="宋体" w:hAnsi="宋体" w:eastAsia="宋体" w:cs="宋体"/>
                <w:color w:val="auto"/>
                <w:sz w:val="22"/>
                <w:szCs w:val="22"/>
                <w:highlight w:val="none"/>
                <w:shd w:val="clear" w:color="auto" w:fill="auto"/>
              </w:rPr>
              <w:t>创新方案</w:t>
            </w:r>
          </w:p>
        </w:tc>
        <w:tc>
          <w:tcPr>
            <w:tcW w:w="7158" w:type="dxa"/>
            <w:noWrap w:val="0"/>
            <w:vAlign w:val="center"/>
          </w:tcPr>
          <w:p>
            <w:pPr>
              <w:keepNext w:val="0"/>
              <w:keepLines w:val="0"/>
              <w:pageBreakBefore w:val="0"/>
              <w:widowControl/>
              <w:kinsoku/>
              <w:wordWrap/>
              <w:overflowPunct/>
              <w:topLinePunct w:val="0"/>
              <w:bidi w:val="0"/>
              <w:snapToGrid/>
              <w:spacing w:line="240" w:lineRule="auto"/>
              <w:textAlignment w:val="baseline"/>
              <w:rPr>
                <w:rFonts w:hint="eastAsia" w:ascii="宋体" w:hAnsi="宋体" w:eastAsia="宋体" w:cs="宋体"/>
                <w:color w:val="auto"/>
                <w:sz w:val="22"/>
                <w:szCs w:val="22"/>
                <w:highlight w:val="none"/>
                <w:shd w:val="clear" w:color="auto" w:fill="auto"/>
                <w:lang w:eastAsia="zh-CN"/>
              </w:rPr>
            </w:pPr>
            <w:r>
              <w:rPr>
                <w:rFonts w:hint="eastAsia" w:ascii="宋体" w:hAnsi="宋体" w:cs="宋体"/>
                <w:color w:val="auto"/>
                <w:sz w:val="22"/>
                <w:szCs w:val="22"/>
                <w:highlight w:val="none"/>
                <w:shd w:val="clear" w:color="auto" w:fill="auto"/>
              </w:rPr>
              <w:t>根据投标人针对</w:t>
            </w:r>
            <w:r>
              <w:rPr>
                <w:rFonts w:hint="eastAsia" w:ascii="宋体" w:hAnsi="宋体" w:cs="宋体"/>
                <w:color w:val="auto"/>
                <w:sz w:val="22"/>
                <w:szCs w:val="22"/>
                <w:highlight w:val="none"/>
                <w:shd w:val="clear" w:color="auto" w:fill="auto"/>
                <w:lang w:eastAsia="zh-CN"/>
              </w:rPr>
              <w:t>食堂外包运营服务</w:t>
            </w:r>
            <w:r>
              <w:rPr>
                <w:rFonts w:hint="eastAsia" w:ascii="宋体" w:hAnsi="宋体" w:cs="宋体"/>
                <w:color w:val="auto"/>
                <w:sz w:val="22"/>
                <w:szCs w:val="22"/>
                <w:highlight w:val="none"/>
                <w:shd w:val="clear" w:color="auto" w:fill="auto"/>
              </w:rPr>
              <w:t>的创新方案进行打分</w:t>
            </w:r>
            <w:r>
              <w:rPr>
                <w:rFonts w:hint="eastAsia" w:ascii="宋体" w:hAnsi="宋体" w:cs="宋体"/>
                <w:color w:val="auto"/>
                <w:sz w:val="22"/>
                <w:szCs w:val="22"/>
                <w:highlight w:val="none"/>
                <w:shd w:val="clear" w:color="auto" w:fill="auto"/>
                <w:lang w:eastAsia="zh-CN"/>
              </w:rPr>
              <w:t>：</w:t>
            </w:r>
          </w:p>
          <w:p>
            <w:pPr>
              <w:keepNext w:val="0"/>
              <w:keepLines w:val="0"/>
              <w:pageBreakBefore w:val="0"/>
              <w:widowControl/>
              <w:numPr>
                <w:ilvl w:val="0"/>
                <w:numId w:val="0"/>
              </w:numPr>
              <w:kinsoku/>
              <w:wordWrap/>
              <w:overflowPunct/>
              <w:topLinePunct w:val="0"/>
              <w:bidi w:val="0"/>
              <w:snapToGrid/>
              <w:spacing w:line="240" w:lineRule="auto"/>
              <w:textAlignment w:val="baseline"/>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A.</w:t>
            </w:r>
            <w:r>
              <w:rPr>
                <w:rFonts w:hint="eastAsia" w:ascii="宋体" w:hAnsi="宋体" w:eastAsia="宋体" w:cs="宋体"/>
                <w:color w:val="auto"/>
                <w:sz w:val="22"/>
                <w:szCs w:val="22"/>
                <w:highlight w:val="none"/>
                <w:shd w:val="clear" w:color="auto" w:fill="auto"/>
                <w:lang w:eastAsia="zh-CN"/>
              </w:rPr>
              <w:t>食堂外包运营服务</w:t>
            </w:r>
            <w:r>
              <w:rPr>
                <w:rFonts w:hint="eastAsia" w:ascii="宋体" w:hAnsi="宋体" w:cs="宋体"/>
                <w:color w:val="auto"/>
                <w:sz w:val="22"/>
                <w:szCs w:val="22"/>
                <w:highlight w:val="none"/>
                <w:shd w:val="clear" w:color="auto" w:fill="auto"/>
              </w:rPr>
              <w:t>的创新方案</w:t>
            </w:r>
            <w:r>
              <w:rPr>
                <w:rFonts w:hint="eastAsia" w:ascii="宋体" w:hAnsi="宋体" w:eastAsia="宋体" w:cs="宋体"/>
                <w:color w:val="auto"/>
                <w:sz w:val="22"/>
                <w:szCs w:val="22"/>
                <w:highlight w:val="none"/>
                <w:shd w:val="clear" w:color="auto" w:fill="auto"/>
                <w:lang w:val="en-US" w:eastAsia="zh-CN"/>
              </w:rPr>
              <w:t>符合项目需求，切实可行的得得5-6分；</w:t>
            </w:r>
          </w:p>
          <w:p>
            <w:pPr>
              <w:keepNext w:val="0"/>
              <w:keepLines w:val="0"/>
              <w:pageBreakBefore w:val="0"/>
              <w:widowControl/>
              <w:numPr>
                <w:ilvl w:val="0"/>
                <w:numId w:val="0"/>
              </w:numPr>
              <w:kinsoku/>
              <w:wordWrap/>
              <w:overflowPunct/>
              <w:topLinePunct w:val="0"/>
              <w:bidi w:val="0"/>
              <w:snapToGrid/>
              <w:spacing w:line="240" w:lineRule="auto"/>
              <w:textAlignment w:val="baseline"/>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B.</w:t>
            </w:r>
            <w:r>
              <w:rPr>
                <w:rFonts w:hint="eastAsia" w:ascii="宋体" w:hAnsi="宋体" w:eastAsia="宋体" w:cs="宋体"/>
                <w:color w:val="auto"/>
                <w:sz w:val="22"/>
                <w:szCs w:val="22"/>
                <w:highlight w:val="none"/>
                <w:shd w:val="clear" w:color="auto" w:fill="auto"/>
                <w:lang w:eastAsia="zh-CN"/>
              </w:rPr>
              <w:t>食堂外包运营服务</w:t>
            </w:r>
            <w:r>
              <w:rPr>
                <w:rFonts w:hint="eastAsia" w:ascii="宋体" w:hAnsi="宋体" w:cs="宋体"/>
                <w:color w:val="auto"/>
                <w:sz w:val="22"/>
                <w:szCs w:val="22"/>
                <w:highlight w:val="none"/>
                <w:shd w:val="clear" w:color="auto" w:fill="auto"/>
              </w:rPr>
              <w:t>的创新方案</w:t>
            </w:r>
            <w:r>
              <w:rPr>
                <w:rFonts w:hint="eastAsia" w:ascii="宋体" w:hAnsi="宋体" w:eastAsia="宋体" w:cs="宋体"/>
                <w:color w:val="auto"/>
                <w:sz w:val="22"/>
                <w:szCs w:val="22"/>
                <w:highlight w:val="none"/>
                <w:shd w:val="clear" w:color="auto" w:fill="auto"/>
                <w:lang w:val="en-US" w:eastAsia="zh-CN"/>
              </w:rPr>
              <w:t>基本符合项目需求，基本可行的得3-5分；</w:t>
            </w:r>
          </w:p>
          <w:p>
            <w:pPr>
              <w:keepNext w:val="0"/>
              <w:keepLines w:val="0"/>
              <w:pageBreakBefore w:val="0"/>
              <w:widowControl/>
              <w:kinsoku/>
              <w:wordWrap/>
              <w:overflowPunct/>
              <w:topLinePunct w:val="0"/>
              <w:bidi w:val="0"/>
              <w:snapToGrid/>
              <w:spacing w:line="240" w:lineRule="auto"/>
              <w:textAlignment w:val="baseline"/>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C.</w:t>
            </w:r>
            <w:r>
              <w:rPr>
                <w:rFonts w:hint="eastAsia" w:ascii="宋体" w:hAnsi="宋体" w:eastAsia="宋体" w:cs="宋体"/>
                <w:color w:val="auto"/>
                <w:sz w:val="22"/>
                <w:szCs w:val="22"/>
                <w:highlight w:val="none"/>
                <w:shd w:val="clear" w:color="auto" w:fill="auto"/>
                <w:lang w:eastAsia="zh-CN"/>
              </w:rPr>
              <w:t>食堂外包运营服务</w:t>
            </w:r>
            <w:r>
              <w:rPr>
                <w:rFonts w:hint="eastAsia" w:ascii="宋体" w:hAnsi="宋体" w:cs="宋体"/>
                <w:color w:val="auto"/>
                <w:sz w:val="22"/>
                <w:szCs w:val="22"/>
                <w:highlight w:val="none"/>
                <w:shd w:val="clear" w:color="auto" w:fill="auto"/>
              </w:rPr>
              <w:t>的创新方案</w:t>
            </w:r>
            <w:r>
              <w:rPr>
                <w:rFonts w:hint="eastAsia" w:ascii="宋体" w:hAnsi="宋体" w:eastAsia="宋体" w:cs="宋体"/>
                <w:color w:val="auto"/>
                <w:sz w:val="22"/>
                <w:szCs w:val="22"/>
                <w:highlight w:val="none"/>
                <w:lang w:val="en-US" w:eastAsia="zh-CN"/>
              </w:rPr>
              <w:t>合理性和可行性差</w:t>
            </w:r>
            <w:r>
              <w:rPr>
                <w:rFonts w:hint="eastAsia" w:ascii="宋体" w:hAnsi="宋体" w:eastAsia="宋体" w:cs="宋体"/>
                <w:color w:val="auto"/>
                <w:sz w:val="22"/>
                <w:szCs w:val="22"/>
                <w:highlight w:val="none"/>
                <w:shd w:val="clear" w:color="auto" w:fill="auto"/>
                <w:lang w:val="en-US" w:eastAsia="zh-CN"/>
              </w:rPr>
              <w:t>的得0-3分。</w:t>
            </w:r>
          </w:p>
          <w:p>
            <w:pPr>
              <w:keepNext w:val="0"/>
              <w:keepLines w:val="0"/>
              <w:pageBreakBefore w:val="0"/>
              <w:widowControl/>
              <w:kinsoku/>
              <w:wordWrap/>
              <w:overflowPunct/>
              <w:topLinePunct w:val="0"/>
              <w:bidi w:val="0"/>
              <w:snapToGrid/>
              <w:spacing w:line="240" w:lineRule="auto"/>
              <w:textAlignment w:val="baseline"/>
              <w:rPr>
                <w:rFonts w:hint="eastAsia" w:ascii="宋体" w:hAnsi="宋体" w:cs="宋体"/>
                <w:color w:val="auto"/>
                <w:sz w:val="22"/>
                <w:szCs w:val="22"/>
                <w:highlight w:val="none"/>
                <w:shd w:val="clear" w:color="auto" w:fill="auto"/>
              </w:rPr>
            </w:pPr>
            <w:r>
              <w:rPr>
                <w:rFonts w:hint="eastAsia" w:ascii="宋体" w:hAnsi="宋体" w:cs="宋体"/>
                <w:color w:val="auto"/>
                <w:sz w:val="22"/>
                <w:szCs w:val="22"/>
                <w:highlight w:val="none"/>
                <w:shd w:val="clear" w:color="auto" w:fill="auto"/>
              </w:rPr>
              <w:t>未提供不得分。</w:t>
            </w:r>
          </w:p>
        </w:tc>
        <w:tc>
          <w:tcPr>
            <w:tcW w:w="750" w:type="dxa"/>
            <w:noWrap w:val="0"/>
            <w:vAlign w:val="center"/>
          </w:tcPr>
          <w:p>
            <w:pPr>
              <w:keepNext w:val="0"/>
              <w:keepLines w:val="0"/>
              <w:pageBreakBefore w:val="0"/>
              <w:widowControl/>
              <w:kinsoku/>
              <w:wordWrap/>
              <w:overflowPunct/>
              <w:topLinePunct w:val="0"/>
              <w:bidi w:val="0"/>
              <w:snapToGrid/>
              <w:spacing w:line="240" w:lineRule="auto"/>
              <w:jc w:val="center"/>
              <w:textAlignment w:val="baseline"/>
              <w:rPr>
                <w:rFonts w:hint="eastAsia" w:ascii="宋体" w:hAnsi="宋体" w:eastAsia="宋体" w:cs="宋体"/>
                <w:b/>
                <w:bCs/>
                <w:color w:val="auto"/>
                <w:sz w:val="22"/>
                <w:szCs w:val="22"/>
                <w:highlight w:val="none"/>
                <w:shd w:val="clear" w:color="auto" w:fill="auto"/>
                <w:lang w:val="en-US" w:eastAsia="zh-CN"/>
              </w:rPr>
            </w:pPr>
            <w:r>
              <w:rPr>
                <w:rFonts w:hint="eastAsia" w:ascii="宋体" w:hAnsi="宋体" w:eastAsia="宋体" w:cs="宋体"/>
                <w:b/>
                <w:bCs/>
                <w:color w:val="auto"/>
                <w:sz w:val="22"/>
                <w:szCs w:val="22"/>
                <w:highlight w:val="none"/>
                <w:shd w:val="clear" w:color="auto" w:fill="auto"/>
                <w:lang w:val="en-US" w:eastAsia="zh-CN"/>
              </w:rPr>
              <w:t>6分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40" w:hRule="atLeast"/>
          <w:jc w:val="center"/>
        </w:trPr>
        <w:tc>
          <w:tcPr>
            <w:tcW w:w="845" w:type="dxa"/>
            <w:noWrap w:val="0"/>
            <w:vAlign w:val="center"/>
          </w:tcPr>
          <w:p>
            <w:pPr>
              <w:keepNext w:val="0"/>
              <w:keepLines w:val="0"/>
              <w:pageBreakBefore w:val="0"/>
              <w:widowControl/>
              <w:kinsoku/>
              <w:wordWrap/>
              <w:overflowPunct/>
              <w:topLinePunct w:val="0"/>
              <w:bidi w:val="0"/>
              <w:snapToGrid/>
              <w:spacing w:line="240" w:lineRule="auto"/>
              <w:jc w:val="center"/>
              <w:textAlignment w:val="baseline"/>
              <w:rPr>
                <w:rFonts w:hint="eastAsia" w:ascii="宋体" w:hAnsi="宋体" w:eastAsia="宋体" w:cs="宋体"/>
                <w:color w:val="auto"/>
                <w:sz w:val="22"/>
                <w:szCs w:val="22"/>
                <w:highlight w:val="none"/>
                <w:shd w:val="clear" w:color="auto" w:fill="auto"/>
                <w:lang w:eastAsia="zh-CN"/>
              </w:rPr>
            </w:pPr>
            <w:r>
              <w:rPr>
                <w:rFonts w:hint="eastAsia" w:ascii="宋体" w:hAnsi="宋体" w:cs="宋体"/>
                <w:color w:val="auto"/>
                <w:sz w:val="22"/>
                <w:szCs w:val="22"/>
                <w:highlight w:val="none"/>
                <w:shd w:val="clear" w:color="auto" w:fill="auto"/>
                <w:lang w:val="en-US" w:eastAsia="zh-CN"/>
              </w:rPr>
              <w:t>5</w:t>
            </w:r>
          </w:p>
        </w:tc>
        <w:tc>
          <w:tcPr>
            <w:tcW w:w="1674" w:type="dxa"/>
            <w:noWrap w:val="0"/>
            <w:vAlign w:val="center"/>
          </w:tcPr>
          <w:p>
            <w:pPr>
              <w:keepNext w:val="0"/>
              <w:keepLines w:val="0"/>
              <w:pageBreakBefore w:val="0"/>
              <w:widowControl/>
              <w:kinsoku/>
              <w:wordWrap/>
              <w:overflowPunct/>
              <w:topLinePunct w:val="0"/>
              <w:bidi w:val="0"/>
              <w:snapToGrid/>
              <w:spacing w:line="240" w:lineRule="auto"/>
              <w:jc w:val="center"/>
              <w:textAlignment w:val="baseline"/>
              <w:rPr>
                <w:rFonts w:hint="default"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eastAsia="zh-CN"/>
              </w:rPr>
              <w:t>组织机构设置</w:t>
            </w:r>
            <w:r>
              <w:rPr>
                <w:rFonts w:hint="eastAsia" w:ascii="宋体" w:hAnsi="宋体" w:eastAsia="宋体" w:cs="宋体"/>
                <w:color w:val="auto"/>
                <w:sz w:val="22"/>
                <w:szCs w:val="22"/>
                <w:highlight w:val="none"/>
                <w:shd w:val="clear" w:color="auto" w:fill="auto"/>
                <w:lang w:val="en-US" w:eastAsia="zh-CN"/>
              </w:rPr>
              <w:t>和人员情况</w:t>
            </w:r>
          </w:p>
        </w:tc>
        <w:tc>
          <w:tcPr>
            <w:tcW w:w="7158" w:type="dxa"/>
            <w:noWrap w:val="0"/>
            <w:vAlign w:val="center"/>
          </w:tcPr>
          <w:p>
            <w:pPr>
              <w:keepNext w:val="0"/>
              <w:keepLines w:val="0"/>
              <w:pageBreakBefore w:val="0"/>
              <w:widowControl/>
              <w:kinsoku/>
              <w:wordWrap/>
              <w:overflowPunct/>
              <w:topLinePunct w:val="0"/>
              <w:bidi w:val="0"/>
              <w:snapToGrid/>
              <w:spacing w:line="240" w:lineRule="auto"/>
              <w:textAlignment w:val="baseline"/>
              <w:rPr>
                <w:rFonts w:hint="eastAsia" w:ascii="宋体" w:hAnsi="宋体" w:eastAsia="宋体" w:cs="宋体"/>
                <w:color w:val="auto"/>
                <w:sz w:val="22"/>
                <w:szCs w:val="22"/>
                <w:highlight w:val="none"/>
                <w:shd w:val="clear" w:color="auto" w:fill="auto"/>
                <w:lang w:eastAsia="zh-CN"/>
              </w:rPr>
            </w:pPr>
            <w:r>
              <w:rPr>
                <w:rFonts w:hint="eastAsia" w:ascii="宋体" w:hAnsi="宋体" w:cs="宋体"/>
                <w:color w:val="auto"/>
                <w:sz w:val="22"/>
                <w:szCs w:val="22"/>
                <w:highlight w:val="none"/>
                <w:shd w:val="clear" w:color="auto" w:fill="auto"/>
              </w:rPr>
              <w:t>根据投标人对</w:t>
            </w:r>
            <w:r>
              <w:rPr>
                <w:rFonts w:hint="eastAsia" w:ascii="宋体" w:hAnsi="宋体" w:eastAsia="宋体" w:cs="宋体"/>
                <w:color w:val="auto"/>
                <w:sz w:val="22"/>
                <w:szCs w:val="22"/>
                <w:highlight w:val="none"/>
                <w:shd w:val="clear" w:color="auto" w:fill="auto"/>
              </w:rPr>
              <w:t>本项目的管理服务组织机构设置（附组织机构图）、</w:t>
            </w:r>
            <w:r>
              <w:rPr>
                <w:rFonts w:hint="eastAsia" w:ascii="宋体" w:hAnsi="宋体" w:cs="宋体"/>
                <w:color w:val="auto"/>
                <w:sz w:val="22"/>
                <w:szCs w:val="22"/>
                <w:highlight w:val="none"/>
                <w:shd w:val="clear" w:color="auto" w:fill="auto"/>
                <w:lang w:val="en-US" w:eastAsia="zh-CN"/>
              </w:rPr>
              <w:t>各类人员配置情况和年龄情况</w:t>
            </w:r>
            <w:r>
              <w:rPr>
                <w:rFonts w:hint="eastAsia" w:ascii="宋体" w:hAnsi="宋体" w:eastAsia="宋体" w:cs="宋体"/>
                <w:color w:val="auto"/>
                <w:sz w:val="22"/>
                <w:szCs w:val="22"/>
                <w:highlight w:val="none"/>
                <w:shd w:val="clear" w:color="auto" w:fill="auto"/>
              </w:rPr>
              <w:t>等是否科学、合理、有效，进行打分</w:t>
            </w:r>
            <w:r>
              <w:rPr>
                <w:rFonts w:hint="eastAsia" w:ascii="宋体" w:hAnsi="宋体" w:eastAsia="宋体" w:cs="宋体"/>
                <w:color w:val="auto"/>
                <w:sz w:val="22"/>
                <w:szCs w:val="22"/>
                <w:highlight w:val="none"/>
                <w:shd w:val="clear" w:color="auto" w:fill="auto"/>
                <w:lang w:eastAsia="zh-CN"/>
              </w:rPr>
              <w:t>：</w:t>
            </w:r>
          </w:p>
          <w:p>
            <w:pPr>
              <w:keepNext w:val="0"/>
              <w:keepLines w:val="0"/>
              <w:pageBreakBefore w:val="0"/>
              <w:widowControl/>
              <w:numPr>
                <w:ilvl w:val="0"/>
                <w:numId w:val="0"/>
              </w:numPr>
              <w:kinsoku/>
              <w:wordWrap/>
              <w:overflowPunct/>
              <w:topLinePunct w:val="0"/>
              <w:bidi w:val="0"/>
              <w:snapToGrid/>
              <w:spacing w:line="240" w:lineRule="auto"/>
              <w:textAlignment w:val="baseline"/>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A.</w:t>
            </w:r>
            <w:r>
              <w:rPr>
                <w:rFonts w:hint="eastAsia" w:ascii="宋体" w:hAnsi="宋体" w:eastAsia="宋体" w:cs="宋体"/>
                <w:color w:val="auto"/>
                <w:sz w:val="22"/>
                <w:szCs w:val="22"/>
                <w:highlight w:val="none"/>
                <w:shd w:val="clear" w:color="auto" w:fill="auto"/>
              </w:rPr>
              <w:t>组织机构设置</w:t>
            </w:r>
            <w:r>
              <w:rPr>
                <w:rFonts w:hint="eastAsia" w:ascii="宋体" w:hAnsi="宋体" w:cs="宋体"/>
                <w:color w:val="auto"/>
                <w:highlight w:val="none"/>
                <w:shd w:val="clear" w:color="auto" w:fill="auto"/>
                <w:lang w:val="en-US" w:eastAsia="zh-CN"/>
              </w:rPr>
              <w:t>和人员情况</w:t>
            </w:r>
            <w:r>
              <w:rPr>
                <w:rFonts w:hint="eastAsia" w:ascii="宋体" w:hAnsi="宋体" w:eastAsia="宋体" w:cs="宋体"/>
                <w:color w:val="auto"/>
                <w:sz w:val="22"/>
                <w:szCs w:val="22"/>
                <w:highlight w:val="none"/>
                <w:shd w:val="clear" w:color="auto" w:fill="auto"/>
                <w:lang w:val="en-US" w:eastAsia="zh-CN"/>
              </w:rPr>
              <w:t>符合项目需求，切实可行的得7-10分；</w:t>
            </w:r>
          </w:p>
          <w:p>
            <w:pPr>
              <w:keepNext w:val="0"/>
              <w:keepLines w:val="0"/>
              <w:pageBreakBefore w:val="0"/>
              <w:widowControl/>
              <w:numPr>
                <w:ilvl w:val="0"/>
                <w:numId w:val="0"/>
              </w:numPr>
              <w:kinsoku/>
              <w:wordWrap/>
              <w:overflowPunct/>
              <w:topLinePunct w:val="0"/>
              <w:bidi w:val="0"/>
              <w:snapToGrid/>
              <w:spacing w:line="240" w:lineRule="auto"/>
              <w:textAlignment w:val="baseline"/>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B.</w:t>
            </w:r>
            <w:r>
              <w:rPr>
                <w:rFonts w:hint="eastAsia" w:ascii="宋体" w:hAnsi="宋体" w:eastAsia="宋体" w:cs="宋体"/>
                <w:color w:val="auto"/>
                <w:sz w:val="22"/>
                <w:szCs w:val="22"/>
                <w:highlight w:val="none"/>
                <w:shd w:val="clear" w:color="auto" w:fill="auto"/>
              </w:rPr>
              <w:t>组织机构设置</w:t>
            </w:r>
            <w:r>
              <w:rPr>
                <w:rFonts w:hint="eastAsia" w:ascii="宋体" w:hAnsi="宋体" w:cs="宋体"/>
                <w:color w:val="auto"/>
                <w:highlight w:val="none"/>
                <w:shd w:val="clear" w:color="auto" w:fill="auto"/>
                <w:lang w:val="en-US" w:eastAsia="zh-CN"/>
              </w:rPr>
              <w:t>和人员情况本部</w:t>
            </w:r>
            <w:r>
              <w:rPr>
                <w:rFonts w:hint="eastAsia" w:ascii="宋体" w:hAnsi="宋体" w:eastAsia="宋体" w:cs="宋体"/>
                <w:color w:val="auto"/>
                <w:sz w:val="22"/>
                <w:szCs w:val="22"/>
                <w:highlight w:val="none"/>
                <w:shd w:val="clear" w:color="auto" w:fill="auto"/>
                <w:lang w:val="en-US" w:eastAsia="zh-CN"/>
              </w:rPr>
              <w:t>符合项目需求，基本可行的得4-7分；</w:t>
            </w:r>
          </w:p>
          <w:p>
            <w:pPr>
              <w:keepNext w:val="0"/>
              <w:keepLines w:val="0"/>
              <w:pageBreakBefore w:val="0"/>
              <w:widowControl/>
              <w:kinsoku/>
              <w:wordWrap/>
              <w:overflowPunct/>
              <w:topLinePunct w:val="0"/>
              <w:bidi w:val="0"/>
              <w:snapToGrid/>
              <w:spacing w:line="240" w:lineRule="auto"/>
              <w:textAlignment w:val="baseline"/>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C.</w:t>
            </w:r>
            <w:r>
              <w:rPr>
                <w:rFonts w:hint="eastAsia" w:ascii="宋体" w:hAnsi="宋体" w:eastAsia="宋体" w:cs="宋体"/>
                <w:color w:val="auto"/>
                <w:sz w:val="22"/>
                <w:szCs w:val="22"/>
                <w:highlight w:val="none"/>
                <w:shd w:val="clear" w:color="auto" w:fill="auto"/>
              </w:rPr>
              <w:t>组织机构设置</w:t>
            </w:r>
            <w:r>
              <w:rPr>
                <w:rFonts w:hint="eastAsia" w:ascii="宋体" w:hAnsi="宋体" w:cs="宋体"/>
                <w:color w:val="auto"/>
                <w:highlight w:val="none"/>
                <w:shd w:val="clear" w:color="auto" w:fill="auto"/>
                <w:lang w:val="en-US" w:eastAsia="zh-CN"/>
              </w:rPr>
              <w:t>和人员情况较欠缺的，</w:t>
            </w:r>
            <w:r>
              <w:rPr>
                <w:rFonts w:hint="eastAsia" w:ascii="宋体" w:hAnsi="宋体" w:eastAsia="宋体" w:cs="宋体"/>
                <w:color w:val="auto"/>
                <w:sz w:val="22"/>
                <w:szCs w:val="22"/>
                <w:highlight w:val="none"/>
                <w:lang w:val="en-US" w:eastAsia="zh-CN"/>
              </w:rPr>
              <w:t>合理性和可行性差</w:t>
            </w:r>
            <w:r>
              <w:rPr>
                <w:rFonts w:hint="eastAsia" w:ascii="宋体" w:hAnsi="宋体" w:eastAsia="宋体" w:cs="宋体"/>
                <w:color w:val="auto"/>
                <w:sz w:val="22"/>
                <w:szCs w:val="22"/>
                <w:highlight w:val="none"/>
                <w:shd w:val="clear" w:color="auto" w:fill="auto"/>
                <w:lang w:val="en-US" w:eastAsia="zh-CN"/>
              </w:rPr>
              <w:t>的得0-4分。</w:t>
            </w:r>
          </w:p>
          <w:p>
            <w:pPr>
              <w:keepNext w:val="0"/>
              <w:keepLines w:val="0"/>
              <w:pageBreakBefore w:val="0"/>
              <w:widowControl/>
              <w:kinsoku/>
              <w:wordWrap/>
              <w:overflowPunct/>
              <w:topLinePunct w:val="0"/>
              <w:bidi w:val="0"/>
              <w:snapToGrid/>
              <w:spacing w:line="240" w:lineRule="auto"/>
              <w:textAlignment w:val="baseline"/>
              <w:rPr>
                <w:rFonts w:hint="eastAsia" w:ascii="宋体" w:hAnsi="宋体" w:cs="宋体"/>
                <w:color w:val="auto"/>
                <w:kern w:val="2"/>
                <w:sz w:val="22"/>
                <w:szCs w:val="22"/>
                <w:highlight w:val="none"/>
                <w:shd w:val="clear" w:color="auto" w:fill="auto"/>
                <w:lang w:val="en-US" w:eastAsia="zh-CN" w:bidi="ar-SA"/>
              </w:rPr>
            </w:pPr>
            <w:r>
              <w:rPr>
                <w:rFonts w:hint="eastAsia" w:ascii="宋体" w:hAnsi="宋体" w:cs="宋体"/>
                <w:color w:val="auto"/>
                <w:sz w:val="22"/>
                <w:szCs w:val="22"/>
                <w:highlight w:val="none"/>
                <w:shd w:val="clear" w:color="auto" w:fill="auto"/>
              </w:rPr>
              <w:t>未提供不得分。</w:t>
            </w:r>
          </w:p>
        </w:tc>
        <w:tc>
          <w:tcPr>
            <w:tcW w:w="750" w:type="dxa"/>
            <w:noWrap w:val="0"/>
            <w:vAlign w:val="center"/>
          </w:tcPr>
          <w:p>
            <w:pPr>
              <w:keepNext w:val="0"/>
              <w:keepLines w:val="0"/>
              <w:pageBreakBefore w:val="0"/>
              <w:widowControl/>
              <w:kinsoku/>
              <w:wordWrap/>
              <w:overflowPunct/>
              <w:topLinePunct w:val="0"/>
              <w:bidi w:val="0"/>
              <w:snapToGrid/>
              <w:spacing w:line="240" w:lineRule="auto"/>
              <w:jc w:val="center"/>
              <w:textAlignment w:val="baseline"/>
              <w:rPr>
                <w:rFonts w:hint="eastAsia" w:ascii="宋体" w:hAnsi="宋体" w:eastAsia="宋体" w:cs="宋体"/>
                <w:b/>
                <w:bCs/>
                <w:color w:val="auto"/>
                <w:sz w:val="22"/>
                <w:szCs w:val="22"/>
                <w:highlight w:val="none"/>
                <w:shd w:val="clear" w:color="auto" w:fill="auto"/>
                <w:lang w:val="en-US" w:eastAsia="zh-CN"/>
              </w:rPr>
            </w:pPr>
            <w:r>
              <w:rPr>
                <w:rFonts w:hint="eastAsia" w:ascii="宋体" w:hAnsi="宋体" w:eastAsia="宋体" w:cs="宋体"/>
                <w:b/>
                <w:bCs/>
                <w:color w:val="auto"/>
                <w:sz w:val="22"/>
                <w:szCs w:val="22"/>
                <w:highlight w:val="none"/>
                <w:shd w:val="clear" w:color="auto" w:fill="auto"/>
                <w:lang w:val="en-US" w:eastAsia="zh-CN"/>
              </w:rPr>
              <w:t>10分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70" w:hRule="atLeast"/>
          <w:jc w:val="center"/>
        </w:trPr>
        <w:tc>
          <w:tcPr>
            <w:tcW w:w="845" w:type="dxa"/>
            <w:noWrap w:val="0"/>
            <w:vAlign w:val="center"/>
          </w:tcPr>
          <w:p>
            <w:pPr>
              <w:keepNext w:val="0"/>
              <w:keepLines w:val="0"/>
              <w:pageBreakBefore w:val="0"/>
              <w:widowControl/>
              <w:kinsoku/>
              <w:wordWrap/>
              <w:overflowPunct/>
              <w:topLinePunct w:val="0"/>
              <w:bidi w:val="0"/>
              <w:snapToGrid/>
              <w:spacing w:line="240" w:lineRule="auto"/>
              <w:jc w:val="center"/>
              <w:textAlignment w:val="baseline"/>
              <w:rPr>
                <w:rFonts w:hint="eastAsia" w:ascii="宋体" w:hAnsi="宋体" w:eastAsia="宋体" w:cs="宋体"/>
                <w:color w:val="auto"/>
                <w:kern w:val="2"/>
                <w:sz w:val="22"/>
                <w:szCs w:val="22"/>
                <w:highlight w:val="none"/>
                <w:shd w:val="clear" w:color="auto" w:fill="auto"/>
                <w:lang w:val="en-US" w:eastAsia="zh-CN" w:bidi="ar-SA"/>
              </w:rPr>
            </w:pPr>
            <w:r>
              <w:rPr>
                <w:rFonts w:hint="eastAsia" w:ascii="宋体" w:hAnsi="宋体" w:cs="宋体"/>
                <w:color w:val="auto"/>
                <w:sz w:val="22"/>
                <w:szCs w:val="22"/>
                <w:highlight w:val="none"/>
                <w:shd w:val="clear" w:color="auto" w:fill="auto"/>
                <w:lang w:val="en-US" w:eastAsia="zh-CN"/>
              </w:rPr>
              <w:t>6</w:t>
            </w:r>
          </w:p>
        </w:tc>
        <w:tc>
          <w:tcPr>
            <w:tcW w:w="1674" w:type="dxa"/>
            <w:noWrap w:val="0"/>
            <w:vAlign w:val="center"/>
          </w:tcPr>
          <w:p>
            <w:pPr>
              <w:keepNext w:val="0"/>
              <w:keepLines w:val="0"/>
              <w:pageBreakBefore w:val="0"/>
              <w:widowControl/>
              <w:kinsoku/>
              <w:wordWrap/>
              <w:overflowPunct/>
              <w:topLinePunct w:val="0"/>
              <w:bidi w:val="0"/>
              <w:snapToGrid/>
              <w:spacing w:line="240" w:lineRule="auto"/>
              <w:jc w:val="center"/>
              <w:textAlignment w:val="baseline"/>
              <w:rPr>
                <w:rFonts w:hint="default"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运作流程和相关制度</w:t>
            </w:r>
          </w:p>
        </w:tc>
        <w:tc>
          <w:tcPr>
            <w:tcW w:w="7158" w:type="dxa"/>
            <w:noWrap w:val="0"/>
            <w:vAlign w:val="center"/>
          </w:tcPr>
          <w:p>
            <w:pPr>
              <w:keepNext w:val="0"/>
              <w:keepLines w:val="0"/>
              <w:pageBreakBefore w:val="0"/>
              <w:widowControl/>
              <w:kinsoku/>
              <w:wordWrap/>
              <w:overflowPunct/>
              <w:topLinePunct w:val="0"/>
              <w:bidi w:val="0"/>
              <w:snapToGrid/>
              <w:spacing w:line="240" w:lineRule="auto"/>
              <w:textAlignment w:val="baseline"/>
              <w:rPr>
                <w:rFonts w:hint="eastAsia" w:ascii="宋体" w:hAnsi="宋体" w:eastAsia="宋体" w:cs="宋体"/>
                <w:color w:val="auto"/>
                <w:sz w:val="22"/>
                <w:szCs w:val="22"/>
                <w:highlight w:val="none"/>
                <w:shd w:val="clear" w:color="auto" w:fill="auto"/>
                <w:lang w:eastAsia="zh-CN"/>
              </w:rPr>
            </w:pPr>
            <w:r>
              <w:rPr>
                <w:rFonts w:hint="eastAsia" w:ascii="宋体" w:hAnsi="宋体" w:cs="宋体"/>
                <w:color w:val="auto"/>
                <w:sz w:val="22"/>
                <w:szCs w:val="22"/>
                <w:highlight w:val="none"/>
                <w:shd w:val="clear" w:color="auto" w:fill="auto"/>
              </w:rPr>
              <w:t>根据投标人对</w:t>
            </w:r>
            <w:r>
              <w:rPr>
                <w:rFonts w:hint="eastAsia" w:ascii="宋体" w:hAnsi="宋体" w:eastAsia="宋体" w:cs="宋体"/>
                <w:color w:val="auto"/>
                <w:sz w:val="22"/>
                <w:szCs w:val="22"/>
                <w:highlight w:val="none"/>
                <w:shd w:val="clear" w:color="auto" w:fill="auto"/>
              </w:rPr>
              <w:t>本项目的运作流程（附运作流程图）、</w:t>
            </w:r>
            <w:r>
              <w:rPr>
                <w:rFonts w:hint="eastAsia" w:ascii="宋体" w:hAnsi="宋体" w:eastAsia="宋体" w:cs="宋体"/>
                <w:color w:val="auto"/>
                <w:sz w:val="22"/>
                <w:szCs w:val="22"/>
                <w:highlight w:val="none"/>
                <w:shd w:val="clear" w:color="auto" w:fill="auto"/>
                <w:lang w:val="en-US" w:eastAsia="zh-CN"/>
              </w:rPr>
              <w:t>食材采购</w:t>
            </w:r>
            <w:r>
              <w:rPr>
                <w:rFonts w:hint="eastAsia" w:ascii="宋体" w:hAnsi="宋体" w:eastAsia="宋体" w:cs="宋体"/>
                <w:color w:val="auto"/>
                <w:sz w:val="22"/>
                <w:szCs w:val="22"/>
                <w:highlight w:val="none"/>
                <w:shd w:val="clear" w:color="auto" w:fill="auto"/>
              </w:rPr>
              <w:t>、食品安全保障制度、员工奖惩机制、卫生管理制度</w:t>
            </w:r>
            <w:r>
              <w:rPr>
                <w:rFonts w:hint="eastAsia" w:ascii="宋体" w:hAnsi="宋体" w:eastAsia="宋体" w:cs="宋体"/>
                <w:color w:val="auto"/>
                <w:sz w:val="22"/>
                <w:szCs w:val="22"/>
                <w:highlight w:val="none"/>
                <w:shd w:val="clear" w:color="auto" w:fill="auto"/>
                <w:lang w:eastAsia="zh-CN"/>
              </w:rPr>
              <w:t>、</w:t>
            </w:r>
            <w:r>
              <w:rPr>
                <w:rFonts w:hint="eastAsia" w:ascii="宋体" w:hAnsi="宋体" w:eastAsia="宋体" w:cs="宋体"/>
                <w:color w:val="auto"/>
                <w:sz w:val="22"/>
                <w:szCs w:val="22"/>
                <w:highlight w:val="none"/>
                <w:shd w:val="clear" w:color="auto" w:fill="auto"/>
              </w:rPr>
              <w:t>监督机制、自我约束机制、稳定员工的措施和信息反馈渠道及处理机制等是否科学、合理、有效，进行打分</w:t>
            </w:r>
            <w:r>
              <w:rPr>
                <w:rFonts w:hint="eastAsia" w:ascii="宋体" w:hAnsi="宋体" w:eastAsia="宋体" w:cs="宋体"/>
                <w:color w:val="auto"/>
                <w:sz w:val="22"/>
                <w:szCs w:val="22"/>
                <w:highlight w:val="none"/>
                <w:shd w:val="clear" w:color="auto" w:fill="auto"/>
                <w:lang w:eastAsia="zh-CN"/>
              </w:rPr>
              <w:t>：</w:t>
            </w:r>
          </w:p>
          <w:p>
            <w:pPr>
              <w:keepNext w:val="0"/>
              <w:keepLines w:val="0"/>
              <w:pageBreakBefore w:val="0"/>
              <w:widowControl/>
              <w:numPr>
                <w:ilvl w:val="0"/>
                <w:numId w:val="0"/>
              </w:numPr>
              <w:kinsoku/>
              <w:wordWrap/>
              <w:overflowPunct/>
              <w:topLinePunct w:val="0"/>
              <w:bidi w:val="0"/>
              <w:snapToGrid/>
              <w:spacing w:line="240" w:lineRule="auto"/>
              <w:textAlignment w:val="baseline"/>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A.</w:t>
            </w:r>
            <w:r>
              <w:rPr>
                <w:rFonts w:hint="eastAsia" w:ascii="宋体" w:hAnsi="宋体" w:cs="宋体"/>
                <w:color w:val="auto"/>
                <w:sz w:val="22"/>
                <w:szCs w:val="22"/>
                <w:highlight w:val="none"/>
                <w:shd w:val="clear" w:color="auto" w:fill="auto"/>
                <w:lang w:val="en-US" w:eastAsia="zh-CN"/>
              </w:rPr>
              <w:t>运作流程和相关制度</w:t>
            </w:r>
            <w:r>
              <w:rPr>
                <w:rFonts w:hint="eastAsia" w:ascii="宋体" w:hAnsi="宋体" w:eastAsia="宋体" w:cs="宋体"/>
                <w:color w:val="auto"/>
                <w:sz w:val="22"/>
                <w:szCs w:val="22"/>
                <w:highlight w:val="none"/>
                <w:shd w:val="clear" w:color="auto" w:fill="auto"/>
                <w:lang w:val="en-US" w:eastAsia="zh-CN"/>
              </w:rPr>
              <w:t>符合项目需求，切实可行的得得7-10分；</w:t>
            </w:r>
          </w:p>
          <w:p>
            <w:pPr>
              <w:keepNext w:val="0"/>
              <w:keepLines w:val="0"/>
              <w:pageBreakBefore w:val="0"/>
              <w:widowControl/>
              <w:numPr>
                <w:ilvl w:val="0"/>
                <w:numId w:val="0"/>
              </w:numPr>
              <w:kinsoku/>
              <w:wordWrap/>
              <w:overflowPunct/>
              <w:topLinePunct w:val="0"/>
              <w:bidi w:val="0"/>
              <w:snapToGrid/>
              <w:spacing w:line="240" w:lineRule="auto"/>
              <w:textAlignment w:val="baseline"/>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B.</w:t>
            </w:r>
            <w:r>
              <w:rPr>
                <w:rFonts w:hint="eastAsia" w:ascii="宋体" w:hAnsi="宋体" w:cs="宋体"/>
                <w:color w:val="auto"/>
                <w:sz w:val="22"/>
                <w:szCs w:val="22"/>
                <w:highlight w:val="none"/>
                <w:shd w:val="clear" w:color="auto" w:fill="auto"/>
                <w:lang w:val="en-US" w:eastAsia="zh-CN"/>
              </w:rPr>
              <w:t>运作流程和相关制度基本</w:t>
            </w:r>
            <w:r>
              <w:rPr>
                <w:rFonts w:hint="eastAsia" w:ascii="宋体" w:hAnsi="宋体" w:eastAsia="宋体" w:cs="宋体"/>
                <w:color w:val="auto"/>
                <w:sz w:val="22"/>
                <w:szCs w:val="22"/>
                <w:highlight w:val="none"/>
                <w:shd w:val="clear" w:color="auto" w:fill="auto"/>
                <w:lang w:val="en-US" w:eastAsia="zh-CN"/>
              </w:rPr>
              <w:t>符合项目需求，基本可行的得4-7分；</w:t>
            </w:r>
          </w:p>
          <w:p>
            <w:pPr>
              <w:keepNext w:val="0"/>
              <w:keepLines w:val="0"/>
              <w:pageBreakBefore w:val="0"/>
              <w:widowControl/>
              <w:kinsoku/>
              <w:wordWrap/>
              <w:overflowPunct/>
              <w:topLinePunct w:val="0"/>
              <w:bidi w:val="0"/>
              <w:snapToGrid/>
              <w:spacing w:line="240" w:lineRule="auto"/>
              <w:textAlignment w:val="baseline"/>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C.</w:t>
            </w:r>
            <w:r>
              <w:rPr>
                <w:rFonts w:hint="eastAsia" w:ascii="宋体" w:hAnsi="宋体" w:cs="宋体"/>
                <w:color w:val="auto"/>
                <w:sz w:val="22"/>
                <w:szCs w:val="22"/>
                <w:highlight w:val="none"/>
                <w:shd w:val="clear" w:color="auto" w:fill="auto"/>
                <w:lang w:val="en-US" w:eastAsia="zh-CN"/>
              </w:rPr>
              <w:t>运作流程和相关制度</w:t>
            </w:r>
            <w:r>
              <w:rPr>
                <w:rFonts w:hint="eastAsia" w:ascii="宋体" w:hAnsi="宋体" w:eastAsia="宋体" w:cs="宋体"/>
                <w:color w:val="auto"/>
                <w:sz w:val="22"/>
                <w:szCs w:val="22"/>
                <w:highlight w:val="none"/>
                <w:lang w:val="en-US" w:eastAsia="zh-CN"/>
              </w:rPr>
              <w:t>合理性和可行性差</w:t>
            </w:r>
            <w:r>
              <w:rPr>
                <w:rFonts w:hint="eastAsia" w:ascii="宋体" w:hAnsi="宋体" w:eastAsia="宋体" w:cs="宋体"/>
                <w:color w:val="auto"/>
                <w:sz w:val="22"/>
                <w:szCs w:val="22"/>
                <w:highlight w:val="none"/>
                <w:shd w:val="clear" w:color="auto" w:fill="auto"/>
                <w:lang w:val="en-US" w:eastAsia="zh-CN"/>
              </w:rPr>
              <w:t>的得0-4分。</w:t>
            </w:r>
          </w:p>
          <w:p>
            <w:pPr>
              <w:keepNext w:val="0"/>
              <w:keepLines w:val="0"/>
              <w:pageBreakBefore w:val="0"/>
              <w:widowControl/>
              <w:kinsoku/>
              <w:wordWrap/>
              <w:overflowPunct/>
              <w:topLinePunct w:val="0"/>
              <w:bidi w:val="0"/>
              <w:snapToGrid/>
              <w:spacing w:line="240" w:lineRule="auto"/>
              <w:textAlignment w:val="baseline"/>
              <w:rPr>
                <w:rFonts w:hint="eastAsia" w:ascii="宋体" w:hAnsi="宋体" w:cs="宋体"/>
                <w:color w:val="auto"/>
                <w:sz w:val="22"/>
                <w:szCs w:val="22"/>
                <w:highlight w:val="none"/>
                <w:shd w:val="clear" w:color="auto" w:fill="auto"/>
              </w:rPr>
            </w:pPr>
            <w:r>
              <w:rPr>
                <w:rFonts w:hint="eastAsia" w:ascii="宋体" w:hAnsi="宋体" w:cs="宋体"/>
                <w:color w:val="auto"/>
                <w:sz w:val="22"/>
                <w:szCs w:val="22"/>
                <w:highlight w:val="none"/>
                <w:shd w:val="clear" w:color="auto" w:fill="auto"/>
              </w:rPr>
              <w:t>未提供不得分。</w:t>
            </w:r>
          </w:p>
        </w:tc>
        <w:tc>
          <w:tcPr>
            <w:tcW w:w="750" w:type="dxa"/>
            <w:noWrap w:val="0"/>
            <w:vAlign w:val="center"/>
          </w:tcPr>
          <w:p>
            <w:pPr>
              <w:keepNext w:val="0"/>
              <w:keepLines w:val="0"/>
              <w:pageBreakBefore w:val="0"/>
              <w:widowControl/>
              <w:kinsoku/>
              <w:wordWrap/>
              <w:overflowPunct/>
              <w:topLinePunct w:val="0"/>
              <w:bidi w:val="0"/>
              <w:snapToGrid/>
              <w:spacing w:line="240" w:lineRule="auto"/>
              <w:jc w:val="center"/>
              <w:textAlignment w:val="baseline"/>
              <w:rPr>
                <w:rFonts w:hint="default" w:ascii="宋体" w:hAnsi="宋体" w:eastAsia="宋体" w:cs="宋体"/>
                <w:b/>
                <w:bCs/>
                <w:color w:val="auto"/>
                <w:sz w:val="22"/>
                <w:szCs w:val="22"/>
                <w:highlight w:val="none"/>
                <w:shd w:val="clear" w:color="auto" w:fill="auto"/>
                <w:lang w:val="en-US" w:eastAsia="zh-CN"/>
              </w:rPr>
            </w:pPr>
            <w:r>
              <w:rPr>
                <w:rFonts w:hint="eastAsia" w:ascii="宋体" w:hAnsi="宋体" w:cs="宋体"/>
                <w:b/>
                <w:bCs/>
                <w:color w:val="auto"/>
                <w:sz w:val="22"/>
                <w:szCs w:val="22"/>
                <w:highlight w:val="none"/>
                <w:shd w:val="clear" w:color="auto" w:fill="auto"/>
                <w:lang w:val="en-US" w:eastAsia="zh-CN"/>
              </w:rPr>
              <w:t>10</w:t>
            </w:r>
            <w:r>
              <w:rPr>
                <w:rFonts w:hint="eastAsia" w:ascii="宋体" w:hAnsi="宋体" w:eastAsia="宋体" w:cs="宋体"/>
                <w:b/>
                <w:bCs/>
                <w:color w:val="auto"/>
                <w:sz w:val="22"/>
                <w:szCs w:val="22"/>
                <w:highlight w:val="none"/>
                <w:shd w:val="clear" w:color="auto" w:fill="auto"/>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96" w:hRule="atLeast"/>
          <w:jc w:val="center"/>
        </w:trPr>
        <w:tc>
          <w:tcPr>
            <w:tcW w:w="845" w:type="dxa"/>
            <w:noWrap w:val="0"/>
            <w:vAlign w:val="center"/>
          </w:tcPr>
          <w:p>
            <w:pPr>
              <w:keepNext w:val="0"/>
              <w:keepLines w:val="0"/>
              <w:pageBreakBefore w:val="0"/>
              <w:widowControl/>
              <w:kinsoku/>
              <w:wordWrap/>
              <w:overflowPunct/>
              <w:topLinePunct w:val="0"/>
              <w:bidi w:val="0"/>
              <w:snapToGrid/>
              <w:spacing w:line="240" w:lineRule="auto"/>
              <w:jc w:val="center"/>
              <w:textAlignment w:val="baseline"/>
              <w:rPr>
                <w:rFonts w:hint="eastAsia" w:ascii="宋体" w:hAnsi="宋体" w:eastAsia="宋体" w:cs="宋体"/>
                <w:color w:val="auto"/>
                <w:kern w:val="2"/>
                <w:sz w:val="22"/>
                <w:szCs w:val="22"/>
                <w:highlight w:val="none"/>
                <w:shd w:val="clear" w:color="auto" w:fill="auto"/>
                <w:lang w:val="en-US" w:eastAsia="zh-CN" w:bidi="ar-SA"/>
              </w:rPr>
            </w:pPr>
            <w:r>
              <w:rPr>
                <w:rFonts w:hint="eastAsia" w:ascii="宋体" w:hAnsi="宋体" w:cs="宋体"/>
                <w:color w:val="auto"/>
                <w:sz w:val="22"/>
                <w:szCs w:val="22"/>
                <w:highlight w:val="none"/>
                <w:shd w:val="clear" w:color="auto" w:fill="auto"/>
                <w:lang w:val="en-US" w:eastAsia="zh-CN"/>
              </w:rPr>
              <w:t>7</w:t>
            </w:r>
          </w:p>
        </w:tc>
        <w:tc>
          <w:tcPr>
            <w:tcW w:w="1674" w:type="dxa"/>
            <w:noWrap w:val="0"/>
            <w:vAlign w:val="center"/>
          </w:tcPr>
          <w:p>
            <w:pPr>
              <w:keepNext w:val="0"/>
              <w:keepLines w:val="0"/>
              <w:pageBreakBefore w:val="0"/>
              <w:widowControl/>
              <w:kinsoku/>
              <w:wordWrap/>
              <w:overflowPunct/>
              <w:topLinePunct w:val="0"/>
              <w:bidi w:val="0"/>
              <w:snapToGrid/>
              <w:spacing w:line="240" w:lineRule="auto"/>
              <w:jc w:val="center"/>
              <w:textAlignment w:val="baseline"/>
              <w:rPr>
                <w:rFonts w:hint="eastAsia" w:ascii="宋体" w:hAnsi="宋体" w:cs="宋体"/>
                <w:color w:val="auto"/>
                <w:kern w:val="2"/>
                <w:sz w:val="21"/>
                <w:szCs w:val="24"/>
                <w:highlight w:val="none"/>
                <w:shd w:val="clear" w:color="auto" w:fill="auto"/>
                <w:lang w:val="en-US" w:eastAsia="zh-CN" w:bidi="ar-SA"/>
              </w:rPr>
            </w:pPr>
            <w:r>
              <w:rPr>
                <w:rFonts w:hint="eastAsia" w:ascii="宋体" w:hAnsi="宋体" w:eastAsia="宋体" w:cs="宋体"/>
                <w:color w:val="auto"/>
                <w:sz w:val="22"/>
                <w:szCs w:val="22"/>
                <w:highlight w:val="none"/>
                <w:lang w:val="en-US" w:eastAsia="zh-CN"/>
              </w:rPr>
              <w:t>管理台账方案</w:t>
            </w:r>
          </w:p>
        </w:tc>
        <w:tc>
          <w:tcPr>
            <w:tcW w:w="7158" w:type="dxa"/>
            <w:noWrap w:val="0"/>
            <w:vAlign w:val="center"/>
          </w:tcPr>
          <w:p>
            <w:pPr>
              <w:keepNext w:val="0"/>
              <w:keepLines w:val="0"/>
              <w:pageBreakBefore w:val="0"/>
              <w:widowControl/>
              <w:kinsoku/>
              <w:wordWrap/>
              <w:overflowPunct/>
              <w:topLinePunct w:val="0"/>
              <w:bidi w:val="0"/>
              <w:snapToGrid/>
              <w:spacing w:line="240" w:lineRule="auto"/>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根据供应商提供的相关食堂管理台账的方案</w:t>
            </w:r>
            <w:r>
              <w:rPr>
                <w:rFonts w:hint="eastAsia" w:ascii="宋体" w:hAnsi="宋体" w:cs="宋体"/>
                <w:color w:val="auto"/>
                <w:sz w:val="22"/>
                <w:szCs w:val="22"/>
                <w:highlight w:val="none"/>
                <w:lang w:val="en-US" w:eastAsia="zh-CN"/>
              </w:rPr>
              <w:t>的完善性及可操作性</w:t>
            </w:r>
            <w:r>
              <w:rPr>
                <w:rFonts w:hint="eastAsia" w:ascii="宋体" w:hAnsi="宋体" w:eastAsia="宋体" w:cs="宋体"/>
                <w:color w:val="auto"/>
                <w:sz w:val="22"/>
                <w:szCs w:val="22"/>
                <w:highlight w:val="none"/>
                <w:lang w:val="en-US" w:eastAsia="zh-CN"/>
              </w:rPr>
              <w:t>进行打分：</w:t>
            </w:r>
          </w:p>
          <w:p>
            <w:pPr>
              <w:keepNext w:val="0"/>
              <w:keepLines w:val="0"/>
              <w:pageBreakBefore w:val="0"/>
              <w:widowControl/>
              <w:numPr>
                <w:ilvl w:val="0"/>
                <w:numId w:val="0"/>
              </w:numPr>
              <w:kinsoku/>
              <w:wordWrap/>
              <w:overflowPunct/>
              <w:topLinePunct w:val="0"/>
              <w:bidi w:val="0"/>
              <w:snapToGrid/>
              <w:spacing w:line="240" w:lineRule="auto"/>
              <w:textAlignment w:val="baseline"/>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A.</w:t>
            </w:r>
            <w:r>
              <w:rPr>
                <w:rFonts w:hint="eastAsia" w:ascii="宋体" w:hAnsi="宋体" w:eastAsia="宋体" w:cs="宋体"/>
                <w:color w:val="auto"/>
                <w:sz w:val="22"/>
                <w:szCs w:val="22"/>
                <w:highlight w:val="none"/>
                <w:lang w:val="en-US" w:eastAsia="zh-CN"/>
              </w:rPr>
              <w:t>管理台账方案</w:t>
            </w:r>
            <w:r>
              <w:rPr>
                <w:rFonts w:hint="eastAsia" w:ascii="宋体" w:hAnsi="宋体" w:eastAsia="宋体" w:cs="宋体"/>
                <w:color w:val="auto"/>
                <w:sz w:val="22"/>
                <w:szCs w:val="22"/>
                <w:highlight w:val="none"/>
                <w:shd w:val="clear" w:color="auto" w:fill="auto"/>
                <w:lang w:val="en-US" w:eastAsia="zh-CN"/>
              </w:rPr>
              <w:t>符合项目需求，切实可行的得得</w:t>
            </w:r>
            <w:r>
              <w:rPr>
                <w:rFonts w:hint="eastAsia" w:ascii="宋体" w:hAnsi="宋体" w:cs="宋体"/>
                <w:color w:val="auto"/>
                <w:sz w:val="22"/>
                <w:szCs w:val="22"/>
                <w:highlight w:val="none"/>
                <w:shd w:val="clear" w:color="auto" w:fill="auto"/>
                <w:lang w:val="en-US" w:eastAsia="zh-CN"/>
              </w:rPr>
              <w:t>6</w:t>
            </w:r>
            <w:r>
              <w:rPr>
                <w:rFonts w:hint="eastAsia" w:ascii="宋体" w:hAnsi="宋体" w:eastAsia="宋体" w:cs="宋体"/>
                <w:color w:val="auto"/>
                <w:sz w:val="22"/>
                <w:szCs w:val="22"/>
                <w:highlight w:val="none"/>
                <w:shd w:val="clear" w:color="auto" w:fill="auto"/>
                <w:lang w:val="en-US" w:eastAsia="zh-CN"/>
              </w:rPr>
              <w:t>-</w:t>
            </w:r>
            <w:r>
              <w:rPr>
                <w:rFonts w:hint="eastAsia" w:ascii="宋体" w:hAnsi="宋体" w:cs="宋体"/>
                <w:color w:val="auto"/>
                <w:sz w:val="22"/>
                <w:szCs w:val="22"/>
                <w:highlight w:val="none"/>
                <w:shd w:val="clear" w:color="auto" w:fill="auto"/>
                <w:lang w:val="en-US" w:eastAsia="zh-CN"/>
              </w:rPr>
              <w:t>9</w:t>
            </w:r>
            <w:r>
              <w:rPr>
                <w:rFonts w:hint="eastAsia" w:ascii="宋体" w:hAnsi="宋体" w:eastAsia="宋体" w:cs="宋体"/>
                <w:color w:val="auto"/>
                <w:sz w:val="22"/>
                <w:szCs w:val="22"/>
                <w:highlight w:val="none"/>
                <w:shd w:val="clear" w:color="auto" w:fill="auto"/>
                <w:lang w:val="en-US" w:eastAsia="zh-CN"/>
              </w:rPr>
              <w:t>分；</w:t>
            </w:r>
          </w:p>
          <w:p>
            <w:pPr>
              <w:keepNext w:val="0"/>
              <w:keepLines w:val="0"/>
              <w:pageBreakBefore w:val="0"/>
              <w:widowControl/>
              <w:numPr>
                <w:ilvl w:val="0"/>
                <w:numId w:val="0"/>
              </w:numPr>
              <w:kinsoku/>
              <w:wordWrap/>
              <w:overflowPunct/>
              <w:topLinePunct w:val="0"/>
              <w:bidi w:val="0"/>
              <w:snapToGrid/>
              <w:spacing w:line="240" w:lineRule="auto"/>
              <w:textAlignment w:val="baseline"/>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B.</w:t>
            </w:r>
            <w:r>
              <w:rPr>
                <w:rFonts w:hint="eastAsia" w:ascii="宋体" w:hAnsi="宋体" w:eastAsia="宋体" w:cs="宋体"/>
                <w:color w:val="auto"/>
                <w:sz w:val="22"/>
                <w:szCs w:val="22"/>
                <w:highlight w:val="none"/>
                <w:lang w:val="en-US" w:eastAsia="zh-CN"/>
              </w:rPr>
              <w:t>管理台账方案</w:t>
            </w:r>
            <w:r>
              <w:rPr>
                <w:rFonts w:hint="eastAsia" w:ascii="宋体" w:hAnsi="宋体" w:eastAsia="宋体" w:cs="宋体"/>
                <w:color w:val="auto"/>
                <w:sz w:val="22"/>
                <w:szCs w:val="22"/>
                <w:highlight w:val="none"/>
                <w:shd w:val="clear" w:color="auto" w:fill="auto"/>
                <w:lang w:val="en-US" w:eastAsia="zh-CN"/>
              </w:rPr>
              <w:t>基本符合项目需求，基本可行的得3-</w:t>
            </w:r>
            <w:r>
              <w:rPr>
                <w:rFonts w:hint="eastAsia" w:ascii="宋体" w:hAnsi="宋体" w:cs="宋体"/>
                <w:color w:val="auto"/>
                <w:sz w:val="22"/>
                <w:szCs w:val="22"/>
                <w:highlight w:val="none"/>
                <w:shd w:val="clear" w:color="auto" w:fill="auto"/>
                <w:lang w:val="en-US" w:eastAsia="zh-CN"/>
              </w:rPr>
              <w:t>6</w:t>
            </w:r>
            <w:r>
              <w:rPr>
                <w:rFonts w:hint="eastAsia" w:ascii="宋体" w:hAnsi="宋体" w:eastAsia="宋体" w:cs="宋体"/>
                <w:color w:val="auto"/>
                <w:sz w:val="22"/>
                <w:szCs w:val="22"/>
                <w:highlight w:val="none"/>
                <w:shd w:val="clear" w:color="auto" w:fill="auto"/>
                <w:lang w:val="en-US" w:eastAsia="zh-CN"/>
              </w:rPr>
              <w:t>分；</w:t>
            </w:r>
          </w:p>
          <w:p>
            <w:pPr>
              <w:keepNext w:val="0"/>
              <w:keepLines w:val="0"/>
              <w:pageBreakBefore w:val="0"/>
              <w:widowControl/>
              <w:kinsoku/>
              <w:wordWrap/>
              <w:overflowPunct/>
              <w:topLinePunct w:val="0"/>
              <w:bidi w:val="0"/>
              <w:snapToGrid/>
              <w:spacing w:line="240" w:lineRule="auto"/>
              <w:textAlignment w:val="baseline"/>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C.</w:t>
            </w:r>
            <w:r>
              <w:rPr>
                <w:rFonts w:hint="eastAsia" w:ascii="宋体" w:hAnsi="宋体" w:eastAsia="宋体" w:cs="宋体"/>
                <w:color w:val="auto"/>
                <w:sz w:val="22"/>
                <w:szCs w:val="22"/>
                <w:highlight w:val="none"/>
                <w:lang w:val="en-US" w:eastAsia="zh-CN"/>
              </w:rPr>
              <w:t>管理台账方案合理性和可行性差</w:t>
            </w:r>
            <w:r>
              <w:rPr>
                <w:rFonts w:hint="eastAsia" w:ascii="宋体" w:hAnsi="宋体" w:eastAsia="宋体" w:cs="宋体"/>
                <w:color w:val="auto"/>
                <w:sz w:val="22"/>
                <w:szCs w:val="22"/>
                <w:highlight w:val="none"/>
                <w:shd w:val="clear" w:color="auto" w:fill="auto"/>
                <w:lang w:val="en-US" w:eastAsia="zh-CN"/>
              </w:rPr>
              <w:t>的得0-3分。</w:t>
            </w:r>
          </w:p>
          <w:p>
            <w:pPr>
              <w:keepNext w:val="0"/>
              <w:keepLines w:val="0"/>
              <w:pageBreakBefore w:val="0"/>
              <w:widowControl/>
              <w:kinsoku/>
              <w:wordWrap/>
              <w:overflowPunct/>
              <w:topLinePunct w:val="0"/>
              <w:bidi w:val="0"/>
              <w:snapToGrid/>
              <w:spacing w:line="240" w:lineRule="auto"/>
              <w:textAlignment w:val="baseline"/>
              <w:rPr>
                <w:rFonts w:hint="eastAsia" w:ascii="宋体" w:hAnsi="宋体" w:cs="宋体"/>
                <w:color w:val="auto"/>
                <w:kern w:val="2"/>
                <w:sz w:val="22"/>
                <w:szCs w:val="22"/>
                <w:highlight w:val="none"/>
                <w:shd w:val="clear" w:color="auto" w:fill="auto"/>
                <w:lang w:val="en-US" w:eastAsia="zh-CN" w:bidi="ar-SA"/>
              </w:rPr>
            </w:pPr>
            <w:r>
              <w:rPr>
                <w:rFonts w:hint="eastAsia" w:ascii="宋体" w:hAnsi="宋体" w:cs="宋体"/>
                <w:color w:val="auto"/>
                <w:sz w:val="22"/>
                <w:szCs w:val="22"/>
                <w:highlight w:val="none"/>
                <w:shd w:val="clear" w:color="auto" w:fill="auto"/>
              </w:rPr>
              <w:t>未提供不得分。</w:t>
            </w:r>
          </w:p>
        </w:tc>
        <w:tc>
          <w:tcPr>
            <w:tcW w:w="750" w:type="dxa"/>
            <w:noWrap w:val="0"/>
            <w:vAlign w:val="center"/>
          </w:tcPr>
          <w:p>
            <w:pPr>
              <w:keepNext w:val="0"/>
              <w:keepLines w:val="0"/>
              <w:pageBreakBefore w:val="0"/>
              <w:widowControl/>
              <w:kinsoku/>
              <w:wordWrap/>
              <w:overflowPunct/>
              <w:topLinePunct w:val="0"/>
              <w:bidi w:val="0"/>
              <w:snapToGrid/>
              <w:spacing w:line="240" w:lineRule="auto"/>
              <w:jc w:val="center"/>
              <w:textAlignment w:val="baseline"/>
              <w:rPr>
                <w:rFonts w:hint="eastAsia" w:ascii="宋体" w:hAnsi="宋体" w:eastAsia="宋体" w:cs="宋体"/>
                <w:b/>
                <w:bCs/>
                <w:color w:val="auto"/>
                <w:sz w:val="22"/>
                <w:szCs w:val="22"/>
                <w:highlight w:val="none"/>
                <w:shd w:val="clear" w:color="auto" w:fill="auto"/>
                <w:lang w:val="en-US" w:eastAsia="zh-CN"/>
              </w:rPr>
            </w:pPr>
            <w:r>
              <w:rPr>
                <w:rFonts w:hint="eastAsia" w:ascii="宋体" w:hAnsi="宋体" w:cs="宋体"/>
                <w:b/>
                <w:bCs/>
                <w:color w:val="auto"/>
                <w:sz w:val="22"/>
                <w:szCs w:val="22"/>
                <w:highlight w:val="none"/>
                <w:shd w:val="clear" w:color="auto" w:fill="auto"/>
                <w:lang w:val="en-US" w:eastAsia="zh-CN"/>
              </w:rPr>
              <w:t>9</w:t>
            </w:r>
            <w:r>
              <w:rPr>
                <w:rFonts w:hint="eastAsia" w:ascii="宋体" w:hAnsi="宋体" w:eastAsia="宋体" w:cs="宋体"/>
                <w:b/>
                <w:bCs/>
                <w:color w:val="auto"/>
                <w:sz w:val="22"/>
                <w:szCs w:val="22"/>
                <w:highlight w:val="none"/>
                <w:shd w:val="clear" w:color="auto" w:fill="auto"/>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845" w:type="dxa"/>
            <w:noWrap w:val="0"/>
            <w:vAlign w:val="center"/>
          </w:tcPr>
          <w:p>
            <w:pPr>
              <w:keepNext w:val="0"/>
              <w:keepLines w:val="0"/>
              <w:pageBreakBefore w:val="0"/>
              <w:widowControl/>
              <w:kinsoku/>
              <w:wordWrap/>
              <w:overflowPunct/>
              <w:topLinePunct w:val="0"/>
              <w:bidi w:val="0"/>
              <w:snapToGrid/>
              <w:spacing w:line="240" w:lineRule="auto"/>
              <w:jc w:val="center"/>
              <w:textAlignment w:val="baseline"/>
              <w:rPr>
                <w:rFonts w:hint="eastAsia" w:ascii="宋体" w:hAnsi="宋体" w:eastAsia="宋体" w:cs="宋体"/>
                <w:color w:val="auto"/>
                <w:kern w:val="2"/>
                <w:sz w:val="22"/>
                <w:szCs w:val="22"/>
                <w:highlight w:val="none"/>
                <w:shd w:val="clear" w:color="auto" w:fill="auto"/>
                <w:lang w:val="en-US" w:eastAsia="zh-CN" w:bidi="ar-SA"/>
              </w:rPr>
            </w:pPr>
            <w:r>
              <w:rPr>
                <w:rFonts w:hint="eastAsia" w:ascii="宋体" w:hAnsi="宋体" w:cs="宋体"/>
                <w:color w:val="auto"/>
                <w:sz w:val="22"/>
                <w:szCs w:val="22"/>
                <w:highlight w:val="none"/>
                <w:shd w:val="clear" w:color="auto" w:fill="auto"/>
                <w:lang w:val="en-US" w:eastAsia="zh-CN"/>
              </w:rPr>
              <w:t>8</w:t>
            </w:r>
          </w:p>
        </w:tc>
        <w:tc>
          <w:tcPr>
            <w:tcW w:w="1674" w:type="dxa"/>
            <w:noWrap w:val="0"/>
            <w:vAlign w:val="center"/>
          </w:tcPr>
          <w:p>
            <w:pPr>
              <w:keepNext w:val="0"/>
              <w:keepLines w:val="0"/>
              <w:pageBreakBefore w:val="0"/>
              <w:widowControl/>
              <w:kinsoku/>
              <w:wordWrap/>
              <w:overflowPunct/>
              <w:topLinePunct w:val="0"/>
              <w:bidi w:val="0"/>
              <w:snapToGrid/>
              <w:spacing w:line="240" w:lineRule="auto"/>
              <w:jc w:val="center"/>
              <w:textAlignment w:val="baseline"/>
              <w:rPr>
                <w:rFonts w:hint="eastAsia" w:ascii="宋体" w:hAnsi="宋体" w:cs="宋体"/>
                <w:color w:val="auto"/>
                <w:sz w:val="22"/>
                <w:szCs w:val="22"/>
                <w:highlight w:val="none"/>
                <w:shd w:val="clear" w:color="auto" w:fill="auto"/>
              </w:rPr>
            </w:pPr>
            <w:r>
              <w:rPr>
                <w:rFonts w:hint="eastAsia" w:ascii="宋体" w:hAnsi="宋体" w:cs="宋体"/>
                <w:color w:val="auto"/>
                <w:sz w:val="22"/>
                <w:szCs w:val="22"/>
                <w:highlight w:val="none"/>
                <w:shd w:val="clear" w:color="auto" w:fill="auto"/>
              </w:rPr>
              <w:t>突发事件的预见性及处理方案</w:t>
            </w:r>
          </w:p>
        </w:tc>
        <w:tc>
          <w:tcPr>
            <w:tcW w:w="7158" w:type="dxa"/>
            <w:noWrap w:val="0"/>
            <w:vAlign w:val="center"/>
          </w:tcPr>
          <w:p>
            <w:pPr>
              <w:keepNext w:val="0"/>
              <w:keepLines w:val="0"/>
              <w:pageBreakBefore w:val="0"/>
              <w:widowControl/>
              <w:kinsoku/>
              <w:wordWrap/>
              <w:overflowPunct/>
              <w:topLinePunct w:val="0"/>
              <w:bidi w:val="0"/>
              <w:snapToGrid/>
              <w:spacing w:line="240" w:lineRule="auto"/>
              <w:textAlignment w:val="baseline"/>
              <w:rPr>
                <w:rFonts w:hint="eastAsia" w:ascii="宋体" w:hAnsi="宋体" w:eastAsia="宋体" w:cs="宋体"/>
                <w:color w:val="auto"/>
                <w:sz w:val="22"/>
                <w:szCs w:val="22"/>
                <w:highlight w:val="none"/>
                <w:shd w:val="clear" w:color="auto" w:fill="auto"/>
                <w:lang w:eastAsia="zh-CN"/>
              </w:rPr>
            </w:pPr>
            <w:r>
              <w:rPr>
                <w:rFonts w:hint="eastAsia" w:ascii="宋体" w:hAnsi="宋体" w:cs="宋体"/>
                <w:color w:val="auto"/>
                <w:sz w:val="22"/>
                <w:szCs w:val="22"/>
                <w:highlight w:val="none"/>
                <w:shd w:val="clear" w:color="auto" w:fill="auto"/>
              </w:rPr>
              <w:t>根据投标人对突发事件的预见性及处理方案（如超负荷接待用餐、临时加菜、临时公务接待、非工作日的加班、抗台等特殊情况的加班处理）进行打分</w:t>
            </w:r>
            <w:r>
              <w:rPr>
                <w:rFonts w:hint="eastAsia" w:ascii="宋体" w:hAnsi="宋体" w:cs="宋体"/>
                <w:color w:val="auto"/>
                <w:sz w:val="22"/>
                <w:szCs w:val="22"/>
                <w:highlight w:val="none"/>
                <w:shd w:val="clear" w:color="auto" w:fill="auto"/>
                <w:lang w:eastAsia="zh-CN"/>
              </w:rPr>
              <w:t>：</w:t>
            </w:r>
          </w:p>
          <w:p>
            <w:pPr>
              <w:keepNext w:val="0"/>
              <w:keepLines w:val="0"/>
              <w:pageBreakBefore w:val="0"/>
              <w:widowControl/>
              <w:kinsoku/>
              <w:wordWrap/>
              <w:overflowPunct/>
              <w:topLinePunct w:val="0"/>
              <w:bidi w:val="0"/>
              <w:snapToGrid/>
              <w:spacing w:line="240" w:lineRule="auto"/>
              <w:textAlignment w:val="baseline"/>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A.突发事件的预见性及处理方案符合项目需求，切实可行的得得6-9分；</w:t>
            </w:r>
          </w:p>
          <w:p>
            <w:pPr>
              <w:keepNext w:val="0"/>
              <w:keepLines w:val="0"/>
              <w:pageBreakBefore w:val="0"/>
              <w:widowControl/>
              <w:kinsoku/>
              <w:wordWrap/>
              <w:overflowPunct/>
              <w:topLinePunct w:val="0"/>
              <w:bidi w:val="0"/>
              <w:snapToGrid/>
              <w:spacing w:line="240" w:lineRule="auto"/>
              <w:textAlignment w:val="baseline"/>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B.突发事件的预见性及处理方案符合项目需求，基本可行的得3-6分；</w:t>
            </w:r>
          </w:p>
          <w:p>
            <w:pPr>
              <w:keepNext w:val="0"/>
              <w:keepLines w:val="0"/>
              <w:pageBreakBefore w:val="0"/>
              <w:widowControl/>
              <w:kinsoku/>
              <w:wordWrap/>
              <w:overflowPunct/>
              <w:topLinePunct w:val="0"/>
              <w:bidi w:val="0"/>
              <w:snapToGrid/>
              <w:spacing w:line="240" w:lineRule="auto"/>
              <w:textAlignment w:val="baseline"/>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C.突发事件的预见性及处理方案合理性和可行性差的得0-3分。</w:t>
            </w:r>
          </w:p>
          <w:p>
            <w:pPr>
              <w:keepNext w:val="0"/>
              <w:keepLines w:val="0"/>
              <w:pageBreakBefore w:val="0"/>
              <w:widowControl/>
              <w:kinsoku/>
              <w:wordWrap/>
              <w:overflowPunct/>
              <w:topLinePunct w:val="0"/>
              <w:bidi w:val="0"/>
              <w:snapToGrid/>
              <w:spacing w:line="240" w:lineRule="auto"/>
              <w:textAlignment w:val="baseline"/>
              <w:rPr>
                <w:rFonts w:hint="eastAsia" w:ascii="宋体" w:hAnsi="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lang w:val="en-US" w:eastAsia="zh-CN"/>
              </w:rPr>
              <w:t>未提供不得分。</w:t>
            </w:r>
          </w:p>
        </w:tc>
        <w:tc>
          <w:tcPr>
            <w:tcW w:w="750" w:type="dxa"/>
            <w:noWrap w:val="0"/>
            <w:vAlign w:val="center"/>
          </w:tcPr>
          <w:p>
            <w:pPr>
              <w:keepNext w:val="0"/>
              <w:keepLines w:val="0"/>
              <w:pageBreakBefore w:val="0"/>
              <w:widowControl/>
              <w:kinsoku/>
              <w:wordWrap/>
              <w:overflowPunct/>
              <w:topLinePunct w:val="0"/>
              <w:bidi w:val="0"/>
              <w:snapToGrid/>
              <w:spacing w:line="240" w:lineRule="auto"/>
              <w:jc w:val="center"/>
              <w:textAlignment w:val="baseline"/>
              <w:rPr>
                <w:rFonts w:hint="eastAsia" w:ascii="宋体" w:hAnsi="宋体" w:eastAsia="宋体" w:cs="宋体"/>
                <w:b/>
                <w:bCs/>
                <w:color w:val="auto"/>
                <w:sz w:val="22"/>
                <w:szCs w:val="22"/>
                <w:highlight w:val="none"/>
                <w:shd w:val="clear" w:color="auto" w:fill="auto"/>
                <w:lang w:val="en-US" w:eastAsia="zh-CN"/>
              </w:rPr>
            </w:pPr>
            <w:r>
              <w:rPr>
                <w:rFonts w:hint="eastAsia" w:ascii="宋体" w:hAnsi="宋体" w:eastAsia="宋体" w:cs="宋体"/>
                <w:b/>
                <w:bCs/>
                <w:color w:val="auto"/>
                <w:sz w:val="22"/>
                <w:szCs w:val="22"/>
                <w:highlight w:val="none"/>
                <w:shd w:val="clear" w:color="auto" w:fill="auto"/>
                <w:lang w:val="en-US" w:eastAsia="zh-CN"/>
              </w:rPr>
              <w:t>9分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65" w:hRule="atLeast"/>
          <w:jc w:val="center"/>
        </w:trPr>
        <w:tc>
          <w:tcPr>
            <w:tcW w:w="845" w:type="dxa"/>
            <w:noWrap w:val="0"/>
            <w:vAlign w:val="center"/>
          </w:tcPr>
          <w:p>
            <w:pPr>
              <w:keepNext w:val="0"/>
              <w:keepLines w:val="0"/>
              <w:pageBreakBefore w:val="0"/>
              <w:widowControl/>
              <w:kinsoku/>
              <w:wordWrap/>
              <w:overflowPunct/>
              <w:topLinePunct w:val="0"/>
              <w:bidi w:val="0"/>
              <w:snapToGrid/>
              <w:spacing w:line="240" w:lineRule="auto"/>
              <w:jc w:val="center"/>
              <w:textAlignment w:val="baseline"/>
              <w:rPr>
                <w:rFonts w:hint="default" w:ascii="宋体" w:hAnsi="宋体" w:eastAsia="宋体" w:cs="宋体"/>
                <w:color w:val="auto"/>
                <w:sz w:val="22"/>
                <w:szCs w:val="22"/>
                <w:highlight w:val="none"/>
                <w:shd w:val="clear" w:color="auto" w:fill="auto"/>
                <w:lang w:val="en-US" w:eastAsia="zh-CN"/>
              </w:rPr>
            </w:pPr>
            <w:r>
              <w:rPr>
                <w:rFonts w:hint="eastAsia" w:ascii="宋体" w:hAnsi="宋体" w:cs="宋体"/>
                <w:color w:val="auto"/>
                <w:sz w:val="22"/>
                <w:szCs w:val="22"/>
                <w:highlight w:val="none"/>
                <w:shd w:val="clear" w:color="auto" w:fill="auto"/>
                <w:lang w:val="en-US" w:eastAsia="zh-CN"/>
              </w:rPr>
              <w:t>9</w:t>
            </w:r>
          </w:p>
        </w:tc>
        <w:tc>
          <w:tcPr>
            <w:tcW w:w="1674" w:type="dxa"/>
            <w:noWrap w:val="0"/>
            <w:vAlign w:val="center"/>
          </w:tcPr>
          <w:p>
            <w:pPr>
              <w:keepNext w:val="0"/>
              <w:keepLines w:val="0"/>
              <w:pageBreakBefore w:val="0"/>
              <w:widowControl/>
              <w:kinsoku/>
              <w:wordWrap/>
              <w:overflowPunct/>
              <w:topLinePunct w:val="0"/>
              <w:bidi w:val="0"/>
              <w:snapToGrid/>
              <w:spacing w:line="240" w:lineRule="auto"/>
              <w:jc w:val="center"/>
              <w:textAlignment w:val="baseline"/>
              <w:rPr>
                <w:rFonts w:hint="eastAsia" w:ascii="宋体" w:hAnsi="宋体" w:cs="宋体"/>
                <w:color w:val="auto"/>
                <w:sz w:val="22"/>
                <w:szCs w:val="22"/>
                <w:highlight w:val="none"/>
                <w:shd w:val="clear" w:color="auto" w:fill="auto"/>
              </w:rPr>
            </w:pPr>
            <w:r>
              <w:rPr>
                <w:rFonts w:hint="eastAsia" w:ascii="宋体" w:hAnsi="宋体" w:cs="宋体"/>
                <w:color w:val="auto"/>
                <w:sz w:val="22"/>
                <w:szCs w:val="22"/>
                <w:highlight w:val="none"/>
                <w:shd w:val="clear" w:color="auto" w:fill="auto"/>
              </w:rPr>
              <w:t xml:space="preserve">节能减排方案 </w:t>
            </w:r>
          </w:p>
        </w:tc>
        <w:tc>
          <w:tcPr>
            <w:tcW w:w="7158" w:type="dxa"/>
            <w:noWrap w:val="0"/>
            <w:vAlign w:val="center"/>
          </w:tcPr>
          <w:p>
            <w:pPr>
              <w:keepNext w:val="0"/>
              <w:keepLines w:val="0"/>
              <w:pageBreakBefore w:val="0"/>
              <w:widowControl/>
              <w:kinsoku/>
              <w:wordWrap/>
              <w:overflowPunct/>
              <w:topLinePunct w:val="0"/>
              <w:bidi w:val="0"/>
              <w:snapToGrid/>
              <w:spacing w:line="240" w:lineRule="auto"/>
              <w:jc w:val="left"/>
              <w:textAlignment w:val="baseline"/>
              <w:rPr>
                <w:rFonts w:hint="eastAsia" w:ascii="宋体" w:hAnsi="宋体" w:eastAsia="宋体" w:cs="宋体"/>
                <w:color w:val="auto"/>
                <w:sz w:val="22"/>
                <w:szCs w:val="22"/>
                <w:highlight w:val="none"/>
                <w:shd w:val="clear" w:color="auto" w:fill="auto"/>
                <w:lang w:eastAsia="zh-CN"/>
              </w:rPr>
            </w:pPr>
            <w:r>
              <w:rPr>
                <w:rFonts w:hint="eastAsia" w:ascii="宋体" w:hAnsi="宋体" w:cs="宋体"/>
                <w:color w:val="auto"/>
                <w:sz w:val="22"/>
                <w:szCs w:val="22"/>
                <w:highlight w:val="none"/>
                <w:shd w:val="clear" w:color="auto" w:fill="auto"/>
              </w:rPr>
              <w:t>根据投标人对本项目全年电灯空调等用电量、用水量、用气量、厨房用油等提供的节能减排方案是否合理科学可行，是否符合节能减排要求，进行打分</w:t>
            </w:r>
            <w:r>
              <w:rPr>
                <w:rFonts w:hint="eastAsia" w:ascii="宋体" w:hAnsi="宋体" w:cs="宋体"/>
                <w:color w:val="auto"/>
                <w:sz w:val="22"/>
                <w:szCs w:val="22"/>
                <w:highlight w:val="none"/>
                <w:shd w:val="clear" w:color="auto" w:fill="auto"/>
                <w:lang w:eastAsia="zh-CN"/>
              </w:rPr>
              <w:t>：</w:t>
            </w:r>
          </w:p>
          <w:p>
            <w:pPr>
              <w:keepNext w:val="0"/>
              <w:keepLines w:val="0"/>
              <w:pageBreakBefore w:val="0"/>
              <w:widowControl/>
              <w:numPr>
                <w:ilvl w:val="0"/>
                <w:numId w:val="0"/>
              </w:numPr>
              <w:kinsoku/>
              <w:wordWrap/>
              <w:overflowPunct/>
              <w:topLinePunct w:val="0"/>
              <w:bidi w:val="0"/>
              <w:snapToGrid/>
              <w:spacing w:line="240" w:lineRule="auto"/>
              <w:textAlignment w:val="baseline"/>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A.</w:t>
            </w:r>
            <w:r>
              <w:rPr>
                <w:rFonts w:hint="eastAsia" w:ascii="宋体" w:hAnsi="宋体" w:cs="宋体"/>
                <w:color w:val="auto"/>
                <w:sz w:val="22"/>
                <w:szCs w:val="22"/>
                <w:highlight w:val="none"/>
                <w:shd w:val="clear" w:color="auto" w:fill="auto"/>
              </w:rPr>
              <w:t>节能减排方案</w:t>
            </w:r>
            <w:r>
              <w:rPr>
                <w:rFonts w:hint="eastAsia" w:ascii="宋体" w:hAnsi="宋体" w:eastAsia="宋体" w:cs="宋体"/>
                <w:color w:val="auto"/>
                <w:sz w:val="22"/>
                <w:szCs w:val="22"/>
                <w:highlight w:val="none"/>
                <w:shd w:val="clear" w:color="auto" w:fill="auto"/>
                <w:lang w:val="en-US" w:eastAsia="zh-CN"/>
              </w:rPr>
              <w:t>符合项目需求，切实可行的得得5-6分；</w:t>
            </w:r>
          </w:p>
          <w:p>
            <w:pPr>
              <w:keepNext w:val="0"/>
              <w:keepLines w:val="0"/>
              <w:pageBreakBefore w:val="0"/>
              <w:widowControl/>
              <w:numPr>
                <w:ilvl w:val="0"/>
                <w:numId w:val="0"/>
              </w:numPr>
              <w:kinsoku/>
              <w:wordWrap/>
              <w:overflowPunct/>
              <w:topLinePunct w:val="0"/>
              <w:bidi w:val="0"/>
              <w:snapToGrid/>
              <w:spacing w:line="240" w:lineRule="auto"/>
              <w:textAlignment w:val="baseline"/>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B.</w:t>
            </w:r>
            <w:r>
              <w:rPr>
                <w:rFonts w:hint="eastAsia" w:ascii="宋体" w:hAnsi="宋体" w:cs="宋体"/>
                <w:color w:val="auto"/>
                <w:sz w:val="22"/>
                <w:szCs w:val="22"/>
                <w:highlight w:val="none"/>
                <w:shd w:val="clear" w:color="auto" w:fill="auto"/>
              </w:rPr>
              <w:t>节能减排方案</w:t>
            </w:r>
            <w:r>
              <w:rPr>
                <w:rFonts w:hint="eastAsia" w:ascii="宋体" w:hAnsi="宋体" w:eastAsia="宋体" w:cs="宋体"/>
                <w:color w:val="auto"/>
                <w:sz w:val="22"/>
                <w:szCs w:val="22"/>
                <w:highlight w:val="none"/>
                <w:shd w:val="clear" w:color="auto" w:fill="auto"/>
                <w:lang w:val="en-US" w:eastAsia="zh-CN"/>
              </w:rPr>
              <w:t>基本符合项目需求，基本可行的得3-5分；</w:t>
            </w:r>
          </w:p>
          <w:p>
            <w:pPr>
              <w:keepNext w:val="0"/>
              <w:keepLines w:val="0"/>
              <w:pageBreakBefore w:val="0"/>
              <w:widowControl/>
              <w:kinsoku/>
              <w:wordWrap/>
              <w:overflowPunct/>
              <w:topLinePunct w:val="0"/>
              <w:bidi w:val="0"/>
              <w:snapToGrid/>
              <w:spacing w:line="240" w:lineRule="auto"/>
              <w:textAlignment w:val="baseline"/>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C.</w:t>
            </w:r>
            <w:r>
              <w:rPr>
                <w:rFonts w:hint="eastAsia" w:ascii="宋体" w:hAnsi="宋体" w:cs="宋体"/>
                <w:color w:val="auto"/>
                <w:sz w:val="22"/>
                <w:szCs w:val="22"/>
                <w:highlight w:val="none"/>
                <w:shd w:val="clear" w:color="auto" w:fill="auto"/>
              </w:rPr>
              <w:t>节能减排方案</w:t>
            </w:r>
            <w:r>
              <w:rPr>
                <w:rFonts w:hint="eastAsia" w:ascii="宋体" w:hAnsi="宋体" w:eastAsia="宋体" w:cs="宋体"/>
                <w:color w:val="auto"/>
                <w:sz w:val="22"/>
                <w:szCs w:val="22"/>
                <w:highlight w:val="none"/>
                <w:lang w:val="en-US" w:eastAsia="zh-CN"/>
              </w:rPr>
              <w:t>合理性和可行性差</w:t>
            </w:r>
            <w:r>
              <w:rPr>
                <w:rFonts w:hint="eastAsia" w:ascii="宋体" w:hAnsi="宋体" w:eastAsia="宋体" w:cs="宋体"/>
                <w:color w:val="auto"/>
                <w:sz w:val="22"/>
                <w:szCs w:val="22"/>
                <w:highlight w:val="none"/>
                <w:shd w:val="clear" w:color="auto" w:fill="auto"/>
                <w:lang w:val="en-US" w:eastAsia="zh-CN"/>
              </w:rPr>
              <w:t>的得0-3分。</w:t>
            </w:r>
          </w:p>
          <w:p>
            <w:pPr>
              <w:keepNext w:val="0"/>
              <w:keepLines w:val="0"/>
              <w:pageBreakBefore w:val="0"/>
              <w:widowControl/>
              <w:kinsoku/>
              <w:wordWrap/>
              <w:overflowPunct/>
              <w:topLinePunct w:val="0"/>
              <w:bidi w:val="0"/>
              <w:snapToGrid/>
              <w:spacing w:line="240" w:lineRule="auto"/>
              <w:textAlignment w:val="baseline"/>
              <w:rPr>
                <w:rFonts w:hint="eastAsia" w:ascii="宋体" w:hAnsi="宋体" w:cs="宋体"/>
                <w:color w:val="auto"/>
                <w:sz w:val="22"/>
                <w:szCs w:val="22"/>
                <w:highlight w:val="none"/>
                <w:shd w:val="clear" w:color="auto" w:fill="auto"/>
              </w:rPr>
            </w:pPr>
            <w:r>
              <w:rPr>
                <w:rFonts w:hint="eastAsia" w:ascii="宋体" w:hAnsi="宋体" w:cs="宋体"/>
                <w:color w:val="auto"/>
                <w:sz w:val="22"/>
                <w:szCs w:val="22"/>
                <w:highlight w:val="none"/>
                <w:shd w:val="clear" w:color="auto" w:fill="auto"/>
              </w:rPr>
              <w:t>未提供不得分。</w:t>
            </w:r>
          </w:p>
        </w:tc>
        <w:tc>
          <w:tcPr>
            <w:tcW w:w="750" w:type="dxa"/>
            <w:noWrap w:val="0"/>
            <w:vAlign w:val="center"/>
          </w:tcPr>
          <w:p>
            <w:pPr>
              <w:keepNext w:val="0"/>
              <w:keepLines w:val="0"/>
              <w:pageBreakBefore w:val="0"/>
              <w:widowControl/>
              <w:kinsoku/>
              <w:wordWrap/>
              <w:overflowPunct/>
              <w:topLinePunct w:val="0"/>
              <w:bidi w:val="0"/>
              <w:snapToGrid/>
              <w:spacing w:line="240" w:lineRule="auto"/>
              <w:jc w:val="center"/>
              <w:textAlignment w:val="baseline"/>
              <w:rPr>
                <w:rFonts w:hint="eastAsia" w:ascii="宋体" w:hAnsi="宋体" w:eastAsia="宋体" w:cs="宋体"/>
                <w:b/>
                <w:bCs/>
                <w:color w:val="auto"/>
                <w:sz w:val="22"/>
                <w:szCs w:val="22"/>
                <w:highlight w:val="none"/>
                <w:shd w:val="clear" w:color="auto" w:fill="auto"/>
                <w:lang w:val="en-US" w:eastAsia="zh-CN"/>
              </w:rPr>
            </w:pPr>
            <w:r>
              <w:rPr>
                <w:rFonts w:hint="eastAsia" w:ascii="宋体" w:hAnsi="宋体" w:eastAsia="宋体" w:cs="宋体"/>
                <w:b/>
                <w:bCs/>
                <w:color w:val="auto"/>
                <w:sz w:val="22"/>
                <w:szCs w:val="22"/>
                <w:highlight w:val="none"/>
                <w:shd w:val="clear" w:color="auto" w:fill="auto"/>
                <w:lang w:val="en-US" w:eastAsia="zh-CN"/>
              </w:rPr>
              <w:t>6分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56" w:hRule="atLeast"/>
          <w:jc w:val="center"/>
        </w:trPr>
        <w:tc>
          <w:tcPr>
            <w:tcW w:w="845" w:type="dxa"/>
            <w:noWrap w:val="0"/>
            <w:vAlign w:val="center"/>
          </w:tcPr>
          <w:p>
            <w:pPr>
              <w:keepNext w:val="0"/>
              <w:keepLines w:val="0"/>
              <w:pageBreakBefore w:val="0"/>
              <w:widowControl/>
              <w:kinsoku/>
              <w:wordWrap/>
              <w:overflowPunct/>
              <w:topLinePunct w:val="0"/>
              <w:bidi w:val="0"/>
              <w:snapToGrid/>
              <w:spacing w:line="240" w:lineRule="auto"/>
              <w:jc w:val="center"/>
              <w:textAlignment w:val="baseline"/>
              <w:rPr>
                <w:rFonts w:hint="default" w:ascii="宋体" w:hAnsi="宋体" w:eastAsia="宋体" w:cs="宋体"/>
                <w:color w:val="auto"/>
                <w:sz w:val="22"/>
                <w:szCs w:val="22"/>
                <w:highlight w:val="none"/>
                <w:shd w:val="clear" w:color="auto" w:fill="auto"/>
                <w:lang w:val="en-US" w:eastAsia="zh-CN"/>
              </w:rPr>
            </w:pPr>
            <w:r>
              <w:rPr>
                <w:rFonts w:hint="eastAsia" w:ascii="宋体" w:hAnsi="宋体" w:cs="宋体"/>
                <w:color w:val="auto"/>
                <w:sz w:val="22"/>
                <w:szCs w:val="22"/>
                <w:highlight w:val="none"/>
                <w:shd w:val="clear" w:color="auto" w:fill="auto"/>
                <w:lang w:val="en-US" w:eastAsia="zh-CN"/>
              </w:rPr>
              <w:t>10</w:t>
            </w:r>
          </w:p>
        </w:tc>
        <w:tc>
          <w:tcPr>
            <w:tcW w:w="1674" w:type="dxa"/>
            <w:noWrap w:val="0"/>
            <w:vAlign w:val="center"/>
          </w:tcPr>
          <w:p>
            <w:pPr>
              <w:keepNext w:val="0"/>
              <w:keepLines w:val="0"/>
              <w:pageBreakBefore w:val="0"/>
              <w:widowControl/>
              <w:kinsoku/>
              <w:wordWrap/>
              <w:overflowPunct/>
              <w:topLinePunct w:val="0"/>
              <w:bidi w:val="0"/>
              <w:snapToGrid/>
              <w:spacing w:line="240" w:lineRule="auto"/>
              <w:jc w:val="center"/>
              <w:textAlignment w:val="baseline"/>
              <w:rPr>
                <w:rFonts w:hint="eastAsia" w:ascii="宋体" w:hAnsi="宋体" w:eastAsia="宋体" w:cs="宋体"/>
                <w:color w:val="auto"/>
                <w:sz w:val="20"/>
                <w:highlight w:val="none"/>
                <w:shd w:val="clear" w:color="auto" w:fill="auto"/>
                <w:lang w:val="en-US" w:eastAsia="zh-CN"/>
              </w:rPr>
            </w:pPr>
            <w:r>
              <w:rPr>
                <w:rFonts w:hint="eastAsia" w:ascii="宋体" w:hAnsi="宋体" w:cs="宋体"/>
                <w:color w:val="auto"/>
                <w:sz w:val="22"/>
                <w:szCs w:val="22"/>
                <w:highlight w:val="none"/>
                <w:shd w:val="clear" w:color="auto" w:fill="auto"/>
                <w:lang w:val="en-US" w:eastAsia="zh-CN"/>
              </w:rPr>
              <w:t>保障菜品的方案及具体操作</w:t>
            </w:r>
          </w:p>
        </w:tc>
        <w:tc>
          <w:tcPr>
            <w:tcW w:w="7158" w:type="dxa"/>
            <w:noWrap w:val="0"/>
            <w:vAlign w:val="center"/>
          </w:tcPr>
          <w:p>
            <w:pPr>
              <w:pStyle w:val="16"/>
              <w:keepNext w:val="0"/>
              <w:keepLines w:val="0"/>
              <w:pageBreakBefore w:val="0"/>
              <w:kinsoku/>
              <w:wordWrap/>
              <w:overflowPunct/>
              <w:topLinePunct w:val="0"/>
              <w:bidi w:val="0"/>
              <w:snapToGrid/>
              <w:spacing w:after="0" w:afterLines="0" w:line="240" w:lineRule="auto"/>
              <w:textAlignment w:val="baseline"/>
              <w:rPr>
                <w:rFonts w:hint="eastAsia" w:ascii="宋体" w:hAnsi="宋体" w:eastAsia="宋体" w:cs="宋体"/>
                <w:color w:val="auto"/>
                <w:sz w:val="22"/>
                <w:szCs w:val="22"/>
                <w:highlight w:val="none"/>
                <w:shd w:val="clear" w:color="auto" w:fill="auto"/>
                <w:lang w:val="en-US" w:eastAsia="zh-CN"/>
              </w:rPr>
            </w:pPr>
            <w:bookmarkStart w:id="274" w:name="_GoBack"/>
            <w:r>
              <w:rPr>
                <w:rFonts w:hint="eastAsia" w:ascii="宋体" w:hAnsi="宋体" w:eastAsia="宋体" w:cs="宋体"/>
                <w:color w:val="auto"/>
                <w:sz w:val="22"/>
                <w:szCs w:val="22"/>
                <w:highlight w:val="none"/>
                <w:shd w:val="clear" w:color="auto" w:fill="auto"/>
                <w:lang w:val="en-US" w:eastAsia="zh-CN"/>
              </w:rPr>
              <w:t>针对本项目在服务过程中，保障菜品的质量、菜品的口味和菜品的更新等方案及具体操作，进行打分：</w:t>
            </w:r>
          </w:p>
          <w:p>
            <w:pPr>
              <w:pStyle w:val="16"/>
              <w:keepNext w:val="0"/>
              <w:keepLines w:val="0"/>
              <w:pageBreakBefore w:val="0"/>
              <w:kinsoku/>
              <w:wordWrap/>
              <w:overflowPunct/>
              <w:topLinePunct w:val="0"/>
              <w:bidi w:val="0"/>
              <w:snapToGrid/>
              <w:spacing w:after="0" w:afterLines="0" w:line="240" w:lineRule="auto"/>
              <w:textAlignment w:val="baseline"/>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A.保障菜品的方案及具体操作符合项目需求，切实可行的得得6-9分；</w:t>
            </w:r>
          </w:p>
          <w:p>
            <w:pPr>
              <w:pStyle w:val="16"/>
              <w:keepNext w:val="0"/>
              <w:keepLines w:val="0"/>
              <w:pageBreakBefore w:val="0"/>
              <w:kinsoku/>
              <w:wordWrap/>
              <w:overflowPunct/>
              <w:topLinePunct w:val="0"/>
              <w:bidi w:val="0"/>
              <w:snapToGrid/>
              <w:spacing w:after="0" w:afterLines="0" w:line="240" w:lineRule="auto"/>
              <w:textAlignment w:val="baseline"/>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B.保障菜品的方案及具体操作基本符合项目需求，基本可行的得3-5分；</w:t>
            </w:r>
          </w:p>
          <w:p>
            <w:pPr>
              <w:pStyle w:val="16"/>
              <w:keepNext w:val="0"/>
              <w:keepLines w:val="0"/>
              <w:pageBreakBefore w:val="0"/>
              <w:kinsoku/>
              <w:wordWrap/>
              <w:overflowPunct/>
              <w:topLinePunct w:val="0"/>
              <w:bidi w:val="0"/>
              <w:snapToGrid/>
              <w:spacing w:after="0" w:afterLines="0" w:line="240" w:lineRule="auto"/>
              <w:textAlignment w:val="baseline"/>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C.保障菜品的方案及具体操作较欠缺的，合理性和可行性差的得0-3分。</w:t>
            </w:r>
          </w:p>
          <w:p>
            <w:pPr>
              <w:pStyle w:val="16"/>
              <w:keepNext w:val="0"/>
              <w:keepLines w:val="0"/>
              <w:pageBreakBefore w:val="0"/>
              <w:kinsoku/>
              <w:wordWrap/>
              <w:overflowPunct/>
              <w:topLinePunct w:val="0"/>
              <w:bidi w:val="0"/>
              <w:snapToGrid/>
              <w:spacing w:after="0" w:afterLines="0" w:line="240" w:lineRule="auto"/>
              <w:textAlignment w:val="baseline"/>
              <w:rPr>
                <w:rFonts w:hint="eastAsia"/>
                <w:color w:val="auto"/>
                <w:highlight w:val="none"/>
                <w:shd w:val="clear" w:color="auto" w:fill="auto"/>
              </w:rPr>
            </w:pPr>
            <w:r>
              <w:rPr>
                <w:rFonts w:hint="eastAsia" w:ascii="宋体" w:hAnsi="宋体" w:eastAsia="宋体" w:cs="宋体"/>
                <w:color w:val="auto"/>
                <w:sz w:val="22"/>
                <w:szCs w:val="22"/>
                <w:highlight w:val="none"/>
                <w:shd w:val="clear" w:color="auto" w:fill="auto"/>
                <w:lang w:val="en-US" w:eastAsia="zh-CN"/>
              </w:rPr>
              <w:t>未提供不得分。</w:t>
            </w:r>
            <w:bookmarkEnd w:id="274"/>
          </w:p>
        </w:tc>
        <w:tc>
          <w:tcPr>
            <w:tcW w:w="750" w:type="dxa"/>
            <w:noWrap w:val="0"/>
            <w:vAlign w:val="center"/>
          </w:tcPr>
          <w:p>
            <w:pPr>
              <w:keepNext w:val="0"/>
              <w:keepLines w:val="0"/>
              <w:pageBreakBefore w:val="0"/>
              <w:widowControl/>
              <w:kinsoku/>
              <w:wordWrap/>
              <w:overflowPunct/>
              <w:topLinePunct w:val="0"/>
              <w:bidi w:val="0"/>
              <w:snapToGrid/>
              <w:spacing w:line="240" w:lineRule="auto"/>
              <w:jc w:val="center"/>
              <w:textAlignment w:val="baseline"/>
              <w:rPr>
                <w:rFonts w:ascii="宋体" w:hAnsi="宋体" w:cs="宋体"/>
                <w:color w:val="auto"/>
                <w:sz w:val="22"/>
                <w:szCs w:val="22"/>
                <w:highlight w:val="none"/>
                <w:shd w:val="clear" w:color="auto" w:fill="auto"/>
              </w:rPr>
            </w:pPr>
            <w:r>
              <w:rPr>
                <w:rFonts w:hint="eastAsia" w:ascii="宋体" w:hAnsi="宋体" w:cs="宋体"/>
                <w:b/>
                <w:bCs/>
                <w:color w:val="auto"/>
                <w:sz w:val="22"/>
                <w:szCs w:val="22"/>
                <w:highlight w:val="none"/>
                <w:shd w:val="clear" w:color="auto" w:fill="auto"/>
                <w:lang w:val="en-US" w:eastAsia="zh-CN"/>
              </w:rPr>
              <w:t>9</w:t>
            </w:r>
            <w:r>
              <w:rPr>
                <w:rFonts w:hint="eastAsia" w:ascii="宋体" w:hAnsi="宋体" w:cs="宋体"/>
                <w:b/>
                <w:bCs/>
                <w:color w:val="auto"/>
                <w:sz w:val="22"/>
                <w:szCs w:val="22"/>
                <w:highlight w:val="none"/>
                <w:shd w:val="clear" w:color="auto" w:fill="auto"/>
              </w:rPr>
              <w:t>分</w:t>
            </w:r>
          </w:p>
        </w:tc>
      </w:tr>
    </w:tbl>
    <w:p>
      <w:pPr>
        <w:rPr>
          <w:rFonts w:hint="eastAsia" w:ascii="宋体" w:hAnsi="宋体" w:eastAsia="宋体" w:cs="宋体"/>
          <w:color w:val="auto"/>
          <w:highlight w:val="none"/>
        </w:rPr>
      </w:pPr>
    </w:p>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2、磋商报价得分</w:t>
      </w:r>
      <w:r>
        <w:rPr>
          <w:rFonts w:hint="eastAsia" w:ascii="宋体" w:hAnsi="宋体" w:cs="宋体"/>
          <w:color w:val="auto"/>
          <w:kern w:val="0"/>
          <w:sz w:val="22"/>
          <w:szCs w:val="22"/>
          <w:highlight w:val="none"/>
          <w:lang w:val="en-US" w:eastAsia="zh-CN"/>
        </w:rPr>
        <w:t>20</w:t>
      </w:r>
      <w:r>
        <w:rPr>
          <w:rFonts w:hint="eastAsia" w:ascii="宋体" w:hAnsi="宋体" w:eastAsia="宋体" w:cs="宋体"/>
          <w:color w:val="auto"/>
          <w:kern w:val="0"/>
          <w:sz w:val="22"/>
          <w:szCs w:val="22"/>
          <w:highlight w:val="none"/>
        </w:rPr>
        <w:t>分</w:t>
      </w:r>
    </w:p>
    <w:p>
      <w:pPr>
        <w:spacing w:line="440" w:lineRule="exact"/>
        <w:ind w:left="328" w:leftChars="156"/>
        <w:rPr>
          <w:rFonts w:hint="eastAsia" w:ascii="宋体" w:hAnsi="宋体" w:eastAsia="宋体" w:cs="宋体"/>
          <w:color w:val="auto"/>
          <w:sz w:val="22"/>
          <w:highlight w:val="none"/>
        </w:rPr>
      </w:pPr>
      <w:r>
        <w:rPr>
          <w:rFonts w:hint="eastAsia" w:ascii="宋体" w:hAnsi="宋体" w:eastAsia="宋体" w:cs="宋体"/>
          <w:color w:val="auto"/>
          <w:sz w:val="22"/>
          <w:highlight w:val="none"/>
        </w:rPr>
        <w:t>满足磋商文件要求且价格最低的最后磋商报价为磋商基准价。</w:t>
      </w:r>
    </w:p>
    <w:p>
      <w:pPr>
        <w:spacing w:line="440" w:lineRule="exact"/>
        <w:ind w:firstLine="330" w:firstLineChars="150"/>
        <w:rPr>
          <w:rFonts w:hint="eastAsia" w:ascii="宋体" w:hAnsi="宋体" w:eastAsia="宋体" w:cs="宋体"/>
          <w:color w:val="auto"/>
          <w:sz w:val="22"/>
          <w:highlight w:val="none"/>
        </w:rPr>
      </w:pPr>
      <w:r>
        <w:rPr>
          <w:rFonts w:hint="eastAsia" w:ascii="宋体" w:hAnsi="宋体" w:eastAsia="宋体" w:cs="宋体"/>
          <w:color w:val="auto"/>
          <w:sz w:val="22"/>
          <w:highlight w:val="none"/>
        </w:rPr>
        <w:t>1）有效供应商的最后磋商报价等于磋商基准价时其商务分为满分</w:t>
      </w:r>
      <w:r>
        <w:rPr>
          <w:rFonts w:hint="eastAsia" w:ascii="宋体" w:hAnsi="宋体" w:cs="宋体"/>
          <w:color w:val="auto"/>
          <w:sz w:val="22"/>
          <w:highlight w:val="none"/>
          <w:lang w:val="en-US" w:eastAsia="zh-CN"/>
        </w:rPr>
        <w:t>20</w:t>
      </w:r>
      <w:r>
        <w:rPr>
          <w:rFonts w:hint="eastAsia" w:ascii="宋体" w:hAnsi="宋体" w:eastAsia="宋体" w:cs="宋体"/>
          <w:color w:val="auto"/>
          <w:sz w:val="22"/>
          <w:highlight w:val="none"/>
        </w:rPr>
        <w:t>分；</w:t>
      </w:r>
    </w:p>
    <w:p>
      <w:pPr>
        <w:spacing w:line="440" w:lineRule="exact"/>
        <w:ind w:firstLine="330" w:firstLineChars="150"/>
        <w:rPr>
          <w:rFonts w:hint="eastAsia" w:ascii="宋体" w:hAnsi="宋体" w:eastAsia="宋体" w:cs="宋体"/>
          <w:color w:val="auto"/>
          <w:sz w:val="22"/>
          <w:highlight w:val="none"/>
        </w:rPr>
      </w:pPr>
      <w:r>
        <w:rPr>
          <w:rFonts w:hint="eastAsia" w:ascii="宋体" w:hAnsi="宋体" w:eastAsia="宋体" w:cs="宋体"/>
          <w:color w:val="auto"/>
          <w:sz w:val="22"/>
          <w:highlight w:val="none"/>
        </w:rPr>
        <w:t>2）其他供应商的价格分按以下公式计算：</w:t>
      </w:r>
    </w:p>
    <w:p>
      <w:pPr>
        <w:spacing w:line="440" w:lineRule="exact"/>
        <w:ind w:left="657" w:leftChars="313"/>
        <w:rPr>
          <w:rFonts w:hint="eastAsia" w:ascii="宋体" w:hAnsi="宋体" w:eastAsia="宋体" w:cs="宋体"/>
          <w:color w:val="auto"/>
          <w:sz w:val="22"/>
          <w:highlight w:val="none"/>
        </w:rPr>
      </w:pPr>
      <w:r>
        <w:rPr>
          <w:rFonts w:hint="eastAsia" w:ascii="宋体" w:hAnsi="宋体" w:eastAsia="宋体" w:cs="宋体"/>
          <w:color w:val="auto"/>
          <w:sz w:val="22"/>
          <w:highlight w:val="none"/>
        </w:rPr>
        <w:t>商务分得分=（磋商基准价/供应商最后磋商报价）×</w:t>
      </w:r>
      <w:r>
        <w:rPr>
          <w:rFonts w:hint="eastAsia" w:ascii="宋体" w:hAnsi="宋体" w:cs="宋体"/>
          <w:color w:val="auto"/>
          <w:sz w:val="22"/>
          <w:highlight w:val="none"/>
          <w:lang w:val="en-US" w:eastAsia="zh-CN"/>
        </w:rPr>
        <w:t>20</w:t>
      </w:r>
      <w:r>
        <w:rPr>
          <w:rFonts w:hint="eastAsia" w:ascii="宋体" w:hAnsi="宋体" w:eastAsia="宋体" w:cs="宋体"/>
          <w:color w:val="auto"/>
          <w:sz w:val="22"/>
          <w:highlight w:val="none"/>
        </w:rPr>
        <w:t>（四舍五入后保留小数2位）</w:t>
      </w:r>
    </w:p>
    <w:p>
      <w:pPr>
        <w:pStyle w:val="221"/>
        <w:ind w:firstLine="330" w:firstLineChars="150"/>
        <w:rPr>
          <w:rFonts w:hint="eastAsia"/>
          <w:color w:val="auto"/>
          <w:highlight w:val="none"/>
        </w:rPr>
      </w:pPr>
      <w:r>
        <w:rPr>
          <w:rFonts w:hint="eastAsia" w:ascii="宋体" w:hAnsi="宋体" w:eastAsia="宋体" w:cs="宋体"/>
          <w:color w:val="auto"/>
          <w:sz w:val="22"/>
          <w:highlight w:val="none"/>
          <w:lang w:val="en-US" w:eastAsia="zh-CN"/>
        </w:rPr>
        <w:t>3</w:t>
      </w:r>
      <w:r>
        <w:rPr>
          <w:rFonts w:hint="eastAsia" w:ascii="宋体" w:hAnsi="宋体" w:eastAsia="宋体" w:cs="宋体"/>
          <w:color w:val="auto"/>
          <w:sz w:val="22"/>
          <w:highlight w:val="none"/>
        </w:rPr>
        <w:t>）</w:t>
      </w:r>
      <w:r>
        <w:rPr>
          <w:rFonts w:hint="eastAsia" w:ascii="宋体" w:hAnsi="宋体" w:cs="Arial"/>
          <w:b/>
          <w:bCs/>
          <w:color w:val="auto"/>
          <w:sz w:val="22"/>
          <w:szCs w:val="22"/>
          <w:highlight w:val="none"/>
          <w:u w:val="single"/>
        </w:rPr>
        <w:t>本项目为专门面向中小企业采购的项目或者标项，不再执行价格评审优惠的扶持政策。</w:t>
      </w:r>
    </w:p>
    <w:p>
      <w:pPr>
        <w:spacing w:line="400" w:lineRule="exact"/>
        <w:ind w:firstLine="330" w:firstLineChars="150"/>
        <w:rPr>
          <w:rFonts w:hint="eastAsia" w:ascii="宋体" w:hAnsi="宋体" w:eastAsia="宋体" w:cs="宋体"/>
          <w:b/>
          <w:color w:val="auto"/>
          <w:sz w:val="22"/>
          <w:szCs w:val="22"/>
          <w:highlight w:val="none"/>
          <w:u w:val="single"/>
        </w:rPr>
      </w:pPr>
      <w:r>
        <w:rPr>
          <w:rFonts w:hint="eastAsia" w:ascii="宋体" w:hAnsi="宋体" w:eastAsia="宋体" w:cs="宋体"/>
          <w:color w:val="auto"/>
          <w:sz w:val="22"/>
          <w:highlight w:val="none"/>
        </w:rPr>
        <w:t>4）</w:t>
      </w:r>
      <w:r>
        <w:rPr>
          <w:rFonts w:hint="eastAsia" w:ascii="宋体" w:hAnsi="宋体" w:eastAsia="宋体" w:cs="宋体"/>
          <w:b/>
          <w:bCs/>
          <w:color w:val="auto"/>
          <w:sz w:val="22"/>
          <w:szCs w:val="22"/>
          <w:highlight w:val="none"/>
        </w:rPr>
        <w:t>▲</w:t>
      </w:r>
      <w:r>
        <w:rPr>
          <w:rFonts w:hint="eastAsia" w:ascii="宋体" w:hAnsi="宋体" w:eastAsia="宋体" w:cs="宋体"/>
          <w:b/>
          <w:color w:val="auto"/>
          <w:sz w:val="22"/>
          <w:szCs w:val="22"/>
          <w:highlight w:val="none"/>
          <w:u w:val="single"/>
        </w:rPr>
        <w:t>本项目采购预算为</w:t>
      </w:r>
      <w:r>
        <w:rPr>
          <w:rFonts w:hint="eastAsia" w:ascii="宋体" w:hAnsi="宋体" w:cs="宋体"/>
          <w:b/>
          <w:color w:val="auto"/>
          <w:sz w:val="22"/>
          <w:szCs w:val="22"/>
          <w:highlight w:val="none"/>
          <w:u w:val="single"/>
          <w:lang w:val="en-US" w:eastAsia="zh-CN"/>
        </w:rPr>
        <w:t>1400000</w:t>
      </w:r>
      <w:r>
        <w:rPr>
          <w:rFonts w:hint="eastAsia" w:ascii="宋体" w:hAnsi="宋体" w:eastAsia="宋体" w:cs="宋体"/>
          <w:b/>
          <w:color w:val="auto"/>
          <w:sz w:val="22"/>
          <w:szCs w:val="22"/>
          <w:highlight w:val="none"/>
          <w:u w:val="single"/>
        </w:rPr>
        <w:t>元</w:t>
      </w:r>
      <w:r>
        <w:rPr>
          <w:rFonts w:hint="eastAsia" w:ascii="宋体"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最高限价</w:t>
      </w:r>
      <w:r>
        <w:rPr>
          <w:rFonts w:hint="eastAsia" w:ascii="宋体" w:hAnsi="宋体" w:cs="宋体"/>
          <w:b/>
          <w:color w:val="auto"/>
          <w:sz w:val="22"/>
          <w:szCs w:val="22"/>
          <w:highlight w:val="none"/>
          <w:u w:val="single"/>
          <w:lang w:val="en-US" w:eastAsia="zh-CN"/>
        </w:rPr>
        <w:t>为1400</w:t>
      </w:r>
      <w:r>
        <w:rPr>
          <w:rFonts w:hint="eastAsia" w:ascii="宋体" w:hAnsi="宋体" w:eastAsia="宋体" w:cs="宋体"/>
          <w:b/>
          <w:color w:val="auto"/>
          <w:sz w:val="22"/>
          <w:szCs w:val="22"/>
          <w:highlight w:val="none"/>
          <w:u w:val="single"/>
          <w:lang w:eastAsia="zh-CN"/>
        </w:rPr>
        <w:t>000</w:t>
      </w:r>
      <w:r>
        <w:rPr>
          <w:rFonts w:hint="eastAsia" w:ascii="宋体" w:hAnsi="宋体" w:eastAsia="宋体" w:cs="宋体"/>
          <w:b/>
          <w:color w:val="auto"/>
          <w:sz w:val="22"/>
          <w:szCs w:val="22"/>
          <w:highlight w:val="none"/>
          <w:u w:val="single"/>
        </w:rPr>
        <w:t>元。如</w:t>
      </w:r>
      <w:r>
        <w:rPr>
          <w:rFonts w:hint="eastAsia" w:ascii="宋体" w:hAnsi="宋体" w:eastAsia="宋体" w:cs="宋体"/>
          <w:b/>
          <w:color w:val="auto"/>
          <w:sz w:val="22"/>
          <w:szCs w:val="22"/>
          <w:highlight w:val="none"/>
          <w:u w:val="single"/>
          <w:lang w:val="en-US" w:eastAsia="zh-CN"/>
        </w:rPr>
        <w:t>供</w:t>
      </w:r>
      <w:r>
        <w:rPr>
          <w:rFonts w:hint="eastAsia" w:ascii="宋体" w:hAnsi="宋体" w:cs="宋体"/>
          <w:b/>
          <w:color w:val="auto"/>
          <w:sz w:val="22"/>
          <w:szCs w:val="22"/>
          <w:highlight w:val="none"/>
          <w:u w:val="single"/>
          <w:lang w:val="en-US" w:eastAsia="zh-CN"/>
        </w:rPr>
        <w:t>应商报价超过采购预算或</w:t>
      </w:r>
      <w:r>
        <w:rPr>
          <w:rFonts w:hint="eastAsia" w:ascii="宋体" w:hAnsi="宋体" w:eastAsia="宋体" w:cs="宋体"/>
          <w:b/>
          <w:color w:val="auto"/>
          <w:sz w:val="22"/>
          <w:szCs w:val="22"/>
          <w:highlight w:val="none"/>
          <w:u w:val="single"/>
        </w:rPr>
        <w:t>最高限价</w:t>
      </w:r>
      <w:r>
        <w:rPr>
          <w:rFonts w:hint="eastAsia" w:ascii="宋体" w:hAnsi="宋体" w:cs="宋体"/>
          <w:b/>
          <w:color w:val="auto"/>
          <w:sz w:val="22"/>
          <w:szCs w:val="22"/>
          <w:highlight w:val="none"/>
          <w:u w:val="single"/>
          <w:lang w:val="en-US" w:eastAsia="zh-CN"/>
        </w:rPr>
        <w:t>，其磋商响应文件作无效标处</w:t>
      </w:r>
      <w:r>
        <w:rPr>
          <w:rFonts w:hint="eastAsia" w:ascii="宋体" w:hAnsi="宋体" w:eastAsia="宋体" w:cs="宋体"/>
          <w:b/>
          <w:color w:val="auto"/>
          <w:sz w:val="22"/>
          <w:szCs w:val="22"/>
          <w:highlight w:val="none"/>
          <w:u w:val="single"/>
        </w:rPr>
        <w:t>理</w:t>
      </w:r>
      <w:r>
        <w:rPr>
          <w:rFonts w:hint="eastAsia" w:ascii="宋体" w:hAnsi="宋体" w:eastAsia="宋体" w:cs="宋体"/>
          <w:color w:val="auto"/>
          <w:sz w:val="22"/>
          <w:highlight w:val="none"/>
        </w:rPr>
        <w:t>。</w:t>
      </w:r>
    </w:p>
    <w:p>
      <w:pPr>
        <w:spacing w:line="400" w:lineRule="exact"/>
        <w:ind w:firstLine="330" w:firstLineChars="150"/>
        <w:rPr>
          <w:rFonts w:hint="eastAsia" w:ascii="宋体" w:hAnsi="宋体" w:eastAsia="宋体" w:cs="宋体"/>
          <w:color w:val="auto"/>
          <w:sz w:val="22"/>
          <w:highlight w:val="none"/>
        </w:rPr>
      </w:pPr>
      <w:r>
        <w:rPr>
          <w:rFonts w:hint="eastAsia" w:ascii="宋体" w:hAnsi="宋体" w:eastAsia="宋体" w:cs="宋体"/>
          <w:color w:val="auto"/>
          <w:sz w:val="22"/>
          <w:highlight w:val="none"/>
        </w:rPr>
        <w:t>6）</w:t>
      </w:r>
      <w:r>
        <w:rPr>
          <w:rFonts w:hint="eastAsia" w:ascii="宋体" w:hAnsi="宋体" w:eastAsia="宋体" w:cs="宋体"/>
          <w:color w:val="auto"/>
          <w:sz w:val="22"/>
          <w:szCs w:val="22"/>
          <w:highlight w:val="none"/>
        </w:rPr>
        <w:t>所有供应商商务报价均超采购预算，采购人无法支付的,重新组织招标</w:t>
      </w:r>
      <w:r>
        <w:rPr>
          <w:rFonts w:hint="eastAsia" w:ascii="宋体" w:hAnsi="宋体" w:eastAsia="宋体" w:cs="宋体"/>
          <w:color w:val="auto"/>
          <w:sz w:val="22"/>
          <w:highlight w:val="none"/>
        </w:rPr>
        <w:t>。</w:t>
      </w:r>
    </w:p>
    <w:p>
      <w:pPr>
        <w:pStyle w:val="16"/>
        <w:spacing w:before="120" w:beforeLines="50" w:afterLine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3、有效供应商的综合得分为商务技术得分和最后磋商报价得分的总和。</w:t>
      </w:r>
      <w:bookmarkStart w:id="208" w:name="_Toc221356966"/>
      <w:bookmarkStart w:id="209" w:name="_Toc221356903"/>
    </w:p>
    <w:p>
      <w:pPr>
        <w:numPr>
          <w:ilvl w:val="0"/>
          <w:numId w:val="39"/>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定标办法</w:t>
      </w:r>
      <w:bookmarkEnd w:id="208"/>
      <w:bookmarkEnd w:id="209"/>
    </w:p>
    <w:p>
      <w:pPr>
        <w:spacing w:line="40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本次招标由评标委员会推荐中标候选人，采购人根据评标委员会的推荐结果进行最终确认。如中标人放弃中标、或因不可抗力提出不能履行合同；或者招标文件规定应当提交履约保证金而在规定的期限内未能提交的；或未能在规定时间内与采购人签订合同的；或者经质疑，采购人审查后，确因排名第一的候选人在本次采购活动中存在违法违规行为或其他原因使质疑成立的，采购人可以视具体情况确定是否由排名第二的中标候选人为中标人。如第二中标候选人因前款规定的同样原因不能签订合同的，本次招标失败，重新组织招标。</w:t>
      </w:r>
    </w:p>
    <w:p>
      <w:pPr>
        <w:numPr>
          <w:ilvl w:val="0"/>
          <w:numId w:val="39"/>
        </w:numPr>
        <w:spacing w:line="400" w:lineRule="exact"/>
        <w:rPr>
          <w:rFonts w:hint="eastAsia" w:ascii="宋体" w:hAnsi="宋体" w:eastAsia="宋体" w:cs="宋体"/>
          <w:color w:val="auto"/>
          <w:sz w:val="22"/>
          <w:szCs w:val="22"/>
          <w:highlight w:val="none"/>
        </w:rPr>
      </w:pPr>
      <w:bookmarkStart w:id="210" w:name="_Toc221356904"/>
      <w:bookmarkStart w:id="211" w:name="_Toc221356967"/>
      <w:r>
        <w:rPr>
          <w:rFonts w:hint="eastAsia" w:ascii="宋体" w:hAnsi="宋体" w:eastAsia="宋体" w:cs="宋体"/>
          <w:color w:val="auto"/>
          <w:sz w:val="22"/>
          <w:szCs w:val="22"/>
          <w:highlight w:val="none"/>
        </w:rPr>
        <w:t>确定</w:t>
      </w:r>
      <w:bookmarkEnd w:id="210"/>
      <w:bookmarkEnd w:id="211"/>
      <w:r>
        <w:rPr>
          <w:rFonts w:hint="eastAsia" w:ascii="宋体" w:hAnsi="宋体" w:eastAsia="宋体" w:cs="宋体"/>
          <w:color w:val="auto"/>
          <w:sz w:val="22"/>
          <w:szCs w:val="22"/>
          <w:highlight w:val="none"/>
        </w:rPr>
        <w:t>中标（成交）供应商</w:t>
      </w:r>
    </w:p>
    <w:p>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评标结束后，采购人将在浙江政府采购网及其他政府采购指定信息发布媒体上公示中标结果。公示期结束，且在规定期限内无异议则招标机构将向中标（成交）供应商发出中标通知书。</w:t>
      </w:r>
    </w:p>
    <w:p>
      <w:pPr>
        <w:numPr>
          <w:ilvl w:val="0"/>
          <w:numId w:val="39"/>
        </w:numPr>
        <w:spacing w:line="400" w:lineRule="exact"/>
        <w:rPr>
          <w:rFonts w:hint="eastAsia" w:ascii="宋体" w:hAnsi="宋体" w:eastAsia="宋体" w:cs="宋体"/>
          <w:color w:val="auto"/>
          <w:sz w:val="22"/>
          <w:szCs w:val="22"/>
          <w:highlight w:val="none"/>
        </w:rPr>
      </w:pPr>
      <w:bookmarkStart w:id="212" w:name="_Toc221356905"/>
      <w:bookmarkStart w:id="213" w:name="_Toc221356968"/>
      <w:r>
        <w:rPr>
          <w:rFonts w:hint="eastAsia" w:ascii="宋体" w:hAnsi="宋体" w:eastAsia="宋体" w:cs="宋体"/>
          <w:color w:val="auto"/>
          <w:sz w:val="22"/>
          <w:szCs w:val="22"/>
          <w:highlight w:val="none"/>
        </w:rPr>
        <w:t>供应商义务</w:t>
      </w:r>
      <w:bookmarkEnd w:id="212"/>
      <w:bookmarkEnd w:id="213"/>
    </w:p>
    <w:p>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供应商应随时接受评标委员会的询标，解答包括有关的商务、技术问题等。评标结束，所有评标资料存招标机构备查。</w:t>
      </w:r>
    </w:p>
    <w:p>
      <w:pPr>
        <w:pStyle w:val="2"/>
        <w:spacing w:line="440" w:lineRule="exact"/>
        <w:rPr>
          <w:rFonts w:hint="eastAsia" w:ascii="宋体" w:hAnsi="宋体" w:eastAsia="宋体" w:cs="宋体"/>
          <w:color w:val="auto"/>
          <w:sz w:val="36"/>
          <w:szCs w:val="36"/>
          <w:highlight w:val="none"/>
        </w:rPr>
        <w:sectPr>
          <w:pgSz w:w="11906" w:h="16838"/>
          <w:pgMar w:top="1134" w:right="1134" w:bottom="1134" w:left="1134" w:header="851" w:footer="851" w:gutter="0"/>
          <w:pgNumType w:fmt="decimal"/>
          <w:cols w:space="720" w:num="1"/>
          <w:titlePg/>
          <w:docGrid w:linePitch="312" w:charSpace="0"/>
        </w:sectPr>
      </w:pPr>
      <w:bookmarkStart w:id="214" w:name="_Toc221374632"/>
      <w:bookmarkStart w:id="215" w:name="_Toc246261271"/>
      <w:bookmarkStart w:id="216" w:name="_Toc221356894"/>
      <w:bookmarkStart w:id="217" w:name="_Toc262105510"/>
      <w:bookmarkStart w:id="218" w:name="_Toc245722287"/>
      <w:bookmarkStart w:id="219" w:name="_Toc223716004"/>
      <w:bookmarkStart w:id="220" w:name="_Toc249758871"/>
      <w:bookmarkStart w:id="221" w:name="_Toc239145360"/>
      <w:bookmarkStart w:id="222" w:name="_Toc221356957"/>
      <w:bookmarkStart w:id="223" w:name="_Toc221423625"/>
      <w:bookmarkStart w:id="224" w:name="_Toc245191320"/>
      <w:bookmarkStart w:id="225" w:name="_Toc241404208"/>
      <w:bookmarkStart w:id="226" w:name="_Toc262049425"/>
      <w:bookmarkStart w:id="227" w:name="_Toc249758721"/>
      <w:bookmarkStart w:id="228" w:name="_Toc222114885"/>
      <w:bookmarkStart w:id="229" w:name="_Toc4830"/>
    </w:p>
    <w:p>
      <w:pPr>
        <w:pStyle w:val="2"/>
        <w:spacing w:line="440" w:lineRule="exact"/>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 xml:space="preserve">第四部分   </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Start w:id="230" w:name="_Toc221374633"/>
      <w:bookmarkStart w:id="231" w:name="_Toc241404209"/>
      <w:bookmarkStart w:id="232" w:name="_Toc221423626"/>
      <w:bookmarkStart w:id="233" w:name="_Toc221356897"/>
      <w:bookmarkStart w:id="234" w:name="_Toc221356960"/>
      <w:bookmarkStart w:id="235" w:name="_Toc262105511"/>
      <w:bookmarkStart w:id="236" w:name="_Toc249758872"/>
      <w:bookmarkStart w:id="237" w:name="_Toc223716005"/>
      <w:bookmarkStart w:id="238" w:name="_Toc245191321"/>
      <w:bookmarkStart w:id="239" w:name="_Toc249758722"/>
      <w:bookmarkStart w:id="240" w:name="_Toc239145361"/>
      <w:bookmarkStart w:id="241" w:name="_Toc262049426"/>
      <w:bookmarkStart w:id="242" w:name="_Toc245722288"/>
      <w:bookmarkStart w:id="243" w:name="_Toc246261272"/>
      <w:bookmarkStart w:id="244" w:name="_Toc222114886"/>
      <w:r>
        <w:rPr>
          <w:rFonts w:hint="eastAsia" w:ascii="宋体" w:hAnsi="宋体" w:eastAsia="宋体" w:cs="宋体"/>
          <w:color w:val="auto"/>
          <w:sz w:val="36"/>
          <w:szCs w:val="36"/>
          <w:highlight w:val="none"/>
        </w:rPr>
        <w:t>合同格式</w:t>
      </w:r>
      <w:bookmarkEnd w:id="229"/>
      <w:r>
        <w:rPr>
          <w:rFonts w:hint="eastAsia" w:ascii="宋体" w:hAnsi="宋体" w:eastAsia="宋体" w:cs="宋体"/>
          <w:color w:val="auto"/>
          <w:sz w:val="36"/>
          <w:szCs w:val="36"/>
          <w:highlight w:val="none"/>
          <w:lang w:eastAsia="zh-CN"/>
        </w:rPr>
        <w:t>（</w:t>
      </w:r>
      <w:r>
        <w:rPr>
          <w:rFonts w:hint="eastAsia" w:ascii="宋体" w:hAnsi="宋体" w:eastAsia="宋体" w:cs="宋体"/>
          <w:color w:val="auto"/>
          <w:sz w:val="36"/>
          <w:szCs w:val="36"/>
          <w:highlight w:val="none"/>
          <w:lang w:val="en-US" w:eastAsia="zh-CN"/>
        </w:rPr>
        <w:t>参考</w:t>
      </w:r>
      <w:r>
        <w:rPr>
          <w:rFonts w:hint="eastAsia" w:ascii="宋体" w:hAnsi="宋体" w:eastAsia="宋体" w:cs="宋体"/>
          <w:color w:val="auto"/>
          <w:sz w:val="36"/>
          <w:szCs w:val="36"/>
          <w:highlight w:val="none"/>
          <w:lang w:eastAsia="zh-CN"/>
        </w:rPr>
        <w:t>）</w:t>
      </w:r>
    </w:p>
    <w:p>
      <w:pPr>
        <w:spacing w:line="440" w:lineRule="exact"/>
        <w:ind w:firstLine="440" w:firstLineChars="200"/>
        <w:rPr>
          <w:rFonts w:hint="eastAsia" w:ascii="宋体" w:hAnsi="宋体" w:eastAsia="宋体" w:cs="宋体"/>
          <w:color w:val="auto"/>
          <w:sz w:val="22"/>
          <w:szCs w:val="22"/>
          <w:highlight w:val="none"/>
        </w:rPr>
      </w:pPr>
      <w:bookmarkStart w:id="245" w:name="_Toc525719521"/>
      <w:r>
        <w:rPr>
          <w:rFonts w:hint="eastAsia" w:ascii="宋体" w:hAnsi="宋体" w:eastAsia="宋体" w:cs="宋体"/>
          <w:color w:val="auto"/>
          <w:sz w:val="22"/>
          <w:szCs w:val="22"/>
          <w:highlight w:val="none"/>
        </w:rPr>
        <w:t>说明：如甲、乙双方同意，合同格式也可以按照其他形式。但合同条款的基本内容应与本合同要求的内容相一致。</w:t>
      </w:r>
    </w:p>
    <w:p>
      <w:pPr>
        <w:keepNext w:val="0"/>
        <w:keepLines w:val="0"/>
        <w:pageBreakBefore w:val="0"/>
        <w:widowControl w:val="0"/>
        <w:kinsoku/>
        <w:wordWrap/>
        <w:overflowPunct/>
        <w:topLinePunct w:val="0"/>
        <w:bidi w:val="0"/>
        <w:spacing w:line="400" w:lineRule="exact"/>
        <w:ind w:firstLine="440" w:firstLineChars="200"/>
        <w:rPr>
          <w:rFonts w:hint="eastAsia" w:ascii="宋体" w:hAnsi="宋体" w:eastAsia="宋体" w:cs="宋体"/>
          <w:color w:val="auto"/>
          <w:sz w:val="22"/>
          <w:szCs w:val="22"/>
          <w:highlight w:val="none"/>
        </w:rPr>
      </w:pPr>
      <w:bookmarkStart w:id="246" w:name="_Toc249758716"/>
      <w:bookmarkStart w:id="247" w:name="_Toc262105507"/>
      <w:bookmarkStart w:id="248" w:name="_Toc223716002"/>
      <w:bookmarkStart w:id="249" w:name="_Toc239145358"/>
      <w:bookmarkStart w:id="250" w:name="_Toc249758868"/>
      <w:bookmarkStart w:id="251" w:name="_Toc222114883"/>
      <w:bookmarkStart w:id="252" w:name="_Toc221374630"/>
      <w:bookmarkStart w:id="253" w:name="_Toc262049422"/>
      <w:bookmarkStart w:id="254" w:name="_Toc221423623"/>
      <w:bookmarkStart w:id="255" w:name="_Toc245191318"/>
      <w:bookmarkStart w:id="256" w:name="_Toc241404206"/>
      <w:bookmarkStart w:id="257" w:name="_Toc221356955"/>
      <w:bookmarkStart w:id="258" w:name="_Toc246261269"/>
      <w:bookmarkStart w:id="259" w:name="_Toc245722285"/>
      <w:bookmarkStart w:id="260" w:name="_Toc221356891"/>
    </w:p>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Pr>
        <w:spacing w:line="440" w:lineRule="exact"/>
        <w:textAlignment w:val="baseline"/>
        <w:rPr>
          <w:rStyle w:val="248"/>
          <w:rFonts w:ascii="宋体" w:hAnsi="宋体"/>
          <w:color w:val="auto"/>
          <w:sz w:val="22"/>
          <w:highlight w:val="none"/>
          <w:u w:val="single"/>
        </w:rPr>
      </w:pPr>
      <w:bookmarkStart w:id="261" w:name="_Toc449640027"/>
      <w:r>
        <w:rPr>
          <w:rStyle w:val="248"/>
          <w:rFonts w:hint="eastAsia" w:ascii="宋体" w:hAnsi="宋体"/>
          <w:color w:val="auto"/>
          <w:sz w:val="22"/>
          <w:highlight w:val="none"/>
        </w:rPr>
        <w:t>甲方</w:t>
      </w:r>
      <w:r>
        <w:rPr>
          <w:rStyle w:val="248"/>
          <w:rFonts w:ascii="宋体" w:hAnsi="宋体"/>
          <w:color w:val="auto"/>
          <w:sz w:val="22"/>
          <w:highlight w:val="none"/>
        </w:rPr>
        <w:t>：</w:t>
      </w:r>
      <w:r>
        <w:rPr>
          <w:rStyle w:val="248"/>
          <w:rFonts w:ascii="宋体" w:hAnsi="宋体"/>
          <w:color w:val="auto"/>
          <w:sz w:val="22"/>
          <w:highlight w:val="none"/>
          <w:u w:val="single"/>
        </w:rPr>
        <w:t xml:space="preserve">    </w:t>
      </w:r>
      <w:r>
        <w:rPr>
          <w:rStyle w:val="248"/>
          <w:rFonts w:hint="eastAsia" w:ascii="宋体" w:hAnsi="宋体"/>
          <w:color w:val="auto"/>
          <w:sz w:val="22"/>
          <w:highlight w:val="none"/>
          <w:u w:val="single"/>
          <w:lang w:eastAsia="zh-CN"/>
        </w:rPr>
        <w:t>温州市瓯海区人民政府茶山街道办事处</w:t>
      </w:r>
      <w:r>
        <w:rPr>
          <w:rStyle w:val="248"/>
          <w:rFonts w:ascii="宋体" w:hAnsi="宋体"/>
          <w:color w:val="auto"/>
          <w:sz w:val="22"/>
          <w:highlight w:val="none"/>
          <w:u w:val="single"/>
        </w:rPr>
        <w:t xml:space="preserve">      </w:t>
      </w:r>
      <w:r>
        <w:rPr>
          <w:rStyle w:val="248"/>
          <w:rFonts w:ascii="宋体" w:hAnsi="宋体"/>
          <w:color w:val="auto"/>
          <w:sz w:val="22"/>
          <w:highlight w:val="none"/>
        </w:rPr>
        <w:t>(以下简称甲方)</w:t>
      </w:r>
    </w:p>
    <w:p>
      <w:pPr>
        <w:pStyle w:val="249"/>
        <w:widowControl/>
        <w:spacing w:line="400" w:lineRule="exact"/>
        <w:jc w:val="left"/>
        <w:rPr>
          <w:rStyle w:val="248"/>
          <w:rFonts w:ascii="宋体" w:hAnsi="宋体" w:eastAsia="宋体"/>
          <w:b w:val="0"/>
          <w:color w:val="auto"/>
          <w:sz w:val="22"/>
          <w:highlight w:val="none"/>
        </w:rPr>
      </w:pPr>
      <w:r>
        <w:rPr>
          <w:rStyle w:val="248"/>
          <w:rFonts w:hint="eastAsia" w:ascii="宋体" w:hAnsi="宋体" w:eastAsia="宋体"/>
          <w:b w:val="0"/>
          <w:bCs w:val="0"/>
          <w:color w:val="auto"/>
          <w:sz w:val="22"/>
          <w:highlight w:val="none"/>
        </w:rPr>
        <w:t>乙方</w:t>
      </w:r>
      <w:r>
        <w:rPr>
          <w:rStyle w:val="248"/>
          <w:rFonts w:ascii="宋体" w:hAnsi="宋体" w:eastAsia="宋体"/>
          <w:b w:val="0"/>
          <w:bCs w:val="0"/>
          <w:color w:val="auto"/>
          <w:sz w:val="22"/>
          <w:highlight w:val="none"/>
        </w:rPr>
        <w:t>：</w:t>
      </w:r>
      <w:r>
        <w:rPr>
          <w:rStyle w:val="248"/>
          <w:rFonts w:ascii="宋体" w:hAnsi="宋体" w:eastAsia="宋体"/>
          <w:b w:val="0"/>
          <w:bCs w:val="0"/>
          <w:color w:val="auto"/>
          <w:sz w:val="22"/>
          <w:highlight w:val="none"/>
          <w:u w:val="single"/>
        </w:rPr>
        <w:t xml:space="preserve">    </w:t>
      </w:r>
      <w:r>
        <w:rPr>
          <w:rStyle w:val="248"/>
          <w:rFonts w:hint="eastAsia" w:ascii="宋体" w:hAnsi="宋体" w:eastAsia="宋体"/>
          <w:b w:val="0"/>
          <w:bCs w:val="0"/>
          <w:color w:val="auto"/>
          <w:sz w:val="22"/>
          <w:highlight w:val="none"/>
          <w:u w:val="single"/>
        </w:rPr>
        <w:t xml:space="preserve">                     </w:t>
      </w:r>
      <w:r>
        <w:rPr>
          <w:rStyle w:val="248"/>
          <w:rFonts w:ascii="宋体" w:hAnsi="宋体" w:eastAsia="宋体"/>
          <w:b w:val="0"/>
          <w:bCs w:val="0"/>
          <w:color w:val="auto"/>
          <w:sz w:val="22"/>
          <w:highlight w:val="none"/>
          <w:u w:val="single"/>
        </w:rPr>
        <w:t xml:space="preserve">   </w:t>
      </w:r>
      <w:r>
        <w:rPr>
          <w:rStyle w:val="248"/>
          <w:rFonts w:hint="eastAsia" w:hAnsi="宋体" w:eastAsia="宋体"/>
          <w:b w:val="0"/>
          <w:bCs w:val="0"/>
          <w:color w:val="auto"/>
          <w:sz w:val="22"/>
          <w:highlight w:val="none"/>
          <w:u w:val="single"/>
          <w:lang w:val="en-US"/>
        </w:rPr>
        <w:t xml:space="preserve">          </w:t>
      </w:r>
      <w:r>
        <w:rPr>
          <w:rStyle w:val="248"/>
          <w:rFonts w:hint="eastAsia" w:ascii="宋体" w:hAnsi="宋体" w:eastAsia="宋体"/>
          <w:b w:val="0"/>
          <w:bCs w:val="0"/>
          <w:color w:val="auto"/>
          <w:sz w:val="22"/>
          <w:highlight w:val="none"/>
          <w:u w:val="single"/>
        </w:rPr>
        <w:t xml:space="preserve"> </w:t>
      </w:r>
      <w:r>
        <w:rPr>
          <w:rStyle w:val="248"/>
          <w:rFonts w:ascii="宋体" w:hAnsi="宋体" w:eastAsia="宋体"/>
          <w:b w:val="0"/>
          <w:bCs w:val="0"/>
          <w:color w:val="auto"/>
          <w:sz w:val="22"/>
          <w:highlight w:val="none"/>
          <w:u w:val="single"/>
        </w:rPr>
        <w:t xml:space="preserve">     </w:t>
      </w:r>
      <w:r>
        <w:rPr>
          <w:rStyle w:val="248"/>
          <w:rFonts w:ascii="宋体" w:hAnsi="宋体" w:eastAsia="宋体"/>
          <w:b w:val="0"/>
          <w:bCs w:val="0"/>
          <w:color w:val="auto"/>
          <w:sz w:val="22"/>
          <w:highlight w:val="none"/>
        </w:rPr>
        <w:t>(以下简称乙方)</w:t>
      </w:r>
    </w:p>
    <w:p>
      <w:pPr>
        <w:pStyle w:val="247"/>
        <w:widowControl/>
        <w:snapToGrid w:val="0"/>
        <w:spacing w:line="400" w:lineRule="exact"/>
        <w:ind w:firstLine="440" w:firstLineChars="200"/>
        <w:rPr>
          <w:rStyle w:val="248"/>
          <w:rFonts w:hint="eastAsia" w:ascii="宋体" w:hAnsi="宋体" w:eastAsia="宋体" w:cs="宋体"/>
          <w:color w:val="auto"/>
          <w:sz w:val="22"/>
          <w:highlight w:val="none"/>
        </w:rPr>
      </w:pPr>
      <w:r>
        <w:rPr>
          <w:rStyle w:val="248"/>
          <w:rFonts w:hint="eastAsia" w:ascii="宋体" w:hAnsi="宋体"/>
          <w:color w:val="auto"/>
          <w:sz w:val="22"/>
          <w:highlight w:val="none"/>
        </w:rPr>
        <w:t>甲、乙双方根据有关法律规定，本着友好合作、协商一致的原则，就</w:t>
      </w:r>
      <w:r>
        <w:rPr>
          <w:rStyle w:val="248"/>
          <w:rFonts w:hint="eastAsia" w:ascii="宋体" w:hAnsi="宋体" w:eastAsia="宋体" w:cs="宋体"/>
          <w:color w:val="auto"/>
          <w:sz w:val="22"/>
          <w:highlight w:val="none"/>
        </w:rPr>
        <w:t>乙方承揽甲方</w:t>
      </w:r>
      <w:r>
        <w:rPr>
          <w:rStyle w:val="248"/>
          <w:rFonts w:hint="eastAsia" w:ascii="宋体" w:hAnsi="宋体" w:cs="宋体"/>
          <w:color w:val="auto"/>
          <w:sz w:val="22"/>
          <w:highlight w:val="none"/>
          <w:lang w:val="en-US" w:eastAsia="zh-CN"/>
        </w:rPr>
        <w:t>2024年茶山街道机关食堂外包运营服务</w:t>
      </w:r>
      <w:r>
        <w:rPr>
          <w:rStyle w:val="248"/>
          <w:rFonts w:hint="eastAsia" w:ascii="宋体" w:hAnsi="宋体" w:eastAsia="宋体" w:cs="宋体"/>
          <w:color w:val="auto"/>
          <w:sz w:val="22"/>
          <w:highlight w:val="none"/>
        </w:rPr>
        <w:t>有关事宜达成协议，签署本合同。</w:t>
      </w:r>
    </w:p>
    <w:p>
      <w:pPr>
        <w:pStyle w:val="247"/>
        <w:widowControl/>
        <w:snapToGrid w:val="0"/>
        <w:spacing w:line="400" w:lineRule="exact"/>
        <w:rPr>
          <w:rStyle w:val="248"/>
          <w:rFonts w:ascii="宋体" w:hAnsi="宋体"/>
          <w:b/>
          <w:color w:val="auto"/>
          <w:sz w:val="22"/>
          <w:highlight w:val="none"/>
        </w:rPr>
      </w:pPr>
      <w:r>
        <w:rPr>
          <w:rStyle w:val="248"/>
          <w:rFonts w:ascii="宋体" w:hAnsi="宋体"/>
          <w:color w:val="auto"/>
          <w:sz w:val="22"/>
          <w:highlight w:val="none"/>
        </w:rPr>
        <w:t>一、</w:t>
      </w:r>
      <w:r>
        <w:rPr>
          <w:rStyle w:val="248"/>
          <w:rFonts w:hint="eastAsia" w:ascii="宋体" w:hAnsi="宋体"/>
          <w:color w:val="auto"/>
          <w:sz w:val="22"/>
          <w:highlight w:val="none"/>
        </w:rPr>
        <w:t>服务</w:t>
      </w:r>
      <w:r>
        <w:rPr>
          <w:rStyle w:val="248"/>
          <w:rFonts w:ascii="宋体" w:hAnsi="宋体"/>
          <w:color w:val="auto"/>
          <w:sz w:val="22"/>
          <w:highlight w:val="none"/>
        </w:rPr>
        <w:t>内容及要求、</w:t>
      </w:r>
      <w:r>
        <w:rPr>
          <w:rStyle w:val="248"/>
          <w:rFonts w:hint="eastAsia" w:ascii="宋体" w:hAnsi="宋体"/>
          <w:color w:val="auto"/>
          <w:sz w:val="22"/>
          <w:highlight w:val="none"/>
        </w:rPr>
        <w:t>服务</w:t>
      </w:r>
      <w:r>
        <w:rPr>
          <w:rStyle w:val="248"/>
          <w:rFonts w:ascii="宋体" w:hAnsi="宋体"/>
          <w:color w:val="auto"/>
          <w:sz w:val="22"/>
          <w:highlight w:val="none"/>
        </w:rPr>
        <w:t>期限</w:t>
      </w:r>
    </w:p>
    <w:p>
      <w:pPr>
        <w:pStyle w:val="247"/>
        <w:widowControl/>
        <w:snapToGrid w:val="0"/>
        <w:spacing w:line="400" w:lineRule="exact"/>
        <w:ind w:firstLine="330" w:firstLineChars="150"/>
        <w:rPr>
          <w:rStyle w:val="248"/>
          <w:rFonts w:ascii="宋体" w:hAnsi="宋体"/>
          <w:color w:val="auto"/>
          <w:sz w:val="22"/>
          <w:highlight w:val="none"/>
        </w:rPr>
      </w:pPr>
      <w:r>
        <w:rPr>
          <w:rStyle w:val="248"/>
          <w:rFonts w:ascii="宋体" w:hAnsi="宋体"/>
          <w:color w:val="auto"/>
          <w:sz w:val="22"/>
          <w:highlight w:val="none"/>
        </w:rPr>
        <w:t>本项目为</w:t>
      </w:r>
      <w:r>
        <w:rPr>
          <w:rStyle w:val="248"/>
          <w:rFonts w:hint="eastAsia" w:ascii="宋体" w:hAnsi="宋体"/>
          <w:color w:val="auto"/>
          <w:sz w:val="22"/>
          <w:highlight w:val="none"/>
          <w:lang w:eastAsia="zh-CN"/>
        </w:rPr>
        <w:t>2024年茶山街道机关食堂外包运营服务</w:t>
      </w:r>
      <w:r>
        <w:rPr>
          <w:rStyle w:val="248"/>
          <w:rFonts w:ascii="宋体" w:hAnsi="宋体"/>
          <w:color w:val="auto"/>
          <w:sz w:val="22"/>
          <w:highlight w:val="none"/>
        </w:rPr>
        <w:t>，</w:t>
      </w:r>
      <w:r>
        <w:rPr>
          <w:rStyle w:val="248"/>
          <w:rFonts w:hint="eastAsia" w:ascii="宋体" w:hAnsi="宋体"/>
          <w:color w:val="auto"/>
          <w:sz w:val="22"/>
          <w:highlight w:val="none"/>
        </w:rPr>
        <w:t>服务</w:t>
      </w:r>
      <w:r>
        <w:rPr>
          <w:rStyle w:val="248"/>
          <w:rFonts w:ascii="宋体" w:hAnsi="宋体"/>
          <w:color w:val="auto"/>
          <w:sz w:val="22"/>
          <w:highlight w:val="none"/>
        </w:rPr>
        <w:t>内容及要求、</w:t>
      </w:r>
      <w:r>
        <w:rPr>
          <w:rStyle w:val="248"/>
          <w:rFonts w:hint="eastAsia" w:ascii="宋体" w:hAnsi="宋体"/>
          <w:color w:val="auto"/>
          <w:sz w:val="22"/>
          <w:highlight w:val="none"/>
        </w:rPr>
        <w:t>服务</w:t>
      </w:r>
      <w:r>
        <w:rPr>
          <w:rStyle w:val="248"/>
          <w:rFonts w:ascii="宋体" w:hAnsi="宋体"/>
          <w:color w:val="auto"/>
          <w:sz w:val="22"/>
          <w:highlight w:val="none"/>
        </w:rPr>
        <w:t>期限如下：</w:t>
      </w:r>
    </w:p>
    <w:p>
      <w:pPr>
        <w:pStyle w:val="247"/>
        <w:widowControl/>
        <w:snapToGrid w:val="0"/>
        <w:spacing w:line="400" w:lineRule="exact"/>
        <w:rPr>
          <w:rStyle w:val="248"/>
          <w:rFonts w:hint="eastAsia" w:ascii="宋体" w:hAnsi="宋体" w:eastAsia="宋体" w:cs="宋体"/>
          <w:color w:val="auto"/>
          <w:sz w:val="22"/>
          <w:highlight w:val="none"/>
        </w:rPr>
      </w:pPr>
      <w:r>
        <w:rPr>
          <w:rStyle w:val="248"/>
          <w:rFonts w:ascii="宋体" w:hAnsi="宋体"/>
          <w:color w:val="auto"/>
          <w:sz w:val="22"/>
          <w:highlight w:val="none"/>
        </w:rPr>
        <w:t>1、</w:t>
      </w:r>
      <w:r>
        <w:rPr>
          <w:rStyle w:val="248"/>
          <w:rFonts w:hint="eastAsia" w:ascii="宋体" w:hAnsi="宋体" w:eastAsia="宋体" w:cs="宋体"/>
          <w:color w:val="auto"/>
          <w:sz w:val="22"/>
          <w:highlight w:val="none"/>
        </w:rPr>
        <w:t>服务</w:t>
      </w:r>
      <w:r>
        <w:rPr>
          <w:rStyle w:val="248"/>
          <w:rFonts w:ascii="宋体" w:hAnsi="宋体" w:eastAsia="宋体" w:cs="宋体"/>
          <w:color w:val="auto"/>
          <w:sz w:val="22"/>
          <w:highlight w:val="none"/>
        </w:rPr>
        <w:t>方式及内容：</w:t>
      </w:r>
      <w:r>
        <w:rPr>
          <w:rStyle w:val="248"/>
          <w:rFonts w:hint="eastAsia" w:ascii="宋体" w:hAnsi="宋体" w:eastAsia="宋体" w:cs="宋体"/>
          <w:color w:val="auto"/>
          <w:sz w:val="22"/>
          <w:highlight w:val="none"/>
        </w:rPr>
        <w:t>本项目采购内容包括</w:t>
      </w:r>
      <w:r>
        <w:rPr>
          <w:rStyle w:val="248"/>
          <w:rFonts w:hint="eastAsia" w:ascii="宋体" w:hAnsi="宋体" w:cs="宋体"/>
          <w:color w:val="auto"/>
          <w:sz w:val="22"/>
          <w:highlight w:val="none"/>
          <w:lang w:eastAsia="zh-CN"/>
        </w:rPr>
        <w:t>2024年茶山街道机关食堂外包运营服务</w:t>
      </w:r>
      <w:r>
        <w:rPr>
          <w:rStyle w:val="248"/>
          <w:rFonts w:hint="eastAsia" w:ascii="宋体" w:hAnsi="宋体" w:eastAsia="宋体" w:cs="宋体"/>
          <w:color w:val="auto"/>
          <w:sz w:val="22"/>
          <w:highlight w:val="none"/>
        </w:rPr>
        <w:t>，</w:t>
      </w:r>
      <w:r>
        <w:rPr>
          <w:rFonts w:hint="eastAsia" w:ascii="宋体" w:hAnsi="宋体" w:eastAsia="宋体" w:cs="宋体"/>
          <w:b/>
          <w:bCs/>
          <w:color w:val="auto"/>
          <w:sz w:val="22"/>
          <w:szCs w:val="22"/>
          <w:highlight w:val="none"/>
          <w:u w:val="single"/>
          <w:lang w:val="en-US" w:eastAsia="zh-CN"/>
        </w:rPr>
        <w:t>包括完成</w:t>
      </w:r>
      <w:r>
        <w:rPr>
          <w:rFonts w:hint="eastAsia" w:ascii="宋体" w:hAnsi="宋体" w:eastAsia="宋体" w:cs="宋体"/>
          <w:b/>
          <w:bCs/>
          <w:color w:val="auto"/>
          <w:sz w:val="22"/>
          <w:szCs w:val="22"/>
          <w:highlight w:val="none"/>
          <w:u w:val="single"/>
        </w:rPr>
        <w:t>本项目服务</w:t>
      </w:r>
      <w:r>
        <w:rPr>
          <w:rFonts w:hint="eastAsia" w:ascii="宋体" w:hAnsi="宋体" w:eastAsia="宋体" w:cs="宋体"/>
          <w:b/>
          <w:bCs/>
          <w:color w:val="auto"/>
          <w:sz w:val="22"/>
          <w:szCs w:val="22"/>
          <w:highlight w:val="none"/>
          <w:u w:val="single"/>
          <w:lang w:val="en-US" w:eastAsia="zh-CN"/>
        </w:rPr>
        <w:t>各项内容可能发生的全部费用及乙方的利润和应交纳的税金等</w:t>
      </w:r>
      <w:r>
        <w:rPr>
          <w:rFonts w:hint="eastAsia" w:ascii="宋体" w:hAnsi="宋体" w:eastAsia="宋体" w:cs="宋体"/>
          <w:b/>
          <w:bCs/>
          <w:color w:val="auto"/>
          <w:sz w:val="22"/>
          <w:szCs w:val="22"/>
          <w:highlight w:val="none"/>
          <w:u w:val="single"/>
        </w:rPr>
        <w:t>（包括</w:t>
      </w:r>
      <w:r>
        <w:rPr>
          <w:rFonts w:hint="eastAsia" w:ascii="宋体" w:hAnsi="宋体" w:eastAsia="宋体" w:cs="宋体"/>
          <w:b/>
          <w:bCs/>
          <w:color w:val="auto"/>
          <w:sz w:val="22"/>
          <w:szCs w:val="22"/>
          <w:highlight w:val="none"/>
          <w:u w:val="single"/>
          <w:lang w:val="en-US" w:eastAsia="zh-CN"/>
        </w:rPr>
        <w:t>街道</w:t>
      </w:r>
      <w:r>
        <w:rPr>
          <w:rFonts w:hint="eastAsia" w:ascii="宋体" w:hAnsi="宋体" w:eastAsia="宋体" w:cs="宋体"/>
          <w:b/>
          <w:bCs/>
          <w:color w:val="auto"/>
          <w:sz w:val="22"/>
          <w:szCs w:val="22"/>
          <w:highlight w:val="none"/>
          <w:u w:val="single"/>
          <w:lang w:eastAsia="zh-CN"/>
        </w:rPr>
        <w:t>食堂的每日用餐所需的食品及原材料的</w:t>
      </w:r>
      <w:r>
        <w:rPr>
          <w:rFonts w:hint="eastAsia" w:ascii="宋体" w:hAnsi="宋体" w:eastAsia="宋体" w:cs="宋体"/>
          <w:b/>
          <w:bCs/>
          <w:color w:val="auto"/>
          <w:sz w:val="22"/>
          <w:szCs w:val="22"/>
          <w:highlight w:val="none"/>
          <w:u w:val="single"/>
          <w:lang w:val="en-US" w:eastAsia="zh-CN"/>
        </w:rPr>
        <w:t>采购、</w:t>
      </w:r>
      <w:r>
        <w:rPr>
          <w:rFonts w:hint="eastAsia" w:ascii="宋体" w:hAnsi="宋体" w:eastAsia="宋体" w:cs="宋体"/>
          <w:b/>
          <w:bCs/>
          <w:color w:val="auto"/>
          <w:sz w:val="22"/>
          <w:szCs w:val="22"/>
          <w:highlight w:val="none"/>
          <w:u w:val="single"/>
          <w:lang w:eastAsia="zh-CN"/>
        </w:rPr>
        <w:t>验收、管理、食品存储、食品加工、配售、食堂内保洁服务、餐具卫生消毒及采购人要求的其他相关服务内容等所有食堂所需的服务工作，</w:t>
      </w:r>
      <w:r>
        <w:rPr>
          <w:rFonts w:hint="eastAsia" w:ascii="宋体" w:hAnsi="宋体" w:eastAsia="宋体" w:cs="宋体"/>
          <w:b/>
          <w:bCs/>
          <w:color w:val="auto"/>
          <w:sz w:val="22"/>
          <w:szCs w:val="22"/>
          <w:highlight w:val="none"/>
          <w:u w:val="single"/>
        </w:rPr>
        <w:t>人员工资、《劳动合同法》规定的各种社会保险费、培训费、人员福利、人员食宿费、</w:t>
      </w:r>
      <w:r>
        <w:rPr>
          <w:rFonts w:hint="eastAsia" w:ascii="宋体" w:hAnsi="宋体" w:eastAsia="宋体" w:cs="宋体"/>
          <w:b/>
          <w:bCs/>
          <w:color w:val="auto"/>
          <w:sz w:val="22"/>
          <w:szCs w:val="22"/>
          <w:highlight w:val="none"/>
          <w:u w:val="single"/>
          <w:lang w:eastAsia="zh-CN"/>
        </w:rPr>
        <w:t>节假日加班费、体检费、交通、运输费、</w:t>
      </w:r>
      <w:r>
        <w:rPr>
          <w:rFonts w:hint="eastAsia" w:ascii="宋体" w:hAnsi="宋体" w:eastAsia="宋体" w:cs="宋体"/>
          <w:b/>
          <w:bCs/>
          <w:color w:val="auto"/>
          <w:sz w:val="22"/>
          <w:szCs w:val="22"/>
          <w:highlight w:val="none"/>
          <w:u w:val="single"/>
        </w:rPr>
        <w:t>服装费、管理费、采购代理服务费、食堂清洗、排油烟管道清洗、税金、利润等完成合同所需的一切本身和不可或缺的所有工作开支、政策性文件规定计合同包含的所有风险、责任等各项全部费用并承担一切风险责任）凡未列入的将被认为均已包含在投标</w:t>
      </w:r>
      <w:r>
        <w:rPr>
          <w:rFonts w:hint="eastAsia" w:ascii="宋体" w:hAnsi="宋体" w:eastAsia="宋体" w:cs="宋体"/>
          <w:b/>
          <w:bCs/>
          <w:color w:val="auto"/>
          <w:sz w:val="22"/>
          <w:szCs w:val="22"/>
          <w:highlight w:val="none"/>
          <w:u w:val="single"/>
          <w:lang w:val="en-US" w:eastAsia="zh-CN"/>
        </w:rPr>
        <w:t>报价</w:t>
      </w:r>
      <w:r>
        <w:rPr>
          <w:rFonts w:hint="eastAsia" w:ascii="宋体" w:hAnsi="宋体" w:eastAsia="宋体" w:cs="宋体"/>
          <w:b/>
          <w:bCs/>
          <w:color w:val="auto"/>
          <w:sz w:val="22"/>
          <w:szCs w:val="22"/>
          <w:highlight w:val="none"/>
          <w:u w:val="single"/>
        </w:rPr>
        <w:t>中，</w:t>
      </w:r>
      <w:r>
        <w:rPr>
          <w:rFonts w:hint="eastAsia" w:ascii="宋体" w:hAnsi="宋体" w:eastAsia="宋体" w:cs="Times New Roman"/>
          <w:b/>
          <w:color w:val="auto"/>
          <w:sz w:val="22"/>
          <w:szCs w:val="21"/>
          <w:highlight w:val="none"/>
          <w:u w:val="single"/>
        </w:rPr>
        <w:t>今后不得以任何理由追加或调整</w:t>
      </w:r>
      <w:r>
        <w:rPr>
          <w:rFonts w:hint="eastAsia" w:ascii="宋体" w:hAnsi="宋体" w:eastAsia="宋体" w:cs="宋体"/>
          <w:b/>
          <w:bCs/>
          <w:color w:val="auto"/>
          <w:sz w:val="22"/>
          <w:szCs w:val="22"/>
          <w:highlight w:val="none"/>
          <w:u w:val="single"/>
          <w:lang w:val="en-US" w:eastAsia="zh-CN"/>
        </w:rPr>
        <w:t>。</w:t>
      </w:r>
      <w:r>
        <w:rPr>
          <w:rStyle w:val="248"/>
          <w:rFonts w:ascii="宋体" w:hAnsi="宋体" w:eastAsia="宋体" w:cs="宋体"/>
          <w:color w:val="auto"/>
          <w:sz w:val="22"/>
          <w:highlight w:val="none"/>
        </w:rPr>
        <w:t>（甲方提供食堂设施和餐饮用具，承担食堂水电、燃料的费用）</w:t>
      </w:r>
    </w:p>
    <w:p>
      <w:pPr>
        <w:pStyle w:val="247"/>
        <w:widowControl/>
        <w:snapToGrid w:val="0"/>
        <w:spacing w:line="400" w:lineRule="exact"/>
        <w:ind w:left="330" w:hanging="330" w:hangingChars="150"/>
        <w:rPr>
          <w:rStyle w:val="248"/>
          <w:rFonts w:ascii="宋体" w:hAnsi="宋体"/>
          <w:color w:val="auto"/>
          <w:sz w:val="22"/>
          <w:highlight w:val="none"/>
        </w:rPr>
      </w:pPr>
      <w:r>
        <w:rPr>
          <w:rStyle w:val="248"/>
          <w:rFonts w:ascii="宋体" w:hAnsi="宋体"/>
          <w:color w:val="auto"/>
          <w:sz w:val="22"/>
          <w:highlight w:val="none"/>
        </w:rPr>
        <w:t>2、服务要求：</w:t>
      </w:r>
      <w:r>
        <w:rPr>
          <w:rStyle w:val="248"/>
          <w:rFonts w:hint="eastAsia" w:ascii="宋体" w:hAnsi="宋体"/>
          <w:color w:val="auto"/>
          <w:sz w:val="22"/>
          <w:highlight w:val="none"/>
          <w:lang w:val="en-US" w:eastAsia="zh-CN"/>
        </w:rPr>
        <w:t>要求</w:t>
      </w:r>
      <w:r>
        <w:rPr>
          <w:rStyle w:val="248"/>
          <w:rFonts w:ascii="宋体" w:hAnsi="宋体"/>
          <w:color w:val="auto"/>
          <w:sz w:val="22"/>
          <w:highlight w:val="none"/>
        </w:rPr>
        <w:t>达到</w:t>
      </w:r>
      <w:r>
        <w:rPr>
          <w:rStyle w:val="248"/>
          <w:rFonts w:hint="eastAsia" w:ascii="宋体" w:hAnsi="宋体"/>
          <w:color w:val="auto"/>
          <w:sz w:val="22"/>
          <w:highlight w:val="none"/>
          <w:lang w:val="en-US" w:eastAsia="zh-CN"/>
        </w:rPr>
        <w:t>温州市</w:t>
      </w:r>
      <w:r>
        <w:rPr>
          <w:rStyle w:val="248"/>
          <w:rFonts w:hint="eastAsia" w:ascii="宋体" w:hAnsi="宋体"/>
          <w:color w:val="auto"/>
          <w:sz w:val="22"/>
          <w:highlight w:val="none"/>
        </w:rPr>
        <w:t>机关食堂</w:t>
      </w:r>
      <w:r>
        <w:rPr>
          <w:rStyle w:val="248"/>
          <w:rFonts w:ascii="宋体" w:hAnsi="宋体"/>
          <w:color w:val="auto"/>
          <w:sz w:val="22"/>
          <w:highlight w:val="none"/>
        </w:rPr>
        <w:t>服务</w:t>
      </w:r>
      <w:r>
        <w:rPr>
          <w:rStyle w:val="248"/>
          <w:rFonts w:hint="eastAsia" w:ascii="宋体" w:hAnsi="宋体"/>
          <w:color w:val="auto"/>
          <w:sz w:val="22"/>
          <w:highlight w:val="none"/>
          <w:lang w:val="en-US" w:eastAsia="zh-CN"/>
        </w:rPr>
        <w:t>相关</w:t>
      </w:r>
      <w:r>
        <w:rPr>
          <w:rStyle w:val="248"/>
          <w:rFonts w:ascii="宋体" w:hAnsi="宋体"/>
          <w:color w:val="auto"/>
          <w:sz w:val="22"/>
          <w:highlight w:val="none"/>
        </w:rPr>
        <w:t>标准，</w:t>
      </w:r>
      <w:r>
        <w:rPr>
          <w:rStyle w:val="248"/>
          <w:rFonts w:hint="eastAsia" w:ascii="宋体" w:hAnsi="宋体" w:eastAsia="宋体" w:cs="宋体"/>
          <w:color w:val="auto"/>
          <w:sz w:val="22"/>
          <w:highlight w:val="none"/>
        </w:rPr>
        <w:t>乙方必须每月向甲方上报一次餐饮收支台帐</w:t>
      </w:r>
      <w:r>
        <w:rPr>
          <w:rStyle w:val="248"/>
          <w:rFonts w:ascii="宋体" w:hAnsi="宋体"/>
          <w:color w:val="auto"/>
          <w:sz w:val="22"/>
          <w:highlight w:val="none"/>
        </w:rPr>
        <w:t>。</w:t>
      </w:r>
    </w:p>
    <w:p>
      <w:pPr>
        <w:pStyle w:val="247"/>
        <w:widowControl/>
        <w:snapToGrid w:val="0"/>
        <w:spacing w:line="400" w:lineRule="exact"/>
        <w:ind w:left="330" w:hanging="330" w:hangingChars="150"/>
        <w:rPr>
          <w:rStyle w:val="248"/>
          <w:rFonts w:ascii="宋体" w:hAnsi="宋体" w:cs="Times New Roman"/>
          <w:b/>
          <w:bCs/>
          <w:color w:val="auto"/>
          <w:sz w:val="22"/>
          <w:highlight w:val="none"/>
          <w:shd w:val="pct10" w:color="auto" w:fill="FFFFFF"/>
        </w:rPr>
      </w:pPr>
      <w:r>
        <w:rPr>
          <w:rStyle w:val="248"/>
          <w:rFonts w:ascii="宋体" w:hAnsi="宋体"/>
          <w:color w:val="auto"/>
          <w:sz w:val="22"/>
          <w:highlight w:val="none"/>
        </w:rPr>
        <w:t>3、</w:t>
      </w:r>
      <w:r>
        <w:rPr>
          <w:rStyle w:val="248"/>
          <w:rFonts w:hint="eastAsia" w:ascii="宋体" w:hAnsi="宋体"/>
          <w:color w:val="auto"/>
          <w:sz w:val="22"/>
          <w:highlight w:val="none"/>
        </w:rPr>
        <w:t>服务</w:t>
      </w:r>
      <w:r>
        <w:rPr>
          <w:rStyle w:val="248"/>
          <w:rFonts w:ascii="宋体" w:hAnsi="宋体"/>
          <w:color w:val="auto"/>
          <w:sz w:val="22"/>
          <w:highlight w:val="none"/>
        </w:rPr>
        <w:t>期：本次采购服务期</w:t>
      </w:r>
      <w:r>
        <w:rPr>
          <w:rStyle w:val="248"/>
          <w:rFonts w:hint="eastAsia" w:ascii="宋体" w:hAnsi="宋体"/>
          <w:color w:val="auto"/>
          <w:sz w:val="22"/>
          <w:highlight w:val="none"/>
          <w:lang w:val="en-US"/>
        </w:rPr>
        <w:t>1年</w:t>
      </w:r>
      <w:r>
        <w:rPr>
          <w:rStyle w:val="248"/>
          <w:rFonts w:ascii="宋体" w:hAnsi="宋体"/>
          <w:color w:val="auto"/>
          <w:sz w:val="22"/>
          <w:highlight w:val="none"/>
        </w:rPr>
        <w:t>，在</w:t>
      </w:r>
      <w:r>
        <w:rPr>
          <w:rStyle w:val="248"/>
          <w:rFonts w:hint="eastAsia" w:ascii="宋体" w:hAnsi="宋体"/>
          <w:color w:val="auto"/>
          <w:sz w:val="22"/>
          <w:highlight w:val="none"/>
        </w:rPr>
        <w:t>服务</w:t>
      </w:r>
      <w:r>
        <w:rPr>
          <w:rStyle w:val="248"/>
          <w:rFonts w:ascii="宋体" w:hAnsi="宋体"/>
          <w:color w:val="auto"/>
          <w:sz w:val="22"/>
          <w:highlight w:val="none"/>
        </w:rPr>
        <w:t>期内，乙方</w:t>
      </w:r>
      <w:r>
        <w:rPr>
          <w:rStyle w:val="248"/>
          <w:rFonts w:hint="eastAsia" w:ascii="宋体" w:hAnsi="宋体"/>
          <w:color w:val="auto"/>
          <w:sz w:val="22"/>
          <w:highlight w:val="none"/>
        </w:rPr>
        <w:t>应</w:t>
      </w:r>
      <w:r>
        <w:rPr>
          <w:rStyle w:val="248"/>
          <w:rFonts w:ascii="宋体" w:hAnsi="宋体"/>
          <w:color w:val="auto"/>
          <w:sz w:val="22"/>
          <w:highlight w:val="none"/>
        </w:rPr>
        <w:t>未有违反合同的行为发生，并根据考核办法（考核办法附后），年度考核达到85分以上的，</w:t>
      </w:r>
      <w:r>
        <w:rPr>
          <w:rStyle w:val="248"/>
          <w:rFonts w:hint="eastAsia" w:ascii="宋体" w:hAnsi="宋体"/>
          <w:color w:val="auto"/>
          <w:sz w:val="22"/>
          <w:highlight w:val="none"/>
        </w:rPr>
        <w:t>否者甲方有权单方面解除合同。</w:t>
      </w:r>
    </w:p>
    <w:p>
      <w:pPr>
        <w:pStyle w:val="249"/>
        <w:widowControl/>
        <w:snapToGrid w:val="0"/>
        <w:spacing w:line="450" w:lineRule="exact"/>
        <w:ind w:firstLine="440" w:firstLineChars="200"/>
        <w:rPr>
          <w:rStyle w:val="248"/>
          <w:rFonts w:ascii="宋体" w:hAnsi="宋体" w:eastAsia="宋体"/>
          <w:b w:val="0"/>
          <w:color w:val="auto"/>
          <w:sz w:val="22"/>
          <w:highlight w:val="none"/>
        </w:rPr>
      </w:pPr>
      <w:r>
        <w:rPr>
          <w:rStyle w:val="248"/>
          <w:rFonts w:hint="eastAsia" w:ascii="宋体" w:hAnsi="宋体" w:eastAsia="宋体"/>
          <w:b w:val="0"/>
          <w:bCs w:val="0"/>
          <w:color w:val="auto"/>
          <w:sz w:val="22"/>
          <w:highlight w:val="none"/>
        </w:rPr>
        <w:t>壹</w:t>
      </w:r>
      <w:r>
        <w:rPr>
          <w:rStyle w:val="248"/>
          <w:rFonts w:ascii="宋体" w:hAnsi="宋体" w:eastAsia="宋体"/>
          <w:b w:val="0"/>
          <w:bCs w:val="0"/>
          <w:color w:val="auto"/>
          <w:sz w:val="22"/>
          <w:highlight w:val="none"/>
        </w:rPr>
        <w:t>年合同有效时间：</w:t>
      </w:r>
      <w:r>
        <w:rPr>
          <w:rStyle w:val="248"/>
          <w:rFonts w:ascii="宋体" w:hAnsi="宋体" w:eastAsia="宋体"/>
          <w:b w:val="0"/>
          <w:color w:val="auto"/>
          <w:sz w:val="22"/>
          <w:highlight w:val="none"/>
          <w:u w:val="single"/>
        </w:rPr>
        <w:t xml:space="preserve">  </w:t>
      </w:r>
      <w:r>
        <w:rPr>
          <w:rStyle w:val="248"/>
          <w:rFonts w:hint="eastAsia" w:ascii="宋体" w:hAnsi="宋体" w:eastAsia="宋体"/>
          <w:b w:val="0"/>
          <w:color w:val="auto"/>
          <w:sz w:val="22"/>
          <w:highlight w:val="none"/>
          <w:u w:val="single"/>
        </w:rPr>
        <w:t>20</w:t>
      </w:r>
      <w:r>
        <w:rPr>
          <w:rStyle w:val="248"/>
          <w:rFonts w:hint="eastAsia" w:hAnsi="宋体" w:eastAsia="宋体"/>
          <w:b w:val="0"/>
          <w:color w:val="auto"/>
          <w:sz w:val="22"/>
          <w:highlight w:val="none"/>
          <w:u w:val="single"/>
          <w:lang w:val="en-US"/>
        </w:rPr>
        <w:t xml:space="preserve"> </w:t>
      </w:r>
      <w:r>
        <w:rPr>
          <w:rStyle w:val="248"/>
          <w:rFonts w:hint="eastAsia" w:ascii="宋体" w:hAnsi="宋体" w:eastAsia="宋体"/>
          <w:b w:val="0"/>
          <w:color w:val="auto"/>
          <w:sz w:val="22"/>
          <w:highlight w:val="none"/>
          <w:u w:val="single"/>
        </w:rPr>
        <w:t xml:space="preserve"> </w:t>
      </w:r>
      <w:r>
        <w:rPr>
          <w:rStyle w:val="248"/>
          <w:rFonts w:ascii="宋体" w:hAnsi="宋体" w:eastAsia="宋体"/>
          <w:b w:val="0"/>
          <w:color w:val="auto"/>
          <w:sz w:val="22"/>
          <w:highlight w:val="none"/>
          <w:u w:val="single"/>
        </w:rPr>
        <w:t xml:space="preserve">  </w:t>
      </w:r>
      <w:r>
        <w:rPr>
          <w:rStyle w:val="248"/>
          <w:rFonts w:ascii="宋体" w:hAnsi="宋体" w:eastAsia="宋体"/>
          <w:b w:val="0"/>
          <w:color w:val="auto"/>
          <w:sz w:val="22"/>
          <w:highlight w:val="none"/>
        </w:rPr>
        <w:t>年</w:t>
      </w:r>
      <w:r>
        <w:rPr>
          <w:rStyle w:val="248"/>
          <w:rFonts w:ascii="宋体" w:hAnsi="宋体" w:eastAsia="宋体"/>
          <w:b w:val="0"/>
          <w:color w:val="auto"/>
          <w:sz w:val="22"/>
          <w:highlight w:val="none"/>
          <w:u w:val="single"/>
        </w:rPr>
        <w:t>　</w:t>
      </w:r>
      <w:r>
        <w:rPr>
          <w:rStyle w:val="248"/>
          <w:rFonts w:hint="eastAsia" w:ascii="宋体" w:hAnsi="宋体" w:eastAsia="宋体"/>
          <w:b w:val="0"/>
          <w:color w:val="auto"/>
          <w:sz w:val="22"/>
          <w:highlight w:val="none"/>
          <w:u w:val="single"/>
        </w:rPr>
        <w:t xml:space="preserve">  </w:t>
      </w:r>
      <w:r>
        <w:rPr>
          <w:rStyle w:val="248"/>
          <w:rFonts w:ascii="宋体" w:hAnsi="宋体" w:eastAsia="宋体"/>
          <w:b w:val="0"/>
          <w:color w:val="auto"/>
          <w:sz w:val="22"/>
          <w:highlight w:val="none"/>
          <w:u w:val="single"/>
        </w:rPr>
        <w:t xml:space="preserve"> </w:t>
      </w:r>
      <w:r>
        <w:rPr>
          <w:rStyle w:val="248"/>
          <w:rFonts w:ascii="宋体" w:hAnsi="宋体" w:eastAsia="宋体"/>
          <w:b w:val="0"/>
          <w:color w:val="auto"/>
          <w:sz w:val="22"/>
          <w:highlight w:val="none"/>
        </w:rPr>
        <w:t>月</w:t>
      </w:r>
      <w:r>
        <w:rPr>
          <w:rStyle w:val="248"/>
          <w:rFonts w:ascii="宋体" w:hAnsi="宋体" w:eastAsia="宋体"/>
          <w:b w:val="0"/>
          <w:color w:val="auto"/>
          <w:sz w:val="22"/>
          <w:highlight w:val="none"/>
          <w:u w:val="single"/>
        </w:rPr>
        <w:t>　</w:t>
      </w:r>
      <w:r>
        <w:rPr>
          <w:rStyle w:val="248"/>
          <w:rFonts w:hint="eastAsia" w:ascii="宋体" w:hAnsi="宋体" w:eastAsia="宋体"/>
          <w:b w:val="0"/>
          <w:color w:val="auto"/>
          <w:sz w:val="22"/>
          <w:highlight w:val="none"/>
          <w:u w:val="single"/>
        </w:rPr>
        <w:t xml:space="preserve">  </w:t>
      </w:r>
      <w:r>
        <w:rPr>
          <w:rStyle w:val="248"/>
          <w:rFonts w:ascii="宋体" w:hAnsi="宋体" w:eastAsia="宋体"/>
          <w:b w:val="0"/>
          <w:color w:val="auto"/>
          <w:sz w:val="22"/>
          <w:highlight w:val="none"/>
          <w:u w:val="single"/>
        </w:rPr>
        <w:t xml:space="preserve"> </w:t>
      </w:r>
      <w:r>
        <w:rPr>
          <w:rStyle w:val="248"/>
          <w:rFonts w:ascii="宋体" w:hAnsi="宋体" w:eastAsia="宋体"/>
          <w:b w:val="0"/>
          <w:color w:val="auto"/>
          <w:sz w:val="22"/>
          <w:highlight w:val="none"/>
        </w:rPr>
        <w:t>日至</w:t>
      </w:r>
      <w:r>
        <w:rPr>
          <w:rStyle w:val="248"/>
          <w:rFonts w:ascii="宋体" w:hAnsi="宋体" w:eastAsia="宋体"/>
          <w:b w:val="0"/>
          <w:color w:val="auto"/>
          <w:sz w:val="22"/>
          <w:highlight w:val="none"/>
          <w:u w:val="single"/>
        </w:rPr>
        <w:t xml:space="preserve">  </w:t>
      </w:r>
      <w:r>
        <w:rPr>
          <w:rStyle w:val="248"/>
          <w:rFonts w:hint="eastAsia" w:ascii="宋体" w:hAnsi="宋体" w:eastAsia="宋体"/>
          <w:b w:val="0"/>
          <w:color w:val="auto"/>
          <w:sz w:val="22"/>
          <w:highlight w:val="none"/>
          <w:u w:val="single"/>
        </w:rPr>
        <w:t>20</w:t>
      </w:r>
      <w:r>
        <w:rPr>
          <w:rStyle w:val="248"/>
          <w:rFonts w:hint="eastAsia" w:hAnsi="宋体" w:eastAsia="宋体"/>
          <w:b w:val="0"/>
          <w:color w:val="auto"/>
          <w:sz w:val="22"/>
          <w:highlight w:val="none"/>
          <w:u w:val="single"/>
          <w:lang w:val="en-US"/>
        </w:rPr>
        <w:t xml:space="preserve"> </w:t>
      </w:r>
      <w:r>
        <w:rPr>
          <w:rStyle w:val="248"/>
          <w:rFonts w:ascii="宋体" w:hAnsi="宋体" w:eastAsia="宋体"/>
          <w:b w:val="0"/>
          <w:color w:val="auto"/>
          <w:sz w:val="22"/>
          <w:highlight w:val="none"/>
          <w:u w:val="single"/>
        </w:rPr>
        <w:t xml:space="preserve">  </w:t>
      </w:r>
      <w:r>
        <w:rPr>
          <w:rStyle w:val="248"/>
          <w:rFonts w:ascii="宋体" w:hAnsi="宋体" w:eastAsia="宋体"/>
          <w:b w:val="0"/>
          <w:color w:val="auto"/>
          <w:sz w:val="22"/>
          <w:highlight w:val="none"/>
        </w:rPr>
        <w:t>年</w:t>
      </w:r>
      <w:r>
        <w:rPr>
          <w:rStyle w:val="248"/>
          <w:rFonts w:ascii="宋体" w:hAnsi="宋体" w:eastAsia="宋体"/>
          <w:b w:val="0"/>
          <w:color w:val="auto"/>
          <w:sz w:val="22"/>
          <w:highlight w:val="none"/>
          <w:u w:val="single"/>
        </w:rPr>
        <w:t>　</w:t>
      </w:r>
      <w:r>
        <w:rPr>
          <w:rStyle w:val="248"/>
          <w:rFonts w:hint="eastAsia" w:ascii="宋体" w:hAnsi="宋体" w:eastAsia="宋体"/>
          <w:b w:val="0"/>
          <w:color w:val="auto"/>
          <w:sz w:val="22"/>
          <w:highlight w:val="none"/>
          <w:u w:val="single"/>
        </w:rPr>
        <w:t xml:space="preserve">  </w:t>
      </w:r>
      <w:r>
        <w:rPr>
          <w:rStyle w:val="248"/>
          <w:rFonts w:ascii="宋体" w:hAnsi="宋体" w:eastAsia="宋体"/>
          <w:b w:val="0"/>
          <w:color w:val="auto"/>
          <w:sz w:val="22"/>
          <w:highlight w:val="none"/>
          <w:u w:val="single"/>
        </w:rPr>
        <w:t xml:space="preserve"> </w:t>
      </w:r>
      <w:r>
        <w:rPr>
          <w:rStyle w:val="248"/>
          <w:rFonts w:ascii="宋体" w:hAnsi="宋体" w:eastAsia="宋体"/>
          <w:b w:val="0"/>
          <w:color w:val="auto"/>
          <w:sz w:val="22"/>
          <w:highlight w:val="none"/>
        </w:rPr>
        <w:t>月</w:t>
      </w:r>
      <w:r>
        <w:rPr>
          <w:rStyle w:val="248"/>
          <w:rFonts w:ascii="宋体" w:hAnsi="宋体" w:eastAsia="宋体"/>
          <w:b w:val="0"/>
          <w:color w:val="auto"/>
          <w:sz w:val="22"/>
          <w:highlight w:val="none"/>
          <w:u w:val="single"/>
        </w:rPr>
        <w:t>　</w:t>
      </w:r>
      <w:r>
        <w:rPr>
          <w:rStyle w:val="248"/>
          <w:rFonts w:hint="eastAsia" w:ascii="宋体" w:hAnsi="宋体" w:eastAsia="宋体"/>
          <w:b w:val="0"/>
          <w:color w:val="auto"/>
          <w:sz w:val="22"/>
          <w:highlight w:val="none"/>
          <w:u w:val="single"/>
        </w:rPr>
        <w:t xml:space="preserve">  </w:t>
      </w:r>
      <w:r>
        <w:rPr>
          <w:rStyle w:val="248"/>
          <w:rFonts w:ascii="宋体" w:hAnsi="宋体" w:eastAsia="宋体"/>
          <w:b w:val="0"/>
          <w:color w:val="auto"/>
          <w:sz w:val="22"/>
          <w:highlight w:val="none"/>
          <w:u w:val="single"/>
        </w:rPr>
        <w:t xml:space="preserve"> </w:t>
      </w:r>
      <w:r>
        <w:rPr>
          <w:rStyle w:val="248"/>
          <w:rFonts w:ascii="宋体" w:hAnsi="宋体" w:eastAsia="宋体"/>
          <w:b w:val="0"/>
          <w:color w:val="auto"/>
          <w:sz w:val="22"/>
          <w:highlight w:val="none"/>
        </w:rPr>
        <w:t>日。</w:t>
      </w:r>
    </w:p>
    <w:p>
      <w:pPr>
        <w:pStyle w:val="247"/>
        <w:widowControl/>
        <w:snapToGrid w:val="0"/>
        <w:spacing w:line="400" w:lineRule="exact"/>
        <w:ind w:left="330" w:hanging="330" w:hangingChars="150"/>
        <w:rPr>
          <w:rStyle w:val="248"/>
          <w:rFonts w:ascii="宋体" w:hAnsi="宋体"/>
          <w:color w:val="auto"/>
          <w:sz w:val="22"/>
          <w:highlight w:val="none"/>
        </w:rPr>
      </w:pPr>
      <w:r>
        <w:rPr>
          <w:rStyle w:val="248"/>
          <w:rFonts w:ascii="宋体" w:hAnsi="宋体"/>
          <w:color w:val="auto"/>
          <w:sz w:val="22"/>
          <w:highlight w:val="none"/>
        </w:rPr>
        <w:t>4、乙方必须在合同签订后</w:t>
      </w:r>
      <w:r>
        <w:rPr>
          <w:rStyle w:val="248"/>
          <w:rFonts w:ascii="宋体" w:hAnsi="宋体"/>
          <w:color w:val="auto"/>
          <w:sz w:val="22"/>
          <w:highlight w:val="none"/>
          <w:u w:val="single"/>
        </w:rPr>
        <w:t xml:space="preserve"> 15 </w:t>
      </w:r>
      <w:r>
        <w:rPr>
          <w:rStyle w:val="248"/>
          <w:rFonts w:ascii="宋体" w:hAnsi="宋体"/>
          <w:color w:val="auto"/>
          <w:sz w:val="22"/>
          <w:highlight w:val="none"/>
        </w:rPr>
        <w:t>天内取得主管部门颁发的《餐饮服务许可证》，否则</w:t>
      </w:r>
      <w:r>
        <w:rPr>
          <w:rStyle w:val="248"/>
          <w:rFonts w:hint="eastAsia" w:ascii="宋体" w:hAnsi="宋体"/>
          <w:color w:val="auto"/>
          <w:sz w:val="22"/>
          <w:highlight w:val="none"/>
        </w:rPr>
        <w:t>甲方</w:t>
      </w:r>
      <w:r>
        <w:rPr>
          <w:rStyle w:val="248"/>
          <w:rFonts w:ascii="宋体" w:hAnsi="宋体"/>
          <w:color w:val="auto"/>
          <w:sz w:val="22"/>
          <w:highlight w:val="none"/>
        </w:rPr>
        <w:t>有权终止本合同并保留追究赔偿的责任。</w:t>
      </w:r>
    </w:p>
    <w:p>
      <w:pPr>
        <w:pStyle w:val="247"/>
        <w:widowControl/>
        <w:snapToGrid w:val="0"/>
        <w:spacing w:line="400" w:lineRule="exact"/>
        <w:ind w:left="330" w:hanging="330" w:hangingChars="150"/>
        <w:rPr>
          <w:rStyle w:val="248"/>
          <w:rFonts w:hint="eastAsia" w:ascii="宋体" w:hAnsi="宋体" w:eastAsia="宋体" w:cs="宋体"/>
          <w:color w:val="auto"/>
          <w:sz w:val="22"/>
          <w:highlight w:val="none"/>
        </w:rPr>
      </w:pPr>
      <w:r>
        <w:rPr>
          <w:rStyle w:val="248"/>
          <w:rFonts w:ascii="宋体" w:hAnsi="宋体"/>
          <w:color w:val="auto"/>
          <w:sz w:val="22"/>
          <w:highlight w:val="none"/>
        </w:rPr>
        <w:t>5、乙方工作人员统一由甲方调配、管理，甲方有权对不符合要求的服务工作人员提出更换要求；乙方以高标准、严要求的服务态度为甲方</w:t>
      </w:r>
      <w:r>
        <w:rPr>
          <w:rStyle w:val="248"/>
          <w:rFonts w:hint="eastAsia" w:ascii="宋体" w:hAnsi="宋体"/>
          <w:color w:val="auto"/>
          <w:sz w:val="22"/>
          <w:highlight w:val="none"/>
        </w:rPr>
        <w:t>的</w:t>
      </w:r>
      <w:r>
        <w:rPr>
          <w:rStyle w:val="248"/>
          <w:rFonts w:ascii="宋体" w:hAnsi="宋体"/>
          <w:color w:val="auto"/>
          <w:sz w:val="22"/>
          <w:highlight w:val="none"/>
        </w:rPr>
        <w:t>工作人员、会议用</w:t>
      </w:r>
      <w:r>
        <w:rPr>
          <w:rStyle w:val="248"/>
          <w:rFonts w:ascii="宋体" w:hAnsi="宋体" w:eastAsia="宋体" w:cs="宋体"/>
          <w:color w:val="auto"/>
          <w:sz w:val="22"/>
          <w:highlight w:val="none"/>
        </w:rPr>
        <w:t>餐及包厢的宴请就餐服务。</w:t>
      </w:r>
      <w:r>
        <w:rPr>
          <w:rStyle w:val="248"/>
          <w:rFonts w:hint="eastAsia" w:ascii="宋体" w:hAnsi="宋体" w:eastAsia="宋体" w:cs="宋体"/>
          <w:color w:val="auto"/>
          <w:sz w:val="22"/>
          <w:highlight w:val="none"/>
          <w:lang w:val="en-US"/>
        </w:rPr>
        <w:t>街道</w:t>
      </w:r>
      <w:r>
        <w:rPr>
          <w:rStyle w:val="248"/>
          <w:rFonts w:ascii="宋体" w:hAnsi="宋体" w:eastAsia="宋体" w:cs="宋体"/>
          <w:color w:val="auto"/>
          <w:sz w:val="22"/>
          <w:highlight w:val="none"/>
        </w:rPr>
        <w:t>工作人员使用甲方统一制作的就餐卡刷卡用餐，乙方不得擅自制作饭菜票或收取现金，不得对外经营。</w:t>
      </w:r>
    </w:p>
    <w:p>
      <w:pPr>
        <w:rPr>
          <w:b/>
          <w:color w:val="auto"/>
          <w:highlight w:val="none"/>
          <w:u w:val="single"/>
        </w:rPr>
      </w:pPr>
    </w:p>
    <w:p>
      <w:pPr>
        <w:pStyle w:val="247"/>
        <w:widowControl/>
        <w:snapToGrid w:val="0"/>
        <w:spacing w:line="400" w:lineRule="exact"/>
        <w:ind w:left="-1" w:leftChars="-100" w:hanging="209" w:hangingChars="95"/>
        <w:rPr>
          <w:rStyle w:val="248"/>
          <w:rFonts w:ascii="宋体" w:hAnsi="宋体"/>
          <w:b/>
          <w:color w:val="auto"/>
          <w:sz w:val="22"/>
          <w:highlight w:val="none"/>
        </w:rPr>
      </w:pPr>
      <w:r>
        <w:rPr>
          <w:rStyle w:val="248"/>
          <w:rFonts w:ascii="宋体" w:hAnsi="宋体"/>
          <w:color w:val="auto"/>
          <w:sz w:val="22"/>
          <w:highlight w:val="none"/>
        </w:rPr>
        <w:t>二、合同</w:t>
      </w:r>
      <w:r>
        <w:rPr>
          <w:rStyle w:val="248"/>
          <w:rFonts w:hint="eastAsia" w:ascii="宋体" w:hAnsi="宋体"/>
          <w:color w:val="auto"/>
          <w:sz w:val="22"/>
          <w:highlight w:val="none"/>
          <w:lang w:val="en-US"/>
        </w:rPr>
        <w:t>价格</w:t>
      </w:r>
      <w:r>
        <w:rPr>
          <w:rStyle w:val="248"/>
          <w:rFonts w:ascii="宋体" w:hAnsi="宋体"/>
          <w:color w:val="auto"/>
          <w:sz w:val="22"/>
          <w:highlight w:val="none"/>
        </w:rPr>
        <w:t>及付款方式</w:t>
      </w:r>
    </w:p>
    <w:p>
      <w:pPr>
        <w:pStyle w:val="247"/>
        <w:widowControl/>
        <w:snapToGrid w:val="0"/>
        <w:spacing w:line="400" w:lineRule="exact"/>
        <w:ind w:left="323" w:hanging="323" w:hangingChars="147"/>
        <w:rPr>
          <w:rStyle w:val="248"/>
          <w:rFonts w:hint="eastAsia" w:ascii="宋体" w:hAnsi="宋体"/>
          <w:color w:val="auto"/>
          <w:sz w:val="22"/>
          <w:highlight w:val="none"/>
        </w:rPr>
      </w:pPr>
      <w:r>
        <w:rPr>
          <w:rStyle w:val="248"/>
          <w:rFonts w:ascii="宋体" w:hAnsi="宋体"/>
          <w:color w:val="auto"/>
          <w:sz w:val="22"/>
          <w:highlight w:val="none"/>
        </w:rPr>
        <w:t>1、合同</w:t>
      </w:r>
      <w:r>
        <w:rPr>
          <w:rStyle w:val="248"/>
          <w:rFonts w:hint="eastAsia" w:ascii="宋体" w:hAnsi="宋体"/>
          <w:color w:val="auto"/>
          <w:sz w:val="22"/>
          <w:highlight w:val="none"/>
          <w:lang w:val="en-US"/>
        </w:rPr>
        <w:t>价格</w:t>
      </w:r>
      <w:r>
        <w:rPr>
          <w:rStyle w:val="248"/>
          <w:rFonts w:ascii="宋体" w:hAnsi="宋体"/>
          <w:color w:val="auto"/>
          <w:sz w:val="22"/>
          <w:highlight w:val="none"/>
        </w:rPr>
        <w:t>：</w:t>
      </w:r>
      <w:r>
        <w:rPr>
          <w:rStyle w:val="248"/>
          <w:rFonts w:hint="eastAsia" w:ascii="宋体" w:hAnsi="宋体"/>
          <w:color w:val="auto"/>
          <w:sz w:val="22"/>
          <w:highlight w:val="none"/>
          <w:lang w:val="en-US"/>
        </w:rPr>
        <w:t>1年</w:t>
      </w:r>
      <w:r>
        <w:rPr>
          <w:rStyle w:val="248"/>
          <w:rFonts w:hint="eastAsia" w:ascii="宋体" w:hAnsi="宋体"/>
          <w:color w:val="auto"/>
          <w:sz w:val="22"/>
          <w:highlight w:val="none"/>
        </w:rPr>
        <w:t>服务</w:t>
      </w:r>
      <w:r>
        <w:rPr>
          <w:rStyle w:val="248"/>
          <w:rFonts w:hint="eastAsia" w:ascii="宋体" w:hAnsi="宋体"/>
          <w:color w:val="auto"/>
          <w:sz w:val="22"/>
          <w:highlight w:val="none"/>
          <w:lang w:val="en-US" w:eastAsia="zh-CN"/>
        </w:rPr>
        <w:t>费</w:t>
      </w:r>
      <w:r>
        <w:rPr>
          <w:rStyle w:val="248"/>
          <w:rFonts w:ascii="宋体" w:hAnsi="宋体"/>
          <w:color w:val="auto"/>
          <w:sz w:val="22"/>
          <w:highlight w:val="none"/>
        </w:rPr>
        <w:t>总价</w:t>
      </w:r>
      <w:r>
        <w:rPr>
          <w:rStyle w:val="248"/>
          <w:rFonts w:hint="eastAsia" w:ascii="宋体" w:hAnsi="宋体"/>
          <w:color w:val="auto"/>
          <w:sz w:val="22"/>
          <w:highlight w:val="none"/>
          <w:u w:val="single"/>
        </w:rPr>
        <w:t xml:space="preserve"> </w:t>
      </w:r>
      <w:r>
        <w:rPr>
          <w:rStyle w:val="248"/>
          <w:rFonts w:ascii="宋体" w:hAnsi="宋体"/>
          <w:color w:val="auto"/>
          <w:sz w:val="22"/>
          <w:highlight w:val="none"/>
          <w:u w:val="single"/>
        </w:rPr>
        <w:t xml:space="preserve"> </w:t>
      </w:r>
      <w:r>
        <w:rPr>
          <w:rStyle w:val="248"/>
          <w:rFonts w:hint="eastAsia" w:ascii="宋体" w:hAnsi="宋体"/>
          <w:color w:val="auto"/>
          <w:sz w:val="22"/>
          <w:highlight w:val="none"/>
          <w:u w:val="single"/>
        </w:rPr>
        <w:t xml:space="preserve">  </w:t>
      </w:r>
      <w:r>
        <w:rPr>
          <w:rStyle w:val="248"/>
          <w:rFonts w:hint="eastAsia" w:ascii="宋体" w:hAnsi="宋体"/>
          <w:color w:val="auto"/>
          <w:sz w:val="22"/>
          <w:highlight w:val="none"/>
          <w:u w:val="single"/>
          <w:lang w:val="en-US"/>
        </w:rPr>
        <w:t xml:space="preserve">         </w:t>
      </w:r>
      <w:r>
        <w:rPr>
          <w:rStyle w:val="248"/>
          <w:rFonts w:ascii="宋体" w:hAnsi="宋体"/>
          <w:color w:val="auto"/>
          <w:sz w:val="22"/>
          <w:highlight w:val="none"/>
        </w:rPr>
        <w:t>元</w:t>
      </w:r>
      <w:r>
        <w:rPr>
          <w:rStyle w:val="248"/>
          <w:rFonts w:hint="eastAsia" w:ascii="宋体" w:hAnsi="宋体"/>
          <w:color w:val="auto"/>
          <w:sz w:val="22"/>
          <w:highlight w:val="none"/>
        </w:rPr>
        <w:t>；</w:t>
      </w:r>
    </w:p>
    <w:p>
      <w:pPr>
        <w:numPr>
          <w:ilvl w:val="0"/>
          <w:numId w:val="0"/>
        </w:numPr>
        <w:autoSpaceDE w:val="0"/>
        <w:autoSpaceDN w:val="0"/>
        <w:adjustRightInd w:val="0"/>
        <w:spacing w:line="360" w:lineRule="auto"/>
        <w:ind w:leftChars="0"/>
        <w:rPr>
          <w:rStyle w:val="248"/>
          <w:rFonts w:hint="eastAsia" w:ascii="宋体" w:hAnsi="宋体" w:eastAsia="宋体" w:cs="宋体"/>
          <w:color w:val="auto"/>
          <w:sz w:val="22"/>
          <w:highlight w:val="none"/>
        </w:rPr>
      </w:pPr>
      <w:r>
        <w:rPr>
          <w:rStyle w:val="248"/>
          <w:rFonts w:hint="eastAsia" w:ascii="宋体" w:hAnsi="宋体"/>
          <w:color w:val="auto"/>
          <w:sz w:val="22"/>
          <w:highlight w:val="none"/>
          <w:lang w:val="en-US"/>
        </w:rPr>
        <w:t>2</w:t>
      </w:r>
      <w:r>
        <w:rPr>
          <w:rStyle w:val="248"/>
          <w:rFonts w:ascii="宋体" w:hAnsi="宋体"/>
          <w:color w:val="auto"/>
          <w:sz w:val="22"/>
          <w:highlight w:val="none"/>
        </w:rPr>
        <w:t>、</w:t>
      </w:r>
      <w:r>
        <w:rPr>
          <w:rStyle w:val="248"/>
          <w:rFonts w:hint="eastAsia" w:ascii="宋体" w:hAnsi="宋体" w:eastAsia="宋体" w:cs="宋体"/>
          <w:color w:val="auto"/>
          <w:sz w:val="22"/>
          <w:highlight w:val="none"/>
        </w:rPr>
        <w:t>付款方式：</w:t>
      </w:r>
      <w:r>
        <w:rPr>
          <w:rStyle w:val="248"/>
          <w:rFonts w:hint="eastAsia" w:ascii="宋体" w:hAnsi="宋体" w:eastAsia="宋体" w:cs="宋体"/>
          <w:color w:val="auto"/>
          <w:sz w:val="22"/>
          <w:highlight w:val="none"/>
          <w:u w:val="single"/>
        </w:rPr>
        <w:t>双方合同签订后，每月根据考核结果和经双方确认的实际情况支付相应的金额，每月支付</w:t>
      </w:r>
      <w:r>
        <w:rPr>
          <w:rStyle w:val="248"/>
          <w:rFonts w:hint="eastAsia" w:ascii="宋体" w:hAnsi="宋体" w:eastAsia="宋体" w:cs="宋体"/>
          <w:color w:val="auto"/>
          <w:sz w:val="22"/>
          <w:highlight w:val="none"/>
          <w:u w:val="single"/>
          <w:lang w:val="en-US"/>
        </w:rPr>
        <w:t>上个月份产生的费用</w:t>
      </w:r>
      <w:r>
        <w:rPr>
          <w:rStyle w:val="248"/>
          <w:rFonts w:hint="eastAsia" w:ascii="宋体" w:hAnsi="宋体" w:eastAsia="宋体" w:cs="宋体"/>
          <w:color w:val="auto"/>
          <w:sz w:val="22"/>
          <w:highlight w:val="none"/>
          <w:u w:val="single"/>
        </w:rPr>
        <w:t>（中标人提供对等发票后支付）。中标供应商需提供正式发票，做为领取凭证。</w:t>
      </w:r>
    </w:p>
    <w:p>
      <w:pPr>
        <w:pStyle w:val="247"/>
        <w:widowControl/>
        <w:snapToGrid w:val="0"/>
        <w:spacing w:line="400" w:lineRule="exact"/>
        <w:rPr>
          <w:rStyle w:val="248"/>
          <w:rFonts w:ascii="宋体" w:hAnsi="宋体"/>
          <w:b/>
          <w:color w:val="auto"/>
          <w:sz w:val="22"/>
          <w:highlight w:val="none"/>
        </w:rPr>
      </w:pPr>
      <w:r>
        <w:rPr>
          <w:rStyle w:val="248"/>
          <w:rFonts w:ascii="宋体" w:hAnsi="宋体"/>
          <w:color w:val="auto"/>
          <w:sz w:val="22"/>
          <w:highlight w:val="none"/>
        </w:rPr>
        <w:t>三、相关人员配置</w:t>
      </w:r>
    </w:p>
    <w:p>
      <w:pPr>
        <w:pStyle w:val="247"/>
        <w:widowControl/>
        <w:snapToGrid w:val="0"/>
        <w:spacing w:line="400" w:lineRule="exact"/>
        <w:ind w:left="330" w:hanging="330" w:hangingChars="150"/>
        <w:rPr>
          <w:rStyle w:val="248"/>
          <w:rFonts w:hint="eastAsia" w:ascii="宋体" w:hAnsi="宋体" w:eastAsia="宋体" w:cs="宋体"/>
          <w:color w:val="auto"/>
          <w:sz w:val="22"/>
          <w:highlight w:val="none"/>
        </w:rPr>
      </w:pPr>
      <w:r>
        <w:rPr>
          <w:rStyle w:val="248"/>
          <w:rFonts w:hint="eastAsia" w:ascii="宋体" w:hAnsi="宋体" w:eastAsia="宋体" w:cs="宋体"/>
          <w:color w:val="auto"/>
          <w:sz w:val="22"/>
          <w:highlight w:val="none"/>
        </w:rPr>
        <w:t>1、厨师配备要求：聘请的厨师</w:t>
      </w:r>
      <w:r>
        <w:rPr>
          <w:rStyle w:val="248"/>
          <w:rFonts w:hint="eastAsia" w:ascii="宋体" w:hAnsi="宋体" w:eastAsia="宋体" w:cs="宋体"/>
          <w:color w:val="auto"/>
          <w:sz w:val="22"/>
          <w:highlight w:val="none"/>
          <w:lang w:val="en-US"/>
        </w:rPr>
        <w:t>必须</w:t>
      </w:r>
      <w:r>
        <w:rPr>
          <w:rStyle w:val="248"/>
          <w:rFonts w:hint="eastAsia" w:ascii="宋体" w:hAnsi="宋体" w:eastAsia="宋体" w:cs="宋体"/>
          <w:color w:val="auto"/>
          <w:sz w:val="22"/>
          <w:highlight w:val="none"/>
        </w:rPr>
        <w:t>能烧大锅菜，有街道食堂</w:t>
      </w:r>
      <w:r>
        <w:rPr>
          <w:rStyle w:val="248"/>
          <w:rFonts w:hint="eastAsia" w:ascii="宋体" w:hAnsi="宋体" w:eastAsia="宋体" w:cs="宋体"/>
          <w:color w:val="auto"/>
          <w:sz w:val="22"/>
          <w:highlight w:val="none"/>
          <w:lang w:val="en-US"/>
        </w:rPr>
        <w:t>、企业</w:t>
      </w:r>
      <w:r>
        <w:rPr>
          <w:rStyle w:val="248"/>
          <w:rFonts w:hint="eastAsia" w:ascii="宋体" w:hAnsi="宋体" w:eastAsia="宋体" w:cs="宋体"/>
          <w:color w:val="auto"/>
          <w:sz w:val="22"/>
          <w:highlight w:val="none"/>
        </w:rPr>
        <w:t>食堂</w:t>
      </w:r>
      <w:r>
        <w:rPr>
          <w:rStyle w:val="248"/>
          <w:rFonts w:hint="eastAsia" w:ascii="宋体" w:hAnsi="宋体" w:eastAsia="宋体" w:cs="宋体"/>
          <w:color w:val="auto"/>
          <w:sz w:val="22"/>
          <w:highlight w:val="none"/>
          <w:lang w:val="en-US"/>
        </w:rPr>
        <w:t>或机关单位食堂</w:t>
      </w:r>
      <w:r>
        <w:rPr>
          <w:rStyle w:val="248"/>
          <w:rFonts w:hint="eastAsia" w:ascii="宋体" w:hAnsi="宋体" w:eastAsia="宋体" w:cs="宋体"/>
          <w:color w:val="auto"/>
          <w:sz w:val="22"/>
          <w:highlight w:val="none"/>
        </w:rPr>
        <w:t>工作经验的厨师，</w:t>
      </w:r>
      <w:r>
        <w:rPr>
          <w:rStyle w:val="248"/>
          <w:rFonts w:hint="eastAsia" w:ascii="宋体" w:hAnsi="宋体" w:eastAsia="宋体" w:cs="宋体"/>
          <w:color w:val="auto"/>
          <w:sz w:val="22"/>
          <w:highlight w:val="none"/>
          <w:lang w:val="en-US"/>
        </w:rPr>
        <w:t>主厨建议持有厨</w:t>
      </w:r>
      <w:r>
        <w:rPr>
          <w:rStyle w:val="248"/>
          <w:rFonts w:hint="eastAsia" w:ascii="宋体" w:hAnsi="宋体" w:eastAsia="宋体" w:cs="宋体"/>
          <w:color w:val="auto"/>
          <w:sz w:val="22"/>
          <w:highlight w:val="none"/>
        </w:rPr>
        <w:t>师资格证书。</w:t>
      </w:r>
    </w:p>
    <w:p>
      <w:pPr>
        <w:pStyle w:val="247"/>
        <w:widowControl/>
        <w:snapToGrid w:val="0"/>
        <w:spacing w:line="400" w:lineRule="exact"/>
        <w:ind w:left="330" w:hanging="330" w:hangingChars="150"/>
        <w:rPr>
          <w:rStyle w:val="248"/>
          <w:rFonts w:hint="eastAsia" w:ascii="宋体" w:hAnsi="宋体" w:eastAsia="宋体" w:cs="宋体"/>
          <w:color w:val="auto"/>
          <w:sz w:val="22"/>
          <w:highlight w:val="none"/>
          <w:lang w:val="en-US" w:eastAsia="zh-CN"/>
        </w:rPr>
      </w:pPr>
      <w:r>
        <w:rPr>
          <w:rStyle w:val="248"/>
          <w:rFonts w:hint="eastAsia" w:ascii="宋体" w:hAnsi="宋体" w:eastAsia="宋体" w:cs="宋体"/>
          <w:color w:val="auto"/>
          <w:sz w:val="22"/>
          <w:highlight w:val="none"/>
        </w:rPr>
        <w:t>2、</w:t>
      </w:r>
      <w:r>
        <w:rPr>
          <w:rStyle w:val="248"/>
          <w:rFonts w:hint="eastAsia" w:ascii="宋体" w:hAnsi="宋体" w:eastAsia="宋体" w:cs="宋体"/>
          <w:color w:val="auto"/>
          <w:sz w:val="22"/>
          <w:highlight w:val="none"/>
          <w:lang w:val="en-US" w:eastAsia="zh-CN"/>
        </w:rPr>
        <w:t>食堂服务人员：5位食堂服务人员，主要负责面点准备和制作及其它服务员所需的各项服务工作。</w:t>
      </w:r>
    </w:p>
    <w:p>
      <w:pPr>
        <w:pStyle w:val="247"/>
        <w:widowControl/>
        <w:snapToGrid w:val="0"/>
        <w:spacing w:line="400" w:lineRule="exact"/>
        <w:ind w:left="330" w:hanging="330" w:hangingChars="150"/>
        <w:rPr>
          <w:rStyle w:val="248"/>
          <w:rFonts w:hint="eastAsia" w:ascii="宋体" w:hAnsi="宋体" w:eastAsia="宋体" w:cs="宋体"/>
          <w:color w:val="auto"/>
          <w:sz w:val="22"/>
          <w:highlight w:val="none"/>
        </w:rPr>
      </w:pPr>
      <w:r>
        <w:rPr>
          <w:rStyle w:val="248"/>
          <w:rFonts w:hint="eastAsia" w:ascii="宋体" w:hAnsi="宋体" w:eastAsia="宋体" w:cs="宋体"/>
          <w:color w:val="auto"/>
          <w:sz w:val="22"/>
          <w:highlight w:val="none"/>
          <w:lang w:val="en-US"/>
        </w:rPr>
        <w:t>3</w:t>
      </w:r>
      <w:r>
        <w:rPr>
          <w:rStyle w:val="248"/>
          <w:rFonts w:hint="eastAsia" w:ascii="宋体" w:hAnsi="宋体" w:eastAsia="宋体" w:cs="宋体"/>
          <w:color w:val="auto"/>
          <w:sz w:val="22"/>
          <w:highlight w:val="none"/>
        </w:rPr>
        <w:t>、食堂以及人员配置表（乙方实际人员不得少于7人，如甲方认为具体岗位人员配置不合理需要变动，乙方应积极配合，不得拒绝）</w:t>
      </w:r>
    </w:p>
    <w:tbl>
      <w:tblPr>
        <w:tblStyle w:val="38"/>
        <w:tblpPr w:leftFromText="180" w:rightFromText="180" w:vertAnchor="text" w:horzAnchor="page" w:tblpX="1398" w:tblpY="528"/>
        <w:tblOverlap w:val="never"/>
        <w:tblW w:w="9140" w:type="dxa"/>
        <w:tblInd w:w="-1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89"/>
        <w:gridCol w:w="1509"/>
        <w:gridCol w:w="753"/>
        <w:gridCol w:w="3792"/>
        <w:gridCol w:w="219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2" w:hRule="exact"/>
        </w:trPr>
        <w:tc>
          <w:tcPr>
            <w:tcW w:w="889" w:type="dxa"/>
            <w:tcBorders>
              <w:top w:val="single" w:color="000000" w:sz="12" w:space="0"/>
              <w:left w:val="single" w:color="000000" w:sz="12" w:space="0"/>
              <w:bottom w:val="single" w:color="000000" w:sz="12" w:space="0"/>
              <w:right w:val="single" w:color="000000" w:sz="6" w:space="0"/>
            </w:tcBorders>
            <w:shd w:val="clear" w:color="auto" w:fill="CCCCCC"/>
            <w:noWrap/>
            <w:vAlign w:val="center"/>
          </w:tcPr>
          <w:p>
            <w:pPr>
              <w:jc w:val="center"/>
              <w:textAlignment w:val="baseline"/>
              <w:rPr>
                <w:rStyle w:val="248"/>
                <w:rFonts w:ascii="宋体" w:hAnsi="宋体"/>
                <w:b/>
                <w:color w:val="auto"/>
                <w:sz w:val="22"/>
                <w:highlight w:val="none"/>
              </w:rPr>
            </w:pPr>
            <w:r>
              <w:rPr>
                <w:rStyle w:val="248"/>
                <w:rFonts w:ascii="宋体" w:hAnsi="宋体"/>
                <w:color w:val="auto"/>
                <w:sz w:val="22"/>
                <w:highlight w:val="none"/>
              </w:rPr>
              <w:t>组别</w:t>
            </w:r>
          </w:p>
        </w:tc>
        <w:tc>
          <w:tcPr>
            <w:tcW w:w="1509" w:type="dxa"/>
            <w:tcBorders>
              <w:top w:val="single" w:color="000000" w:sz="12" w:space="0"/>
              <w:left w:val="single" w:color="000000" w:sz="6" w:space="0"/>
              <w:bottom w:val="single" w:color="000000" w:sz="12" w:space="0"/>
              <w:right w:val="single" w:color="000000" w:sz="6" w:space="0"/>
            </w:tcBorders>
            <w:shd w:val="clear" w:color="auto" w:fill="CCCCCC"/>
            <w:noWrap/>
            <w:vAlign w:val="center"/>
          </w:tcPr>
          <w:p>
            <w:pPr>
              <w:jc w:val="center"/>
              <w:textAlignment w:val="baseline"/>
              <w:rPr>
                <w:rStyle w:val="248"/>
                <w:rFonts w:ascii="宋体" w:hAnsi="宋体"/>
                <w:b/>
                <w:color w:val="auto"/>
                <w:sz w:val="22"/>
                <w:highlight w:val="none"/>
              </w:rPr>
            </w:pPr>
            <w:r>
              <w:rPr>
                <w:rStyle w:val="248"/>
                <w:rFonts w:ascii="宋体" w:hAnsi="宋体"/>
                <w:color w:val="auto"/>
                <w:sz w:val="22"/>
                <w:highlight w:val="none"/>
              </w:rPr>
              <w:t xml:space="preserve"> 岗位</w:t>
            </w:r>
          </w:p>
        </w:tc>
        <w:tc>
          <w:tcPr>
            <w:tcW w:w="753" w:type="dxa"/>
            <w:tcBorders>
              <w:top w:val="single" w:color="000000" w:sz="12" w:space="0"/>
              <w:left w:val="single" w:color="000000" w:sz="6" w:space="0"/>
              <w:bottom w:val="single" w:color="000000" w:sz="12" w:space="0"/>
              <w:right w:val="single" w:color="000000" w:sz="6" w:space="0"/>
            </w:tcBorders>
            <w:shd w:val="clear" w:color="auto" w:fill="CCCCCC"/>
            <w:noWrap/>
            <w:vAlign w:val="center"/>
          </w:tcPr>
          <w:p>
            <w:pPr>
              <w:jc w:val="center"/>
              <w:textAlignment w:val="baseline"/>
              <w:rPr>
                <w:rStyle w:val="248"/>
                <w:rFonts w:ascii="宋体" w:hAnsi="宋体"/>
                <w:b/>
                <w:color w:val="auto"/>
                <w:sz w:val="22"/>
                <w:highlight w:val="none"/>
              </w:rPr>
            </w:pPr>
            <w:r>
              <w:rPr>
                <w:rStyle w:val="248"/>
                <w:rFonts w:ascii="宋体" w:hAnsi="宋体"/>
                <w:color w:val="auto"/>
                <w:sz w:val="22"/>
                <w:highlight w:val="none"/>
              </w:rPr>
              <w:t>人数</w:t>
            </w:r>
          </w:p>
        </w:tc>
        <w:tc>
          <w:tcPr>
            <w:tcW w:w="3792" w:type="dxa"/>
            <w:tcBorders>
              <w:top w:val="single" w:color="000000" w:sz="12" w:space="0"/>
              <w:left w:val="single" w:color="000000" w:sz="6" w:space="0"/>
              <w:bottom w:val="single" w:color="000000" w:sz="12" w:space="0"/>
              <w:right w:val="single" w:color="000000" w:sz="6" w:space="0"/>
            </w:tcBorders>
            <w:shd w:val="clear" w:color="auto" w:fill="CCCCCC"/>
            <w:noWrap/>
            <w:vAlign w:val="center"/>
          </w:tcPr>
          <w:p>
            <w:pPr>
              <w:jc w:val="center"/>
              <w:textAlignment w:val="baseline"/>
              <w:rPr>
                <w:rStyle w:val="248"/>
                <w:rFonts w:ascii="宋体" w:hAnsi="宋体"/>
                <w:b/>
                <w:color w:val="auto"/>
                <w:sz w:val="22"/>
                <w:highlight w:val="none"/>
              </w:rPr>
            </w:pPr>
            <w:r>
              <w:rPr>
                <w:rStyle w:val="248"/>
                <w:rFonts w:ascii="宋体" w:hAnsi="宋体"/>
                <w:color w:val="auto"/>
                <w:sz w:val="22"/>
                <w:highlight w:val="none"/>
              </w:rPr>
              <w:t>现 场 承 担 工 作</w:t>
            </w:r>
          </w:p>
        </w:tc>
        <w:tc>
          <w:tcPr>
            <w:tcW w:w="2197" w:type="dxa"/>
            <w:tcBorders>
              <w:top w:val="single" w:color="000000" w:sz="12" w:space="0"/>
              <w:left w:val="single" w:color="000000" w:sz="4" w:space="0"/>
              <w:bottom w:val="single" w:color="000000" w:sz="12" w:space="0"/>
              <w:right w:val="single" w:color="000000" w:sz="12" w:space="0"/>
            </w:tcBorders>
            <w:shd w:val="clear" w:color="auto" w:fill="CCCCCC"/>
            <w:noWrap/>
            <w:vAlign w:val="center"/>
          </w:tcPr>
          <w:p>
            <w:pPr>
              <w:jc w:val="center"/>
              <w:textAlignment w:val="baseline"/>
              <w:rPr>
                <w:rStyle w:val="248"/>
                <w:rFonts w:ascii="宋体" w:hAnsi="宋体"/>
                <w:b/>
                <w:color w:val="auto"/>
                <w:sz w:val="22"/>
                <w:highlight w:val="none"/>
              </w:rPr>
            </w:pPr>
            <w:r>
              <w:rPr>
                <w:rStyle w:val="248"/>
                <w:rFonts w:ascii="宋体" w:hAnsi="宋体"/>
                <w:color w:val="auto"/>
                <w:sz w:val="22"/>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743" w:hRule="exact"/>
        </w:trPr>
        <w:tc>
          <w:tcPr>
            <w:tcW w:w="889" w:type="dxa"/>
            <w:vMerge w:val="restart"/>
            <w:tcBorders>
              <w:top w:val="single" w:color="000000" w:sz="6" w:space="0"/>
              <w:left w:val="single" w:color="000000" w:sz="12" w:space="0"/>
              <w:bottom w:val="single" w:color="000000" w:sz="6" w:space="0"/>
              <w:right w:val="single" w:color="000000" w:sz="6" w:space="0"/>
            </w:tcBorders>
            <w:noWrap/>
            <w:vAlign w:val="center"/>
          </w:tcPr>
          <w:p>
            <w:pPr>
              <w:snapToGrid w:val="0"/>
              <w:jc w:val="center"/>
              <w:textAlignment w:val="baseline"/>
              <w:rPr>
                <w:rStyle w:val="248"/>
                <w:rFonts w:ascii="宋体" w:hAnsi="宋体"/>
                <w:color w:val="auto"/>
                <w:sz w:val="22"/>
                <w:highlight w:val="none"/>
              </w:rPr>
            </w:pPr>
            <w:r>
              <w:rPr>
                <w:rStyle w:val="248"/>
                <w:rFonts w:ascii="宋体" w:hAnsi="宋体"/>
                <w:color w:val="auto"/>
                <w:sz w:val="22"/>
                <w:highlight w:val="none"/>
              </w:rPr>
              <w:t>厨师组</w:t>
            </w:r>
          </w:p>
          <w:p>
            <w:pPr>
              <w:snapToGrid w:val="0"/>
              <w:jc w:val="center"/>
              <w:textAlignment w:val="baseline"/>
              <w:rPr>
                <w:rStyle w:val="248"/>
                <w:rFonts w:ascii="宋体" w:hAnsi="宋体"/>
                <w:color w:val="auto"/>
                <w:sz w:val="22"/>
                <w:highlight w:val="none"/>
              </w:rPr>
            </w:pPr>
            <w:r>
              <w:rPr>
                <w:rStyle w:val="248"/>
                <w:rFonts w:ascii="宋体" w:hAnsi="宋体"/>
                <w:color w:val="auto"/>
                <w:sz w:val="22"/>
                <w:highlight w:val="none"/>
              </w:rPr>
              <w:t>(</w:t>
            </w:r>
            <w:r>
              <w:rPr>
                <w:rStyle w:val="248"/>
                <w:rFonts w:hint="eastAsia" w:ascii="宋体" w:hAnsi="宋体"/>
                <w:color w:val="auto"/>
                <w:sz w:val="22"/>
                <w:highlight w:val="none"/>
                <w:lang w:val="en-US"/>
              </w:rPr>
              <w:t>2</w:t>
            </w:r>
            <w:r>
              <w:rPr>
                <w:rStyle w:val="248"/>
                <w:rFonts w:ascii="宋体" w:hAnsi="宋体"/>
                <w:color w:val="auto"/>
                <w:sz w:val="22"/>
                <w:highlight w:val="none"/>
              </w:rPr>
              <w:t>人)</w:t>
            </w:r>
          </w:p>
        </w:tc>
        <w:tc>
          <w:tcPr>
            <w:tcW w:w="1509" w:type="dxa"/>
            <w:tcBorders>
              <w:top w:val="single" w:color="000000" w:sz="6" w:space="0"/>
              <w:left w:val="single" w:color="000000" w:sz="6" w:space="0"/>
              <w:bottom w:val="single" w:color="000000" w:sz="6" w:space="0"/>
              <w:right w:val="single" w:color="000000" w:sz="6" w:space="0"/>
            </w:tcBorders>
            <w:noWrap/>
            <w:vAlign w:val="center"/>
          </w:tcPr>
          <w:p>
            <w:pPr>
              <w:jc w:val="center"/>
              <w:textAlignment w:val="baseline"/>
              <w:rPr>
                <w:rStyle w:val="248"/>
                <w:rFonts w:ascii="宋体" w:hAnsi="宋体"/>
                <w:color w:val="auto"/>
                <w:sz w:val="22"/>
                <w:highlight w:val="none"/>
              </w:rPr>
            </w:pPr>
            <w:r>
              <w:rPr>
                <w:rFonts w:hint="eastAsia" w:ascii="宋体" w:hAnsi="宋体" w:eastAsia="宋体" w:cs="宋体"/>
                <w:color w:val="auto"/>
                <w:kern w:val="0"/>
                <w:sz w:val="24"/>
                <w:szCs w:val="24"/>
                <w:highlight w:val="none"/>
                <w:lang w:val="en-US" w:eastAsia="zh-CN" w:bidi="ar"/>
              </w:rPr>
              <w:t>项目负责人、</w:t>
            </w:r>
            <w:r>
              <w:rPr>
                <w:rFonts w:ascii="宋体" w:hAnsi="宋体" w:eastAsia="宋体" w:cs="宋体"/>
                <w:color w:val="auto"/>
                <w:kern w:val="0"/>
                <w:sz w:val="24"/>
                <w:szCs w:val="24"/>
                <w:highlight w:val="none"/>
                <w:lang w:val="en-US" w:eastAsia="zh-CN" w:bidi="ar"/>
              </w:rPr>
              <w:t>主厨</w:t>
            </w:r>
          </w:p>
        </w:tc>
        <w:tc>
          <w:tcPr>
            <w:tcW w:w="753" w:type="dxa"/>
            <w:tcBorders>
              <w:top w:val="single" w:color="000000" w:sz="6" w:space="0"/>
              <w:left w:val="single" w:color="000000" w:sz="6" w:space="0"/>
              <w:bottom w:val="single" w:color="000000" w:sz="6" w:space="0"/>
              <w:right w:val="single" w:color="000000" w:sz="6" w:space="0"/>
            </w:tcBorders>
            <w:noWrap/>
            <w:vAlign w:val="center"/>
          </w:tcPr>
          <w:p>
            <w:pPr>
              <w:jc w:val="center"/>
              <w:textAlignment w:val="baseline"/>
              <w:rPr>
                <w:rStyle w:val="248"/>
                <w:rFonts w:ascii="宋体" w:hAnsi="宋体"/>
                <w:color w:val="auto"/>
                <w:sz w:val="22"/>
                <w:highlight w:val="none"/>
              </w:rPr>
            </w:pPr>
            <w:r>
              <w:rPr>
                <w:rStyle w:val="248"/>
                <w:rFonts w:hint="eastAsia" w:ascii="宋体" w:hAnsi="宋体"/>
                <w:color w:val="auto"/>
                <w:sz w:val="22"/>
                <w:highlight w:val="none"/>
                <w:lang w:val="en-US"/>
              </w:rPr>
              <w:t>1</w:t>
            </w:r>
          </w:p>
        </w:tc>
        <w:tc>
          <w:tcPr>
            <w:tcW w:w="3792" w:type="dxa"/>
            <w:tcBorders>
              <w:top w:val="single" w:color="000000" w:sz="6" w:space="0"/>
              <w:left w:val="single" w:color="000000" w:sz="6" w:space="0"/>
              <w:bottom w:val="single" w:color="000000" w:sz="6" w:space="0"/>
              <w:right w:val="single" w:color="000000" w:sz="6" w:space="0"/>
            </w:tcBorders>
            <w:noWrap/>
            <w:vAlign w:val="center"/>
          </w:tcPr>
          <w:p>
            <w:pPr>
              <w:textAlignment w:val="baseline"/>
              <w:rPr>
                <w:rStyle w:val="248"/>
                <w:rFonts w:ascii="宋体" w:hAnsi="宋体"/>
                <w:color w:val="auto"/>
                <w:sz w:val="22"/>
                <w:highlight w:val="none"/>
              </w:rPr>
            </w:pPr>
            <w:r>
              <w:rPr>
                <w:rStyle w:val="248"/>
                <w:rFonts w:ascii="宋体" w:hAnsi="宋体"/>
                <w:bCs/>
                <w:color w:val="auto"/>
                <w:sz w:val="22"/>
                <w:highlight w:val="none"/>
              </w:rPr>
              <w:t>负责项目食堂餐饮的炉台餐饮烹饪工作，兼负宴请接待、小餐厅小锅烹饪工作，并负责每天供菜的验收。全面负责项目食堂的厨房、餐厅、包厢接待等各项管理及与</w:t>
            </w:r>
            <w:r>
              <w:rPr>
                <w:rStyle w:val="248"/>
                <w:rFonts w:hint="eastAsia" w:ascii="宋体" w:hAnsi="宋体"/>
                <w:bCs/>
                <w:color w:val="auto"/>
                <w:sz w:val="22"/>
                <w:highlight w:val="none"/>
              </w:rPr>
              <w:t>甲方</w:t>
            </w:r>
            <w:r>
              <w:rPr>
                <w:rStyle w:val="248"/>
                <w:rFonts w:ascii="宋体" w:hAnsi="宋体"/>
                <w:bCs/>
                <w:color w:val="auto"/>
                <w:sz w:val="22"/>
                <w:highlight w:val="none"/>
              </w:rPr>
              <w:t>的协调，负责食堂厨房外餐厅、小餐厅、包厢等各区域，服务、清洁组员工的管理、培训及区域内相关日常工作协调、监督</w:t>
            </w:r>
            <w:r>
              <w:rPr>
                <w:rStyle w:val="248"/>
                <w:rFonts w:hint="eastAsia" w:ascii="宋体" w:hAnsi="宋体"/>
                <w:bCs/>
                <w:color w:val="auto"/>
                <w:sz w:val="22"/>
                <w:highlight w:val="none"/>
              </w:rPr>
              <w:t>、收银登记管理</w:t>
            </w:r>
            <w:r>
              <w:rPr>
                <w:rStyle w:val="248"/>
                <w:rFonts w:ascii="宋体" w:hAnsi="宋体"/>
                <w:bCs/>
                <w:color w:val="auto"/>
                <w:sz w:val="22"/>
                <w:highlight w:val="none"/>
              </w:rPr>
              <w:t>等工作</w:t>
            </w:r>
            <w:r>
              <w:rPr>
                <w:rStyle w:val="248"/>
                <w:rFonts w:hint="eastAsia" w:ascii="宋体" w:hAnsi="宋体"/>
                <w:bCs/>
                <w:color w:val="auto"/>
                <w:sz w:val="22"/>
                <w:highlight w:val="none"/>
              </w:rPr>
              <w:t>。</w:t>
            </w:r>
          </w:p>
        </w:tc>
        <w:tc>
          <w:tcPr>
            <w:tcW w:w="2197" w:type="dxa"/>
            <w:tcBorders>
              <w:top w:val="single" w:color="000000" w:sz="6" w:space="0"/>
              <w:left w:val="single" w:color="000000" w:sz="4" w:space="0"/>
              <w:bottom w:val="single" w:color="000000" w:sz="6" w:space="0"/>
              <w:right w:val="single" w:color="000000" w:sz="12" w:space="0"/>
            </w:tcBorders>
            <w:noWrap/>
            <w:vAlign w:val="center"/>
          </w:tcPr>
          <w:p>
            <w:pPr>
              <w:jc w:val="center"/>
              <w:textAlignment w:val="baseline"/>
              <w:rPr>
                <w:rStyle w:val="248"/>
                <w:rFonts w:ascii="宋体" w:hAnsi="宋体"/>
                <w:color w:val="auto"/>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16" w:hRule="exact"/>
        </w:trPr>
        <w:tc>
          <w:tcPr>
            <w:tcW w:w="889" w:type="dxa"/>
            <w:vMerge w:val="continue"/>
            <w:tcBorders>
              <w:top w:val="single" w:color="000000" w:sz="6" w:space="0"/>
              <w:left w:val="single" w:color="000000" w:sz="12" w:space="0"/>
              <w:bottom w:val="single" w:color="000000" w:sz="6" w:space="0"/>
              <w:right w:val="single" w:color="000000" w:sz="6" w:space="0"/>
            </w:tcBorders>
            <w:noWrap/>
            <w:vAlign w:val="center"/>
          </w:tcPr>
          <w:p>
            <w:pPr>
              <w:jc w:val="center"/>
              <w:textAlignment w:val="baseline"/>
              <w:rPr>
                <w:rStyle w:val="248"/>
                <w:rFonts w:ascii="宋体" w:hAnsi="宋体"/>
                <w:color w:val="auto"/>
                <w:sz w:val="22"/>
                <w:highlight w:val="none"/>
              </w:rPr>
            </w:pPr>
          </w:p>
        </w:tc>
        <w:tc>
          <w:tcPr>
            <w:tcW w:w="1509" w:type="dxa"/>
            <w:tcBorders>
              <w:top w:val="single" w:color="000000" w:sz="6" w:space="0"/>
              <w:left w:val="single" w:color="000000" w:sz="6" w:space="0"/>
              <w:right w:val="single" w:color="000000" w:sz="6" w:space="0"/>
            </w:tcBorders>
            <w:noWrap/>
            <w:vAlign w:val="center"/>
          </w:tcPr>
          <w:p>
            <w:pPr>
              <w:snapToGrid w:val="0"/>
              <w:jc w:val="center"/>
              <w:textAlignment w:val="baseline"/>
              <w:rPr>
                <w:rStyle w:val="248"/>
                <w:rFonts w:ascii="宋体" w:hAnsi="宋体"/>
                <w:color w:val="auto"/>
                <w:sz w:val="22"/>
                <w:highlight w:val="none"/>
              </w:rPr>
            </w:pPr>
            <w:r>
              <w:rPr>
                <w:rFonts w:ascii="宋体" w:hAnsi="宋体" w:eastAsia="宋体" w:cs="宋体"/>
                <w:color w:val="auto"/>
                <w:kern w:val="0"/>
                <w:sz w:val="24"/>
                <w:szCs w:val="24"/>
                <w:highlight w:val="none"/>
                <w:lang w:val="en-US" w:eastAsia="zh-CN" w:bidi="ar"/>
              </w:rPr>
              <w:t>副厨</w:t>
            </w:r>
          </w:p>
        </w:tc>
        <w:tc>
          <w:tcPr>
            <w:tcW w:w="753" w:type="dxa"/>
            <w:tcBorders>
              <w:top w:val="single" w:color="000000" w:sz="6" w:space="0"/>
              <w:left w:val="single" w:color="000000" w:sz="6" w:space="0"/>
              <w:right w:val="single" w:color="000000" w:sz="6" w:space="0"/>
            </w:tcBorders>
            <w:noWrap/>
            <w:vAlign w:val="center"/>
          </w:tcPr>
          <w:p>
            <w:pPr>
              <w:snapToGrid w:val="0"/>
              <w:jc w:val="center"/>
              <w:textAlignment w:val="baseline"/>
              <w:rPr>
                <w:rStyle w:val="248"/>
                <w:rFonts w:ascii="宋体" w:hAnsi="宋体"/>
                <w:color w:val="auto"/>
                <w:sz w:val="22"/>
                <w:highlight w:val="none"/>
              </w:rPr>
            </w:pPr>
            <w:r>
              <w:rPr>
                <w:rStyle w:val="248"/>
                <w:rFonts w:hint="eastAsia" w:ascii="宋体" w:hAnsi="宋体"/>
                <w:color w:val="auto"/>
                <w:sz w:val="22"/>
                <w:highlight w:val="none"/>
              </w:rPr>
              <w:t>1</w:t>
            </w:r>
          </w:p>
        </w:tc>
        <w:tc>
          <w:tcPr>
            <w:tcW w:w="3792" w:type="dxa"/>
            <w:tcBorders>
              <w:top w:val="single" w:color="000000" w:sz="6" w:space="0"/>
              <w:left w:val="single" w:color="000000" w:sz="6" w:space="0"/>
              <w:right w:val="single" w:color="000000" w:sz="6" w:space="0"/>
            </w:tcBorders>
            <w:noWrap/>
            <w:vAlign w:val="center"/>
          </w:tcPr>
          <w:p>
            <w:pPr>
              <w:snapToGrid w:val="0"/>
              <w:textAlignment w:val="baseline"/>
              <w:rPr>
                <w:rStyle w:val="248"/>
                <w:rFonts w:ascii="宋体" w:hAnsi="宋体"/>
                <w:color w:val="auto"/>
                <w:sz w:val="22"/>
                <w:highlight w:val="none"/>
              </w:rPr>
            </w:pPr>
            <w:r>
              <w:rPr>
                <w:rStyle w:val="248"/>
                <w:rFonts w:ascii="宋体" w:hAnsi="宋体"/>
                <w:color w:val="auto"/>
                <w:sz w:val="22"/>
                <w:highlight w:val="none"/>
              </w:rPr>
              <w:t>负责项目食堂</w:t>
            </w:r>
            <w:r>
              <w:rPr>
                <w:rStyle w:val="248"/>
                <w:rFonts w:hint="eastAsia" w:ascii="宋体" w:hAnsi="宋体"/>
                <w:color w:val="auto"/>
                <w:sz w:val="22"/>
                <w:highlight w:val="none"/>
                <w:lang w:val="en-US"/>
              </w:rPr>
              <w:t>的</w:t>
            </w:r>
            <w:r>
              <w:rPr>
                <w:rStyle w:val="248"/>
                <w:rFonts w:ascii="宋体" w:hAnsi="宋体"/>
                <w:color w:val="auto"/>
                <w:sz w:val="22"/>
                <w:highlight w:val="none"/>
              </w:rPr>
              <w:t>协助任务</w:t>
            </w:r>
            <w:r>
              <w:rPr>
                <w:rStyle w:val="248"/>
                <w:rFonts w:hint="eastAsia" w:ascii="宋体" w:hAnsi="宋体"/>
                <w:color w:val="auto"/>
                <w:sz w:val="22"/>
                <w:highlight w:val="none"/>
              </w:rPr>
              <w:t>，</w:t>
            </w:r>
            <w:r>
              <w:rPr>
                <w:rStyle w:val="248"/>
                <w:rFonts w:hint="eastAsia" w:ascii="宋体" w:hAnsi="宋体"/>
                <w:color w:val="auto"/>
                <w:sz w:val="22"/>
                <w:highlight w:val="none"/>
                <w:lang w:val="en-US"/>
              </w:rPr>
              <w:t>配合</w:t>
            </w:r>
            <w:r>
              <w:rPr>
                <w:rFonts w:ascii="宋体" w:hAnsi="宋体" w:eastAsia="宋体" w:cs="宋体"/>
                <w:color w:val="auto"/>
                <w:kern w:val="0"/>
                <w:sz w:val="24"/>
                <w:szCs w:val="24"/>
                <w:highlight w:val="none"/>
                <w:lang w:val="en-US" w:eastAsia="zh-CN" w:bidi="ar"/>
              </w:rPr>
              <w:t>主厨</w:t>
            </w:r>
            <w:r>
              <w:rPr>
                <w:rFonts w:hint="eastAsia" w:ascii="宋体" w:hAnsi="宋体" w:eastAsia="宋体" w:cs="宋体"/>
                <w:color w:val="auto"/>
                <w:kern w:val="0"/>
                <w:sz w:val="24"/>
                <w:szCs w:val="24"/>
                <w:highlight w:val="none"/>
                <w:lang w:val="en-US" w:eastAsia="zh-CN" w:bidi="ar"/>
              </w:rPr>
              <w:t>一起完成工作</w:t>
            </w:r>
            <w:r>
              <w:rPr>
                <w:rStyle w:val="248"/>
                <w:rFonts w:hint="eastAsia" w:ascii="宋体" w:hAnsi="宋体"/>
                <w:color w:val="auto"/>
                <w:sz w:val="22"/>
                <w:highlight w:val="none"/>
              </w:rPr>
              <w:t>。</w:t>
            </w:r>
          </w:p>
        </w:tc>
        <w:tc>
          <w:tcPr>
            <w:tcW w:w="2197" w:type="dxa"/>
            <w:tcBorders>
              <w:top w:val="single" w:color="000000" w:sz="6" w:space="0"/>
              <w:left w:val="single" w:color="000000" w:sz="4" w:space="0"/>
              <w:bottom w:val="single" w:color="000000" w:sz="6" w:space="0"/>
              <w:right w:val="single" w:color="000000" w:sz="12" w:space="0"/>
            </w:tcBorders>
            <w:noWrap/>
            <w:vAlign w:val="center"/>
          </w:tcPr>
          <w:p>
            <w:pPr>
              <w:jc w:val="center"/>
              <w:textAlignment w:val="baseline"/>
              <w:rPr>
                <w:rStyle w:val="248"/>
                <w:rFonts w:ascii="宋体" w:hAnsi="宋体"/>
                <w:color w:val="auto"/>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642" w:hRule="exact"/>
        </w:trPr>
        <w:tc>
          <w:tcPr>
            <w:tcW w:w="889" w:type="dxa"/>
            <w:tcBorders>
              <w:top w:val="single" w:color="000000" w:sz="6" w:space="0"/>
              <w:left w:val="single" w:color="000000" w:sz="12" w:space="0"/>
              <w:bottom w:val="single" w:color="000000" w:sz="6" w:space="0"/>
              <w:right w:val="single" w:color="000000" w:sz="6" w:space="0"/>
            </w:tcBorders>
            <w:noWrap/>
            <w:vAlign w:val="center"/>
          </w:tcPr>
          <w:p>
            <w:pPr>
              <w:snapToGrid w:val="0"/>
              <w:jc w:val="center"/>
              <w:textAlignment w:val="baseline"/>
              <w:rPr>
                <w:rStyle w:val="248"/>
                <w:rFonts w:ascii="宋体" w:hAnsi="宋体"/>
                <w:bCs/>
                <w:color w:val="auto"/>
                <w:sz w:val="22"/>
                <w:highlight w:val="none"/>
              </w:rPr>
            </w:pPr>
            <w:r>
              <w:rPr>
                <w:rStyle w:val="248"/>
                <w:rFonts w:ascii="宋体" w:hAnsi="宋体"/>
                <w:bCs/>
                <w:color w:val="auto"/>
                <w:sz w:val="22"/>
                <w:highlight w:val="none"/>
              </w:rPr>
              <w:t>服务组</w:t>
            </w:r>
          </w:p>
          <w:p>
            <w:pPr>
              <w:snapToGrid w:val="0"/>
              <w:jc w:val="center"/>
              <w:textAlignment w:val="baseline"/>
              <w:rPr>
                <w:rStyle w:val="248"/>
                <w:rFonts w:ascii="宋体" w:hAnsi="宋体"/>
                <w:bCs/>
                <w:color w:val="auto"/>
                <w:sz w:val="22"/>
                <w:highlight w:val="none"/>
              </w:rPr>
            </w:pPr>
            <w:r>
              <w:rPr>
                <w:rStyle w:val="248"/>
                <w:rFonts w:ascii="宋体" w:hAnsi="宋体"/>
                <w:bCs/>
                <w:color w:val="auto"/>
                <w:sz w:val="22"/>
                <w:highlight w:val="none"/>
              </w:rPr>
              <w:t>(</w:t>
            </w:r>
            <w:r>
              <w:rPr>
                <w:rStyle w:val="248"/>
                <w:rFonts w:hint="eastAsia" w:ascii="宋体" w:hAnsi="宋体"/>
                <w:bCs/>
                <w:color w:val="auto"/>
                <w:sz w:val="22"/>
                <w:highlight w:val="none"/>
                <w:lang w:val="en-US"/>
              </w:rPr>
              <w:t>5</w:t>
            </w:r>
            <w:r>
              <w:rPr>
                <w:rStyle w:val="248"/>
                <w:rFonts w:ascii="宋体" w:hAnsi="宋体"/>
                <w:bCs/>
                <w:color w:val="auto"/>
                <w:sz w:val="22"/>
                <w:highlight w:val="none"/>
              </w:rPr>
              <w:t>人)</w:t>
            </w:r>
          </w:p>
          <w:p>
            <w:pPr>
              <w:snapToGrid w:val="0"/>
              <w:jc w:val="center"/>
              <w:textAlignment w:val="baseline"/>
              <w:rPr>
                <w:rStyle w:val="248"/>
                <w:rFonts w:ascii="宋体" w:hAnsi="宋体"/>
                <w:bCs/>
                <w:color w:val="auto"/>
                <w:sz w:val="22"/>
                <w:highlight w:val="none"/>
              </w:rPr>
            </w:pPr>
          </w:p>
          <w:p>
            <w:pPr>
              <w:snapToGrid w:val="0"/>
              <w:jc w:val="center"/>
              <w:textAlignment w:val="baseline"/>
              <w:rPr>
                <w:rStyle w:val="248"/>
                <w:rFonts w:ascii="宋体" w:hAnsi="宋体"/>
                <w:bCs/>
                <w:color w:val="auto"/>
                <w:sz w:val="22"/>
                <w:highlight w:val="none"/>
              </w:rPr>
            </w:pPr>
          </w:p>
        </w:tc>
        <w:tc>
          <w:tcPr>
            <w:tcW w:w="1509" w:type="dxa"/>
            <w:tcBorders>
              <w:top w:val="single" w:color="000000" w:sz="6" w:space="0"/>
              <w:left w:val="single" w:color="000000" w:sz="6" w:space="0"/>
              <w:right w:val="single" w:color="000000" w:sz="6" w:space="0"/>
            </w:tcBorders>
            <w:noWrap/>
            <w:vAlign w:val="center"/>
          </w:tcPr>
          <w:p>
            <w:pPr>
              <w:snapToGrid w:val="0"/>
              <w:jc w:val="center"/>
              <w:textAlignment w:val="baseline"/>
              <w:rPr>
                <w:rStyle w:val="248"/>
                <w:rFonts w:ascii="宋体" w:hAnsi="宋体"/>
                <w:bCs/>
                <w:color w:val="auto"/>
                <w:sz w:val="22"/>
                <w:highlight w:val="none"/>
              </w:rPr>
            </w:pPr>
            <w:r>
              <w:rPr>
                <w:rStyle w:val="248"/>
                <w:rFonts w:hint="eastAsia" w:ascii="宋体" w:hAnsi="宋体" w:eastAsia="宋体" w:cs="宋体"/>
                <w:color w:val="auto"/>
                <w:sz w:val="22"/>
                <w:highlight w:val="none"/>
                <w:lang w:val="en-US" w:eastAsia="zh-CN"/>
              </w:rPr>
              <w:t>食堂服务人员</w:t>
            </w:r>
          </w:p>
        </w:tc>
        <w:tc>
          <w:tcPr>
            <w:tcW w:w="753" w:type="dxa"/>
            <w:tcBorders>
              <w:top w:val="single" w:color="000000" w:sz="6" w:space="0"/>
              <w:left w:val="single" w:color="000000" w:sz="6" w:space="0"/>
              <w:right w:val="single" w:color="000000" w:sz="6" w:space="0"/>
            </w:tcBorders>
            <w:noWrap/>
            <w:vAlign w:val="center"/>
          </w:tcPr>
          <w:p>
            <w:pPr>
              <w:snapToGrid w:val="0"/>
              <w:jc w:val="center"/>
              <w:textAlignment w:val="baseline"/>
              <w:rPr>
                <w:rStyle w:val="248"/>
                <w:rFonts w:ascii="宋体" w:hAnsi="宋体"/>
                <w:bCs/>
                <w:color w:val="auto"/>
                <w:sz w:val="22"/>
                <w:highlight w:val="none"/>
              </w:rPr>
            </w:pPr>
            <w:r>
              <w:rPr>
                <w:rStyle w:val="248"/>
                <w:rFonts w:hint="eastAsia" w:ascii="宋体" w:hAnsi="宋体"/>
                <w:bCs/>
                <w:color w:val="auto"/>
                <w:sz w:val="22"/>
                <w:highlight w:val="none"/>
                <w:lang w:val="en-US"/>
              </w:rPr>
              <w:t>5</w:t>
            </w:r>
          </w:p>
        </w:tc>
        <w:tc>
          <w:tcPr>
            <w:tcW w:w="3792" w:type="dxa"/>
            <w:tcBorders>
              <w:top w:val="single" w:color="000000" w:sz="6" w:space="0"/>
              <w:left w:val="single" w:color="000000" w:sz="6" w:space="0"/>
              <w:right w:val="single" w:color="000000" w:sz="6" w:space="0"/>
            </w:tcBorders>
            <w:noWrap/>
            <w:vAlign w:val="center"/>
          </w:tcPr>
          <w:p>
            <w:pPr>
              <w:snapToGrid w:val="0"/>
              <w:textAlignment w:val="baseline"/>
              <w:rPr>
                <w:rStyle w:val="248"/>
                <w:rFonts w:hint="default" w:ascii="宋体" w:hAnsi="宋体"/>
                <w:bCs/>
                <w:color w:val="auto"/>
                <w:sz w:val="22"/>
                <w:highlight w:val="none"/>
                <w:lang w:val="en-US"/>
              </w:rPr>
            </w:pPr>
            <w:r>
              <w:rPr>
                <w:rStyle w:val="248"/>
                <w:rFonts w:ascii="宋体" w:hAnsi="宋体"/>
                <w:color w:val="auto"/>
                <w:sz w:val="22"/>
                <w:highlight w:val="none"/>
              </w:rPr>
              <w:t>负责食堂餐厅服务、包厢接待、小餐厅服务，协助餐厅其他工作</w:t>
            </w:r>
            <w:r>
              <w:rPr>
                <w:rStyle w:val="248"/>
                <w:rFonts w:hint="eastAsia" w:ascii="宋体" w:hAnsi="宋体"/>
                <w:color w:val="auto"/>
                <w:sz w:val="22"/>
                <w:highlight w:val="none"/>
              </w:rPr>
              <w:t>。</w:t>
            </w:r>
            <w:r>
              <w:rPr>
                <w:rStyle w:val="248"/>
                <w:rFonts w:ascii="宋体" w:hAnsi="宋体"/>
                <w:bCs/>
                <w:color w:val="auto"/>
                <w:kern w:val="0"/>
                <w:sz w:val="22"/>
                <w:highlight w:val="none"/>
              </w:rPr>
              <w:t>负责蒸饭、面点等帮厨工作，负责食堂餐厅、包厢、小餐厅的地面等就餐环境清洁服务，食堂食材的清洗清洁、粗加工，餐具的回收、清洗、消毒，协助食堂</w:t>
            </w:r>
            <w:r>
              <w:rPr>
                <w:rStyle w:val="248"/>
                <w:rFonts w:hint="eastAsia" w:ascii="宋体" w:hAnsi="宋体"/>
                <w:bCs/>
                <w:color w:val="auto"/>
                <w:kern w:val="0"/>
                <w:sz w:val="22"/>
                <w:highlight w:val="none"/>
              </w:rPr>
              <w:t>刷卡</w:t>
            </w:r>
            <w:r>
              <w:rPr>
                <w:rStyle w:val="248"/>
                <w:rFonts w:ascii="宋体" w:hAnsi="宋体"/>
                <w:bCs/>
                <w:color w:val="auto"/>
                <w:kern w:val="0"/>
                <w:sz w:val="22"/>
                <w:highlight w:val="none"/>
              </w:rPr>
              <w:t>，打菜</w:t>
            </w:r>
            <w:r>
              <w:rPr>
                <w:rStyle w:val="248"/>
                <w:rFonts w:hint="eastAsia" w:ascii="宋体" w:hAnsi="宋体"/>
                <w:bCs/>
                <w:color w:val="auto"/>
                <w:kern w:val="0"/>
                <w:sz w:val="22"/>
                <w:highlight w:val="none"/>
              </w:rPr>
              <w:t>、厨房相关设备专门配备人员定期检查</w:t>
            </w:r>
            <w:r>
              <w:rPr>
                <w:rStyle w:val="248"/>
                <w:rFonts w:ascii="宋体" w:hAnsi="宋体"/>
                <w:bCs/>
                <w:color w:val="auto"/>
                <w:kern w:val="0"/>
                <w:sz w:val="22"/>
                <w:highlight w:val="none"/>
              </w:rPr>
              <w:t>等其他各项服务工作</w:t>
            </w:r>
            <w:r>
              <w:rPr>
                <w:rStyle w:val="248"/>
                <w:rFonts w:hint="eastAsia" w:ascii="宋体" w:hAnsi="宋体"/>
                <w:bCs/>
                <w:color w:val="auto"/>
                <w:kern w:val="0"/>
                <w:sz w:val="22"/>
                <w:highlight w:val="none"/>
              </w:rPr>
              <w:t>。</w:t>
            </w:r>
          </w:p>
        </w:tc>
        <w:tc>
          <w:tcPr>
            <w:tcW w:w="2197" w:type="dxa"/>
            <w:tcBorders>
              <w:top w:val="single" w:color="000000" w:sz="6" w:space="0"/>
              <w:left w:val="single" w:color="000000" w:sz="4" w:space="0"/>
              <w:right w:val="single" w:color="000000" w:sz="12" w:space="0"/>
            </w:tcBorders>
            <w:noWrap/>
            <w:vAlign w:val="center"/>
          </w:tcPr>
          <w:p>
            <w:pPr>
              <w:jc w:val="center"/>
              <w:textAlignment w:val="baseline"/>
              <w:rPr>
                <w:rStyle w:val="248"/>
                <w:rFonts w:hint="default" w:ascii="宋体" w:hAnsi="宋体"/>
                <w:color w:val="auto"/>
                <w:sz w:val="22"/>
                <w:highlight w:val="none"/>
                <w:lang w:val="en-U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2398" w:type="dxa"/>
            <w:gridSpan w:val="2"/>
            <w:tcBorders>
              <w:top w:val="single" w:color="000000" w:sz="6" w:space="0"/>
              <w:left w:val="single" w:color="000000" w:sz="12" w:space="0"/>
              <w:bottom w:val="single" w:color="000000" w:sz="6" w:space="0"/>
              <w:right w:val="single" w:color="000000" w:sz="6" w:space="0"/>
            </w:tcBorders>
            <w:noWrap/>
            <w:vAlign w:val="center"/>
          </w:tcPr>
          <w:p>
            <w:pPr>
              <w:snapToGrid w:val="0"/>
              <w:jc w:val="center"/>
              <w:textAlignment w:val="baseline"/>
              <w:rPr>
                <w:rStyle w:val="248"/>
                <w:rFonts w:ascii="宋体" w:hAnsi="宋体"/>
                <w:bCs/>
                <w:color w:val="auto"/>
                <w:sz w:val="22"/>
                <w:highlight w:val="none"/>
              </w:rPr>
            </w:pPr>
            <w:r>
              <w:rPr>
                <w:rStyle w:val="248"/>
                <w:rFonts w:ascii="宋体" w:hAnsi="宋体"/>
                <w:bCs/>
                <w:color w:val="auto"/>
                <w:sz w:val="22"/>
                <w:highlight w:val="none"/>
              </w:rPr>
              <w:t>合计</w:t>
            </w:r>
          </w:p>
        </w:tc>
        <w:tc>
          <w:tcPr>
            <w:tcW w:w="753" w:type="dxa"/>
            <w:tcBorders>
              <w:top w:val="single" w:color="000000" w:sz="6" w:space="0"/>
              <w:left w:val="single" w:color="000000" w:sz="6" w:space="0"/>
              <w:bottom w:val="single" w:color="000000" w:sz="6" w:space="0"/>
              <w:right w:val="single" w:color="000000" w:sz="6" w:space="0"/>
            </w:tcBorders>
            <w:noWrap/>
            <w:vAlign w:val="center"/>
          </w:tcPr>
          <w:p>
            <w:pPr>
              <w:snapToGrid w:val="0"/>
              <w:jc w:val="center"/>
              <w:textAlignment w:val="baseline"/>
              <w:rPr>
                <w:rStyle w:val="248"/>
                <w:rFonts w:ascii="宋体" w:hAnsi="宋体"/>
                <w:bCs/>
                <w:color w:val="auto"/>
                <w:sz w:val="22"/>
                <w:highlight w:val="none"/>
              </w:rPr>
            </w:pPr>
            <w:r>
              <w:rPr>
                <w:rStyle w:val="248"/>
                <w:rFonts w:hint="eastAsia" w:ascii="宋体" w:hAnsi="宋体"/>
                <w:bCs/>
                <w:color w:val="auto"/>
                <w:sz w:val="22"/>
                <w:highlight w:val="none"/>
              </w:rPr>
              <w:t>7人</w:t>
            </w:r>
          </w:p>
        </w:tc>
        <w:tc>
          <w:tcPr>
            <w:tcW w:w="3792" w:type="dxa"/>
            <w:tcBorders>
              <w:top w:val="single" w:color="000000" w:sz="6" w:space="0"/>
              <w:left w:val="single" w:color="000000" w:sz="6" w:space="0"/>
              <w:bottom w:val="single" w:color="000000" w:sz="6" w:space="0"/>
              <w:right w:val="single" w:color="000000" w:sz="6" w:space="0"/>
            </w:tcBorders>
            <w:noWrap/>
            <w:vAlign w:val="center"/>
          </w:tcPr>
          <w:p>
            <w:pPr>
              <w:snapToGrid w:val="0"/>
              <w:textAlignment w:val="baseline"/>
              <w:rPr>
                <w:rStyle w:val="248"/>
                <w:rFonts w:ascii="宋体" w:hAnsi="宋体"/>
                <w:bCs/>
                <w:color w:val="auto"/>
                <w:kern w:val="0"/>
                <w:sz w:val="22"/>
                <w:highlight w:val="none"/>
              </w:rPr>
            </w:pPr>
          </w:p>
        </w:tc>
        <w:tc>
          <w:tcPr>
            <w:tcW w:w="2197" w:type="dxa"/>
            <w:tcBorders>
              <w:top w:val="single" w:color="000000" w:sz="6" w:space="0"/>
              <w:left w:val="single" w:color="000000" w:sz="4" w:space="0"/>
              <w:bottom w:val="single" w:color="000000" w:sz="6" w:space="0"/>
              <w:right w:val="single" w:color="000000" w:sz="12" w:space="0"/>
            </w:tcBorders>
            <w:noWrap/>
            <w:vAlign w:val="center"/>
          </w:tcPr>
          <w:p>
            <w:pPr>
              <w:jc w:val="center"/>
              <w:textAlignment w:val="baseline"/>
              <w:rPr>
                <w:rStyle w:val="248"/>
                <w:rFonts w:ascii="宋体" w:hAnsi="宋体"/>
                <w:color w:val="auto"/>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81" w:hRule="atLeast"/>
        </w:trPr>
        <w:tc>
          <w:tcPr>
            <w:tcW w:w="9140" w:type="dxa"/>
            <w:gridSpan w:val="5"/>
            <w:tcBorders>
              <w:top w:val="single" w:color="000000" w:sz="6" w:space="0"/>
              <w:left w:val="single" w:color="000000" w:sz="12" w:space="0"/>
              <w:bottom w:val="single" w:color="000000" w:sz="12" w:space="0"/>
              <w:right w:val="single" w:color="000000" w:sz="12" w:space="0"/>
            </w:tcBorders>
            <w:noWrap/>
            <w:vAlign w:val="center"/>
          </w:tcPr>
          <w:p>
            <w:pPr>
              <w:jc w:val="left"/>
              <w:textAlignment w:val="baseline"/>
              <w:rPr>
                <w:color w:val="auto"/>
                <w:highlight w:val="none"/>
              </w:rPr>
            </w:pPr>
            <w:r>
              <w:rPr>
                <w:rStyle w:val="248"/>
                <w:rFonts w:hint="eastAsia" w:ascii="宋体" w:hAnsi="宋体"/>
                <w:b/>
                <w:color w:val="auto"/>
                <w:sz w:val="22"/>
                <w:highlight w:val="none"/>
                <w:lang w:val="en-US" w:eastAsia="zh-CN"/>
              </w:rPr>
              <w:t>注：供应商应确保</w:t>
            </w:r>
            <w:r>
              <w:rPr>
                <w:rStyle w:val="248"/>
                <w:rFonts w:hint="eastAsia" w:ascii="宋体" w:hAnsi="宋体"/>
                <w:b/>
                <w:color w:val="auto"/>
                <w:sz w:val="22"/>
                <w:highlight w:val="none"/>
              </w:rPr>
              <w:t>以上人员配置</w:t>
            </w:r>
            <w:r>
              <w:rPr>
                <w:rStyle w:val="248"/>
                <w:rFonts w:hint="eastAsia" w:ascii="宋体" w:hAnsi="宋体"/>
                <w:b/>
                <w:color w:val="auto"/>
                <w:sz w:val="22"/>
                <w:highlight w:val="none"/>
                <w:lang w:val="en-US" w:eastAsia="zh-CN"/>
              </w:rPr>
              <w:t>齐全</w:t>
            </w:r>
            <w:r>
              <w:rPr>
                <w:rStyle w:val="248"/>
                <w:rFonts w:hint="eastAsia" w:ascii="宋体" w:hAnsi="宋体"/>
                <w:b/>
                <w:color w:val="auto"/>
                <w:sz w:val="22"/>
                <w:highlight w:val="none"/>
              </w:rPr>
              <w:t>，</w:t>
            </w:r>
            <w:r>
              <w:rPr>
                <w:rStyle w:val="248"/>
                <w:rFonts w:hint="eastAsia" w:ascii="宋体" w:hAnsi="宋体"/>
                <w:b/>
                <w:color w:val="auto"/>
                <w:sz w:val="22"/>
                <w:highlight w:val="none"/>
                <w:lang w:val="en-US" w:eastAsia="zh-CN"/>
              </w:rPr>
              <w:t>配置不齐或者到位率不足的，</w:t>
            </w:r>
            <w:r>
              <w:rPr>
                <w:rStyle w:val="248"/>
                <w:rFonts w:hint="eastAsia" w:ascii="宋体" w:hAnsi="宋体"/>
                <w:b/>
                <w:color w:val="auto"/>
                <w:sz w:val="22"/>
                <w:highlight w:val="none"/>
              </w:rPr>
              <w:t>招标人</w:t>
            </w:r>
            <w:r>
              <w:rPr>
                <w:rStyle w:val="248"/>
                <w:rFonts w:hint="eastAsia" w:ascii="宋体" w:hAnsi="宋体"/>
                <w:b/>
                <w:color w:val="auto"/>
                <w:sz w:val="22"/>
                <w:highlight w:val="none"/>
                <w:lang w:val="en-US" w:eastAsia="zh-CN"/>
              </w:rPr>
              <w:t>有权要求进行改进或进行相应的</w:t>
            </w:r>
            <w:r>
              <w:rPr>
                <w:rStyle w:val="248"/>
                <w:rFonts w:hint="eastAsia" w:ascii="宋体" w:hAnsi="宋体"/>
                <w:b/>
                <w:color w:val="auto"/>
                <w:sz w:val="22"/>
                <w:highlight w:val="none"/>
              </w:rPr>
              <w:t>处罚。</w:t>
            </w:r>
          </w:p>
        </w:tc>
      </w:tr>
    </w:tbl>
    <w:p>
      <w:pPr>
        <w:pStyle w:val="247"/>
        <w:widowControl/>
        <w:snapToGrid w:val="0"/>
        <w:spacing w:line="400" w:lineRule="exact"/>
        <w:rPr>
          <w:rStyle w:val="248"/>
          <w:rFonts w:ascii="宋体" w:hAnsi="宋体"/>
          <w:b/>
          <w:color w:val="auto"/>
          <w:sz w:val="22"/>
          <w:highlight w:val="none"/>
        </w:rPr>
      </w:pPr>
      <w:r>
        <w:rPr>
          <w:rStyle w:val="248"/>
          <w:rFonts w:ascii="宋体" w:hAnsi="宋体"/>
          <w:color w:val="auto"/>
          <w:sz w:val="22"/>
          <w:highlight w:val="none"/>
        </w:rPr>
        <w:t>四、应遵守的国家相关法律法规及标准（不仅限于如下）：</w:t>
      </w:r>
    </w:p>
    <w:p>
      <w:pPr>
        <w:pStyle w:val="247"/>
        <w:widowControl/>
        <w:snapToGrid w:val="0"/>
        <w:spacing w:line="400" w:lineRule="exact"/>
        <w:rPr>
          <w:rStyle w:val="248"/>
          <w:rFonts w:ascii="宋体" w:hAnsi="宋体"/>
          <w:color w:val="auto"/>
          <w:sz w:val="22"/>
          <w:highlight w:val="none"/>
        </w:rPr>
      </w:pPr>
      <w:r>
        <w:rPr>
          <w:rStyle w:val="248"/>
          <w:rFonts w:ascii="宋体" w:hAnsi="宋体"/>
          <w:color w:val="auto"/>
          <w:sz w:val="22"/>
          <w:highlight w:val="none"/>
        </w:rPr>
        <w:t>《中华人民共和国食品安全法》</w:t>
      </w:r>
    </w:p>
    <w:p>
      <w:pPr>
        <w:pStyle w:val="247"/>
        <w:widowControl/>
        <w:snapToGrid w:val="0"/>
        <w:spacing w:line="400" w:lineRule="exact"/>
        <w:rPr>
          <w:rStyle w:val="248"/>
          <w:rFonts w:ascii="宋体" w:hAnsi="宋体"/>
          <w:color w:val="auto"/>
          <w:sz w:val="22"/>
          <w:highlight w:val="none"/>
        </w:rPr>
      </w:pPr>
      <w:r>
        <w:rPr>
          <w:rStyle w:val="248"/>
          <w:rFonts w:ascii="宋体" w:hAnsi="宋体"/>
          <w:color w:val="auto"/>
          <w:sz w:val="22"/>
          <w:highlight w:val="none"/>
        </w:rPr>
        <w:t>《餐饮业食品卫生管理办法》</w:t>
      </w:r>
    </w:p>
    <w:p>
      <w:pPr>
        <w:pStyle w:val="247"/>
        <w:widowControl/>
        <w:snapToGrid w:val="0"/>
        <w:spacing w:line="400" w:lineRule="exact"/>
        <w:ind w:firstLine="107" w:firstLineChars="49"/>
        <w:rPr>
          <w:rStyle w:val="248"/>
          <w:rFonts w:ascii="宋体" w:hAnsi="宋体"/>
          <w:color w:val="auto"/>
          <w:sz w:val="22"/>
          <w:highlight w:val="none"/>
        </w:rPr>
      </w:pPr>
      <w:r>
        <w:rPr>
          <w:rStyle w:val="248"/>
          <w:rFonts w:ascii="宋体" w:hAnsi="宋体"/>
          <w:color w:val="auto"/>
          <w:sz w:val="22"/>
          <w:highlight w:val="none"/>
        </w:rPr>
        <w:t>GB16153《饭馆（餐厅）卫生标准》</w:t>
      </w:r>
    </w:p>
    <w:p>
      <w:pPr>
        <w:pStyle w:val="247"/>
        <w:widowControl/>
        <w:snapToGrid w:val="0"/>
        <w:spacing w:line="400" w:lineRule="exact"/>
        <w:ind w:firstLine="107" w:firstLineChars="49"/>
        <w:rPr>
          <w:rStyle w:val="248"/>
          <w:rFonts w:ascii="宋体" w:hAnsi="宋体"/>
          <w:color w:val="auto"/>
          <w:sz w:val="22"/>
          <w:highlight w:val="none"/>
        </w:rPr>
      </w:pPr>
      <w:r>
        <w:rPr>
          <w:rStyle w:val="248"/>
          <w:rFonts w:ascii="宋体" w:hAnsi="宋体"/>
          <w:color w:val="auto"/>
          <w:sz w:val="22"/>
          <w:highlight w:val="none"/>
        </w:rPr>
        <w:t>GB14934《食（饮）具消毒卫生标准》</w:t>
      </w:r>
    </w:p>
    <w:p>
      <w:pPr>
        <w:pStyle w:val="247"/>
        <w:widowControl/>
        <w:snapToGrid w:val="0"/>
        <w:spacing w:line="400" w:lineRule="exact"/>
        <w:ind w:firstLine="107" w:firstLineChars="49"/>
        <w:rPr>
          <w:rStyle w:val="248"/>
          <w:rFonts w:ascii="宋体" w:hAnsi="宋体"/>
          <w:color w:val="auto"/>
          <w:sz w:val="22"/>
          <w:highlight w:val="none"/>
        </w:rPr>
      </w:pPr>
      <w:r>
        <w:rPr>
          <w:rStyle w:val="248"/>
          <w:rFonts w:ascii="宋体" w:hAnsi="宋体"/>
          <w:color w:val="auto"/>
          <w:sz w:val="22"/>
          <w:highlight w:val="none"/>
        </w:rPr>
        <w:t>GB18483《饮食业油烟排放标准》</w:t>
      </w:r>
    </w:p>
    <w:p>
      <w:pPr>
        <w:pStyle w:val="247"/>
        <w:widowControl/>
        <w:snapToGrid w:val="0"/>
        <w:spacing w:line="400" w:lineRule="exact"/>
        <w:ind w:firstLine="107" w:firstLineChars="49"/>
        <w:rPr>
          <w:rStyle w:val="248"/>
          <w:rFonts w:ascii="宋体" w:hAnsi="宋体"/>
          <w:color w:val="auto"/>
          <w:sz w:val="22"/>
          <w:highlight w:val="none"/>
        </w:rPr>
      </w:pPr>
      <w:r>
        <w:rPr>
          <w:rStyle w:val="248"/>
          <w:rFonts w:ascii="宋体" w:hAnsi="宋体"/>
          <w:color w:val="auto"/>
          <w:sz w:val="22"/>
          <w:highlight w:val="none"/>
        </w:rPr>
        <w:t>GB13495《消防安全标志》</w:t>
      </w:r>
    </w:p>
    <w:p>
      <w:pPr>
        <w:pStyle w:val="247"/>
        <w:widowControl/>
        <w:snapToGrid w:val="0"/>
        <w:spacing w:line="400" w:lineRule="exact"/>
        <w:ind w:firstLine="107" w:firstLineChars="49"/>
        <w:rPr>
          <w:rStyle w:val="248"/>
          <w:rFonts w:ascii="宋体" w:hAnsi="宋体"/>
          <w:color w:val="auto"/>
          <w:sz w:val="22"/>
          <w:highlight w:val="none"/>
        </w:rPr>
      </w:pPr>
      <w:r>
        <w:rPr>
          <w:rStyle w:val="248"/>
          <w:rFonts w:ascii="宋体" w:hAnsi="宋体"/>
          <w:color w:val="auto"/>
          <w:sz w:val="22"/>
          <w:highlight w:val="none"/>
        </w:rPr>
        <w:t>GB / T 18883－2002《室内空气质量标准》</w:t>
      </w:r>
    </w:p>
    <w:p>
      <w:pPr>
        <w:pStyle w:val="247"/>
        <w:widowControl/>
        <w:snapToGrid w:val="0"/>
        <w:spacing w:line="400" w:lineRule="exact"/>
        <w:ind w:firstLine="107" w:firstLineChars="49"/>
        <w:rPr>
          <w:rStyle w:val="248"/>
          <w:rFonts w:ascii="宋体" w:hAnsi="宋体"/>
          <w:color w:val="auto"/>
          <w:sz w:val="22"/>
          <w:highlight w:val="none"/>
        </w:rPr>
      </w:pPr>
      <w:r>
        <w:rPr>
          <w:rStyle w:val="248"/>
          <w:rFonts w:ascii="宋体" w:hAnsi="宋体"/>
          <w:color w:val="auto"/>
          <w:sz w:val="22"/>
          <w:highlight w:val="none"/>
        </w:rPr>
        <w:t>SB/T10420《饭店业星级服务人员资格条件》</w:t>
      </w:r>
    </w:p>
    <w:p>
      <w:pPr>
        <w:pStyle w:val="247"/>
        <w:widowControl/>
        <w:snapToGrid w:val="0"/>
        <w:spacing w:line="400" w:lineRule="exact"/>
        <w:ind w:firstLine="107" w:firstLineChars="49"/>
        <w:rPr>
          <w:rStyle w:val="248"/>
          <w:rFonts w:ascii="宋体" w:hAnsi="宋体"/>
          <w:color w:val="auto"/>
          <w:sz w:val="22"/>
          <w:highlight w:val="none"/>
        </w:rPr>
      </w:pPr>
      <w:r>
        <w:rPr>
          <w:rStyle w:val="248"/>
          <w:rFonts w:ascii="宋体" w:hAnsi="宋体"/>
          <w:color w:val="auto"/>
          <w:sz w:val="22"/>
          <w:highlight w:val="none"/>
        </w:rPr>
        <w:t>SB/T 10426《餐饮企业经营规范》</w:t>
      </w:r>
    </w:p>
    <w:p>
      <w:pPr>
        <w:pStyle w:val="247"/>
        <w:widowControl/>
        <w:snapToGrid w:val="0"/>
        <w:spacing w:line="400" w:lineRule="exact"/>
        <w:ind w:left="-2" w:leftChars="-99" w:hanging="206" w:hangingChars="94"/>
        <w:rPr>
          <w:rStyle w:val="248"/>
          <w:rFonts w:ascii="宋体" w:hAnsi="宋体"/>
          <w:b/>
          <w:color w:val="auto"/>
          <w:sz w:val="22"/>
          <w:highlight w:val="none"/>
        </w:rPr>
      </w:pPr>
      <w:r>
        <w:rPr>
          <w:rStyle w:val="248"/>
          <w:rFonts w:ascii="宋体" w:hAnsi="宋体" w:cs="Times New Roman"/>
          <w:bCs/>
          <w:color w:val="auto"/>
          <w:sz w:val="22"/>
          <w:highlight w:val="none"/>
        </w:rPr>
        <w:t xml:space="preserve">  </w:t>
      </w:r>
      <w:r>
        <w:rPr>
          <w:rStyle w:val="248"/>
          <w:rFonts w:ascii="宋体" w:hAnsi="宋体"/>
          <w:color w:val="auto"/>
          <w:sz w:val="22"/>
          <w:highlight w:val="none"/>
        </w:rPr>
        <w:t>五、服务工作及设备维护</w:t>
      </w:r>
    </w:p>
    <w:p>
      <w:pPr>
        <w:pStyle w:val="247"/>
        <w:widowControl/>
        <w:snapToGrid w:val="0"/>
        <w:spacing w:line="400" w:lineRule="exact"/>
        <w:rPr>
          <w:rStyle w:val="248"/>
          <w:rFonts w:ascii="宋体" w:hAnsi="宋体"/>
          <w:b/>
          <w:color w:val="auto"/>
          <w:sz w:val="22"/>
          <w:highlight w:val="none"/>
        </w:rPr>
      </w:pPr>
      <w:r>
        <w:rPr>
          <w:rStyle w:val="248"/>
          <w:rFonts w:ascii="宋体" w:hAnsi="宋体"/>
          <w:color w:val="auto"/>
          <w:sz w:val="22"/>
          <w:highlight w:val="none"/>
        </w:rPr>
        <w:t>（一）食堂设备、工具等</w:t>
      </w:r>
    </w:p>
    <w:p>
      <w:pPr>
        <w:pStyle w:val="247"/>
        <w:widowControl/>
        <w:snapToGrid w:val="0"/>
        <w:spacing w:line="400" w:lineRule="exact"/>
        <w:ind w:left="323" w:hanging="323" w:hangingChars="147"/>
        <w:rPr>
          <w:rStyle w:val="248"/>
          <w:rFonts w:ascii="宋体" w:hAnsi="宋体"/>
          <w:color w:val="auto"/>
          <w:sz w:val="22"/>
          <w:highlight w:val="none"/>
        </w:rPr>
      </w:pPr>
      <w:r>
        <w:rPr>
          <w:rStyle w:val="248"/>
          <w:rFonts w:ascii="宋体" w:hAnsi="宋体"/>
          <w:color w:val="auto"/>
          <w:sz w:val="22"/>
          <w:highlight w:val="none"/>
        </w:rPr>
        <w:t>1、</w:t>
      </w:r>
      <w:r>
        <w:rPr>
          <w:rStyle w:val="248"/>
          <w:rFonts w:hint="eastAsia" w:ascii="宋体" w:hAnsi="宋体"/>
          <w:color w:val="auto"/>
          <w:sz w:val="22"/>
          <w:highlight w:val="none"/>
        </w:rPr>
        <w:t>梧田街道食堂</w:t>
      </w:r>
      <w:r>
        <w:rPr>
          <w:rStyle w:val="248"/>
          <w:rFonts w:ascii="宋体" w:hAnsi="宋体"/>
          <w:color w:val="auto"/>
          <w:sz w:val="22"/>
          <w:highlight w:val="none"/>
        </w:rPr>
        <w:t>内外均已装修，</w:t>
      </w:r>
      <w:r>
        <w:rPr>
          <w:rStyle w:val="248"/>
          <w:rFonts w:hint="eastAsia" w:ascii="宋体" w:hAnsi="宋体"/>
          <w:color w:val="auto"/>
          <w:sz w:val="22"/>
          <w:highlight w:val="none"/>
        </w:rPr>
        <w:t>乙方</w:t>
      </w:r>
      <w:r>
        <w:rPr>
          <w:rStyle w:val="248"/>
          <w:rFonts w:ascii="宋体" w:hAnsi="宋体"/>
          <w:color w:val="auto"/>
          <w:sz w:val="22"/>
          <w:highlight w:val="none"/>
        </w:rPr>
        <w:t>不应改变。如确需改动的，必须经</w:t>
      </w:r>
      <w:r>
        <w:rPr>
          <w:rStyle w:val="248"/>
          <w:rFonts w:hint="eastAsia" w:ascii="宋体" w:hAnsi="宋体"/>
          <w:color w:val="auto"/>
          <w:sz w:val="22"/>
          <w:highlight w:val="none"/>
        </w:rPr>
        <w:t>甲方</w:t>
      </w:r>
      <w:r>
        <w:rPr>
          <w:rStyle w:val="248"/>
          <w:rFonts w:ascii="宋体" w:hAnsi="宋体"/>
          <w:color w:val="auto"/>
          <w:sz w:val="22"/>
          <w:highlight w:val="none"/>
        </w:rPr>
        <w:t>同意，方可改动。</w:t>
      </w:r>
    </w:p>
    <w:p>
      <w:pPr>
        <w:pStyle w:val="247"/>
        <w:widowControl/>
        <w:snapToGrid w:val="0"/>
        <w:spacing w:line="400" w:lineRule="exact"/>
        <w:ind w:left="323" w:hanging="323" w:hangingChars="147"/>
        <w:rPr>
          <w:rStyle w:val="248"/>
          <w:rFonts w:ascii="宋体" w:hAnsi="宋体"/>
          <w:color w:val="auto"/>
          <w:sz w:val="22"/>
          <w:highlight w:val="none"/>
        </w:rPr>
      </w:pPr>
      <w:r>
        <w:rPr>
          <w:rStyle w:val="248"/>
          <w:rFonts w:ascii="宋体" w:hAnsi="宋体"/>
          <w:color w:val="auto"/>
          <w:sz w:val="22"/>
          <w:highlight w:val="none"/>
        </w:rPr>
        <w:t>2、</w:t>
      </w:r>
      <w:r>
        <w:rPr>
          <w:rStyle w:val="248"/>
          <w:rFonts w:hint="eastAsia" w:ascii="宋体" w:hAnsi="宋体"/>
          <w:color w:val="auto"/>
          <w:sz w:val="22"/>
          <w:highlight w:val="none"/>
        </w:rPr>
        <w:t>梧田街道食堂</w:t>
      </w:r>
      <w:r>
        <w:rPr>
          <w:rStyle w:val="248"/>
          <w:rFonts w:ascii="宋体" w:hAnsi="宋体"/>
          <w:color w:val="auto"/>
          <w:sz w:val="22"/>
          <w:highlight w:val="none"/>
        </w:rPr>
        <w:t>、的桌椅、厨房设备，提供给</w:t>
      </w:r>
      <w:r>
        <w:rPr>
          <w:rStyle w:val="248"/>
          <w:rFonts w:hint="eastAsia" w:ascii="宋体" w:hAnsi="宋体"/>
          <w:color w:val="auto"/>
          <w:sz w:val="22"/>
          <w:highlight w:val="none"/>
        </w:rPr>
        <w:t>乙方</w:t>
      </w:r>
      <w:r>
        <w:rPr>
          <w:rStyle w:val="248"/>
          <w:rFonts w:ascii="宋体" w:hAnsi="宋体"/>
          <w:color w:val="auto"/>
          <w:sz w:val="22"/>
          <w:highlight w:val="none"/>
        </w:rPr>
        <w:t>免费使用，</w:t>
      </w:r>
      <w:r>
        <w:rPr>
          <w:rStyle w:val="248"/>
          <w:rFonts w:hint="eastAsia" w:ascii="宋体" w:hAnsi="宋体"/>
          <w:color w:val="auto"/>
          <w:sz w:val="22"/>
          <w:highlight w:val="none"/>
        </w:rPr>
        <w:t>乙方</w:t>
      </w:r>
      <w:r>
        <w:rPr>
          <w:rStyle w:val="248"/>
          <w:rFonts w:ascii="宋体" w:hAnsi="宋体"/>
          <w:color w:val="auto"/>
          <w:sz w:val="22"/>
          <w:highlight w:val="none"/>
        </w:rPr>
        <w:t>应爱惜财物保持其完好性。日常维护由</w:t>
      </w:r>
      <w:r>
        <w:rPr>
          <w:rStyle w:val="248"/>
          <w:rFonts w:hint="eastAsia" w:ascii="宋体" w:hAnsi="宋体"/>
          <w:color w:val="auto"/>
          <w:sz w:val="22"/>
          <w:highlight w:val="none"/>
        </w:rPr>
        <w:t>甲方</w:t>
      </w:r>
      <w:r>
        <w:rPr>
          <w:rStyle w:val="248"/>
          <w:rFonts w:ascii="宋体" w:hAnsi="宋体"/>
          <w:color w:val="auto"/>
          <w:sz w:val="22"/>
          <w:highlight w:val="none"/>
        </w:rPr>
        <w:t>负责。如发现属人工操作不当或故意损坏由</w:t>
      </w:r>
      <w:r>
        <w:rPr>
          <w:rStyle w:val="248"/>
          <w:rFonts w:hint="eastAsia" w:ascii="宋体" w:hAnsi="宋体"/>
          <w:color w:val="auto"/>
          <w:sz w:val="22"/>
          <w:highlight w:val="none"/>
        </w:rPr>
        <w:t>乙方</w:t>
      </w:r>
      <w:r>
        <w:rPr>
          <w:rStyle w:val="248"/>
          <w:rFonts w:ascii="宋体" w:hAnsi="宋体"/>
          <w:color w:val="auto"/>
          <w:sz w:val="22"/>
          <w:highlight w:val="none"/>
        </w:rPr>
        <w:t>负责维修和赔偿。</w:t>
      </w:r>
    </w:p>
    <w:p>
      <w:pPr>
        <w:pStyle w:val="247"/>
        <w:widowControl/>
        <w:snapToGrid w:val="0"/>
        <w:spacing w:line="400" w:lineRule="exact"/>
        <w:ind w:left="323" w:hanging="323" w:hangingChars="147"/>
        <w:rPr>
          <w:rStyle w:val="248"/>
          <w:rFonts w:ascii="宋体" w:hAnsi="宋体"/>
          <w:b/>
          <w:color w:val="auto"/>
          <w:sz w:val="22"/>
          <w:highlight w:val="none"/>
        </w:rPr>
      </w:pPr>
      <w:r>
        <w:rPr>
          <w:rStyle w:val="248"/>
          <w:rFonts w:ascii="宋体" w:hAnsi="宋体"/>
          <w:color w:val="auto"/>
          <w:sz w:val="22"/>
          <w:highlight w:val="none"/>
        </w:rPr>
        <w:t>3、</w:t>
      </w:r>
      <w:r>
        <w:rPr>
          <w:rFonts w:hint="eastAsia" w:ascii="宋体" w:hAnsi="宋体" w:cs="宋体"/>
          <w:color w:val="auto"/>
          <w:sz w:val="22"/>
          <w:szCs w:val="22"/>
          <w:highlight w:val="none"/>
          <w:lang w:val="en-US" w:eastAsia="zh-CN"/>
        </w:rPr>
        <w:t>现有</w:t>
      </w:r>
      <w:r>
        <w:rPr>
          <w:rFonts w:hint="eastAsia" w:ascii="宋体" w:hAnsi="宋体" w:cs="宋体"/>
          <w:color w:val="auto"/>
          <w:sz w:val="22"/>
          <w:szCs w:val="22"/>
          <w:highlight w:val="none"/>
        </w:rPr>
        <w:t>碗、勺、筷、盘、酒杯等日常餐具由采购人统一调配，</w:t>
      </w:r>
      <w:r>
        <w:rPr>
          <w:rFonts w:hint="eastAsia" w:ascii="宋体" w:hAnsi="宋体" w:cs="宋体"/>
          <w:color w:val="auto"/>
          <w:sz w:val="22"/>
          <w:szCs w:val="22"/>
          <w:highlight w:val="none"/>
          <w:lang w:val="en-US" w:eastAsia="zh-CN"/>
        </w:rPr>
        <w:t>不足或者</w:t>
      </w:r>
      <w:r>
        <w:rPr>
          <w:rFonts w:hint="eastAsia" w:ascii="宋体" w:hAnsi="宋体" w:cs="宋体"/>
          <w:color w:val="auto"/>
          <w:sz w:val="22"/>
          <w:szCs w:val="22"/>
          <w:highlight w:val="none"/>
        </w:rPr>
        <w:t>损耗</w:t>
      </w:r>
      <w:r>
        <w:rPr>
          <w:rFonts w:hint="eastAsia" w:ascii="宋体" w:hAnsi="宋体" w:cs="宋体"/>
          <w:color w:val="auto"/>
          <w:sz w:val="22"/>
          <w:szCs w:val="22"/>
          <w:highlight w:val="none"/>
          <w:lang w:val="en-US" w:eastAsia="zh-CN"/>
        </w:rPr>
        <w:t>的由</w:t>
      </w:r>
      <w:r>
        <w:rPr>
          <w:rFonts w:hint="eastAsia" w:ascii="宋体" w:hAnsi="宋体" w:cs="宋体"/>
          <w:color w:val="auto"/>
          <w:sz w:val="22"/>
          <w:szCs w:val="22"/>
          <w:highlight w:val="none"/>
        </w:rPr>
        <w:t>投标供应商承担。</w:t>
      </w:r>
    </w:p>
    <w:p>
      <w:pPr>
        <w:pStyle w:val="247"/>
        <w:widowControl/>
        <w:snapToGrid w:val="0"/>
        <w:spacing w:line="400" w:lineRule="exact"/>
        <w:rPr>
          <w:rStyle w:val="248"/>
          <w:rFonts w:ascii="宋体" w:hAnsi="宋体"/>
          <w:b/>
          <w:color w:val="auto"/>
          <w:sz w:val="22"/>
          <w:highlight w:val="none"/>
        </w:rPr>
      </w:pPr>
      <w:r>
        <w:rPr>
          <w:rStyle w:val="248"/>
          <w:rFonts w:ascii="宋体" w:hAnsi="宋体"/>
          <w:color w:val="auto"/>
          <w:sz w:val="22"/>
          <w:highlight w:val="none"/>
        </w:rPr>
        <w:t>（二）用餐时间及服务</w:t>
      </w:r>
    </w:p>
    <w:p>
      <w:pPr>
        <w:spacing w:line="440" w:lineRule="exact"/>
        <w:ind w:left="550" w:hanging="550" w:hangingChars="25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eastAsia="宋体" w:cs="宋体"/>
          <w:bCs/>
          <w:color w:val="auto"/>
          <w:sz w:val="22"/>
          <w:szCs w:val="22"/>
          <w:highlight w:val="none"/>
          <w:lang w:val="en-US" w:eastAsia="zh-CN"/>
        </w:rPr>
        <w:t xml:space="preserve">  </w:t>
      </w:r>
      <w:r>
        <w:rPr>
          <w:rFonts w:hint="eastAsia" w:ascii="宋体" w:hAnsi="宋体" w:eastAsia="宋体" w:cs="宋体"/>
          <w:bCs/>
          <w:color w:val="auto"/>
          <w:sz w:val="22"/>
          <w:szCs w:val="22"/>
          <w:highlight w:val="none"/>
        </w:rPr>
        <w:t>投标人提供早餐、中餐、晚餐、包厢</w:t>
      </w:r>
      <w:r>
        <w:rPr>
          <w:rFonts w:hint="eastAsia" w:ascii="宋体" w:hAnsi="宋体" w:eastAsia="宋体" w:cs="宋体"/>
          <w:bCs/>
          <w:color w:val="auto"/>
          <w:sz w:val="22"/>
          <w:szCs w:val="22"/>
          <w:highlight w:val="none"/>
          <w:lang w:val="en-US" w:eastAsia="zh-CN"/>
        </w:rPr>
        <w:t>用餐</w:t>
      </w:r>
      <w:r>
        <w:rPr>
          <w:rFonts w:hint="eastAsia" w:ascii="宋体" w:hAnsi="宋体" w:eastAsia="宋体" w:cs="宋体"/>
          <w:bCs/>
          <w:color w:val="auto"/>
          <w:sz w:val="22"/>
          <w:szCs w:val="22"/>
          <w:highlight w:val="none"/>
        </w:rPr>
        <w:t>服务。</w:t>
      </w:r>
      <w:r>
        <w:rPr>
          <w:rFonts w:hint="eastAsia" w:ascii="宋体" w:hAnsi="宋体" w:cs="宋体"/>
          <w:bCs/>
          <w:color w:val="auto"/>
          <w:sz w:val="22"/>
          <w:szCs w:val="22"/>
          <w:highlight w:val="none"/>
          <w:lang w:val="en-US" w:eastAsia="zh-CN"/>
        </w:rPr>
        <w:t>全勤用餐人数约330人</w:t>
      </w:r>
      <w:r>
        <w:rPr>
          <w:rFonts w:hint="eastAsia" w:ascii="宋体" w:hAnsi="宋体" w:eastAsia="宋体" w:cs="宋体"/>
          <w:bCs/>
          <w:color w:val="auto"/>
          <w:sz w:val="22"/>
          <w:szCs w:val="22"/>
          <w:highlight w:val="none"/>
          <w:lang w:val="en-US" w:eastAsia="zh-CN"/>
        </w:rPr>
        <w:t>，</w:t>
      </w:r>
      <w:r>
        <w:rPr>
          <w:rFonts w:hint="eastAsia" w:ascii="宋体" w:hAnsi="宋体" w:cs="宋体"/>
          <w:bCs/>
          <w:color w:val="auto"/>
          <w:sz w:val="22"/>
          <w:szCs w:val="22"/>
          <w:highlight w:val="none"/>
          <w:lang w:val="en-US" w:eastAsia="zh-CN"/>
        </w:rPr>
        <w:t>晚上固定值班人员用餐约15人</w:t>
      </w:r>
      <w:r>
        <w:rPr>
          <w:rFonts w:hint="eastAsia" w:ascii="宋体" w:hAnsi="宋体" w:eastAsia="宋体" w:cs="宋体"/>
          <w:bCs/>
          <w:color w:val="auto"/>
          <w:sz w:val="22"/>
          <w:szCs w:val="22"/>
          <w:highlight w:val="none"/>
          <w:lang w:val="en-US" w:eastAsia="zh-CN"/>
        </w:rPr>
        <w:t>，</w:t>
      </w:r>
      <w:r>
        <w:rPr>
          <w:rFonts w:hint="eastAsia" w:ascii="宋体" w:hAnsi="宋体" w:cs="宋体"/>
          <w:bCs/>
          <w:color w:val="auto"/>
          <w:sz w:val="22"/>
          <w:szCs w:val="22"/>
          <w:highlight w:val="none"/>
          <w:lang w:val="en-US" w:eastAsia="zh-CN"/>
        </w:rPr>
        <w:t>每周定加班用餐人员约280人</w:t>
      </w:r>
      <w:r>
        <w:rPr>
          <w:rFonts w:hint="eastAsia" w:ascii="宋体" w:hAnsi="宋体" w:eastAsia="宋体" w:cs="宋体"/>
          <w:bCs/>
          <w:color w:val="auto"/>
          <w:sz w:val="22"/>
          <w:szCs w:val="22"/>
          <w:highlight w:val="none"/>
          <w:lang w:val="en-US" w:eastAsia="zh-CN"/>
        </w:rPr>
        <w:t>。早餐用餐</w:t>
      </w:r>
      <w:r>
        <w:rPr>
          <w:rFonts w:hint="eastAsia" w:ascii="宋体" w:hAnsi="宋体" w:eastAsia="宋体" w:cs="宋体"/>
          <w:bCs/>
          <w:color w:val="auto"/>
          <w:sz w:val="22"/>
          <w:szCs w:val="22"/>
          <w:highlight w:val="none"/>
        </w:rPr>
        <w:t>服务时间为</w:t>
      </w:r>
      <w:r>
        <w:rPr>
          <w:rFonts w:hint="eastAsia" w:ascii="宋体" w:hAnsi="宋体" w:eastAsia="宋体" w:cs="宋体"/>
          <w:bCs/>
          <w:color w:val="auto"/>
          <w:sz w:val="22"/>
          <w:szCs w:val="22"/>
          <w:highlight w:val="none"/>
          <w:lang w:val="en-US" w:eastAsia="zh-CN"/>
        </w:rPr>
        <w:t>6</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en-US" w:eastAsia="zh-CN"/>
        </w:rPr>
        <w:t>0</w:t>
      </w:r>
      <w:r>
        <w:rPr>
          <w:rFonts w:hint="eastAsia" w:ascii="宋体" w:hAnsi="宋体" w:eastAsia="宋体" w:cs="宋体"/>
          <w:bCs/>
          <w:color w:val="auto"/>
          <w:sz w:val="22"/>
          <w:szCs w:val="22"/>
          <w:highlight w:val="none"/>
        </w:rPr>
        <w:t>0-</w:t>
      </w:r>
      <w:r>
        <w:rPr>
          <w:rFonts w:hint="eastAsia" w:ascii="宋体" w:hAnsi="宋体" w:eastAsia="宋体" w:cs="宋体"/>
          <w:bCs/>
          <w:color w:val="auto"/>
          <w:sz w:val="22"/>
          <w:szCs w:val="22"/>
          <w:highlight w:val="none"/>
          <w:lang w:val="en-US" w:eastAsia="zh-CN"/>
        </w:rPr>
        <w:t>8</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en-US" w:eastAsia="zh-CN"/>
        </w:rPr>
        <w:t>3</w:t>
      </w:r>
      <w:r>
        <w:rPr>
          <w:rFonts w:hint="eastAsia" w:ascii="宋体" w:hAnsi="宋体" w:eastAsia="宋体" w:cs="宋体"/>
          <w:bCs/>
          <w:color w:val="auto"/>
          <w:sz w:val="22"/>
          <w:szCs w:val="22"/>
          <w:highlight w:val="none"/>
          <w:lang w:val="en-US"/>
        </w:rPr>
        <w:t>0</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en-US" w:eastAsia="zh-CN"/>
        </w:rPr>
        <w:t>中餐用餐</w:t>
      </w:r>
      <w:r>
        <w:rPr>
          <w:rFonts w:hint="eastAsia" w:ascii="宋体" w:hAnsi="宋体" w:eastAsia="宋体" w:cs="宋体"/>
          <w:bCs/>
          <w:color w:val="auto"/>
          <w:sz w:val="22"/>
          <w:szCs w:val="22"/>
          <w:highlight w:val="none"/>
        </w:rPr>
        <w:t>服务时间为</w:t>
      </w:r>
      <w:r>
        <w:rPr>
          <w:rFonts w:hint="eastAsia" w:ascii="宋体" w:hAnsi="宋体" w:eastAsia="宋体" w:cs="宋体"/>
          <w:bCs/>
          <w:color w:val="auto"/>
          <w:sz w:val="22"/>
          <w:szCs w:val="22"/>
          <w:highlight w:val="none"/>
          <w:lang w:val="en-US" w:eastAsia="zh-CN"/>
        </w:rPr>
        <w:t>11</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en-US" w:eastAsia="zh-CN"/>
        </w:rPr>
        <w:t>0</w:t>
      </w:r>
      <w:r>
        <w:rPr>
          <w:rFonts w:hint="eastAsia" w:ascii="宋体" w:hAnsi="宋体" w:eastAsia="宋体" w:cs="宋体"/>
          <w:bCs/>
          <w:color w:val="auto"/>
          <w:sz w:val="22"/>
          <w:szCs w:val="22"/>
          <w:highlight w:val="none"/>
        </w:rPr>
        <w:t>0-</w:t>
      </w:r>
      <w:r>
        <w:rPr>
          <w:rFonts w:hint="eastAsia" w:ascii="宋体" w:hAnsi="宋体" w:eastAsia="宋体" w:cs="宋体"/>
          <w:bCs/>
          <w:color w:val="auto"/>
          <w:sz w:val="22"/>
          <w:szCs w:val="22"/>
          <w:highlight w:val="none"/>
          <w:lang w:val="en-US" w:eastAsia="zh-CN"/>
        </w:rPr>
        <w:t>13</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en-US" w:eastAsia="zh-CN"/>
        </w:rPr>
        <w:t>3</w:t>
      </w:r>
      <w:r>
        <w:rPr>
          <w:rFonts w:hint="eastAsia" w:ascii="宋体" w:hAnsi="宋体" w:eastAsia="宋体" w:cs="宋体"/>
          <w:bCs/>
          <w:color w:val="auto"/>
          <w:sz w:val="22"/>
          <w:szCs w:val="22"/>
          <w:highlight w:val="none"/>
          <w:lang w:val="en-US"/>
        </w:rPr>
        <w:t>0</w:t>
      </w:r>
      <w:r>
        <w:rPr>
          <w:rFonts w:hint="eastAsia" w:ascii="宋体" w:hAnsi="宋体" w:eastAsia="宋体" w:cs="宋体"/>
          <w:bCs/>
          <w:color w:val="auto"/>
          <w:sz w:val="22"/>
          <w:szCs w:val="22"/>
          <w:highlight w:val="none"/>
        </w:rPr>
        <w:t>，晚上</w:t>
      </w:r>
      <w:r>
        <w:rPr>
          <w:rFonts w:hint="eastAsia" w:ascii="宋体" w:hAnsi="宋体" w:eastAsia="宋体" w:cs="宋体"/>
          <w:bCs/>
          <w:color w:val="auto"/>
          <w:sz w:val="22"/>
          <w:szCs w:val="22"/>
          <w:highlight w:val="none"/>
          <w:lang w:val="en-US" w:eastAsia="zh-CN"/>
        </w:rPr>
        <w:t>用餐</w:t>
      </w:r>
      <w:r>
        <w:rPr>
          <w:rFonts w:hint="eastAsia" w:ascii="宋体" w:hAnsi="宋体" w:eastAsia="宋体" w:cs="宋体"/>
          <w:bCs/>
          <w:color w:val="auto"/>
          <w:sz w:val="22"/>
          <w:szCs w:val="22"/>
          <w:highlight w:val="none"/>
        </w:rPr>
        <w:t>服务时间为17:</w:t>
      </w:r>
      <w:r>
        <w:rPr>
          <w:rFonts w:hint="eastAsia" w:ascii="宋体" w:hAnsi="宋体" w:eastAsia="宋体" w:cs="宋体"/>
          <w:bCs/>
          <w:color w:val="auto"/>
          <w:sz w:val="22"/>
          <w:szCs w:val="22"/>
          <w:highlight w:val="none"/>
          <w:lang w:val="en-US" w:eastAsia="zh-CN"/>
        </w:rPr>
        <w:t>0</w:t>
      </w:r>
      <w:r>
        <w:rPr>
          <w:rFonts w:hint="eastAsia" w:ascii="宋体" w:hAnsi="宋体" w:eastAsia="宋体" w:cs="宋体"/>
          <w:bCs/>
          <w:color w:val="auto"/>
          <w:sz w:val="22"/>
          <w:szCs w:val="22"/>
          <w:highlight w:val="none"/>
        </w:rPr>
        <w:t>0-</w:t>
      </w:r>
      <w:r>
        <w:rPr>
          <w:rFonts w:hint="eastAsia" w:ascii="宋体" w:hAnsi="宋体" w:eastAsia="宋体" w:cs="宋体"/>
          <w:bCs/>
          <w:color w:val="auto"/>
          <w:sz w:val="22"/>
          <w:szCs w:val="22"/>
          <w:highlight w:val="none"/>
          <w:lang w:val="en-US" w:eastAsia="zh-CN"/>
        </w:rPr>
        <w:t>20</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en-US" w:eastAsia="zh-CN"/>
        </w:rPr>
        <w:t>0</w:t>
      </w:r>
      <w:r>
        <w:rPr>
          <w:rFonts w:hint="eastAsia" w:ascii="宋体" w:hAnsi="宋体" w:eastAsia="宋体" w:cs="宋体"/>
          <w:bCs/>
          <w:color w:val="auto"/>
          <w:sz w:val="22"/>
          <w:szCs w:val="22"/>
          <w:highlight w:val="none"/>
        </w:rPr>
        <w:t>0。（具体就餐时间根据作息时间</w:t>
      </w:r>
      <w:r>
        <w:rPr>
          <w:rFonts w:hint="eastAsia" w:ascii="宋体" w:hAnsi="宋体" w:eastAsia="宋体" w:cs="宋体"/>
          <w:bCs/>
          <w:color w:val="auto"/>
          <w:sz w:val="22"/>
          <w:szCs w:val="22"/>
          <w:highlight w:val="none"/>
          <w:lang w:val="en-US"/>
        </w:rPr>
        <w:t>和</w:t>
      </w:r>
      <w:r>
        <w:rPr>
          <w:rFonts w:hint="eastAsia" w:ascii="宋体" w:hAnsi="宋体" w:eastAsia="宋体" w:cs="宋体"/>
          <w:bCs/>
          <w:color w:val="auto"/>
          <w:sz w:val="22"/>
          <w:szCs w:val="22"/>
          <w:highlight w:val="none"/>
        </w:rPr>
        <w:t>采购人</w:t>
      </w:r>
      <w:r>
        <w:rPr>
          <w:rFonts w:hint="eastAsia" w:ascii="宋体" w:hAnsi="宋体" w:eastAsia="宋体" w:cs="宋体"/>
          <w:bCs/>
          <w:color w:val="auto"/>
          <w:sz w:val="22"/>
          <w:szCs w:val="22"/>
          <w:highlight w:val="none"/>
          <w:lang w:val="en-US" w:eastAsia="zh-CN"/>
        </w:rPr>
        <w:t>要求</w:t>
      </w:r>
      <w:r>
        <w:rPr>
          <w:rFonts w:hint="eastAsia" w:ascii="宋体" w:hAnsi="宋体" w:eastAsia="宋体" w:cs="宋体"/>
          <w:bCs/>
          <w:color w:val="auto"/>
          <w:sz w:val="22"/>
          <w:szCs w:val="22"/>
          <w:highlight w:val="none"/>
        </w:rPr>
        <w:t>作相应调整）</w:t>
      </w:r>
    </w:p>
    <w:p>
      <w:pPr>
        <w:spacing w:line="440" w:lineRule="exact"/>
        <w:ind w:left="550" w:hanging="550" w:hangingChars="25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1.1</w:t>
      </w:r>
      <w:r>
        <w:rPr>
          <w:rFonts w:hint="eastAsia" w:ascii="宋体" w:hAnsi="宋体" w:eastAsia="宋体" w:cs="宋体"/>
          <w:bCs/>
          <w:color w:val="auto"/>
          <w:sz w:val="22"/>
          <w:szCs w:val="22"/>
          <w:highlight w:val="none"/>
        </w:rPr>
        <w:t>早餐设稀饭、豆浆、糯米饭、大饼、油条、煮粉干、面条</w:t>
      </w:r>
      <w:r>
        <w:rPr>
          <w:rFonts w:hint="eastAsia" w:ascii="宋体" w:hAnsi="宋体" w:eastAsia="宋体" w:cs="宋体"/>
          <w:bCs/>
          <w:color w:val="auto"/>
          <w:sz w:val="22"/>
          <w:szCs w:val="22"/>
          <w:highlight w:val="none"/>
          <w:lang w:val="en-US"/>
        </w:rPr>
        <w:t>、面包、</w:t>
      </w:r>
      <w:r>
        <w:rPr>
          <w:rFonts w:hint="eastAsia" w:ascii="宋体" w:hAnsi="宋体" w:eastAsia="宋体" w:cs="宋体"/>
          <w:bCs/>
          <w:color w:val="auto"/>
          <w:sz w:val="22"/>
          <w:szCs w:val="22"/>
          <w:highlight w:val="none"/>
        </w:rPr>
        <w:t>馒头、</w:t>
      </w:r>
      <w:r>
        <w:rPr>
          <w:rFonts w:hint="eastAsia" w:ascii="宋体" w:hAnsi="宋体" w:eastAsia="宋体" w:cs="宋体"/>
          <w:bCs/>
          <w:color w:val="auto"/>
          <w:sz w:val="22"/>
          <w:szCs w:val="22"/>
          <w:highlight w:val="none"/>
          <w:lang w:val="en-US"/>
        </w:rPr>
        <w:t>饺子</w:t>
      </w:r>
      <w:r>
        <w:rPr>
          <w:rFonts w:hint="eastAsia" w:ascii="宋体" w:hAnsi="宋体" w:eastAsia="宋体" w:cs="宋体"/>
          <w:bCs/>
          <w:color w:val="auto"/>
          <w:sz w:val="22"/>
          <w:szCs w:val="22"/>
          <w:highlight w:val="none"/>
        </w:rPr>
        <w:t>等各式早点</w:t>
      </w:r>
      <w:r>
        <w:rPr>
          <w:rFonts w:hint="eastAsia" w:ascii="宋体" w:hAnsi="宋体" w:eastAsia="宋体" w:cs="宋体"/>
          <w:bCs/>
          <w:color w:val="auto"/>
          <w:sz w:val="22"/>
          <w:szCs w:val="22"/>
          <w:highlight w:val="none"/>
          <w:lang w:val="en-US" w:eastAsia="zh-CN"/>
        </w:rPr>
        <w:t>8</w:t>
      </w:r>
      <w:r>
        <w:rPr>
          <w:rFonts w:hint="eastAsia" w:ascii="宋体" w:hAnsi="宋体" w:eastAsia="宋体" w:cs="宋体"/>
          <w:bCs/>
          <w:color w:val="auto"/>
          <w:sz w:val="22"/>
          <w:szCs w:val="22"/>
          <w:highlight w:val="none"/>
        </w:rPr>
        <w:t>-12样</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价格参考采购单位历年供应价格设定并须采购人确认</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并经常更换品种（甲方有权提出增加</w:t>
      </w:r>
      <w:r>
        <w:rPr>
          <w:rFonts w:hint="eastAsia" w:ascii="宋体" w:hAnsi="宋体" w:eastAsia="宋体" w:cs="宋体"/>
          <w:bCs/>
          <w:color w:val="auto"/>
          <w:sz w:val="22"/>
          <w:szCs w:val="22"/>
          <w:highlight w:val="none"/>
          <w:lang w:val="en-US" w:eastAsia="zh-CN"/>
        </w:rPr>
        <w:t>或调整</w:t>
      </w:r>
      <w:r>
        <w:rPr>
          <w:rFonts w:hint="eastAsia" w:ascii="宋体" w:hAnsi="宋体" w:eastAsia="宋体" w:cs="宋体"/>
          <w:bCs/>
          <w:color w:val="auto"/>
          <w:sz w:val="22"/>
          <w:szCs w:val="22"/>
          <w:highlight w:val="none"/>
        </w:rPr>
        <w:t>用餐内容）</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基础早餐</w:t>
      </w:r>
      <w:r>
        <w:rPr>
          <w:rFonts w:hint="eastAsia" w:ascii="宋体" w:hAnsi="宋体" w:eastAsia="宋体" w:cs="宋体"/>
          <w:bCs/>
          <w:color w:val="auto"/>
          <w:sz w:val="22"/>
          <w:szCs w:val="22"/>
          <w:highlight w:val="none"/>
        </w:rPr>
        <w:t>每人每餐</w:t>
      </w:r>
      <w:r>
        <w:rPr>
          <w:rFonts w:hint="eastAsia" w:ascii="宋体" w:hAnsi="宋体" w:eastAsia="宋体" w:cs="宋体"/>
          <w:bCs/>
          <w:color w:val="auto"/>
          <w:sz w:val="22"/>
          <w:szCs w:val="22"/>
          <w:highlight w:val="none"/>
          <w:lang w:val="en-US" w:eastAsia="zh-CN"/>
        </w:rPr>
        <w:t>按6元计算</w:t>
      </w:r>
      <w:r>
        <w:rPr>
          <w:rFonts w:hint="eastAsia" w:ascii="宋体" w:hAnsi="宋体" w:eastAsia="宋体" w:cs="宋体"/>
          <w:bCs/>
          <w:color w:val="auto"/>
          <w:sz w:val="22"/>
          <w:szCs w:val="22"/>
          <w:highlight w:val="none"/>
        </w:rPr>
        <w:t>；</w:t>
      </w:r>
    </w:p>
    <w:p>
      <w:pPr>
        <w:spacing w:line="440" w:lineRule="exact"/>
        <w:ind w:left="550" w:hanging="550" w:hangingChars="25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1.2午餐和晚餐按照用餐人流量，实行错时上菜，中餐、晚餐及加班用餐菜单由供应商提出采购人确认执行，合理搭配，用餐以打餐形式餐标为每人每餐13元。主食1样，副食不少于4样（2样晕菜和2样素菜），清汤1样，水果1样。特殊小炒菜品价格另计。</w:t>
      </w:r>
    </w:p>
    <w:p>
      <w:pPr>
        <w:spacing w:line="440" w:lineRule="exact"/>
        <w:ind w:left="550" w:hanging="550" w:hangingChars="250"/>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1.3</w:t>
      </w:r>
      <w:r>
        <w:rPr>
          <w:rFonts w:hint="eastAsia" w:ascii="宋体" w:hAnsi="宋体" w:cs="宋体"/>
          <w:color w:val="auto"/>
          <w:sz w:val="22"/>
          <w:szCs w:val="22"/>
          <w:highlight w:val="none"/>
          <w:lang w:val="en-US" w:eastAsia="zh-CN"/>
        </w:rPr>
        <w:t>工作餐桌餐约150桌，</w:t>
      </w:r>
      <w:r>
        <w:rPr>
          <w:rFonts w:hint="eastAsia" w:ascii="宋体" w:hAnsi="宋体" w:eastAsia="宋体" w:cs="宋体"/>
          <w:bCs/>
          <w:color w:val="auto"/>
          <w:sz w:val="22"/>
          <w:szCs w:val="22"/>
          <w:highlight w:val="none"/>
          <w:lang w:val="en-US" w:eastAsia="zh-CN"/>
        </w:rPr>
        <w:t>工作餐桌餐要求按照机关食堂桌餐相关标准和采购单位要求执行。</w:t>
      </w:r>
    </w:p>
    <w:p>
      <w:pPr>
        <w:spacing w:line="440" w:lineRule="exact"/>
        <w:ind w:left="550" w:hanging="550" w:hangingChars="250"/>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w:t>
      </w:r>
      <w:r>
        <w:rPr>
          <w:rFonts w:hint="eastAsia" w:ascii="宋体" w:hAnsi="宋体" w:eastAsia="宋体" w:cs="宋体"/>
          <w:bCs/>
          <w:color w:val="auto"/>
          <w:sz w:val="22"/>
          <w:szCs w:val="22"/>
          <w:highlight w:val="none"/>
          <w:lang w:val="en-US" w:eastAsia="zh-CN"/>
        </w:rPr>
        <w:t xml:space="preserve">．  </w:t>
      </w:r>
      <w:r>
        <w:rPr>
          <w:rFonts w:hint="eastAsia" w:ascii="宋体" w:hAnsi="宋体" w:cs="宋体"/>
          <w:bCs/>
          <w:color w:val="auto"/>
          <w:sz w:val="22"/>
          <w:szCs w:val="22"/>
          <w:highlight w:val="none"/>
          <w:lang w:val="en-US" w:eastAsia="zh-CN"/>
        </w:rPr>
        <w:t>街道工作人员等用餐人员使用甲方统一制作的就餐卡刷卡用餐，乙方不得擅自制作饭菜票或收取现金，不得对外经营。</w:t>
      </w:r>
    </w:p>
    <w:p>
      <w:pPr>
        <w:spacing w:line="440" w:lineRule="exact"/>
        <w:ind w:left="550" w:hanging="550" w:hangingChars="250"/>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w:t>
      </w:r>
      <w:r>
        <w:rPr>
          <w:rFonts w:hint="eastAsia" w:ascii="宋体" w:hAnsi="宋体" w:eastAsia="宋体" w:cs="宋体"/>
          <w:bCs/>
          <w:color w:val="auto"/>
          <w:sz w:val="22"/>
          <w:szCs w:val="22"/>
          <w:highlight w:val="none"/>
          <w:lang w:val="en-US" w:eastAsia="zh-CN"/>
        </w:rPr>
        <w:t>．  投标人必须安排好一周菜谱，每周的菜肴品种不少于40个，保证每天供应每人1份的新鲜时令水果，菜单必须经甲方及其委托的管理人员认可方可执行。</w:t>
      </w:r>
    </w:p>
    <w:p>
      <w:pPr>
        <w:spacing w:line="440" w:lineRule="exact"/>
        <w:ind w:left="550" w:hanging="550" w:hangingChars="250"/>
        <w:rPr>
          <w:rStyle w:val="248"/>
          <w:rFonts w:ascii="宋体" w:hAnsi="宋体"/>
          <w:color w:val="auto"/>
          <w:sz w:val="22"/>
          <w:highlight w:val="none"/>
        </w:rPr>
      </w:pPr>
      <w:r>
        <w:rPr>
          <w:rStyle w:val="248"/>
          <w:rFonts w:hint="eastAsia" w:ascii="宋体" w:hAnsi="宋体"/>
          <w:color w:val="auto"/>
          <w:sz w:val="22"/>
          <w:highlight w:val="none"/>
          <w:lang w:val="en-US" w:eastAsia="zh-CN"/>
        </w:rPr>
        <w:t>4</w:t>
      </w:r>
      <w:r>
        <w:rPr>
          <w:rStyle w:val="248"/>
          <w:rFonts w:hint="eastAsia" w:ascii="宋体" w:hAnsi="宋体"/>
          <w:color w:val="auto"/>
          <w:sz w:val="22"/>
          <w:highlight w:val="none"/>
        </w:rPr>
        <w:t xml:space="preserve">.   </w:t>
      </w:r>
      <w:r>
        <w:rPr>
          <w:rStyle w:val="248"/>
          <w:rFonts w:hint="eastAsia" w:ascii="宋体" w:hAnsi="宋体"/>
          <w:color w:val="auto"/>
          <w:sz w:val="22"/>
          <w:highlight w:val="none"/>
          <w:lang w:val="en-US"/>
        </w:rPr>
        <w:t>临时性的加班用餐</w:t>
      </w:r>
      <w:r>
        <w:rPr>
          <w:rStyle w:val="248"/>
          <w:rFonts w:ascii="宋体" w:hAnsi="宋体"/>
          <w:color w:val="auto"/>
          <w:sz w:val="22"/>
          <w:highlight w:val="none"/>
        </w:rPr>
        <w:t>服务必须提前一天向食堂预订，</w:t>
      </w:r>
      <w:r>
        <w:rPr>
          <w:rStyle w:val="248"/>
          <w:rFonts w:hint="eastAsia" w:ascii="宋体" w:hAnsi="宋体"/>
          <w:color w:val="auto"/>
          <w:sz w:val="22"/>
          <w:highlight w:val="none"/>
          <w:lang w:val="en-US"/>
        </w:rPr>
        <w:t>如应急情况通知用餐服务的，尽量提早1小时预定</w:t>
      </w:r>
      <w:r>
        <w:rPr>
          <w:rStyle w:val="248"/>
          <w:rFonts w:ascii="宋体" w:hAnsi="宋体"/>
          <w:color w:val="auto"/>
          <w:sz w:val="22"/>
          <w:highlight w:val="none"/>
        </w:rPr>
        <w:t>。</w:t>
      </w:r>
    </w:p>
    <w:p>
      <w:pPr>
        <w:pStyle w:val="247"/>
        <w:widowControl/>
        <w:snapToGrid w:val="0"/>
        <w:spacing w:line="400" w:lineRule="exact"/>
        <w:rPr>
          <w:rStyle w:val="248"/>
          <w:rFonts w:ascii="宋体" w:hAnsi="宋体"/>
          <w:b/>
          <w:color w:val="auto"/>
          <w:sz w:val="22"/>
          <w:highlight w:val="none"/>
        </w:rPr>
      </w:pPr>
      <w:r>
        <w:rPr>
          <w:rStyle w:val="248"/>
          <w:rFonts w:ascii="宋体" w:hAnsi="宋体"/>
          <w:color w:val="auto"/>
          <w:sz w:val="22"/>
          <w:highlight w:val="none"/>
        </w:rPr>
        <w:t>（三）服务质量要求</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1．  投标供应商需本着对企业品牌的延伸，以社会化效益为主的原则进行服务。对承包期内的人员费用、质量、安全、文明服务等实行全面承包。</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2．  服务质量标准要求按三星级酒店标准订立服务规程。投标供应商应制订具体的服务质量保证措施及相关服务承诺，如因质量未达到要求，投标供应商就因此承担质量安全责任和经济赔偿。</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3．  应建立健全以岗位责任制为中心的各项质量管理制度，做到工作有计划，行为有规范，操作有程序，质量有标准，劳动有纪律。要结合</w:t>
      </w:r>
      <w:r>
        <w:rPr>
          <w:rFonts w:hint="eastAsia" w:ascii="宋体" w:hAnsi="宋体" w:cs="宋体"/>
          <w:color w:val="auto"/>
          <w:sz w:val="22"/>
          <w:szCs w:val="22"/>
          <w:highlight w:val="none"/>
          <w:lang w:eastAsia="zh-CN"/>
        </w:rPr>
        <w:t>街道食堂</w:t>
      </w:r>
      <w:r>
        <w:rPr>
          <w:rFonts w:hint="eastAsia" w:ascii="宋体" w:hAnsi="宋体" w:cs="宋体"/>
          <w:color w:val="auto"/>
          <w:sz w:val="22"/>
          <w:szCs w:val="22"/>
          <w:highlight w:val="none"/>
        </w:rPr>
        <w:t>的特点，从食品质量、花色品种、口感味道、服务方式、饮食卫生等方面制定服务规范或质量标准，不断提高食堂的服务水平。</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4．  对食堂工作的全过程，即对食品及原材料、调料的清点验收、保管、储存、制作加工、配售等工作进行全面质量管理，对食堂职工进行质量管理教育，解全面质量管理的基本知识和方法，树立质量意识。</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5.   投标供应商要加强菜肴的质量管理，不断提高加工水平，各类调味品在菜肴成分里所占比例要控制在</w:t>
      </w:r>
      <w:r>
        <w:rPr>
          <w:rFonts w:hint="eastAsia" w:ascii="宋体" w:hAnsi="宋体" w:cs="宋体"/>
          <w:color w:val="auto"/>
          <w:sz w:val="22"/>
          <w:szCs w:val="22"/>
          <w:highlight w:val="none"/>
          <w:lang w:val="en-US" w:eastAsia="zh-CN"/>
        </w:rPr>
        <w:t>合理范围</w:t>
      </w:r>
      <w:r>
        <w:rPr>
          <w:rFonts w:hint="eastAsia" w:ascii="宋体" w:hAnsi="宋体" w:cs="宋体"/>
          <w:color w:val="auto"/>
          <w:sz w:val="22"/>
          <w:szCs w:val="22"/>
          <w:highlight w:val="none"/>
        </w:rPr>
        <w:t>以内，真正让干部职工吃出健康。</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6．  加强内部质量自查和自我监督，建立内部质量检查小组，定期实施质量检查工作，记录检查结果，建立质量检查档案，组织职工在日常工作中开展质量自查、互查活动。</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7．  服务区内垃圾用袋装收集，存放在指定地点，清扫、保洁及生活服务的工作质量按国家卫生城市管理的有关标准严格验收。</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8．  投标供应商须按现代企业制度运行，发挥自身优势，以热心、爱心、专心、贴心的服务，为采购人提供全方位、一体化的专业服务保障，确保单位食堂正常运转，各项重大活动顺利完成。</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9．  投标供应商所有工作人员，必须无条件服从采购人管理人员的调度、指挥，如发现不符合采购人管理要求的工作人员，采购人有权提出整改、更换，如3天内整改、更换、不及时或不到位，经协商无效，采购人有权终止合同。投标供应商更换或调整人员应提前征求采购人意见，在征得采购人同意后方可更换、调整。</w:t>
      </w:r>
    </w:p>
    <w:p>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10．  投标供应商达不到采购人要求及各项服务承诺，采购人有权要求其整改，直到扣款或终止合同。</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11． 投标供应商应严格执行采购人统一管理标准，认真做好防盗、防毒、防火、防食品变味变质、防工伤事故和消防安全、秩序管理工作。需制定消防、抗台、安全等应急措施，并切实地培训到每个岗位人员。</w:t>
      </w:r>
    </w:p>
    <w:p>
      <w:pPr>
        <w:pStyle w:val="247"/>
        <w:widowControl/>
        <w:snapToGrid w:val="0"/>
        <w:spacing w:line="400" w:lineRule="exact"/>
        <w:ind w:left="330" w:hanging="330" w:hangingChars="150"/>
        <w:rPr>
          <w:rStyle w:val="248"/>
          <w:rFonts w:ascii="宋体" w:hAnsi="宋体"/>
          <w:b/>
          <w:color w:val="auto"/>
          <w:sz w:val="22"/>
          <w:highlight w:val="none"/>
        </w:rPr>
      </w:pPr>
      <w:r>
        <w:rPr>
          <w:rStyle w:val="248"/>
          <w:rFonts w:ascii="宋体" w:hAnsi="宋体"/>
          <w:color w:val="auto"/>
          <w:sz w:val="22"/>
          <w:highlight w:val="none"/>
        </w:rPr>
        <w:t>（四）节能措施要求</w:t>
      </w:r>
    </w:p>
    <w:p>
      <w:pPr>
        <w:pStyle w:val="247"/>
        <w:widowControl/>
        <w:snapToGrid w:val="0"/>
        <w:spacing w:line="400" w:lineRule="exact"/>
        <w:ind w:left="330" w:hanging="330" w:hangingChars="150"/>
        <w:rPr>
          <w:rStyle w:val="248"/>
          <w:rFonts w:ascii="宋体" w:hAnsi="宋体"/>
          <w:color w:val="auto"/>
          <w:sz w:val="22"/>
          <w:highlight w:val="none"/>
        </w:rPr>
      </w:pPr>
      <w:r>
        <w:rPr>
          <w:rStyle w:val="248"/>
          <w:rFonts w:ascii="宋体" w:hAnsi="宋体"/>
          <w:color w:val="auto"/>
          <w:sz w:val="22"/>
          <w:highlight w:val="none"/>
        </w:rPr>
        <w:t>1、全面贯彻落实</w:t>
      </w:r>
      <w:r>
        <w:rPr>
          <w:rStyle w:val="248"/>
          <w:rFonts w:hint="eastAsia" w:ascii="宋体" w:hAnsi="宋体"/>
          <w:color w:val="auto"/>
          <w:sz w:val="22"/>
          <w:highlight w:val="none"/>
        </w:rPr>
        <w:t>甲方</w:t>
      </w:r>
      <w:r>
        <w:rPr>
          <w:rStyle w:val="248"/>
          <w:rFonts w:ascii="宋体" w:hAnsi="宋体"/>
          <w:color w:val="auto"/>
          <w:sz w:val="22"/>
          <w:highlight w:val="none"/>
        </w:rPr>
        <w:t>制定有关节能的各项规章制度。</w:t>
      </w:r>
    </w:p>
    <w:p>
      <w:pPr>
        <w:pStyle w:val="247"/>
        <w:widowControl/>
        <w:snapToGrid w:val="0"/>
        <w:spacing w:line="400" w:lineRule="exact"/>
        <w:ind w:left="330" w:hanging="330" w:hangingChars="150"/>
        <w:rPr>
          <w:rStyle w:val="248"/>
          <w:rFonts w:ascii="宋体" w:hAnsi="宋体"/>
          <w:color w:val="auto"/>
          <w:sz w:val="22"/>
          <w:highlight w:val="none"/>
        </w:rPr>
      </w:pPr>
      <w:r>
        <w:rPr>
          <w:rStyle w:val="248"/>
          <w:rFonts w:ascii="宋体" w:hAnsi="宋体"/>
          <w:color w:val="auto"/>
          <w:sz w:val="22"/>
          <w:highlight w:val="none"/>
        </w:rPr>
        <w:t>2、积极协助</w:t>
      </w:r>
      <w:r>
        <w:rPr>
          <w:rStyle w:val="248"/>
          <w:rFonts w:hint="eastAsia" w:ascii="宋体" w:hAnsi="宋体"/>
          <w:color w:val="auto"/>
          <w:sz w:val="22"/>
          <w:highlight w:val="none"/>
        </w:rPr>
        <w:t>甲方</w:t>
      </w:r>
      <w:r>
        <w:rPr>
          <w:rStyle w:val="248"/>
          <w:rFonts w:ascii="宋体" w:hAnsi="宋体"/>
          <w:color w:val="auto"/>
          <w:sz w:val="22"/>
          <w:highlight w:val="none"/>
        </w:rPr>
        <w:t>做好各项节能项目的改造工作。</w:t>
      </w:r>
    </w:p>
    <w:p>
      <w:pPr>
        <w:pStyle w:val="247"/>
        <w:widowControl/>
        <w:snapToGrid w:val="0"/>
        <w:spacing w:line="400" w:lineRule="exact"/>
        <w:ind w:left="330" w:hanging="330" w:hangingChars="150"/>
        <w:rPr>
          <w:rStyle w:val="248"/>
          <w:rFonts w:ascii="宋体" w:hAnsi="宋体"/>
          <w:color w:val="auto"/>
          <w:sz w:val="22"/>
          <w:highlight w:val="none"/>
        </w:rPr>
      </w:pPr>
      <w:r>
        <w:rPr>
          <w:rStyle w:val="248"/>
          <w:rFonts w:ascii="宋体" w:hAnsi="宋体"/>
          <w:color w:val="auto"/>
          <w:sz w:val="22"/>
          <w:highlight w:val="none"/>
        </w:rPr>
        <w:t>3、积极协助</w:t>
      </w:r>
      <w:r>
        <w:rPr>
          <w:rStyle w:val="248"/>
          <w:rFonts w:hint="eastAsia" w:ascii="宋体" w:hAnsi="宋体"/>
          <w:color w:val="auto"/>
          <w:sz w:val="22"/>
          <w:highlight w:val="none"/>
        </w:rPr>
        <w:t>甲方</w:t>
      </w:r>
      <w:r>
        <w:rPr>
          <w:rStyle w:val="248"/>
          <w:rFonts w:ascii="宋体" w:hAnsi="宋体"/>
          <w:color w:val="auto"/>
          <w:sz w:val="22"/>
          <w:highlight w:val="none"/>
        </w:rPr>
        <w:t>做好节能工作的宣传教育工作。</w:t>
      </w:r>
    </w:p>
    <w:p>
      <w:pPr>
        <w:pStyle w:val="247"/>
        <w:widowControl/>
        <w:snapToGrid w:val="0"/>
        <w:spacing w:line="400" w:lineRule="exact"/>
        <w:ind w:left="330" w:hanging="330" w:hangingChars="150"/>
        <w:rPr>
          <w:rStyle w:val="248"/>
          <w:rFonts w:ascii="宋体" w:hAnsi="宋体"/>
          <w:color w:val="auto"/>
          <w:sz w:val="22"/>
          <w:highlight w:val="none"/>
        </w:rPr>
      </w:pPr>
      <w:r>
        <w:rPr>
          <w:rStyle w:val="248"/>
          <w:rFonts w:ascii="宋体" w:hAnsi="宋体"/>
          <w:color w:val="auto"/>
          <w:sz w:val="22"/>
          <w:highlight w:val="none"/>
        </w:rPr>
        <w:t>4、</w:t>
      </w:r>
      <w:r>
        <w:rPr>
          <w:rStyle w:val="248"/>
          <w:rFonts w:hint="eastAsia" w:ascii="宋体" w:hAnsi="宋体"/>
          <w:color w:val="auto"/>
          <w:sz w:val="22"/>
          <w:highlight w:val="none"/>
        </w:rPr>
        <w:t>乙方</w:t>
      </w:r>
      <w:r>
        <w:rPr>
          <w:rStyle w:val="248"/>
          <w:rFonts w:ascii="宋体" w:hAnsi="宋体"/>
          <w:color w:val="auto"/>
          <w:sz w:val="22"/>
          <w:highlight w:val="none"/>
        </w:rPr>
        <w:t>所承担的行政服务中心食堂的各项服务要求严格按照有关节能要求来实施服务工作。</w:t>
      </w:r>
    </w:p>
    <w:p>
      <w:pPr>
        <w:pStyle w:val="247"/>
        <w:widowControl/>
        <w:snapToGrid w:val="0"/>
        <w:spacing w:line="400" w:lineRule="exact"/>
        <w:ind w:left="330" w:hanging="330" w:hangingChars="150"/>
        <w:rPr>
          <w:rStyle w:val="248"/>
          <w:rFonts w:ascii="宋体" w:hAnsi="宋体"/>
          <w:color w:val="auto"/>
          <w:sz w:val="22"/>
          <w:highlight w:val="none"/>
        </w:rPr>
      </w:pPr>
      <w:r>
        <w:rPr>
          <w:rStyle w:val="248"/>
          <w:rFonts w:ascii="宋体" w:hAnsi="宋体"/>
          <w:color w:val="auto"/>
          <w:sz w:val="22"/>
          <w:highlight w:val="none"/>
        </w:rPr>
        <w:t>5、</w:t>
      </w:r>
      <w:r>
        <w:rPr>
          <w:rStyle w:val="248"/>
          <w:rFonts w:hint="eastAsia" w:ascii="宋体" w:hAnsi="宋体"/>
          <w:color w:val="auto"/>
          <w:sz w:val="22"/>
          <w:highlight w:val="none"/>
        </w:rPr>
        <w:t>甲方</w:t>
      </w:r>
      <w:r>
        <w:rPr>
          <w:rStyle w:val="248"/>
          <w:rFonts w:ascii="宋体" w:hAnsi="宋体"/>
          <w:color w:val="auto"/>
          <w:sz w:val="22"/>
          <w:highlight w:val="none"/>
        </w:rPr>
        <w:t>所承担服务区域的全年节电、节水、节油等年度目标要达到减5%以上，这一指标要作为年度考核</w:t>
      </w:r>
      <w:r>
        <w:rPr>
          <w:rStyle w:val="248"/>
          <w:rFonts w:hint="eastAsia" w:ascii="宋体" w:hAnsi="宋体"/>
          <w:color w:val="auto"/>
          <w:sz w:val="22"/>
          <w:highlight w:val="none"/>
        </w:rPr>
        <w:t>街道食堂</w:t>
      </w:r>
      <w:r>
        <w:rPr>
          <w:rStyle w:val="248"/>
          <w:rFonts w:ascii="宋体" w:hAnsi="宋体"/>
          <w:color w:val="auto"/>
          <w:sz w:val="22"/>
          <w:highlight w:val="none"/>
        </w:rPr>
        <w:t>管理服务质量的重要依据。</w:t>
      </w:r>
    </w:p>
    <w:p>
      <w:pPr>
        <w:pStyle w:val="247"/>
        <w:widowControl/>
        <w:snapToGrid w:val="0"/>
        <w:spacing w:line="400" w:lineRule="exact"/>
        <w:ind w:left="323" w:hanging="323" w:hangingChars="147"/>
        <w:rPr>
          <w:rStyle w:val="248"/>
          <w:rFonts w:ascii="宋体" w:hAnsi="宋体"/>
          <w:color w:val="auto"/>
          <w:sz w:val="22"/>
          <w:highlight w:val="none"/>
        </w:rPr>
      </w:pPr>
      <w:r>
        <w:rPr>
          <w:rStyle w:val="248"/>
          <w:rFonts w:ascii="宋体" w:hAnsi="宋体"/>
          <w:color w:val="auto"/>
          <w:sz w:val="22"/>
          <w:highlight w:val="none"/>
        </w:rPr>
        <w:t>6、</w:t>
      </w:r>
      <w:r>
        <w:rPr>
          <w:rStyle w:val="248"/>
          <w:rFonts w:hint="eastAsia" w:ascii="宋体" w:hAnsi="宋体"/>
          <w:color w:val="auto"/>
          <w:sz w:val="22"/>
          <w:highlight w:val="none"/>
        </w:rPr>
        <w:t>甲方</w:t>
      </w:r>
      <w:r>
        <w:rPr>
          <w:rStyle w:val="248"/>
          <w:rFonts w:ascii="宋体" w:hAnsi="宋体"/>
          <w:color w:val="auto"/>
          <w:sz w:val="22"/>
          <w:highlight w:val="none"/>
        </w:rPr>
        <w:t>已将节能内容列入对</w:t>
      </w:r>
      <w:r>
        <w:rPr>
          <w:rStyle w:val="248"/>
          <w:rFonts w:hint="eastAsia" w:ascii="宋体" w:hAnsi="宋体"/>
          <w:color w:val="auto"/>
          <w:sz w:val="22"/>
          <w:highlight w:val="none"/>
        </w:rPr>
        <w:t>乙方</w:t>
      </w:r>
      <w:r>
        <w:rPr>
          <w:rStyle w:val="248"/>
          <w:rFonts w:ascii="宋体" w:hAnsi="宋体"/>
          <w:color w:val="auto"/>
          <w:sz w:val="22"/>
          <w:highlight w:val="none"/>
        </w:rPr>
        <w:t>百分考核制之中，</w:t>
      </w:r>
      <w:r>
        <w:rPr>
          <w:rStyle w:val="248"/>
          <w:rFonts w:hint="eastAsia" w:ascii="宋体" w:hAnsi="宋体"/>
          <w:color w:val="auto"/>
          <w:sz w:val="22"/>
          <w:highlight w:val="none"/>
        </w:rPr>
        <w:t>甲方</w:t>
      </w:r>
      <w:r>
        <w:rPr>
          <w:rStyle w:val="248"/>
          <w:rFonts w:ascii="宋体" w:hAnsi="宋体"/>
          <w:color w:val="auto"/>
          <w:sz w:val="22"/>
          <w:highlight w:val="none"/>
        </w:rPr>
        <w:t>组织人员定期与不定期对</w:t>
      </w:r>
      <w:r>
        <w:rPr>
          <w:rStyle w:val="248"/>
          <w:rFonts w:hint="eastAsia" w:ascii="宋体" w:hAnsi="宋体"/>
          <w:color w:val="auto"/>
          <w:sz w:val="22"/>
          <w:highlight w:val="none"/>
        </w:rPr>
        <w:t>乙方</w:t>
      </w:r>
      <w:r>
        <w:rPr>
          <w:rStyle w:val="248"/>
          <w:rFonts w:ascii="宋体" w:hAnsi="宋体"/>
          <w:color w:val="auto"/>
          <w:sz w:val="22"/>
          <w:highlight w:val="none"/>
        </w:rPr>
        <w:t>落实各项节能措施进行检查考核。</w:t>
      </w:r>
    </w:p>
    <w:p>
      <w:pPr>
        <w:pStyle w:val="247"/>
        <w:widowControl/>
        <w:snapToGrid w:val="0"/>
        <w:spacing w:line="400" w:lineRule="exact"/>
        <w:ind w:left="321" w:leftChars="-50" w:hanging="426" w:hangingChars="194"/>
        <w:rPr>
          <w:rStyle w:val="248"/>
          <w:rFonts w:ascii="宋体" w:hAnsi="宋体"/>
          <w:b/>
          <w:color w:val="auto"/>
          <w:sz w:val="22"/>
          <w:highlight w:val="none"/>
        </w:rPr>
      </w:pPr>
      <w:r>
        <w:rPr>
          <w:rStyle w:val="248"/>
          <w:rFonts w:ascii="宋体" w:hAnsi="宋体"/>
          <w:color w:val="auto"/>
          <w:sz w:val="22"/>
          <w:highlight w:val="none"/>
        </w:rPr>
        <w:t>六、食品安全管理要求</w:t>
      </w:r>
    </w:p>
    <w:p>
      <w:pPr>
        <w:pStyle w:val="247"/>
        <w:widowControl/>
        <w:snapToGrid w:val="0"/>
        <w:spacing w:line="400" w:lineRule="exact"/>
        <w:ind w:left="220" w:hanging="220" w:hangingChars="100"/>
        <w:rPr>
          <w:rStyle w:val="248"/>
          <w:rFonts w:ascii="宋体" w:hAnsi="宋体"/>
          <w:color w:val="auto"/>
          <w:sz w:val="22"/>
          <w:highlight w:val="none"/>
        </w:rPr>
      </w:pPr>
      <w:r>
        <w:rPr>
          <w:rStyle w:val="248"/>
          <w:rFonts w:ascii="宋体" w:hAnsi="宋体"/>
          <w:color w:val="auto"/>
          <w:sz w:val="22"/>
          <w:highlight w:val="none"/>
        </w:rPr>
        <w:t>1、严格执行《中华人民共和国食品安全法》、《餐饮业食品卫生管理办法》、GB16153《饭馆（餐厅）卫生标准》、GB14934《食（饮）具消毒卫生标准》等卫生安全法律法规及标准。</w:t>
      </w:r>
    </w:p>
    <w:p>
      <w:pPr>
        <w:pStyle w:val="247"/>
        <w:widowControl/>
        <w:snapToGrid w:val="0"/>
        <w:spacing w:line="400" w:lineRule="exact"/>
        <w:ind w:left="323" w:hanging="323" w:hangingChars="147"/>
        <w:rPr>
          <w:rFonts w:hint="eastAsia" w:ascii="宋体" w:hAnsi="宋体" w:eastAsia="宋体" w:cs="宋体"/>
          <w:bCs/>
          <w:color w:val="auto"/>
          <w:kern w:val="0"/>
          <w:szCs w:val="21"/>
          <w:highlight w:val="none"/>
          <w:lang w:val="zh-CN"/>
        </w:rPr>
      </w:pPr>
      <w:r>
        <w:rPr>
          <w:rStyle w:val="248"/>
          <w:rFonts w:ascii="宋体" w:hAnsi="宋体"/>
          <w:color w:val="auto"/>
          <w:sz w:val="22"/>
          <w:highlight w:val="none"/>
        </w:rPr>
        <w:t>2、认真执行《食品加工、销售、饮食业卫生“五、四”制》，并结合本单位的具体情况，建立健全卫生制度，保证食品卫生，保障就餐人员的身体健康，并按</w:t>
      </w:r>
      <w:r>
        <w:rPr>
          <w:rStyle w:val="248"/>
          <w:rFonts w:hint="eastAsia" w:ascii="宋体" w:hAnsi="宋体"/>
          <w:color w:val="auto"/>
          <w:sz w:val="22"/>
          <w:highlight w:val="none"/>
        </w:rPr>
        <w:t>甲方</w:t>
      </w:r>
      <w:r>
        <w:rPr>
          <w:rStyle w:val="248"/>
          <w:rFonts w:ascii="宋体" w:hAnsi="宋体"/>
          <w:color w:val="auto"/>
          <w:sz w:val="22"/>
          <w:highlight w:val="none"/>
        </w:rPr>
        <w:t>要求对食堂所需有关蔬菜、食品卫生实行最优</w:t>
      </w:r>
      <w:r>
        <w:rPr>
          <w:rStyle w:val="248"/>
          <w:rFonts w:ascii="宋体" w:hAnsi="宋体" w:eastAsia="宋体" w:cs="宋体"/>
          <w:color w:val="auto"/>
          <w:sz w:val="22"/>
          <w:highlight w:val="none"/>
        </w:rPr>
        <w:t>质的保证。</w:t>
      </w:r>
      <w:r>
        <w:rPr>
          <w:rStyle w:val="248"/>
          <w:rFonts w:hint="eastAsia" w:ascii="宋体" w:hAnsi="宋体" w:eastAsia="宋体" w:cs="宋体"/>
          <w:color w:val="auto"/>
          <w:sz w:val="22"/>
          <w:highlight w:val="none"/>
          <w:lang w:val="zh-CN"/>
        </w:rPr>
        <w:t>乙方提供的产品要求（包括但不限于）</w:t>
      </w:r>
    </w:p>
    <w:p>
      <w:pPr>
        <w:keepNext w:val="0"/>
        <w:keepLines w:val="0"/>
        <w:pageBreakBefore w:val="0"/>
        <w:widowControl w:val="0"/>
        <w:kinsoku/>
        <w:wordWrap/>
        <w:overflowPunct/>
        <w:topLinePunct w:val="0"/>
        <w:bidi w:val="0"/>
        <w:adjustRightInd w:val="0"/>
        <w:snapToGrid w:val="0"/>
        <w:spacing w:line="400" w:lineRule="exact"/>
        <w:ind w:firstLine="411" w:firstLineChars="196"/>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lang w:val="zh-CN"/>
        </w:rPr>
        <w:t>（1）</w:t>
      </w:r>
      <w:r>
        <w:rPr>
          <w:rFonts w:hint="eastAsia" w:ascii="宋体" w:hAnsi="宋体" w:eastAsia="宋体" w:cs="宋体"/>
          <w:bCs/>
          <w:color w:val="auto"/>
          <w:szCs w:val="21"/>
          <w:highlight w:val="none"/>
        </w:rPr>
        <w:t>食用肉类：有卫生防疫检测印章，无注水；肉新鲜、无异味、无腐烂、无防腐剂保鲜，品质合格无毒无害；家禽类新鲜、无病、无注水。</w:t>
      </w:r>
    </w:p>
    <w:p>
      <w:pPr>
        <w:keepNext w:val="0"/>
        <w:keepLines w:val="0"/>
        <w:pageBreakBefore w:val="0"/>
        <w:widowControl w:val="0"/>
        <w:kinsoku/>
        <w:wordWrap/>
        <w:overflowPunct/>
        <w:topLinePunct w:val="0"/>
        <w:bidi w:val="0"/>
        <w:adjustRightInd w:val="0"/>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（2）蔬菜类：蔬菜新鲜光滑、清脆鲜嫩、无变质腐烂、无黄叶、不带泥沙、无杂草、检验无农药残留等。</w:t>
      </w:r>
    </w:p>
    <w:p>
      <w:pPr>
        <w:keepNext w:val="0"/>
        <w:keepLines w:val="0"/>
        <w:pageBreakBefore w:val="0"/>
        <w:widowControl w:val="0"/>
        <w:kinsoku/>
        <w:wordWrap/>
        <w:overflowPunct/>
        <w:topLinePunct w:val="0"/>
        <w:bidi w:val="0"/>
        <w:adjustRightInd w:val="0"/>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（3）海鲜类：鲜鱼外表鲜艳、鱼体完整，无损伤、鳞片整齐、眼球清晰、鳃无异味，肌肉坚实、有弹性；冻鱼除了具有鲜鱼的质量要求外，包装要完好，鱼体表层无干缩、油烧现象。</w:t>
      </w:r>
    </w:p>
    <w:p>
      <w:pPr>
        <w:keepNext w:val="0"/>
        <w:keepLines w:val="0"/>
        <w:pageBreakBefore w:val="0"/>
        <w:widowControl w:val="0"/>
        <w:kinsoku/>
        <w:wordWrap/>
        <w:overflowPunct/>
        <w:topLinePunct w:val="0"/>
        <w:autoSpaceDE w:val="0"/>
        <w:autoSpaceDN w:val="0"/>
        <w:bidi w:val="0"/>
        <w:adjustRightInd w:val="0"/>
        <w:spacing w:line="400" w:lineRule="exact"/>
        <w:ind w:firstLine="405" w:firstLineChars="193"/>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（4）肉、禽、蛋、水产等必须具有动物检验检疫合格证明或化验单；</w:t>
      </w:r>
    </w:p>
    <w:p>
      <w:pPr>
        <w:keepNext w:val="0"/>
        <w:keepLines w:val="0"/>
        <w:pageBreakBefore w:val="0"/>
        <w:widowControl w:val="0"/>
        <w:kinsoku/>
        <w:wordWrap/>
        <w:overflowPunct/>
        <w:topLinePunct w:val="0"/>
        <w:autoSpaceDE w:val="0"/>
        <w:autoSpaceDN w:val="0"/>
        <w:bidi w:val="0"/>
        <w:adjustRightInd w:val="0"/>
        <w:spacing w:line="400" w:lineRule="exact"/>
        <w:ind w:firstLine="405" w:firstLineChars="193"/>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（5）豆制品、辅料、半成品必须具有“</w:t>
      </w:r>
      <w:r>
        <w:rPr>
          <w:rFonts w:hint="eastAsia" w:ascii="宋体" w:hAnsi="宋体" w:eastAsia="宋体" w:cs="宋体"/>
          <w:bCs/>
          <w:color w:val="auto"/>
          <w:kern w:val="0"/>
          <w:szCs w:val="21"/>
          <w:highlight w:val="none"/>
          <w:lang w:val="en-US" w:eastAsia="zh-CN"/>
        </w:rPr>
        <w:t>sc</w:t>
      </w:r>
      <w:r>
        <w:rPr>
          <w:rFonts w:hint="eastAsia" w:ascii="宋体" w:hAnsi="宋体" w:eastAsia="宋体" w:cs="宋体"/>
          <w:bCs/>
          <w:color w:val="auto"/>
          <w:kern w:val="0"/>
          <w:szCs w:val="21"/>
          <w:highlight w:val="none"/>
          <w:lang w:val="zh-CN"/>
        </w:rPr>
        <w:t>”食品质量安全认证；</w:t>
      </w:r>
    </w:p>
    <w:p>
      <w:pPr>
        <w:keepNext w:val="0"/>
        <w:keepLines w:val="0"/>
        <w:pageBreakBefore w:val="0"/>
        <w:widowControl w:val="0"/>
        <w:kinsoku/>
        <w:wordWrap/>
        <w:overflowPunct/>
        <w:topLinePunct w:val="0"/>
        <w:autoSpaceDE w:val="0"/>
        <w:autoSpaceDN w:val="0"/>
        <w:bidi w:val="0"/>
        <w:adjustRightInd w:val="0"/>
        <w:spacing w:line="400" w:lineRule="exact"/>
        <w:ind w:firstLine="405" w:firstLineChars="193"/>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（6）蔬菜必须保证新鲜，按供货批次提供农贸市场蔬菜农药检测结果，且符合食品卫生安全法要求；</w:t>
      </w:r>
    </w:p>
    <w:p>
      <w:pPr>
        <w:keepNext w:val="0"/>
        <w:keepLines w:val="0"/>
        <w:pageBreakBefore w:val="0"/>
        <w:widowControl w:val="0"/>
        <w:kinsoku/>
        <w:wordWrap/>
        <w:overflowPunct/>
        <w:topLinePunct w:val="0"/>
        <w:autoSpaceDE w:val="0"/>
        <w:autoSpaceDN w:val="0"/>
        <w:bidi w:val="0"/>
        <w:adjustRightInd w:val="0"/>
        <w:spacing w:line="400" w:lineRule="exact"/>
        <w:ind w:firstLine="405" w:firstLineChars="193"/>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w:t>
      </w:r>
      <w:r>
        <w:rPr>
          <w:rFonts w:hint="eastAsia" w:ascii="宋体" w:hAnsi="宋体" w:eastAsia="宋体" w:cs="宋体"/>
          <w:bCs/>
          <w:color w:val="auto"/>
          <w:kern w:val="0"/>
          <w:szCs w:val="21"/>
          <w:highlight w:val="none"/>
          <w:lang w:val="en-US" w:eastAsia="zh-CN"/>
        </w:rPr>
        <w:t>7</w:t>
      </w:r>
      <w:r>
        <w:rPr>
          <w:rFonts w:hint="eastAsia" w:ascii="宋体" w:hAnsi="宋体" w:eastAsia="宋体" w:cs="宋体"/>
          <w:bCs/>
          <w:color w:val="auto"/>
          <w:kern w:val="0"/>
          <w:szCs w:val="21"/>
          <w:highlight w:val="none"/>
          <w:lang w:val="zh-CN"/>
        </w:rPr>
        <w:t>）</w:t>
      </w:r>
      <w:r>
        <w:rPr>
          <w:rFonts w:hint="eastAsia" w:ascii="宋体" w:hAnsi="宋体" w:eastAsia="宋体" w:cs="宋体"/>
          <w:color w:val="auto"/>
          <w:kern w:val="0"/>
          <w:sz w:val="22"/>
          <w:szCs w:val="22"/>
          <w:highlight w:val="none"/>
          <w:lang w:val="en-US" w:eastAsia="zh-CN" w:bidi="ar-SA"/>
        </w:rPr>
        <w:t xml:space="preserve">水果应该具有本品种应有的外形，大小均匀，无黑斑凹陷、无腐烂、无破损、农药残留不超标 </w:t>
      </w:r>
      <w:r>
        <w:rPr>
          <w:rFonts w:hint="eastAsia" w:ascii="宋体" w:hAnsi="宋体" w:eastAsia="宋体" w:cs="宋体"/>
          <w:bCs/>
          <w:color w:val="auto"/>
          <w:kern w:val="0"/>
          <w:szCs w:val="21"/>
          <w:highlight w:val="none"/>
          <w:lang w:val="zh-CN"/>
        </w:rPr>
        <w:t>；</w:t>
      </w:r>
    </w:p>
    <w:p>
      <w:pPr>
        <w:keepNext w:val="0"/>
        <w:keepLines w:val="0"/>
        <w:pageBreakBefore w:val="0"/>
        <w:widowControl w:val="0"/>
        <w:kinsoku/>
        <w:wordWrap/>
        <w:overflowPunct/>
        <w:topLinePunct w:val="0"/>
        <w:autoSpaceDE w:val="0"/>
        <w:autoSpaceDN w:val="0"/>
        <w:bidi w:val="0"/>
        <w:adjustRightInd w:val="0"/>
        <w:spacing w:line="400" w:lineRule="exact"/>
        <w:ind w:firstLine="405" w:firstLineChars="193"/>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w:t>
      </w:r>
      <w:r>
        <w:rPr>
          <w:rFonts w:hint="eastAsia" w:ascii="宋体" w:hAnsi="宋体" w:eastAsia="宋体" w:cs="宋体"/>
          <w:bCs/>
          <w:color w:val="auto"/>
          <w:kern w:val="0"/>
          <w:szCs w:val="21"/>
          <w:highlight w:val="none"/>
          <w:lang w:val="en-US" w:eastAsia="zh-CN"/>
        </w:rPr>
        <w:t>8</w:t>
      </w:r>
      <w:r>
        <w:rPr>
          <w:rFonts w:hint="eastAsia" w:ascii="宋体" w:hAnsi="宋体" w:eastAsia="宋体" w:cs="宋体"/>
          <w:bCs/>
          <w:color w:val="auto"/>
          <w:kern w:val="0"/>
          <w:szCs w:val="21"/>
          <w:highlight w:val="none"/>
          <w:lang w:val="zh-CN"/>
        </w:rPr>
        <w:t>）采购货源必须持有与销售内容相对应的有效营业执照，食品生产许可证或食品销售许可证；</w:t>
      </w:r>
    </w:p>
    <w:p>
      <w:pPr>
        <w:keepNext w:val="0"/>
        <w:keepLines w:val="0"/>
        <w:pageBreakBefore w:val="0"/>
        <w:widowControl w:val="0"/>
        <w:kinsoku/>
        <w:wordWrap/>
        <w:overflowPunct/>
        <w:topLinePunct w:val="0"/>
        <w:autoSpaceDE w:val="0"/>
        <w:autoSpaceDN w:val="0"/>
        <w:bidi w:val="0"/>
        <w:adjustRightInd w:val="0"/>
        <w:spacing w:line="400" w:lineRule="exact"/>
        <w:ind w:firstLine="405" w:firstLineChars="193"/>
        <w:rPr>
          <w:rFonts w:hint="eastAsia" w:ascii="宋体" w:hAnsi="宋体" w:eastAsia="宋体" w:cs="宋体"/>
          <w:bCs/>
          <w:color w:val="auto"/>
          <w:kern w:val="0"/>
          <w:szCs w:val="21"/>
          <w:highlight w:val="none"/>
          <w:lang w:val="zh-CN" w:eastAsia="zh-CN"/>
        </w:rPr>
      </w:pPr>
      <w:r>
        <w:rPr>
          <w:rFonts w:hint="eastAsia" w:ascii="宋体" w:hAnsi="宋体" w:eastAsia="宋体" w:cs="宋体"/>
          <w:bCs/>
          <w:color w:val="auto"/>
          <w:kern w:val="0"/>
          <w:szCs w:val="21"/>
          <w:highlight w:val="none"/>
          <w:lang w:val="zh-CN"/>
        </w:rPr>
        <w:t>（</w:t>
      </w:r>
      <w:r>
        <w:rPr>
          <w:rFonts w:hint="eastAsia" w:ascii="宋体" w:hAnsi="宋体" w:eastAsia="宋体" w:cs="宋体"/>
          <w:bCs/>
          <w:color w:val="auto"/>
          <w:kern w:val="0"/>
          <w:szCs w:val="21"/>
          <w:highlight w:val="none"/>
          <w:lang w:val="en-US" w:eastAsia="zh-CN"/>
        </w:rPr>
        <w:t>9</w:t>
      </w:r>
      <w:r>
        <w:rPr>
          <w:rFonts w:hint="eastAsia" w:ascii="宋体" w:hAnsi="宋体" w:eastAsia="宋体" w:cs="宋体"/>
          <w:bCs/>
          <w:color w:val="auto"/>
          <w:kern w:val="0"/>
          <w:szCs w:val="21"/>
          <w:highlight w:val="none"/>
          <w:lang w:val="zh-CN"/>
        </w:rPr>
        <w:t>）乙方负责供货产品的食品安全，须做到来源可溯，食材必需留存24小时及以上，以备安全核查</w:t>
      </w:r>
      <w:r>
        <w:rPr>
          <w:rFonts w:hint="eastAsia" w:ascii="宋体" w:hAnsi="宋体" w:eastAsia="宋体" w:cs="宋体"/>
          <w:bCs/>
          <w:color w:val="auto"/>
          <w:szCs w:val="21"/>
          <w:highlight w:val="none"/>
        </w:rPr>
        <w:t>。</w:t>
      </w:r>
    </w:p>
    <w:p>
      <w:pPr>
        <w:pStyle w:val="247"/>
        <w:widowControl/>
        <w:snapToGrid w:val="0"/>
        <w:spacing w:line="400" w:lineRule="exact"/>
        <w:ind w:left="323" w:hanging="323" w:hangingChars="147"/>
        <w:rPr>
          <w:rStyle w:val="248"/>
          <w:rFonts w:ascii="宋体" w:hAnsi="宋体"/>
          <w:color w:val="auto"/>
          <w:sz w:val="22"/>
          <w:highlight w:val="none"/>
        </w:rPr>
      </w:pPr>
      <w:r>
        <w:rPr>
          <w:rStyle w:val="248"/>
          <w:rFonts w:ascii="宋体" w:hAnsi="宋体"/>
          <w:color w:val="auto"/>
          <w:sz w:val="22"/>
          <w:highlight w:val="none"/>
        </w:rPr>
        <w:t>3、食品的卫生质量按《全国救灾防病预案》的规定，不用来源不明的原料；不加工、不发售来源不明的食品，防止疾病传染和食物中毒。</w:t>
      </w:r>
    </w:p>
    <w:p>
      <w:pPr>
        <w:pStyle w:val="247"/>
        <w:widowControl/>
        <w:snapToGrid w:val="0"/>
        <w:spacing w:line="400" w:lineRule="exact"/>
        <w:ind w:left="323" w:hanging="323" w:hangingChars="147"/>
        <w:rPr>
          <w:rFonts w:hint="eastAsia"/>
          <w:color w:val="auto"/>
          <w:highlight w:val="none"/>
        </w:rPr>
      </w:pPr>
      <w:r>
        <w:rPr>
          <w:rStyle w:val="248"/>
          <w:rFonts w:ascii="宋体" w:hAnsi="宋体"/>
          <w:color w:val="auto"/>
          <w:sz w:val="22"/>
          <w:highlight w:val="none"/>
        </w:rPr>
        <w:t>4、食堂工作人员必须持有健康合格证上岗，定期复查，严禁患病上岗。负责餐饮加工和冷拼人员须戴口罩、手套上岗。出售直接入口食品时，必须使用售餐用具。食堂工作人员讲究个人卫生，统一着装，规范操作。</w:t>
      </w:r>
    </w:p>
    <w:p>
      <w:pPr>
        <w:spacing w:line="360" w:lineRule="exact"/>
        <w:ind w:left="330" w:hanging="330" w:hangingChars="150"/>
        <w:textAlignment w:val="baseline"/>
        <w:rPr>
          <w:rStyle w:val="248"/>
          <w:rFonts w:ascii="宋体" w:hAnsi="宋体"/>
          <w:b/>
          <w:color w:val="auto"/>
          <w:sz w:val="22"/>
          <w:highlight w:val="none"/>
        </w:rPr>
      </w:pPr>
      <w:r>
        <w:rPr>
          <w:rStyle w:val="248"/>
          <w:rFonts w:ascii="宋体" w:hAnsi="宋体"/>
          <w:color w:val="auto"/>
          <w:sz w:val="22"/>
          <w:highlight w:val="none"/>
        </w:rPr>
        <w:t>5、食品原料的采购</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bCs/>
          <w:color w:val="auto"/>
          <w:sz w:val="22"/>
          <w:szCs w:val="22"/>
          <w:highlight w:val="none"/>
        </w:rPr>
        <w:t>（1）食品的主料、辅料、</w:t>
      </w:r>
      <w:r>
        <w:rPr>
          <w:rFonts w:hint="eastAsia" w:ascii="宋体" w:hAnsi="宋体" w:cs="宋体"/>
          <w:color w:val="auto"/>
          <w:sz w:val="22"/>
          <w:szCs w:val="22"/>
          <w:highlight w:val="none"/>
        </w:rPr>
        <w:t>调料等原材料，投标供应商负责进行采购</w:t>
      </w:r>
      <w:r>
        <w:rPr>
          <w:rFonts w:hint="eastAsia" w:ascii="宋体" w:hAnsi="宋体" w:cs="宋体"/>
          <w:color w:val="auto"/>
          <w:sz w:val="22"/>
          <w:szCs w:val="22"/>
          <w:highlight w:val="none"/>
          <w:lang w:val="en-US" w:eastAsia="zh-CN"/>
        </w:rPr>
        <w:t>和</w:t>
      </w:r>
      <w:r>
        <w:rPr>
          <w:rFonts w:hint="eastAsia" w:ascii="宋体" w:hAnsi="宋体" w:cs="宋体"/>
          <w:color w:val="auto"/>
          <w:sz w:val="22"/>
          <w:szCs w:val="22"/>
          <w:highlight w:val="none"/>
        </w:rPr>
        <w:t>验收</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确保质量和价格等因素，</w:t>
      </w:r>
      <w:r>
        <w:rPr>
          <w:rFonts w:hint="eastAsia" w:ascii="宋体" w:hAnsi="宋体" w:cs="宋体"/>
          <w:color w:val="auto"/>
          <w:sz w:val="22"/>
          <w:szCs w:val="22"/>
          <w:highlight w:val="none"/>
        </w:rPr>
        <w:t>采购人</w:t>
      </w:r>
      <w:r>
        <w:rPr>
          <w:rFonts w:hint="eastAsia" w:ascii="宋体" w:hAnsi="宋体" w:cs="宋体"/>
          <w:color w:val="auto"/>
          <w:sz w:val="22"/>
          <w:szCs w:val="22"/>
          <w:highlight w:val="none"/>
          <w:lang w:val="en-US" w:eastAsia="zh-CN"/>
        </w:rPr>
        <w:t>进行抽查或监督</w:t>
      </w:r>
      <w:r>
        <w:rPr>
          <w:rFonts w:hint="eastAsia" w:ascii="宋体" w:hAnsi="宋体" w:cs="宋体"/>
          <w:color w:val="auto"/>
          <w:sz w:val="22"/>
          <w:szCs w:val="22"/>
          <w:highlight w:val="none"/>
        </w:rPr>
        <w:t>。</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（2）采购的食品及原料每天都要有登记，记录品名、采购点、价格、数量和金额等。由投标供应商负责验收和入库，妥善保管</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采购人</w:t>
      </w:r>
      <w:r>
        <w:rPr>
          <w:rFonts w:hint="eastAsia" w:ascii="宋体" w:hAnsi="宋体" w:cs="宋体"/>
          <w:color w:val="auto"/>
          <w:sz w:val="22"/>
          <w:szCs w:val="22"/>
          <w:highlight w:val="none"/>
          <w:lang w:val="en-US" w:eastAsia="zh-CN"/>
        </w:rPr>
        <w:t>进行抽查或监督</w:t>
      </w:r>
      <w:r>
        <w:rPr>
          <w:rFonts w:hint="eastAsia" w:ascii="宋体" w:hAnsi="宋体" w:cs="宋体"/>
          <w:color w:val="auto"/>
          <w:sz w:val="22"/>
          <w:szCs w:val="22"/>
          <w:highlight w:val="none"/>
        </w:rPr>
        <w:t>。</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（3）食品采购验收人员对清点验收的加工食品及原料，必须检查其商标、出产地（厂家）、检验合格证等是否齐全，并整理归档，严禁接收加工无证产品。</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4）必须严格遵守国家新颁布的《餐饮业食品卫生管理办法》，发现有毒、有害、腐烂变质、酸败、霉变、生虫、污秽、不洁、混有异物或者其他感官性状异常的食品，无检验合格证明的食品，超过保质期限及其他不符合食品标签规定的定型包装食品，应禁止接收或加工制作，并上报采购人处理。</w:t>
      </w:r>
    </w:p>
    <w:p>
      <w:pPr>
        <w:pStyle w:val="247"/>
        <w:widowControl/>
        <w:snapToGrid w:val="0"/>
        <w:spacing w:line="400" w:lineRule="exact"/>
        <w:ind w:left="323" w:hanging="323" w:hangingChars="147"/>
        <w:rPr>
          <w:rStyle w:val="248"/>
          <w:rFonts w:ascii="宋体" w:hAnsi="宋体"/>
          <w:b/>
          <w:color w:val="auto"/>
          <w:sz w:val="22"/>
          <w:highlight w:val="none"/>
        </w:rPr>
      </w:pPr>
      <w:r>
        <w:rPr>
          <w:rStyle w:val="248"/>
          <w:rFonts w:ascii="宋体" w:hAnsi="宋体"/>
          <w:color w:val="auto"/>
          <w:sz w:val="22"/>
          <w:highlight w:val="none"/>
        </w:rPr>
        <w:t>6、食品加工：</w:t>
      </w:r>
    </w:p>
    <w:p>
      <w:pPr>
        <w:pStyle w:val="247"/>
        <w:widowControl/>
        <w:snapToGrid w:val="0"/>
        <w:spacing w:line="400" w:lineRule="exact"/>
        <w:ind w:left="539" w:hanging="539" w:hangingChars="245"/>
        <w:rPr>
          <w:rStyle w:val="248"/>
          <w:rFonts w:ascii="宋体" w:hAnsi="宋体" w:cs="Times New Roman"/>
          <w:b/>
          <w:bCs/>
          <w:color w:val="auto"/>
          <w:sz w:val="22"/>
          <w:highlight w:val="none"/>
        </w:rPr>
      </w:pPr>
      <w:r>
        <w:rPr>
          <w:rStyle w:val="248"/>
          <w:rFonts w:ascii="宋体" w:hAnsi="宋体"/>
          <w:color w:val="auto"/>
          <w:sz w:val="22"/>
          <w:highlight w:val="none"/>
        </w:rPr>
        <w:t>（1）食品加工人员在工作前、处理食品后或接触直接入口的食品前，都必须洗手消毒；不得留长指甲、涂指甲油、戴戒指，勤理发，勤修面，勤洗澡，勤换衣；不得有面对食品打喷嚏、咳嗽及其他有碍食品卫生的行为；不得在食品加工和出售场所内吸烟；厨师应当穿戴整洁的工作衣帽，头发应梳理整齐并置于帽内。</w:t>
      </w:r>
    </w:p>
    <w:p>
      <w:pPr>
        <w:pStyle w:val="247"/>
        <w:widowControl/>
        <w:snapToGrid w:val="0"/>
        <w:spacing w:line="400" w:lineRule="exact"/>
        <w:ind w:left="539" w:hanging="539" w:hangingChars="245"/>
        <w:rPr>
          <w:rStyle w:val="248"/>
          <w:rFonts w:ascii="宋体" w:hAnsi="宋体"/>
          <w:color w:val="auto"/>
          <w:sz w:val="22"/>
          <w:highlight w:val="none"/>
        </w:rPr>
      </w:pPr>
      <w:r>
        <w:rPr>
          <w:rStyle w:val="248"/>
          <w:rFonts w:ascii="宋体" w:hAnsi="宋体"/>
          <w:color w:val="auto"/>
          <w:sz w:val="22"/>
          <w:highlight w:val="none"/>
        </w:rPr>
        <w:t>（2）食品加工人员必须认真检查待加工的食品及其他食品原料，发现有腐败变质或其他感官性状异常的，不得加工或使用。</w:t>
      </w:r>
    </w:p>
    <w:p>
      <w:pPr>
        <w:pStyle w:val="247"/>
        <w:widowControl/>
        <w:snapToGrid w:val="0"/>
        <w:spacing w:line="400" w:lineRule="exact"/>
        <w:ind w:left="539" w:hanging="539" w:hangingChars="245"/>
        <w:rPr>
          <w:rStyle w:val="248"/>
          <w:rFonts w:ascii="宋体" w:hAnsi="宋体"/>
          <w:color w:val="auto"/>
          <w:sz w:val="22"/>
          <w:highlight w:val="none"/>
        </w:rPr>
      </w:pPr>
      <w:r>
        <w:rPr>
          <w:rStyle w:val="248"/>
          <w:rFonts w:ascii="宋体" w:hAnsi="宋体"/>
          <w:color w:val="auto"/>
          <w:sz w:val="22"/>
          <w:highlight w:val="none"/>
        </w:rPr>
        <w:t>（3）各种食品原料在使用前必须洗净，蔬菜应当与肉类、水产品类分池清洗；禽蛋在使用前应当对外壳进行清洗，必要时进行消毒处理；对怀疑带有农药的蔬菜，不得投入加工制作或使用。</w:t>
      </w:r>
    </w:p>
    <w:p>
      <w:pPr>
        <w:pStyle w:val="247"/>
        <w:widowControl/>
        <w:snapToGrid w:val="0"/>
        <w:spacing w:line="400" w:lineRule="exact"/>
        <w:ind w:left="539" w:hanging="539" w:hangingChars="245"/>
        <w:rPr>
          <w:rStyle w:val="248"/>
          <w:rFonts w:ascii="宋体" w:hAnsi="宋体"/>
          <w:color w:val="auto"/>
          <w:sz w:val="22"/>
          <w:highlight w:val="none"/>
        </w:rPr>
      </w:pPr>
      <w:r>
        <w:rPr>
          <w:rStyle w:val="248"/>
          <w:rFonts w:ascii="宋体" w:hAnsi="宋体"/>
          <w:color w:val="auto"/>
          <w:sz w:val="22"/>
          <w:highlight w:val="none"/>
        </w:rPr>
        <w:t>（4）用于原料、半成品、成品的刀、墩、板、桶、盆、筐、抹布以及其他工具或容器必须标志明显，并做到分开使用，尤其是生、熟工具要分开，定位存放，用后洗净，保持清洁。</w:t>
      </w:r>
    </w:p>
    <w:p>
      <w:pPr>
        <w:pStyle w:val="247"/>
        <w:widowControl/>
        <w:snapToGrid w:val="0"/>
        <w:spacing w:line="400" w:lineRule="exact"/>
        <w:ind w:left="539" w:hanging="539" w:hangingChars="245"/>
        <w:rPr>
          <w:rStyle w:val="248"/>
          <w:rFonts w:ascii="宋体" w:hAnsi="宋体"/>
          <w:color w:val="auto"/>
          <w:sz w:val="22"/>
          <w:highlight w:val="none"/>
        </w:rPr>
      </w:pPr>
      <w:r>
        <w:rPr>
          <w:rStyle w:val="248"/>
          <w:rFonts w:ascii="宋体" w:hAnsi="宋体"/>
          <w:color w:val="auto"/>
          <w:sz w:val="22"/>
          <w:highlight w:val="none"/>
        </w:rPr>
        <w:t>（5）需要热制加工的食品必须烧熟煮透，其中心温度不得低于70度；加工后的热制品应当与食品原料或半成品分开存放；半成品应当与食品原料分开存放。</w:t>
      </w:r>
    </w:p>
    <w:p>
      <w:pPr>
        <w:pStyle w:val="247"/>
        <w:widowControl/>
        <w:snapToGrid w:val="0"/>
        <w:spacing w:line="400" w:lineRule="exact"/>
        <w:ind w:left="539" w:hanging="539" w:hangingChars="245"/>
        <w:rPr>
          <w:rStyle w:val="248"/>
          <w:rFonts w:ascii="宋体" w:hAnsi="宋体"/>
          <w:color w:val="auto"/>
          <w:sz w:val="22"/>
          <w:highlight w:val="none"/>
        </w:rPr>
      </w:pPr>
      <w:r>
        <w:rPr>
          <w:rStyle w:val="248"/>
          <w:rFonts w:ascii="宋体" w:hAnsi="宋体"/>
          <w:color w:val="auto"/>
          <w:sz w:val="22"/>
          <w:highlight w:val="none"/>
        </w:rPr>
        <w:t>（6）在烹饪后至食用前需要较长时间(超过2小时)存放的食品，应当在高于6 0度或低于1 0度的条件下存放。需要冷藏的熟制品，应当放凉后再冷藏。凡隔餐、隔夜的熟制品必须经充分再加热后方可食用。</w:t>
      </w:r>
    </w:p>
    <w:p>
      <w:pPr>
        <w:pStyle w:val="247"/>
        <w:widowControl/>
        <w:snapToGrid w:val="0"/>
        <w:spacing w:line="400" w:lineRule="exact"/>
        <w:ind w:left="539" w:hanging="539" w:hangingChars="245"/>
        <w:rPr>
          <w:rStyle w:val="248"/>
          <w:rFonts w:ascii="宋体" w:hAnsi="宋体"/>
          <w:color w:val="auto"/>
          <w:sz w:val="22"/>
          <w:highlight w:val="none"/>
        </w:rPr>
      </w:pPr>
      <w:r>
        <w:rPr>
          <w:rStyle w:val="248"/>
          <w:rFonts w:ascii="宋体" w:hAnsi="宋体"/>
          <w:color w:val="auto"/>
          <w:sz w:val="22"/>
          <w:highlight w:val="none"/>
        </w:rPr>
        <w:t>（7）不允许使用食品添加剂和来源不明的调味品，若确需使用食品添加剂的应严格按照国家卫生标准和有关规定使用。</w:t>
      </w:r>
    </w:p>
    <w:p>
      <w:pPr>
        <w:pStyle w:val="247"/>
        <w:widowControl/>
        <w:snapToGrid w:val="0"/>
        <w:spacing w:line="400" w:lineRule="exact"/>
        <w:ind w:left="539" w:hanging="539" w:hangingChars="245"/>
        <w:rPr>
          <w:rStyle w:val="248"/>
          <w:rFonts w:ascii="宋体" w:hAnsi="宋体"/>
          <w:color w:val="auto"/>
          <w:sz w:val="22"/>
          <w:highlight w:val="none"/>
        </w:rPr>
      </w:pPr>
      <w:r>
        <w:rPr>
          <w:rStyle w:val="248"/>
          <w:rFonts w:ascii="宋体" w:hAnsi="宋体"/>
          <w:color w:val="auto"/>
          <w:sz w:val="22"/>
          <w:highlight w:val="none"/>
        </w:rPr>
        <w:t>（8）加工出售食品时要做好防蝇、防虫、防尘、防霉变、保洁及秋冬季节的食品保温工作。出售食品必须坚持使用清洁的专用工具，严禁用手直接接触食物。</w:t>
      </w:r>
    </w:p>
    <w:p>
      <w:pPr>
        <w:pStyle w:val="247"/>
        <w:widowControl/>
        <w:snapToGrid w:val="0"/>
        <w:spacing w:line="400" w:lineRule="exact"/>
        <w:ind w:left="539" w:hanging="539" w:hangingChars="245"/>
        <w:rPr>
          <w:rStyle w:val="248"/>
          <w:rFonts w:ascii="宋体" w:hAnsi="宋体" w:cs="Times New Roman"/>
          <w:b/>
          <w:bCs/>
          <w:color w:val="auto"/>
          <w:sz w:val="22"/>
          <w:highlight w:val="none"/>
        </w:rPr>
      </w:pPr>
      <w:r>
        <w:rPr>
          <w:rStyle w:val="248"/>
          <w:rFonts w:ascii="宋体" w:hAnsi="宋体" w:cs="Times New Roman"/>
          <w:bCs/>
          <w:color w:val="auto"/>
          <w:sz w:val="22"/>
          <w:highlight w:val="none"/>
        </w:rPr>
        <w:t>7、食品储存</w:t>
      </w:r>
    </w:p>
    <w:p>
      <w:pPr>
        <w:pStyle w:val="247"/>
        <w:widowControl/>
        <w:snapToGrid w:val="0"/>
        <w:spacing w:line="400" w:lineRule="exact"/>
        <w:ind w:left="539" w:hanging="539" w:hangingChars="245"/>
        <w:rPr>
          <w:rStyle w:val="248"/>
          <w:rFonts w:ascii="宋体" w:hAnsi="宋体"/>
          <w:color w:val="auto"/>
          <w:sz w:val="22"/>
          <w:highlight w:val="none"/>
        </w:rPr>
      </w:pPr>
      <w:r>
        <w:rPr>
          <w:rStyle w:val="248"/>
          <w:rFonts w:ascii="宋体" w:hAnsi="宋体"/>
          <w:color w:val="auto"/>
          <w:sz w:val="22"/>
          <w:highlight w:val="none"/>
        </w:rPr>
        <w:t>（1）储存食品场所、设备应当保持清洁，无霉斑、鼠迹、苍蝇、蟑螂；仓库应当通风良好。禁止存放有毒、有害物品及个人生活物品。</w:t>
      </w:r>
    </w:p>
    <w:p>
      <w:pPr>
        <w:pStyle w:val="247"/>
        <w:widowControl/>
        <w:snapToGrid w:val="0"/>
        <w:spacing w:line="400" w:lineRule="exact"/>
        <w:ind w:left="539" w:hanging="539" w:hangingChars="245"/>
        <w:rPr>
          <w:rStyle w:val="248"/>
          <w:rFonts w:ascii="宋体" w:hAnsi="宋体"/>
          <w:color w:val="auto"/>
          <w:sz w:val="22"/>
          <w:highlight w:val="none"/>
        </w:rPr>
      </w:pPr>
      <w:r>
        <w:rPr>
          <w:rStyle w:val="248"/>
          <w:rFonts w:ascii="宋体" w:hAnsi="宋体"/>
          <w:color w:val="auto"/>
          <w:sz w:val="22"/>
          <w:highlight w:val="none"/>
        </w:rPr>
        <w:t>（2）库房食品应当分类、分架、隔墙、离地(30公分以上)存放，并贴上标签：定期检查处理变质或超过保质期限的食品。</w:t>
      </w:r>
    </w:p>
    <w:p>
      <w:pPr>
        <w:pStyle w:val="247"/>
        <w:widowControl/>
        <w:snapToGrid w:val="0"/>
        <w:spacing w:line="400" w:lineRule="exact"/>
        <w:ind w:left="539" w:hanging="539" w:hangingChars="245"/>
        <w:rPr>
          <w:rStyle w:val="248"/>
          <w:rFonts w:ascii="宋体" w:hAnsi="宋体"/>
          <w:color w:val="auto"/>
          <w:sz w:val="22"/>
          <w:highlight w:val="none"/>
        </w:rPr>
      </w:pPr>
      <w:r>
        <w:rPr>
          <w:rStyle w:val="248"/>
          <w:rFonts w:ascii="宋体" w:hAnsi="宋体"/>
          <w:color w:val="auto"/>
          <w:sz w:val="22"/>
          <w:highlight w:val="none"/>
        </w:rPr>
        <w:t>（3）库房必须安排专人负责保管。凡新购食物必须经专人检查合格后，才允许入库；需冷冻食品应及时放入规定冰柜存放。</w:t>
      </w:r>
    </w:p>
    <w:p>
      <w:pPr>
        <w:pStyle w:val="247"/>
        <w:widowControl/>
        <w:snapToGrid w:val="0"/>
        <w:spacing w:line="400" w:lineRule="exact"/>
        <w:ind w:left="539" w:hanging="539" w:hangingChars="245"/>
        <w:rPr>
          <w:rStyle w:val="248"/>
          <w:rFonts w:ascii="宋体" w:hAnsi="宋体"/>
          <w:color w:val="auto"/>
          <w:sz w:val="22"/>
          <w:highlight w:val="none"/>
        </w:rPr>
      </w:pPr>
      <w:r>
        <w:rPr>
          <w:rStyle w:val="248"/>
          <w:rFonts w:ascii="宋体" w:hAnsi="宋体"/>
          <w:color w:val="auto"/>
          <w:sz w:val="22"/>
          <w:highlight w:val="none"/>
        </w:rPr>
        <w:t>（4）每次、每批食品入库、领用都必须做好登记。</w:t>
      </w:r>
    </w:p>
    <w:p>
      <w:pPr>
        <w:pStyle w:val="247"/>
        <w:widowControl/>
        <w:snapToGrid w:val="0"/>
        <w:spacing w:line="400" w:lineRule="exact"/>
        <w:ind w:left="539" w:hanging="539" w:hangingChars="245"/>
        <w:rPr>
          <w:rStyle w:val="248"/>
          <w:rFonts w:ascii="宋体" w:hAnsi="宋体"/>
          <w:color w:val="auto"/>
          <w:sz w:val="22"/>
          <w:highlight w:val="none"/>
        </w:rPr>
      </w:pPr>
      <w:r>
        <w:rPr>
          <w:rStyle w:val="248"/>
          <w:rFonts w:ascii="宋体" w:hAnsi="宋体"/>
          <w:color w:val="auto"/>
          <w:sz w:val="22"/>
          <w:highlight w:val="none"/>
        </w:rPr>
        <w:t>（5）当餐未出售完的食品，应按卫生规定要求放入冰箱、冰柜。</w:t>
      </w:r>
    </w:p>
    <w:p>
      <w:pPr>
        <w:pStyle w:val="247"/>
        <w:widowControl/>
        <w:snapToGrid w:val="0"/>
        <w:spacing w:line="400" w:lineRule="exact"/>
        <w:ind w:left="539" w:hanging="539" w:hangingChars="245"/>
        <w:rPr>
          <w:rStyle w:val="248"/>
          <w:rFonts w:ascii="宋体" w:hAnsi="宋体"/>
          <w:color w:val="auto"/>
          <w:sz w:val="22"/>
          <w:highlight w:val="none"/>
        </w:rPr>
      </w:pPr>
      <w:r>
        <w:rPr>
          <w:rStyle w:val="248"/>
          <w:rFonts w:ascii="宋体" w:hAnsi="宋体"/>
          <w:color w:val="auto"/>
          <w:sz w:val="22"/>
          <w:highlight w:val="none"/>
        </w:rPr>
        <w:t>（6）保管人离开库房时，应立即将门锁好。</w:t>
      </w:r>
    </w:p>
    <w:p>
      <w:pPr>
        <w:pStyle w:val="247"/>
        <w:widowControl/>
        <w:snapToGrid w:val="0"/>
        <w:spacing w:line="400" w:lineRule="exact"/>
        <w:ind w:left="539" w:hanging="539" w:hangingChars="245"/>
        <w:rPr>
          <w:rStyle w:val="248"/>
          <w:rFonts w:ascii="宋体" w:hAnsi="宋体" w:cs="Times New Roman"/>
          <w:b/>
          <w:bCs/>
          <w:color w:val="auto"/>
          <w:sz w:val="22"/>
          <w:highlight w:val="none"/>
        </w:rPr>
      </w:pPr>
      <w:r>
        <w:rPr>
          <w:rStyle w:val="248"/>
          <w:rFonts w:ascii="宋体" w:hAnsi="宋体" w:cs="Times New Roman"/>
          <w:bCs/>
          <w:color w:val="auto"/>
          <w:sz w:val="22"/>
          <w:highlight w:val="none"/>
        </w:rPr>
        <w:t>8、餐饮具消毒卫生</w:t>
      </w:r>
    </w:p>
    <w:p>
      <w:pPr>
        <w:pStyle w:val="247"/>
        <w:widowControl/>
        <w:snapToGrid w:val="0"/>
        <w:spacing w:line="400" w:lineRule="exact"/>
        <w:ind w:left="539" w:hanging="539" w:hangingChars="245"/>
        <w:rPr>
          <w:rStyle w:val="248"/>
          <w:rFonts w:ascii="宋体" w:hAnsi="宋体"/>
          <w:color w:val="auto"/>
          <w:sz w:val="22"/>
          <w:highlight w:val="none"/>
        </w:rPr>
      </w:pPr>
      <w:r>
        <w:rPr>
          <w:rStyle w:val="248"/>
          <w:rFonts w:ascii="宋体" w:hAnsi="宋体"/>
          <w:color w:val="auto"/>
          <w:sz w:val="22"/>
          <w:highlight w:val="none"/>
        </w:rPr>
        <w:t>（1）餐饮具使用前必须做到一清、二洗、三消毒、四保洁，符合国家有关卫生标准。未经消毒的餐饮均不得使用，禁止重复使用—次性餐具。</w:t>
      </w:r>
    </w:p>
    <w:p>
      <w:pPr>
        <w:pStyle w:val="247"/>
        <w:widowControl/>
        <w:snapToGrid w:val="0"/>
        <w:spacing w:line="400" w:lineRule="exact"/>
        <w:ind w:left="539" w:hanging="539" w:hangingChars="245"/>
        <w:rPr>
          <w:rStyle w:val="248"/>
          <w:rFonts w:ascii="宋体" w:hAnsi="宋体"/>
          <w:color w:val="auto"/>
          <w:sz w:val="22"/>
          <w:highlight w:val="none"/>
        </w:rPr>
      </w:pPr>
      <w:r>
        <w:rPr>
          <w:rStyle w:val="248"/>
          <w:rFonts w:ascii="宋体" w:hAnsi="宋体"/>
          <w:color w:val="auto"/>
          <w:sz w:val="22"/>
          <w:highlight w:val="none"/>
        </w:rPr>
        <w:t>（2）洗刷餐饮具必须在专用水池，不得与清洗蔬菜、肉类及其他水池混用。</w:t>
      </w:r>
    </w:p>
    <w:p>
      <w:pPr>
        <w:pStyle w:val="247"/>
        <w:widowControl/>
        <w:snapToGrid w:val="0"/>
        <w:spacing w:line="400" w:lineRule="exact"/>
        <w:ind w:left="539" w:hanging="539" w:hangingChars="245"/>
        <w:rPr>
          <w:rStyle w:val="248"/>
          <w:rFonts w:ascii="宋体" w:hAnsi="宋体"/>
          <w:color w:val="auto"/>
          <w:sz w:val="22"/>
          <w:highlight w:val="none"/>
        </w:rPr>
      </w:pPr>
      <w:r>
        <w:rPr>
          <w:rStyle w:val="248"/>
          <w:rFonts w:ascii="宋体" w:hAnsi="宋体"/>
          <w:color w:val="auto"/>
          <w:sz w:val="22"/>
          <w:highlight w:val="none"/>
        </w:rPr>
        <w:t>（3）洗涤消毒餐饮具使用的洗涤剂、消毒剂必须符合食品卫生标准要求。</w:t>
      </w:r>
    </w:p>
    <w:p>
      <w:pPr>
        <w:pStyle w:val="247"/>
        <w:widowControl/>
        <w:snapToGrid w:val="0"/>
        <w:spacing w:line="400" w:lineRule="exact"/>
        <w:ind w:left="539" w:hanging="539" w:hangingChars="245"/>
        <w:rPr>
          <w:rStyle w:val="248"/>
          <w:rFonts w:ascii="宋体" w:hAnsi="宋体"/>
          <w:color w:val="auto"/>
          <w:sz w:val="22"/>
          <w:highlight w:val="none"/>
        </w:rPr>
      </w:pPr>
      <w:r>
        <w:rPr>
          <w:rStyle w:val="248"/>
          <w:rFonts w:ascii="宋体" w:hAnsi="宋体"/>
          <w:color w:val="auto"/>
          <w:sz w:val="22"/>
          <w:highlight w:val="none"/>
        </w:rPr>
        <w:t>（4）餐饮具，尤其是配餐餐饮具，每餐洗净后必须放入电子消毒柜中消毒或高温消毒；若用消毒剂消毒必须按正确的使用剂量和规定时间程序消毒清洗。</w:t>
      </w:r>
    </w:p>
    <w:p>
      <w:pPr>
        <w:pStyle w:val="247"/>
        <w:widowControl/>
        <w:snapToGrid w:val="0"/>
        <w:spacing w:line="400" w:lineRule="exact"/>
        <w:ind w:left="539" w:hanging="539" w:hangingChars="245"/>
        <w:rPr>
          <w:rStyle w:val="248"/>
          <w:rFonts w:ascii="宋体" w:hAnsi="宋体"/>
          <w:color w:val="auto"/>
          <w:sz w:val="22"/>
          <w:highlight w:val="none"/>
        </w:rPr>
      </w:pPr>
      <w:r>
        <w:rPr>
          <w:rStyle w:val="248"/>
          <w:rFonts w:ascii="宋体" w:hAnsi="宋体"/>
          <w:color w:val="auto"/>
          <w:sz w:val="22"/>
          <w:highlight w:val="none"/>
        </w:rPr>
        <w:t>（5）消毒后的餐饮具必须贮存在餐饮具专用保洁柜内备用；已经消毒与末消毒的餐饮具应分开存放，并在餐饮具贮存柜上有明显标志。</w:t>
      </w:r>
    </w:p>
    <w:p>
      <w:pPr>
        <w:pStyle w:val="247"/>
        <w:widowControl/>
        <w:snapToGrid w:val="0"/>
        <w:spacing w:line="400" w:lineRule="exact"/>
        <w:ind w:left="539" w:hanging="539" w:hangingChars="245"/>
        <w:rPr>
          <w:rStyle w:val="248"/>
          <w:rFonts w:ascii="宋体" w:hAnsi="宋体"/>
          <w:color w:val="auto"/>
          <w:sz w:val="22"/>
          <w:highlight w:val="none"/>
        </w:rPr>
      </w:pPr>
      <w:r>
        <w:rPr>
          <w:rStyle w:val="248"/>
          <w:rFonts w:ascii="宋体" w:hAnsi="宋体"/>
          <w:color w:val="auto"/>
          <w:sz w:val="22"/>
          <w:highlight w:val="none"/>
        </w:rPr>
        <w:t>（6）餐饮具保洁柜应当定期清洗，保持洁净。</w:t>
      </w:r>
    </w:p>
    <w:p>
      <w:pPr>
        <w:pStyle w:val="247"/>
        <w:widowControl/>
        <w:snapToGrid w:val="0"/>
        <w:spacing w:line="400" w:lineRule="exact"/>
        <w:ind w:left="323" w:hanging="323" w:hangingChars="147"/>
        <w:rPr>
          <w:rStyle w:val="248"/>
          <w:rFonts w:ascii="宋体" w:hAnsi="宋体"/>
          <w:color w:val="auto"/>
          <w:sz w:val="22"/>
          <w:highlight w:val="none"/>
        </w:rPr>
      </w:pPr>
      <w:r>
        <w:rPr>
          <w:rStyle w:val="248"/>
          <w:rFonts w:ascii="宋体" w:hAnsi="宋体"/>
          <w:color w:val="auto"/>
          <w:sz w:val="22"/>
          <w:highlight w:val="none"/>
        </w:rPr>
        <w:t>9、要保持餐厅内餐桌、餐椅、墙面、地面等环境设施的消毒清洁。每次售餐完毕后，应按卫生管理规范收放好食品，清洗餐具、柜台，清扫场地。保持室内空气流通，严防各种污染。</w:t>
      </w:r>
    </w:p>
    <w:p>
      <w:pPr>
        <w:pStyle w:val="247"/>
        <w:widowControl/>
        <w:snapToGrid w:val="0"/>
        <w:spacing w:line="400" w:lineRule="exact"/>
        <w:ind w:left="440" w:hanging="440" w:hangingChars="200"/>
        <w:rPr>
          <w:rStyle w:val="248"/>
          <w:rFonts w:ascii="宋体" w:hAnsi="宋体"/>
          <w:color w:val="auto"/>
          <w:sz w:val="22"/>
          <w:highlight w:val="none"/>
        </w:rPr>
      </w:pPr>
      <w:r>
        <w:rPr>
          <w:rStyle w:val="248"/>
          <w:rFonts w:ascii="宋体" w:hAnsi="宋体"/>
          <w:color w:val="auto"/>
          <w:sz w:val="22"/>
          <w:highlight w:val="none"/>
        </w:rPr>
        <w:t>10、洗碗间、冷菜间、烹调制作间保持清洁卫生，厨房用具应及时清洗、消毒，严格做到生熟分开。</w:t>
      </w:r>
    </w:p>
    <w:p>
      <w:pPr>
        <w:pStyle w:val="247"/>
        <w:widowControl/>
        <w:snapToGrid w:val="0"/>
        <w:spacing w:line="400" w:lineRule="exact"/>
        <w:ind w:left="326" w:leftChars="-100" w:hanging="536" w:hangingChars="244"/>
        <w:rPr>
          <w:rStyle w:val="248"/>
          <w:rFonts w:ascii="宋体" w:hAnsi="宋体"/>
          <w:b/>
          <w:color w:val="auto"/>
          <w:sz w:val="22"/>
          <w:highlight w:val="none"/>
        </w:rPr>
      </w:pPr>
      <w:r>
        <w:rPr>
          <w:rStyle w:val="248"/>
          <w:rFonts w:ascii="宋体" w:hAnsi="宋体" w:cs="Times New Roman"/>
          <w:bCs/>
          <w:color w:val="auto"/>
          <w:sz w:val="22"/>
          <w:highlight w:val="none"/>
        </w:rPr>
        <w:t xml:space="preserve">  </w:t>
      </w:r>
      <w:r>
        <w:rPr>
          <w:rStyle w:val="248"/>
          <w:rFonts w:ascii="宋体" w:hAnsi="宋体"/>
          <w:color w:val="auto"/>
          <w:sz w:val="22"/>
          <w:highlight w:val="none"/>
        </w:rPr>
        <w:t>七、考核办法、考核细则</w:t>
      </w:r>
    </w:p>
    <w:p>
      <w:pPr>
        <w:spacing w:line="360" w:lineRule="auto"/>
        <w:textAlignment w:val="baseline"/>
        <w:rPr>
          <w:rStyle w:val="248"/>
          <w:rFonts w:ascii="宋体" w:hAnsi="宋体"/>
          <w:color w:val="auto"/>
          <w:sz w:val="22"/>
          <w:highlight w:val="none"/>
        </w:rPr>
      </w:pPr>
      <w:r>
        <w:rPr>
          <w:rStyle w:val="248"/>
          <w:rFonts w:ascii="宋体" w:hAnsi="宋体"/>
          <w:color w:val="auto"/>
          <w:sz w:val="22"/>
          <w:highlight w:val="none"/>
        </w:rPr>
        <w:t xml:space="preserve">1、 </w:t>
      </w:r>
      <w:r>
        <w:rPr>
          <w:rStyle w:val="248"/>
          <w:rFonts w:ascii="宋体" w:hAnsi="宋体" w:eastAsia="宋体" w:cs="宋体"/>
          <w:color w:val="auto"/>
          <w:sz w:val="22"/>
          <w:highlight w:val="none"/>
        </w:rPr>
        <w:t>为了实现</w:t>
      </w:r>
      <w:r>
        <w:rPr>
          <w:rStyle w:val="248"/>
          <w:rFonts w:hint="eastAsia" w:ascii="宋体" w:hAnsi="宋体" w:eastAsia="宋体" w:cs="宋体"/>
          <w:color w:val="auto"/>
          <w:sz w:val="22"/>
          <w:highlight w:val="none"/>
          <w:lang w:val="en-US"/>
        </w:rPr>
        <w:t>甲方</w:t>
      </w:r>
      <w:r>
        <w:rPr>
          <w:rStyle w:val="248"/>
          <w:rFonts w:ascii="宋体" w:hAnsi="宋体" w:eastAsia="宋体" w:cs="宋体"/>
          <w:color w:val="auto"/>
          <w:sz w:val="22"/>
          <w:highlight w:val="none"/>
        </w:rPr>
        <w:t>管理的标</w:t>
      </w:r>
      <w:r>
        <w:rPr>
          <w:rStyle w:val="248"/>
          <w:rFonts w:ascii="宋体" w:hAnsi="宋体"/>
          <w:color w:val="auto"/>
          <w:sz w:val="22"/>
          <w:highlight w:val="none"/>
        </w:rPr>
        <w:t>准化、制度化、规范化、科学化,确保</w:t>
      </w:r>
      <w:r>
        <w:rPr>
          <w:rStyle w:val="248"/>
          <w:rFonts w:hint="eastAsia" w:ascii="宋体" w:hAnsi="宋体"/>
          <w:color w:val="auto"/>
          <w:sz w:val="22"/>
          <w:highlight w:val="none"/>
        </w:rPr>
        <w:t>行政服务中心</w:t>
      </w:r>
      <w:r>
        <w:rPr>
          <w:rStyle w:val="248"/>
          <w:rFonts w:ascii="宋体" w:hAnsi="宋体"/>
          <w:color w:val="auto"/>
          <w:sz w:val="22"/>
          <w:highlight w:val="none"/>
        </w:rPr>
        <w:t>高效、安全、有序运行，圆满完成年度各项</w:t>
      </w:r>
      <w:r>
        <w:rPr>
          <w:rStyle w:val="248"/>
          <w:rFonts w:hint="eastAsia" w:ascii="宋体" w:hAnsi="宋体"/>
          <w:color w:val="auto"/>
          <w:sz w:val="22"/>
          <w:highlight w:val="none"/>
        </w:rPr>
        <w:t>食堂所需的服务工作</w:t>
      </w:r>
      <w:r>
        <w:rPr>
          <w:rStyle w:val="248"/>
          <w:rFonts w:ascii="宋体" w:hAnsi="宋体"/>
          <w:color w:val="auto"/>
          <w:sz w:val="22"/>
          <w:highlight w:val="none"/>
        </w:rPr>
        <w:t>目标，特制定本办法。</w:t>
      </w:r>
    </w:p>
    <w:p>
      <w:pPr>
        <w:spacing w:line="360" w:lineRule="auto"/>
        <w:textAlignment w:val="baseline"/>
        <w:rPr>
          <w:rStyle w:val="248"/>
          <w:rFonts w:ascii="宋体" w:hAnsi="宋体"/>
          <w:color w:val="auto"/>
          <w:sz w:val="22"/>
          <w:highlight w:val="none"/>
        </w:rPr>
      </w:pPr>
      <w:r>
        <w:rPr>
          <w:rStyle w:val="248"/>
          <w:rFonts w:ascii="宋体" w:hAnsi="宋体"/>
          <w:color w:val="auto"/>
          <w:sz w:val="22"/>
          <w:highlight w:val="none"/>
        </w:rPr>
        <w:t>2、 考核对象负责</w:t>
      </w:r>
      <w:r>
        <w:rPr>
          <w:rStyle w:val="248"/>
          <w:rFonts w:hint="eastAsia" w:ascii="宋体" w:hAnsi="宋体"/>
          <w:color w:val="auto"/>
          <w:sz w:val="22"/>
          <w:highlight w:val="none"/>
        </w:rPr>
        <w:t>梧田街道食堂</w:t>
      </w:r>
      <w:r>
        <w:rPr>
          <w:rStyle w:val="248"/>
          <w:rFonts w:ascii="宋体" w:hAnsi="宋体"/>
          <w:color w:val="auto"/>
          <w:sz w:val="22"/>
          <w:highlight w:val="none"/>
        </w:rPr>
        <w:t>餐饮，</w:t>
      </w:r>
      <w:r>
        <w:rPr>
          <w:rStyle w:val="248"/>
          <w:rFonts w:hint="eastAsia" w:ascii="宋体" w:hAnsi="宋体"/>
          <w:color w:val="auto"/>
          <w:sz w:val="22"/>
          <w:highlight w:val="none"/>
        </w:rPr>
        <w:t>乙方</w:t>
      </w:r>
      <w:r>
        <w:rPr>
          <w:rStyle w:val="248"/>
          <w:rFonts w:ascii="宋体" w:hAnsi="宋体"/>
          <w:color w:val="auto"/>
          <w:sz w:val="22"/>
          <w:highlight w:val="none"/>
        </w:rPr>
        <w:t>负责人为第一责任人，项目经理为具体责任人。</w:t>
      </w:r>
    </w:p>
    <w:p>
      <w:pPr>
        <w:spacing w:line="360" w:lineRule="auto"/>
        <w:textAlignment w:val="baseline"/>
        <w:rPr>
          <w:rStyle w:val="248"/>
          <w:rFonts w:ascii="宋体" w:hAnsi="宋体"/>
          <w:color w:val="auto"/>
          <w:sz w:val="22"/>
          <w:highlight w:val="none"/>
        </w:rPr>
      </w:pPr>
      <w:r>
        <w:rPr>
          <w:rStyle w:val="248"/>
          <w:rFonts w:ascii="宋体" w:hAnsi="宋体"/>
          <w:color w:val="auto"/>
          <w:sz w:val="22"/>
          <w:highlight w:val="none"/>
        </w:rPr>
        <w:t>3、 考核内容</w:t>
      </w:r>
    </w:p>
    <w:p>
      <w:pPr>
        <w:spacing w:line="360" w:lineRule="auto"/>
        <w:textAlignment w:val="baseline"/>
        <w:rPr>
          <w:rStyle w:val="248"/>
          <w:rFonts w:ascii="宋体" w:hAnsi="宋体"/>
          <w:color w:val="auto"/>
          <w:sz w:val="22"/>
          <w:highlight w:val="none"/>
        </w:rPr>
      </w:pPr>
      <w:r>
        <w:rPr>
          <w:rStyle w:val="248"/>
          <w:rFonts w:hint="eastAsia" w:ascii="宋体" w:hAnsi="宋体"/>
          <w:color w:val="auto"/>
          <w:sz w:val="22"/>
          <w:highlight w:val="none"/>
          <w:lang w:val="en-US"/>
        </w:rPr>
        <w:t>详见考核表</w:t>
      </w:r>
      <w:r>
        <w:rPr>
          <w:rStyle w:val="248"/>
          <w:rFonts w:ascii="宋体" w:hAnsi="宋体"/>
          <w:color w:val="auto"/>
          <w:sz w:val="22"/>
          <w:highlight w:val="none"/>
        </w:rPr>
        <w:t>。</w:t>
      </w:r>
    </w:p>
    <w:p>
      <w:pPr>
        <w:spacing w:line="360" w:lineRule="auto"/>
        <w:textAlignment w:val="baseline"/>
        <w:rPr>
          <w:rStyle w:val="248"/>
          <w:rFonts w:ascii="宋体" w:hAnsi="宋体"/>
          <w:color w:val="auto"/>
          <w:sz w:val="22"/>
          <w:highlight w:val="none"/>
        </w:rPr>
      </w:pPr>
      <w:r>
        <w:rPr>
          <w:rStyle w:val="248"/>
          <w:rFonts w:ascii="宋体" w:hAnsi="宋体"/>
          <w:color w:val="auto"/>
          <w:sz w:val="22"/>
          <w:highlight w:val="none"/>
        </w:rPr>
        <w:t>4、 考核依据</w:t>
      </w:r>
    </w:p>
    <w:p>
      <w:pPr>
        <w:spacing w:line="360" w:lineRule="auto"/>
        <w:textAlignment w:val="baseline"/>
        <w:rPr>
          <w:rStyle w:val="248"/>
          <w:rFonts w:ascii="宋体" w:hAnsi="宋体"/>
          <w:color w:val="auto"/>
          <w:sz w:val="22"/>
          <w:highlight w:val="none"/>
        </w:rPr>
      </w:pPr>
      <w:r>
        <w:rPr>
          <w:rStyle w:val="248"/>
          <w:rFonts w:hint="eastAsia" w:ascii="宋体" w:hAnsi="宋体"/>
          <w:color w:val="auto"/>
          <w:sz w:val="22"/>
          <w:highlight w:val="none"/>
        </w:rPr>
        <w:t>乙方</w:t>
      </w:r>
      <w:r>
        <w:rPr>
          <w:rStyle w:val="248"/>
          <w:rFonts w:ascii="宋体" w:hAnsi="宋体"/>
          <w:color w:val="auto"/>
          <w:sz w:val="22"/>
          <w:highlight w:val="none"/>
        </w:rPr>
        <w:t>合同承诺所确定的各项具体工作目标作为考核主要依据。此外双方在管理过程中（合同以外）协调一致的补充内容也可作为考核依据。</w:t>
      </w:r>
    </w:p>
    <w:p>
      <w:pPr>
        <w:spacing w:line="360" w:lineRule="auto"/>
        <w:textAlignment w:val="baseline"/>
        <w:rPr>
          <w:rStyle w:val="248"/>
          <w:rFonts w:ascii="宋体" w:hAnsi="宋体"/>
          <w:color w:val="auto"/>
          <w:sz w:val="22"/>
          <w:highlight w:val="none"/>
        </w:rPr>
      </w:pPr>
      <w:r>
        <w:rPr>
          <w:rStyle w:val="248"/>
          <w:rFonts w:ascii="宋体" w:hAnsi="宋体"/>
          <w:color w:val="auto"/>
          <w:sz w:val="22"/>
          <w:highlight w:val="none"/>
        </w:rPr>
        <w:t>5、 考核办法</w:t>
      </w:r>
    </w:p>
    <w:p>
      <w:pPr>
        <w:spacing w:line="360" w:lineRule="auto"/>
        <w:textAlignment w:val="baseline"/>
        <w:rPr>
          <w:rStyle w:val="248"/>
          <w:rFonts w:ascii="宋体" w:hAnsi="宋体"/>
          <w:color w:val="auto"/>
          <w:sz w:val="22"/>
          <w:highlight w:val="none"/>
        </w:rPr>
      </w:pPr>
      <w:r>
        <w:rPr>
          <w:rStyle w:val="248"/>
          <w:rFonts w:hint="eastAsia" w:ascii="宋体" w:hAnsi="宋体"/>
          <w:color w:val="auto"/>
          <w:sz w:val="22"/>
          <w:highlight w:val="none"/>
          <w:lang w:val="en-US" w:eastAsia="zh-CN"/>
        </w:rPr>
        <w:t>根据实际情况指定考核办法，</w:t>
      </w:r>
      <w:r>
        <w:rPr>
          <w:rStyle w:val="248"/>
          <w:rFonts w:ascii="宋体" w:hAnsi="宋体"/>
          <w:color w:val="auto"/>
          <w:sz w:val="22"/>
          <w:highlight w:val="none"/>
        </w:rPr>
        <w:t>采取定期检查考核的方式，</w:t>
      </w:r>
      <w:r>
        <w:rPr>
          <w:rStyle w:val="248"/>
          <w:rFonts w:hint="eastAsia" w:ascii="宋体" w:hAnsi="宋体"/>
          <w:color w:val="auto"/>
          <w:sz w:val="22"/>
          <w:highlight w:val="none"/>
        </w:rPr>
        <w:t>甲方</w:t>
      </w:r>
      <w:r>
        <w:rPr>
          <w:rStyle w:val="248"/>
          <w:rFonts w:ascii="宋体" w:hAnsi="宋体"/>
          <w:color w:val="auto"/>
          <w:sz w:val="22"/>
          <w:highlight w:val="none"/>
        </w:rPr>
        <w:t>组建考核小组，每月</w:t>
      </w:r>
      <w:r>
        <w:rPr>
          <w:rStyle w:val="248"/>
          <w:rFonts w:hint="eastAsia" w:ascii="宋体" w:hAnsi="宋体"/>
          <w:color w:val="auto"/>
          <w:sz w:val="22"/>
          <w:highlight w:val="none"/>
          <w:lang w:val="en-US"/>
        </w:rPr>
        <w:t>对本项目</w:t>
      </w:r>
      <w:r>
        <w:rPr>
          <w:rStyle w:val="248"/>
          <w:rFonts w:ascii="宋体" w:hAnsi="宋体"/>
          <w:color w:val="auto"/>
          <w:sz w:val="22"/>
          <w:highlight w:val="none"/>
        </w:rPr>
        <w:t>进行检查评分。</w:t>
      </w:r>
    </w:p>
    <w:p>
      <w:pPr>
        <w:spacing w:line="360" w:lineRule="auto"/>
        <w:textAlignment w:val="baseline"/>
        <w:rPr>
          <w:rStyle w:val="248"/>
          <w:rFonts w:ascii="宋体" w:hAnsi="宋体"/>
          <w:color w:val="auto"/>
          <w:sz w:val="22"/>
          <w:highlight w:val="none"/>
        </w:rPr>
      </w:pPr>
      <w:r>
        <w:rPr>
          <w:rStyle w:val="248"/>
          <w:rFonts w:ascii="宋体" w:hAnsi="宋体"/>
          <w:color w:val="auto"/>
          <w:sz w:val="22"/>
          <w:highlight w:val="none"/>
        </w:rPr>
        <w:t>6、由于不可抗力或者其他客观因素造成某项工作不能完成的，由该相关单位提出理由及书面报告，交考核小组讨论确定。</w:t>
      </w:r>
    </w:p>
    <w:p>
      <w:pPr>
        <w:spacing w:line="360" w:lineRule="auto"/>
        <w:textAlignment w:val="baseline"/>
        <w:rPr>
          <w:rStyle w:val="248"/>
          <w:rFonts w:ascii="宋体" w:hAnsi="宋体" w:eastAsia="宋体" w:cs="宋体"/>
          <w:color w:val="auto"/>
          <w:sz w:val="22"/>
          <w:highlight w:val="none"/>
        </w:rPr>
      </w:pPr>
      <w:r>
        <w:rPr>
          <w:rStyle w:val="248"/>
          <w:rFonts w:ascii="宋体" w:hAnsi="宋体" w:eastAsia="宋体" w:cs="宋体"/>
          <w:color w:val="auto"/>
          <w:sz w:val="22"/>
          <w:highlight w:val="none"/>
        </w:rPr>
        <w:t>7</w:t>
      </w:r>
      <w:r>
        <w:rPr>
          <w:rStyle w:val="248"/>
          <w:rFonts w:hint="eastAsia" w:ascii="宋体" w:hAnsi="宋体" w:eastAsia="宋体" w:cs="宋体"/>
          <w:color w:val="auto"/>
          <w:sz w:val="22"/>
          <w:highlight w:val="none"/>
        </w:rPr>
        <w:t>、</w:t>
      </w:r>
      <w:r>
        <w:rPr>
          <w:rStyle w:val="248"/>
          <w:rFonts w:hint="eastAsia" w:ascii="宋体" w:hAnsi="宋体" w:eastAsia="宋体" w:cs="宋体"/>
          <w:color w:val="auto"/>
          <w:sz w:val="22"/>
          <w:highlight w:val="none"/>
          <w:lang w:val="en-US"/>
        </w:rPr>
        <w:t>考核处罚制度</w:t>
      </w:r>
    </w:p>
    <w:p>
      <w:pPr>
        <w:widowControl/>
        <w:jc w:val="left"/>
        <w:rPr>
          <w:rFonts w:hint="eastAsia" w:ascii="宋体" w:hAnsi="宋体" w:eastAsia="宋体" w:cs="宋体"/>
          <w:bCs/>
          <w:color w:val="auto"/>
          <w:kern w:val="0"/>
          <w:sz w:val="22"/>
          <w:szCs w:val="22"/>
          <w:highlight w:val="none"/>
        </w:rPr>
      </w:pPr>
      <w:r>
        <w:rPr>
          <w:rStyle w:val="248"/>
          <w:rFonts w:hint="eastAsia" w:ascii="宋体" w:hAnsi="宋体" w:eastAsia="宋体" w:cs="宋体"/>
          <w:color w:val="auto"/>
          <w:sz w:val="22"/>
          <w:highlight w:val="none"/>
        </w:rPr>
        <w:t>如考核得分高于90分（含），全额支付当月应付款</w:t>
      </w:r>
      <w:r>
        <w:rPr>
          <w:rStyle w:val="248"/>
          <w:rFonts w:hint="eastAsia" w:ascii="宋体" w:hAnsi="宋体" w:eastAsia="宋体" w:cs="宋体"/>
          <w:color w:val="auto"/>
          <w:sz w:val="22"/>
          <w:highlight w:val="none"/>
          <w:lang w:eastAsia="zh-CN"/>
        </w:rPr>
        <w:t>。</w:t>
      </w:r>
      <w:r>
        <w:rPr>
          <w:rFonts w:hint="eastAsia" w:ascii="宋体" w:hAnsi="宋体" w:eastAsia="宋体" w:cs="宋体"/>
          <w:bCs/>
          <w:color w:val="auto"/>
          <w:kern w:val="0"/>
          <w:sz w:val="22"/>
          <w:szCs w:val="22"/>
          <w:highlight w:val="none"/>
        </w:rPr>
        <w:t>考核得分低于90分且高于80分（含）的，</w:t>
      </w:r>
      <w:r>
        <w:rPr>
          <w:rFonts w:hint="eastAsia" w:ascii="宋体" w:hAnsi="宋体" w:cs="宋体"/>
          <w:bCs/>
          <w:color w:val="auto"/>
          <w:kern w:val="0"/>
          <w:sz w:val="22"/>
          <w:szCs w:val="22"/>
          <w:highlight w:val="none"/>
          <w:lang w:eastAsia="zh-CN"/>
        </w:rPr>
        <w:t>90分以下每扣一分处罚3000元违约金，80分以下每扣一分处罚5000元违约金，</w:t>
      </w:r>
      <w:r>
        <w:rPr>
          <w:rFonts w:hint="eastAsia" w:ascii="宋体" w:hAnsi="宋体" w:eastAsia="宋体" w:cs="宋体"/>
          <w:bCs/>
          <w:color w:val="auto"/>
          <w:kern w:val="0"/>
          <w:sz w:val="22"/>
          <w:szCs w:val="22"/>
          <w:highlight w:val="none"/>
        </w:rPr>
        <w:t>采购人有权直接从当月应付未付款项中扣除</w:t>
      </w:r>
      <w:r>
        <w:rPr>
          <w:rFonts w:hint="eastAsia" w:ascii="宋体" w:hAnsi="宋体" w:eastAsia="宋体" w:cs="宋体"/>
          <w:bCs/>
          <w:color w:val="auto"/>
          <w:kern w:val="0"/>
          <w:sz w:val="22"/>
          <w:szCs w:val="22"/>
          <w:highlight w:val="none"/>
          <w:lang w:eastAsia="zh-CN"/>
        </w:rPr>
        <w:t>。</w:t>
      </w:r>
    </w:p>
    <w:p>
      <w:pPr>
        <w:spacing w:line="360" w:lineRule="auto"/>
        <w:textAlignment w:val="baseline"/>
        <w:rPr>
          <w:rStyle w:val="248"/>
          <w:rFonts w:ascii="宋体" w:hAnsi="宋体" w:eastAsia="宋体" w:cs="宋体"/>
          <w:color w:val="auto"/>
          <w:sz w:val="22"/>
          <w:highlight w:val="none"/>
          <w:lang w:val="en-US" w:eastAsia="zh-CN"/>
        </w:rPr>
      </w:pPr>
      <w:r>
        <w:rPr>
          <w:rStyle w:val="248"/>
          <w:rFonts w:hint="eastAsia" w:ascii="宋体" w:hAnsi="宋体" w:eastAsia="宋体" w:cs="宋体"/>
          <w:color w:val="auto"/>
          <w:sz w:val="22"/>
          <w:highlight w:val="none"/>
          <w:lang w:val="en-US" w:eastAsia="zh-CN"/>
        </w:rPr>
        <w:t>8、</w:t>
      </w:r>
      <w:r>
        <w:rPr>
          <w:rFonts w:hint="eastAsia" w:ascii="宋体" w:hAnsi="宋体" w:eastAsia="宋体" w:cs="宋体"/>
          <w:bCs/>
          <w:color w:val="auto"/>
          <w:kern w:val="0"/>
          <w:sz w:val="22"/>
          <w:szCs w:val="22"/>
          <w:highlight w:val="none"/>
        </w:rPr>
        <w:t>考核得分累计两次低于80分或一次低于60分，采购人有权无条件终止合同。</w:t>
      </w:r>
    </w:p>
    <w:p>
      <w:pPr>
        <w:spacing w:line="360" w:lineRule="auto"/>
        <w:textAlignment w:val="baseline"/>
        <w:rPr>
          <w:rStyle w:val="248"/>
          <w:rFonts w:ascii="宋体" w:hAnsi="宋体"/>
          <w:color w:val="auto"/>
          <w:sz w:val="22"/>
          <w:highlight w:val="none"/>
        </w:rPr>
      </w:pPr>
      <w:r>
        <w:rPr>
          <w:rStyle w:val="248"/>
          <w:rFonts w:hint="eastAsia" w:ascii="宋体" w:hAnsi="宋体"/>
          <w:color w:val="auto"/>
          <w:sz w:val="22"/>
          <w:highlight w:val="none"/>
        </w:rPr>
        <w:t>9</w:t>
      </w:r>
      <w:r>
        <w:rPr>
          <w:rStyle w:val="248"/>
          <w:rFonts w:ascii="宋体" w:hAnsi="宋体"/>
          <w:color w:val="auto"/>
          <w:sz w:val="22"/>
          <w:highlight w:val="none"/>
        </w:rPr>
        <w:t>、</w:t>
      </w:r>
      <w:r>
        <w:rPr>
          <w:rStyle w:val="248"/>
          <w:rFonts w:hint="eastAsia" w:ascii="宋体" w:hAnsi="宋体"/>
          <w:color w:val="auto"/>
          <w:sz w:val="22"/>
          <w:highlight w:val="none"/>
        </w:rPr>
        <w:t>乙方</w:t>
      </w:r>
      <w:r>
        <w:rPr>
          <w:rStyle w:val="248"/>
          <w:rFonts w:ascii="宋体" w:hAnsi="宋体"/>
          <w:color w:val="auto"/>
          <w:sz w:val="22"/>
          <w:highlight w:val="none"/>
        </w:rPr>
        <w:t>工作人员缺勤、缺岗、违章违纪的，按照</w:t>
      </w:r>
      <w:r>
        <w:rPr>
          <w:rStyle w:val="248"/>
          <w:rFonts w:hint="eastAsia" w:ascii="宋体" w:hAnsi="宋体"/>
          <w:color w:val="auto"/>
          <w:sz w:val="22"/>
          <w:highlight w:val="none"/>
        </w:rPr>
        <w:t>乙方</w:t>
      </w:r>
      <w:r>
        <w:rPr>
          <w:rStyle w:val="248"/>
          <w:rFonts w:ascii="宋体" w:hAnsi="宋体"/>
          <w:color w:val="auto"/>
          <w:sz w:val="22"/>
          <w:highlight w:val="none"/>
        </w:rPr>
        <w:t>相关规定相应扣罚</w:t>
      </w:r>
      <w:r>
        <w:rPr>
          <w:rStyle w:val="248"/>
          <w:rFonts w:hint="eastAsia" w:ascii="宋体" w:hAnsi="宋体"/>
          <w:color w:val="auto"/>
          <w:sz w:val="22"/>
          <w:highlight w:val="none"/>
        </w:rPr>
        <w:t>服务</w:t>
      </w:r>
      <w:r>
        <w:rPr>
          <w:rStyle w:val="248"/>
          <w:rFonts w:ascii="宋体" w:hAnsi="宋体"/>
          <w:color w:val="auto"/>
          <w:sz w:val="22"/>
          <w:highlight w:val="none"/>
        </w:rPr>
        <w:t>费，缺编的，按照</w:t>
      </w:r>
      <w:r>
        <w:rPr>
          <w:rStyle w:val="248"/>
          <w:rFonts w:hint="eastAsia" w:ascii="宋体" w:hAnsi="宋体"/>
          <w:color w:val="auto"/>
          <w:sz w:val="22"/>
          <w:highlight w:val="none"/>
        </w:rPr>
        <w:t>乙方</w:t>
      </w:r>
      <w:r>
        <w:rPr>
          <w:rStyle w:val="248"/>
          <w:rFonts w:ascii="宋体" w:hAnsi="宋体"/>
          <w:color w:val="auto"/>
          <w:sz w:val="22"/>
          <w:highlight w:val="none"/>
        </w:rPr>
        <w:t>相应工资标准进行扣罚</w:t>
      </w:r>
      <w:r>
        <w:rPr>
          <w:rStyle w:val="248"/>
          <w:rFonts w:hint="eastAsia" w:ascii="宋体" w:hAnsi="宋体"/>
          <w:color w:val="auto"/>
          <w:sz w:val="22"/>
          <w:highlight w:val="none"/>
        </w:rPr>
        <w:t>服务</w:t>
      </w:r>
      <w:r>
        <w:rPr>
          <w:rStyle w:val="248"/>
          <w:rFonts w:ascii="宋体" w:hAnsi="宋体"/>
          <w:color w:val="auto"/>
          <w:sz w:val="22"/>
          <w:highlight w:val="none"/>
        </w:rPr>
        <w:t>费。</w:t>
      </w:r>
    </w:p>
    <w:p>
      <w:pPr>
        <w:spacing w:line="360" w:lineRule="auto"/>
        <w:textAlignment w:val="baseline"/>
        <w:rPr>
          <w:rStyle w:val="248"/>
          <w:rFonts w:ascii="宋体" w:hAnsi="宋体"/>
          <w:color w:val="auto"/>
          <w:sz w:val="22"/>
          <w:highlight w:val="none"/>
        </w:rPr>
      </w:pPr>
      <w:r>
        <w:rPr>
          <w:rStyle w:val="248"/>
          <w:rFonts w:hint="eastAsia" w:ascii="宋体" w:hAnsi="宋体"/>
          <w:color w:val="auto"/>
          <w:sz w:val="22"/>
          <w:highlight w:val="none"/>
        </w:rPr>
        <w:t>10</w:t>
      </w:r>
      <w:r>
        <w:rPr>
          <w:rStyle w:val="248"/>
          <w:rFonts w:ascii="宋体" w:hAnsi="宋体"/>
          <w:color w:val="auto"/>
          <w:sz w:val="22"/>
          <w:highlight w:val="none"/>
        </w:rPr>
        <w:t>、</w:t>
      </w:r>
      <w:r>
        <w:rPr>
          <w:rStyle w:val="248"/>
          <w:rFonts w:hint="eastAsia" w:ascii="宋体" w:hAnsi="宋体"/>
          <w:color w:val="auto"/>
          <w:sz w:val="22"/>
          <w:highlight w:val="none"/>
        </w:rPr>
        <w:t>乙方</w:t>
      </w:r>
      <w:r>
        <w:rPr>
          <w:rStyle w:val="248"/>
          <w:rFonts w:ascii="宋体" w:hAnsi="宋体"/>
          <w:color w:val="auto"/>
          <w:sz w:val="22"/>
          <w:highlight w:val="none"/>
        </w:rPr>
        <w:t>被有效投诉二次以上的或造成外部不良影响的，扣考核奖罚金的30%。</w:t>
      </w:r>
    </w:p>
    <w:p>
      <w:pPr>
        <w:spacing w:line="360" w:lineRule="auto"/>
        <w:textAlignment w:val="baseline"/>
        <w:rPr>
          <w:rStyle w:val="248"/>
          <w:rFonts w:ascii="宋体" w:hAnsi="宋体"/>
          <w:color w:val="auto"/>
          <w:sz w:val="22"/>
          <w:highlight w:val="none"/>
        </w:rPr>
      </w:pPr>
      <w:r>
        <w:rPr>
          <w:rStyle w:val="248"/>
          <w:rFonts w:ascii="宋体" w:hAnsi="宋体"/>
          <w:color w:val="auto"/>
          <w:sz w:val="22"/>
          <w:highlight w:val="none"/>
        </w:rPr>
        <w:t>1</w:t>
      </w:r>
      <w:r>
        <w:rPr>
          <w:rStyle w:val="248"/>
          <w:rFonts w:hint="eastAsia" w:ascii="宋体" w:hAnsi="宋体"/>
          <w:color w:val="auto"/>
          <w:sz w:val="22"/>
          <w:highlight w:val="none"/>
        </w:rPr>
        <w:t>1</w:t>
      </w:r>
      <w:r>
        <w:rPr>
          <w:rStyle w:val="248"/>
          <w:rFonts w:ascii="宋体" w:hAnsi="宋体"/>
          <w:color w:val="auto"/>
          <w:sz w:val="22"/>
          <w:highlight w:val="none"/>
        </w:rPr>
        <w:t>、</w:t>
      </w:r>
      <w:r>
        <w:rPr>
          <w:rFonts w:hint="eastAsia" w:ascii="宋体" w:hAnsi="宋体" w:eastAsia="宋体" w:cs="宋体"/>
          <w:bCs/>
          <w:color w:val="auto"/>
          <w:kern w:val="0"/>
          <w:sz w:val="22"/>
          <w:szCs w:val="22"/>
          <w:highlight w:val="none"/>
        </w:rPr>
        <w:t>如出现因食材问题发生事故，采购人有权无条件终止合同</w:t>
      </w:r>
      <w:r>
        <w:rPr>
          <w:rFonts w:hint="eastAsia" w:ascii="宋体" w:hAnsi="宋体" w:eastAsia="宋体" w:cs="宋体"/>
          <w:bCs/>
          <w:color w:val="auto"/>
          <w:kern w:val="0"/>
          <w:sz w:val="22"/>
          <w:szCs w:val="22"/>
          <w:highlight w:val="none"/>
          <w:lang w:eastAsia="zh-CN"/>
        </w:rPr>
        <w:t>，</w:t>
      </w:r>
      <w:r>
        <w:rPr>
          <w:rFonts w:hint="eastAsia" w:ascii="宋体" w:hAnsi="宋体" w:eastAsia="宋体" w:cs="宋体"/>
          <w:bCs/>
          <w:color w:val="auto"/>
          <w:kern w:val="0"/>
          <w:sz w:val="22"/>
          <w:szCs w:val="22"/>
          <w:highlight w:val="none"/>
          <w:lang w:val="en-US" w:eastAsia="zh-CN"/>
        </w:rPr>
        <w:t>并保留追究赔偿的权力</w:t>
      </w:r>
      <w:r>
        <w:rPr>
          <w:rFonts w:hint="eastAsia" w:ascii="宋体" w:hAnsi="宋体" w:eastAsia="宋体" w:cs="宋体"/>
          <w:bCs/>
          <w:color w:val="auto"/>
          <w:kern w:val="0"/>
          <w:sz w:val="22"/>
          <w:szCs w:val="22"/>
          <w:highlight w:val="none"/>
        </w:rPr>
        <w:t>。</w:t>
      </w:r>
    </w:p>
    <w:p>
      <w:pPr>
        <w:pStyle w:val="247"/>
        <w:widowControl/>
        <w:snapToGrid w:val="0"/>
        <w:spacing w:line="400" w:lineRule="exact"/>
        <w:rPr>
          <w:rStyle w:val="248"/>
          <w:rFonts w:ascii="宋体" w:hAnsi="宋体"/>
          <w:b/>
          <w:color w:val="auto"/>
          <w:sz w:val="22"/>
          <w:highlight w:val="none"/>
        </w:rPr>
      </w:pPr>
      <w:r>
        <w:rPr>
          <w:rStyle w:val="248"/>
          <w:rFonts w:ascii="宋体" w:hAnsi="宋体" w:cs="Times New Roman"/>
          <w:bCs/>
          <w:color w:val="auto"/>
          <w:sz w:val="22"/>
          <w:highlight w:val="none"/>
        </w:rPr>
        <w:t xml:space="preserve"> </w:t>
      </w:r>
      <w:r>
        <w:rPr>
          <w:rStyle w:val="248"/>
          <w:rFonts w:ascii="宋体" w:hAnsi="宋体"/>
          <w:color w:val="auto"/>
          <w:sz w:val="22"/>
          <w:highlight w:val="none"/>
        </w:rPr>
        <w:t>八、劳务管理</w:t>
      </w:r>
    </w:p>
    <w:p>
      <w:pPr>
        <w:pStyle w:val="247"/>
        <w:widowControl/>
        <w:snapToGrid w:val="0"/>
        <w:spacing w:line="400" w:lineRule="exact"/>
        <w:ind w:left="550" w:hanging="550" w:hangingChars="250"/>
        <w:rPr>
          <w:rStyle w:val="248"/>
          <w:rFonts w:ascii="宋体" w:hAnsi="宋体"/>
          <w:color w:val="auto"/>
          <w:sz w:val="22"/>
          <w:highlight w:val="none"/>
        </w:rPr>
      </w:pPr>
      <w:r>
        <w:rPr>
          <w:rStyle w:val="248"/>
          <w:rFonts w:ascii="宋体" w:hAnsi="宋体"/>
          <w:color w:val="auto"/>
          <w:sz w:val="22"/>
          <w:highlight w:val="none"/>
        </w:rPr>
        <w:t>（1）</w:t>
      </w:r>
      <w:r>
        <w:rPr>
          <w:rStyle w:val="248"/>
          <w:rFonts w:hint="eastAsia" w:ascii="宋体" w:hAnsi="宋体"/>
          <w:color w:val="auto"/>
          <w:sz w:val="22"/>
          <w:highlight w:val="none"/>
        </w:rPr>
        <w:t>乙方</w:t>
      </w:r>
      <w:r>
        <w:rPr>
          <w:rStyle w:val="248"/>
          <w:rFonts w:ascii="宋体" w:hAnsi="宋体"/>
          <w:color w:val="auto"/>
          <w:sz w:val="22"/>
          <w:highlight w:val="none"/>
        </w:rPr>
        <w:t>从实际出发，根据岗位要求，劳动条件和其他方面的实际情况，合理确定职工人数，</w:t>
      </w:r>
      <w:r>
        <w:rPr>
          <w:rStyle w:val="248"/>
          <w:rFonts w:ascii="宋体" w:hAnsi="宋体" w:cs="Arial"/>
          <w:bCs/>
          <w:color w:val="auto"/>
          <w:sz w:val="22"/>
          <w:highlight w:val="none"/>
        </w:rPr>
        <w:t>但总人数不得少于</w:t>
      </w:r>
      <w:r>
        <w:rPr>
          <w:rStyle w:val="248"/>
          <w:rFonts w:hint="eastAsia" w:ascii="宋体" w:hAnsi="宋体" w:cs="Arial"/>
          <w:bCs/>
          <w:color w:val="auto"/>
          <w:sz w:val="22"/>
          <w:highlight w:val="none"/>
        </w:rPr>
        <w:t>7人</w:t>
      </w:r>
      <w:r>
        <w:rPr>
          <w:rStyle w:val="248"/>
          <w:rFonts w:ascii="宋体" w:hAnsi="宋体" w:cs="Arial"/>
          <w:bCs/>
          <w:color w:val="auto"/>
          <w:sz w:val="22"/>
          <w:highlight w:val="none"/>
        </w:rPr>
        <w:t>。</w:t>
      </w:r>
    </w:p>
    <w:p>
      <w:pPr>
        <w:pStyle w:val="247"/>
        <w:widowControl/>
        <w:snapToGrid w:val="0"/>
        <w:spacing w:line="400" w:lineRule="exact"/>
        <w:ind w:left="550" w:hanging="550" w:hangingChars="250"/>
        <w:rPr>
          <w:rStyle w:val="248"/>
          <w:rFonts w:ascii="宋体" w:hAnsi="宋体"/>
          <w:color w:val="auto"/>
          <w:sz w:val="22"/>
          <w:highlight w:val="none"/>
        </w:rPr>
      </w:pPr>
      <w:r>
        <w:rPr>
          <w:rStyle w:val="248"/>
          <w:rFonts w:ascii="宋体" w:hAnsi="宋体"/>
          <w:color w:val="auto"/>
          <w:sz w:val="22"/>
          <w:highlight w:val="none"/>
        </w:rPr>
        <w:t>（2）所有人员都要经过医院体检，患有不适合在食堂工作疾病的，不得录用。 认真执行国家有关劳动保护的规定，重视劳动保护教育，落实劳动保护措施， 逐步改善劳动条件，确保职工的安全与健康。</w:t>
      </w:r>
    </w:p>
    <w:p>
      <w:pPr>
        <w:pStyle w:val="247"/>
        <w:widowControl/>
        <w:snapToGrid w:val="0"/>
        <w:spacing w:line="400" w:lineRule="exact"/>
        <w:ind w:left="550" w:hanging="550" w:hangingChars="250"/>
        <w:rPr>
          <w:rStyle w:val="248"/>
          <w:rFonts w:ascii="宋体" w:hAnsi="宋体"/>
          <w:color w:val="auto"/>
          <w:sz w:val="22"/>
          <w:highlight w:val="none"/>
        </w:rPr>
      </w:pPr>
      <w:r>
        <w:rPr>
          <w:rStyle w:val="248"/>
          <w:rFonts w:ascii="宋体" w:hAnsi="宋体"/>
          <w:color w:val="auto"/>
          <w:sz w:val="22"/>
          <w:highlight w:val="none"/>
        </w:rPr>
        <w:t>（3）</w:t>
      </w:r>
      <w:r>
        <w:rPr>
          <w:rStyle w:val="248"/>
          <w:rFonts w:hint="eastAsia" w:ascii="宋体" w:hAnsi="宋体"/>
          <w:color w:val="auto"/>
          <w:sz w:val="22"/>
          <w:highlight w:val="none"/>
        </w:rPr>
        <w:t>乙方</w:t>
      </w:r>
      <w:r>
        <w:rPr>
          <w:rStyle w:val="248"/>
          <w:rFonts w:ascii="宋体" w:hAnsi="宋体"/>
          <w:color w:val="auto"/>
          <w:sz w:val="22"/>
          <w:highlight w:val="none"/>
        </w:rPr>
        <w:t>应将聘用人员的相关材料（包括体检证明、年龄、从事岗位）等报</w:t>
      </w:r>
      <w:r>
        <w:rPr>
          <w:rStyle w:val="248"/>
          <w:rFonts w:hint="eastAsia" w:ascii="宋体" w:hAnsi="宋体"/>
          <w:color w:val="auto"/>
          <w:sz w:val="22"/>
          <w:highlight w:val="none"/>
        </w:rPr>
        <w:t>甲方</w:t>
      </w:r>
      <w:r>
        <w:rPr>
          <w:rStyle w:val="248"/>
          <w:rFonts w:ascii="宋体" w:hAnsi="宋体"/>
          <w:color w:val="auto"/>
          <w:sz w:val="22"/>
          <w:highlight w:val="none"/>
        </w:rPr>
        <w:t>审查，特殊岗位必须持证上岗，上岗人员要求政治上可靠、身体素质好、无不良行为记录方可录用。</w:t>
      </w:r>
    </w:p>
    <w:p>
      <w:pPr>
        <w:pStyle w:val="247"/>
        <w:widowControl/>
        <w:snapToGrid w:val="0"/>
        <w:spacing w:line="400" w:lineRule="exact"/>
        <w:ind w:left="550" w:hanging="550" w:hangingChars="250"/>
        <w:rPr>
          <w:rStyle w:val="248"/>
          <w:rFonts w:ascii="宋体" w:hAnsi="宋体"/>
          <w:color w:val="auto"/>
          <w:sz w:val="22"/>
          <w:highlight w:val="none"/>
        </w:rPr>
      </w:pPr>
      <w:r>
        <w:rPr>
          <w:rStyle w:val="248"/>
          <w:rFonts w:ascii="宋体" w:hAnsi="宋体"/>
          <w:color w:val="auto"/>
          <w:sz w:val="22"/>
          <w:highlight w:val="none"/>
        </w:rPr>
        <w:t>（4）</w:t>
      </w:r>
      <w:r>
        <w:rPr>
          <w:rStyle w:val="248"/>
          <w:color w:val="auto"/>
          <w:highlight w:val="none"/>
        </w:rPr>
        <w:t>甲方不提供房间留宿，</w:t>
      </w:r>
      <w:r>
        <w:rPr>
          <w:rStyle w:val="248"/>
          <w:rFonts w:ascii="宋体" w:hAnsi="宋体" w:eastAsia="宋体" w:cs="宋体"/>
          <w:color w:val="auto"/>
          <w:sz w:val="22"/>
          <w:highlight w:val="none"/>
        </w:rPr>
        <w:t>食堂内工</w:t>
      </w:r>
      <w:r>
        <w:rPr>
          <w:rStyle w:val="248"/>
          <w:rFonts w:ascii="宋体" w:hAnsi="宋体"/>
          <w:color w:val="auto"/>
          <w:sz w:val="22"/>
          <w:highlight w:val="none"/>
        </w:rPr>
        <w:t>作人员（除值班人员和早点人员）一律不得留宿。上班时间谢绝无关人员进入食堂或加工售菜区域。</w:t>
      </w:r>
    </w:p>
    <w:p>
      <w:pPr>
        <w:pStyle w:val="247"/>
        <w:widowControl/>
        <w:snapToGrid w:val="0"/>
        <w:spacing w:line="400" w:lineRule="exact"/>
        <w:ind w:left="330" w:hanging="330" w:hangingChars="150"/>
        <w:rPr>
          <w:rStyle w:val="248"/>
          <w:rFonts w:ascii="宋体" w:hAnsi="宋体"/>
          <w:b/>
          <w:color w:val="auto"/>
          <w:sz w:val="22"/>
          <w:highlight w:val="none"/>
        </w:rPr>
      </w:pPr>
      <w:r>
        <w:rPr>
          <w:rStyle w:val="248"/>
          <w:rFonts w:ascii="宋体" w:hAnsi="宋体"/>
          <w:color w:val="auto"/>
          <w:sz w:val="22"/>
          <w:highlight w:val="none"/>
        </w:rPr>
        <w:t>（5）员工保险要求</w:t>
      </w:r>
    </w:p>
    <w:p>
      <w:pPr>
        <w:pStyle w:val="247"/>
        <w:widowControl/>
        <w:snapToGrid w:val="0"/>
        <w:spacing w:line="400" w:lineRule="exact"/>
        <w:ind w:left="548" w:leftChars="104" w:hanging="330" w:hangingChars="150"/>
        <w:rPr>
          <w:rStyle w:val="248"/>
          <w:rFonts w:ascii="宋体" w:hAnsi="宋体"/>
          <w:color w:val="auto"/>
          <w:sz w:val="22"/>
          <w:highlight w:val="none"/>
        </w:rPr>
      </w:pPr>
      <w:r>
        <w:rPr>
          <w:rStyle w:val="248"/>
          <w:rFonts w:ascii="宋体" w:hAnsi="宋体"/>
          <w:color w:val="auto"/>
          <w:sz w:val="22"/>
          <w:highlight w:val="none"/>
        </w:rPr>
        <w:t>1）员工人身意外：在</w:t>
      </w:r>
      <w:r>
        <w:rPr>
          <w:rStyle w:val="248"/>
          <w:rFonts w:hint="eastAsia" w:ascii="宋体" w:hAnsi="宋体"/>
          <w:color w:val="auto"/>
          <w:sz w:val="22"/>
          <w:highlight w:val="none"/>
        </w:rPr>
        <w:t>服务</w:t>
      </w:r>
      <w:r>
        <w:rPr>
          <w:rStyle w:val="248"/>
          <w:rFonts w:ascii="宋体" w:hAnsi="宋体"/>
          <w:color w:val="auto"/>
          <w:sz w:val="22"/>
          <w:highlight w:val="none"/>
        </w:rPr>
        <w:t>期内，</w:t>
      </w:r>
      <w:r>
        <w:rPr>
          <w:rStyle w:val="248"/>
          <w:rFonts w:hint="eastAsia" w:ascii="宋体" w:hAnsi="宋体"/>
          <w:color w:val="auto"/>
          <w:sz w:val="22"/>
          <w:highlight w:val="none"/>
        </w:rPr>
        <w:t>乙方</w:t>
      </w:r>
      <w:r>
        <w:rPr>
          <w:rStyle w:val="248"/>
          <w:rFonts w:ascii="宋体" w:hAnsi="宋体"/>
          <w:color w:val="auto"/>
          <w:sz w:val="22"/>
          <w:highlight w:val="none"/>
        </w:rPr>
        <w:t>所有人员的事故由</w:t>
      </w:r>
      <w:r>
        <w:rPr>
          <w:rStyle w:val="248"/>
          <w:rFonts w:hint="eastAsia" w:ascii="宋体" w:hAnsi="宋体"/>
          <w:color w:val="auto"/>
          <w:sz w:val="22"/>
          <w:highlight w:val="none"/>
        </w:rPr>
        <w:t>乙方</w:t>
      </w:r>
      <w:r>
        <w:rPr>
          <w:rStyle w:val="248"/>
          <w:rFonts w:ascii="宋体" w:hAnsi="宋体"/>
          <w:color w:val="auto"/>
          <w:sz w:val="22"/>
          <w:highlight w:val="none"/>
        </w:rPr>
        <w:t>自行全权负责（如</w:t>
      </w:r>
      <w:r>
        <w:rPr>
          <w:rStyle w:val="248"/>
          <w:rFonts w:hint="eastAsia" w:ascii="宋体" w:hAnsi="宋体"/>
          <w:color w:val="auto"/>
          <w:sz w:val="22"/>
          <w:highlight w:val="none"/>
        </w:rPr>
        <w:t>乙方</w:t>
      </w:r>
      <w:r>
        <w:rPr>
          <w:rStyle w:val="248"/>
          <w:rFonts w:ascii="宋体" w:hAnsi="宋体"/>
          <w:color w:val="auto"/>
          <w:sz w:val="22"/>
          <w:highlight w:val="none"/>
        </w:rPr>
        <w:t>应对其员工投保人身意外险），及时为进场人员投保第三者责任险并及时向</w:t>
      </w:r>
      <w:r>
        <w:rPr>
          <w:rStyle w:val="248"/>
          <w:rFonts w:hint="eastAsia" w:ascii="宋体" w:hAnsi="宋体"/>
          <w:color w:val="auto"/>
          <w:sz w:val="22"/>
          <w:highlight w:val="none"/>
        </w:rPr>
        <w:t>甲方</w:t>
      </w:r>
      <w:r>
        <w:rPr>
          <w:rStyle w:val="248"/>
          <w:rFonts w:ascii="宋体" w:hAnsi="宋体"/>
          <w:color w:val="auto"/>
          <w:sz w:val="22"/>
          <w:highlight w:val="none"/>
        </w:rPr>
        <w:t>出示保险凭证，以保证</w:t>
      </w:r>
      <w:r>
        <w:rPr>
          <w:rStyle w:val="248"/>
          <w:rFonts w:hint="eastAsia" w:ascii="宋体" w:hAnsi="宋体"/>
          <w:color w:val="auto"/>
          <w:sz w:val="22"/>
          <w:highlight w:val="none"/>
        </w:rPr>
        <w:t>甲方</w:t>
      </w:r>
      <w:r>
        <w:rPr>
          <w:rStyle w:val="248"/>
          <w:rFonts w:ascii="宋体" w:hAnsi="宋体"/>
          <w:color w:val="auto"/>
          <w:sz w:val="22"/>
          <w:highlight w:val="none"/>
        </w:rPr>
        <w:t>在</w:t>
      </w:r>
      <w:r>
        <w:rPr>
          <w:rStyle w:val="248"/>
          <w:rFonts w:hint="eastAsia" w:ascii="宋体" w:hAnsi="宋体"/>
          <w:color w:val="auto"/>
          <w:sz w:val="22"/>
          <w:highlight w:val="none"/>
        </w:rPr>
        <w:t>乙方</w:t>
      </w:r>
      <w:r>
        <w:rPr>
          <w:rStyle w:val="248"/>
          <w:rFonts w:ascii="宋体" w:hAnsi="宋体"/>
          <w:color w:val="auto"/>
          <w:sz w:val="22"/>
          <w:highlight w:val="none"/>
        </w:rPr>
        <w:t>工作人员索偿时不受任何责任的约束。</w:t>
      </w:r>
    </w:p>
    <w:p>
      <w:pPr>
        <w:pStyle w:val="247"/>
        <w:widowControl/>
        <w:snapToGrid w:val="0"/>
        <w:spacing w:line="400" w:lineRule="exact"/>
        <w:ind w:left="548" w:leftChars="104" w:hanging="330" w:hangingChars="150"/>
        <w:rPr>
          <w:rStyle w:val="248"/>
          <w:rFonts w:ascii="宋体" w:hAnsi="宋体"/>
          <w:color w:val="auto"/>
          <w:sz w:val="22"/>
          <w:highlight w:val="none"/>
        </w:rPr>
      </w:pPr>
      <w:r>
        <w:rPr>
          <w:rStyle w:val="248"/>
          <w:rFonts w:ascii="宋体" w:hAnsi="宋体"/>
          <w:color w:val="auto"/>
          <w:sz w:val="22"/>
          <w:highlight w:val="none"/>
        </w:rPr>
        <w:t>2）其他保险及费用：</w:t>
      </w:r>
      <w:r>
        <w:rPr>
          <w:rStyle w:val="248"/>
          <w:rFonts w:hint="eastAsia" w:ascii="宋体" w:hAnsi="宋体"/>
          <w:color w:val="auto"/>
          <w:sz w:val="22"/>
          <w:highlight w:val="none"/>
        </w:rPr>
        <w:t>乙方</w:t>
      </w:r>
      <w:r>
        <w:rPr>
          <w:rStyle w:val="248"/>
          <w:rFonts w:ascii="宋体" w:hAnsi="宋体"/>
          <w:color w:val="auto"/>
          <w:sz w:val="22"/>
          <w:highlight w:val="none"/>
        </w:rPr>
        <w:t>应按政府各部门有关规定为全体服务人员交纳所有相关的社会保险及其他相关费用。</w:t>
      </w:r>
      <w:r>
        <w:rPr>
          <w:rStyle w:val="248"/>
          <w:rFonts w:hint="eastAsia" w:ascii="宋体" w:hAnsi="宋体"/>
          <w:color w:val="auto"/>
          <w:sz w:val="22"/>
          <w:highlight w:val="none"/>
        </w:rPr>
        <w:t>乙方</w:t>
      </w:r>
      <w:r>
        <w:rPr>
          <w:rStyle w:val="248"/>
          <w:rFonts w:ascii="宋体" w:hAnsi="宋体"/>
          <w:color w:val="auto"/>
          <w:sz w:val="22"/>
          <w:highlight w:val="none"/>
        </w:rPr>
        <w:t>应对此全权负责。</w:t>
      </w:r>
    </w:p>
    <w:p>
      <w:pPr>
        <w:pStyle w:val="247"/>
        <w:widowControl/>
        <w:snapToGrid w:val="0"/>
        <w:spacing w:line="400" w:lineRule="exact"/>
        <w:ind w:left="330" w:hanging="330" w:hangingChars="150"/>
        <w:rPr>
          <w:rStyle w:val="248"/>
          <w:rFonts w:ascii="宋体" w:hAnsi="宋体"/>
          <w:b/>
          <w:color w:val="auto"/>
          <w:sz w:val="22"/>
          <w:highlight w:val="none"/>
        </w:rPr>
      </w:pPr>
      <w:r>
        <w:rPr>
          <w:rStyle w:val="248"/>
          <w:rFonts w:ascii="宋体" w:hAnsi="宋体"/>
          <w:color w:val="auto"/>
          <w:sz w:val="22"/>
          <w:highlight w:val="none"/>
        </w:rPr>
        <w:t>九、双方承诺</w:t>
      </w:r>
    </w:p>
    <w:p>
      <w:pPr>
        <w:pStyle w:val="247"/>
        <w:widowControl/>
        <w:snapToGrid w:val="0"/>
        <w:spacing w:line="400" w:lineRule="exact"/>
        <w:ind w:left="330" w:hanging="330" w:hangingChars="150"/>
        <w:rPr>
          <w:rStyle w:val="248"/>
          <w:rFonts w:ascii="宋体" w:hAnsi="宋体"/>
          <w:color w:val="auto"/>
          <w:sz w:val="22"/>
          <w:highlight w:val="none"/>
        </w:rPr>
      </w:pPr>
      <w:r>
        <w:rPr>
          <w:rStyle w:val="248"/>
          <w:rFonts w:ascii="宋体" w:hAnsi="宋体"/>
          <w:color w:val="auto"/>
          <w:sz w:val="22"/>
          <w:highlight w:val="none"/>
        </w:rPr>
        <w:t>（一）乙方对甲方做出如下承诺：</w:t>
      </w:r>
    </w:p>
    <w:p>
      <w:pPr>
        <w:pStyle w:val="247"/>
        <w:widowControl/>
        <w:snapToGrid w:val="0"/>
        <w:spacing w:line="400" w:lineRule="exact"/>
        <w:ind w:left="330" w:hanging="330" w:hangingChars="150"/>
        <w:rPr>
          <w:rStyle w:val="248"/>
          <w:rFonts w:ascii="宋体" w:hAnsi="宋体"/>
          <w:color w:val="auto"/>
          <w:sz w:val="22"/>
          <w:highlight w:val="none"/>
        </w:rPr>
      </w:pPr>
      <w:r>
        <w:rPr>
          <w:rStyle w:val="248"/>
          <w:rFonts w:ascii="宋体" w:hAnsi="宋体"/>
          <w:color w:val="auto"/>
          <w:sz w:val="22"/>
          <w:highlight w:val="none"/>
        </w:rPr>
        <w:t>1、乙方应接受甲方或其授权的人员对</w:t>
      </w:r>
      <w:r>
        <w:rPr>
          <w:rStyle w:val="248"/>
          <w:rFonts w:hint="eastAsia" w:ascii="宋体" w:hAnsi="宋体"/>
          <w:color w:val="auto"/>
          <w:sz w:val="22"/>
          <w:highlight w:val="none"/>
        </w:rPr>
        <w:t>服务</w:t>
      </w:r>
      <w:r>
        <w:rPr>
          <w:rStyle w:val="248"/>
          <w:rFonts w:ascii="宋体" w:hAnsi="宋体"/>
          <w:color w:val="auto"/>
          <w:sz w:val="22"/>
          <w:highlight w:val="none"/>
        </w:rPr>
        <w:t>区域内各项服务质量进行检查。</w:t>
      </w:r>
    </w:p>
    <w:p>
      <w:pPr>
        <w:pStyle w:val="247"/>
        <w:widowControl/>
        <w:snapToGrid w:val="0"/>
        <w:spacing w:line="400" w:lineRule="exact"/>
        <w:ind w:left="330" w:hanging="330" w:hangingChars="150"/>
        <w:rPr>
          <w:rStyle w:val="248"/>
          <w:rFonts w:ascii="宋体" w:hAnsi="宋体"/>
          <w:color w:val="auto"/>
          <w:sz w:val="22"/>
          <w:highlight w:val="none"/>
        </w:rPr>
      </w:pPr>
      <w:r>
        <w:rPr>
          <w:rStyle w:val="248"/>
          <w:rFonts w:ascii="宋体" w:hAnsi="宋体"/>
          <w:color w:val="auto"/>
          <w:sz w:val="22"/>
          <w:highlight w:val="none"/>
        </w:rPr>
        <w:t>2、乙方在</w:t>
      </w:r>
      <w:r>
        <w:rPr>
          <w:rStyle w:val="248"/>
          <w:rFonts w:hint="eastAsia" w:ascii="宋体" w:hAnsi="宋体"/>
          <w:color w:val="auto"/>
          <w:sz w:val="22"/>
          <w:highlight w:val="none"/>
        </w:rPr>
        <w:t>服务</w:t>
      </w:r>
      <w:r>
        <w:rPr>
          <w:rStyle w:val="248"/>
          <w:rFonts w:ascii="宋体" w:hAnsi="宋体"/>
          <w:color w:val="auto"/>
          <w:sz w:val="22"/>
          <w:highlight w:val="none"/>
        </w:rPr>
        <w:t>区域的各项服务，其工作时间，必须满足甲方的工作要求，包括双休日及公众假期。遇特殊情况，甲方认为应提供方便或提高服务质量时，可要求乙方调整工作时间直至全天二十四小时工作。</w:t>
      </w:r>
    </w:p>
    <w:p>
      <w:pPr>
        <w:pStyle w:val="247"/>
        <w:widowControl/>
        <w:snapToGrid w:val="0"/>
        <w:spacing w:line="400" w:lineRule="exact"/>
        <w:ind w:left="330" w:hanging="330" w:hangingChars="150"/>
        <w:rPr>
          <w:rStyle w:val="248"/>
          <w:rFonts w:ascii="宋体" w:hAnsi="宋体"/>
          <w:color w:val="auto"/>
          <w:sz w:val="22"/>
          <w:highlight w:val="none"/>
        </w:rPr>
      </w:pPr>
      <w:r>
        <w:rPr>
          <w:rStyle w:val="248"/>
          <w:rFonts w:ascii="宋体" w:hAnsi="宋体"/>
          <w:color w:val="auto"/>
          <w:sz w:val="22"/>
          <w:highlight w:val="none"/>
        </w:rPr>
        <w:t>3、乙方负责人全权代表乙方与甲方保持密切联系并保证</w:t>
      </w:r>
      <w:r>
        <w:rPr>
          <w:rStyle w:val="248"/>
          <w:rFonts w:hint="eastAsia" w:ascii="宋体" w:hAnsi="宋体"/>
          <w:color w:val="auto"/>
          <w:sz w:val="22"/>
          <w:highlight w:val="none"/>
        </w:rPr>
        <w:t>服务</w:t>
      </w:r>
      <w:r>
        <w:rPr>
          <w:rStyle w:val="248"/>
          <w:rFonts w:ascii="宋体" w:hAnsi="宋体"/>
          <w:color w:val="auto"/>
          <w:sz w:val="22"/>
          <w:highlight w:val="none"/>
        </w:rPr>
        <w:t>区域服务工作。</w:t>
      </w:r>
    </w:p>
    <w:p>
      <w:pPr>
        <w:pStyle w:val="247"/>
        <w:widowControl/>
        <w:snapToGrid w:val="0"/>
        <w:spacing w:line="400" w:lineRule="exact"/>
        <w:ind w:left="330" w:hanging="330" w:hangingChars="150"/>
        <w:rPr>
          <w:rStyle w:val="248"/>
          <w:rFonts w:ascii="宋体" w:hAnsi="宋体"/>
          <w:color w:val="auto"/>
          <w:sz w:val="22"/>
          <w:highlight w:val="none"/>
        </w:rPr>
      </w:pPr>
      <w:r>
        <w:rPr>
          <w:rStyle w:val="248"/>
          <w:rFonts w:ascii="宋体" w:hAnsi="宋体"/>
          <w:color w:val="auto"/>
          <w:sz w:val="22"/>
          <w:highlight w:val="none"/>
        </w:rPr>
        <w:t>4、乙方要为</w:t>
      </w:r>
      <w:r>
        <w:rPr>
          <w:rStyle w:val="248"/>
          <w:rFonts w:hint="eastAsia" w:ascii="宋体" w:hAnsi="宋体"/>
          <w:color w:val="auto"/>
          <w:sz w:val="22"/>
          <w:highlight w:val="none"/>
        </w:rPr>
        <w:t>服务</w:t>
      </w:r>
      <w:r>
        <w:rPr>
          <w:rStyle w:val="248"/>
          <w:rFonts w:ascii="宋体" w:hAnsi="宋体"/>
          <w:color w:val="auto"/>
          <w:sz w:val="22"/>
          <w:highlight w:val="none"/>
        </w:rPr>
        <w:t>区域的服务工作配备足够的人员，且聘用的工作人员必须符合劳动部门有关用工规定，并经乙方相关专业培训考核合格后持证上岗，甲方有权进行审核，该类费用开支由乙方负担。</w:t>
      </w:r>
    </w:p>
    <w:p>
      <w:pPr>
        <w:pStyle w:val="247"/>
        <w:widowControl/>
        <w:snapToGrid w:val="0"/>
        <w:spacing w:line="400" w:lineRule="exact"/>
        <w:ind w:left="330" w:hanging="330" w:hangingChars="150"/>
        <w:rPr>
          <w:rStyle w:val="248"/>
          <w:rFonts w:ascii="宋体" w:hAnsi="宋体"/>
          <w:color w:val="auto"/>
          <w:sz w:val="22"/>
          <w:highlight w:val="none"/>
        </w:rPr>
      </w:pPr>
      <w:r>
        <w:rPr>
          <w:rStyle w:val="248"/>
          <w:rFonts w:ascii="宋体" w:hAnsi="宋体"/>
          <w:color w:val="auto"/>
          <w:sz w:val="22"/>
          <w:highlight w:val="none"/>
        </w:rPr>
        <w:t>5、乙方必须按照甲方要求做好</w:t>
      </w:r>
      <w:r>
        <w:rPr>
          <w:rStyle w:val="248"/>
          <w:rFonts w:hint="eastAsia" w:ascii="宋体" w:hAnsi="宋体"/>
          <w:color w:val="auto"/>
          <w:sz w:val="22"/>
          <w:highlight w:val="none"/>
        </w:rPr>
        <w:t>食堂所需的服务工作</w:t>
      </w:r>
      <w:r>
        <w:rPr>
          <w:rStyle w:val="248"/>
          <w:rFonts w:ascii="宋体" w:hAnsi="宋体"/>
          <w:color w:val="auto"/>
          <w:sz w:val="22"/>
          <w:highlight w:val="none"/>
        </w:rPr>
        <w:t>，</w:t>
      </w:r>
      <w:r>
        <w:rPr>
          <w:rStyle w:val="248"/>
          <w:rFonts w:hint="eastAsia" w:ascii="宋体" w:hAnsi="宋体"/>
          <w:color w:val="auto"/>
          <w:sz w:val="22"/>
          <w:highlight w:val="none"/>
        </w:rPr>
        <w:t>街道食堂</w:t>
      </w:r>
      <w:r>
        <w:rPr>
          <w:rStyle w:val="248"/>
          <w:rFonts w:ascii="宋体" w:hAnsi="宋体"/>
          <w:color w:val="auto"/>
          <w:sz w:val="22"/>
          <w:highlight w:val="none"/>
        </w:rPr>
        <w:t>不得对外经营，每日的菜品（食材、调料等）均由</w:t>
      </w:r>
      <w:r>
        <w:rPr>
          <w:rStyle w:val="248"/>
          <w:rFonts w:hint="eastAsia" w:ascii="宋体" w:hAnsi="宋体"/>
          <w:color w:val="auto"/>
          <w:sz w:val="22"/>
          <w:highlight w:val="none"/>
          <w:lang w:val="en-US"/>
        </w:rPr>
        <w:t>乙</w:t>
      </w:r>
      <w:r>
        <w:rPr>
          <w:rStyle w:val="248"/>
          <w:rFonts w:ascii="宋体" w:hAnsi="宋体"/>
          <w:color w:val="auto"/>
          <w:sz w:val="22"/>
          <w:highlight w:val="none"/>
        </w:rPr>
        <w:t>方负责采购</w:t>
      </w:r>
      <w:r>
        <w:rPr>
          <w:rStyle w:val="248"/>
          <w:rFonts w:hint="eastAsia" w:ascii="宋体" w:hAnsi="宋体"/>
          <w:color w:val="auto"/>
          <w:sz w:val="22"/>
          <w:highlight w:val="none"/>
        </w:rPr>
        <w:t>、</w:t>
      </w:r>
      <w:r>
        <w:rPr>
          <w:rStyle w:val="248"/>
          <w:rFonts w:ascii="宋体" w:hAnsi="宋体"/>
          <w:color w:val="auto"/>
          <w:sz w:val="22"/>
          <w:highlight w:val="none"/>
        </w:rPr>
        <w:t>清点验收、加工、制作、发售，制作好的菜肴按甲方规定的价格进行发售，并接受甲方的监督与检查。乙方要确保为甲方提供优质、高效的专业服务，并根据甲方要求改变不满意的服务状况。</w:t>
      </w:r>
    </w:p>
    <w:p>
      <w:pPr>
        <w:pStyle w:val="247"/>
        <w:widowControl/>
        <w:snapToGrid w:val="0"/>
        <w:spacing w:line="400" w:lineRule="exact"/>
        <w:ind w:left="330" w:hanging="330" w:hangingChars="150"/>
        <w:rPr>
          <w:rStyle w:val="248"/>
          <w:rFonts w:ascii="宋体" w:hAnsi="宋体"/>
          <w:color w:val="auto"/>
          <w:sz w:val="22"/>
          <w:highlight w:val="none"/>
        </w:rPr>
      </w:pPr>
      <w:r>
        <w:rPr>
          <w:rStyle w:val="248"/>
          <w:rFonts w:ascii="宋体" w:hAnsi="宋体"/>
          <w:color w:val="auto"/>
          <w:sz w:val="22"/>
          <w:highlight w:val="none"/>
        </w:rPr>
        <w:t>6、乙方所有工作人员，必须无条件服从甲方管理人员的调度、指挥，如发现不符合甲方管理要求的工作人员，甲方有权提出整改、更换，如3天内整改、更换、不及时或不到位，经协商无效，甲方有权终止合同。乙方更换或调整人员应提前征求甲方意见，在征得甲方同意后方可更换、调整。</w:t>
      </w:r>
    </w:p>
    <w:p>
      <w:pPr>
        <w:pStyle w:val="247"/>
        <w:widowControl/>
        <w:snapToGrid w:val="0"/>
        <w:spacing w:line="400" w:lineRule="exact"/>
        <w:ind w:left="330" w:hanging="330" w:hangingChars="150"/>
        <w:rPr>
          <w:rStyle w:val="248"/>
          <w:rFonts w:ascii="宋体" w:hAnsi="宋体"/>
          <w:color w:val="auto"/>
          <w:sz w:val="22"/>
          <w:highlight w:val="none"/>
        </w:rPr>
      </w:pPr>
      <w:r>
        <w:rPr>
          <w:rStyle w:val="248"/>
          <w:rFonts w:ascii="宋体" w:hAnsi="宋体"/>
          <w:color w:val="auto"/>
          <w:sz w:val="22"/>
          <w:highlight w:val="none"/>
        </w:rPr>
        <w:t>7、乙方应将聘用人员的相关材料（包括体检证明、年龄、从事岗位）等报甲方审查，特殊岗位必须持证上岗，上岗人员要求政治上可靠、身体素质好、无不良行为记录方可录用。</w:t>
      </w:r>
    </w:p>
    <w:p>
      <w:pPr>
        <w:pStyle w:val="247"/>
        <w:widowControl/>
        <w:snapToGrid w:val="0"/>
        <w:spacing w:line="400" w:lineRule="exact"/>
        <w:ind w:left="330" w:hanging="330" w:hangingChars="150"/>
        <w:rPr>
          <w:rStyle w:val="248"/>
          <w:rFonts w:ascii="宋体" w:hAnsi="宋体"/>
          <w:color w:val="auto"/>
          <w:sz w:val="22"/>
          <w:highlight w:val="none"/>
        </w:rPr>
      </w:pPr>
      <w:r>
        <w:rPr>
          <w:rStyle w:val="248"/>
          <w:rFonts w:ascii="宋体" w:hAnsi="宋体"/>
          <w:color w:val="auto"/>
          <w:sz w:val="22"/>
          <w:highlight w:val="none"/>
        </w:rPr>
        <w:t>8、在</w:t>
      </w:r>
      <w:r>
        <w:rPr>
          <w:rStyle w:val="248"/>
          <w:rFonts w:hint="eastAsia" w:ascii="宋体" w:hAnsi="宋体"/>
          <w:color w:val="auto"/>
          <w:sz w:val="22"/>
          <w:highlight w:val="none"/>
        </w:rPr>
        <w:t>服务</w:t>
      </w:r>
      <w:r>
        <w:rPr>
          <w:rStyle w:val="248"/>
          <w:rFonts w:ascii="宋体" w:hAnsi="宋体"/>
          <w:color w:val="auto"/>
          <w:sz w:val="22"/>
          <w:highlight w:val="none"/>
        </w:rPr>
        <w:t>期内乙方应保持</w:t>
      </w:r>
      <w:r>
        <w:rPr>
          <w:rStyle w:val="248"/>
          <w:rFonts w:hint="eastAsia" w:ascii="宋体" w:hAnsi="宋体"/>
          <w:color w:val="auto"/>
          <w:sz w:val="22"/>
          <w:highlight w:val="none"/>
        </w:rPr>
        <w:t>服务</w:t>
      </w:r>
      <w:r>
        <w:rPr>
          <w:rStyle w:val="248"/>
          <w:rFonts w:ascii="宋体" w:hAnsi="宋体"/>
          <w:color w:val="auto"/>
          <w:sz w:val="22"/>
          <w:highlight w:val="none"/>
        </w:rPr>
        <w:t>区域内的设施完好、环境状况良好，并接受甲方或其授权人员的检查，对由乙方引起或造成设施的损坏及环境卫生不理想状况，甲方将书面通知乙方修复或整改，在书面通知下达一周后，仍未按要求修复或整改，甲方将负责完成这一工作，所需费用及管理费全部有乙方承担。甲方提供的所有设备、设施、工具由乙方使用的，除正常使用折旧外，乙方保证各设备、设施、工具的完好性。</w:t>
      </w:r>
    </w:p>
    <w:p>
      <w:pPr>
        <w:pStyle w:val="247"/>
        <w:widowControl/>
        <w:snapToGrid w:val="0"/>
        <w:spacing w:line="400" w:lineRule="exact"/>
        <w:ind w:left="330" w:hanging="330" w:hangingChars="150"/>
        <w:rPr>
          <w:rStyle w:val="248"/>
          <w:rFonts w:ascii="宋体" w:hAnsi="宋体"/>
          <w:color w:val="auto"/>
          <w:sz w:val="22"/>
          <w:highlight w:val="none"/>
        </w:rPr>
      </w:pPr>
      <w:r>
        <w:rPr>
          <w:rStyle w:val="248"/>
          <w:rFonts w:ascii="宋体" w:hAnsi="宋体"/>
          <w:color w:val="auto"/>
          <w:sz w:val="22"/>
          <w:highlight w:val="none"/>
        </w:rPr>
        <w:t>9、乙方应切实做好节水、节电、节油、节粮、节气、防盗、防火、饭菜食品的卫生安全工作，若有发生责任事故，如属加工环节所造成的，后果由乙方全部承担，甲方有权进行监督和检查。</w:t>
      </w:r>
    </w:p>
    <w:p>
      <w:pPr>
        <w:pStyle w:val="247"/>
        <w:widowControl/>
        <w:snapToGrid w:val="0"/>
        <w:spacing w:line="400" w:lineRule="exact"/>
        <w:rPr>
          <w:rStyle w:val="248"/>
          <w:rFonts w:ascii="宋体" w:hAnsi="宋体"/>
          <w:color w:val="auto"/>
          <w:sz w:val="22"/>
          <w:highlight w:val="none"/>
        </w:rPr>
      </w:pPr>
      <w:r>
        <w:rPr>
          <w:rStyle w:val="248"/>
          <w:rFonts w:ascii="宋体" w:hAnsi="宋体"/>
          <w:color w:val="auto"/>
          <w:sz w:val="22"/>
          <w:highlight w:val="none"/>
        </w:rPr>
        <w:t>10、乙方应加强对员工的管理，做好节电节水，非常温天气要保证冷暖气供应。</w:t>
      </w:r>
    </w:p>
    <w:p>
      <w:pPr>
        <w:pStyle w:val="247"/>
        <w:widowControl/>
        <w:snapToGrid w:val="0"/>
        <w:spacing w:line="400" w:lineRule="exact"/>
        <w:ind w:left="301" w:leftChars="-6" w:hanging="314" w:hangingChars="143"/>
        <w:rPr>
          <w:rStyle w:val="248"/>
          <w:rFonts w:ascii="宋体" w:hAnsi="宋体"/>
          <w:color w:val="auto"/>
          <w:sz w:val="22"/>
          <w:highlight w:val="none"/>
        </w:rPr>
      </w:pPr>
      <w:r>
        <w:rPr>
          <w:rStyle w:val="248"/>
          <w:rFonts w:ascii="宋体" w:hAnsi="宋体"/>
          <w:color w:val="auto"/>
          <w:sz w:val="22"/>
          <w:highlight w:val="none"/>
        </w:rPr>
        <w:t>11、遇卫生、消防、安全检查或突发事件时，乙方必须配合甲方及有关部门做好工作，并指定专职人员协助工作，直到完成。</w:t>
      </w:r>
    </w:p>
    <w:p>
      <w:pPr>
        <w:pStyle w:val="247"/>
        <w:widowControl/>
        <w:snapToGrid w:val="0"/>
        <w:spacing w:line="400" w:lineRule="exact"/>
        <w:ind w:left="315" w:hanging="314" w:hangingChars="143"/>
        <w:rPr>
          <w:rStyle w:val="248"/>
          <w:rFonts w:ascii="宋体" w:hAnsi="宋体"/>
          <w:color w:val="auto"/>
          <w:sz w:val="22"/>
          <w:highlight w:val="none"/>
        </w:rPr>
      </w:pPr>
      <w:r>
        <w:rPr>
          <w:rStyle w:val="248"/>
          <w:rFonts w:ascii="宋体" w:hAnsi="宋体"/>
          <w:color w:val="auto"/>
          <w:sz w:val="22"/>
          <w:highlight w:val="none"/>
        </w:rPr>
        <w:t>12、</w:t>
      </w:r>
      <w:r>
        <w:rPr>
          <w:rStyle w:val="248"/>
          <w:rFonts w:hint="eastAsia" w:ascii="宋体" w:hAnsi="宋体"/>
          <w:color w:val="auto"/>
          <w:sz w:val="22"/>
          <w:highlight w:val="none"/>
        </w:rPr>
        <w:t>服务</w:t>
      </w:r>
      <w:r>
        <w:rPr>
          <w:rStyle w:val="248"/>
          <w:rFonts w:ascii="宋体" w:hAnsi="宋体"/>
          <w:color w:val="auto"/>
          <w:sz w:val="22"/>
          <w:highlight w:val="none"/>
        </w:rPr>
        <w:t>期满或合同解除，甲方按原移交清单进行财产清单验收，除正常损耗外，如有短缺或损坏，乙方应承担赔偿责任。</w:t>
      </w:r>
    </w:p>
    <w:p>
      <w:pPr>
        <w:pStyle w:val="247"/>
        <w:widowControl/>
        <w:snapToGrid w:val="0"/>
        <w:spacing w:line="400" w:lineRule="exact"/>
        <w:ind w:left="330" w:hanging="330" w:hangingChars="150"/>
        <w:rPr>
          <w:rStyle w:val="248"/>
          <w:rFonts w:ascii="宋体" w:hAnsi="宋体"/>
          <w:color w:val="auto"/>
          <w:sz w:val="22"/>
          <w:highlight w:val="none"/>
        </w:rPr>
      </w:pPr>
      <w:r>
        <w:rPr>
          <w:rStyle w:val="248"/>
          <w:rFonts w:ascii="宋体" w:hAnsi="宋体"/>
          <w:color w:val="auto"/>
          <w:sz w:val="22"/>
          <w:highlight w:val="none"/>
        </w:rPr>
        <w:t>13、禁止事项</w:t>
      </w:r>
    </w:p>
    <w:p>
      <w:pPr>
        <w:pStyle w:val="247"/>
        <w:widowControl/>
        <w:snapToGrid w:val="0"/>
        <w:spacing w:line="400" w:lineRule="exact"/>
        <w:ind w:left="330" w:hanging="330" w:hangingChars="150"/>
        <w:rPr>
          <w:rStyle w:val="248"/>
          <w:rFonts w:ascii="宋体" w:hAnsi="宋体"/>
          <w:color w:val="auto"/>
          <w:sz w:val="22"/>
          <w:highlight w:val="none"/>
        </w:rPr>
      </w:pPr>
      <w:r>
        <w:rPr>
          <w:rStyle w:val="248"/>
          <w:rFonts w:ascii="宋体" w:hAnsi="宋体"/>
          <w:color w:val="auto"/>
          <w:sz w:val="22"/>
          <w:highlight w:val="none"/>
        </w:rPr>
        <w:t>（1）乙方不得以任何理由向甲方工作人员支付小费或赠送实物，违者将终止合同。乙方人员也不得以任何形式向行政大楼内相关人员索取小费或钱物等。</w:t>
      </w:r>
    </w:p>
    <w:p>
      <w:pPr>
        <w:pStyle w:val="247"/>
        <w:widowControl/>
        <w:snapToGrid w:val="0"/>
        <w:spacing w:line="400" w:lineRule="exact"/>
        <w:ind w:left="330" w:hanging="330" w:hangingChars="150"/>
        <w:rPr>
          <w:rStyle w:val="248"/>
          <w:rFonts w:ascii="宋体" w:hAnsi="宋体"/>
          <w:color w:val="auto"/>
          <w:sz w:val="22"/>
          <w:highlight w:val="none"/>
        </w:rPr>
      </w:pPr>
      <w:r>
        <w:rPr>
          <w:rStyle w:val="248"/>
          <w:rFonts w:ascii="宋体" w:hAnsi="宋体"/>
          <w:color w:val="auto"/>
          <w:sz w:val="22"/>
          <w:highlight w:val="none"/>
        </w:rPr>
        <w:t>（2）乙方不得在</w:t>
      </w:r>
      <w:r>
        <w:rPr>
          <w:rStyle w:val="248"/>
          <w:rFonts w:hint="eastAsia" w:ascii="宋体" w:hAnsi="宋体"/>
          <w:color w:val="auto"/>
          <w:sz w:val="22"/>
          <w:highlight w:val="none"/>
        </w:rPr>
        <w:t>服务</w:t>
      </w:r>
      <w:r>
        <w:rPr>
          <w:rStyle w:val="248"/>
          <w:rFonts w:ascii="宋体" w:hAnsi="宋体"/>
          <w:color w:val="auto"/>
          <w:sz w:val="22"/>
          <w:highlight w:val="none"/>
        </w:rPr>
        <w:t>区域住宿或从事非法活动，也不得从事有损甲方利益的活动，同时不允许在</w:t>
      </w:r>
      <w:r>
        <w:rPr>
          <w:rStyle w:val="248"/>
          <w:rFonts w:hint="eastAsia" w:ascii="宋体" w:hAnsi="宋体"/>
          <w:color w:val="auto"/>
          <w:sz w:val="22"/>
          <w:highlight w:val="none"/>
        </w:rPr>
        <w:t>服务</w:t>
      </w:r>
      <w:r>
        <w:rPr>
          <w:rStyle w:val="248"/>
          <w:rFonts w:ascii="宋体" w:hAnsi="宋体"/>
          <w:color w:val="auto"/>
          <w:sz w:val="22"/>
          <w:highlight w:val="none"/>
        </w:rPr>
        <w:t>区域对甲方正常办公有滋扰性的行为。</w:t>
      </w:r>
    </w:p>
    <w:p>
      <w:pPr>
        <w:pStyle w:val="247"/>
        <w:widowControl/>
        <w:snapToGrid w:val="0"/>
        <w:spacing w:line="400" w:lineRule="exact"/>
        <w:ind w:left="330" w:hanging="330" w:hangingChars="150"/>
        <w:rPr>
          <w:rStyle w:val="248"/>
          <w:rFonts w:ascii="宋体" w:hAnsi="宋体"/>
          <w:color w:val="auto"/>
          <w:sz w:val="22"/>
          <w:highlight w:val="none"/>
        </w:rPr>
      </w:pPr>
      <w:r>
        <w:rPr>
          <w:rStyle w:val="248"/>
          <w:rFonts w:ascii="宋体" w:hAnsi="宋体"/>
          <w:color w:val="auto"/>
          <w:sz w:val="22"/>
          <w:highlight w:val="none"/>
        </w:rPr>
        <w:t>（3）未获甲方书面同意，乙方任何时候都不能在</w:t>
      </w:r>
      <w:r>
        <w:rPr>
          <w:rStyle w:val="248"/>
          <w:rFonts w:hint="eastAsia" w:ascii="宋体" w:hAnsi="宋体"/>
          <w:color w:val="auto"/>
          <w:sz w:val="22"/>
          <w:highlight w:val="none"/>
        </w:rPr>
        <w:t>服务</w:t>
      </w:r>
      <w:r>
        <w:rPr>
          <w:rStyle w:val="248"/>
          <w:rFonts w:ascii="宋体" w:hAnsi="宋体"/>
          <w:color w:val="auto"/>
          <w:sz w:val="22"/>
          <w:highlight w:val="none"/>
        </w:rPr>
        <w:t>区域存放易燃易爆有毒、挥发性大或气味浓烈的物品等。</w:t>
      </w:r>
    </w:p>
    <w:p>
      <w:pPr>
        <w:pStyle w:val="247"/>
        <w:widowControl/>
        <w:snapToGrid w:val="0"/>
        <w:spacing w:line="400" w:lineRule="exact"/>
        <w:ind w:left="328" w:leftChars="-50" w:hanging="433" w:hangingChars="197"/>
        <w:rPr>
          <w:rStyle w:val="248"/>
          <w:rFonts w:ascii="宋体" w:hAnsi="宋体"/>
          <w:color w:val="auto"/>
          <w:sz w:val="22"/>
          <w:highlight w:val="none"/>
        </w:rPr>
      </w:pPr>
      <w:r>
        <w:rPr>
          <w:rStyle w:val="248"/>
          <w:rFonts w:ascii="宋体" w:hAnsi="宋体"/>
          <w:color w:val="auto"/>
          <w:sz w:val="22"/>
          <w:highlight w:val="none"/>
        </w:rPr>
        <w:t>（二）甲方对乙方作出如下承诺：</w:t>
      </w:r>
    </w:p>
    <w:p>
      <w:pPr>
        <w:pStyle w:val="247"/>
        <w:widowControl/>
        <w:snapToGrid w:val="0"/>
        <w:spacing w:line="400" w:lineRule="exact"/>
        <w:ind w:left="330" w:hanging="330" w:hangingChars="150"/>
        <w:rPr>
          <w:rStyle w:val="248"/>
          <w:rFonts w:ascii="宋体" w:hAnsi="宋体"/>
          <w:color w:val="auto"/>
          <w:sz w:val="22"/>
          <w:highlight w:val="none"/>
        </w:rPr>
      </w:pPr>
      <w:r>
        <w:rPr>
          <w:rStyle w:val="248"/>
          <w:rFonts w:ascii="宋体" w:hAnsi="宋体"/>
          <w:color w:val="auto"/>
          <w:sz w:val="22"/>
          <w:highlight w:val="none"/>
        </w:rPr>
        <w:t>1、甲方保证乙方的员工按规定正常进入</w:t>
      </w:r>
      <w:r>
        <w:rPr>
          <w:rStyle w:val="248"/>
          <w:rFonts w:hint="eastAsia" w:ascii="宋体" w:hAnsi="宋体"/>
          <w:color w:val="auto"/>
          <w:sz w:val="22"/>
          <w:highlight w:val="none"/>
        </w:rPr>
        <w:t>服务</w:t>
      </w:r>
      <w:r>
        <w:rPr>
          <w:rStyle w:val="248"/>
          <w:rFonts w:ascii="宋体" w:hAnsi="宋体"/>
          <w:color w:val="auto"/>
          <w:sz w:val="22"/>
          <w:highlight w:val="none"/>
        </w:rPr>
        <w:t>区域开展服务工作。</w:t>
      </w:r>
    </w:p>
    <w:p>
      <w:pPr>
        <w:pStyle w:val="247"/>
        <w:widowControl/>
        <w:snapToGrid w:val="0"/>
        <w:spacing w:line="400" w:lineRule="exact"/>
        <w:ind w:left="330" w:hanging="330" w:hangingChars="150"/>
        <w:rPr>
          <w:rStyle w:val="248"/>
          <w:rFonts w:ascii="宋体" w:hAnsi="宋体"/>
          <w:color w:val="auto"/>
          <w:sz w:val="22"/>
          <w:highlight w:val="none"/>
        </w:rPr>
      </w:pPr>
      <w:r>
        <w:rPr>
          <w:rStyle w:val="248"/>
          <w:rFonts w:ascii="宋体" w:hAnsi="宋体"/>
          <w:color w:val="auto"/>
          <w:sz w:val="22"/>
          <w:highlight w:val="none"/>
        </w:rPr>
        <w:t>2、甲方保证乙方正常的水、电能源供应，如出现故障，应及时维修，确保乙方正常开展服务。</w:t>
      </w:r>
    </w:p>
    <w:p>
      <w:pPr>
        <w:pStyle w:val="247"/>
        <w:widowControl/>
        <w:snapToGrid w:val="0"/>
        <w:spacing w:line="400" w:lineRule="exact"/>
        <w:ind w:left="330" w:hanging="330" w:hangingChars="150"/>
        <w:rPr>
          <w:rStyle w:val="248"/>
          <w:rFonts w:ascii="宋体" w:hAnsi="宋体"/>
          <w:b/>
          <w:color w:val="auto"/>
          <w:sz w:val="22"/>
          <w:highlight w:val="none"/>
        </w:rPr>
      </w:pPr>
      <w:r>
        <w:rPr>
          <w:rStyle w:val="248"/>
          <w:rFonts w:ascii="宋体" w:hAnsi="宋体"/>
          <w:color w:val="auto"/>
          <w:sz w:val="22"/>
          <w:highlight w:val="none"/>
        </w:rPr>
        <w:t>十、不可抗力</w:t>
      </w:r>
    </w:p>
    <w:p>
      <w:pPr>
        <w:pStyle w:val="247"/>
        <w:widowControl/>
        <w:snapToGrid w:val="0"/>
        <w:spacing w:line="400" w:lineRule="exact"/>
        <w:ind w:left="330" w:hanging="330" w:hangingChars="150"/>
        <w:rPr>
          <w:rStyle w:val="248"/>
          <w:rFonts w:ascii="宋体" w:hAnsi="宋体"/>
          <w:color w:val="auto"/>
          <w:sz w:val="22"/>
          <w:highlight w:val="none"/>
        </w:rPr>
      </w:pPr>
      <w:r>
        <w:rPr>
          <w:rStyle w:val="248"/>
          <w:rFonts w:ascii="宋体" w:hAnsi="宋体"/>
          <w:color w:val="auto"/>
          <w:sz w:val="22"/>
          <w:highlight w:val="none"/>
        </w:rPr>
        <w:t>1、在</w:t>
      </w:r>
      <w:r>
        <w:rPr>
          <w:rStyle w:val="248"/>
          <w:rFonts w:hint="eastAsia" w:ascii="宋体" w:hAnsi="宋体"/>
          <w:color w:val="auto"/>
          <w:sz w:val="22"/>
          <w:highlight w:val="none"/>
        </w:rPr>
        <w:t>服务</w:t>
      </w:r>
      <w:r>
        <w:rPr>
          <w:rStyle w:val="248"/>
          <w:rFonts w:ascii="宋体" w:hAnsi="宋体"/>
          <w:color w:val="auto"/>
          <w:sz w:val="22"/>
          <w:highlight w:val="none"/>
        </w:rPr>
        <w:t>期间发生地震及其他不可抗力，导致</w:t>
      </w:r>
      <w:r>
        <w:rPr>
          <w:rStyle w:val="248"/>
          <w:rFonts w:hint="eastAsia" w:ascii="宋体" w:hAnsi="宋体"/>
          <w:color w:val="auto"/>
          <w:sz w:val="22"/>
          <w:highlight w:val="none"/>
        </w:rPr>
        <w:t>服务</w:t>
      </w:r>
      <w:r>
        <w:rPr>
          <w:rStyle w:val="248"/>
          <w:rFonts w:ascii="宋体" w:hAnsi="宋体"/>
          <w:color w:val="auto"/>
          <w:sz w:val="22"/>
          <w:highlight w:val="none"/>
        </w:rPr>
        <w:t>区域不能正常经营，合同不能或不能全部履行。双方可以按以下各项执行：</w:t>
      </w:r>
    </w:p>
    <w:p>
      <w:pPr>
        <w:pStyle w:val="247"/>
        <w:widowControl/>
        <w:snapToGrid w:val="0"/>
        <w:spacing w:line="400" w:lineRule="exact"/>
        <w:rPr>
          <w:rStyle w:val="248"/>
          <w:rFonts w:ascii="宋体" w:hAnsi="宋体"/>
          <w:color w:val="auto"/>
          <w:sz w:val="22"/>
          <w:highlight w:val="none"/>
        </w:rPr>
      </w:pPr>
      <w:r>
        <w:rPr>
          <w:rStyle w:val="248"/>
          <w:rFonts w:ascii="宋体" w:hAnsi="宋体"/>
          <w:color w:val="auto"/>
          <w:sz w:val="22"/>
          <w:highlight w:val="none"/>
        </w:rPr>
        <w:t>（1）因不可抗力导致合同终止，并不影响任何一方对不可抗力先前发生的违约行为合法追偿。</w:t>
      </w:r>
    </w:p>
    <w:p>
      <w:pPr>
        <w:pStyle w:val="247"/>
        <w:widowControl/>
        <w:snapToGrid w:val="0"/>
        <w:spacing w:line="400" w:lineRule="exact"/>
        <w:ind w:left="330" w:hanging="330" w:hangingChars="150"/>
        <w:rPr>
          <w:rStyle w:val="248"/>
          <w:rFonts w:ascii="宋体" w:hAnsi="宋体"/>
          <w:color w:val="auto"/>
          <w:sz w:val="22"/>
          <w:highlight w:val="none"/>
        </w:rPr>
      </w:pPr>
      <w:r>
        <w:rPr>
          <w:rStyle w:val="248"/>
          <w:rFonts w:ascii="宋体" w:hAnsi="宋体"/>
          <w:color w:val="auto"/>
          <w:sz w:val="22"/>
          <w:highlight w:val="none"/>
        </w:rPr>
        <w:t>（2）甲方不承担因不可抗力造成合同不能正常履行的责任。</w:t>
      </w:r>
    </w:p>
    <w:p>
      <w:pPr>
        <w:pStyle w:val="247"/>
        <w:widowControl/>
        <w:snapToGrid w:val="0"/>
        <w:spacing w:line="400" w:lineRule="exact"/>
        <w:ind w:left="550" w:hanging="550" w:hangingChars="250"/>
        <w:rPr>
          <w:rStyle w:val="248"/>
          <w:rFonts w:ascii="宋体" w:hAnsi="宋体"/>
          <w:color w:val="auto"/>
          <w:sz w:val="22"/>
          <w:highlight w:val="none"/>
        </w:rPr>
      </w:pPr>
      <w:r>
        <w:rPr>
          <w:rStyle w:val="248"/>
          <w:rFonts w:ascii="宋体" w:hAnsi="宋体"/>
          <w:color w:val="auto"/>
          <w:sz w:val="22"/>
          <w:highlight w:val="none"/>
        </w:rPr>
        <w:t>（3）因不可抗力造成甲方的损害，甲方的保险赔偿不受影响。对恢复</w:t>
      </w:r>
      <w:r>
        <w:rPr>
          <w:rStyle w:val="248"/>
          <w:rFonts w:hint="eastAsia" w:ascii="宋体" w:hAnsi="宋体"/>
          <w:color w:val="auto"/>
          <w:sz w:val="22"/>
          <w:highlight w:val="none"/>
        </w:rPr>
        <w:t>服务</w:t>
      </w:r>
      <w:r>
        <w:rPr>
          <w:rStyle w:val="248"/>
          <w:rFonts w:ascii="宋体" w:hAnsi="宋体"/>
          <w:color w:val="auto"/>
          <w:sz w:val="22"/>
          <w:highlight w:val="none"/>
        </w:rPr>
        <w:t>合同期间的价格及其它费用双方可以协商解决。</w:t>
      </w:r>
    </w:p>
    <w:p>
      <w:pPr>
        <w:pStyle w:val="247"/>
        <w:widowControl/>
        <w:snapToGrid w:val="0"/>
        <w:spacing w:line="400" w:lineRule="exact"/>
        <w:ind w:left="330" w:hanging="330" w:hangingChars="150"/>
        <w:rPr>
          <w:rStyle w:val="248"/>
          <w:rFonts w:ascii="宋体" w:hAnsi="宋体"/>
          <w:color w:val="auto"/>
          <w:sz w:val="22"/>
          <w:highlight w:val="none"/>
        </w:rPr>
      </w:pPr>
      <w:r>
        <w:rPr>
          <w:rStyle w:val="248"/>
          <w:rFonts w:ascii="宋体" w:hAnsi="宋体"/>
          <w:color w:val="auto"/>
          <w:sz w:val="22"/>
          <w:highlight w:val="none"/>
        </w:rPr>
        <w:t>2、遇国家政策性调整，影响合同履行，双方协商解决。</w:t>
      </w:r>
    </w:p>
    <w:p>
      <w:pPr>
        <w:pStyle w:val="247"/>
        <w:widowControl/>
        <w:snapToGrid w:val="0"/>
        <w:spacing w:line="400" w:lineRule="exact"/>
        <w:ind w:left="330" w:hanging="330" w:hangingChars="150"/>
        <w:rPr>
          <w:rStyle w:val="248"/>
          <w:rFonts w:ascii="宋体" w:hAnsi="宋体"/>
          <w:b/>
          <w:color w:val="auto"/>
          <w:sz w:val="22"/>
          <w:highlight w:val="none"/>
        </w:rPr>
      </w:pPr>
      <w:r>
        <w:rPr>
          <w:rStyle w:val="248"/>
          <w:rFonts w:ascii="宋体" w:hAnsi="宋体"/>
          <w:color w:val="auto"/>
          <w:sz w:val="22"/>
          <w:highlight w:val="none"/>
        </w:rPr>
        <w:t>十一、合同生效和终止</w:t>
      </w:r>
    </w:p>
    <w:p>
      <w:pPr>
        <w:pStyle w:val="247"/>
        <w:widowControl/>
        <w:snapToGrid w:val="0"/>
        <w:spacing w:line="360" w:lineRule="exact"/>
        <w:ind w:left="330" w:hanging="330" w:hangingChars="150"/>
        <w:rPr>
          <w:rStyle w:val="248"/>
          <w:rFonts w:ascii="宋体" w:hAnsi="宋体"/>
          <w:color w:val="auto"/>
          <w:sz w:val="22"/>
          <w:highlight w:val="none"/>
        </w:rPr>
      </w:pPr>
      <w:r>
        <w:rPr>
          <w:rStyle w:val="248"/>
          <w:rFonts w:ascii="宋体" w:hAnsi="宋体"/>
          <w:color w:val="auto"/>
          <w:sz w:val="22"/>
          <w:highlight w:val="none"/>
        </w:rPr>
        <w:t>1、本合同经双方授权代表签字盖章后生效。</w:t>
      </w:r>
    </w:p>
    <w:p>
      <w:pPr>
        <w:pStyle w:val="247"/>
        <w:widowControl/>
        <w:snapToGrid w:val="0"/>
        <w:spacing w:line="360" w:lineRule="exact"/>
        <w:ind w:left="330" w:hanging="330" w:hangingChars="150"/>
        <w:rPr>
          <w:rStyle w:val="248"/>
          <w:rFonts w:ascii="宋体" w:hAnsi="宋体"/>
          <w:color w:val="auto"/>
          <w:sz w:val="22"/>
          <w:highlight w:val="none"/>
        </w:rPr>
      </w:pPr>
      <w:r>
        <w:rPr>
          <w:rStyle w:val="248"/>
          <w:rFonts w:ascii="宋体" w:hAnsi="宋体"/>
          <w:color w:val="auto"/>
          <w:sz w:val="22"/>
          <w:highlight w:val="none"/>
        </w:rPr>
        <w:t>2、终止</w:t>
      </w:r>
    </w:p>
    <w:p>
      <w:pPr>
        <w:pStyle w:val="247"/>
        <w:widowControl/>
        <w:snapToGrid w:val="0"/>
        <w:spacing w:line="360" w:lineRule="exact"/>
        <w:ind w:left="330" w:hanging="330" w:hangingChars="150"/>
        <w:rPr>
          <w:rStyle w:val="248"/>
          <w:rFonts w:ascii="宋体" w:hAnsi="宋体"/>
          <w:color w:val="auto"/>
          <w:sz w:val="22"/>
          <w:highlight w:val="none"/>
        </w:rPr>
      </w:pPr>
      <w:r>
        <w:rPr>
          <w:rStyle w:val="248"/>
          <w:rFonts w:ascii="宋体" w:hAnsi="宋体"/>
          <w:color w:val="auto"/>
          <w:sz w:val="22"/>
          <w:highlight w:val="none"/>
        </w:rPr>
        <w:t>（1）提前终止</w:t>
      </w:r>
    </w:p>
    <w:p>
      <w:pPr>
        <w:pStyle w:val="247"/>
        <w:widowControl/>
        <w:snapToGrid w:val="0"/>
        <w:spacing w:line="360" w:lineRule="exact"/>
        <w:ind w:left="439" w:leftChars="52" w:hanging="330" w:hangingChars="150"/>
        <w:rPr>
          <w:rStyle w:val="248"/>
          <w:rFonts w:ascii="宋体" w:hAnsi="宋体"/>
          <w:color w:val="auto"/>
          <w:sz w:val="22"/>
          <w:highlight w:val="none"/>
        </w:rPr>
      </w:pPr>
      <w:r>
        <w:rPr>
          <w:rStyle w:val="248"/>
          <w:rFonts w:ascii="宋体" w:hAnsi="宋体"/>
          <w:color w:val="auto"/>
          <w:sz w:val="22"/>
          <w:highlight w:val="none"/>
        </w:rPr>
        <w:t>① 因乙方连续二次服务未达到甲方的要求，通知整改而不见成效时，甲方有权向乙方发出书面通知终止</w:t>
      </w:r>
      <w:r>
        <w:rPr>
          <w:rStyle w:val="248"/>
          <w:rFonts w:hint="eastAsia" w:ascii="宋体" w:hAnsi="宋体"/>
          <w:color w:val="auto"/>
          <w:sz w:val="22"/>
          <w:highlight w:val="none"/>
        </w:rPr>
        <w:t>服务</w:t>
      </w:r>
      <w:r>
        <w:rPr>
          <w:rStyle w:val="248"/>
          <w:rFonts w:ascii="宋体" w:hAnsi="宋体"/>
          <w:color w:val="auto"/>
          <w:sz w:val="22"/>
          <w:highlight w:val="none"/>
        </w:rPr>
        <w:t>。</w:t>
      </w:r>
    </w:p>
    <w:p>
      <w:pPr>
        <w:pStyle w:val="247"/>
        <w:widowControl/>
        <w:snapToGrid w:val="0"/>
        <w:spacing w:line="360" w:lineRule="exact"/>
        <w:ind w:left="439" w:leftChars="52" w:hanging="330" w:hangingChars="150"/>
        <w:rPr>
          <w:rStyle w:val="248"/>
          <w:rFonts w:ascii="宋体" w:hAnsi="宋体"/>
          <w:color w:val="auto"/>
          <w:sz w:val="22"/>
          <w:highlight w:val="none"/>
        </w:rPr>
      </w:pPr>
      <w:r>
        <w:rPr>
          <w:rStyle w:val="248"/>
          <w:rFonts w:ascii="宋体" w:hAnsi="宋体"/>
          <w:color w:val="auto"/>
          <w:sz w:val="22"/>
          <w:highlight w:val="none"/>
        </w:rPr>
        <w:t>② 乙方亦可向甲方提前三个月发出书面通知终止</w:t>
      </w:r>
      <w:r>
        <w:rPr>
          <w:rStyle w:val="248"/>
          <w:rFonts w:hint="eastAsia" w:ascii="宋体" w:hAnsi="宋体"/>
          <w:color w:val="auto"/>
          <w:sz w:val="22"/>
          <w:highlight w:val="none"/>
        </w:rPr>
        <w:t>服务</w:t>
      </w:r>
      <w:r>
        <w:rPr>
          <w:rStyle w:val="248"/>
          <w:rFonts w:ascii="宋体" w:hAnsi="宋体"/>
          <w:color w:val="auto"/>
          <w:sz w:val="22"/>
          <w:highlight w:val="none"/>
        </w:rPr>
        <w:t>，乙方支付给甲方月度</w:t>
      </w:r>
      <w:r>
        <w:rPr>
          <w:rStyle w:val="248"/>
          <w:rFonts w:hint="eastAsia" w:ascii="宋体" w:hAnsi="宋体"/>
          <w:color w:val="auto"/>
          <w:sz w:val="22"/>
          <w:highlight w:val="none"/>
        </w:rPr>
        <w:t>服务</w:t>
      </w:r>
      <w:r>
        <w:rPr>
          <w:rStyle w:val="248"/>
          <w:rFonts w:ascii="宋体" w:hAnsi="宋体"/>
          <w:color w:val="auto"/>
          <w:sz w:val="22"/>
          <w:highlight w:val="none"/>
        </w:rPr>
        <w:t>金额三倍金额的赔偿金。</w:t>
      </w:r>
    </w:p>
    <w:p>
      <w:pPr>
        <w:pStyle w:val="247"/>
        <w:widowControl/>
        <w:snapToGrid w:val="0"/>
        <w:spacing w:line="360" w:lineRule="exact"/>
        <w:ind w:left="439" w:leftChars="52" w:hanging="330" w:hangingChars="150"/>
        <w:rPr>
          <w:rStyle w:val="248"/>
          <w:rFonts w:ascii="宋体" w:hAnsi="宋体"/>
          <w:color w:val="auto"/>
          <w:sz w:val="22"/>
          <w:highlight w:val="none"/>
        </w:rPr>
      </w:pPr>
      <w:r>
        <w:rPr>
          <w:rStyle w:val="248"/>
          <w:rFonts w:ascii="宋体" w:hAnsi="宋体"/>
          <w:color w:val="auto"/>
          <w:sz w:val="22"/>
          <w:highlight w:val="none"/>
        </w:rPr>
        <w:t>③ 乙方未能履行合同和遵守有关规定，在甲方发出书面警告后仍无采取补救措施可立即终止</w:t>
      </w:r>
      <w:r>
        <w:rPr>
          <w:rStyle w:val="248"/>
          <w:rFonts w:hint="eastAsia" w:ascii="宋体" w:hAnsi="宋体"/>
          <w:color w:val="auto"/>
          <w:sz w:val="22"/>
          <w:highlight w:val="none"/>
        </w:rPr>
        <w:t>服务</w:t>
      </w:r>
      <w:r>
        <w:rPr>
          <w:rStyle w:val="248"/>
          <w:rFonts w:ascii="宋体" w:hAnsi="宋体"/>
          <w:color w:val="auto"/>
          <w:sz w:val="22"/>
          <w:highlight w:val="none"/>
        </w:rPr>
        <w:t>。</w:t>
      </w:r>
    </w:p>
    <w:p>
      <w:pPr>
        <w:pStyle w:val="247"/>
        <w:widowControl/>
        <w:snapToGrid w:val="0"/>
        <w:spacing w:line="360" w:lineRule="exact"/>
        <w:ind w:left="439" w:leftChars="52" w:hanging="330" w:hangingChars="150"/>
        <w:rPr>
          <w:rStyle w:val="248"/>
          <w:rFonts w:ascii="宋体" w:hAnsi="宋体"/>
          <w:color w:val="auto"/>
          <w:sz w:val="22"/>
          <w:highlight w:val="none"/>
        </w:rPr>
      </w:pPr>
      <w:r>
        <w:rPr>
          <w:rStyle w:val="248"/>
          <w:rFonts w:ascii="宋体" w:hAnsi="宋体"/>
          <w:color w:val="auto"/>
          <w:sz w:val="22"/>
          <w:highlight w:val="none"/>
        </w:rPr>
        <w:t>④ 乙方破产清算、重组及兼并等事实发生，或被债权人接管经营，甲方无需通知乙方即可终止</w:t>
      </w:r>
      <w:r>
        <w:rPr>
          <w:rStyle w:val="248"/>
          <w:rFonts w:hint="eastAsia" w:ascii="宋体" w:hAnsi="宋体"/>
          <w:color w:val="auto"/>
          <w:sz w:val="22"/>
          <w:highlight w:val="none"/>
        </w:rPr>
        <w:t>服务</w:t>
      </w:r>
      <w:r>
        <w:rPr>
          <w:rStyle w:val="248"/>
          <w:rFonts w:ascii="宋体" w:hAnsi="宋体"/>
          <w:color w:val="auto"/>
          <w:sz w:val="22"/>
          <w:highlight w:val="none"/>
        </w:rPr>
        <w:t>。</w:t>
      </w:r>
    </w:p>
    <w:p>
      <w:pPr>
        <w:pStyle w:val="247"/>
        <w:widowControl/>
        <w:snapToGrid w:val="0"/>
        <w:spacing w:line="360" w:lineRule="exact"/>
        <w:ind w:left="439" w:leftChars="52" w:hanging="330" w:hangingChars="150"/>
        <w:rPr>
          <w:rStyle w:val="248"/>
          <w:rFonts w:ascii="宋体" w:hAnsi="宋体"/>
          <w:color w:val="auto"/>
          <w:sz w:val="22"/>
          <w:highlight w:val="none"/>
        </w:rPr>
      </w:pPr>
      <w:r>
        <w:rPr>
          <w:rStyle w:val="248"/>
          <w:rFonts w:ascii="宋体" w:hAnsi="宋体"/>
          <w:color w:val="auto"/>
          <w:sz w:val="22"/>
          <w:highlight w:val="none"/>
        </w:rPr>
        <w:t xml:space="preserve">⑤ </w:t>
      </w:r>
      <w:r>
        <w:rPr>
          <w:rStyle w:val="248"/>
          <w:rFonts w:hint="eastAsia" w:ascii="宋体" w:hAnsi="宋体"/>
          <w:color w:val="auto"/>
          <w:sz w:val="22"/>
          <w:highlight w:val="none"/>
        </w:rPr>
        <w:t>服务</w:t>
      </w:r>
      <w:r>
        <w:rPr>
          <w:rStyle w:val="248"/>
          <w:rFonts w:ascii="宋体" w:hAnsi="宋体"/>
          <w:color w:val="auto"/>
          <w:sz w:val="22"/>
          <w:highlight w:val="none"/>
        </w:rPr>
        <w:t>期内，如乙方从事违法犯罪活动或其他损害甲方形象或声誉的活动，则甲方有权单方解除合同。</w:t>
      </w:r>
    </w:p>
    <w:p>
      <w:pPr>
        <w:pStyle w:val="247"/>
        <w:widowControl/>
        <w:snapToGrid w:val="0"/>
        <w:spacing w:line="360" w:lineRule="exact"/>
        <w:ind w:left="329" w:leftChars="52" w:hanging="220" w:hangingChars="100"/>
        <w:rPr>
          <w:rStyle w:val="248"/>
          <w:rFonts w:ascii="宋体" w:hAnsi="宋体"/>
          <w:color w:val="auto"/>
          <w:sz w:val="22"/>
          <w:highlight w:val="none"/>
        </w:rPr>
      </w:pPr>
      <w:r>
        <w:rPr>
          <w:rStyle w:val="248"/>
          <w:rFonts w:ascii="宋体" w:hAnsi="宋体"/>
          <w:color w:val="auto"/>
          <w:sz w:val="22"/>
          <w:highlight w:val="none"/>
        </w:rPr>
        <w:t>⑥ 合同规定的其他终止情况。</w:t>
      </w:r>
    </w:p>
    <w:p>
      <w:pPr>
        <w:pStyle w:val="247"/>
        <w:widowControl/>
        <w:snapToGrid w:val="0"/>
        <w:spacing w:line="360" w:lineRule="exact"/>
        <w:ind w:left="328" w:leftChars="-50" w:hanging="433" w:hangingChars="197"/>
        <w:rPr>
          <w:rStyle w:val="248"/>
          <w:rFonts w:ascii="宋体" w:hAnsi="宋体"/>
          <w:color w:val="auto"/>
          <w:sz w:val="22"/>
          <w:highlight w:val="none"/>
        </w:rPr>
      </w:pPr>
      <w:r>
        <w:rPr>
          <w:rStyle w:val="248"/>
          <w:rFonts w:ascii="宋体" w:hAnsi="宋体"/>
          <w:color w:val="auto"/>
          <w:sz w:val="22"/>
          <w:highlight w:val="none"/>
        </w:rPr>
        <w:t>（2）协议终止</w:t>
      </w:r>
    </w:p>
    <w:p>
      <w:pPr>
        <w:pStyle w:val="247"/>
        <w:widowControl/>
        <w:snapToGrid w:val="0"/>
        <w:spacing w:line="360" w:lineRule="exact"/>
        <w:ind w:left="328" w:leftChars="156" w:firstLine="110" w:firstLineChars="50"/>
        <w:rPr>
          <w:rStyle w:val="248"/>
          <w:rFonts w:ascii="宋体" w:hAnsi="宋体"/>
          <w:color w:val="auto"/>
          <w:sz w:val="22"/>
          <w:highlight w:val="none"/>
        </w:rPr>
      </w:pPr>
      <w:r>
        <w:rPr>
          <w:rStyle w:val="248"/>
          <w:rFonts w:ascii="宋体" w:hAnsi="宋体"/>
          <w:color w:val="auto"/>
          <w:sz w:val="22"/>
          <w:highlight w:val="none"/>
        </w:rPr>
        <w:t>经双方协商同意，可在任何时候终止</w:t>
      </w:r>
      <w:r>
        <w:rPr>
          <w:rStyle w:val="248"/>
          <w:rFonts w:hint="eastAsia" w:ascii="宋体" w:hAnsi="宋体"/>
          <w:color w:val="auto"/>
          <w:sz w:val="22"/>
          <w:highlight w:val="none"/>
        </w:rPr>
        <w:t>服务</w:t>
      </w:r>
      <w:r>
        <w:rPr>
          <w:rStyle w:val="248"/>
          <w:rFonts w:ascii="宋体" w:hAnsi="宋体"/>
          <w:color w:val="auto"/>
          <w:sz w:val="22"/>
          <w:highlight w:val="none"/>
        </w:rPr>
        <w:t>。</w:t>
      </w:r>
    </w:p>
    <w:p>
      <w:pPr>
        <w:pStyle w:val="247"/>
        <w:widowControl/>
        <w:snapToGrid w:val="0"/>
        <w:spacing w:line="360" w:lineRule="exact"/>
        <w:ind w:left="328" w:leftChars="-50" w:hanging="433" w:hangingChars="197"/>
        <w:rPr>
          <w:rStyle w:val="248"/>
          <w:rFonts w:ascii="宋体" w:hAnsi="宋体"/>
          <w:color w:val="auto"/>
          <w:sz w:val="22"/>
          <w:highlight w:val="none"/>
        </w:rPr>
      </w:pPr>
      <w:r>
        <w:rPr>
          <w:rStyle w:val="248"/>
          <w:rFonts w:ascii="宋体" w:hAnsi="宋体"/>
          <w:color w:val="auto"/>
          <w:sz w:val="22"/>
          <w:highlight w:val="none"/>
        </w:rPr>
        <w:t>（3）自然终止</w:t>
      </w:r>
    </w:p>
    <w:p>
      <w:pPr>
        <w:pStyle w:val="247"/>
        <w:widowControl/>
        <w:snapToGrid w:val="0"/>
        <w:spacing w:line="360" w:lineRule="exact"/>
        <w:ind w:left="328" w:leftChars="156" w:firstLine="110" w:firstLineChars="50"/>
        <w:rPr>
          <w:rStyle w:val="248"/>
          <w:rFonts w:ascii="宋体" w:hAnsi="宋体"/>
          <w:color w:val="auto"/>
          <w:sz w:val="22"/>
          <w:highlight w:val="none"/>
        </w:rPr>
      </w:pPr>
      <w:r>
        <w:rPr>
          <w:rStyle w:val="248"/>
          <w:rFonts w:ascii="宋体" w:hAnsi="宋体"/>
          <w:color w:val="auto"/>
          <w:sz w:val="22"/>
          <w:highlight w:val="none"/>
        </w:rPr>
        <w:t>合同规定的</w:t>
      </w:r>
      <w:r>
        <w:rPr>
          <w:rStyle w:val="248"/>
          <w:rFonts w:hint="eastAsia" w:ascii="宋体" w:hAnsi="宋体"/>
          <w:color w:val="auto"/>
          <w:sz w:val="22"/>
          <w:highlight w:val="none"/>
        </w:rPr>
        <w:t>服务</w:t>
      </w:r>
      <w:r>
        <w:rPr>
          <w:rStyle w:val="248"/>
          <w:rFonts w:ascii="宋体" w:hAnsi="宋体"/>
          <w:color w:val="auto"/>
          <w:sz w:val="22"/>
          <w:highlight w:val="none"/>
        </w:rPr>
        <w:t>期满，</w:t>
      </w:r>
      <w:r>
        <w:rPr>
          <w:rStyle w:val="248"/>
          <w:rFonts w:hint="eastAsia" w:ascii="宋体" w:hAnsi="宋体"/>
          <w:color w:val="auto"/>
          <w:sz w:val="22"/>
          <w:highlight w:val="none"/>
        </w:rPr>
        <w:t>服务</w:t>
      </w:r>
      <w:r>
        <w:rPr>
          <w:rStyle w:val="248"/>
          <w:rFonts w:ascii="宋体" w:hAnsi="宋体"/>
          <w:color w:val="auto"/>
          <w:sz w:val="22"/>
          <w:highlight w:val="none"/>
        </w:rPr>
        <w:t>自然终止。</w:t>
      </w:r>
    </w:p>
    <w:p>
      <w:pPr>
        <w:pStyle w:val="247"/>
        <w:widowControl/>
        <w:snapToGrid w:val="0"/>
        <w:spacing w:line="360" w:lineRule="exact"/>
        <w:ind w:left="330" w:hanging="330" w:hangingChars="150"/>
        <w:rPr>
          <w:rStyle w:val="248"/>
          <w:rFonts w:ascii="宋体" w:hAnsi="宋体"/>
          <w:color w:val="auto"/>
          <w:sz w:val="22"/>
          <w:highlight w:val="none"/>
        </w:rPr>
      </w:pPr>
      <w:r>
        <w:rPr>
          <w:rStyle w:val="248"/>
          <w:rFonts w:ascii="宋体" w:hAnsi="宋体"/>
          <w:color w:val="auto"/>
          <w:sz w:val="22"/>
          <w:highlight w:val="none"/>
        </w:rPr>
        <w:t>3、</w:t>
      </w:r>
      <w:r>
        <w:rPr>
          <w:rStyle w:val="248"/>
          <w:rFonts w:hint="eastAsia" w:ascii="宋体" w:hAnsi="宋体"/>
          <w:color w:val="auto"/>
          <w:sz w:val="22"/>
          <w:highlight w:val="none"/>
        </w:rPr>
        <w:t>服务</w:t>
      </w:r>
      <w:r>
        <w:rPr>
          <w:rStyle w:val="248"/>
          <w:rFonts w:ascii="宋体" w:hAnsi="宋体"/>
          <w:color w:val="auto"/>
          <w:sz w:val="22"/>
          <w:highlight w:val="none"/>
        </w:rPr>
        <w:t>终止后果</w:t>
      </w:r>
    </w:p>
    <w:p>
      <w:pPr>
        <w:pStyle w:val="247"/>
        <w:widowControl/>
        <w:snapToGrid w:val="0"/>
        <w:spacing w:line="360" w:lineRule="exact"/>
        <w:ind w:left="-2" w:leftChars="-50" w:hanging="103" w:hangingChars="47"/>
        <w:rPr>
          <w:rStyle w:val="248"/>
          <w:rFonts w:ascii="宋体" w:hAnsi="宋体"/>
          <w:color w:val="auto"/>
          <w:sz w:val="22"/>
          <w:highlight w:val="none"/>
        </w:rPr>
      </w:pPr>
      <w:r>
        <w:rPr>
          <w:rStyle w:val="248"/>
          <w:rFonts w:ascii="宋体" w:hAnsi="宋体"/>
          <w:color w:val="auto"/>
          <w:sz w:val="22"/>
          <w:highlight w:val="none"/>
        </w:rPr>
        <w:t>（1）终止</w:t>
      </w:r>
      <w:r>
        <w:rPr>
          <w:rStyle w:val="248"/>
          <w:rFonts w:hint="eastAsia" w:ascii="宋体" w:hAnsi="宋体"/>
          <w:color w:val="auto"/>
          <w:sz w:val="22"/>
          <w:highlight w:val="none"/>
        </w:rPr>
        <w:t>服务</w:t>
      </w:r>
      <w:r>
        <w:rPr>
          <w:rStyle w:val="248"/>
          <w:rFonts w:ascii="宋体" w:hAnsi="宋体"/>
          <w:color w:val="auto"/>
          <w:sz w:val="22"/>
          <w:highlight w:val="none"/>
        </w:rPr>
        <w:t>，不影响根据合同规定进行的赔偿、补偿。</w:t>
      </w:r>
    </w:p>
    <w:p>
      <w:pPr>
        <w:pStyle w:val="247"/>
        <w:widowControl/>
        <w:snapToGrid w:val="0"/>
        <w:spacing w:line="360" w:lineRule="exact"/>
        <w:ind w:left="436" w:leftChars="-50" w:hanging="541" w:hangingChars="246"/>
        <w:rPr>
          <w:rStyle w:val="248"/>
          <w:rFonts w:ascii="宋体" w:hAnsi="宋体"/>
          <w:color w:val="auto"/>
          <w:sz w:val="22"/>
          <w:highlight w:val="none"/>
        </w:rPr>
      </w:pPr>
      <w:r>
        <w:rPr>
          <w:rStyle w:val="248"/>
          <w:rFonts w:ascii="宋体" w:hAnsi="宋体"/>
          <w:color w:val="auto"/>
          <w:sz w:val="22"/>
          <w:highlight w:val="none"/>
        </w:rPr>
        <w:t>（2）</w:t>
      </w:r>
      <w:r>
        <w:rPr>
          <w:rStyle w:val="248"/>
          <w:rFonts w:hint="eastAsia" w:ascii="宋体" w:hAnsi="宋体"/>
          <w:color w:val="auto"/>
          <w:sz w:val="22"/>
          <w:highlight w:val="none"/>
        </w:rPr>
        <w:t>服务</w:t>
      </w:r>
      <w:r>
        <w:rPr>
          <w:rStyle w:val="248"/>
          <w:rFonts w:ascii="宋体" w:hAnsi="宋体"/>
          <w:color w:val="auto"/>
          <w:sz w:val="22"/>
          <w:highlight w:val="none"/>
        </w:rPr>
        <w:t>终止时，双方应进行结算，甲方同时进行乙方</w:t>
      </w:r>
      <w:r>
        <w:rPr>
          <w:rStyle w:val="248"/>
          <w:rFonts w:hint="eastAsia" w:ascii="宋体" w:hAnsi="宋体"/>
          <w:color w:val="auto"/>
          <w:sz w:val="22"/>
          <w:highlight w:val="none"/>
        </w:rPr>
        <w:t>服务</w:t>
      </w:r>
      <w:r>
        <w:rPr>
          <w:rStyle w:val="248"/>
          <w:rFonts w:ascii="宋体" w:hAnsi="宋体"/>
          <w:color w:val="auto"/>
          <w:sz w:val="22"/>
          <w:highlight w:val="none"/>
        </w:rPr>
        <w:t>区域设施、设备状况检查并要求乙方三天内将乙方物品撤离</w:t>
      </w:r>
      <w:r>
        <w:rPr>
          <w:rStyle w:val="248"/>
          <w:rFonts w:hint="eastAsia" w:ascii="宋体" w:hAnsi="宋体"/>
          <w:color w:val="auto"/>
          <w:sz w:val="22"/>
          <w:highlight w:val="none"/>
        </w:rPr>
        <w:t>服务</w:t>
      </w:r>
      <w:r>
        <w:rPr>
          <w:rStyle w:val="248"/>
          <w:rFonts w:ascii="宋体" w:hAnsi="宋体"/>
          <w:color w:val="auto"/>
          <w:sz w:val="22"/>
          <w:highlight w:val="none"/>
        </w:rPr>
        <w:t>区域，否则甲方将代理处理，并</w:t>
      </w:r>
      <w:r>
        <w:rPr>
          <w:rStyle w:val="248"/>
          <w:rFonts w:hint="eastAsia" w:ascii="宋体" w:hAnsi="宋体"/>
          <w:color w:val="auto"/>
          <w:sz w:val="22"/>
          <w:highlight w:val="none"/>
        </w:rPr>
        <w:t>由乙方支付</w:t>
      </w:r>
      <w:r>
        <w:rPr>
          <w:rStyle w:val="248"/>
          <w:rFonts w:ascii="宋体" w:hAnsi="宋体"/>
          <w:color w:val="auto"/>
          <w:sz w:val="22"/>
          <w:highlight w:val="none"/>
        </w:rPr>
        <w:t>甲方代理费及15%的手续费。</w:t>
      </w:r>
    </w:p>
    <w:p>
      <w:pPr>
        <w:pStyle w:val="247"/>
        <w:widowControl/>
        <w:snapToGrid w:val="0"/>
        <w:spacing w:line="360" w:lineRule="exact"/>
        <w:ind w:left="330" w:hanging="330" w:hangingChars="150"/>
        <w:rPr>
          <w:rStyle w:val="248"/>
          <w:rFonts w:ascii="宋体" w:hAnsi="宋体"/>
          <w:color w:val="auto"/>
          <w:sz w:val="22"/>
          <w:highlight w:val="none"/>
        </w:rPr>
      </w:pPr>
      <w:r>
        <w:rPr>
          <w:rStyle w:val="248"/>
          <w:rFonts w:ascii="宋体" w:hAnsi="宋体"/>
          <w:color w:val="auto"/>
          <w:sz w:val="22"/>
          <w:highlight w:val="none"/>
        </w:rPr>
        <w:t>4、不放弃权利</w:t>
      </w:r>
    </w:p>
    <w:p>
      <w:pPr>
        <w:pStyle w:val="247"/>
        <w:widowControl/>
        <w:snapToGrid w:val="0"/>
        <w:spacing w:line="360" w:lineRule="exact"/>
        <w:ind w:left="328" w:leftChars="156"/>
        <w:rPr>
          <w:rStyle w:val="248"/>
          <w:rFonts w:ascii="宋体" w:hAnsi="宋体"/>
          <w:color w:val="auto"/>
          <w:sz w:val="22"/>
          <w:highlight w:val="none"/>
        </w:rPr>
      </w:pPr>
      <w:r>
        <w:rPr>
          <w:rStyle w:val="248"/>
          <w:rFonts w:ascii="宋体" w:hAnsi="宋体"/>
          <w:color w:val="auto"/>
          <w:sz w:val="22"/>
          <w:highlight w:val="none"/>
        </w:rPr>
        <w:t>甲方接受乙方的服务，但不放弃对乙方违约行为进行追究的权利；同时，若甲方对乙方某一违约行为放弃进行追究的权利，但不放弃对乙方其他违约行为进行追究的权利。</w:t>
      </w:r>
    </w:p>
    <w:p>
      <w:pPr>
        <w:pStyle w:val="247"/>
        <w:widowControl/>
        <w:snapToGrid w:val="0"/>
        <w:spacing w:line="360" w:lineRule="exact"/>
        <w:ind w:left="330" w:hanging="330" w:hangingChars="150"/>
        <w:rPr>
          <w:rStyle w:val="248"/>
          <w:rFonts w:ascii="宋体" w:hAnsi="宋体"/>
          <w:b/>
          <w:color w:val="auto"/>
          <w:sz w:val="22"/>
          <w:highlight w:val="none"/>
        </w:rPr>
      </w:pPr>
      <w:r>
        <w:rPr>
          <w:rStyle w:val="248"/>
          <w:rFonts w:ascii="宋体" w:hAnsi="宋体"/>
          <w:color w:val="auto"/>
          <w:sz w:val="22"/>
          <w:highlight w:val="none"/>
        </w:rPr>
        <w:t>十二、其他</w:t>
      </w:r>
    </w:p>
    <w:p>
      <w:pPr>
        <w:pStyle w:val="247"/>
        <w:widowControl/>
        <w:snapToGrid w:val="0"/>
        <w:spacing w:line="360" w:lineRule="exact"/>
        <w:ind w:left="330" w:hanging="330" w:hangingChars="150"/>
        <w:rPr>
          <w:rStyle w:val="248"/>
          <w:rFonts w:ascii="宋体" w:hAnsi="宋体"/>
          <w:color w:val="auto"/>
          <w:sz w:val="22"/>
          <w:highlight w:val="none"/>
        </w:rPr>
      </w:pPr>
      <w:r>
        <w:rPr>
          <w:rStyle w:val="248"/>
          <w:rFonts w:ascii="宋体" w:hAnsi="宋体"/>
          <w:color w:val="auto"/>
          <w:sz w:val="22"/>
          <w:highlight w:val="none"/>
        </w:rPr>
        <w:t>1、在乙方的责任区内由于乙方原因导致第三方的事故由乙方负责，甲方不承担任何责任。</w:t>
      </w:r>
    </w:p>
    <w:p>
      <w:pPr>
        <w:pStyle w:val="247"/>
        <w:widowControl/>
        <w:snapToGrid w:val="0"/>
        <w:spacing w:line="360" w:lineRule="exact"/>
        <w:ind w:left="330" w:hanging="330" w:hangingChars="150"/>
        <w:rPr>
          <w:rStyle w:val="248"/>
          <w:rFonts w:ascii="宋体" w:hAnsi="宋体"/>
          <w:color w:val="auto"/>
          <w:sz w:val="22"/>
          <w:highlight w:val="none"/>
        </w:rPr>
      </w:pPr>
      <w:r>
        <w:rPr>
          <w:rStyle w:val="248"/>
          <w:rFonts w:ascii="宋体" w:hAnsi="宋体"/>
          <w:color w:val="auto"/>
          <w:sz w:val="22"/>
          <w:highlight w:val="none"/>
        </w:rPr>
        <w:t>2、本合同中所述通知，必须为书面形式，并有送达签收。</w:t>
      </w:r>
    </w:p>
    <w:p>
      <w:pPr>
        <w:pStyle w:val="247"/>
        <w:widowControl/>
        <w:snapToGrid w:val="0"/>
        <w:spacing w:line="360" w:lineRule="exact"/>
        <w:ind w:left="330" w:hanging="330" w:hangingChars="150"/>
        <w:rPr>
          <w:rStyle w:val="248"/>
          <w:rFonts w:ascii="宋体" w:hAnsi="宋体"/>
          <w:color w:val="auto"/>
          <w:sz w:val="22"/>
          <w:highlight w:val="none"/>
        </w:rPr>
      </w:pPr>
      <w:r>
        <w:rPr>
          <w:rStyle w:val="248"/>
          <w:rFonts w:ascii="宋体" w:hAnsi="宋体"/>
          <w:color w:val="auto"/>
          <w:sz w:val="22"/>
          <w:highlight w:val="none"/>
        </w:rPr>
        <w:t>3、关于本合同争议，应双方友好协商解决，若协商不成，提交温州仲裁委员会仲裁。</w:t>
      </w:r>
    </w:p>
    <w:p>
      <w:pPr>
        <w:pStyle w:val="247"/>
        <w:widowControl/>
        <w:snapToGrid w:val="0"/>
        <w:spacing w:line="360" w:lineRule="exact"/>
        <w:ind w:left="330" w:hanging="330" w:hangingChars="150"/>
        <w:rPr>
          <w:rStyle w:val="248"/>
          <w:rFonts w:ascii="宋体" w:hAnsi="宋体"/>
          <w:color w:val="auto"/>
          <w:sz w:val="22"/>
          <w:highlight w:val="none"/>
        </w:rPr>
      </w:pPr>
      <w:r>
        <w:rPr>
          <w:rStyle w:val="248"/>
          <w:rFonts w:ascii="宋体" w:hAnsi="宋体"/>
          <w:color w:val="auto"/>
          <w:sz w:val="22"/>
          <w:highlight w:val="none"/>
        </w:rPr>
        <w:t>4、未尽事宜由双方协商解决，并以书面形式修改或补充本合同条款；合同的附件、修改（补充）件均与本主合同有同等的法律效力。</w:t>
      </w:r>
    </w:p>
    <w:p>
      <w:pPr>
        <w:pStyle w:val="247"/>
        <w:widowControl/>
        <w:snapToGrid w:val="0"/>
        <w:spacing w:line="360" w:lineRule="exact"/>
        <w:ind w:left="330" w:hanging="330" w:hangingChars="150"/>
        <w:rPr>
          <w:rStyle w:val="248"/>
          <w:rFonts w:ascii="宋体" w:hAnsi="宋体"/>
          <w:color w:val="auto"/>
          <w:sz w:val="22"/>
          <w:highlight w:val="none"/>
        </w:rPr>
      </w:pPr>
      <w:r>
        <w:rPr>
          <w:rStyle w:val="248"/>
          <w:rFonts w:ascii="宋体" w:hAnsi="宋体"/>
          <w:color w:val="auto"/>
          <w:sz w:val="22"/>
          <w:highlight w:val="none"/>
        </w:rPr>
        <w:t>5、本合同一式四份，甲乙双方各执两份。</w:t>
      </w:r>
    </w:p>
    <w:p>
      <w:pPr>
        <w:pStyle w:val="249"/>
        <w:widowControl/>
        <w:snapToGrid w:val="0"/>
        <w:spacing w:line="440" w:lineRule="atLeast"/>
        <w:rPr>
          <w:rStyle w:val="248"/>
          <w:rFonts w:ascii="宋体" w:hAnsi="宋体" w:eastAsia="宋体"/>
          <w:b w:val="0"/>
          <w:color w:val="auto"/>
          <w:sz w:val="22"/>
          <w:highlight w:val="none"/>
        </w:rPr>
      </w:pPr>
      <w:r>
        <w:rPr>
          <w:rStyle w:val="248"/>
          <w:rFonts w:ascii="宋体" w:hAnsi="宋体" w:eastAsia="宋体"/>
          <w:b w:val="0"/>
          <w:color w:val="auto"/>
          <w:sz w:val="22"/>
          <w:highlight w:val="none"/>
        </w:rPr>
        <w:t>十三、合同的解释</w:t>
      </w:r>
    </w:p>
    <w:p>
      <w:pPr>
        <w:pStyle w:val="249"/>
        <w:widowControl/>
        <w:snapToGrid w:val="0"/>
        <w:spacing w:line="440" w:lineRule="atLeast"/>
        <w:ind w:firstLine="482"/>
        <w:rPr>
          <w:rStyle w:val="248"/>
          <w:rFonts w:ascii="宋体" w:hAnsi="宋体" w:eastAsia="宋体"/>
          <w:b w:val="0"/>
          <w:color w:val="auto"/>
          <w:sz w:val="22"/>
          <w:highlight w:val="none"/>
        </w:rPr>
      </w:pPr>
      <w:r>
        <w:rPr>
          <w:rStyle w:val="248"/>
          <w:rFonts w:ascii="宋体" w:hAnsi="宋体" w:eastAsia="宋体"/>
          <w:b w:val="0"/>
          <w:color w:val="auto"/>
          <w:sz w:val="22"/>
          <w:highlight w:val="none"/>
        </w:rPr>
        <w:t>本合同的解释权在甲方。</w:t>
      </w:r>
    </w:p>
    <w:p>
      <w:pPr>
        <w:pStyle w:val="249"/>
        <w:widowControl/>
        <w:snapToGrid w:val="0"/>
        <w:spacing w:line="440" w:lineRule="atLeast"/>
        <w:rPr>
          <w:rStyle w:val="248"/>
          <w:rFonts w:ascii="宋体" w:hAnsi="宋体" w:eastAsia="宋体"/>
          <w:b w:val="0"/>
          <w:color w:val="auto"/>
          <w:sz w:val="22"/>
          <w:highlight w:val="none"/>
        </w:rPr>
      </w:pPr>
      <w:r>
        <w:rPr>
          <w:rStyle w:val="248"/>
          <w:rFonts w:ascii="宋体" w:hAnsi="宋体" w:eastAsia="宋体"/>
          <w:b w:val="0"/>
          <w:color w:val="auto"/>
          <w:sz w:val="22"/>
          <w:highlight w:val="none"/>
        </w:rPr>
        <w:t>十四、合同附件</w:t>
      </w:r>
    </w:p>
    <w:p>
      <w:pPr>
        <w:rPr>
          <w:rStyle w:val="248"/>
          <w:rFonts w:ascii="宋体" w:hAnsi="宋体" w:eastAsia="宋体"/>
          <w:b w:val="0"/>
          <w:color w:val="auto"/>
          <w:sz w:val="22"/>
          <w:highlight w:val="none"/>
        </w:rPr>
      </w:pPr>
      <w:r>
        <w:rPr>
          <w:rStyle w:val="248"/>
          <w:rFonts w:ascii="宋体" w:hAnsi="宋体"/>
          <w:b/>
          <w:bCs/>
          <w:color w:val="auto"/>
          <w:sz w:val="22"/>
          <w:highlight w:val="none"/>
        </w:rPr>
        <w:t>1、</w:t>
      </w:r>
      <w:r>
        <w:rPr>
          <w:rStyle w:val="248"/>
          <w:rFonts w:hint="eastAsia" w:ascii="宋体" w:hAnsi="宋体"/>
          <w:b/>
          <w:bCs/>
          <w:color w:val="auto"/>
          <w:sz w:val="22"/>
          <w:highlight w:val="none"/>
          <w:lang w:eastAsia="zh-CN"/>
        </w:rPr>
        <w:t>2024年茶山街道机关食堂外包运营服务</w:t>
      </w:r>
      <w:r>
        <w:rPr>
          <w:rStyle w:val="248"/>
          <w:rFonts w:hint="eastAsia" w:ascii="宋体" w:hAnsi="宋体"/>
          <w:b/>
          <w:bCs/>
          <w:color w:val="auto"/>
          <w:sz w:val="22"/>
          <w:highlight w:val="none"/>
        </w:rPr>
        <w:t>考核评分细则</w:t>
      </w:r>
    </w:p>
    <w:p>
      <w:pPr>
        <w:pStyle w:val="249"/>
        <w:widowControl/>
        <w:snapToGrid w:val="0"/>
        <w:spacing w:line="400" w:lineRule="atLeast"/>
        <w:ind w:firstLine="440" w:firstLineChars="200"/>
        <w:rPr>
          <w:rStyle w:val="248"/>
          <w:rFonts w:ascii="宋体" w:hAnsi="宋体" w:eastAsia="宋体"/>
          <w:b w:val="0"/>
          <w:color w:val="auto"/>
          <w:sz w:val="22"/>
          <w:highlight w:val="none"/>
        </w:rPr>
      </w:pPr>
      <w:r>
        <w:rPr>
          <w:rStyle w:val="248"/>
          <w:rFonts w:ascii="宋体" w:hAnsi="宋体" w:eastAsia="宋体"/>
          <w:b w:val="0"/>
          <w:color w:val="auto"/>
          <w:sz w:val="22"/>
          <w:highlight w:val="none"/>
        </w:rPr>
        <w:t>甲    方：（印章）                    乙    方：（印章）</w:t>
      </w:r>
    </w:p>
    <w:p>
      <w:pPr>
        <w:pStyle w:val="249"/>
        <w:widowControl/>
        <w:snapToGrid w:val="0"/>
        <w:spacing w:line="400" w:lineRule="atLeast"/>
        <w:ind w:firstLine="482"/>
        <w:rPr>
          <w:rStyle w:val="248"/>
          <w:rFonts w:ascii="宋体" w:hAnsi="宋体" w:eastAsia="宋体"/>
          <w:b w:val="0"/>
          <w:color w:val="auto"/>
          <w:sz w:val="22"/>
          <w:highlight w:val="none"/>
        </w:rPr>
      </w:pPr>
      <w:r>
        <w:rPr>
          <w:rStyle w:val="248"/>
          <w:rFonts w:ascii="宋体" w:hAnsi="宋体" w:eastAsia="宋体"/>
          <w:b w:val="0"/>
          <w:color w:val="auto"/>
          <w:sz w:val="22"/>
          <w:highlight w:val="none"/>
        </w:rPr>
        <w:t>代表</w:t>
      </w:r>
      <w:r>
        <w:rPr>
          <w:rStyle w:val="248"/>
          <w:rFonts w:hint="eastAsia" w:hAnsi="宋体" w:eastAsia="宋体"/>
          <w:b w:val="0"/>
          <w:color w:val="auto"/>
          <w:sz w:val="22"/>
          <w:highlight w:val="none"/>
          <w:lang w:val="en-US"/>
        </w:rPr>
        <w:t>人</w:t>
      </w:r>
      <w:r>
        <w:rPr>
          <w:rStyle w:val="248"/>
          <w:rFonts w:ascii="宋体" w:hAnsi="宋体" w:eastAsia="宋体"/>
          <w:b w:val="0"/>
          <w:color w:val="auto"/>
          <w:sz w:val="22"/>
          <w:highlight w:val="none"/>
        </w:rPr>
        <w:t>：（签字</w:t>
      </w:r>
      <w:r>
        <w:rPr>
          <w:rStyle w:val="248"/>
          <w:rFonts w:hint="eastAsia" w:hAnsi="宋体" w:eastAsia="宋体"/>
          <w:b w:val="0"/>
          <w:color w:val="auto"/>
          <w:sz w:val="22"/>
          <w:highlight w:val="none"/>
          <w:lang w:val="en-US"/>
        </w:rPr>
        <w:t>或盖章</w:t>
      </w:r>
      <w:r>
        <w:rPr>
          <w:rStyle w:val="248"/>
          <w:rFonts w:ascii="宋体" w:hAnsi="宋体" w:eastAsia="宋体"/>
          <w:b w:val="0"/>
          <w:color w:val="auto"/>
          <w:sz w:val="22"/>
          <w:highlight w:val="none"/>
        </w:rPr>
        <w:t>）               全权代表：（签字</w:t>
      </w:r>
      <w:r>
        <w:rPr>
          <w:rStyle w:val="248"/>
          <w:rFonts w:hint="eastAsia" w:hAnsi="宋体" w:eastAsia="宋体"/>
          <w:b w:val="0"/>
          <w:color w:val="auto"/>
          <w:sz w:val="22"/>
          <w:highlight w:val="none"/>
          <w:lang w:val="en-US"/>
        </w:rPr>
        <w:t>或盖章</w:t>
      </w:r>
      <w:r>
        <w:rPr>
          <w:rStyle w:val="248"/>
          <w:rFonts w:ascii="宋体" w:hAnsi="宋体" w:eastAsia="宋体"/>
          <w:b w:val="0"/>
          <w:color w:val="auto"/>
          <w:sz w:val="22"/>
          <w:highlight w:val="none"/>
        </w:rPr>
        <w:t>）</w:t>
      </w:r>
    </w:p>
    <w:p>
      <w:pPr>
        <w:pStyle w:val="249"/>
        <w:widowControl/>
        <w:snapToGrid w:val="0"/>
        <w:spacing w:line="400" w:lineRule="atLeast"/>
        <w:ind w:firstLine="482"/>
        <w:rPr>
          <w:rStyle w:val="248"/>
          <w:rFonts w:ascii="宋体" w:hAnsi="宋体" w:eastAsia="宋体"/>
          <w:b w:val="0"/>
          <w:color w:val="auto"/>
          <w:sz w:val="22"/>
          <w:highlight w:val="none"/>
        </w:rPr>
      </w:pPr>
      <w:r>
        <w:rPr>
          <w:rStyle w:val="248"/>
          <w:rFonts w:ascii="宋体" w:hAnsi="宋体" w:eastAsia="宋体"/>
          <w:b w:val="0"/>
          <w:color w:val="auto"/>
          <w:sz w:val="22"/>
          <w:highlight w:val="none"/>
        </w:rPr>
        <w:t>地    址：                            地    址：</w:t>
      </w:r>
    </w:p>
    <w:p>
      <w:pPr>
        <w:pStyle w:val="249"/>
        <w:widowControl/>
        <w:snapToGrid w:val="0"/>
        <w:spacing w:line="400" w:lineRule="atLeast"/>
        <w:ind w:firstLine="482"/>
        <w:rPr>
          <w:rStyle w:val="248"/>
          <w:rFonts w:ascii="宋体" w:hAnsi="宋体" w:eastAsia="宋体"/>
          <w:b w:val="0"/>
          <w:color w:val="auto"/>
          <w:sz w:val="22"/>
          <w:highlight w:val="none"/>
        </w:rPr>
      </w:pPr>
      <w:r>
        <w:rPr>
          <w:rStyle w:val="248"/>
          <w:rFonts w:ascii="宋体" w:hAnsi="宋体" w:eastAsia="宋体"/>
          <w:b w:val="0"/>
          <w:color w:val="auto"/>
          <w:sz w:val="22"/>
          <w:highlight w:val="none"/>
        </w:rPr>
        <w:t>邮政编码：                            邮政编码：</w:t>
      </w:r>
    </w:p>
    <w:p>
      <w:pPr>
        <w:pStyle w:val="249"/>
        <w:widowControl/>
        <w:snapToGrid w:val="0"/>
        <w:spacing w:line="400" w:lineRule="atLeast"/>
        <w:ind w:firstLine="482"/>
        <w:rPr>
          <w:rStyle w:val="248"/>
          <w:rFonts w:ascii="宋体" w:hAnsi="宋体" w:eastAsia="宋体"/>
          <w:b w:val="0"/>
          <w:color w:val="auto"/>
          <w:sz w:val="22"/>
          <w:highlight w:val="none"/>
        </w:rPr>
      </w:pPr>
      <w:r>
        <w:rPr>
          <w:rStyle w:val="248"/>
          <w:rFonts w:ascii="宋体" w:hAnsi="宋体" w:eastAsia="宋体"/>
          <w:b w:val="0"/>
          <w:color w:val="auto"/>
          <w:sz w:val="22"/>
          <w:highlight w:val="none"/>
        </w:rPr>
        <w:t>电    话：                            电    话：</w:t>
      </w:r>
    </w:p>
    <w:p>
      <w:pPr>
        <w:pStyle w:val="249"/>
        <w:widowControl/>
        <w:snapToGrid w:val="0"/>
        <w:spacing w:line="400" w:lineRule="atLeast"/>
        <w:ind w:firstLine="482"/>
        <w:rPr>
          <w:rStyle w:val="248"/>
          <w:rFonts w:ascii="宋体" w:hAnsi="宋体" w:eastAsia="宋体"/>
          <w:b w:val="0"/>
          <w:color w:val="auto"/>
          <w:sz w:val="22"/>
          <w:highlight w:val="none"/>
        </w:rPr>
      </w:pPr>
      <w:r>
        <w:rPr>
          <w:rStyle w:val="248"/>
          <w:rFonts w:ascii="宋体" w:hAnsi="宋体" w:eastAsia="宋体"/>
          <w:b w:val="0"/>
          <w:color w:val="auto"/>
          <w:sz w:val="22"/>
          <w:highlight w:val="none"/>
        </w:rPr>
        <w:t>传    真：                            传    真：</w:t>
      </w:r>
    </w:p>
    <w:p>
      <w:pPr>
        <w:pStyle w:val="249"/>
        <w:widowControl/>
        <w:snapToGrid w:val="0"/>
        <w:spacing w:line="400" w:lineRule="atLeast"/>
        <w:ind w:firstLine="482"/>
        <w:rPr>
          <w:rStyle w:val="248"/>
          <w:rFonts w:ascii="宋体" w:hAnsi="宋体" w:eastAsia="宋体"/>
          <w:b w:val="0"/>
          <w:color w:val="auto"/>
          <w:sz w:val="22"/>
          <w:highlight w:val="none"/>
        </w:rPr>
      </w:pPr>
      <w:r>
        <w:rPr>
          <w:rStyle w:val="248"/>
          <w:rFonts w:ascii="宋体" w:hAnsi="宋体" w:eastAsia="宋体"/>
          <w:b w:val="0"/>
          <w:color w:val="auto"/>
          <w:sz w:val="22"/>
          <w:highlight w:val="none"/>
        </w:rPr>
        <w:t>开户银行：                            开户银行：</w:t>
      </w:r>
    </w:p>
    <w:p>
      <w:pPr>
        <w:pStyle w:val="249"/>
        <w:widowControl/>
        <w:snapToGrid w:val="0"/>
        <w:spacing w:line="400" w:lineRule="atLeast"/>
        <w:ind w:firstLine="482"/>
        <w:rPr>
          <w:rStyle w:val="248"/>
          <w:rFonts w:ascii="宋体" w:hAnsi="宋体" w:eastAsia="宋体"/>
          <w:b w:val="0"/>
          <w:color w:val="auto"/>
          <w:sz w:val="22"/>
          <w:highlight w:val="none"/>
        </w:rPr>
      </w:pPr>
      <w:r>
        <w:rPr>
          <w:rStyle w:val="248"/>
          <w:rFonts w:ascii="宋体" w:hAnsi="宋体" w:eastAsia="宋体"/>
          <w:b w:val="0"/>
          <w:color w:val="auto"/>
          <w:sz w:val="22"/>
          <w:highlight w:val="none"/>
        </w:rPr>
        <w:t>帐    号：                            帐    号：</w:t>
      </w:r>
    </w:p>
    <w:p>
      <w:pPr>
        <w:pStyle w:val="33"/>
        <w:keepNext w:val="0"/>
        <w:keepLines w:val="0"/>
        <w:pageBreakBefore w:val="0"/>
        <w:kinsoku/>
        <w:wordWrap/>
        <w:overflowPunct/>
        <w:topLinePunct w:val="0"/>
        <w:bidi w:val="0"/>
        <w:spacing w:line="340" w:lineRule="exact"/>
        <w:ind w:firstLine="420"/>
        <w:rPr>
          <w:rFonts w:hint="default" w:ascii="宋体" w:hAnsi="宋体" w:eastAsia="宋体"/>
          <w:color w:val="auto"/>
          <w:sz w:val="22"/>
          <w:szCs w:val="22"/>
          <w:highlight w:val="none"/>
          <w:lang w:val="en-US" w:eastAsia="zh-CN"/>
        </w:rPr>
      </w:pPr>
      <w:r>
        <w:rPr>
          <w:rFonts w:eastAsia="宋体" w:cs="宋体"/>
          <w:bCs/>
          <w:color w:val="auto"/>
          <w:sz w:val="22"/>
          <w:szCs w:val="22"/>
          <w:highlight w:val="none"/>
        </w:rPr>
        <w:t>此仅为合同书样本，中标人需根据采购人实际情况和相关要求签订相应的</w:t>
      </w:r>
      <w:r>
        <w:rPr>
          <w:rFonts w:hint="eastAsia" w:eastAsia="宋体" w:cs="宋体"/>
          <w:bCs/>
          <w:color w:val="auto"/>
          <w:sz w:val="22"/>
          <w:szCs w:val="22"/>
          <w:highlight w:val="none"/>
          <w:lang w:val="en-US" w:eastAsia="zh-CN"/>
        </w:rPr>
        <w:t>合同内容。</w:t>
      </w:r>
    </w:p>
    <w:bookmarkEnd w:id="261"/>
    <w:p>
      <w:pPr>
        <w:pStyle w:val="16"/>
        <w:jc w:val="center"/>
        <w:rPr>
          <w:rFonts w:ascii="宋体" w:hAnsi="宋体"/>
          <w:b/>
          <w:bCs/>
          <w:color w:val="auto"/>
          <w:sz w:val="36"/>
          <w:szCs w:val="36"/>
          <w:highlight w:val="none"/>
        </w:rPr>
      </w:pPr>
      <w:r>
        <w:rPr>
          <w:rFonts w:hint="eastAsia" w:ascii="宋体" w:hAnsi="宋体"/>
          <w:b/>
          <w:bCs/>
          <w:color w:val="auto"/>
          <w:sz w:val="36"/>
          <w:szCs w:val="36"/>
          <w:highlight w:val="none"/>
          <w:lang w:val="en-US" w:eastAsia="zh-CN"/>
        </w:rPr>
        <w:br w:type="page"/>
      </w:r>
    </w:p>
    <w:bookmarkEnd w:id="245"/>
    <w:p>
      <w:pPr>
        <w:pStyle w:val="16"/>
        <w:jc w:val="center"/>
        <w:rPr>
          <w:rFonts w:ascii="宋体" w:hAnsi="宋体"/>
          <w:b/>
          <w:bCs/>
          <w:color w:val="auto"/>
          <w:sz w:val="36"/>
          <w:szCs w:val="36"/>
          <w:highlight w:val="none"/>
        </w:rPr>
      </w:pPr>
      <w:bookmarkStart w:id="262" w:name="_Toc522173455"/>
      <w:bookmarkEnd w:id="262"/>
      <w:bookmarkStart w:id="263" w:name="_Toc522173453"/>
      <w:bookmarkEnd w:id="263"/>
      <w:bookmarkStart w:id="264" w:name="_Toc522173456"/>
      <w:bookmarkEnd w:id="264"/>
      <w:bookmarkStart w:id="265" w:name="_Toc522173454"/>
      <w:bookmarkEnd w:id="265"/>
      <w:bookmarkStart w:id="266" w:name="_Toc522173452"/>
      <w:bookmarkEnd w:id="266"/>
      <w:r>
        <w:rPr>
          <w:rFonts w:hint="eastAsia" w:ascii="宋体" w:hAnsi="宋体"/>
          <w:b/>
          <w:bCs/>
          <w:color w:val="auto"/>
          <w:sz w:val="32"/>
          <w:szCs w:val="32"/>
          <w:highlight w:val="none"/>
          <w:lang w:val="en-US" w:eastAsia="zh-CN"/>
        </w:rPr>
        <w:t>2024年茶山街道机关食堂外包运营服务考核评分细则</w:t>
      </w:r>
    </w:p>
    <w:p>
      <w:pPr>
        <w:rPr>
          <w:rFonts w:ascii="宋体" w:hAnsi="宋体"/>
          <w:color w:val="auto"/>
          <w:highlight w:val="none"/>
        </w:rPr>
      </w:pPr>
      <w:r>
        <w:rPr>
          <w:rFonts w:hint="eastAsia" w:ascii="宋体" w:hAnsi="宋体" w:cs="宋体"/>
          <w:color w:val="auto"/>
          <w:highlight w:val="none"/>
        </w:rPr>
        <w:t xml:space="preserve"> </w:t>
      </w:r>
    </w:p>
    <w:tbl>
      <w:tblPr>
        <w:tblStyle w:val="38"/>
        <w:tblW w:w="10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511"/>
        <w:gridCol w:w="750"/>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357" w:type="dxa"/>
            <w:gridSpan w:val="2"/>
            <w:tcBorders>
              <w:top w:val="single" w:color="auto" w:sz="4" w:space="0"/>
              <w:left w:val="single" w:color="auto" w:sz="4" w:space="0"/>
              <w:bottom w:val="single" w:color="auto" w:sz="4" w:space="0"/>
              <w:right w:val="single" w:color="auto" w:sz="4" w:space="0"/>
            </w:tcBorders>
            <w:noWrap w:val="0"/>
            <w:vAlign w:val="center"/>
          </w:tcPr>
          <w:p>
            <w:pPr>
              <w:spacing w:line="160" w:lineRule="atLeast"/>
              <w:jc w:val="center"/>
              <w:rPr>
                <w:rFonts w:ascii="宋体" w:hAnsi="宋体"/>
                <w:color w:val="auto"/>
                <w:sz w:val="21"/>
                <w:szCs w:val="21"/>
                <w:highlight w:val="none"/>
              </w:rPr>
            </w:pPr>
            <w:r>
              <w:rPr>
                <w:rFonts w:hint="eastAsia" w:ascii="宋体" w:hAnsi="宋体"/>
                <w:color w:val="auto"/>
                <w:sz w:val="21"/>
                <w:szCs w:val="21"/>
                <w:highlight w:val="none"/>
              </w:rPr>
              <w:t>检 查 考 核 项 目</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jc w:val="center"/>
              <w:rPr>
                <w:rFonts w:ascii="宋体" w:hAnsi="宋体"/>
                <w:color w:val="auto"/>
                <w:sz w:val="21"/>
                <w:szCs w:val="21"/>
                <w:highlight w:val="none"/>
              </w:rPr>
            </w:pPr>
            <w:r>
              <w:rPr>
                <w:rFonts w:hint="eastAsia" w:ascii="宋体" w:hAnsi="宋体"/>
                <w:color w:val="auto"/>
                <w:sz w:val="21"/>
                <w:szCs w:val="21"/>
                <w:highlight w:val="none"/>
              </w:rPr>
              <w:t>基本分</w:t>
            </w:r>
          </w:p>
        </w:tc>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jc w:val="center"/>
              <w:rPr>
                <w:rFonts w:ascii="宋体" w:hAnsi="宋体"/>
                <w:color w:val="auto"/>
                <w:sz w:val="21"/>
                <w:szCs w:val="21"/>
                <w:highlight w:val="none"/>
              </w:rPr>
            </w:pPr>
            <w:r>
              <w:rPr>
                <w:rFonts w:hint="eastAsia" w:ascii="宋体" w:hAnsi="宋体"/>
                <w:color w:val="auto"/>
                <w:sz w:val="21"/>
                <w:szCs w:val="21"/>
                <w:highlight w:val="none"/>
              </w:rPr>
              <w:t>打分情况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9"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厨房间环境卫生</w:t>
            </w:r>
          </w:p>
        </w:tc>
        <w:tc>
          <w:tcPr>
            <w:tcW w:w="7511"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rPr>
                <w:rFonts w:hint="eastAsia" w:ascii="宋体" w:hAnsi="宋体"/>
                <w:color w:val="auto"/>
                <w:sz w:val="21"/>
                <w:szCs w:val="21"/>
                <w:highlight w:val="none"/>
              </w:rPr>
            </w:pPr>
            <w:r>
              <w:rPr>
                <w:rFonts w:hint="eastAsia" w:ascii="宋体" w:hAnsi="宋体"/>
                <w:color w:val="auto"/>
                <w:sz w:val="21"/>
                <w:szCs w:val="21"/>
                <w:highlight w:val="none"/>
              </w:rPr>
              <w:t>1、地面、下水道、明沟积有污水、污物视情节</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2、墙壁、门窗、天花板有积尘、油污、蜘蛛网和涂层脱落</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3、有关设备、设施、用具没有保持卫生清洁，有污渍视情节</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4、垃圾桶没有及时加盖</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5、地面、灶台、厨具卫生保洁没有按规定每天定时清洗</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6、冷库没有按要求做到专人负责保管、使用及定时清洗</w:t>
            </w:r>
          </w:p>
          <w:p>
            <w:pPr>
              <w:spacing w:line="160" w:lineRule="atLeas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7、禁止无关人员进入厨房间，如发现属于本工作人员带入视情节轻重</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hint="eastAsia" w:ascii="宋体" w:hAnsi="宋体"/>
                <w:color w:val="auto"/>
                <w:sz w:val="21"/>
                <w:szCs w:val="21"/>
                <w:highlight w:val="none"/>
              </w:rPr>
            </w:pP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分</w:t>
            </w:r>
          </w:p>
          <w:p>
            <w:pPr>
              <w:spacing w:line="160" w:lineRule="atLeast"/>
              <w:ind w:right="-466" w:rightChars="-222"/>
              <w:rPr>
                <w:rFonts w:ascii="宋体" w:hAnsi="宋体"/>
                <w:color w:val="auto"/>
                <w:sz w:val="21"/>
                <w:szCs w:val="21"/>
                <w:highlight w:val="none"/>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0"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粗加工、配菜、烹调卫生</w:t>
            </w:r>
          </w:p>
        </w:tc>
        <w:tc>
          <w:tcPr>
            <w:tcW w:w="7511"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rPr>
                <w:rFonts w:hint="eastAsia" w:ascii="宋体" w:hAnsi="宋体"/>
                <w:color w:val="auto"/>
                <w:sz w:val="21"/>
                <w:szCs w:val="21"/>
                <w:highlight w:val="none"/>
              </w:rPr>
            </w:pPr>
            <w:r>
              <w:rPr>
                <w:rFonts w:hint="eastAsia" w:ascii="宋体" w:hAnsi="宋体"/>
                <w:color w:val="auto"/>
                <w:sz w:val="21"/>
                <w:szCs w:val="21"/>
                <w:highlight w:val="none"/>
              </w:rPr>
              <w:t>1、荤、素食品没有按要求做到分池（定位）清洗视情节</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2、清洗后的食品不能接触地面如发现视情节</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3、鸡蛋在使用前必须清洗后方可使用，发现不经清洗直接使用</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4、加工生、熟食品的刀、砧板及盛器要分开，如发现混用</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5、配菜没有做到科学合理（要求做到色、香、味俱全）</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6、食物加工半生不熟的</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7、菜肴里或汤里、米饭里发现有杂物，按问题严重程度扣分</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8、各种盛调味品的容器没有按要求做到及时定期清洗</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9、每天配菜的数量要求在提供用餐人数的基础上上下浮动10%，如出现失误视情节轻重</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10、要提倡节约不浪费，发现无故浪费现象视情节轻重</w:t>
            </w:r>
          </w:p>
          <w:p>
            <w:pPr>
              <w:spacing w:line="320" w:lineRule="exact"/>
              <w:rPr>
                <w:rFonts w:hint="eastAsia" w:ascii="宋体" w:hAnsi="宋体"/>
                <w:color w:val="auto"/>
                <w:sz w:val="21"/>
                <w:szCs w:val="21"/>
                <w:highlight w:val="none"/>
              </w:rPr>
            </w:pPr>
            <w:r>
              <w:rPr>
                <w:rFonts w:hint="eastAsia" w:ascii="宋体" w:hAnsi="宋体"/>
                <w:color w:val="auto"/>
                <w:sz w:val="21"/>
                <w:szCs w:val="21"/>
                <w:highlight w:val="none"/>
              </w:rPr>
              <w:t>11、食堂没有按规定要求建立卫生台帐</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hint="eastAsia" w:ascii="宋体" w:hAnsi="宋体"/>
                <w:color w:val="auto"/>
                <w:sz w:val="21"/>
                <w:szCs w:val="21"/>
                <w:highlight w:val="none"/>
              </w:rPr>
            </w:pP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分</w:t>
            </w:r>
          </w:p>
          <w:p>
            <w:pPr>
              <w:spacing w:line="160" w:lineRule="atLeast"/>
              <w:ind w:right="-466" w:rightChars="-222"/>
              <w:rPr>
                <w:rFonts w:hint="default" w:ascii="宋体" w:hAnsi="宋体" w:eastAsia="宋体"/>
                <w:color w:val="auto"/>
                <w:sz w:val="21"/>
                <w:szCs w:val="21"/>
                <w:highlight w:val="none"/>
                <w:lang w:val="en-US" w:eastAsia="zh-CN"/>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9"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 xml:space="preserve">个人卫生及要求 </w:t>
            </w:r>
          </w:p>
        </w:tc>
        <w:tc>
          <w:tcPr>
            <w:tcW w:w="7511"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rPr>
                <w:rFonts w:hint="eastAsia" w:ascii="宋体" w:hAnsi="宋体"/>
                <w:color w:val="auto"/>
                <w:sz w:val="21"/>
                <w:szCs w:val="21"/>
                <w:highlight w:val="none"/>
              </w:rPr>
            </w:pPr>
            <w:r>
              <w:rPr>
                <w:rFonts w:hint="eastAsia" w:ascii="宋体" w:hAnsi="宋体"/>
                <w:color w:val="auto"/>
                <w:sz w:val="21"/>
                <w:szCs w:val="21"/>
                <w:highlight w:val="none"/>
              </w:rPr>
              <w:t>1、员工的健康证和卫生知识培训合格证是否在有效期内，如发现过期还在使用</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2、要求定期对员工进行培训，新上岗的员工要求做到先培训后上岗，发现未经培训直接上岗</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3、员工上班时间不能留长指甲、涂指甲油、戴戒指及化生活装，经检查发现存在问题</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4、员工上班时间没有按要求穿戴工作服、衣帽、穿戴不整洁或穿拖鞋上班</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5、员工戴的工作帽要求遮盖全部头发，发现不整齐</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6、发现上班时间工作人员在工作区内吸烟、吃零食</w:t>
            </w:r>
          </w:p>
          <w:p>
            <w:pPr>
              <w:spacing w:line="160" w:lineRule="atLeast"/>
              <w:rPr>
                <w:rFonts w:hint="eastAsia" w:ascii="宋体" w:hAnsi="宋体"/>
                <w:color w:val="auto"/>
                <w:sz w:val="21"/>
                <w:szCs w:val="21"/>
                <w:highlight w:val="none"/>
              </w:rPr>
            </w:pPr>
            <w:r>
              <w:rPr>
                <w:rFonts w:hint="eastAsia" w:ascii="宋体" w:hAnsi="宋体"/>
                <w:color w:val="auto"/>
                <w:sz w:val="21"/>
                <w:szCs w:val="21"/>
                <w:highlight w:val="none"/>
              </w:rPr>
              <w:t>7、员工上班时间没有按规定佩带健康证上岗</w:t>
            </w:r>
          </w:p>
          <w:p>
            <w:pPr>
              <w:spacing w:line="160" w:lineRule="atLeast"/>
              <w:rPr>
                <w:rFonts w:hint="eastAsia" w:ascii="宋体" w:hAnsi="宋体"/>
                <w:color w:val="auto"/>
                <w:sz w:val="21"/>
                <w:szCs w:val="21"/>
                <w:highlight w:val="none"/>
              </w:rPr>
            </w:pPr>
            <w:r>
              <w:rPr>
                <w:rFonts w:hint="eastAsia" w:ascii="宋体" w:hAnsi="宋体"/>
                <w:color w:val="auto"/>
                <w:sz w:val="21"/>
                <w:szCs w:val="21"/>
                <w:highlight w:val="none"/>
              </w:rPr>
              <w:t>8、售饭菜时员工一律要求带一次性手套及一次性口罩，擅自不戴</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9、当班时行为不检点，如嘻皮笑脸，大声喧哗，追逐打闹，勾肩搭背，串岗或擅自离岗</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10、工作时间看小说、杂志、打电话聊天，擅自换班、调班</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11、员工自行车要在指定地方入库、有序停放，发现乱停放、不入库，影响周围环境</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12、检查发现员工未按照合同约定到岗或考勤缺位的。</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13、就餐人员遗失在餐厅的物品，应妥善保管经核实后归还，如发现食堂工作人员占为己有</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14、主管及员工的职责、制度要上墙，严格按照职责、制度规定办事，如发现制度不上墙，职责不分明</w:t>
            </w:r>
          </w:p>
          <w:p>
            <w:pPr>
              <w:spacing w:line="160" w:lineRule="atLeast"/>
              <w:rPr>
                <w:rFonts w:hint="eastAsia" w:ascii="宋体" w:hAnsi="宋体"/>
                <w:color w:val="auto"/>
                <w:sz w:val="21"/>
                <w:szCs w:val="21"/>
                <w:highlight w:val="none"/>
              </w:rPr>
            </w:pPr>
            <w:r>
              <w:rPr>
                <w:rFonts w:hint="eastAsia" w:ascii="宋体" w:hAnsi="宋体"/>
                <w:color w:val="auto"/>
                <w:sz w:val="21"/>
                <w:szCs w:val="21"/>
                <w:highlight w:val="none"/>
              </w:rPr>
              <w:t>15、违反操作规程，故意损坏公共财物设备、工具造成经济损失的</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hint="eastAsia" w:ascii="宋体" w:hAnsi="宋体"/>
                <w:color w:val="auto"/>
                <w:sz w:val="21"/>
                <w:szCs w:val="21"/>
                <w:highlight w:val="none"/>
              </w:rPr>
            </w:pP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分</w:t>
            </w:r>
          </w:p>
          <w:p>
            <w:pPr>
              <w:spacing w:line="160" w:lineRule="atLeast"/>
              <w:ind w:right="-466" w:rightChars="-222"/>
              <w:rPr>
                <w:rFonts w:hint="default" w:ascii="宋体" w:hAnsi="宋体" w:eastAsia="宋体"/>
                <w:color w:val="auto"/>
                <w:sz w:val="21"/>
                <w:szCs w:val="21"/>
                <w:highlight w:val="none"/>
                <w:lang w:val="en-US" w:eastAsia="zh-CN"/>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1"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rPr>
                <w:rFonts w:hint="eastAsia" w:ascii="宋体" w:hAnsi="宋体"/>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专用加工间卫生</w:t>
            </w:r>
          </w:p>
        </w:tc>
        <w:tc>
          <w:tcPr>
            <w:tcW w:w="7511"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rPr>
                <w:rFonts w:hint="eastAsia" w:ascii="宋体" w:hAnsi="宋体"/>
                <w:color w:val="auto"/>
                <w:sz w:val="21"/>
                <w:szCs w:val="21"/>
                <w:highlight w:val="none"/>
              </w:rPr>
            </w:pPr>
            <w:r>
              <w:rPr>
                <w:rFonts w:hint="eastAsia" w:ascii="宋体" w:hAnsi="宋体"/>
                <w:color w:val="auto"/>
                <w:sz w:val="21"/>
                <w:szCs w:val="21"/>
                <w:highlight w:val="none"/>
              </w:rPr>
              <w:t>1、有非专间人员进入专用加工间</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2、专间内紫外线灯、空调、冰箱、冰柜不在正常使用</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3、供加工凉菜用的蔬菜、水果有未经清洗带入凉菜间</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4、用于加工直接入口食品的工用具（如刀、砧板、抹布）没有做到专用的</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5、专间内刀、砧板、抹布等工用具使用前没有经过消毒直接使用</w:t>
            </w:r>
          </w:p>
          <w:p>
            <w:pPr>
              <w:spacing w:line="160" w:lineRule="atLeast"/>
              <w:rPr>
                <w:rFonts w:ascii="宋体" w:hAnsi="宋体"/>
                <w:color w:val="auto"/>
                <w:sz w:val="21"/>
                <w:szCs w:val="21"/>
                <w:highlight w:val="none"/>
              </w:rPr>
            </w:pPr>
            <w:r>
              <w:rPr>
                <w:rFonts w:hint="eastAsia" w:ascii="宋体" w:hAnsi="宋体"/>
                <w:color w:val="auto"/>
                <w:sz w:val="21"/>
                <w:szCs w:val="21"/>
                <w:highlight w:val="none"/>
              </w:rPr>
              <w:t>6、凉菜间内的食物必须是可直接使用，发现生、熟混用</w:t>
            </w:r>
          </w:p>
          <w:p>
            <w:pPr>
              <w:spacing w:line="120" w:lineRule="atLeast"/>
              <w:rPr>
                <w:rFonts w:ascii="宋体" w:hAnsi="宋体"/>
                <w:color w:val="auto"/>
                <w:sz w:val="21"/>
                <w:szCs w:val="21"/>
                <w:highlight w:val="none"/>
              </w:rPr>
            </w:pPr>
            <w:r>
              <w:rPr>
                <w:rFonts w:hint="eastAsia" w:ascii="宋体" w:hAnsi="宋体"/>
                <w:color w:val="auto"/>
                <w:sz w:val="21"/>
                <w:szCs w:val="21"/>
                <w:highlight w:val="none"/>
              </w:rPr>
              <w:t>7、专间内不准堆放拖把、书报、个人用品等物品，如发现杂物</w:t>
            </w:r>
          </w:p>
          <w:p>
            <w:pPr>
              <w:spacing w:line="120" w:lineRule="atLeast"/>
              <w:rPr>
                <w:rFonts w:hint="eastAsia" w:ascii="宋体" w:hAnsi="宋体"/>
                <w:color w:val="auto"/>
                <w:sz w:val="21"/>
                <w:szCs w:val="21"/>
                <w:highlight w:val="none"/>
              </w:rPr>
            </w:pPr>
            <w:r>
              <w:rPr>
                <w:rFonts w:hint="eastAsia" w:ascii="宋体" w:hAnsi="宋体"/>
                <w:color w:val="auto"/>
                <w:sz w:val="21"/>
                <w:szCs w:val="21"/>
                <w:highlight w:val="none"/>
              </w:rPr>
              <w:t>8、专间操作人员没有按规定穿戴专用工作衣帽、口罩、一次性手套，手部没有清洗消毒</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hint="eastAsia" w:ascii="宋体" w:hAnsi="宋体"/>
                <w:color w:val="auto"/>
                <w:sz w:val="21"/>
                <w:szCs w:val="21"/>
                <w:highlight w:val="none"/>
              </w:rPr>
            </w:pP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分</w:t>
            </w:r>
          </w:p>
          <w:p>
            <w:pPr>
              <w:spacing w:line="160" w:lineRule="atLeast"/>
              <w:ind w:right="-466" w:rightChars="-222"/>
              <w:rPr>
                <w:rFonts w:hint="default" w:ascii="宋体" w:hAnsi="宋体" w:eastAsia="宋体"/>
                <w:color w:val="auto"/>
                <w:sz w:val="21"/>
                <w:szCs w:val="21"/>
                <w:highlight w:val="none"/>
                <w:lang w:val="en-US" w:eastAsia="zh-CN"/>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1"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食品采购与贮存</w:t>
            </w:r>
          </w:p>
        </w:tc>
        <w:tc>
          <w:tcPr>
            <w:tcW w:w="7511" w:type="dxa"/>
            <w:tcBorders>
              <w:top w:val="single" w:color="auto" w:sz="4" w:space="0"/>
              <w:left w:val="single" w:color="auto" w:sz="4" w:space="0"/>
              <w:bottom w:val="single" w:color="auto" w:sz="4" w:space="0"/>
              <w:right w:val="single" w:color="auto" w:sz="4" w:space="0"/>
            </w:tcBorders>
            <w:noWrap w:val="0"/>
            <w:vAlign w:val="center"/>
          </w:tcPr>
          <w:p>
            <w:pPr>
              <w:spacing w:line="120" w:lineRule="atLeast"/>
              <w:rPr>
                <w:rFonts w:hint="eastAsia" w:ascii="宋体" w:hAnsi="宋体"/>
                <w:color w:val="auto"/>
                <w:sz w:val="21"/>
                <w:szCs w:val="21"/>
                <w:highlight w:val="none"/>
              </w:rPr>
            </w:pPr>
            <w:r>
              <w:rPr>
                <w:rFonts w:hint="eastAsia" w:ascii="宋体" w:hAnsi="宋体"/>
                <w:color w:val="auto"/>
                <w:sz w:val="21"/>
                <w:szCs w:val="21"/>
                <w:highlight w:val="none"/>
              </w:rPr>
              <w:t>1、食品出入库要求专人负责验收、登记，发现不经验收，直接领用</w:t>
            </w:r>
          </w:p>
          <w:p>
            <w:pPr>
              <w:spacing w:line="120" w:lineRule="atLeast"/>
              <w:rPr>
                <w:rFonts w:ascii="宋体" w:hAnsi="宋体"/>
                <w:color w:val="auto"/>
                <w:sz w:val="21"/>
                <w:szCs w:val="21"/>
                <w:highlight w:val="none"/>
              </w:rPr>
            </w:pPr>
            <w:r>
              <w:rPr>
                <w:rFonts w:hint="eastAsia" w:ascii="宋体" w:hAnsi="宋体"/>
                <w:color w:val="auto"/>
                <w:sz w:val="21"/>
                <w:szCs w:val="21"/>
                <w:highlight w:val="none"/>
              </w:rPr>
              <w:t>2、如验收时发现食品质量有问题或超过保质期，没有及时反映或隐瞒，视情节轻重</w:t>
            </w:r>
          </w:p>
          <w:p>
            <w:pPr>
              <w:spacing w:line="120" w:lineRule="atLeast"/>
              <w:rPr>
                <w:rFonts w:ascii="宋体" w:hAnsi="宋体"/>
                <w:color w:val="auto"/>
                <w:sz w:val="21"/>
                <w:szCs w:val="21"/>
                <w:highlight w:val="none"/>
              </w:rPr>
            </w:pPr>
            <w:r>
              <w:rPr>
                <w:rFonts w:hint="eastAsia" w:ascii="宋体" w:hAnsi="宋体"/>
                <w:color w:val="auto"/>
                <w:sz w:val="21"/>
                <w:szCs w:val="21"/>
                <w:highlight w:val="none"/>
              </w:rPr>
              <w:t>3、使用超过保质期的食品，造成事故，视情节轻重</w:t>
            </w:r>
          </w:p>
          <w:p>
            <w:pPr>
              <w:spacing w:line="120" w:lineRule="atLeast"/>
              <w:rPr>
                <w:rFonts w:ascii="宋体" w:hAnsi="宋体"/>
                <w:color w:val="auto"/>
                <w:sz w:val="21"/>
                <w:szCs w:val="21"/>
                <w:highlight w:val="none"/>
              </w:rPr>
            </w:pPr>
            <w:r>
              <w:rPr>
                <w:rFonts w:hint="eastAsia" w:ascii="宋体" w:hAnsi="宋体"/>
                <w:color w:val="auto"/>
                <w:sz w:val="21"/>
                <w:szCs w:val="21"/>
                <w:highlight w:val="none"/>
              </w:rPr>
              <w:t>4、库房内食品没有做到分类、分架、离地、离墙整齐堆放</w:t>
            </w:r>
          </w:p>
          <w:p>
            <w:pPr>
              <w:spacing w:line="120" w:lineRule="atLeast"/>
              <w:rPr>
                <w:rFonts w:ascii="宋体" w:hAnsi="宋体"/>
                <w:color w:val="auto"/>
                <w:sz w:val="21"/>
                <w:szCs w:val="21"/>
                <w:highlight w:val="none"/>
              </w:rPr>
            </w:pPr>
            <w:r>
              <w:rPr>
                <w:rFonts w:hint="eastAsia" w:ascii="宋体" w:hAnsi="宋体"/>
                <w:color w:val="auto"/>
                <w:sz w:val="21"/>
                <w:szCs w:val="21"/>
                <w:highlight w:val="none"/>
              </w:rPr>
              <w:t>5、不准将食品与有毒有害物品（如老鼠药、杀虫剂）存放在同一场所，经检查发现存在隐患</w:t>
            </w:r>
          </w:p>
          <w:p>
            <w:pPr>
              <w:spacing w:line="120" w:lineRule="atLeast"/>
              <w:rPr>
                <w:rFonts w:ascii="宋体" w:hAnsi="宋体"/>
                <w:color w:val="auto"/>
                <w:sz w:val="21"/>
                <w:szCs w:val="21"/>
                <w:highlight w:val="none"/>
              </w:rPr>
            </w:pPr>
            <w:r>
              <w:rPr>
                <w:rFonts w:hint="eastAsia" w:ascii="宋体" w:hAnsi="宋体"/>
                <w:color w:val="auto"/>
                <w:sz w:val="21"/>
                <w:szCs w:val="21"/>
                <w:highlight w:val="none"/>
              </w:rPr>
              <w:t>6、冰箱、冰柜内食品生熟混放</w:t>
            </w:r>
          </w:p>
          <w:p>
            <w:pPr>
              <w:spacing w:line="120" w:lineRule="atLeast"/>
              <w:rPr>
                <w:rFonts w:ascii="宋体" w:hAnsi="宋体"/>
                <w:color w:val="auto"/>
                <w:sz w:val="21"/>
                <w:szCs w:val="21"/>
                <w:highlight w:val="none"/>
              </w:rPr>
            </w:pPr>
            <w:r>
              <w:rPr>
                <w:rFonts w:hint="eastAsia" w:ascii="宋体" w:hAnsi="宋体"/>
                <w:color w:val="auto"/>
                <w:sz w:val="21"/>
                <w:szCs w:val="21"/>
                <w:highlight w:val="none"/>
              </w:rPr>
              <w:t>7、冰箱、冰柜没有正常运转，造成食品腐烂，造成损失</w:t>
            </w:r>
          </w:p>
          <w:p>
            <w:pPr>
              <w:spacing w:line="120" w:lineRule="atLeast"/>
              <w:rPr>
                <w:rFonts w:hint="eastAsia" w:ascii="宋体" w:hAnsi="宋体"/>
                <w:color w:val="auto"/>
                <w:sz w:val="21"/>
                <w:szCs w:val="21"/>
                <w:highlight w:val="none"/>
              </w:rPr>
            </w:pPr>
            <w:r>
              <w:rPr>
                <w:rFonts w:hint="eastAsia" w:ascii="宋体" w:hAnsi="宋体"/>
                <w:color w:val="auto"/>
                <w:sz w:val="21"/>
                <w:szCs w:val="21"/>
                <w:highlight w:val="none"/>
              </w:rPr>
              <w:t>8、仓库要按规定专人负责保管，建立台帐，月底出报表，如发现管理混乱</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hint="eastAsia" w:ascii="宋体" w:hAnsi="宋体"/>
                <w:color w:val="auto"/>
                <w:sz w:val="21"/>
                <w:szCs w:val="21"/>
                <w:highlight w:val="none"/>
              </w:rPr>
            </w:pP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分</w:t>
            </w:r>
          </w:p>
          <w:p>
            <w:pPr>
              <w:spacing w:line="160" w:lineRule="atLeast"/>
              <w:ind w:right="-466" w:rightChars="-222"/>
              <w:rPr>
                <w:rFonts w:hint="default" w:ascii="宋体" w:hAnsi="宋体" w:eastAsia="宋体"/>
                <w:color w:val="auto"/>
                <w:sz w:val="21"/>
                <w:szCs w:val="21"/>
                <w:highlight w:val="none"/>
                <w:lang w:val="en-US" w:eastAsia="zh-CN"/>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1"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餐具、餐厅卫生</w:t>
            </w:r>
          </w:p>
        </w:tc>
        <w:tc>
          <w:tcPr>
            <w:tcW w:w="7511" w:type="dxa"/>
            <w:tcBorders>
              <w:top w:val="single" w:color="auto" w:sz="4" w:space="0"/>
              <w:left w:val="single" w:color="auto" w:sz="4" w:space="0"/>
              <w:bottom w:val="single" w:color="auto" w:sz="4" w:space="0"/>
              <w:right w:val="single" w:color="auto" w:sz="4" w:space="0"/>
            </w:tcBorders>
            <w:noWrap w:val="0"/>
            <w:vAlign w:val="center"/>
          </w:tcPr>
          <w:p>
            <w:pPr>
              <w:spacing w:line="120" w:lineRule="atLeast"/>
              <w:rPr>
                <w:rFonts w:hint="eastAsia" w:ascii="宋体" w:hAnsi="宋体"/>
                <w:color w:val="auto"/>
                <w:sz w:val="21"/>
                <w:szCs w:val="21"/>
                <w:highlight w:val="none"/>
              </w:rPr>
            </w:pPr>
            <w:r>
              <w:rPr>
                <w:rFonts w:hint="eastAsia" w:ascii="宋体" w:hAnsi="宋体"/>
                <w:color w:val="auto"/>
                <w:sz w:val="21"/>
                <w:szCs w:val="21"/>
                <w:highlight w:val="none"/>
              </w:rPr>
              <w:t>1、餐具使用前没有做好清洗、消毒工作，直接使用</w:t>
            </w:r>
          </w:p>
          <w:p>
            <w:pPr>
              <w:spacing w:line="120" w:lineRule="atLeast"/>
              <w:rPr>
                <w:rFonts w:ascii="宋体" w:hAnsi="宋体"/>
                <w:color w:val="auto"/>
                <w:sz w:val="21"/>
                <w:szCs w:val="21"/>
                <w:highlight w:val="none"/>
              </w:rPr>
            </w:pPr>
            <w:r>
              <w:rPr>
                <w:rFonts w:hint="eastAsia" w:ascii="宋体" w:hAnsi="宋体"/>
                <w:color w:val="auto"/>
                <w:sz w:val="21"/>
                <w:szCs w:val="21"/>
                <w:highlight w:val="none"/>
              </w:rPr>
              <w:t>2、清洗、消毒餐具的水及水池不能与其它混用，如发现混用</w:t>
            </w:r>
          </w:p>
          <w:p>
            <w:pPr>
              <w:spacing w:line="120" w:lineRule="atLeast"/>
              <w:rPr>
                <w:rFonts w:ascii="宋体" w:hAnsi="宋体"/>
                <w:color w:val="auto"/>
                <w:sz w:val="21"/>
                <w:szCs w:val="21"/>
                <w:highlight w:val="none"/>
              </w:rPr>
            </w:pPr>
            <w:r>
              <w:rPr>
                <w:rFonts w:hint="eastAsia" w:ascii="宋体" w:hAnsi="宋体"/>
                <w:color w:val="auto"/>
                <w:sz w:val="21"/>
                <w:szCs w:val="21"/>
                <w:highlight w:val="none"/>
              </w:rPr>
              <w:t>3、消毒后的餐饮具要求存放在保洁柜里，发现乱放</w:t>
            </w:r>
          </w:p>
          <w:p>
            <w:pPr>
              <w:spacing w:line="120" w:lineRule="atLeast"/>
              <w:rPr>
                <w:rFonts w:ascii="宋体" w:hAnsi="宋体"/>
                <w:color w:val="auto"/>
                <w:sz w:val="21"/>
                <w:szCs w:val="21"/>
                <w:highlight w:val="none"/>
              </w:rPr>
            </w:pPr>
            <w:r>
              <w:rPr>
                <w:rFonts w:hint="eastAsia" w:ascii="宋体" w:hAnsi="宋体"/>
                <w:color w:val="auto"/>
                <w:sz w:val="21"/>
                <w:szCs w:val="21"/>
                <w:highlight w:val="none"/>
              </w:rPr>
              <w:t>4、保洁柜没有保持清洁，或堆放其它杂物</w:t>
            </w:r>
          </w:p>
          <w:p>
            <w:pPr>
              <w:spacing w:line="120" w:lineRule="atLeast"/>
              <w:rPr>
                <w:rFonts w:ascii="宋体" w:hAnsi="宋体"/>
                <w:color w:val="auto"/>
                <w:sz w:val="21"/>
                <w:szCs w:val="21"/>
                <w:highlight w:val="none"/>
              </w:rPr>
            </w:pPr>
            <w:r>
              <w:rPr>
                <w:rFonts w:hint="eastAsia" w:ascii="宋体" w:hAnsi="宋体"/>
                <w:color w:val="auto"/>
                <w:sz w:val="21"/>
                <w:szCs w:val="21"/>
                <w:highlight w:val="none"/>
              </w:rPr>
              <w:t>5、放餐饮具的保洁柜没有及时关门</w:t>
            </w:r>
          </w:p>
          <w:p>
            <w:pPr>
              <w:spacing w:line="120" w:lineRule="atLeast"/>
              <w:rPr>
                <w:rFonts w:ascii="宋体" w:hAnsi="宋体"/>
                <w:color w:val="auto"/>
                <w:sz w:val="21"/>
                <w:szCs w:val="21"/>
                <w:highlight w:val="none"/>
              </w:rPr>
            </w:pPr>
            <w:r>
              <w:rPr>
                <w:rFonts w:hint="eastAsia" w:ascii="宋体" w:hAnsi="宋体"/>
                <w:color w:val="auto"/>
                <w:sz w:val="21"/>
                <w:szCs w:val="21"/>
                <w:highlight w:val="none"/>
              </w:rPr>
              <w:t>6、用餐环境保持清洁、卫生，没有异味、苍蝇、蚊虫，天花板没有蜘蛛网，发现卫生不到位</w:t>
            </w:r>
          </w:p>
          <w:p>
            <w:pPr>
              <w:spacing w:line="120" w:lineRule="atLeast"/>
              <w:rPr>
                <w:rFonts w:ascii="宋体" w:hAnsi="宋体"/>
                <w:color w:val="auto"/>
                <w:sz w:val="21"/>
                <w:szCs w:val="21"/>
                <w:highlight w:val="none"/>
              </w:rPr>
            </w:pPr>
            <w:r>
              <w:rPr>
                <w:rFonts w:hint="eastAsia" w:ascii="宋体" w:hAnsi="宋体"/>
                <w:color w:val="auto"/>
                <w:sz w:val="21"/>
                <w:szCs w:val="21"/>
                <w:highlight w:val="none"/>
              </w:rPr>
              <w:t>7、餐桌上摆放的餐饮用具不清洁光亮，有污迹</w:t>
            </w:r>
          </w:p>
          <w:p>
            <w:pPr>
              <w:spacing w:line="120" w:lineRule="atLeast"/>
              <w:rPr>
                <w:rFonts w:ascii="宋体" w:hAnsi="宋体"/>
                <w:color w:val="auto"/>
                <w:sz w:val="21"/>
                <w:szCs w:val="21"/>
                <w:highlight w:val="none"/>
              </w:rPr>
            </w:pPr>
            <w:r>
              <w:rPr>
                <w:rFonts w:hint="eastAsia" w:ascii="宋体" w:hAnsi="宋体"/>
                <w:color w:val="auto"/>
                <w:sz w:val="21"/>
                <w:szCs w:val="21"/>
                <w:highlight w:val="none"/>
              </w:rPr>
              <w:t>8、用餐桌没有随时打扫、清理</w:t>
            </w:r>
          </w:p>
          <w:p>
            <w:pPr>
              <w:spacing w:line="120" w:lineRule="atLeast"/>
              <w:rPr>
                <w:rFonts w:ascii="宋体" w:hAnsi="宋体"/>
                <w:color w:val="auto"/>
                <w:sz w:val="21"/>
                <w:szCs w:val="21"/>
                <w:highlight w:val="none"/>
              </w:rPr>
            </w:pPr>
            <w:r>
              <w:rPr>
                <w:rFonts w:hint="eastAsia" w:ascii="宋体" w:hAnsi="宋体"/>
                <w:color w:val="auto"/>
                <w:sz w:val="21"/>
                <w:szCs w:val="21"/>
                <w:highlight w:val="none"/>
              </w:rPr>
              <w:t>9、备餐柜内要求清洁卫生，没有异味，柜内没有杂物，如发现不卫生，有异味、有杂物</w:t>
            </w:r>
          </w:p>
          <w:p>
            <w:pPr>
              <w:spacing w:line="120" w:lineRule="atLeast"/>
              <w:rPr>
                <w:rFonts w:ascii="宋体" w:hAnsi="宋体"/>
                <w:color w:val="auto"/>
                <w:sz w:val="21"/>
                <w:szCs w:val="21"/>
                <w:highlight w:val="none"/>
              </w:rPr>
            </w:pPr>
            <w:r>
              <w:rPr>
                <w:rFonts w:hint="eastAsia" w:ascii="宋体" w:hAnsi="宋体"/>
                <w:color w:val="auto"/>
                <w:sz w:val="21"/>
                <w:szCs w:val="21"/>
                <w:highlight w:val="none"/>
              </w:rPr>
              <w:t>10、餐桌上摆放的调味品没有根据用量要求定期更换、清理</w:t>
            </w:r>
          </w:p>
          <w:p>
            <w:pPr>
              <w:spacing w:line="120" w:lineRule="atLeast"/>
              <w:rPr>
                <w:rFonts w:ascii="宋体" w:hAnsi="宋体"/>
                <w:color w:val="auto"/>
                <w:sz w:val="21"/>
                <w:szCs w:val="21"/>
                <w:highlight w:val="none"/>
              </w:rPr>
            </w:pPr>
            <w:r>
              <w:rPr>
                <w:rFonts w:hint="eastAsia" w:ascii="宋体" w:hAnsi="宋体"/>
                <w:color w:val="auto"/>
                <w:sz w:val="21"/>
                <w:szCs w:val="21"/>
                <w:highlight w:val="none"/>
              </w:rPr>
              <w:t>11、盛放筷子、汤勺的容器不清洁卫生，有油污</w:t>
            </w:r>
          </w:p>
          <w:p>
            <w:pPr>
              <w:spacing w:line="120" w:lineRule="atLeast"/>
              <w:rPr>
                <w:rFonts w:ascii="宋体" w:hAnsi="宋体"/>
                <w:color w:val="auto"/>
                <w:sz w:val="21"/>
                <w:szCs w:val="21"/>
                <w:highlight w:val="none"/>
              </w:rPr>
            </w:pPr>
            <w:r>
              <w:rPr>
                <w:rFonts w:hint="eastAsia" w:ascii="宋体" w:hAnsi="宋体"/>
                <w:color w:val="auto"/>
                <w:sz w:val="21"/>
                <w:szCs w:val="21"/>
                <w:highlight w:val="none"/>
              </w:rPr>
              <w:t>12、发现快餐盘、碗、筷子、汤勺等上面有油污、杂物，视情节轻重</w:t>
            </w:r>
          </w:p>
          <w:p>
            <w:pPr>
              <w:spacing w:line="32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13、没有按规定每天提供菜单内容给管理员，造成餐厅电子显示屏无法公示菜谱</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hint="eastAsia" w:ascii="宋体" w:hAnsi="宋体"/>
                <w:color w:val="auto"/>
                <w:sz w:val="21"/>
                <w:szCs w:val="21"/>
                <w:highlight w:val="none"/>
              </w:rPr>
            </w:pP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分</w:t>
            </w:r>
          </w:p>
          <w:p>
            <w:pPr>
              <w:spacing w:line="160" w:lineRule="atLeast"/>
              <w:ind w:right="-466" w:rightChars="-222"/>
              <w:rPr>
                <w:rFonts w:hint="default" w:ascii="宋体" w:hAnsi="宋体" w:eastAsia="宋体"/>
                <w:color w:val="auto"/>
                <w:sz w:val="21"/>
                <w:szCs w:val="21"/>
                <w:highlight w:val="none"/>
                <w:lang w:val="en-US" w:eastAsia="zh-CN"/>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1"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节能管理</w:t>
            </w:r>
          </w:p>
        </w:tc>
        <w:tc>
          <w:tcPr>
            <w:tcW w:w="751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olor w:val="auto"/>
                <w:sz w:val="21"/>
                <w:szCs w:val="21"/>
                <w:highlight w:val="none"/>
              </w:rPr>
            </w:pPr>
            <w:r>
              <w:rPr>
                <w:rFonts w:hint="eastAsia" w:ascii="宋体" w:hAnsi="宋体"/>
                <w:color w:val="auto"/>
                <w:sz w:val="21"/>
                <w:szCs w:val="21"/>
                <w:highlight w:val="none"/>
              </w:rPr>
              <w:t>1、完成所承担服务区域的全年节电、节水、节油等节能指标</w:t>
            </w:r>
          </w:p>
          <w:p>
            <w:pPr>
              <w:spacing w:line="320" w:lineRule="exact"/>
              <w:rPr>
                <w:rFonts w:ascii="宋体" w:hAnsi="宋体"/>
                <w:color w:val="auto"/>
                <w:sz w:val="21"/>
                <w:szCs w:val="21"/>
                <w:highlight w:val="none"/>
              </w:rPr>
            </w:pPr>
            <w:r>
              <w:rPr>
                <w:rFonts w:hint="eastAsia" w:ascii="宋体" w:hAnsi="宋体"/>
                <w:color w:val="auto"/>
                <w:sz w:val="21"/>
                <w:szCs w:val="21"/>
                <w:highlight w:val="none"/>
              </w:rPr>
              <w:t>2、制订年度工作目标，工作计划、具体实施方案</w:t>
            </w:r>
          </w:p>
          <w:p>
            <w:pPr>
              <w:spacing w:line="320" w:lineRule="exact"/>
              <w:rPr>
                <w:rFonts w:ascii="宋体" w:hAnsi="宋体"/>
                <w:color w:val="auto"/>
                <w:sz w:val="21"/>
                <w:szCs w:val="21"/>
                <w:highlight w:val="none"/>
              </w:rPr>
            </w:pPr>
            <w:r>
              <w:rPr>
                <w:rFonts w:hint="eastAsia" w:ascii="宋体" w:hAnsi="宋体"/>
                <w:color w:val="auto"/>
                <w:sz w:val="21"/>
                <w:szCs w:val="21"/>
                <w:highlight w:val="none"/>
              </w:rPr>
              <w:t>3、加强节能管理，制定实施切实可行的节能措施，提高用能效率，促进节能规定落到实处</w:t>
            </w:r>
          </w:p>
          <w:p>
            <w:pPr>
              <w:spacing w:line="320" w:lineRule="exact"/>
              <w:rPr>
                <w:rFonts w:ascii="宋体" w:hAnsi="宋体"/>
                <w:color w:val="auto"/>
                <w:sz w:val="21"/>
                <w:szCs w:val="21"/>
                <w:highlight w:val="none"/>
              </w:rPr>
            </w:pPr>
            <w:r>
              <w:rPr>
                <w:rFonts w:hint="eastAsia" w:ascii="宋体" w:hAnsi="宋体"/>
                <w:color w:val="auto"/>
                <w:sz w:val="21"/>
                <w:szCs w:val="21"/>
                <w:highlight w:val="none"/>
              </w:rPr>
              <w:t xml:space="preserve">4、提出技改方案，协助甲方做好各项节能项目的改造，并完成技改前后能耗对比图表 </w:t>
            </w:r>
          </w:p>
          <w:p>
            <w:pPr>
              <w:spacing w:line="32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5、每周不少于4次的节能巡查，及时做好巡查记录；不定期抽查</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5分</w:t>
            </w:r>
          </w:p>
        </w:tc>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8"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olor w:val="auto"/>
                <w:kern w:val="2"/>
                <w:sz w:val="21"/>
                <w:szCs w:val="21"/>
                <w:highlight w:val="none"/>
                <w:lang w:val="en-US" w:eastAsia="zh-CN" w:bidi="ar-SA"/>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菜品</w:t>
            </w:r>
          </w:p>
        </w:tc>
        <w:tc>
          <w:tcPr>
            <w:tcW w:w="751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Times New Roman"/>
                <w:color w:val="auto"/>
                <w:sz w:val="21"/>
                <w:szCs w:val="21"/>
                <w:highlight w:val="none"/>
              </w:rPr>
            </w:pPr>
            <w:r>
              <w:rPr>
                <w:rFonts w:hint="eastAsia" w:ascii="宋体" w:hAnsi="宋体"/>
                <w:color w:val="auto"/>
                <w:sz w:val="21"/>
                <w:szCs w:val="21"/>
                <w:highlight w:val="none"/>
              </w:rPr>
              <w:t>1、</w:t>
            </w:r>
            <w:r>
              <w:rPr>
                <w:rFonts w:hint="eastAsia" w:ascii="宋体" w:hAnsi="宋体" w:eastAsia="宋体" w:cs="Times New Roman"/>
                <w:color w:val="auto"/>
                <w:sz w:val="21"/>
                <w:szCs w:val="21"/>
                <w:highlight w:val="none"/>
              </w:rPr>
              <w:t>要求每周菜单更新（菜品不同样，例如这周菜单与上周或下周都不能重样），加强新菜品开发，每周至少推出1个新菜（保证不重样）</w:t>
            </w:r>
          </w:p>
          <w:p>
            <w:pPr>
              <w:spacing w:line="320" w:lineRule="exact"/>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 xml:space="preserve">2、菜品口味的满意度 </w:t>
            </w:r>
          </w:p>
          <w:p>
            <w:pPr>
              <w:spacing w:line="320" w:lineRule="exact"/>
              <w:rPr>
                <w:rFonts w:hint="eastAsia" w:eastAsia="宋体"/>
                <w:color w:val="auto"/>
                <w:kern w:val="2"/>
                <w:sz w:val="21"/>
                <w:szCs w:val="21"/>
                <w:highlight w:val="none"/>
                <w:lang w:val="en-US" w:eastAsia="zh-CN" w:bidi="ar-SA"/>
              </w:rPr>
            </w:pPr>
            <w:r>
              <w:rPr>
                <w:rFonts w:hint="eastAsia" w:ascii="宋体" w:hAnsi="宋体"/>
                <w:color w:val="auto"/>
                <w:sz w:val="21"/>
                <w:szCs w:val="21"/>
                <w:highlight w:val="none"/>
                <w:lang w:eastAsia="zh-CN"/>
              </w:rPr>
              <w:t>3、用餐人数</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hint="eastAsia" w:ascii="宋体" w:hAnsi="宋体"/>
                <w:color w:val="auto"/>
                <w:sz w:val="21"/>
                <w:szCs w:val="21"/>
                <w:highlight w:val="none"/>
              </w:rPr>
            </w:pPr>
            <w:r>
              <w:rPr>
                <w:rFonts w:hint="eastAsia" w:ascii="宋体" w:hAnsi="宋体"/>
                <w:color w:val="auto"/>
                <w:sz w:val="21"/>
                <w:szCs w:val="21"/>
                <w:highlight w:val="none"/>
                <w:lang w:val="en-US" w:eastAsia="zh-CN"/>
              </w:rPr>
              <w:t>15</w:t>
            </w:r>
            <w:r>
              <w:rPr>
                <w:rFonts w:hint="eastAsia" w:ascii="宋体" w:hAnsi="宋体"/>
                <w:color w:val="auto"/>
                <w:sz w:val="21"/>
                <w:szCs w:val="21"/>
                <w:highlight w:val="none"/>
              </w:rPr>
              <w:t>分</w:t>
            </w:r>
          </w:p>
          <w:p>
            <w:pPr>
              <w:spacing w:line="160" w:lineRule="atLeast"/>
              <w:ind w:right="-466" w:rightChars="-222"/>
              <w:rPr>
                <w:rFonts w:hint="eastAsia" w:ascii="宋体" w:hAnsi="宋体"/>
                <w:color w:val="auto"/>
                <w:sz w:val="21"/>
                <w:szCs w:val="21"/>
                <w:highlight w:val="none"/>
                <w:lang w:val="en-US" w:eastAsia="zh-CN"/>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8"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9.食品及原材料质量</w:t>
            </w:r>
          </w:p>
        </w:tc>
        <w:tc>
          <w:tcPr>
            <w:tcW w:w="751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olor w:val="auto"/>
                <w:sz w:val="21"/>
                <w:szCs w:val="21"/>
                <w:highlight w:val="none"/>
                <w:lang w:val="zh-CN" w:eastAsia="zh-CN"/>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lang w:val="zh-CN" w:eastAsia="zh-CN"/>
              </w:rPr>
              <w:t>肉、禽、蛋、水产等必须具有动物检验检疫合格证明或化验单；</w:t>
            </w:r>
          </w:p>
          <w:p>
            <w:pPr>
              <w:spacing w:line="320" w:lineRule="exact"/>
              <w:rPr>
                <w:rFonts w:hint="eastAsia" w:ascii="宋体" w:hAnsi="宋体"/>
                <w:color w:val="auto"/>
                <w:sz w:val="21"/>
                <w:szCs w:val="21"/>
                <w:highlight w:val="none"/>
                <w:lang w:val="zh-CN" w:eastAsia="zh-CN"/>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lang w:val="zh-CN" w:eastAsia="zh-CN"/>
              </w:rPr>
              <w:t>豆制品、辅料、半成品必须具有“</w:t>
            </w:r>
            <w:r>
              <w:rPr>
                <w:rFonts w:hint="eastAsia" w:ascii="宋体" w:hAnsi="宋体"/>
                <w:color w:val="auto"/>
                <w:sz w:val="21"/>
                <w:szCs w:val="21"/>
                <w:highlight w:val="none"/>
                <w:lang w:val="en-US" w:eastAsia="zh-CN"/>
              </w:rPr>
              <w:t>SC</w:t>
            </w:r>
            <w:r>
              <w:rPr>
                <w:rFonts w:hint="eastAsia" w:ascii="宋体" w:hAnsi="宋体"/>
                <w:color w:val="auto"/>
                <w:sz w:val="21"/>
                <w:szCs w:val="21"/>
                <w:highlight w:val="none"/>
                <w:lang w:val="zh-CN" w:eastAsia="zh-CN"/>
              </w:rPr>
              <w:t>”食品质量安全认证；</w:t>
            </w:r>
          </w:p>
          <w:p>
            <w:pPr>
              <w:spacing w:line="320" w:lineRule="exact"/>
              <w:rPr>
                <w:rFonts w:hint="eastAsia" w:ascii="宋体" w:hAnsi="宋体"/>
                <w:color w:val="auto"/>
                <w:sz w:val="21"/>
                <w:szCs w:val="21"/>
                <w:highlight w:val="none"/>
                <w:lang w:val="zh-CN" w:eastAsia="zh-CN"/>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lang w:val="zh-CN" w:eastAsia="zh-CN"/>
              </w:rPr>
              <w:t>蔬菜必须保证新鲜，按供货批次提供农贸市场蔬菜农药检测结果，且符合食品卫生安全法要求；</w:t>
            </w:r>
          </w:p>
          <w:p>
            <w:pPr>
              <w:spacing w:line="320" w:lineRule="exact"/>
              <w:rPr>
                <w:rFonts w:hint="eastAsia" w:ascii="宋体" w:hAnsi="宋体"/>
                <w:color w:val="auto"/>
                <w:sz w:val="21"/>
                <w:szCs w:val="21"/>
                <w:highlight w:val="none"/>
                <w:lang w:val="zh-CN" w:eastAsia="zh-CN"/>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lang w:val="zh-CN" w:eastAsia="zh-CN"/>
              </w:rPr>
              <w:t>采购货源必须持有与销售内容相对应的有效营业执照，食品生产许可证或食品销售许可证；</w:t>
            </w:r>
          </w:p>
          <w:p>
            <w:pPr>
              <w:spacing w:line="320" w:lineRule="exact"/>
              <w:rPr>
                <w:rFonts w:hint="eastAsia" w:ascii="宋体" w:hAnsi="宋体"/>
                <w:color w:val="auto"/>
                <w:sz w:val="21"/>
                <w:szCs w:val="21"/>
                <w:highlight w:val="none"/>
                <w:lang w:val="zh-CN" w:eastAsia="zh-CN"/>
              </w:rPr>
            </w:pP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val="zh-CN" w:eastAsia="zh-CN"/>
              </w:rPr>
              <w:t>供应商负责供货产品的食品安全，须做到来源可溯，食材必需留存24小时及以上，以备安全核查；</w:t>
            </w:r>
          </w:p>
          <w:p>
            <w:pPr>
              <w:spacing w:line="320" w:lineRule="exact"/>
              <w:rPr>
                <w:rFonts w:hint="eastAsia" w:ascii="宋体" w:hAnsi="宋体"/>
                <w:color w:val="auto"/>
                <w:sz w:val="21"/>
                <w:szCs w:val="21"/>
                <w:highlight w:val="none"/>
                <w:lang w:val="zh-CN" w:eastAsia="zh-CN"/>
              </w:rPr>
            </w:pPr>
            <w:r>
              <w:rPr>
                <w:rFonts w:hint="eastAsia" w:ascii="宋体" w:hAnsi="宋体"/>
                <w:color w:val="auto"/>
                <w:sz w:val="21"/>
                <w:szCs w:val="21"/>
                <w:highlight w:val="none"/>
                <w:lang w:val="en-US" w:eastAsia="zh-CN"/>
              </w:rPr>
              <w:t>6、</w:t>
            </w:r>
            <w:r>
              <w:rPr>
                <w:rFonts w:hint="eastAsia" w:ascii="宋体" w:hAnsi="宋体"/>
                <w:color w:val="auto"/>
                <w:sz w:val="21"/>
                <w:szCs w:val="21"/>
                <w:highlight w:val="none"/>
                <w:lang w:val="zh-CN" w:eastAsia="zh-CN"/>
              </w:rPr>
              <w:t>具体配送产品品质要求详见“</w:t>
            </w:r>
            <w:r>
              <w:rPr>
                <w:rFonts w:hint="eastAsia" w:ascii="宋体" w:hAnsi="宋体"/>
                <w:color w:val="auto"/>
                <w:sz w:val="21"/>
                <w:szCs w:val="21"/>
                <w:highlight w:val="none"/>
                <w:lang w:val="en-US" w:eastAsia="zh-CN"/>
              </w:rPr>
              <w:t>（二）</w:t>
            </w:r>
            <w:r>
              <w:rPr>
                <w:rFonts w:hint="eastAsia" w:ascii="宋体" w:hAnsi="宋体"/>
                <w:color w:val="auto"/>
                <w:sz w:val="21"/>
                <w:szCs w:val="21"/>
                <w:highlight w:val="none"/>
                <w:lang w:val="zh-CN" w:eastAsia="zh-CN"/>
              </w:rPr>
              <w:t>对配送产品品质的基本要求”。</w:t>
            </w:r>
          </w:p>
          <w:p>
            <w:pPr>
              <w:spacing w:line="320" w:lineRule="exact"/>
              <w:rPr>
                <w:rFonts w:hint="eastAsia" w:ascii="宋体" w:hAnsi="宋体"/>
                <w:color w:val="auto"/>
                <w:sz w:val="21"/>
                <w:szCs w:val="21"/>
                <w:highlight w:val="none"/>
                <w:lang w:val="zh-CN" w:eastAsia="zh-CN"/>
              </w:rPr>
            </w:pPr>
            <w:r>
              <w:rPr>
                <w:rFonts w:hint="eastAsia" w:ascii="宋体" w:hAnsi="宋体"/>
                <w:color w:val="auto"/>
                <w:sz w:val="21"/>
                <w:szCs w:val="21"/>
                <w:highlight w:val="none"/>
                <w:lang w:val="en-US" w:eastAsia="zh-CN"/>
              </w:rPr>
              <w:t>7、</w:t>
            </w:r>
            <w:r>
              <w:rPr>
                <w:rFonts w:hint="eastAsia" w:ascii="宋体" w:hAnsi="宋体"/>
                <w:color w:val="auto"/>
                <w:sz w:val="21"/>
                <w:szCs w:val="21"/>
                <w:highlight w:val="none"/>
                <w:lang w:val="zh-CN" w:eastAsia="zh-CN"/>
              </w:rPr>
              <w:t>供应商需对所有配送品类进行提前分拣，保证食材的新鲜、大小均匀。</w:t>
            </w:r>
          </w:p>
          <w:p>
            <w:pPr>
              <w:spacing w:line="320" w:lineRule="exac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8、国家法定禁渔期间可适当提供冰冻海鲜食材，其余时间需按照采购方采购要求供应新鲜海鲜原材料。（冰冻海鲜产品提供必须符合国家食品安全法对于冰冻海鲜类产品相应条例）。</w:t>
            </w:r>
          </w:p>
          <w:p>
            <w:pPr>
              <w:spacing w:line="320" w:lineRule="exact"/>
              <w:rPr>
                <w:rFonts w:hint="eastAsia" w:ascii="宋体" w:hAnsi="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hint="eastAsia" w:ascii="宋体" w:hAnsi="宋体"/>
                <w:color w:val="auto"/>
                <w:sz w:val="21"/>
                <w:szCs w:val="21"/>
                <w:highlight w:val="none"/>
              </w:rPr>
            </w:pPr>
            <w:r>
              <w:rPr>
                <w:rFonts w:hint="eastAsia" w:ascii="宋体" w:hAnsi="宋体"/>
                <w:color w:val="auto"/>
                <w:sz w:val="21"/>
                <w:szCs w:val="21"/>
                <w:highlight w:val="none"/>
                <w:lang w:val="en-US" w:eastAsia="zh-CN"/>
              </w:rPr>
              <w:t>15</w:t>
            </w:r>
            <w:r>
              <w:rPr>
                <w:rFonts w:hint="eastAsia" w:ascii="宋体" w:hAnsi="宋体"/>
                <w:color w:val="auto"/>
                <w:sz w:val="21"/>
                <w:szCs w:val="21"/>
                <w:highlight w:val="none"/>
              </w:rPr>
              <w:t>分</w:t>
            </w:r>
          </w:p>
          <w:p>
            <w:pPr>
              <w:spacing w:line="160" w:lineRule="atLeast"/>
              <w:ind w:right="-466" w:rightChars="-222"/>
              <w:rPr>
                <w:rFonts w:hint="eastAsia" w:ascii="宋体" w:hAnsi="宋体"/>
                <w:color w:val="auto"/>
                <w:sz w:val="21"/>
                <w:szCs w:val="21"/>
                <w:highlight w:val="none"/>
                <w:lang w:val="en-US" w:eastAsia="zh-CN"/>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pStyle w:val="16"/>
              <w:jc w:val="center"/>
              <w:rPr>
                <w:rFonts w:hint="eastAsia" w:ascii="宋体" w:hAnsi="宋体" w:eastAsia="等线"/>
                <w:color w:val="auto"/>
                <w:sz w:val="21"/>
                <w:szCs w:val="21"/>
                <w:highlight w:val="none"/>
                <w:lang w:eastAsia="zh-CN"/>
              </w:rPr>
            </w:pPr>
            <w:r>
              <w:rPr>
                <w:rFonts w:hint="eastAsia" w:ascii="宋体" w:hAnsi="宋体" w:cs="宋体"/>
                <w:bCs/>
                <w:color w:val="auto"/>
                <w:kern w:val="0"/>
                <w:sz w:val="21"/>
                <w:szCs w:val="21"/>
                <w:highlight w:val="none"/>
                <w:lang w:val="en-US" w:eastAsia="zh-CN"/>
              </w:rPr>
              <w:t>10.其它</w:t>
            </w:r>
          </w:p>
        </w:tc>
        <w:tc>
          <w:tcPr>
            <w:tcW w:w="7511" w:type="dxa"/>
            <w:tcBorders>
              <w:top w:val="single" w:color="auto" w:sz="4" w:space="0"/>
              <w:left w:val="single" w:color="auto" w:sz="4" w:space="0"/>
              <w:bottom w:val="single" w:color="auto" w:sz="4" w:space="0"/>
              <w:right w:val="single" w:color="auto" w:sz="4" w:space="0"/>
            </w:tcBorders>
            <w:noWrap w:val="0"/>
            <w:vAlign w:val="center"/>
          </w:tcPr>
          <w:p>
            <w:pPr>
              <w:pStyle w:val="16"/>
              <w:rPr>
                <w:rFonts w:hint="eastAsia" w:ascii="宋体" w:hAnsi="宋体"/>
                <w:color w:val="auto"/>
                <w:sz w:val="21"/>
                <w:szCs w:val="21"/>
                <w:highlight w:val="none"/>
              </w:rPr>
            </w:pPr>
            <w:r>
              <w:rPr>
                <w:rFonts w:hint="eastAsia" w:ascii="宋体" w:hAnsi="宋体" w:cs="宋体"/>
                <w:bCs/>
                <w:color w:val="auto"/>
                <w:kern w:val="0"/>
                <w:sz w:val="21"/>
                <w:szCs w:val="21"/>
                <w:highlight w:val="none"/>
              </w:rPr>
              <w:t>未兑现优质服务承诺的</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5分</w:t>
            </w:r>
          </w:p>
        </w:tc>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pStyle w:val="16"/>
              <w:jc w:val="center"/>
              <w:rPr>
                <w:rFonts w:hint="default"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11.加分项</w:t>
            </w:r>
          </w:p>
        </w:tc>
        <w:tc>
          <w:tcPr>
            <w:tcW w:w="7511" w:type="dxa"/>
            <w:tcBorders>
              <w:top w:val="single" w:color="auto" w:sz="4" w:space="0"/>
              <w:left w:val="single" w:color="auto" w:sz="4" w:space="0"/>
              <w:bottom w:val="single" w:color="auto" w:sz="4" w:space="0"/>
              <w:right w:val="single" w:color="auto" w:sz="4" w:space="0"/>
            </w:tcBorders>
            <w:noWrap w:val="0"/>
            <w:vAlign w:val="center"/>
          </w:tcPr>
          <w:p>
            <w:pPr>
              <w:pStyle w:val="16"/>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临时性加餐或特殊情况加餐给予酌情加分，每月总计最多加5分</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w:t>
            </w:r>
          </w:p>
        </w:tc>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8357" w:type="dxa"/>
            <w:gridSpan w:val="2"/>
            <w:tcBorders>
              <w:top w:val="single" w:color="auto" w:sz="4" w:space="0"/>
              <w:left w:val="single" w:color="auto" w:sz="4" w:space="0"/>
              <w:bottom w:val="single" w:color="auto" w:sz="4" w:space="0"/>
              <w:right w:val="single" w:color="auto" w:sz="4" w:space="0"/>
            </w:tcBorders>
            <w:noWrap w:val="0"/>
            <w:vAlign w:val="center"/>
          </w:tcPr>
          <w:p>
            <w:pPr>
              <w:pStyle w:val="16"/>
              <w:rPr>
                <w:rFonts w:hint="eastAsia" w:ascii="宋体" w:hAnsi="宋体"/>
                <w:color w:val="auto"/>
                <w:sz w:val="21"/>
                <w:szCs w:val="21"/>
                <w:highlight w:val="none"/>
              </w:rPr>
            </w:pPr>
            <w:r>
              <w:rPr>
                <w:rFonts w:hint="eastAsia" w:ascii="宋体" w:hAnsi="宋体" w:cs="宋体"/>
                <w:bCs/>
                <w:color w:val="auto"/>
                <w:kern w:val="0"/>
                <w:sz w:val="21"/>
                <w:szCs w:val="21"/>
                <w:highlight w:val="none"/>
                <w:lang w:val="en-US" w:eastAsia="zh-CN"/>
              </w:rPr>
              <w:t>合计</w:t>
            </w:r>
            <w:r>
              <w:rPr>
                <w:rFonts w:hint="eastAsia" w:ascii="宋体" w:hAnsi="宋体" w:cs="宋体"/>
                <w:bCs/>
                <w:color w:val="auto"/>
                <w:kern w:val="0"/>
                <w:sz w:val="21"/>
                <w:szCs w:val="21"/>
                <w:highlight w:val="none"/>
              </w:rPr>
              <w:t>总分</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100分</w:t>
            </w:r>
          </w:p>
        </w:tc>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466" w:rightChars="-222"/>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100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注：</w:t>
            </w:r>
            <w:r>
              <w:rPr>
                <w:rFonts w:hint="eastAsia" w:ascii="宋体" w:hAnsi="宋体" w:eastAsia="宋体" w:cs="宋体"/>
                <w:bCs/>
                <w:color w:val="auto"/>
                <w:kern w:val="0"/>
                <w:sz w:val="22"/>
                <w:szCs w:val="22"/>
                <w:highlight w:val="none"/>
              </w:rPr>
              <w:br w:type="textWrapping"/>
            </w:r>
            <w:r>
              <w:rPr>
                <w:rFonts w:hint="eastAsia" w:ascii="宋体" w:hAnsi="宋体" w:eastAsia="宋体" w:cs="宋体"/>
                <w:bCs/>
                <w:color w:val="auto"/>
                <w:kern w:val="0"/>
                <w:sz w:val="22"/>
                <w:szCs w:val="22"/>
                <w:highlight w:val="none"/>
              </w:rPr>
              <w:t>1、如考核得分高于90分（含），全额支付当月应付款</w:t>
            </w:r>
            <w:r>
              <w:rPr>
                <w:rFonts w:hint="eastAsia" w:ascii="宋体" w:hAnsi="宋体" w:eastAsia="宋体" w:cs="宋体"/>
                <w:bCs/>
                <w:color w:val="auto"/>
                <w:kern w:val="0"/>
                <w:sz w:val="22"/>
                <w:szCs w:val="22"/>
                <w:highlight w:val="none"/>
                <w:lang w:eastAsia="zh-CN"/>
              </w:rPr>
              <w:t>。</w:t>
            </w:r>
          </w:p>
          <w:p>
            <w:pPr>
              <w:widowControl/>
              <w:jc w:val="left"/>
              <w:rPr>
                <w:rFonts w:hint="eastAsia" w:ascii="宋体" w:hAnsi="宋体" w:eastAsia="宋体" w:cs="宋体"/>
                <w:bCs/>
                <w:color w:val="auto"/>
                <w:kern w:val="0"/>
                <w:sz w:val="22"/>
                <w:szCs w:val="22"/>
                <w:highlight w:val="none"/>
              </w:rPr>
            </w:pPr>
            <w:r>
              <w:rPr>
                <w:rFonts w:hint="eastAsia" w:ascii="宋体" w:hAnsi="宋体" w:cs="宋体"/>
                <w:bCs/>
                <w:color w:val="auto"/>
                <w:kern w:val="0"/>
                <w:sz w:val="22"/>
                <w:szCs w:val="22"/>
                <w:highlight w:val="none"/>
                <w:lang w:val="en-US" w:eastAsia="zh-CN"/>
              </w:rPr>
              <w:t>2、</w:t>
            </w:r>
            <w:r>
              <w:rPr>
                <w:rFonts w:hint="eastAsia" w:ascii="宋体" w:hAnsi="宋体" w:eastAsia="宋体" w:cs="宋体"/>
                <w:bCs/>
                <w:color w:val="auto"/>
                <w:kern w:val="0"/>
                <w:sz w:val="22"/>
                <w:szCs w:val="22"/>
                <w:highlight w:val="none"/>
              </w:rPr>
              <w:t>考核得分低于90分且高于80分（含）的，</w:t>
            </w:r>
            <w:r>
              <w:rPr>
                <w:rFonts w:hint="eastAsia" w:ascii="宋体" w:hAnsi="宋体" w:cs="宋体"/>
                <w:bCs/>
                <w:color w:val="auto"/>
                <w:kern w:val="0"/>
                <w:sz w:val="22"/>
                <w:szCs w:val="22"/>
                <w:highlight w:val="none"/>
                <w:lang w:eastAsia="zh-CN"/>
              </w:rPr>
              <w:t>90分以下每扣一分处罚3000元违约金，80分以下每扣一分处罚5000元违约金，</w:t>
            </w:r>
            <w:r>
              <w:rPr>
                <w:rFonts w:hint="eastAsia" w:ascii="宋体" w:hAnsi="宋体" w:eastAsia="宋体" w:cs="宋体"/>
                <w:bCs/>
                <w:color w:val="auto"/>
                <w:kern w:val="0"/>
                <w:sz w:val="22"/>
                <w:szCs w:val="22"/>
                <w:highlight w:val="none"/>
              </w:rPr>
              <w:t>采购人有权直接从当月应付未付款项中扣除</w:t>
            </w:r>
            <w:r>
              <w:rPr>
                <w:rFonts w:hint="eastAsia" w:ascii="宋体" w:hAnsi="宋体" w:eastAsia="宋体" w:cs="宋体"/>
                <w:bCs/>
                <w:color w:val="auto"/>
                <w:kern w:val="0"/>
                <w:sz w:val="22"/>
                <w:szCs w:val="22"/>
                <w:highlight w:val="none"/>
                <w:lang w:eastAsia="zh-CN"/>
              </w:rPr>
              <w:t>。</w:t>
            </w:r>
          </w:p>
          <w:p>
            <w:pPr>
              <w:widowControl/>
              <w:jc w:val="left"/>
              <w:rPr>
                <w:rFonts w:hint="eastAsia" w:ascii="宋体" w:hAnsi="宋体" w:eastAsia="宋体" w:cs="宋体"/>
                <w:bCs/>
                <w:color w:val="auto"/>
                <w:kern w:val="0"/>
                <w:sz w:val="22"/>
                <w:szCs w:val="22"/>
                <w:highlight w:val="none"/>
              </w:rPr>
            </w:pPr>
            <w:r>
              <w:rPr>
                <w:rFonts w:hint="eastAsia" w:ascii="宋体" w:hAnsi="宋体" w:cs="宋体"/>
                <w:bCs/>
                <w:color w:val="auto"/>
                <w:kern w:val="0"/>
                <w:sz w:val="22"/>
                <w:szCs w:val="22"/>
                <w:highlight w:val="none"/>
                <w:lang w:val="en-US" w:eastAsia="zh-CN"/>
              </w:rPr>
              <w:t>3、</w:t>
            </w:r>
            <w:r>
              <w:rPr>
                <w:rFonts w:hint="eastAsia" w:ascii="宋体" w:hAnsi="宋体" w:eastAsia="宋体" w:cs="宋体"/>
                <w:bCs/>
                <w:color w:val="auto"/>
                <w:kern w:val="0"/>
                <w:sz w:val="22"/>
                <w:szCs w:val="22"/>
                <w:highlight w:val="none"/>
              </w:rPr>
              <w:t>考核得分累计两次低于80分或一次低于60分，采购人有权无条件终止合同。</w:t>
            </w:r>
          </w:p>
          <w:p>
            <w:pPr>
              <w:widowControl/>
              <w:jc w:val="left"/>
              <w:rPr>
                <w:rFonts w:hint="eastAsia" w:ascii="宋体" w:hAnsi="宋体" w:eastAsia="宋体" w:cs="宋体"/>
                <w:bCs/>
                <w:color w:val="auto"/>
                <w:kern w:val="0"/>
                <w:sz w:val="22"/>
                <w:szCs w:val="22"/>
                <w:highlight w:val="none"/>
              </w:rPr>
            </w:pPr>
            <w:r>
              <w:rPr>
                <w:rFonts w:hint="eastAsia" w:ascii="宋体" w:hAnsi="宋体" w:cs="宋体"/>
                <w:bCs/>
                <w:color w:val="auto"/>
                <w:kern w:val="0"/>
                <w:sz w:val="22"/>
                <w:szCs w:val="22"/>
                <w:highlight w:val="none"/>
                <w:lang w:val="en-US" w:eastAsia="zh-CN"/>
              </w:rPr>
              <w:t>4</w:t>
            </w:r>
            <w:r>
              <w:rPr>
                <w:rFonts w:hint="eastAsia" w:ascii="宋体" w:hAnsi="宋体" w:cs="宋体"/>
                <w:bCs/>
                <w:color w:val="auto"/>
                <w:kern w:val="0"/>
                <w:sz w:val="22"/>
                <w:szCs w:val="22"/>
                <w:highlight w:val="none"/>
                <w:lang w:eastAsia="zh-CN"/>
              </w:rPr>
              <w:t>、</w:t>
            </w:r>
            <w:r>
              <w:rPr>
                <w:rFonts w:hint="eastAsia" w:ascii="宋体" w:hAnsi="宋体" w:eastAsia="宋体" w:cs="宋体"/>
                <w:bCs/>
                <w:color w:val="auto"/>
                <w:kern w:val="0"/>
                <w:sz w:val="22"/>
                <w:szCs w:val="22"/>
                <w:highlight w:val="none"/>
              </w:rPr>
              <w:t>如出现因食材问题发生事故，采购人有权无条件终止合同</w:t>
            </w:r>
            <w:r>
              <w:rPr>
                <w:rFonts w:hint="eastAsia" w:ascii="宋体" w:hAnsi="宋体" w:eastAsia="宋体" w:cs="宋体"/>
                <w:bCs/>
                <w:color w:val="auto"/>
                <w:kern w:val="0"/>
                <w:sz w:val="22"/>
                <w:szCs w:val="22"/>
                <w:highlight w:val="none"/>
                <w:lang w:eastAsia="zh-CN"/>
              </w:rPr>
              <w:t>，</w:t>
            </w:r>
            <w:r>
              <w:rPr>
                <w:rFonts w:hint="eastAsia" w:ascii="宋体" w:hAnsi="宋体" w:eastAsia="宋体" w:cs="宋体"/>
                <w:bCs/>
                <w:color w:val="auto"/>
                <w:kern w:val="0"/>
                <w:sz w:val="22"/>
                <w:szCs w:val="22"/>
                <w:highlight w:val="none"/>
                <w:lang w:val="en-US" w:eastAsia="zh-CN"/>
              </w:rPr>
              <w:t>并保留追究赔偿的权力</w:t>
            </w:r>
            <w:r>
              <w:rPr>
                <w:rFonts w:hint="eastAsia" w:ascii="宋体" w:hAnsi="宋体" w:eastAsia="宋体" w:cs="宋体"/>
                <w:bCs/>
                <w:color w:val="auto"/>
                <w:kern w:val="0"/>
                <w:sz w:val="22"/>
                <w:szCs w:val="22"/>
                <w:highlight w:val="none"/>
              </w:rPr>
              <w:t>。</w:t>
            </w:r>
          </w:p>
        </w:tc>
      </w:tr>
    </w:tbl>
    <w:p>
      <w:pPr>
        <w:rPr>
          <w:rFonts w:hint="eastAsia" w:ascii="宋体" w:hAnsi="宋体"/>
          <w:color w:val="auto"/>
          <w:highlight w:val="none"/>
        </w:rPr>
      </w:pPr>
    </w:p>
    <w:p>
      <w:pPr>
        <w:rPr>
          <w:rFonts w:hint="eastAsia" w:ascii="宋体" w:hAnsi="宋体"/>
          <w:color w:val="auto"/>
          <w:highlight w:val="none"/>
        </w:rPr>
      </w:pPr>
    </w:p>
    <w:p>
      <w:pPr>
        <w:pStyle w:val="2"/>
        <w:rPr>
          <w:rFonts w:hint="eastAsia" w:ascii="宋体" w:hAnsi="宋体" w:eastAsia="宋体" w:cs="宋体"/>
          <w:color w:val="auto"/>
          <w:sz w:val="36"/>
          <w:szCs w:val="36"/>
          <w:highlight w:val="none"/>
        </w:rPr>
      </w:pPr>
      <w:r>
        <w:rPr>
          <w:rFonts w:hint="eastAsia" w:ascii="宋体" w:hAnsi="宋体"/>
          <w:color w:val="auto"/>
          <w:highlight w:val="none"/>
        </w:rPr>
        <w:t>考核人：</w:t>
      </w:r>
      <w:r>
        <w:rPr>
          <w:rFonts w:hint="eastAsia" w:ascii="宋体" w:hAnsi="宋体"/>
          <w:color w:val="auto"/>
          <w:highlight w:val="none"/>
          <w:lang w:val="en-US" w:eastAsia="zh-CN"/>
        </w:rPr>
        <w:t xml:space="preserve">                                                       时间：   年 月  日</w:t>
      </w:r>
      <w:r>
        <w:rPr>
          <w:rFonts w:hint="eastAsia" w:ascii="宋体" w:hAnsi="宋体" w:eastAsia="宋体" w:cs="宋体"/>
          <w:color w:val="auto"/>
          <w:sz w:val="36"/>
          <w:szCs w:val="36"/>
          <w:highlight w:val="none"/>
        </w:rPr>
        <w:br w:type="page"/>
      </w:r>
      <w:bookmarkStart w:id="267" w:name="_Toc27250"/>
      <w:r>
        <w:rPr>
          <w:rFonts w:hint="eastAsia" w:ascii="宋体" w:hAnsi="宋体" w:eastAsia="宋体" w:cs="宋体"/>
          <w:color w:val="auto"/>
          <w:sz w:val="36"/>
          <w:szCs w:val="36"/>
          <w:highlight w:val="none"/>
        </w:rPr>
        <w:t>第五部分   附件</w:t>
      </w:r>
      <w:bookmarkEnd w:id="267"/>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附件一</w:t>
      </w: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资格审查料</w:t>
      </w:r>
    </w:p>
    <w:p>
      <w:pPr>
        <w:spacing w:line="460" w:lineRule="exact"/>
        <w:jc w:val="center"/>
        <w:rPr>
          <w:rFonts w:hint="eastAsia" w:ascii="宋体" w:hAnsi="宋体" w:eastAsia="宋体" w:cs="宋体"/>
          <w:color w:val="auto"/>
          <w:sz w:val="28"/>
          <w:szCs w:val="28"/>
          <w:highlight w:val="none"/>
        </w:rPr>
      </w:pPr>
    </w:p>
    <w:p>
      <w:pPr>
        <w:spacing w:line="38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（1-1）法定代表人声明书</w:t>
      </w:r>
    </w:p>
    <w:p>
      <w:pPr>
        <w:spacing w:line="400" w:lineRule="exact"/>
        <w:rPr>
          <w:rFonts w:hint="eastAsia" w:ascii="宋体" w:hAnsi="宋体" w:eastAsia="宋体" w:cs="宋体"/>
          <w:color w:val="auto"/>
          <w:highlight w:val="none"/>
        </w:rPr>
      </w:pPr>
    </w:p>
    <w:p>
      <w:pPr>
        <w:spacing w:line="42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温州市瓯海区人民政府茶山街道办事处</w:t>
      </w:r>
      <w:r>
        <w:rPr>
          <w:rFonts w:hint="eastAsia" w:ascii="宋体" w:hAnsi="宋体" w:eastAsia="宋体" w:cs="宋体"/>
          <w:color w:val="auto"/>
          <w:sz w:val="22"/>
          <w:szCs w:val="22"/>
          <w:highlight w:val="none"/>
        </w:rPr>
        <w:t>：</w:t>
      </w:r>
    </w:p>
    <w:p>
      <w:pPr>
        <w:spacing w:line="42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温州中致工程项目管理有限公司</w:t>
      </w:r>
      <w:r>
        <w:rPr>
          <w:rFonts w:hint="eastAsia" w:ascii="宋体" w:hAnsi="宋体" w:eastAsia="宋体" w:cs="宋体"/>
          <w:color w:val="auto"/>
          <w:sz w:val="22"/>
          <w:szCs w:val="22"/>
          <w:highlight w:val="none"/>
        </w:rPr>
        <w:t>：</w:t>
      </w:r>
    </w:p>
    <w:p>
      <w:pPr>
        <w:spacing w:line="460" w:lineRule="exact"/>
        <w:rPr>
          <w:rFonts w:hint="eastAsia" w:ascii="宋体" w:hAnsi="宋体" w:eastAsia="宋体" w:cs="宋体"/>
          <w:color w:val="auto"/>
          <w:sz w:val="22"/>
          <w:szCs w:val="22"/>
          <w:highlight w:val="none"/>
          <w:u w:val="single"/>
        </w:rPr>
      </w:pPr>
    </w:p>
    <w:p>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本人</w:t>
      </w:r>
      <w:r>
        <w:rPr>
          <w:rFonts w:hint="eastAsia" w:ascii="宋体" w:hAnsi="宋体" w:eastAsia="宋体" w:cs="宋体"/>
          <w:color w:val="auto"/>
          <w:sz w:val="22"/>
          <w:szCs w:val="22"/>
          <w:highlight w:val="none"/>
          <w:u w:val="single"/>
        </w:rPr>
        <w:t>（法定代表人姓名）</w:t>
      </w:r>
      <w:r>
        <w:rPr>
          <w:rFonts w:hint="eastAsia" w:ascii="宋体" w:hAnsi="宋体" w:eastAsia="宋体" w:cs="宋体"/>
          <w:color w:val="auto"/>
          <w:sz w:val="22"/>
          <w:szCs w:val="22"/>
          <w:highlight w:val="none"/>
        </w:rPr>
        <w:t>为</w:t>
      </w:r>
      <w:r>
        <w:rPr>
          <w:rFonts w:hint="eastAsia" w:ascii="宋体" w:hAnsi="宋体" w:eastAsia="宋体" w:cs="宋体"/>
          <w:color w:val="auto"/>
          <w:sz w:val="22"/>
          <w:szCs w:val="22"/>
          <w:highlight w:val="none"/>
          <w:u w:val="single"/>
        </w:rPr>
        <w:t>（供应商全称）</w:t>
      </w:r>
      <w:r>
        <w:rPr>
          <w:rFonts w:hint="eastAsia" w:ascii="宋体" w:hAnsi="宋体" w:eastAsia="宋体" w:cs="宋体"/>
          <w:color w:val="auto"/>
          <w:sz w:val="22"/>
          <w:szCs w:val="22"/>
          <w:highlight w:val="none"/>
        </w:rPr>
        <w:t>的法定代表人。我公司参加贵处组织的</w:t>
      </w:r>
      <w:r>
        <w:rPr>
          <w:rFonts w:hint="eastAsia" w:ascii="宋体" w:hAnsi="宋体" w:eastAsia="宋体" w:cs="宋体"/>
          <w:color w:val="auto"/>
          <w:sz w:val="22"/>
          <w:szCs w:val="22"/>
          <w:highlight w:val="none"/>
          <w:u w:val="single"/>
        </w:rPr>
        <w:t>（项目名称、采购编号）</w:t>
      </w:r>
      <w:r>
        <w:rPr>
          <w:rFonts w:hint="eastAsia" w:ascii="宋体" w:hAnsi="宋体" w:eastAsia="宋体" w:cs="宋体"/>
          <w:color w:val="auto"/>
          <w:sz w:val="22"/>
          <w:szCs w:val="22"/>
          <w:highlight w:val="none"/>
        </w:rPr>
        <w:t>的采购活动，由我本人全权代表我方处理采购活动中的一切事宜。联系方式如下：</w:t>
      </w:r>
      <w:r>
        <w:rPr>
          <w:rFonts w:hint="eastAsia" w:ascii="宋体" w:hAnsi="宋体" w:eastAsia="宋体" w:cs="宋体"/>
          <w:color w:val="auto"/>
          <w:sz w:val="22"/>
          <w:szCs w:val="22"/>
          <w:highlight w:val="none"/>
          <w:u w:val="single"/>
        </w:rPr>
        <w:t xml:space="preserve">手机号码：       联系邮箱:         详细通讯地址：             </w:t>
      </w:r>
      <w:r>
        <w:rPr>
          <w:rFonts w:hint="eastAsia" w:ascii="宋体" w:hAnsi="宋体" w:eastAsia="宋体" w:cs="宋体"/>
          <w:color w:val="auto"/>
          <w:sz w:val="22"/>
          <w:szCs w:val="22"/>
          <w:highlight w:val="none"/>
        </w:rPr>
        <w:t xml:space="preserve"> 。  </w:t>
      </w:r>
    </w:p>
    <w:p>
      <w:pPr>
        <w:spacing w:line="400" w:lineRule="exact"/>
        <w:rPr>
          <w:rFonts w:hint="eastAsia" w:ascii="宋体" w:hAnsi="宋体" w:eastAsia="宋体" w:cs="宋体"/>
          <w:color w:val="auto"/>
          <w:highlight w:val="none"/>
        </w:rPr>
      </w:pPr>
    </w:p>
    <w:p>
      <w:pPr>
        <w:spacing w:line="400" w:lineRule="exact"/>
        <w:rPr>
          <w:rFonts w:hint="eastAsia" w:ascii="宋体" w:hAnsi="宋体" w:eastAsia="宋体" w:cs="宋体"/>
          <w:color w:val="auto"/>
          <w:highlight w:val="none"/>
        </w:rPr>
      </w:pPr>
    </w:p>
    <w:p>
      <w:pPr>
        <w:spacing w:line="400" w:lineRule="exact"/>
        <w:rPr>
          <w:rFonts w:hint="eastAsia" w:ascii="宋体" w:hAnsi="宋体" w:eastAsia="宋体" w:cs="宋体"/>
          <w:color w:val="auto"/>
          <w:highlight w:val="none"/>
        </w:rPr>
      </w:pPr>
    </w:p>
    <w:p>
      <w:pPr>
        <w:spacing w:line="460" w:lineRule="exact"/>
        <w:ind w:firstLine="3971" w:firstLineChars="1805"/>
        <w:rPr>
          <w:rFonts w:hint="eastAsia" w:ascii="宋体" w:hAnsi="宋体" w:eastAsia="宋体" w:cs="宋体"/>
          <w:color w:val="auto"/>
          <w:sz w:val="22"/>
          <w:szCs w:val="22"/>
          <w:highlight w:val="none"/>
        </w:rPr>
      </w:pP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供应商全称（公章）：</w:t>
      </w: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日期：     年    月   日</w:t>
      </w:r>
    </w:p>
    <w:p>
      <w:pPr>
        <w:spacing w:line="460" w:lineRule="exact"/>
        <w:rPr>
          <w:rFonts w:hint="eastAsia" w:ascii="宋体" w:hAnsi="宋体" w:eastAsia="宋体" w:cs="宋体"/>
          <w:color w:val="auto"/>
          <w:sz w:val="22"/>
          <w:szCs w:val="22"/>
          <w:highlight w:val="none"/>
        </w:rPr>
      </w:pPr>
    </w:p>
    <w:p>
      <w:pPr>
        <w:widowControl/>
        <w:jc w:val="left"/>
        <w:rPr>
          <w:rFonts w:hint="eastAsia" w:ascii="宋体" w:hAnsi="宋体" w:eastAsia="宋体" w:cs="宋体"/>
          <w:color w:val="auto"/>
          <w:szCs w:val="21"/>
          <w:highlight w:val="none"/>
        </w:rPr>
      </w:pPr>
    </w:p>
    <w:p>
      <w:pPr>
        <w:widowControl/>
        <w:jc w:val="left"/>
        <w:rPr>
          <w:rFonts w:hint="eastAsia" w:ascii="宋体" w:hAnsi="宋体" w:eastAsia="宋体" w:cs="宋体"/>
          <w:color w:val="auto"/>
          <w:szCs w:val="21"/>
          <w:highlight w:val="none"/>
        </w:rPr>
      </w:pPr>
    </w:p>
    <w:p>
      <w:pPr>
        <w:widowControl/>
        <w:jc w:val="left"/>
        <w:rPr>
          <w:rFonts w:hint="eastAsia" w:ascii="宋体" w:hAnsi="宋体" w:eastAsia="宋体" w:cs="宋体"/>
          <w:color w:val="auto"/>
          <w:szCs w:val="21"/>
          <w:highlight w:val="none"/>
        </w:rPr>
      </w:pPr>
      <w:r>
        <w:rPr>
          <w:rFonts w:hint="eastAsia" w:ascii="宋体" w:hAnsi="宋体" w:eastAsia="宋体" w:cs="宋体"/>
          <w:b/>
          <w:color w:val="auto"/>
          <w:sz w:val="22"/>
          <w:szCs w:val="22"/>
          <w:highlight w:val="none"/>
        </w:rPr>
        <w:t>附：法定代表人身份证正反面复印件</w:t>
      </w:r>
      <w:r>
        <w:rPr>
          <w:rFonts w:hint="eastAsia" w:ascii="宋体" w:hAnsi="宋体" w:eastAsia="宋体" w:cs="宋体"/>
          <w:color w:val="auto"/>
          <w:szCs w:val="21"/>
          <w:highlight w:val="none"/>
        </w:rPr>
        <w:br w:type="page"/>
      </w:r>
    </w:p>
    <w:p>
      <w:pPr>
        <w:spacing w:line="360" w:lineRule="exact"/>
        <w:rPr>
          <w:rFonts w:hint="eastAsia" w:ascii="宋体" w:hAnsi="宋体" w:eastAsia="宋体" w:cs="宋体"/>
          <w:color w:val="auto"/>
          <w:szCs w:val="21"/>
          <w:highlight w:val="none"/>
        </w:rPr>
      </w:pPr>
    </w:p>
    <w:p>
      <w:pPr>
        <w:spacing w:line="380" w:lineRule="exact"/>
        <w:jc w:val="center"/>
        <w:rPr>
          <w:rFonts w:hint="eastAsia" w:ascii="宋体" w:hAnsi="宋体" w:eastAsia="宋体" w:cs="宋体"/>
          <w:b/>
          <w:color w:val="auto"/>
          <w:sz w:val="22"/>
          <w:szCs w:val="22"/>
          <w:highlight w:val="none"/>
        </w:rPr>
      </w:pPr>
    </w:p>
    <w:p>
      <w:pPr>
        <w:spacing w:line="38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（1-2）法定代表人授权书</w:t>
      </w:r>
    </w:p>
    <w:p>
      <w:pPr>
        <w:spacing w:line="400" w:lineRule="exact"/>
        <w:jc w:val="center"/>
        <w:rPr>
          <w:rFonts w:hint="eastAsia" w:ascii="宋体" w:hAnsi="宋体" w:eastAsia="宋体" w:cs="宋体"/>
          <w:b/>
          <w:bCs/>
          <w:color w:val="auto"/>
          <w:sz w:val="28"/>
          <w:szCs w:val="28"/>
          <w:highlight w:val="none"/>
        </w:rPr>
      </w:pPr>
    </w:p>
    <w:p>
      <w:pPr>
        <w:spacing w:line="42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温州市瓯海区人民政府茶山街道办事处</w:t>
      </w:r>
      <w:r>
        <w:rPr>
          <w:rFonts w:hint="eastAsia" w:ascii="宋体" w:hAnsi="宋体" w:eastAsia="宋体" w:cs="宋体"/>
          <w:color w:val="auto"/>
          <w:sz w:val="22"/>
          <w:szCs w:val="22"/>
          <w:highlight w:val="none"/>
        </w:rPr>
        <w:t>：</w:t>
      </w:r>
    </w:p>
    <w:p>
      <w:pPr>
        <w:spacing w:line="42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温州中致工程项目管理有限公司</w:t>
      </w:r>
      <w:r>
        <w:rPr>
          <w:rFonts w:hint="eastAsia" w:ascii="宋体" w:hAnsi="宋体" w:eastAsia="宋体" w:cs="宋体"/>
          <w:color w:val="auto"/>
          <w:sz w:val="22"/>
          <w:szCs w:val="22"/>
          <w:highlight w:val="none"/>
        </w:rPr>
        <w:t>：</w:t>
      </w:r>
    </w:p>
    <w:p>
      <w:pPr>
        <w:spacing w:line="460" w:lineRule="exact"/>
        <w:rPr>
          <w:rFonts w:hint="eastAsia" w:ascii="宋体" w:hAnsi="宋体" w:eastAsia="宋体" w:cs="宋体"/>
          <w:color w:val="auto"/>
          <w:sz w:val="22"/>
          <w:szCs w:val="22"/>
          <w:highlight w:val="none"/>
          <w:u w:val="single"/>
        </w:rPr>
      </w:pPr>
    </w:p>
    <w:p>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（供应商全称）</w:t>
      </w:r>
      <w:r>
        <w:rPr>
          <w:rFonts w:hint="eastAsia" w:ascii="宋体" w:hAnsi="宋体" w:eastAsia="宋体" w:cs="宋体"/>
          <w:color w:val="auto"/>
          <w:sz w:val="22"/>
          <w:szCs w:val="22"/>
          <w:highlight w:val="none"/>
        </w:rPr>
        <w:t xml:space="preserve">法定代表人 </w:t>
      </w:r>
      <w:r>
        <w:rPr>
          <w:rFonts w:hint="eastAsia" w:ascii="宋体" w:hAnsi="宋体" w:eastAsia="宋体" w:cs="宋体"/>
          <w:color w:val="auto"/>
          <w:sz w:val="22"/>
          <w:szCs w:val="22"/>
          <w:highlight w:val="none"/>
          <w:u w:val="single"/>
        </w:rPr>
        <w:t>（法定代表人姓名）</w:t>
      </w:r>
      <w:r>
        <w:rPr>
          <w:rFonts w:hint="eastAsia" w:ascii="宋体" w:hAnsi="宋体" w:eastAsia="宋体" w:cs="宋体"/>
          <w:color w:val="auto"/>
          <w:sz w:val="22"/>
          <w:szCs w:val="22"/>
          <w:highlight w:val="none"/>
        </w:rPr>
        <w:t xml:space="preserve"> 授权</w:t>
      </w:r>
      <w:r>
        <w:rPr>
          <w:rFonts w:hint="eastAsia" w:ascii="宋体" w:hAnsi="宋体" w:eastAsia="宋体" w:cs="宋体"/>
          <w:color w:val="auto"/>
          <w:sz w:val="22"/>
          <w:szCs w:val="22"/>
          <w:highlight w:val="none"/>
          <w:u w:val="single"/>
        </w:rPr>
        <w:t>（全权代表姓名）</w:t>
      </w:r>
      <w:r>
        <w:rPr>
          <w:rFonts w:hint="eastAsia" w:ascii="宋体" w:hAnsi="宋体" w:eastAsia="宋体" w:cs="宋体"/>
          <w:color w:val="auto"/>
          <w:sz w:val="22"/>
          <w:szCs w:val="22"/>
          <w:highlight w:val="none"/>
        </w:rPr>
        <w:t>为本项目全权代表，参加贵处组织的</w:t>
      </w:r>
      <w:r>
        <w:rPr>
          <w:rFonts w:hint="eastAsia" w:ascii="宋体" w:hAnsi="宋体" w:eastAsia="宋体" w:cs="宋体"/>
          <w:color w:val="auto"/>
          <w:sz w:val="22"/>
          <w:szCs w:val="22"/>
          <w:highlight w:val="none"/>
          <w:u w:val="single"/>
        </w:rPr>
        <w:t>（项目名称、采购编号）</w:t>
      </w:r>
      <w:r>
        <w:rPr>
          <w:rFonts w:hint="eastAsia" w:ascii="宋体" w:hAnsi="宋体" w:eastAsia="宋体" w:cs="宋体"/>
          <w:color w:val="auto"/>
          <w:sz w:val="22"/>
          <w:szCs w:val="22"/>
          <w:highlight w:val="none"/>
        </w:rPr>
        <w:t>的采购活动，全权代表我方处理采购活动中的一切事宜。联系方式如下：</w:t>
      </w:r>
      <w:r>
        <w:rPr>
          <w:rFonts w:hint="eastAsia" w:ascii="宋体" w:hAnsi="宋体" w:eastAsia="宋体" w:cs="宋体"/>
          <w:color w:val="auto"/>
          <w:sz w:val="22"/>
          <w:szCs w:val="22"/>
          <w:highlight w:val="none"/>
          <w:u w:val="single"/>
        </w:rPr>
        <w:t xml:space="preserve">手机号码：       联系邮箱:         详细通讯地址：             </w:t>
      </w:r>
      <w:r>
        <w:rPr>
          <w:rFonts w:hint="eastAsia" w:ascii="宋体" w:hAnsi="宋体" w:eastAsia="宋体" w:cs="宋体"/>
          <w:color w:val="auto"/>
          <w:sz w:val="22"/>
          <w:szCs w:val="22"/>
          <w:highlight w:val="none"/>
        </w:rPr>
        <w:t xml:space="preserve"> 。  </w:t>
      </w:r>
    </w:p>
    <w:p>
      <w:pPr>
        <w:spacing w:line="460" w:lineRule="exact"/>
        <w:ind w:firstLine="220" w:firstLineChars="100"/>
        <w:rPr>
          <w:rFonts w:hint="eastAsia" w:ascii="宋体" w:hAnsi="宋体" w:eastAsia="宋体" w:cs="宋体"/>
          <w:color w:val="auto"/>
          <w:sz w:val="22"/>
          <w:szCs w:val="22"/>
          <w:highlight w:val="none"/>
        </w:rPr>
      </w:pPr>
    </w:p>
    <w:p>
      <w:pPr>
        <w:spacing w:line="460" w:lineRule="exact"/>
        <w:ind w:firstLine="550" w:firstLineChars="250"/>
        <w:rPr>
          <w:rFonts w:hint="eastAsia" w:ascii="宋体" w:hAnsi="宋体" w:eastAsia="宋体" w:cs="宋体"/>
          <w:color w:val="auto"/>
          <w:sz w:val="22"/>
          <w:szCs w:val="22"/>
          <w:highlight w:val="none"/>
        </w:rPr>
      </w:pPr>
    </w:p>
    <w:p>
      <w:pPr>
        <w:spacing w:line="460" w:lineRule="exact"/>
        <w:ind w:firstLine="2955"/>
        <w:rPr>
          <w:rFonts w:hint="eastAsia" w:ascii="宋体" w:hAnsi="宋体" w:eastAsia="宋体" w:cs="宋体"/>
          <w:color w:val="auto"/>
          <w:sz w:val="22"/>
          <w:szCs w:val="22"/>
          <w:highlight w:val="none"/>
        </w:rPr>
      </w:pPr>
    </w:p>
    <w:p>
      <w:pPr>
        <w:spacing w:line="460" w:lineRule="exact"/>
        <w:ind w:firstLine="2955"/>
        <w:rPr>
          <w:rFonts w:hint="eastAsia" w:ascii="宋体" w:hAnsi="宋体" w:eastAsia="宋体" w:cs="宋体"/>
          <w:color w:val="auto"/>
          <w:sz w:val="22"/>
          <w:szCs w:val="22"/>
          <w:highlight w:val="none"/>
        </w:rPr>
      </w:pPr>
    </w:p>
    <w:p>
      <w:pPr>
        <w:spacing w:line="460" w:lineRule="exact"/>
        <w:ind w:firstLine="3971" w:firstLineChars="180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(签字或盖章)：</w:t>
      </w: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供应商全称（公章）：</w:t>
      </w: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日期：     年    月   日</w:t>
      </w:r>
    </w:p>
    <w:p>
      <w:pPr>
        <w:spacing w:line="460" w:lineRule="exact"/>
        <w:rPr>
          <w:rFonts w:hint="eastAsia" w:ascii="宋体" w:hAnsi="宋体" w:eastAsia="宋体" w:cs="宋体"/>
          <w:color w:val="auto"/>
          <w:sz w:val="22"/>
          <w:szCs w:val="22"/>
          <w:highlight w:val="none"/>
        </w:rPr>
      </w:pPr>
    </w:p>
    <w:p>
      <w:pPr>
        <w:spacing w:line="460" w:lineRule="exact"/>
        <w:rPr>
          <w:rFonts w:hint="eastAsia" w:ascii="宋体" w:hAnsi="宋体" w:eastAsia="宋体" w:cs="宋体"/>
          <w:color w:val="auto"/>
          <w:sz w:val="22"/>
          <w:szCs w:val="22"/>
          <w:highlight w:val="none"/>
        </w:rPr>
      </w:pPr>
    </w:p>
    <w:p>
      <w:pPr>
        <w:spacing w:line="460" w:lineRule="exac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附：法定代表人及授权代表的身份证正反面复印件</w:t>
      </w:r>
    </w:p>
    <w:p>
      <w:pPr>
        <w:widowControl/>
        <w:jc w:val="left"/>
        <w:rPr>
          <w:rFonts w:hint="eastAsia" w:ascii="宋体" w:hAnsi="宋体" w:eastAsia="宋体" w:cs="宋体"/>
          <w:b/>
          <w:bCs/>
          <w:color w:val="auto"/>
          <w:highlight w:val="none"/>
        </w:rPr>
      </w:pPr>
    </w:p>
    <w:p>
      <w:pPr>
        <w:widowControl/>
        <w:jc w:val="left"/>
        <w:rPr>
          <w:rFonts w:hint="eastAsia" w:ascii="宋体" w:hAnsi="宋体" w:eastAsia="宋体" w:cs="宋体"/>
          <w:b/>
          <w:bCs/>
          <w:color w:val="auto"/>
          <w:highlight w:val="none"/>
        </w:rPr>
      </w:pPr>
    </w:p>
    <w:p>
      <w:pPr>
        <w:widowControl/>
        <w:jc w:val="left"/>
        <w:rPr>
          <w:rFonts w:hint="eastAsia" w:ascii="宋体" w:hAnsi="宋体" w:eastAsia="宋体" w:cs="宋体"/>
          <w:b/>
          <w:bCs/>
          <w:color w:val="auto"/>
          <w:highlight w:val="none"/>
        </w:rPr>
      </w:pPr>
    </w:p>
    <w:p>
      <w:pPr>
        <w:widowControl/>
        <w:jc w:val="left"/>
        <w:rPr>
          <w:rFonts w:hint="eastAsia" w:ascii="宋体" w:hAnsi="宋体" w:eastAsia="宋体" w:cs="宋体"/>
          <w:b/>
          <w:bCs/>
          <w:color w:val="auto"/>
          <w:highlight w:val="none"/>
        </w:rPr>
      </w:pPr>
    </w:p>
    <w:p>
      <w:pPr>
        <w:widowControl/>
        <w:jc w:val="left"/>
        <w:rPr>
          <w:rFonts w:hint="eastAsia" w:ascii="宋体" w:hAnsi="宋体" w:eastAsia="宋体" w:cs="宋体"/>
          <w:b/>
          <w:bCs/>
          <w:color w:val="auto"/>
          <w:highlight w:val="none"/>
        </w:rPr>
      </w:pPr>
    </w:p>
    <w:p>
      <w:pPr>
        <w:widowControl/>
        <w:jc w:val="left"/>
        <w:rPr>
          <w:rFonts w:hint="eastAsia" w:ascii="宋体" w:hAnsi="宋体" w:eastAsia="宋体" w:cs="宋体"/>
          <w:b/>
          <w:bCs/>
          <w:color w:val="auto"/>
          <w:highlight w:val="none"/>
        </w:rPr>
      </w:pPr>
    </w:p>
    <w:p>
      <w:pPr>
        <w:widowControl/>
        <w:jc w:val="left"/>
        <w:rPr>
          <w:rFonts w:hint="eastAsia" w:ascii="宋体" w:hAnsi="宋体" w:eastAsia="宋体" w:cs="宋体"/>
          <w:b/>
          <w:bCs/>
          <w:color w:val="auto"/>
          <w:highlight w:val="none"/>
        </w:rPr>
      </w:pPr>
    </w:p>
    <w:p>
      <w:pPr>
        <w:widowControl/>
        <w:jc w:val="left"/>
        <w:rPr>
          <w:rFonts w:hint="eastAsia" w:ascii="宋体" w:hAnsi="宋体" w:eastAsia="宋体" w:cs="宋体"/>
          <w:b/>
          <w:bCs/>
          <w:color w:val="auto"/>
          <w:highlight w:val="none"/>
        </w:rPr>
      </w:pP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1、若供应商代表为法定代表人，应提供声明书（1-1）并提交法定代表人身份证正反面复印件；</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2、若供应商代表为法定代表人授权的委托代理人，应提供授权书（1-2），并附法定代表人及授权代表的身份证正反面复印件。</w:t>
      </w:r>
    </w:p>
    <w:p>
      <w:pPr>
        <w:spacing w:line="460" w:lineRule="exact"/>
        <w:rPr>
          <w:rFonts w:hint="eastAsia" w:ascii="宋体" w:hAnsi="宋体" w:eastAsia="宋体" w:cs="宋体"/>
          <w:color w:val="auto"/>
          <w:sz w:val="22"/>
          <w:szCs w:val="22"/>
          <w:highlight w:val="none"/>
        </w:rPr>
      </w:pPr>
    </w:p>
    <w:p>
      <w:pPr>
        <w:spacing w:line="380" w:lineRule="exact"/>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br w:type="page"/>
      </w:r>
    </w:p>
    <w:p>
      <w:pPr>
        <w:spacing w:line="380" w:lineRule="exact"/>
        <w:jc w:val="center"/>
        <w:rPr>
          <w:rFonts w:hint="eastAsia" w:ascii="宋体" w:hAnsi="宋体" w:eastAsia="宋体" w:cs="宋体"/>
          <w:b/>
          <w:bCs/>
          <w:color w:val="auto"/>
          <w:sz w:val="32"/>
          <w:highlight w:val="none"/>
        </w:rPr>
      </w:pPr>
    </w:p>
    <w:p>
      <w:pPr>
        <w:widowControl/>
        <w:adjustRightInd w:val="0"/>
        <w:snapToGrid w:val="0"/>
        <w:spacing w:line="360" w:lineRule="auto"/>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（2）</w:t>
      </w:r>
      <w:r>
        <w:rPr>
          <w:rFonts w:hint="eastAsia" w:ascii="宋体" w:hAnsi="宋体" w:cs="宋体"/>
          <w:b/>
          <w:color w:val="auto"/>
          <w:sz w:val="22"/>
          <w:szCs w:val="22"/>
          <w:highlight w:val="none"/>
          <w:lang w:eastAsia="zh-CN"/>
        </w:rPr>
        <w:t>符合参加政府采购活动应当具备的一般条件的承诺函</w:t>
      </w:r>
    </w:p>
    <w:p>
      <w:pPr>
        <w:widowControl/>
        <w:adjustRightInd w:val="0"/>
        <w:snapToGrid w:val="0"/>
        <w:spacing w:line="360" w:lineRule="auto"/>
        <w:jc w:val="left"/>
        <w:rPr>
          <w:rFonts w:hint="eastAsia" w:ascii="宋体" w:hAnsi="宋体" w:eastAsia="宋体" w:cs="宋体"/>
          <w:color w:val="auto"/>
          <w:kern w:val="0"/>
          <w:sz w:val="22"/>
          <w:szCs w:val="22"/>
          <w:highlight w:val="none"/>
        </w:rPr>
      </w:pPr>
    </w:p>
    <w:p>
      <w:pPr>
        <w:widowControl/>
        <w:adjustRightInd w:val="0"/>
        <w:snapToGrid w:val="0"/>
        <w:spacing w:line="360" w:lineRule="auto"/>
        <w:jc w:val="left"/>
        <w:rPr>
          <w:rFonts w:hint="eastAsia" w:ascii="宋体" w:hAnsi="宋体" w:eastAsia="宋体" w:cs="宋体"/>
          <w:color w:val="auto"/>
          <w:kern w:val="0"/>
          <w:sz w:val="22"/>
          <w:szCs w:val="22"/>
          <w:highlight w:val="none"/>
        </w:rPr>
      </w:pPr>
      <w:r>
        <w:rPr>
          <w:rFonts w:hint="eastAsia" w:ascii="宋体" w:hAnsi="宋体" w:cs="宋体"/>
          <w:color w:val="auto"/>
          <w:sz w:val="22"/>
          <w:szCs w:val="22"/>
          <w:highlight w:val="none"/>
          <w:lang w:eastAsia="zh-CN"/>
        </w:rPr>
        <w:t>温州市瓯海区人民政府茶山街道办事处</w:t>
      </w:r>
      <w:r>
        <w:rPr>
          <w:rFonts w:hint="eastAsia" w:ascii="宋体" w:hAnsi="宋体" w:eastAsia="宋体" w:cs="宋体"/>
          <w:color w:val="auto"/>
          <w:kern w:val="0"/>
          <w:sz w:val="22"/>
          <w:szCs w:val="22"/>
          <w:highlight w:val="none"/>
        </w:rPr>
        <w:t>：</w:t>
      </w:r>
    </w:p>
    <w:p>
      <w:pPr>
        <w:widowControl/>
        <w:adjustRightInd w:val="0"/>
        <w:snapToGrid w:val="0"/>
        <w:spacing w:line="360" w:lineRule="auto"/>
        <w:jc w:val="left"/>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eastAsia="zh-CN"/>
        </w:rPr>
        <w:t>温州中致工程项目管理有限公司</w:t>
      </w:r>
      <w:r>
        <w:rPr>
          <w:rFonts w:hint="eastAsia" w:ascii="宋体" w:hAnsi="宋体" w:eastAsia="宋体" w:cs="宋体"/>
          <w:color w:val="auto"/>
          <w:kern w:val="0"/>
          <w:sz w:val="22"/>
          <w:szCs w:val="22"/>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val="en-US" w:eastAsia="zh-CN"/>
        </w:rPr>
        <w:t>项目</w:t>
      </w:r>
      <w:r>
        <w:rPr>
          <w:rFonts w:hint="eastAsia" w:ascii="宋体" w:hAnsi="宋体" w:eastAsia="宋体" w:cs="宋体"/>
          <w:color w:val="auto"/>
          <w:sz w:val="24"/>
          <w:highlight w:val="none"/>
          <w:u w:val="single"/>
        </w:rPr>
        <w:t>编号）</w:t>
      </w:r>
      <w:r>
        <w:rPr>
          <w:rFonts w:hint="eastAsia" w:ascii="宋体" w:hAnsi="宋体" w:eastAsia="宋体" w:cs="宋体"/>
          <w:color w:val="auto"/>
          <w:sz w:val="24"/>
          <w:highlight w:val="none"/>
        </w:rPr>
        <w:t>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（三）不存在单位负责人为同一人或者存在直接控股、管理关系的不同供应商参加同一合同项下的政府采购活动的。</w:t>
      </w:r>
    </w:p>
    <w:p>
      <w:pPr>
        <w:snapToGrid w:val="0"/>
        <w:spacing w:line="360" w:lineRule="auto"/>
        <w:ind w:firstLine="360" w:firstLineChars="150"/>
        <w:rPr>
          <w:rFonts w:hint="eastAsia" w:ascii="宋体" w:hAnsi="宋体" w:eastAsia="宋体" w:cs="宋体"/>
          <w:color w:val="auto"/>
          <w:sz w:val="24"/>
          <w:highlight w:val="none"/>
        </w:rPr>
      </w:pP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以上承诺如有虚假，愿接受取消我方任何资格（投标/中标/签订合同）及其他任何形式的处理。</w:t>
      </w:r>
    </w:p>
    <w:p>
      <w:pPr>
        <w:widowControl/>
        <w:adjustRightInd w:val="0"/>
        <w:snapToGrid w:val="0"/>
        <w:spacing w:line="360" w:lineRule="auto"/>
        <w:ind w:firstLine="440" w:firstLineChars="200"/>
        <w:jc w:val="left"/>
        <w:rPr>
          <w:rFonts w:hint="eastAsia" w:ascii="宋体" w:hAnsi="宋体" w:eastAsia="宋体" w:cs="宋体"/>
          <w:color w:val="auto"/>
          <w:kern w:val="0"/>
          <w:sz w:val="22"/>
          <w:szCs w:val="22"/>
          <w:highlight w:val="none"/>
        </w:rPr>
      </w:pPr>
    </w:p>
    <w:p>
      <w:pPr>
        <w:pStyle w:val="16"/>
        <w:rPr>
          <w:rFonts w:hint="eastAsia" w:ascii="宋体" w:hAnsi="宋体" w:eastAsia="宋体" w:cs="宋体"/>
          <w:color w:val="auto"/>
          <w:highlight w:val="none"/>
        </w:rPr>
      </w:pPr>
    </w:p>
    <w:p>
      <w:pPr>
        <w:widowControl/>
        <w:adjustRightInd w:val="0"/>
        <w:snapToGrid w:val="0"/>
        <w:spacing w:line="44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供应商名称（盖章） ：</w:t>
      </w:r>
    </w:p>
    <w:p>
      <w:pPr>
        <w:widowControl/>
        <w:adjustRightInd w:val="0"/>
        <w:snapToGrid w:val="0"/>
        <w:spacing w:line="44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法定代表人（负责人）或其授权代表（签字或盖章）：</w:t>
      </w:r>
    </w:p>
    <w:p>
      <w:pPr>
        <w:widowControl/>
        <w:adjustRightInd w:val="0"/>
        <w:snapToGrid w:val="0"/>
        <w:spacing w:line="44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pStyle w:val="16"/>
        <w:rPr>
          <w:rFonts w:hint="eastAsia" w:ascii="宋体" w:hAnsi="宋体" w:eastAsia="宋体" w:cs="宋体"/>
          <w:color w:val="auto"/>
          <w:highlight w:val="none"/>
        </w:rPr>
      </w:pPr>
    </w:p>
    <w:p>
      <w:pPr>
        <w:widowControl/>
        <w:adjustRightInd w:val="0"/>
        <w:snapToGrid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br w:type="page"/>
      </w:r>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（3）营业执照</w:t>
      </w:r>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（五选一）：</w:t>
      </w:r>
    </w:p>
    <w:p>
      <w:pPr>
        <w:spacing w:line="360" w:lineRule="auto"/>
        <w:rPr>
          <w:rFonts w:hint="eastAsia" w:ascii="宋体" w:hAnsi="宋体" w:cs="宋体"/>
          <w:color w:val="000000"/>
          <w:sz w:val="22"/>
          <w:szCs w:val="22"/>
          <w:highlight w:val="none"/>
        </w:rPr>
      </w:pPr>
      <w:r>
        <w:rPr>
          <w:rFonts w:hint="eastAsia" w:ascii="宋体" w:hAnsi="宋体" w:cs="宋体"/>
          <w:color w:val="000000"/>
          <w:sz w:val="22"/>
          <w:szCs w:val="22"/>
          <w:highlight w:val="none"/>
        </w:rPr>
        <w:t>A.</w:t>
      </w:r>
      <w:r>
        <w:rPr>
          <w:rFonts w:hint="eastAsia" w:ascii="宋体" w:hAnsi="宋体" w:cs="宋体"/>
          <w:color w:val="000000"/>
          <w:sz w:val="22"/>
          <w:szCs w:val="22"/>
          <w:highlight w:val="none"/>
        </w:rPr>
        <w:tab/>
      </w:r>
      <w:r>
        <w:rPr>
          <w:rFonts w:hint="eastAsia" w:ascii="宋体" w:hAnsi="宋体" w:cs="宋体"/>
          <w:color w:val="000000"/>
          <w:sz w:val="22"/>
          <w:szCs w:val="22"/>
          <w:highlight w:val="none"/>
        </w:rPr>
        <w:t>如供应商是企业（包括合伙企业），提供在工商部门注册的有效“企业法人营业执照”或“营业执照”；</w:t>
      </w:r>
    </w:p>
    <w:p>
      <w:pPr>
        <w:spacing w:line="360" w:lineRule="auto"/>
        <w:rPr>
          <w:rFonts w:hint="eastAsia" w:ascii="宋体" w:hAnsi="宋体" w:cs="宋体"/>
          <w:color w:val="000000"/>
          <w:sz w:val="22"/>
          <w:szCs w:val="22"/>
          <w:highlight w:val="none"/>
        </w:rPr>
      </w:pPr>
      <w:r>
        <w:rPr>
          <w:rFonts w:hint="eastAsia" w:ascii="宋体" w:hAnsi="宋体" w:cs="宋体"/>
          <w:color w:val="000000"/>
          <w:sz w:val="22"/>
          <w:szCs w:val="22"/>
          <w:highlight w:val="none"/>
        </w:rPr>
        <w:t>B.</w:t>
      </w:r>
      <w:r>
        <w:rPr>
          <w:rFonts w:hint="eastAsia" w:ascii="宋体" w:hAnsi="宋体" w:cs="宋体"/>
          <w:color w:val="000000"/>
          <w:sz w:val="22"/>
          <w:szCs w:val="22"/>
          <w:highlight w:val="none"/>
        </w:rPr>
        <w:tab/>
      </w:r>
      <w:r>
        <w:rPr>
          <w:rFonts w:hint="eastAsia" w:ascii="宋体" w:hAnsi="宋体" w:cs="宋体"/>
          <w:color w:val="000000"/>
          <w:sz w:val="22"/>
          <w:szCs w:val="22"/>
          <w:highlight w:val="none"/>
        </w:rPr>
        <w:t>如供应商是事业单位，提供有效的“事业单位法人证书”；</w:t>
      </w:r>
    </w:p>
    <w:p>
      <w:pPr>
        <w:spacing w:line="360" w:lineRule="auto"/>
        <w:rPr>
          <w:rFonts w:hint="eastAsia" w:ascii="宋体" w:hAnsi="宋体" w:cs="宋体"/>
          <w:color w:val="000000"/>
          <w:sz w:val="22"/>
          <w:szCs w:val="22"/>
          <w:highlight w:val="none"/>
        </w:rPr>
      </w:pPr>
      <w:r>
        <w:rPr>
          <w:rFonts w:hint="eastAsia" w:ascii="宋体" w:hAnsi="宋体" w:cs="宋体"/>
          <w:color w:val="000000"/>
          <w:sz w:val="22"/>
          <w:szCs w:val="22"/>
          <w:highlight w:val="none"/>
        </w:rPr>
        <w:t>C.</w:t>
      </w:r>
      <w:r>
        <w:rPr>
          <w:rFonts w:hint="eastAsia" w:ascii="宋体" w:hAnsi="宋体" w:cs="宋体"/>
          <w:color w:val="000000"/>
          <w:sz w:val="22"/>
          <w:szCs w:val="22"/>
          <w:highlight w:val="none"/>
        </w:rPr>
        <w:tab/>
      </w:r>
      <w:r>
        <w:rPr>
          <w:rFonts w:hint="eastAsia" w:ascii="宋体" w:hAnsi="宋体" w:cs="宋体"/>
          <w:color w:val="000000"/>
          <w:sz w:val="22"/>
          <w:szCs w:val="22"/>
          <w:highlight w:val="none"/>
        </w:rPr>
        <w:t>如供应商是非企业专业服务机构的，提供执业许可证等证明文件；</w:t>
      </w:r>
    </w:p>
    <w:p>
      <w:pPr>
        <w:spacing w:line="360" w:lineRule="auto"/>
        <w:rPr>
          <w:rFonts w:hint="eastAsia" w:ascii="宋体" w:hAnsi="宋体" w:cs="宋体"/>
          <w:color w:val="000000"/>
          <w:sz w:val="22"/>
          <w:szCs w:val="22"/>
          <w:highlight w:val="none"/>
        </w:rPr>
      </w:pPr>
      <w:r>
        <w:rPr>
          <w:rFonts w:hint="eastAsia" w:ascii="宋体" w:hAnsi="宋体" w:cs="宋体"/>
          <w:color w:val="000000"/>
          <w:sz w:val="22"/>
          <w:szCs w:val="22"/>
          <w:highlight w:val="none"/>
        </w:rPr>
        <w:t>D.</w:t>
      </w:r>
      <w:r>
        <w:rPr>
          <w:rFonts w:hint="eastAsia" w:ascii="宋体" w:hAnsi="宋体" w:cs="宋体"/>
          <w:color w:val="000000"/>
          <w:sz w:val="22"/>
          <w:szCs w:val="22"/>
          <w:highlight w:val="none"/>
        </w:rPr>
        <w:tab/>
      </w:r>
      <w:r>
        <w:rPr>
          <w:rFonts w:hint="eastAsia" w:ascii="宋体" w:hAnsi="宋体" w:cs="宋体"/>
          <w:color w:val="000000"/>
          <w:sz w:val="22"/>
          <w:szCs w:val="22"/>
          <w:highlight w:val="none"/>
        </w:rPr>
        <w:t>如供应商是个体工商户，提供有效的“个体工商户营业执照”；</w:t>
      </w:r>
    </w:p>
    <w:p>
      <w:pPr>
        <w:spacing w:line="360" w:lineRule="auto"/>
        <w:rPr>
          <w:rFonts w:hint="eastAsia" w:ascii="宋体" w:hAnsi="宋体" w:cs="宋体"/>
          <w:color w:val="000000"/>
          <w:sz w:val="22"/>
          <w:szCs w:val="22"/>
          <w:highlight w:val="none"/>
        </w:rPr>
      </w:pPr>
      <w:r>
        <w:rPr>
          <w:rFonts w:hint="eastAsia" w:ascii="宋体" w:hAnsi="宋体" w:cs="宋体"/>
          <w:color w:val="000000"/>
          <w:sz w:val="22"/>
          <w:szCs w:val="22"/>
          <w:highlight w:val="none"/>
        </w:rPr>
        <w:t>E.</w:t>
      </w:r>
      <w:r>
        <w:rPr>
          <w:rFonts w:hint="eastAsia" w:ascii="宋体" w:hAnsi="宋体" w:cs="宋体"/>
          <w:color w:val="000000"/>
          <w:sz w:val="22"/>
          <w:szCs w:val="22"/>
          <w:highlight w:val="none"/>
        </w:rPr>
        <w:tab/>
      </w:r>
      <w:r>
        <w:rPr>
          <w:rFonts w:hint="eastAsia" w:ascii="宋体" w:hAnsi="宋体" w:cs="宋体"/>
          <w:color w:val="000000"/>
          <w:sz w:val="22"/>
          <w:szCs w:val="22"/>
          <w:highlight w:val="none"/>
        </w:rPr>
        <w:t>如供应商是自然人，提供有效的自然人身份证明（居民身份证正反面或公安机关出具的临时居民身份证正反面或港澳台胞证或护照）。</w:t>
      </w:r>
    </w:p>
    <w:p>
      <w:pPr>
        <w:spacing w:line="360" w:lineRule="auto"/>
        <w:rPr>
          <w:rFonts w:hint="eastAsia" w:ascii="宋体" w:hAnsi="宋体" w:cs="宋体"/>
          <w:color w:val="000000"/>
          <w:sz w:val="22"/>
          <w:szCs w:val="22"/>
          <w:highlight w:val="none"/>
        </w:rPr>
      </w:pPr>
      <w:r>
        <w:rPr>
          <w:rFonts w:hint="eastAsia" w:ascii="宋体" w:hAnsi="宋体" w:cs="宋体"/>
          <w:color w:val="000000"/>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jc w:val="left"/>
        <w:rPr>
          <w:rFonts w:ascii="仿宋" w:hAnsi="仿宋" w:eastAsia="仿宋" w:cs="Arial"/>
          <w:color w:val="auto"/>
          <w:sz w:val="24"/>
          <w:highlight w:val="none"/>
        </w:rPr>
      </w:pPr>
    </w:p>
    <w:p>
      <w:pPr>
        <w:pStyle w:val="21"/>
        <w:snapToGrid w:val="0"/>
        <w:spacing w:line="324" w:lineRule="auto"/>
        <w:jc w:val="center"/>
        <w:rPr>
          <w:rFonts w:hint="eastAsia" w:ascii="宋体" w:hAnsi="宋体" w:eastAsia="宋体" w:cs="宋体"/>
          <w:b/>
          <w:bCs/>
          <w:color w:val="auto"/>
          <w:sz w:val="22"/>
          <w:szCs w:val="22"/>
          <w:highlight w:val="none"/>
        </w:rPr>
      </w:pPr>
    </w:p>
    <w:p>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p>
    <w:p>
      <w:pPr>
        <w:pStyle w:val="21"/>
        <w:snapToGrid w:val="0"/>
        <w:spacing w:line="324"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w:t>
      </w:r>
      <w:r>
        <w:rPr>
          <w:rFonts w:hint="eastAsia" w:hAnsi="宋体" w:cs="宋体"/>
          <w:b/>
          <w:bCs/>
          <w:color w:val="auto"/>
          <w:sz w:val="22"/>
          <w:szCs w:val="22"/>
          <w:highlight w:val="none"/>
          <w:lang w:val="en-US" w:eastAsia="zh-CN"/>
        </w:rPr>
        <w:t>4</w:t>
      </w:r>
      <w:r>
        <w:rPr>
          <w:rFonts w:hint="eastAsia" w:ascii="宋体" w:hAnsi="宋体" w:eastAsia="宋体" w:cs="宋体"/>
          <w:b/>
          <w:bCs/>
          <w:color w:val="auto"/>
          <w:sz w:val="22"/>
          <w:szCs w:val="22"/>
          <w:highlight w:val="none"/>
        </w:rPr>
        <w:t>）诚信投标承诺书</w:t>
      </w:r>
    </w:p>
    <w:p>
      <w:pPr>
        <w:ind w:right="-153" w:rightChars="-73"/>
        <w:jc w:val="center"/>
        <w:rPr>
          <w:rFonts w:hint="eastAsia" w:ascii="宋体" w:hAnsi="宋体" w:eastAsia="宋体" w:cs="宋体"/>
          <w:color w:val="auto"/>
          <w:sz w:val="22"/>
          <w:szCs w:val="22"/>
          <w:highlight w:val="none"/>
        </w:rPr>
      </w:pPr>
    </w:p>
    <w:p>
      <w:pPr>
        <w:spacing w:line="520" w:lineRule="exact"/>
        <w:ind w:right="-153" w:rightChars="-7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本企业郑重承诺：</w:t>
      </w:r>
    </w:p>
    <w:p>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为了积极配合贵公司组织的</w:t>
      </w:r>
      <w:r>
        <w:rPr>
          <w:rFonts w:hint="eastAsia" w:ascii="宋体" w:hAnsi="宋体" w:eastAsia="宋体" w:cs="宋体"/>
          <w:color w:val="auto"/>
          <w:sz w:val="22"/>
          <w:szCs w:val="22"/>
          <w:highlight w:val="none"/>
          <w:u w:val="single"/>
        </w:rPr>
        <w:t xml:space="preserve"> （项目名称） </w:t>
      </w:r>
      <w:r>
        <w:rPr>
          <w:rFonts w:hint="eastAsia" w:ascii="宋体" w:hAnsi="宋体" w:eastAsia="宋体" w:cs="宋体"/>
          <w:color w:val="auto"/>
          <w:sz w:val="22"/>
          <w:szCs w:val="22"/>
          <w:highlight w:val="none"/>
        </w:rPr>
        <w:t>采购工作，有效遏制不公平竞争和违规违纪问题的发生，确保采购工作的公平、公正、公开，我们保证认真贯彻《中华人民共和国政府采购法》、《中华人民共和国政府采购法实施条例》、《政府采购货物和服务招标投标管理办法》和《关于进一步规范政府采购活动的若干意见》等法律及有关法规相关规定以及有关廉洁要求，特承诺如下事项：</w:t>
      </w:r>
    </w:p>
    <w:p>
      <w:pPr>
        <w:numPr>
          <w:ilvl w:val="0"/>
          <w:numId w:val="41"/>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自觉遵守国家法律法规及有关廉政建设制度。</w:t>
      </w:r>
    </w:p>
    <w:p>
      <w:pPr>
        <w:numPr>
          <w:ilvl w:val="0"/>
          <w:numId w:val="41"/>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主动了解采购人招投标纪律，积极配合采购人执行招投标廉政建设的有关规定。</w:t>
      </w:r>
    </w:p>
    <w:p>
      <w:pPr>
        <w:numPr>
          <w:ilvl w:val="0"/>
          <w:numId w:val="41"/>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不使用不正当手段妨碍、排挤其它供应商或串通投标。</w:t>
      </w:r>
    </w:p>
    <w:p>
      <w:pPr>
        <w:numPr>
          <w:ilvl w:val="0"/>
          <w:numId w:val="41"/>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按照本磋商文件规定的方式进行投标，不隐瞒本单位投标资质的真实情况，投标资质符合规定。</w:t>
      </w:r>
    </w:p>
    <w:p>
      <w:pPr>
        <w:numPr>
          <w:ilvl w:val="0"/>
          <w:numId w:val="41"/>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pPr>
        <w:numPr>
          <w:ilvl w:val="0"/>
          <w:numId w:val="41"/>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不向采购人及个人购置或提供通讯工具、交通工具和高档办公用品等。</w:t>
      </w:r>
    </w:p>
    <w:p>
      <w:pPr>
        <w:numPr>
          <w:ilvl w:val="0"/>
          <w:numId w:val="41"/>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不向采购人涉及采购的人员的配偶、子女分包此次采购项目。</w:t>
      </w:r>
    </w:p>
    <w:p>
      <w:pPr>
        <w:numPr>
          <w:ilvl w:val="0"/>
          <w:numId w:val="41"/>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不向采购人及个人支付好处费、介绍费。</w:t>
      </w:r>
    </w:p>
    <w:p>
      <w:pPr>
        <w:numPr>
          <w:ilvl w:val="0"/>
          <w:numId w:val="41"/>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一旦发现相关人员在采购过程中的索要财物等不廉洁行为，坚决予以抵制，并及时向有关纪检监察部门举报。</w:t>
      </w:r>
    </w:p>
    <w:p>
      <w:pPr>
        <w:numPr>
          <w:ilvl w:val="0"/>
          <w:numId w:val="41"/>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我们若违反上述承诺，愿接受取消供应商资格及其他任何形式的处理。</w:t>
      </w:r>
    </w:p>
    <w:p>
      <w:pPr>
        <w:snapToGrid w:val="0"/>
        <w:spacing w:line="500" w:lineRule="exact"/>
        <w:ind w:firstLine="385" w:firstLineChars="175"/>
        <w:rPr>
          <w:rFonts w:hint="eastAsia" w:ascii="宋体" w:hAnsi="宋体" w:eastAsia="宋体" w:cs="宋体"/>
          <w:color w:val="auto"/>
          <w:sz w:val="22"/>
          <w:szCs w:val="22"/>
          <w:highlight w:val="none"/>
        </w:rPr>
      </w:pPr>
    </w:p>
    <w:p>
      <w:pPr>
        <w:widowControl/>
        <w:adjustRightInd w:val="0"/>
        <w:snapToGrid w:val="0"/>
        <w:spacing w:line="44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供应商名称（盖章） ：</w:t>
      </w:r>
    </w:p>
    <w:p>
      <w:pPr>
        <w:widowControl/>
        <w:adjustRightInd w:val="0"/>
        <w:snapToGrid w:val="0"/>
        <w:spacing w:line="44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法定代表人（负责人）或其授权代表（签字或盖章）：</w:t>
      </w:r>
    </w:p>
    <w:p>
      <w:pPr>
        <w:widowControl/>
        <w:adjustRightInd w:val="0"/>
        <w:snapToGrid w:val="0"/>
        <w:spacing w:line="44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rPr>
          <w:rFonts w:hint="eastAsia" w:ascii="宋体" w:hAnsi="宋体" w:eastAsia="宋体" w:cs="宋体"/>
          <w:b/>
          <w:bCs/>
          <w:color w:val="auto"/>
          <w:sz w:val="22"/>
          <w:szCs w:val="22"/>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spacing w:line="440" w:lineRule="atLeas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w:t>
      </w:r>
      <w:r>
        <w:rPr>
          <w:rFonts w:hint="eastAsia" w:ascii="宋体" w:hAnsi="宋体" w:cs="宋体"/>
          <w:b/>
          <w:color w:val="auto"/>
          <w:sz w:val="22"/>
          <w:szCs w:val="22"/>
          <w:highlight w:val="none"/>
          <w:lang w:val="en-US" w:eastAsia="zh-CN"/>
        </w:rPr>
        <w:t>5</w:t>
      </w:r>
      <w:r>
        <w:rPr>
          <w:rFonts w:hint="eastAsia" w:ascii="宋体" w:hAnsi="宋体" w:eastAsia="宋体" w:cs="宋体"/>
          <w:b/>
          <w:color w:val="auto"/>
          <w:sz w:val="22"/>
          <w:szCs w:val="22"/>
          <w:highlight w:val="none"/>
        </w:rPr>
        <w:t>）中小企业声明函</w:t>
      </w:r>
    </w:p>
    <w:p>
      <w:pPr>
        <w:spacing w:after="120" w:line="44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中小企业声明函（工程、服务）</w:t>
      </w:r>
    </w:p>
    <w:p>
      <w:pPr>
        <w:spacing w:before="5" w:after="120" w:line="440" w:lineRule="exact"/>
        <w:rPr>
          <w:rFonts w:hint="eastAsia" w:ascii="宋体" w:hAnsi="宋体" w:eastAsia="宋体" w:cs="宋体"/>
          <w:b/>
          <w:color w:val="auto"/>
          <w:sz w:val="22"/>
          <w:szCs w:val="22"/>
          <w:highlight w:val="none"/>
        </w:rPr>
      </w:pPr>
    </w:p>
    <w:p>
      <w:pPr>
        <w:spacing w:after="120" w:line="480" w:lineRule="exact"/>
        <w:ind w:right="-1" w:firstLine="440" w:firstLineChars="200"/>
        <w:jc w:val="left"/>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本公司（联合体）郑重声明，根据《政府采购促进中小企业发展管理办法》（财库﹝2020﹞46号）的规定，本公司（联合体）参加</w:t>
      </w:r>
      <w:r>
        <w:rPr>
          <w:rFonts w:hint="eastAsia" w:ascii="宋体" w:hAnsi="宋体" w:eastAsia="宋体" w:cs="宋体"/>
          <w:i w:val="0"/>
          <w:iCs w:val="0"/>
          <w:color w:val="auto"/>
          <w:sz w:val="22"/>
          <w:szCs w:val="22"/>
          <w:highlight w:val="none"/>
          <w:u w:val="single"/>
        </w:rPr>
        <w:t>（单位名称）</w:t>
      </w:r>
      <w:r>
        <w:rPr>
          <w:rFonts w:hint="eastAsia" w:ascii="宋体" w:hAnsi="宋体" w:eastAsia="宋体" w:cs="宋体"/>
          <w:i w:val="0"/>
          <w:iCs w:val="0"/>
          <w:color w:val="auto"/>
          <w:sz w:val="22"/>
          <w:szCs w:val="22"/>
          <w:highlight w:val="none"/>
        </w:rPr>
        <w:t>的</w:t>
      </w:r>
      <w:r>
        <w:rPr>
          <w:rFonts w:hint="eastAsia" w:ascii="宋体" w:hAnsi="宋体" w:eastAsia="宋体" w:cs="宋体"/>
          <w:i w:val="0"/>
          <w:iCs w:val="0"/>
          <w:color w:val="auto"/>
          <w:sz w:val="22"/>
          <w:szCs w:val="22"/>
          <w:highlight w:val="none"/>
          <w:u w:val="single"/>
        </w:rPr>
        <w:t>（项目名称）</w:t>
      </w:r>
      <w:r>
        <w:rPr>
          <w:rFonts w:hint="eastAsia" w:ascii="宋体" w:hAnsi="宋体" w:eastAsia="宋体" w:cs="宋体"/>
          <w:i w:val="0"/>
          <w:iCs w:val="0"/>
          <w:color w:val="auto"/>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82"/>
        <w:tabs>
          <w:tab w:val="left" w:pos="1025"/>
        </w:tabs>
        <w:spacing w:line="480" w:lineRule="exact"/>
        <w:ind w:firstLine="440"/>
        <w:jc w:val="left"/>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r>
        <w:rPr>
          <w:rFonts w:hint="eastAsia" w:ascii="宋体" w:hAnsi="宋体" w:eastAsia="宋体" w:cs="宋体"/>
          <w:i w:val="0"/>
          <w:iCs w:val="0"/>
          <w:color w:val="auto"/>
          <w:sz w:val="22"/>
          <w:szCs w:val="22"/>
          <w:highlight w:val="none"/>
          <w:u w:val="single"/>
        </w:rPr>
        <w:t>（标的名称）</w:t>
      </w:r>
      <w:r>
        <w:rPr>
          <w:rFonts w:hint="eastAsia" w:ascii="宋体" w:hAnsi="宋体" w:eastAsia="宋体" w:cs="宋体"/>
          <w:i w:val="0"/>
          <w:iCs w:val="0"/>
          <w:color w:val="auto"/>
          <w:sz w:val="22"/>
          <w:szCs w:val="22"/>
          <w:highlight w:val="none"/>
        </w:rPr>
        <w:t>，属于</w:t>
      </w:r>
      <w:r>
        <w:rPr>
          <w:rFonts w:hint="eastAsia" w:ascii="宋体" w:hAnsi="宋体" w:cs="宋体"/>
          <w:i w:val="0"/>
          <w:iCs w:val="0"/>
          <w:color w:val="auto"/>
          <w:sz w:val="22"/>
          <w:szCs w:val="22"/>
          <w:highlight w:val="none"/>
          <w:u w:val="single"/>
          <w:lang w:val="en-US" w:eastAsia="zh-CN"/>
        </w:rPr>
        <w:t xml:space="preserve"> </w:t>
      </w:r>
      <w:r>
        <w:rPr>
          <w:rFonts w:hint="eastAsia" w:ascii="宋体" w:hAnsi="宋体" w:eastAsia="宋体" w:cs="宋体"/>
          <w:i w:val="0"/>
          <w:iCs w:val="0"/>
          <w:color w:val="auto"/>
          <w:sz w:val="22"/>
          <w:szCs w:val="22"/>
          <w:highlight w:val="none"/>
          <w:u w:val="single"/>
          <w:lang w:val="zh-CN"/>
        </w:rPr>
        <w:t>餐饮业</w:t>
      </w:r>
      <w:r>
        <w:rPr>
          <w:rFonts w:hint="eastAsia" w:ascii="宋体" w:hAnsi="宋体" w:cs="宋体"/>
          <w:i w:val="0"/>
          <w:iCs w:val="0"/>
          <w:color w:val="auto"/>
          <w:sz w:val="22"/>
          <w:szCs w:val="22"/>
          <w:highlight w:val="none"/>
          <w:u w:val="single"/>
          <w:lang w:val="en-US" w:eastAsia="zh-CN"/>
        </w:rPr>
        <w:t xml:space="preserve"> </w:t>
      </w:r>
      <w:r>
        <w:rPr>
          <w:rFonts w:hint="eastAsia" w:ascii="宋体" w:hAnsi="宋体" w:eastAsia="宋体" w:cs="宋体"/>
          <w:i w:val="0"/>
          <w:iCs w:val="0"/>
          <w:color w:val="auto"/>
          <w:sz w:val="22"/>
          <w:szCs w:val="22"/>
          <w:highlight w:val="none"/>
        </w:rPr>
        <w:t>；承建（承接）企业为</w:t>
      </w:r>
      <w:r>
        <w:rPr>
          <w:rFonts w:hint="eastAsia" w:ascii="宋体" w:hAnsi="宋体" w:eastAsia="宋体" w:cs="宋体"/>
          <w:i w:val="0"/>
          <w:iCs w:val="0"/>
          <w:color w:val="auto"/>
          <w:sz w:val="22"/>
          <w:szCs w:val="22"/>
          <w:highlight w:val="none"/>
          <w:u w:val="single"/>
        </w:rPr>
        <w:t>（企业名称）</w:t>
      </w:r>
      <w:r>
        <w:rPr>
          <w:rFonts w:hint="eastAsia" w:ascii="宋体" w:hAnsi="宋体" w:eastAsia="宋体" w:cs="宋体"/>
          <w:i w:val="0"/>
          <w:iCs w:val="0"/>
          <w:color w:val="auto"/>
          <w:sz w:val="22"/>
          <w:szCs w:val="22"/>
          <w:highlight w:val="none"/>
        </w:rPr>
        <w:t>，从业人员人，营业收入为</w:t>
      </w:r>
      <w:r>
        <w:rPr>
          <w:rFonts w:hint="eastAsia" w:ascii="宋体" w:hAnsi="宋体" w:cs="宋体"/>
          <w:i w:val="0"/>
          <w:iCs w:val="0"/>
          <w:color w:val="auto"/>
          <w:sz w:val="22"/>
          <w:szCs w:val="22"/>
          <w:highlight w:val="none"/>
          <w:u w:val="single"/>
          <w:lang w:val="en-US" w:eastAsia="zh-CN"/>
        </w:rPr>
        <w:t xml:space="preserve">  </w:t>
      </w:r>
      <w:r>
        <w:rPr>
          <w:rFonts w:hint="eastAsia" w:ascii="宋体" w:hAnsi="宋体" w:eastAsia="宋体" w:cs="宋体"/>
          <w:i w:val="0"/>
          <w:iCs w:val="0"/>
          <w:color w:val="auto"/>
          <w:sz w:val="22"/>
          <w:szCs w:val="22"/>
          <w:highlight w:val="none"/>
          <w:u w:val="single"/>
        </w:rPr>
        <w:t>万</w:t>
      </w:r>
      <w:r>
        <w:rPr>
          <w:rFonts w:hint="eastAsia" w:ascii="宋体" w:hAnsi="宋体" w:eastAsia="宋体" w:cs="宋体"/>
          <w:i w:val="0"/>
          <w:iCs w:val="0"/>
          <w:color w:val="auto"/>
          <w:sz w:val="22"/>
          <w:szCs w:val="22"/>
          <w:highlight w:val="none"/>
        </w:rPr>
        <w:t>元，资产总额为</w:t>
      </w:r>
      <w:r>
        <w:rPr>
          <w:rFonts w:hint="eastAsia" w:ascii="宋体" w:hAnsi="宋体" w:cs="宋体"/>
          <w:i w:val="0"/>
          <w:iCs w:val="0"/>
          <w:color w:val="auto"/>
          <w:sz w:val="22"/>
          <w:szCs w:val="22"/>
          <w:highlight w:val="none"/>
          <w:u w:val="single"/>
          <w:lang w:val="en-US" w:eastAsia="zh-CN"/>
        </w:rPr>
        <w:t xml:space="preserve">  </w:t>
      </w:r>
      <w:r>
        <w:rPr>
          <w:rFonts w:hint="eastAsia" w:ascii="宋体" w:hAnsi="宋体" w:eastAsia="宋体" w:cs="宋体"/>
          <w:i w:val="0"/>
          <w:iCs w:val="0"/>
          <w:color w:val="auto"/>
          <w:sz w:val="22"/>
          <w:szCs w:val="22"/>
          <w:highlight w:val="none"/>
          <w:u w:val="single"/>
        </w:rPr>
        <w:t>万元</w:t>
      </w:r>
      <w:r>
        <w:rPr>
          <w:rFonts w:hint="eastAsia" w:ascii="宋体" w:hAnsi="宋体" w:eastAsia="宋体" w:cs="宋体"/>
          <w:i w:val="0"/>
          <w:iCs w:val="0"/>
          <w:color w:val="auto"/>
          <w:sz w:val="22"/>
          <w:szCs w:val="22"/>
          <w:highlight w:val="none"/>
        </w:rPr>
        <w:t>，属于</w:t>
      </w:r>
      <w:r>
        <w:rPr>
          <w:rFonts w:hint="eastAsia" w:ascii="宋体" w:hAnsi="宋体" w:eastAsia="宋体" w:cs="宋体"/>
          <w:i w:val="0"/>
          <w:iCs w:val="0"/>
          <w:color w:val="auto"/>
          <w:sz w:val="22"/>
          <w:szCs w:val="22"/>
          <w:highlight w:val="none"/>
          <w:u w:val="single"/>
        </w:rPr>
        <w:t>（中型企业、小型企业、微型企业）</w:t>
      </w:r>
      <w:r>
        <w:rPr>
          <w:rFonts w:hint="eastAsia" w:ascii="宋体" w:hAnsi="宋体" w:eastAsia="宋体" w:cs="宋体"/>
          <w:i w:val="0"/>
          <w:iCs w:val="0"/>
          <w:color w:val="auto"/>
          <w:sz w:val="22"/>
          <w:szCs w:val="22"/>
          <w:highlight w:val="none"/>
        </w:rPr>
        <w:t>；</w:t>
      </w:r>
    </w:p>
    <w:p>
      <w:pPr>
        <w:spacing w:before="11" w:after="120" w:line="480" w:lineRule="exact"/>
        <w:ind w:left="8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p>
      <w:pPr>
        <w:spacing w:before="108" w:after="120" w:line="480" w:lineRule="exact"/>
        <w:ind w:right="417" w:firstLine="645"/>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以上企业，不属于大企业的分支机构，不存在控股股东为大企业的情形，也不存在与大企业的负责人为同一人的情形。</w:t>
      </w:r>
    </w:p>
    <w:p>
      <w:pPr>
        <w:spacing w:after="120" w:line="480" w:lineRule="exact"/>
        <w:ind w:right="375" w:firstLine="8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本企业对上述声明内容的真实性负责。如有虚假，将依法承担相应责任。</w:t>
      </w:r>
    </w:p>
    <w:p>
      <w:pPr>
        <w:spacing w:before="29" w:after="120" w:line="480" w:lineRule="exact"/>
        <w:ind w:left="4060" w:right="2166"/>
        <w:jc w:val="left"/>
        <w:rPr>
          <w:rFonts w:hint="eastAsia" w:ascii="宋体" w:hAnsi="宋体" w:eastAsia="宋体" w:cs="宋体"/>
          <w:color w:val="auto"/>
          <w:sz w:val="22"/>
          <w:szCs w:val="22"/>
          <w:highlight w:val="none"/>
        </w:rPr>
      </w:pPr>
    </w:p>
    <w:p>
      <w:pPr>
        <w:widowControl/>
        <w:adjustRightInd w:val="0"/>
        <w:snapToGrid w:val="0"/>
        <w:spacing w:line="400" w:lineRule="exact"/>
        <w:ind w:firstLine="3300" w:firstLineChars="1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供应商名称（盖章）：</w:t>
      </w:r>
    </w:p>
    <w:p>
      <w:pPr>
        <w:widowControl/>
        <w:adjustRightInd w:val="0"/>
        <w:snapToGrid w:val="0"/>
        <w:spacing w:line="400" w:lineRule="exact"/>
        <w:ind w:firstLine="3300" w:firstLineChars="1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pPr>
        <w:pStyle w:val="221"/>
        <w:spacing w:before="60" w:after="60"/>
        <w:ind w:firstLine="46"/>
        <w:rPr>
          <w:rFonts w:hint="eastAsia" w:ascii="宋体" w:hAnsi="宋体" w:eastAsia="宋体" w:cs="宋体"/>
          <w:color w:val="auto"/>
          <w:sz w:val="22"/>
          <w:szCs w:val="22"/>
          <w:highlight w:val="none"/>
        </w:rPr>
      </w:pPr>
    </w:p>
    <w:p>
      <w:pPr>
        <w:pStyle w:val="16"/>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spacing w:line="360" w:lineRule="auto"/>
        <w:jc w:val="left"/>
        <w:rPr>
          <w:rFonts w:ascii="仿宋" w:hAnsi="仿宋" w:eastAsia="仿宋"/>
          <w:color w:val="auto"/>
          <w:sz w:val="22"/>
          <w:szCs w:val="22"/>
          <w:highlight w:val="none"/>
        </w:rPr>
      </w:pPr>
      <w:r>
        <w:rPr>
          <w:rFonts w:hint="eastAsia" w:ascii="仿宋" w:hAnsi="仿宋" w:eastAsia="仿宋"/>
          <w:color w:val="auto"/>
          <w:sz w:val="22"/>
          <w:szCs w:val="22"/>
          <w:highlight w:val="none"/>
        </w:rPr>
        <w:t>注：1、从业人员、营业收入、资产总额填报上一年度数据，无上一年度数据的新成立企业可不填报。</w:t>
      </w:r>
    </w:p>
    <w:p>
      <w:pPr>
        <w:spacing w:line="360" w:lineRule="auto"/>
        <w:ind w:firstLine="440" w:firstLineChars="200"/>
        <w:jc w:val="left"/>
        <w:rPr>
          <w:rFonts w:ascii="仿宋" w:hAnsi="仿宋" w:eastAsia="仿宋"/>
          <w:color w:val="auto"/>
          <w:sz w:val="22"/>
          <w:szCs w:val="22"/>
          <w:highlight w:val="none"/>
        </w:rPr>
      </w:pPr>
      <w:r>
        <w:rPr>
          <w:rFonts w:hint="eastAsia" w:ascii="仿宋" w:hAnsi="仿宋" w:eastAsia="仿宋"/>
          <w:color w:val="auto"/>
          <w:sz w:val="22"/>
          <w:szCs w:val="22"/>
          <w:highlight w:val="none"/>
        </w:rPr>
        <w:t>2、</w:t>
      </w:r>
      <w:r>
        <w:rPr>
          <w:rFonts w:ascii="仿宋" w:hAnsi="仿宋" w:eastAsia="仿宋"/>
          <w:color w:val="auto"/>
          <w:sz w:val="22"/>
          <w:szCs w:val="22"/>
          <w:highlight w:val="none"/>
        </w:rPr>
        <w:t>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pPr>
        <w:spacing w:beforeLines="100" w:line="440" w:lineRule="atLeast"/>
        <w:ind w:firstLine="440" w:firstLineChars="2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p>
      <w:pPr>
        <w:spacing w:line="440" w:lineRule="atLeast"/>
        <w:rPr>
          <w:rFonts w:hint="eastAsia" w:ascii="宋体" w:hAnsi="宋体" w:eastAsia="宋体" w:cs="宋体"/>
          <w:color w:val="auto"/>
          <w:sz w:val="22"/>
          <w:szCs w:val="22"/>
          <w:highlight w:val="none"/>
        </w:rPr>
      </w:pPr>
    </w:p>
    <w:p>
      <w:pPr>
        <w:spacing w:line="440" w:lineRule="atLeast"/>
        <w:jc w:val="center"/>
        <w:rPr>
          <w:rFonts w:hint="eastAsia" w:ascii="宋体" w:hAnsi="宋体" w:eastAsia="宋体" w:cs="宋体"/>
          <w:color w:val="auto"/>
          <w:spacing w:val="6"/>
          <w:sz w:val="22"/>
          <w:szCs w:val="22"/>
          <w:highlight w:val="none"/>
        </w:rPr>
      </w:pPr>
      <w:r>
        <w:rPr>
          <w:rFonts w:hint="eastAsia" w:ascii="宋体" w:hAnsi="宋体" w:eastAsia="宋体" w:cs="宋体"/>
          <w:b/>
          <w:color w:val="auto"/>
          <w:sz w:val="22"/>
          <w:szCs w:val="22"/>
          <w:highlight w:val="none"/>
        </w:rPr>
        <w:t>（</w:t>
      </w:r>
      <w:r>
        <w:rPr>
          <w:rFonts w:hint="eastAsia" w:ascii="宋体" w:hAnsi="宋体" w:cs="宋体"/>
          <w:b/>
          <w:color w:val="auto"/>
          <w:sz w:val="22"/>
          <w:szCs w:val="22"/>
          <w:highlight w:val="none"/>
          <w:lang w:val="en-US" w:eastAsia="zh-CN"/>
        </w:rPr>
        <w:t>6</w:t>
      </w:r>
      <w:r>
        <w:rPr>
          <w:rFonts w:hint="eastAsia" w:ascii="宋体" w:hAnsi="宋体" w:eastAsia="宋体" w:cs="宋体"/>
          <w:b/>
          <w:color w:val="auto"/>
          <w:sz w:val="22"/>
          <w:szCs w:val="22"/>
          <w:highlight w:val="none"/>
        </w:rPr>
        <w:t>）</w:t>
      </w:r>
      <w:r>
        <w:rPr>
          <w:rFonts w:hint="eastAsia" w:ascii="宋体" w:hAnsi="宋体" w:eastAsia="宋体" w:cs="宋体"/>
          <w:b/>
          <w:color w:val="auto"/>
          <w:spacing w:val="6"/>
          <w:sz w:val="22"/>
          <w:szCs w:val="22"/>
          <w:highlight w:val="none"/>
        </w:rPr>
        <w:t>残疾人福利性单位声明函</w:t>
      </w:r>
    </w:p>
    <w:p>
      <w:pPr>
        <w:widowControl/>
        <w:adjustRightInd w:val="0"/>
        <w:snapToGrid w:val="0"/>
        <w:spacing w:line="324" w:lineRule="auto"/>
        <w:ind w:firstLine="440" w:firstLineChars="20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【不属于残疾人福利性单位的无需填写、递交】</w:t>
      </w:r>
    </w:p>
    <w:p>
      <w:pPr>
        <w:snapToGrid w:val="0"/>
        <w:spacing w:line="300" w:lineRule="auto"/>
        <w:jc w:val="center"/>
        <w:rPr>
          <w:rFonts w:hint="eastAsia" w:ascii="宋体" w:hAnsi="宋体" w:eastAsia="宋体" w:cs="宋体"/>
          <w:b/>
          <w:bCs/>
          <w:color w:val="auto"/>
          <w:sz w:val="22"/>
          <w:szCs w:val="22"/>
          <w:highlight w:val="none"/>
        </w:rPr>
      </w:pPr>
    </w:p>
    <w:p>
      <w:pPr>
        <w:snapToGrid w:val="0"/>
        <w:spacing w:line="30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eastAsia="宋体" w:cs="宋体"/>
          <w:color w:val="auto"/>
          <w:sz w:val="22"/>
          <w:szCs w:val="22"/>
          <w:highlight w:val="none"/>
        </w:rPr>
        <w:t>〔2017〕141</w:t>
      </w:r>
      <w:r>
        <w:rPr>
          <w:rFonts w:hint="eastAsia" w:ascii="宋体" w:hAnsi="宋体" w:eastAsia="宋体" w:cs="宋体"/>
          <w:color w:val="auto"/>
          <w:spacing w:val="6"/>
          <w:sz w:val="22"/>
          <w:szCs w:val="22"/>
          <w:highlight w:val="none"/>
        </w:rPr>
        <w:t>号）的规定，本单位为符合条件的残疾人福利性单位，且本单位参加</w:t>
      </w:r>
      <w:r>
        <w:rPr>
          <w:rFonts w:hint="eastAsia" w:ascii="宋体" w:hAnsi="宋体" w:eastAsia="宋体" w:cs="宋体"/>
          <w:color w:val="auto"/>
          <w:spacing w:val="6"/>
          <w:sz w:val="22"/>
          <w:szCs w:val="22"/>
          <w:highlight w:val="none"/>
          <w:u w:val="single"/>
        </w:rPr>
        <w:t>（采购人名称）</w:t>
      </w:r>
      <w:r>
        <w:rPr>
          <w:rFonts w:hint="eastAsia" w:ascii="宋体" w:hAnsi="宋体" w:eastAsia="宋体" w:cs="宋体"/>
          <w:color w:val="auto"/>
          <w:spacing w:val="6"/>
          <w:sz w:val="22"/>
          <w:szCs w:val="22"/>
          <w:highlight w:val="none"/>
        </w:rPr>
        <w:t>单位的</w:t>
      </w:r>
      <w:r>
        <w:rPr>
          <w:rFonts w:hint="eastAsia" w:ascii="宋体" w:hAnsi="宋体" w:eastAsia="宋体" w:cs="宋体"/>
          <w:color w:val="auto"/>
          <w:spacing w:val="6"/>
          <w:sz w:val="22"/>
          <w:szCs w:val="22"/>
          <w:highlight w:val="none"/>
          <w:u w:val="single"/>
        </w:rPr>
        <w:t>（项目名称）</w:t>
      </w:r>
      <w:r>
        <w:rPr>
          <w:rFonts w:hint="eastAsia" w:ascii="宋体" w:hAnsi="宋体" w:eastAsia="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30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pPr>
        <w:snapToGrid w:val="0"/>
        <w:spacing w:line="300" w:lineRule="auto"/>
        <w:ind w:firstLine="464" w:firstLineChars="200"/>
        <w:rPr>
          <w:rFonts w:hint="eastAsia" w:ascii="宋体" w:hAnsi="宋体" w:eastAsia="宋体" w:cs="宋体"/>
          <w:color w:val="auto"/>
          <w:spacing w:val="6"/>
          <w:sz w:val="22"/>
          <w:szCs w:val="22"/>
          <w:highlight w:val="none"/>
        </w:rPr>
      </w:pPr>
    </w:p>
    <w:p>
      <w:pPr>
        <w:snapToGrid w:val="0"/>
        <w:spacing w:line="300" w:lineRule="auto"/>
        <w:ind w:firstLine="464" w:firstLineChars="200"/>
        <w:rPr>
          <w:rFonts w:hint="eastAsia" w:ascii="宋体" w:hAnsi="宋体" w:eastAsia="宋体" w:cs="宋体"/>
          <w:color w:val="auto"/>
          <w:spacing w:val="6"/>
          <w:sz w:val="22"/>
          <w:szCs w:val="22"/>
          <w:highlight w:val="none"/>
        </w:rPr>
      </w:pPr>
    </w:p>
    <w:p>
      <w:pPr>
        <w:widowControl/>
        <w:adjustRightInd w:val="0"/>
        <w:snapToGrid w:val="0"/>
        <w:spacing w:line="400" w:lineRule="exact"/>
        <w:ind w:firstLine="3300" w:firstLineChars="1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供应商名称（盖章）：</w:t>
      </w:r>
    </w:p>
    <w:p>
      <w:pPr>
        <w:widowControl/>
        <w:adjustRightInd w:val="0"/>
        <w:snapToGrid w:val="0"/>
        <w:spacing w:line="400" w:lineRule="exact"/>
        <w:ind w:firstLine="3300" w:firstLineChars="1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pPr>
        <w:adjustRightInd w:val="0"/>
        <w:snapToGrid w:val="0"/>
        <w:spacing w:line="300" w:lineRule="auto"/>
        <w:ind w:firstLine="440" w:firstLineChars="200"/>
        <w:rPr>
          <w:rFonts w:hint="eastAsia" w:ascii="宋体" w:hAnsi="宋体" w:eastAsia="宋体" w:cs="宋体"/>
          <w:color w:val="auto"/>
          <w:kern w:val="0"/>
          <w:sz w:val="22"/>
          <w:szCs w:val="22"/>
          <w:highlight w:val="none"/>
        </w:rPr>
      </w:pPr>
    </w:p>
    <w:p>
      <w:pPr>
        <w:pStyle w:val="25"/>
        <w:rPr>
          <w:rFonts w:hint="eastAsia" w:ascii="宋体" w:hAnsi="宋体" w:eastAsia="宋体" w:cs="宋体"/>
          <w:color w:val="auto"/>
          <w:highlight w:val="none"/>
        </w:rPr>
      </w:pPr>
    </w:p>
    <w:p>
      <w:pPr>
        <w:adjustRightInd w:val="0"/>
        <w:snapToGrid w:val="0"/>
        <w:spacing w:line="300" w:lineRule="auto"/>
        <w:ind w:firstLine="440" w:firstLineChars="200"/>
        <w:rPr>
          <w:rFonts w:hint="eastAsia" w:ascii="宋体" w:hAnsi="宋体" w:eastAsia="宋体" w:cs="宋体"/>
          <w:color w:val="auto"/>
          <w:kern w:val="0"/>
          <w:sz w:val="22"/>
          <w:szCs w:val="22"/>
          <w:highlight w:val="none"/>
        </w:rPr>
      </w:pPr>
    </w:p>
    <w:p>
      <w:pPr>
        <w:spacing w:line="440" w:lineRule="atLeast"/>
        <w:rPr>
          <w:rFonts w:hint="eastAsia" w:ascii="宋体" w:hAnsi="宋体" w:eastAsia="宋体" w:cs="宋体"/>
          <w:color w:val="auto"/>
          <w:sz w:val="22"/>
          <w:szCs w:val="22"/>
          <w:highlight w:val="none"/>
        </w:rPr>
      </w:pPr>
    </w:p>
    <w:p>
      <w:pPr>
        <w:adjustRightInd w:val="0"/>
        <w:snapToGrid w:val="0"/>
        <w:spacing w:line="300" w:lineRule="auto"/>
        <w:jc w:val="center"/>
        <w:rPr>
          <w:rFonts w:hint="eastAsia" w:ascii="宋体" w:hAnsi="宋体" w:eastAsia="宋体" w:cs="宋体"/>
          <w:color w:val="auto"/>
          <w:kern w:val="0"/>
          <w:sz w:val="22"/>
          <w:szCs w:val="22"/>
          <w:highlight w:val="none"/>
        </w:rPr>
      </w:pPr>
      <w:r>
        <w:rPr>
          <w:rFonts w:hint="eastAsia" w:ascii="宋体" w:hAnsi="宋体" w:eastAsia="宋体" w:cs="宋体"/>
          <w:b/>
          <w:color w:val="auto"/>
          <w:sz w:val="22"/>
          <w:szCs w:val="22"/>
          <w:highlight w:val="none"/>
        </w:rPr>
        <w:t>（</w:t>
      </w:r>
      <w:r>
        <w:rPr>
          <w:rFonts w:hint="eastAsia" w:ascii="宋体" w:hAnsi="宋体" w:cs="宋体"/>
          <w:b/>
          <w:color w:val="auto"/>
          <w:sz w:val="22"/>
          <w:szCs w:val="22"/>
          <w:highlight w:val="none"/>
          <w:lang w:val="en-US" w:eastAsia="zh-CN"/>
        </w:rPr>
        <w:t>7</w:t>
      </w:r>
      <w:r>
        <w:rPr>
          <w:rFonts w:hint="eastAsia" w:ascii="宋体" w:hAnsi="宋体" w:eastAsia="宋体" w:cs="宋体"/>
          <w:b/>
          <w:color w:val="auto"/>
          <w:sz w:val="22"/>
          <w:szCs w:val="22"/>
          <w:highlight w:val="none"/>
        </w:rPr>
        <w:t>）</w:t>
      </w:r>
      <w:r>
        <w:rPr>
          <w:rFonts w:hint="eastAsia" w:ascii="宋体" w:hAnsi="宋体" w:eastAsia="宋体" w:cs="宋体"/>
          <w:b/>
          <w:color w:val="auto"/>
          <w:spacing w:val="6"/>
          <w:sz w:val="22"/>
          <w:szCs w:val="22"/>
          <w:highlight w:val="none"/>
        </w:rPr>
        <w:t>监狱企业声明函</w:t>
      </w:r>
    </w:p>
    <w:p>
      <w:pPr>
        <w:snapToGrid w:val="0"/>
        <w:spacing w:line="300" w:lineRule="auto"/>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【非监狱企业不用提供】</w:t>
      </w:r>
    </w:p>
    <w:p>
      <w:pPr>
        <w:snapToGrid w:val="0"/>
        <w:spacing w:line="30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本企业郑重声明，根据《关于政府采购支持监狱企业发展有关问题的通知》（财库[2014]68号）的规定，本企业为监狱企业。 </w:t>
      </w:r>
    </w:p>
    <w:p>
      <w:pPr>
        <w:snapToGrid w:val="0"/>
        <w:spacing w:line="30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根据上述标准，我企业属于监狱企业的理由为：。 </w:t>
      </w:r>
    </w:p>
    <w:p>
      <w:pPr>
        <w:snapToGrid w:val="0"/>
        <w:spacing w:line="30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本企业为参加（项目名称</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）（项目编号</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）采购活动并承担本工程。 </w:t>
      </w:r>
    </w:p>
    <w:p>
      <w:pPr>
        <w:snapToGrid w:val="0"/>
        <w:spacing w:line="30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本企业对上述声明的真实性负责。如有虚假，将依法承担相应责任。 </w:t>
      </w:r>
    </w:p>
    <w:p>
      <w:pPr>
        <w:tabs>
          <w:tab w:val="left" w:pos="4860"/>
        </w:tabs>
        <w:spacing w:line="588" w:lineRule="exact"/>
        <w:ind w:right="1560" w:firstLine="464" w:firstLineChars="200"/>
        <w:jc w:val="center"/>
        <w:rPr>
          <w:rFonts w:hint="eastAsia" w:ascii="宋体" w:hAnsi="宋体" w:eastAsia="宋体" w:cs="宋体"/>
          <w:color w:val="auto"/>
          <w:spacing w:val="6"/>
          <w:sz w:val="22"/>
          <w:szCs w:val="22"/>
          <w:highlight w:val="none"/>
        </w:rPr>
      </w:pPr>
    </w:p>
    <w:p>
      <w:pPr>
        <w:widowControl/>
        <w:adjustRightInd w:val="0"/>
        <w:snapToGrid w:val="0"/>
        <w:spacing w:line="400" w:lineRule="exact"/>
        <w:ind w:firstLine="3300" w:firstLineChars="1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供应商名称（盖章）：</w:t>
      </w:r>
    </w:p>
    <w:p>
      <w:pPr>
        <w:widowControl/>
        <w:adjustRightInd w:val="0"/>
        <w:snapToGrid w:val="0"/>
        <w:spacing w:line="400" w:lineRule="exact"/>
        <w:ind w:firstLine="3300" w:firstLineChars="1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pPr>
        <w:pStyle w:val="50"/>
        <w:rPr>
          <w:rFonts w:hint="eastAsia" w:ascii="宋体" w:hAnsi="宋体" w:eastAsia="宋体" w:cs="宋体"/>
          <w:color w:val="auto"/>
          <w:sz w:val="22"/>
          <w:szCs w:val="22"/>
          <w:highlight w:val="none"/>
        </w:rPr>
      </w:pPr>
    </w:p>
    <w:p>
      <w:pPr>
        <w:pStyle w:val="50"/>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pPr>
        <w:pStyle w:val="25"/>
        <w:rPr>
          <w:rFonts w:hint="eastAsia" w:ascii="宋体" w:hAnsi="宋体" w:eastAsia="宋体" w:cs="宋体"/>
          <w:color w:val="auto"/>
          <w:highlight w:val="none"/>
        </w:rPr>
      </w:pPr>
    </w:p>
    <w:p>
      <w:pPr>
        <w:rPr>
          <w:rFonts w:hint="eastAsia" w:ascii="宋体" w:hAnsi="宋体" w:eastAsia="宋体" w:cs="宋体"/>
          <w:color w:val="auto"/>
          <w:spacing w:val="6"/>
          <w:sz w:val="22"/>
          <w:szCs w:val="22"/>
          <w:highlight w:val="none"/>
        </w:rPr>
      </w:pPr>
    </w:p>
    <w:p>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附件二 </w:t>
      </w: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b/>
          <w:color w:val="auto"/>
          <w:sz w:val="22"/>
          <w:szCs w:val="22"/>
          <w:highlight w:val="none"/>
        </w:rPr>
        <w:t>（1）</w:t>
      </w:r>
      <w:r>
        <w:rPr>
          <w:rFonts w:hint="eastAsia" w:ascii="宋体" w:hAnsi="宋体" w:eastAsia="宋体" w:cs="宋体"/>
          <w:b/>
          <w:bCs/>
          <w:color w:val="auto"/>
          <w:sz w:val="28"/>
          <w:szCs w:val="28"/>
          <w:highlight w:val="none"/>
        </w:rPr>
        <w:t>报价一览表</w:t>
      </w:r>
    </w:p>
    <w:p>
      <w:pPr>
        <w:spacing w:line="380" w:lineRule="exact"/>
        <w:jc w:val="center"/>
        <w:rPr>
          <w:rFonts w:hint="eastAsia" w:ascii="宋体" w:hAnsi="宋体" w:eastAsia="宋体" w:cs="宋体"/>
          <w:b/>
          <w:bCs/>
          <w:color w:val="auto"/>
          <w:sz w:val="28"/>
          <w:highlight w:val="none"/>
        </w:rPr>
      </w:pPr>
    </w:p>
    <w:p>
      <w:pPr>
        <w:spacing w:line="380" w:lineRule="exact"/>
        <w:ind w:right="349" w:rightChars="166"/>
        <w:rPr>
          <w:rFonts w:hint="eastAsia" w:ascii="宋体" w:hAnsi="宋体" w:eastAsia="宋体" w:cs="宋体"/>
          <w:b/>
          <w:color w:val="auto"/>
          <w:sz w:val="22"/>
          <w:highlight w:val="none"/>
        </w:rPr>
      </w:pPr>
      <w:r>
        <w:rPr>
          <w:rFonts w:hint="eastAsia" w:ascii="宋体" w:hAnsi="宋体" w:eastAsia="宋体" w:cs="宋体"/>
          <w:b/>
          <w:color w:val="auto"/>
          <w:sz w:val="22"/>
          <w:highlight w:val="none"/>
        </w:rPr>
        <w:t xml:space="preserve">                                                          </w:t>
      </w:r>
    </w:p>
    <w:tbl>
      <w:tblPr>
        <w:tblStyle w:val="38"/>
        <w:tblpPr w:leftFromText="180" w:rightFromText="180" w:vertAnchor="text" w:horzAnchor="page" w:tblpX="1545" w:tblpY="293"/>
        <w:tblOverlap w:val="never"/>
        <w:tblW w:w="45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2"/>
        <w:gridCol w:w="3654"/>
        <w:gridCol w:w="1811"/>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1271" w:type="pct"/>
            <w:tcBorders>
              <w:right w:val="single" w:color="000000" w:sz="6" w:space="0"/>
            </w:tcBorders>
            <w:noWrap w:val="0"/>
            <w:vAlign w:val="center"/>
          </w:tcPr>
          <w:p>
            <w:pPr>
              <w:pStyle w:val="21"/>
              <w:snapToGrid w:val="0"/>
              <w:spacing w:line="240" w:lineRule="auto"/>
              <w:ind w:firstLine="0" w:firstLineChars="0"/>
              <w:jc w:val="center"/>
              <w:rPr>
                <w:rFonts w:hint="eastAsia" w:hAnsi="宋体" w:eastAsia="宋体" w:cs="宋体"/>
                <w:color w:val="auto"/>
                <w:szCs w:val="21"/>
                <w:highlight w:val="none"/>
              </w:rPr>
            </w:pPr>
            <w:r>
              <w:rPr>
                <w:rFonts w:hint="eastAsia" w:hAnsi="宋体" w:eastAsia="宋体" w:cs="宋体"/>
                <w:color w:val="auto"/>
                <w:szCs w:val="21"/>
                <w:highlight w:val="none"/>
              </w:rPr>
              <w:t>采购名称</w:t>
            </w:r>
          </w:p>
        </w:tc>
        <w:tc>
          <w:tcPr>
            <w:tcW w:w="3652" w:type="dxa"/>
            <w:noWrap w:val="0"/>
            <w:vAlign w:val="center"/>
          </w:tcPr>
          <w:p>
            <w:pPr>
              <w:pStyle w:val="21"/>
              <w:spacing w:line="460" w:lineRule="atLeast"/>
              <w:jc w:val="center"/>
              <w:rPr>
                <w:rFonts w:hint="eastAsia" w:ascii="宋体" w:hAnsi="宋体" w:eastAsia="宋体" w:cs="宋体"/>
                <w:color w:val="auto"/>
                <w:highlight w:val="none"/>
                <w:lang w:eastAsia="zh-CN"/>
              </w:rPr>
            </w:pPr>
            <w:r>
              <w:rPr>
                <w:rFonts w:hint="eastAsia" w:hAnsi="宋体"/>
                <w:color w:val="000000"/>
                <w:sz w:val="22"/>
                <w:highlight w:val="none"/>
              </w:rPr>
              <w:t>投标报价</w:t>
            </w:r>
          </w:p>
        </w:tc>
        <w:tc>
          <w:tcPr>
            <w:tcW w:w="1009" w:type="pct"/>
            <w:noWrap w:val="0"/>
            <w:vAlign w:val="center"/>
          </w:tcPr>
          <w:p>
            <w:pPr>
              <w:spacing w:line="240" w:lineRule="auto"/>
              <w:ind w:firstLine="0" w:firstLine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主厨</w:t>
            </w:r>
            <w:r>
              <w:rPr>
                <w:rFonts w:hint="eastAsia" w:ascii="宋体" w:hAnsi="宋体" w:eastAsia="宋体" w:cs="宋体"/>
                <w:color w:val="auto"/>
                <w:szCs w:val="21"/>
                <w:highlight w:val="none"/>
                <w:lang w:eastAsia="zh-CN"/>
              </w:rPr>
              <w:t>）</w:t>
            </w:r>
          </w:p>
        </w:tc>
        <w:tc>
          <w:tcPr>
            <w:tcW w:w="685" w:type="pct"/>
            <w:noWrap w:val="0"/>
            <w:vAlign w:val="center"/>
          </w:tcPr>
          <w:p>
            <w:pPr>
              <w:spacing w:line="240" w:lineRule="auto"/>
              <w:ind w:firstLine="0" w:firstLineChars="0"/>
              <w:jc w:val="center"/>
              <w:rPr>
                <w:rFonts w:hint="eastAsia" w:ascii="宋体" w:hAnsi="宋体" w:eastAsia="宋体" w:cs="宋体"/>
                <w:color w:val="auto"/>
                <w:szCs w:val="21"/>
                <w:highlight w:val="none"/>
              </w:rPr>
            </w:pPr>
            <w:r>
              <w:rPr>
                <w:rFonts w:hint="eastAsia" w:hAnsi="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0" w:hRule="atLeast"/>
        </w:trPr>
        <w:tc>
          <w:tcPr>
            <w:tcW w:w="1271" w:type="pct"/>
            <w:tcBorders>
              <w:right w:val="single" w:color="000000" w:sz="6" w:space="0"/>
            </w:tcBorders>
            <w:noWrap w:val="0"/>
            <w:vAlign w:val="center"/>
          </w:tcPr>
          <w:p>
            <w:pPr>
              <w:pStyle w:val="21"/>
              <w:snapToGrid w:val="0"/>
              <w:spacing w:line="240" w:lineRule="auto"/>
              <w:ind w:firstLine="0" w:firstLineChars="0"/>
              <w:jc w:val="center"/>
              <w:rPr>
                <w:rFonts w:hint="eastAsia" w:hAnsi="宋体" w:eastAsia="宋体" w:cs="宋体"/>
                <w:color w:val="auto"/>
                <w:szCs w:val="21"/>
                <w:highlight w:val="none"/>
              </w:rPr>
            </w:pPr>
            <w:r>
              <w:rPr>
                <w:rFonts w:hint="eastAsia" w:hAnsi="宋体"/>
                <w:color w:val="auto"/>
                <w:sz w:val="22"/>
                <w:highlight w:val="none"/>
                <w:lang w:eastAsia="zh-CN"/>
              </w:rPr>
              <w:t>2024年茶山街道机关食堂外包运营服务</w:t>
            </w:r>
            <w:r>
              <w:rPr>
                <w:rFonts w:hint="eastAsia" w:ascii="宋体" w:hAnsi="宋体"/>
                <w:bCs/>
                <w:color w:val="auto"/>
                <w:sz w:val="22"/>
                <w:szCs w:val="21"/>
                <w:highlight w:val="none"/>
              </w:rPr>
              <w:t xml:space="preserve"> </w:t>
            </w:r>
          </w:p>
        </w:tc>
        <w:tc>
          <w:tcPr>
            <w:tcW w:w="3652" w:type="dxa"/>
            <w:noWrap w:val="0"/>
            <w:vAlign w:val="center"/>
          </w:tcPr>
          <w:p>
            <w:pPr>
              <w:pStyle w:val="21"/>
              <w:spacing w:line="460" w:lineRule="atLeast"/>
              <w:rPr>
                <w:rFonts w:hint="default" w:hAnsi="宋体" w:eastAsia="宋体"/>
                <w:color w:val="000000"/>
                <w:sz w:val="22"/>
                <w:highlight w:val="none"/>
                <w:lang w:val="en-US" w:eastAsia="zh-CN"/>
              </w:rPr>
            </w:pPr>
            <w:r>
              <w:rPr>
                <w:rFonts w:hint="eastAsia" w:hAnsi="宋体"/>
                <w:color w:val="000000"/>
                <w:sz w:val="22"/>
                <w:highlight w:val="none"/>
              </w:rPr>
              <w:t>大写：</w:t>
            </w:r>
            <w:r>
              <w:rPr>
                <w:rFonts w:hint="eastAsia" w:hAnsi="宋体"/>
                <w:color w:val="000000"/>
                <w:sz w:val="22"/>
                <w:highlight w:val="none"/>
                <w:u w:val="single"/>
                <w:lang w:val="en-US" w:eastAsia="zh-CN"/>
              </w:rPr>
              <w:t xml:space="preserve">                 元</w:t>
            </w:r>
          </w:p>
          <w:p>
            <w:pPr>
              <w:pStyle w:val="21"/>
              <w:spacing w:line="460" w:lineRule="atLeast"/>
              <w:rPr>
                <w:rFonts w:hint="default" w:ascii="宋体" w:hAnsi="宋体" w:eastAsia="宋体" w:cs="宋体"/>
                <w:color w:val="auto"/>
                <w:szCs w:val="21"/>
                <w:highlight w:val="none"/>
                <w:lang w:val="en-US" w:eastAsia="zh-CN"/>
              </w:rPr>
            </w:pPr>
            <w:r>
              <w:rPr>
                <w:rFonts w:hint="eastAsia" w:hAnsi="宋体"/>
                <w:color w:val="000000"/>
                <w:sz w:val="22"/>
                <w:highlight w:val="none"/>
              </w:rPr>
              <w:t>小写：</w:t>
            </w:r>
            <w:r>
              <w:rPr>
                <w:rFonts w:hint="eastAsia" w:hAnsi="宋体"/>
                <w:color w:val="000000"/>
                <w:sz w:val="22"/>
                <w:highlight w:val="none"/>
                <w:u w:val="single"/>
                <w:lang w:val="en-US" w:eastAsia="zh-CN"/>
              </w:rPr>
              <w:t xml:space="preserve">                 元</w:t>
            </w:r>
          </w:p>
        </w:tc>
        <w:tc>
          <w:tcPr>
            <w:tcW w:w="1009" w:type="pct"/>
            <w:noWrap w:val="0"/>
            <w:vAlign w:val="center"/>
          </w:tcPr>
          <w:p>
            <w:pPr>
              <w:spacing w:line="240" w:lineRule="auto"/>
              <w:ind w:firstLine="0" w:firstLineChars="0"/>
              <w:jc w:val="center"/>
              <w:rPr>
                <w:rFonts w:hint="eastAsia" w:ascii="宋体" w:hAnsi="宋体" w:eastAsia="宋体" w:cs="宋体"/>
                <w:color w:val="auto"/>
                <w:szCs w:val="21"/>
                <w:highlight w:val="none"/>
              </w:rPr>
            </w:pPr>
          </w:p>
        </w:tc>
        <w:tc>
          <w:tcPr>
            <w:tcW w:w="685" w:type="pct"/>
            <w:noWrap w:val="0"/>
            <w:vAlign w:val="center"/>
          </w:tcPr>
          <w:p>
            <w:pPr>
              <w:spacing w:line="240" w:lineRule="auto"/>
              <w:ind w:firstLine="0" w:firstLineChars="0"/>
              <w:jc w:val="center"/>
              <w:rPr>
                <w:rFonts w:hint="default" w:ascii="宋体" w:hAnsi="宋体" w:eastAsia="宋体" w:cs="宋体"/>
                <w:color w:val="auto"/>
                <w:szCs w:val="21"/>
                <w:highlight w:val="none"/>
                <w:lang w:val="en-US"/>
              </w:rPr>
            </w:pPr>
          </w:p>
        </w:tc>
      </w:tr>
    </w:tbl>
    <w:p>
      <w:pPr>
        <w:spacing w:line="460" w:lineRule="exact"/>
        <w:rPr>
          <w:rFonts w:hint="eastAsia" w:ascii="宋体" w:hAnsi="宋体" w:eastAsia="宋体" w:cs="宋体"/>
          <w:color w:val="auto"/>
          <w:sz w:val="22"/>
          <w:szCs w:val="22"/>
          <w:highlight w:val="none"/>
        </w:rPr>
      </w:pPr>
    </w:p>
    <w:p>
      <w:pPr>
        <w:spacing w:line="380" w:lineRule="exact"/>
        <w:ind w:right="349" w:rightChars="166" w:firstLine="331" w:firstLineChars="150"/>
        <w:rPr>
          <w:rFonts w:hint="eastAsia" w:ascii="宋体" w:hAnsi="宋体" w:eastAsia="宋体" w:cs="宋体"/>
          <w:b/>
          <w:color w:val="auto"/>
          <w:sz w:val="22"/>
          <w:highlight w:val="none"/>
        </w:rPr>
      </w:pPr>
    </w:p>
    <w:p>
      <w:pPr>
        <w:spacing w:line="380" w:lineRule="exact"/>
        <w:ind w:left="532" w:leftChars="-66" w:hanging="671" w:hangingChars="304"/>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p>
    <w:p>
      <w:pPr>
        <w:rPr>
          <w:rFonts w:ascii="宋体" w:hAnsi="宋体" w:cs="Arial"/>
          <w:b/>
          <w:bCs w:val="0"/>
          <w:color w:val="auto"/>
          <w:szCs w:val="21"/>
          <w:highlight w:val="none"/>
          <w:u w:val="single"/>
        </w:rPr>
      </w:pPr>
      <w:r>
        <w:rPr>
          <w:rFonts w:hint="eastAsia" w:ascii="宋体" w:hAnsi="宋体"/>
          <w:b/>
          <w:bCs w:val="0"/>
          <w:color w:val="auto"/>
          <w:szCs w:val="21"/>
          <w:highlight w:val="none"/>
        </w:rPr>
        <w:t>1</w:t>
      </w:r>
      <w:r>
        <w:rPr>
          <w:rFonts w:ascii="宋体" w:hAnsi="宋体"/>
          <w:b/>
          <w:bCs w:val="0"/>
          <w:color w:val="auto"/>
          <w:szCs w:val="21"/>
          <w:highlight w:val="none"/>
        </w:rPr>
        <w:t>.</w:t>
      </w:r>
      <w:r>
        <w:rPr>
          <w:rFonts w:hint="eastAsia" w:ascii="宋体" w:hAnsi="宋体" w:eastAsia="宋体" w:cs="宋体"/>
          <w:b/>
          <w:bCs/>
          <w:color w:val="auto"/>
          <w:sz w:val="22"/>
          <w:szCs w:val="22"/>
          <w:highlight w:val="none"/>
          <w:u w:val="single"/>
          <w:lang w:eastAsia="zh-CN"/>
        </w:rPr>
        <w:t>▲此表不得自行增减内容，不提供此表格将被视为没有实质性响应招标文件。</w:t>
      </w:r>
    </w:p>
    <w:p>
      <w:pPr>
        <w:rPr>
          <w:rFonts w:hint="default" w:ascii="宋体" w:hAnsi="宋体" w:eastAsia="宋体" w:cs="宋体"/>
          <w:b/>
          <w:bCs/>
          <w:color w:val="auto"/>
          <w:sz w:val="22"/>
          <w:szCs w:val="22"/>
          <w:highlight w:val="none"/>
          <w:u w:val="single"/>
          <w:lang w:val="en-US" w:eastAsia="zh-CN"/>
        </w:rPr>
      </w:pPr>
      <w:r>
        <w:rPr>
          <w:rFonts w:hint="eastAsia" w:ascii="宋体" w:hAnsi="宋体" w:cs="Arial"/>
          <w:b/>
          <w:bCs w:val="0"/>
          <w:color w:val="auto"/>
          <w:szCs w:val="21"/>
          <w:highlight w:val="none"/>
        </w:rPr>
        <w:t>2</w:t>
      </w:r>
      <w:r>
        <w:rPr>
          <w:rFonts w:ascii="宋体" w:hAnsi="宋体" w:cs="Arial"/>
          <w:b/>
          <w:bCs w:val="0"/>
          <w:color w:val="auto"/>
          <w:szCs w:val="21"/>
          <w:highlight w:val="none"/>
        </w:rPr>
        <w:t>.</w:t>
      </w:r>
      <w:r>
        <w:rPr>
          <w:rFonts w:hint="eastAsia" w:ascii="宋体" w:hAnsi="宋体" w:eastAsia="宋体" w:cs="宋体"/>
          <w:b/>
          <w:bCs/>
          <w:color w:val="auto"/>
          <w:sz w:val="22"/>
          <w:szCs w:val="22"/>
          <w:highlight w:val="none"/>
          <w:u w:val="single"/>
          <w:lang w:eastAsia="zh-CN"/>
        </w:rPr>
        <w:t>▲如投标报价高于</w:t>
      </w:r>
      <w:r>
        <w:rPr>
          <w:rFonts w:hint="eastAsia" w:ascii="宋体" w:hAnsi="宋体" w:eastAsia="宋体" w:cs="宋体"/>
          <w:b/>
          <w:bCs/>
          <w:color w:val="auto"/>
          <w:sz w:val="22"/>
          <w:szCs w:val="22"/>
          <w:highlight w:val="none"/>
          <w:u w:val="single"/>
          <w:lang w:val="en-US" w:eastAsia="zh-CN"/>
        </w:rPr>
        <w:t>采购</w:t>
      </w:r>
      <w:r>
        <w:rPr>
          <w:rFonts w:hint="eastAsia" w:ascii="宋体" w:hAnsi="宋体" w:eastAsia="宋体" w:cs="宋体"/>
          <w:b/>
          <w:bCs/>
          <w:color w:val="auto"/>
          <w:sz w:val="22"/>
          <w:szCs w:val="22"/>
          <w:highlight w:val="none"/>
          <w:u w:val="single"/>
          <w:lang w:eastAsia="zh-CN"/>
        </w:rPr>
        <w:t>最高限价</w:t>
      </w:r>
      <w:r>
        <w:rPr>
          <w:rFonts w:hint="eastAsia" w:ascii="宋体" w:hAnsi="宋体" w:eastAsia="宋体" w:cs="宋体"/>
          <w:b/>
          <w:bCs/>
          <w:color w:val="auto"/>
          <w:sz w:val="22"/>
          <w:szCs w:val="22"/>
          <w:highlight w:val="none"/>
          <w:u w:val="single"/>
          <w:lang w:val="en-US" w:eastAsia="zh-CN"/>
        </w:rPr>
        <w:t>1400</w:t>
      </w:r>
      <w:r>
        <w:rPr>
          <w:rFonts w:hint="eastAsia" w:ascii="宋体" w:hAnsi="宋体" w:eastAsia="宋体" w:cs="宋体"/>
          <w:b/>
          <w:bCs/>
          <w:color w:val="auto"/>
          <w:sz w:val="22"/>
          <w:szCs w:val="22"/>
          <w:highlight w:val="none"/>
          <w:u w:val="single"/>
          <w:lang w:eastAsia="zh-CN"/>
        </w:rPr>
        <w:t>000元，按无效标处理。</w:t>
      </w:r>
    </w:p>
    <w:p>
      <w:pPr>
        <w:spacing w:line="380" w:lineRule="exact"/>
        <w:rPr>
          <w:rFonts w:hint="default" w:eastAsia="宋体"/>
          <w:color w:val="auto"/>
          <w:highlight w:val="none"/>
          <w:lang w:val="en-US" w:eastAsia="zh-CN"/>
        </w:rPr>
      </w:pPr>
      <w:r>
        <w:rPr>
          <w:rFonts w:hint="eastAsia" w:ascii="宋体" w:hAnsi="宋体" w:eastAsia="宋体" w:cs="Times New Roman"/>
          <w:b/>
          <w:bCs w:val="0"/>
          <w:color w:val="auto"/>
          <w:szCs w:val="21"/>
          <w:highlight w:val="none"/>
          <w:u w:val="single"/>
        </w:rPr>
        <w:t>3</w:t>
      </w:r>
      <w:r>
        <w:rPr>
          <w:rFonts w:hint="eastAsia" w:ascii="宋体" w:hAnsi="宋体" w:eastAsia="宋体" w:cs="Times New Roman"/>
          <w:b/>
          <w:color w:val="auto"/>
          <w:sz w:val="21"/>
          <w:szCs w:val="20"/>
          <w:highlight w:val="none"/>
          <w:u w:val="single"/>
          <w:lang w:val="en-US" w:eastAsia="zh-CN"/>
        </w:rPr>
        <w:t>.</w:t>
      </w:r>
      <w:r>
        <w:rPr>
          <w:rFonts w:hint="eastAsia" w:ascii="宋体" w:hAnsi="宋体" w:eastAsia="宋体" w:cs="Times New Roman"/>
          <w:b/>
          <w:color w:val="auto"/>
          <w:sz w:val="21"/>
          <w:szCs w:val="20"/>
          <w:highlight w:val="none"/>
          <w:u w:val="single"/>
        </w:rPr>
        <w:t>▲报价一览表中报价</w:t>
      </w:r>
      <w:r>
        <w:rPr>
          <w:rFonts w:hint="eastAsia" w:ascii="宋体" w:hAnsi="宋体" w:eastAsia="宋体" w:cs="宋体"/>
          <w:b/>
          <w:bCs/>
          <w:color w:val="auto"/>
          <w:sz w:val="22"/>
          <w:szCs w:val="22"/>
          <w:highlight w:val="none"/>
          <w:u w:val="single"/>
        </w:rPr>
        <w:t>是投标供应商为符合采购文件要求的所有</w:t>
      </w:r>
      <w:r>
        <w:rPr>
          <w:rFonts w:hint="eastAsia" w:ascii="宋体" w:hAnsi="宋体" w:eastAsia="宋体" w:cs="宋体"/>
          <w:b/>
          <w:bCs/>
          <w:color w:val="auto"/>
          <w:sz w:val="22"/>
          <w:szCs w:val="22"/>
          <w:highlight w:val="none"/>
          <w:u w:val="single"/>
          <w:lang w:val="en-US" w:eastAsia="zh-CN"/>
        </w:rPr>
        <w:t>相</w:t>
      </w:r>
      <w:r>
        <w:rPr>
          <w:rFonts w:hint="eastAsia" w:ascii="宋体" w:hAnsi="宋体" w:eastAsia="宋体" w:cs="宋体"/>
          <w:b/>
          <w:bCs/>
          <w:color w:val="auto"/>
          <w:sz w:val="22"/>
          <w:szCs w:val="22"/>
          <w:highlight w:val="none"/>
          <w:u w:val="single"/>
        </w:rPr>
        <w:t>关费用</w:t>
      </w:r>
      <w:r>
        <w:rPr>
          <w:rFonts w:hint="eastAsia" w:ascii="宋体" w:hAnsi="宋体" w:eastAsia="宋体" w:cs="宋体"/>
          <w:b/>
          <w:bCs/>
          <w:color w:val="auto"/>
          <w:sz w:val="22"/>
          <w:szCs w:val="22"/>
          <w:highlight w:val="none"/>
          <w:u w:val="single"/>
          <w:lang w:eastAsia="zh-CN"/>
        </w:rPr>
        <w:t>，</w:t>
      </w:r>
      <w:r>
        <w:rPr>
          <w:rFonts w:hint="eastAsia" w:ascii="宋体" w:hAnsi="宋体" w:eastAsia="宋体" w:cs="宋体"/>
          <w:b/>
          <w:bCs/>
          <w:color w:val="auto"/>
          <w:sz w:val="22"/>
          <w:szCs w:val="22"/>
          <w:highlight w:val="none"/>
          <w:u w:val="single"/>
          <w:lang w:val="en-US" w:eastAsia="zh-CN"/>
        </w:rPr>
        <w:t>包括完成</w:t>
      </w:r>
      <w:r>
        <w:rPr>
          <w:rFonts w:hint="eastAsia" w:ascii="宋体" w:hAnsi="宋体" w:eastAsia="宋体" w:cs="宋体"/>
          <w:b/>
          <w:bCs/>
          <w:color w:val="auto"/>
          <w:sz w:val="22"/>
          <w:szCs w:val="22"/>
          <w:highlight w:val="none"/>
          <w:u w:val="single"/>
        </w:rPr>
        <w:t>本项目服务</w:t>
      </w:r>
      <w:r>
        <w:rPr>
          <w:rFonts w:hint="eastAsia" w:ascii="宋体" w:hAnsi="宋体" w:eastAsia="宋体" w:cs="宋体"/>
          <w:b/>
          <w:bCs/>
          <w:color w:val="auto"/>
          <w:sz w:val="22"/>
          <w:szCs w:val="22"/>
          <w:highlight w:val="none"/>
          <w:u w:val="single"/>
          <w:lang w:val="en-US" w:eastAsia="zh-CN"/>
        </w:rPr>
        <w:t>各项内容可能发生的全部费用及乙方的利润和应交纳的税金等</w:t>
      </w:r>
      <w:r>
        <w:rPr>
          <w:rFonts w:hint="eastAsia" w:ascii="宋体" w:hAnsi="宋体" w:eastAsia="宋体" w:cs="宋体"/>
          <w:b/>
          <w:bCs/>
          <w:color w:val="auto"/>
          <w:sz w:val="22"/>
          <w:szCs w:val="22"/>
          <w:highlight w:val="none"/>
          <w:u w:val="single"/>
        </w:rPr>
        <w:t>（包括</w:t>
      </w:r>
      <w:r>
        <w:rPr>
          <w:rFonts w:hint="eastAsia" w:ascii="宋体" w:hAnsi="宋体" w:eastAsia="宋体" w:cs="宋体"/>
          <w:b/>
          <w:bCs/>
          <w:color w:val="auto"/>
          <w:sz w:val="22"/>
          <w:szCs w:val="22"/>
          <w:highlight w:val="none"/>
          <w:u w:val="single"/>
          <w:lang w:val="en-US" w:eastAsia="zh-CN"/>
        </w:rPr>
        <w:t>街道</w:t>
      </w:r>
      <w:r>
        <w:rPr>
          <w:rFonts w:hint="eastAsia" w:ascii="宋体" w:hAnsi="宋体" w:eastAsia="宋体" w:cs="宋体"/>
          <w:b/>
          <w:bCs/>
          <w:color w:val="auto"/>
          <w:sz w:val="22"/>
          <w:szCs w:val="22"/>
          <w:highlight w:val="none"/>
          <w:u w:val="single"/>
          <w:lang w:eastAsia="zh-CN"/>
        </w:rPr>
        <w:t>食堂的每日用餐所需的食品及原材料的</w:t>
      </w:r>
      <w:r>
        <w:rPr>
          <w:rFonts w:hint="eastAsia" w:ascii="宋体" w:hAnsi="宋体" w:eastAsia="宋体" w:cs="宋体"/>
          <w:b/>
          <w:bCs/>
          <w:color w:val="auto"/>
          <w:sz w:val="22"/>
          <w:szCs w:val="22"/>
          <w:highlight w:val="none"/>
          <w:u w:val="single"/>
          <w:lang w:val="en-US" w:eastAsia="zh-CN"/>
        </w:rPr>
        <w:t>采购、</w:t>
      </w:r>
      <w:r>
        <w:rPr>
          <w:rFonts w:hint="eastAsia" w:ascii="宋体" w:hAnsi="宋体" w:eastAsia="宋体" w:cs="宋体"/>
          <w:b/>
          <w:bCs/>
          <w:color w:val="auto"/>
          <w:sz w:val="22"/>
          <w:szCs w:val="22"/>
          <w:highlight w:val="none"/>
          <w:u w:val="single"/>
          <w:lang w:eastAsia="zh-CN"/>
        </w:rPr>
        <w:t>验收、管理、食品存储、食品加工、配售、食堂内保洁服务、餐具卫生消毒及采购人要求的其他相关服务内容等所有食堂所需的服务工作，</w:t>
      </w:r>
      <w:r>
        <w:rPr>
          <w:rFonts w:hint="eastAsia" w:ascii="宋体" w:hAnsi="宋体" w:eastAsia="宋体" w:cs="宋体"/>
          <w:b/>
          <w:bCs/>
          <w:color w:val="auto"/>
          <w:sz w:val="22"/>
          <w:szCs w:val="22"/>
          <w:highlight w:val="none"/>
          <w:u w:val="single"/>
        </w:rPr>
        <w:t>人员工资、《劳动合同法》规定的各种社会保险费、培训费、人员福利、人员食宿费、</w:t>
      </w:r>
      <w:r>
        <w:rPr>
          <w:rFonts w:hint="eastAsia" w:ascii="宋体" w:hAnsi="宋体" w:eastAsia="宋体" w:cs="宋体"/>
          <w:b/>
          <w:bCs/>
          <w:color w:val="auto"/>
          <w:sz w:val="22"/>
          <w:szCs w:val="22"/>
          <w:highlight w:val="none"/>
          <w:u w:val="single"/>
          <w:lang w:eastAsia="zh-CN"/>
        </w:rPr>
        <w:t>节假日加班费、体检费、交通、运输费、</w:t>
      </w:r>
      <w:r>
        <w:rPr>
          <w:rFonts w:hint="eastAsia" w:ascii="宋体" w:hAnsi="宋体" w:eastAsia="宋体" w:cs="宋体"/>
          <w:b/>
          <w:bCs/>
          <w:color w:val="auto"/>
          <w:sz w:val="22"/>
          <w:szCs w:val="22"/>
          <w:highlight w:val="none"/>
          <w:u w:val="single"/>
        </w:rPr>
        <w:t>服装费、管理费、采购代理服务费、食堂清洗、排油烟管道清洗、税金、利润等完成合同所需的一切本身和不可或缺的所有工作开支、政策性文件规定计合同包含的所有风险、责任等各项全部费用并承担一切风险责任）凡未列入的将被认为均已包含在投标</w:t>
      </w:r>
      <w:r>
        <w:rPr>
          <w:rFonts w:hint="eastAsia" w:ascii="宋体" w:hAnsi="宋体" w:eastAsia="宋体" w:cs="宋体"/>
          <w:b/>
          <w:bCs/>
          <w:color w:val="auto"/>
          <w:sz w:val="22"/>
          <w:szCs w:val="22"/>
          <w:highlight w:val="none"/>
          <w:u w:val="single"/>
          <w:lang w:val="en-US" w:eastAsia="zh-CN"/>
        </w:rPr>
        <w:t>报价</w:t>
      </w:r>
      <w:r>
        <w:rPr>
          <w:rFonts w:hint="eastAsia" w:ascii="宋体" w:hAnsi="宋体" w:eastAsia="宋体" w:cs="宋体"/>
          <w:b/>
          <w:bCs/>
          <w:color w:val="auto"/>
          <w:sz w:val="22"/>
          <w:szCs w:val="22"/>
          <w:highlight w:val="none"/>
          <w:u w:val="single"/>
        </w:rPr>
        <w:t>中，</w:t>
      </w:r>
      <w:r>
        <w:rPr>
          <w:rFonts w:hint="eastAsia" w:ascii="宋体" w:hAnsi="宋体" w:eastAsia="宋体" w:cs="Times New Roman"/>
          <w:b/>
          <w:color w:val="auto"/>
          <w:sz w:val="22"/>
          <w:szCs w:val="21"/>
          <w:highlight w:val="none"/>
          <w:u w:val="single"/>
        </w:rPr>
        <w:t>今后不得以任何理由追加或调整</w:t>
      </w:r>
      <w:r>
        <w:rPr>
          <w:rFonts w:hint="eastAsia" w:ascii="宋体" w:hAnsi="宋体" w:eastAsia="宋体" w:cs="宋体"/>
          <w:b/>
          <w:bCs/>
          <w:color w:val="auto"/>
          <w:sz w:val="22"/>
          <w:szCs w:val="22"/>
          <w:highlight w:val="none"/>
          <w:u w:val="single"/>
          <w:lang w:val="en-US" w:eastAsia="zh-CN"/>
        </w:rPr>
        <w:t>。</w:t>
      </w:r>
      <w:r>
        <w:rPr>
          <w:rFonts w:hint="eastAsia" w:ascii="宋体" w:hAnsi="宋体" w:eastAsia="宋体" w:cs="宋体"/>
          <w:b/>
          <w:bCs/>
          <w:color w:val="auto"/>
          <w:sz w:val="22"/>
          <w:szCs w:val="22"/>
          <w:highlight w:val="none"/>
          <w:u w:val="single"/>
        </w:rPr>
        <w:t>供应商应根据上述因素自行考虑含入磋商报价。</w:t>
      </w:r>
    </w:p>
    <w:p>
      <w:pPr>
        <w:pStyle w:val="50"/>
        <w:rPr>
          <w:rFonts w:hint="eastAsia" w:ascii="宋体" w:hAnsi="宋体" w:eastAsia="宋体" w:cs="宋体"/>
          <w:color w:val="auto"/>
          <w:highlight w:val="none"/>
        </w:rPr>
      </w:pPr>
    </w:p>
    <w:p>
      <w:pPr>
        <w:spacing w:line="380" w:lineRule="exact"/>
        <w:ind w:firstLine="660" w:firstLineChars="300"/>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供应商全称（盖章）：</w:t>
      </w:r>
    </w:p>
    <w:p>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p>
    <w:p>
      <w:pPr>
        <w:pStyle w:val="3"/>
        <w:spacing w:line="240" w:lineRule="exact"/>
        <w:jc w:val="center"/>
        <w:rPr>
          <w:rFonts w:hint="eastAsia" w:ascii="宋体" w:hAnsi="宋体" w:eastAsia="宋体"/>
          <w:color w:val="auto"/>
          <w:highlight w:val="none"/>
        </w:rPr>
      </w:pPr>
      <w:r>
        <w:rPr>
          <w:rFonts w:hint="eastAsia" w:ascii="宋体" w:hAnsi="宋体" w:eastAsia="宋体" w:cs="宋体"/>
          <w:color w:val="auto"/>
          <w:sz w:val="22"/>
          <w:szCs w:val="22"/>
          <w:highlight w:val="none"/>
        </w:rPr>
        <w:br w:type="page"/>
      </w:r>
      <w:bookmarkStart w:id="268" w:name="_Toc85788865"/>
      <w:bookmarkStart w:id="269" w:name="_Toc12321"/>
      <w:bookmarkStart w:id="270" w:name="_Toc738"/>
      <w:bookmarkStart w:id="271" w:name="_Toc12365"/>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2</w:t>
      </w:r>
      <w:r>
        <w:rPr>
          <w:rFonts w:hint="eastAsia" w:ascii="宋体" w:hAnsi="宋体" w:eastAsia="宋体" w:cs="宋体"/>
          <w:b/>
          <w:color w:val="auto"/>
          <w:sz w:val="22"/>
          <w:szCs w:val="22"/>
          <w:highlight w:val="none"/>
        </w:rPr>
        <w:t>）</w:t>
      </w:r>
      <w:r>
        <w:rPr>
          <w:rFonts w:hint="eastAsia" w:ascii="宋体" w:hAnsi="宋体" w:eastAsia="宋体"/>
          <w:color w:val="auto"/>
          <w:highlight w:val="none"/>
        </w:rPr>
        <w:t>投标明细报价表</w:t>
      </w:r>
      <w:bookmarkEnd w:id="268"/>
      <w:bookmarkEnd w:id="269"/>
      <w:bookmarkEnd w:id="270"/>
      <w:bookmarkEnd w:id="271"/>
    </w:p>
    <w:p>
      <w:pPr>
        <w:spacing w:line="380" w:lineRule="exact"/>
        <w:rPr>
          <w:rFonts w:hint="eastAsia" w:ascii="宋体" w:hAnsi="宋体"/>
          <w:b/>
          <w:color w:val="auto"/>
          <w:sz w:val="22"/>
          <w:highlight w:val="none"/>
        </w:rPr>
      </w:pPr>
      <w:r>
        <w:rPr>
          <w:rFonts w:hint="eastAsia" w:ascii="宋体" w:hAnsi="宋体"/>
          <w:b/>
          <w:color w:val="auto"/>
          <w:sz w:val="22"/>
          <w:highlight w:val="none"/>
        </w:rPr>
        <w:t>项目名称：                                        项目编号：</w:t>
      </w:r>
    </w:p>
    <w:p>
      <w:pPr>
        <w:spacing w:line="380" w:lineRule="exact"/>
        <w:rPr>
          <w:rFonts w:hint="eastAsia" w:ascii="宋体" w:hAnsi="宋体"/>
          <w:color w:val="auto"/>
          <w:szCs w:val="21"/>
          <w:highlight w:val="none"/>
        </w:rPr>
      </w:pPr>
    </w:p>
    <w:tbl>
      <w:tblPr>
        <w:tblStyle w:val="38"/>
        <w:tblW w:w="9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3634"/>
        <w:gridCol w:w="332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trPr>
        <w:tc>
          <w:tcPr>
            <w:tcW w:w="905" w:type="dxa"/>
            <w:noWrap w:val="0"/>
            <w:vAlign w:val="center"/>
          </w:tcPr>
          <w:p>
            <w:pPr>
              <w:spacing w:line="400" w:lineRule="exact"/>
              <w:jc w:val="center"/>
              <w:rPr>
                <w:rFonts w:ascii="新宋体" w:hAnsi="新宋体" w:eastAsia="新宋体"/>
                <w:b/>
                <w:color w:val="000000"/>
                <w:sz w:val="22"/>
                <w:highlight w:val="none"/>
              </w:rPr>
            </w:pPr>
            <w:r>
              <w:rPr>
                <w:rFonts w:ascii="新宋体" w:hAnsi="新宋体" w:eastAsia="新宋体"/>
                <w:b/>
                <w:color w:val="000000"/>
                <w:sz w:val="22"/>
                <w:highlight w:val="none"/>
              </w:rPr>
              <w:t>序号</w:t>
            </w:r>
          </w:p>
        </w:tc>
        <w:tc>
          <w:tcPr>
            <w:tcW w:w="3634" w:type="dxa"/>
            <w:noWrap w:val="0"/>
            <w:vAlign w:val="center"/>
          </w:tcPr>
          <w:p>
            <w:pPr>
              <w:spacing w:line="400" w:lineRule="exact"/>
              <w:jc w:val="center"/>
              <w:rPr>
                <w:rFonts w:ascii="新宋体" w:hAnsi="新宋体" w:eastAsia="新宋体"/>
                <w:b/>
                <w:color w:val="000000"/>
                <w:sz w:val="22"/>
                <w:highlight w:val="none"/>
              </w:rPr>
            </w:pPr>
            <w:r>
              <w:rPr>
                <w:rFonts w:ascii="新宋体" w:hAnsi="新宋体" w:eastAsia="新宋体"/>
                <w:b/>
                <w:color w:val="000000"/>
                <w:sz w:val="22"/>
                <w:highlight w:val="none"/>
              </w:rPr>
              <w:t>项 目 内 容</w:t>
            </w:r>
          </w:p>
        </w:tc>
        <w:tc>
          <w:tcPr>
            <w:tcW w:w="3321" w:type="dxa"/>
            <w:noWrap w:val="0"/>
            <w:vAlign w:val="center"/>
          </w:tcPr>
          <w:p>
            <w:pPr>
              <w:spacing w:line="400" w:lineRule="exact"/>
              <w:jc w:val="center"/>
              <w:rPr>
                <w:rFonts w:hint="eastAsia" w:ascii="新宋体" w:hAnsi="新宋体" w:eastAsia="新宋体"/>
                <w:b/>
                <w:color w:val="000000"/>
                <w:sz w:val="22"/>
                <w:highlight w:val="none"/>
              </w:rPr>
            </w:pPr>
            <w:r>
              <w:rPr>
                <w:rFonts w:hint="eastAsia" w:ascii="新宋体" w:hAnsi="新宋体" w:eastAsia="新宋体"/>
                <w:b/>
                <w:color w:val="000000"/>
                <w:sz w:val="22"/>
                <w:highlight w:val="none"/>
              </w:rPr>
              <w:t>报价（元）</w:t>
            </w:r>
          </w:p>
        </w:tc>
        <w:tc>
          <w:tcPr>
            <w:tcW w:w="1316" w:type="dxa"/>
            <w:noWrap w:val="0"/>
            <w:vAlign w:val="center"/>
          </w:tcPr>
          <w:p>
            <w:pPr>
              <w:spacing w:line="400" w:lineRule="exact"/>
              <w:jc w:val="center"/>
              <w:rPr>
                <w:rFonts w:ascii="新宋体" w:hAnsi="新宋体" w:eastAsia="新宋体"/>
                <w:b/>
                <w:color w:val="000000"/>
                <w:sz w:val="22"/>
                <w:highlight w:val="none"/>
              </w:rPr>
            </w:pPr>
            <w:r>
              <w:rPr>
                <w:rFonts w:ascii="新宋体" w:hAnsi="新宋体" w:eastAsia="新宋体"/>
                <w:b/>
                <w:color w:val="000000"/>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5" w:type="dxa"/>
            <w:noWrap w:val="0"/>
            <w:vAlign w:val="center"/>
          </w:tcPr>
          <w:p>
            <w:pPr>
              <w:spacing w:line="400" w:lineRule="exact"/>
              <w:jc w:val="center"/>
              <w:rPr>
                <w:rFonts w:hint="eastAsia" w:ascii="新宋体" w:hAnsi="新宋体" w:eastAsia="新宋体"/>
                <w:color w:val="000000"/>
                <w:sz w:val="22"/>
                <w:highlight w:val="none"/>
              </w:rPr>
            </w:pPr>
          </w:p>
        </w:tc>
        <w:tc>
          <w:tcPr>
            <w:tcW w:w="3634" w:type="dxa"/>
            <w:noWrap w:val="0"/>
            <w:vAlign w:val="center"/>
          </w:tcPr>
          <w:p>
            <w:pPr>
              <w:spacing w:line="400" w:lineRule="exact"/>
              <w:rPr>
                <w:rFonts w:hint="eastAsia" w:ascii="新宋体" w:hAnsi="新宋体" w:eastAsia="新宋体"/>
                <w:color w:val="000000"/>
                <w:sz w:val="22"/>
                <w:szCs w:val="22"/>
                <w:highlight w:val="none"/>
              </w:rPr>
            </w:pPr>
          </w:p>
        </w:tc>
        <w:tc>
          <w:tcPr>
            <w:tcW w:w="3321" w:type="dxa"/>
            <w:noWrap w:val="0"/>
            <w:vAlign w:val="center"/>
          </w:tcPr>
          <w:p>
            <w:pPr>
              <w:spacing w:line="400" w:lineRule="exact"/>
              <w:jc w:val="center"/>
              <w:rPr>
                <w:rFonts w:hint="eastAsia" w:ascii="新宋体" w:hAnsi="新宋体" w:eastAsia="新宋体"/>
                <w:color w:val="000000"/>
                <w:sz w:val="22"/>
                <w:highlight w:val="none"/>
              </w:rPr>
            </w:pPr>
          </w:p>
        </w:tc>
        <w:tc>
          <w:tcPr>
            <w:tcW w:w="1316" w:type="dxa"/>
            <w:noWrap w:val="0"/>
            <w:vAlign w:val="center"/>
          </w:tcPr>
          <w:p>
            <w:pPr>
              <w:spacing w:line="400" w:lineRule="exact"/>
              <w:jc w:val="center"/>
              <w:rPr>
                <w:rFonts w:hint="eastAsia" w:ascii="新宋体" w:hAnsi="新宋体" w:eastAsia="新宋体"/>
                <w:color w:val="00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5" w:type="dxa"/>
            <w:noWrap w:val="0"/>
            <w:vAlign w:val="center"/>
          </w:tcPr>
          <w:p>
            <w:pPr>
              <w:spacing w:line="400" w:lineRule="exact"/>
              <w:jc w:val="center"/>
              <w:rPr>
                <w:rFonts w:hint="eastAsia" w:ascii="新宋体" w:hAnsi="新宋体" w:eastAsia="新宋体"/>
                <w:color w:val="000000"/>
                <w:sz w:val="22"/>
                <w:highlight w:val="none"/>
              </w:rPr>
            </w:pPr>
          </w:p>
        </w:tc>
        <w:tc>
          <w:tcPr>
            <w:tcW w:w="3634" w:type="dxa"/>
            <w:noWrap w:val="0"/>
            <w:vAlign w:val="center"/>
          </w:tcPr>
          <w:p>
            <w:pPr>
              <w:spacing w:line="400" w:lineRule="exact"/>
              <w:rPr>
                <w:rFonts w:hint="eastAsia" w:ascii="新宋体" w:hAnsi="新宋体" w:eastAsia="新宋体" w:cs="楷体"/>
                <w:color w:val="000000"/>
                <w:sz w:val="22"/>
                <w:szCs w:val="22"/>
                <w:highlight w:val="none"/>
              </w:rPr>
            </w:pPr>
          </w:p>
        </w:tc>
        <w:tc>
          <w:tcPr>
            <w:tcW w:w="3321" w:type="dxa"/>
            <w:noWrap w:val="0"/>
            <w:vAlign w:val="center"/>
          </w:tcPr>
          <w:p>
            <w:pPr>
              <w:spacing w:line="400" w:lineRule="exact"/>
              <w:jc w:val="center"/>
              <w:rPr>
                <w:rFonts w:hint="eastAsia" w:ascii="新宋体" w:hAnsi="新宋体" w:eastAsia="新宋体"/>
                <w:color w:val="000000"/>
                <w:sz w:val="22"/>
                <w:highlight w:val="none"/>
              </w:rPr>
            </w:pPr>
          </w:p>
        </w:tc>
        <w:tc>
          <w:tcPr>
            <w:tcW w:w="1316" w:type="dxa"/>
            <w:noWrap w:val="0"/>
            <w:vAlign w:val="center"/>
          </w:tcPr>
          <w:p>
            <w:pPr>
              <w:spacing w:line="400" w:lineRule="exact"/>
              <w:jc w:val="center"/>
              <w:rPr>
                <w:rFonts w:hint="eastAsia" w:ascii="新宋体" w:hAnsi="新宋体" w:eastAsia="新宋体"/>
                <w:color w:val="00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trPr>
        <w:tc>
          <w:tcPr>
            <w:tcW w:w="905" w:type="dxa"/>
            <w:noWrap w:val="0"/>
            <w:vAlign w:val="center"/>
          </w:tcPr>
          <w:p>
            <w:pPr>
              <w:spacing w:line="400" w:lineRule="exact"/>
              <w:jc w:val="center"/>
              <w:rPr>
                <w:rFonts w:hint="eastAsia" w:ascii="新宋体" w:hAnsi="新宋体" w:eastAsia="新宋体"/>
                <w:color w:val="000000"/>
                <w:sz w:val="22"/>
                <w:highlight w:val="none"/>
              </w:rPr>
            </w:pPr>
          </w:p>
        </w:tc>
        <w:tc>
          <w:tcPr>
            <w:tcW w:w="3634" w:type="dxa"/>
            <w:noWrap w:val="0"/>
            <w:vAlign w:val="center"/>
          </w:tcPr>
          <w:p>
            <w:pPr>
              <w:spacing w:line="400" w:lineRule="exact"/>
              <w:rPr>
                <w:rFonts w:hint="eastAsia" w:ascii="新宋体" w:hAnsi="新宋体" w:eastAsia="新宋体"/>
                <w:color w:val="000000"/>
                <w:sz w:val="22"/>
                <w:highlight w:val="none"/>
              </w:rPr>
            </w:pPr>
          </w:p>
        </w:tc>
        <w:tc>
          <w:tcPr>
            <w:tcW w:w="3321" w:type="dxa"/>
            <w:noWrap w:val="0"/>
            <w:vAlign w:val="center"/>
          </w:tcPr>
          <w:p>
            <w:pPr>
              <w:spacing w:line="400" w:lineRule="exact"/>
              <w:jc w:val="center"/>
              <w:rPr>
                <w:rFonts w:ascii="新宋体" w:hAnsi="新宋体" w:eastAsia="新宋体"/>
                <w:color w:val="000000"/>
                <w:sz w:val="22"/>
                <w:highlight w:val="none"/>
              </w:rPr>
            </w:pPr>
          </w:p>
        </w:tc>
        <w:tc>
          <w:tcPr>
            <w:tcW w:w="1316" w:type="dxa"/>
            <w:noWrap w:val="0"/>
            <w:vAlign w:val="center"/>
          </w:tcPr>
          <w:p>
            <w:pPr>
              <w:spacing w:line="400" w:lineRule="exact"/>
              <w:jc w:val="center"/>
              <w:rPr>
                <w:rFonts w:ascii="新宋体" w:hAnsi="新宋体" w:eastAsia="新宋体"/>
                <w:color w:val="00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trPr>
        <w:tc>
          <w:tcPr>
            <w:tcW w:w="905" w:type="dxa"/>
            <w:noWrap w:val="0"/>
            <w:vAlign w:val="center"/>
          </w:tcPr>
          <w:p>
            <w:pPr>
              <w:spacing w:line="400" w:lineRule="exact"/>
              <w:jc w:val="center"/>
              <w:rPr>
                <w:rFonts w:hint="eastAsia" w:ascii="新宋体" w:hAnsi="新宋体" w:eastAsia="新宋体"/>
                <w:color w:val="000000"/>
                <w:sz w:val="22"/>
                <w:highlight w:val="none"/>
              </w:rPr>
            </w:pPr>
          </w:p>
        </w:tc>
        <w:tc>
          <w:tcPr>
            <w:tcW w:w="3634" w:type="dxa"/>
            <w:noWrap w:val="0"/>
            <w:vAlign w:val="center"/>
          </w:tcPr>
          <w:p>
            <w:pPr>
              <w:spacing w:line="400" w:lineRule="exact"/>
              <w:rPr>
                <w:rFonts w:hint="eastAsia" w:ascii="新宋体" w:hAnsi="新宋体" w:eastAsia="新宋体"/>
                <w:color w:val="000000"/>
                <w:sz w:val="22"/>
                <w:highlight w:val="none"/>
              </w:rPr>
            </w:pPr>
          </w:p>
        </w:tc>
        <w:tc>
          <w:tcPr>
            <w:tcW w:w="3321" w:type="dxa"/>
            <w:noWrap w:val="0"/>
            <w:vAlign w:val="center"/>
          </w:tcPr>
          <w:p>
            <w:pPr>
              <w:spacing w:line="400" w:lineRule="exact"/>
              <w:jc w:val="center"/>
              <w:rPr>
                <w:rFonts w:ascii="新宋体" w:hAnsi="新宋体" w:eastAsia="新宋体"/>
                <w:color w:val="000000"/>
                <w:sz w:val="22"/>
                <w:highlight w:val="none"/>
              </w:rPr>
            </w:pPr>
          </w:p>
        </w:tc>
        <w:tc>
          <w:tcPr>
            <w:tcW w:w="1316" w:type="dxa"/>
            <w:noWrap w:val="0"/>
            <w:vAlign w:val="center"/>
          </w:tcPr>
          <w:p>
            <w:pPr>
              <w:spacing w:line="400" w:lineRule="exact"/>
              <w:jc w:val="center"/>
              <w:rPr>
                <w:rFonts w:ascii="新宋体" w:hAnsi="新宋体" w:eastAsia="新宋体"/>
                <w:color w:val="00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trPr>
        <w:tc>
          <w:tcPr>
            <w:tcW w:w="905" w:type="dxa"/>
            <w:noWrap w:val="0"/>
            <w:vAlign w:val="center"/>
          </w:tcPr>
          <w:p>
            <w:pPr>
              <w:spacing w:line="400" w:lineRule="exact"/>
              <w:jc w:val="center"/>
              <w:rPr>
                <w:rFonts w:hint="eastAsia" w:ascii="新宋体" w:hAnsi="新宋体" w:eastAsia="新宋体"/>
                <w:color w:val="000000"/>
                <w:sz w:val="22"/>
                <w:highlight w:val="none"/>
              </w:rPr>
            </w:pPr>
          </w:p>
        </w:tc>
        <w:tc>
          <w:tcPr>
            <w:tcW w:w="3634" w:type="dxa"/>
            <w:noWrap w:val="0"/>
            <w:vAlign w:val="center"/>
          </w:tcPr>
          <w:p>
            <w:pPr>
              <w:spacing w:line="400" w:lineRule="exact"/>
              <w:rPr>
                <w:rFonts w:hint="eastAsia" w:ascii="新宋体" w:hAnsi="新宋体" w:eastAsia="新宋体"/>
                <w:color w:val="000000"/>
                <w:sz w:val="22"/>
                <w:szCs w:val="22"/>
                <w:highlight w:val="none"/>
              </w:rPr>
            </w:pPr>
          </w:p>
        </w:tc>
        <w:tc>
          <w:tcPr>
            <w:tcW w:w="3321" w:type="dxa"/>
            <w:noWrap w:val="0"/>
            <w:vAlign w:val="center"/>
          </w:tcPr>
          <w:p>
            <w:pPr>
              <w:spacing w:line="400" w:lineRule="exact"/>
              <w:jc w:val="center"/>
              <w:rPr>
                <w:rFonts w:ascii="新宋体" w:hAnsi="新宋体" w:eastAsia="新宋体"/>
                <w:color w:val="000000"/>
                <w:sz w:val="22"/>
                <w:highlight w:val="none"/>
              </w:rPr>
            </w:pPr>
          </w:p>
        </w:tc>
        <w:tc>
          <w:tcPr>
            <w:tcW w:w="1316" w:type="dxa"/>
            <w:noWrap w:val="0"/>
            <w:vAlign w:val="center"/>
          </w:tcPr>
          <w:p>
            <w:pPr>
              <w:spacing w:line="400" w:lineRule="exact"/>
              <w:jc w:val="center"/>
              <w:rPr>
                <w:rFonts w:ascii="新宋体" w:hAnsi="新宋体" w:eastAsia="新宋体"/>
                <w:color w:val="00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trPr>
        <w:tc>
          <w:tcPr>
            <w:tcW w:w="905" w:type="dxa"/>
            <w:noWrap w:val="0"/>
            <w:vAlign w:val="center"/>
          </w:tcPr>
          <w:p>
            <w:pPr>
              <w:spacing w:line="400" w:lineRule="exact"/>
              <w:jc w:val="center"/>
              <w:rPr>
                <w:rFonts w:hint="eastAsia" w:ascii="新宋体" w:hAnsi="新宋体" w:eastAsia="新宋体"/>
                <w:color w:val="000000"/>
                <w:sz w:val="22"/>
                <w:highlight w:val="none"/>
              </w:rPr>
            </w:pPr>
          </w:p>
        </w:tc>
        <w:tc>
          <w:tcPr>
            <w:tcW w:w="3634" w:type="dxa"/>
            <w:noWrap w:val="0"/>
            <w:vAlign w:val="center"/>
          </w:tcPr>
          <w:p>
            <w:pPr>
              <w:spacing w:line="400" w:lineRule="exact"/>
              <w:rPr>
                <w:rFonts w:hint="eastAsia" w:ascii="新宋体" w:hAnsi="新宋体" w:eastAsia="新宋体"/>
                <w:color w:val="000000"/>
                <w:sz w:val="22"/>
                <w:szCs w:val="22"/>
                <w:highlight w:val="none"/>
              </w:rPr>
            </w:pPr>
          </w:p>
        </w:tc>
        <w:tc>
          <w:tcPr>
            <w:tcW w:w="3321" w:type="dxa"/>
            <w:noWrap w:val="0"/>
            <w:vAlign w:val="center"/>
          </w:tcPr>
          <w:p>
            <w:pPr>
              <w:spacing w:line="400" w:lineRule="exact"/>
              <w:jc w:val="center"/>
              <w:rPr>
                <w:rFonts w:ascii="新宋体" w:hAnsi="新宋体" w:eastAsia="新宋体"/>
                <w:color w:val="000000"/>
                <w:sz w:val="22"/>
                <w:highlight w:val="none"/>
              </w:rPr>
            </w:pPr>
          </w:p>
        </w:tc>
        <w:tc>
          <w:tcPr>
            <w:tcW w:w="1316" w:type="dxa"/>
            <w:noWrap w:val="0"/>
            <w:vAlign w:val="center"/>
          </w:tcPr>
          <w:p>
            <w:pPr>
              <w:spacing w:line="400" w:lineRule="exact"/>
              <w:jc w:val="center"/>
              <w:rPr>
                <w:rFonts w:ascii="新宋体" w:hAnsi="新宋体" w:eastAsia="新宋体"/>
                <w:color w:val="00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trPr>
        <w:tc>
          <w:tcPr>
            <w:tcW w:w="905" w:type="dxa"/>
            <w:noWrap w:val="0"/>
            <w:vAlign w:val="center"/>
          </w:tcPr>
          <w:p>
            <w:pPr>
              <w:spacing w:line="400" w:lineRule="exact"/>
              <w:jc w:val="center"/>
              <w:rPr>
                <w:rFonts w:hint="eastAsia" w:ascii="新宋体" w:hAnsi="新宋体" w:eastAsia="新宋体"/>
                <w:color w:val="000000"/>
                <w:sz w:val="22"/>
                <w:highlight w:val="none"/>
              </w:rPr>
            </w:pPr>
          </w:p>
        </w:tc>
        <w:tc>
          <w:tcPr>
            <w:tcW w:w="3634" w:type="dxa"/>
            <w:noWrap w:val="0"/>
            <w:vAlign w:val="center"/>
          </w:tcPr>
          <w:p>
            <w:pPr>
              <w:spacing w:line="400" w:lineRule="exact"/>
              <w:rPr>
                <w:rFonts w:hint="eastAsia" w:ascii="新宋体" w:hAnsi="新宋体" w:eastAsia="新宋体"/>
                <w:color w:val="000000"/>
                <w:sz w:val="22"/>
                <w:szCs w:val="22"/>
                <w:highlight w:val="none"/>
              </w:rPr>
            </w:pPr>
          </w:p>
        </w:tc>
        <w:tc>
          <w:tcPr>
            <w:tcW w:w="3321" w:type="dxa"/>
            <w:noWrap w:val="0"/>
            <w:vAlign w:val="center"/>
          </w:tcPr>
          <w:p>
            <w:pPr>
              <w:spacing w:line="400" w:lineRule="exact"/>
              <w:jc w:val="center"/>
              <w:rPr>
                <w:rFonts w:ascii="新宋体" w:hAnsi="新宋体" w:eastAsia="新宋体"/>
                <w:color w:val="000000"/>
                <w:sz w:val="22"/>
                <w:highlight w:val="none"/>
              </w:rPr>
            </w:pPr>
          </w:p>
        </w:tc>
        <w:tc>
          <w:tcPr>
            <w:tcW w:w="1316" w:type="dxa"/>
            <w:noWrap w:val="0"/>
            <w:vAlign w:val="center"/>
          </w:tcPr>
          <w:p>
            <w:pPr>
              <w:spacing w:line="400" w:lineRule="exact"/>
              <w:jc w:val="center"/>
              <w:rPr>
                <w:rFonts w:ascii="新宋体" w:hAnsi="新宋体" w:eastAsia="新宋体"/>
                <w:color w:val="00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trPr>
        <w:tc>
          <w:tcPr>
            <w:tcW w:w="905" w:type="dxa"/>
            <w:noWrap w:val="0"/>
            <w:vAlign w:val="center"/>
          </w:tcPr>
          <w:p>
            <w:pPr>
              <w:spacing w:line="400" w:lineRule="exact"/>
              <w:jc w:val="center"/>
              <w:rPr>
                <w:rFonts w:ascii="新宋体" w:hAnsi="新宋体" w:eastAsia="新宋体"/>
                <w:color w:val="000000"/>
                <w:sz w:val="22"/>
                <w:highlight w:val="none"/>
              </w:rPr>
            </w:pPr>
          </w:p>
        </w:tc>
        <w:tc>
          <w:tcPr>
            <w:tcW w:w="3634" w:type="dxa"/>
            <w:noWrap w:val="0"/>
            <w:vAlign w:val="center"/>
          </w:tcPr>
          <w:p>
            <w:pPr>
              <w:spacing w:line="400" w:lineRule="exact"/>
              <w:ind w:firstLine="1210" w:firstLineChars="550"/>
              <w:rPr>
                <w:rFonts w:ascii="新宋体" w:hAnsi="新宋体" w:eastAsia="新宋体"/>
                <w:b/>
                <w:color w:val="000000"/>
                <w:sz w:val="22"/>
                <w:highlight w:val="none"/>
              </w:rPr>
            </w:pPr>
            <w:r>
              <w:rPr>
                <w:rFonts w:hint="eastAsia" w:ascii="宋体" w:hAnsi="宋体"/>
                <w:color w:val="000000"/>
                <w:sz w:val="22"/>
                <w:szCs w:val="22"/>
                <w:highlight w:val="none"/>
              </w:rPr>
              <w:t>投标总价</w:t>
            </w:r>
          </w:p>
        </w:tc>
        <w:tc>
          <w:tcPr>
            <w:tcW w:w="3321" w:type="dxa"/>
            <w:noWrap w:val="0"/>
            <w:vAlign w:val="center"/>
          </w:tcPr>
          <w:p>
            <w:pPr>
              <w:spacing w:line="400" w:lineRule="exact"/>
              <w:jc w:val="center"/>
              <w:rPr>
                <w:rFonts w:ascii="新宋体" w:hAnsi="新宋体" w:eastAsia="新宋体"/>
                <w:color w:val="000000"/>
                <w:sz w:val="22"/>
                <w:highlight w:val="none"/>
              </w:rPr>
            </w:pPr>
          </w:p>
        </w:tc>
        <w:tc>
          <w:tcPr>
            <w:tcW w:w="1316" w:type="dxa"/>
            <w:noWrap w:val="0"/>
            <w:vAlign w:val="center"/>
          </w:tcPr>
          <w:p>
            <w:pPr>
              <w:spacing w:line="400" w:lineRule="exact"/>
              <w:jc w:val="center"/>
              <w:rPr>
                <w:rFonts w:ascii="新宋体" w:hAnsi="新宋体" w:eastAsia="新宋体"/>
                <w:color w:val="000000"/>
                <w:sz w:val="22"/>
                <w:highlight w:val="none"/>
              </w:rPr>
            </w:pPr>
          </w:p>
        </w:tc>
      </w:tr>
    </w:tbl>
    <w:p>
      <w:pPr>
        <w:spacing w:line="380" w:lineRule="exact"/>
        <w:rPr>
          <w:rFonts w:hint="eastAsia" w:ascii="宋体" w:hAnsi="宋体"/>
          <w:color w:val="auto"/>
          <w:szCs w:val="21"/>
          <w:highlight w:val="none"/>
        </w:rPr>
      </w:pPr>
    </w:p>
    <w:p>
      <w:pPr>
        <w:spacing w:line="380" w:lineRule="exact"/>
        <w:rPr>
          <w:rFonts w:hint="eastAsia" w:ascii="宋体" w:hAnsi="宋体"/>
          <w:color w:val="auto"/>
          <w:szCs w:val="21"/>
          <w:highlight w:val="none"/>
        </w:rPr>
      </w:pPr>
      <w:r>
        <w:rPr>
          <w:rFonts w:hint="eastAsia" w:ascii="宋体" w:hAnsi="宋体"/>
          <w:color w:val="auto"/>
          <w:szCs w:val="21"/>
          <w:highlight w:val="none"/>
        </w:rPr>
        <w:t>说明：</w:t>
      </w:r>
    </w:p>
    <w:p>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b/>
          <w:bCs/>
          <w:color w:val="auto"/>
          <w:sz w:val="22"/>
          <w:szCs w:val="22"/>
          <w:highlight w:val="none"/>
        </w:rPr>
        <w:t xml:space="preserve"> </w:t>
      </w:r>
      <w:r>
        <w:rPr>
          <w:rFonts w:hint="eastAsia" w:ascii="宋体" w:hAnsi="宋体" w:eastAsia="宋体" w:cs="宋体"/>
          <w:b/>
          <w:bCs/>
          <w:color w:val="auto"/>
          <w:sz w:val="22"/>
          <w:szCs w:val="22"/>
          <w:highlight w:val="none"/>
          <w:u w:val="single"/>
        </w:rPr>
        <w:t>▲不提供投标分项报价将视为没有实质性响应招标文件</w:t>
      </w:r>
      <w:r>
        <w:rPr>
          <w:rFonts w:hint="eastAsia" w:ascii="宋体" w:hAnsi="宋体" w:eastAsia="宋体" w:cs="宋体"/>
          <w:b/>
          <w:bCs/>
          <w:color w:val="auto"/>
          <w:sz w:val="22"/>
          <w:szCs w:val="22"/>
          <w:highlight w:val="none"/>
        </w:rPr>
        <w:t>。</w:t>
      </w:r>
    </w:p>
    <w:p>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none"/>
        </w:rPr>
        <w:t>2</w:t>
      </w:r>
      <w:r>
        <w:rPr>
          <w:rFonts w:hint="eastAsia" w:ascii="宋体" w:hAnsi="宋体" w:eastAsia="宋体" w:cs="宋体"/>
          <w:b/>
          <w:bCs/>
          <w:color w:val="auto"/>
          <w:sz w:val="22"/>
          <w:szCs w:val="22"/>
          <w:highlight w:val="none"/>
          <w:u w:val="none"/>
        </w:rPr>
        <w:t xml:space="preserve">. </w:t>
      </w:r>
      <w:r>
        <w:rPr>
          <w:rFonts w:hint="eastAsia" w:ascii="宋体" w:hAnsi="宋体" w:eastAsia="宋体" w:cs="宋体"/>
          <w:b/>
          <w:bCs/>
          <w:color w:val="auto"/>
          <w:sz w:val="22"/>
          <w:szCs w:val="22"/>
          <w:highlight w:val="none"/>
          <w:u w:val="single"/>
        </w:rPr>
        <w:t>▲此表的投标总价应与附件二“报价一览表”中投标报价相一致。</w:t>
      </w:r>
    </w:p>
    <w:p>
      <w:pPr>
        <w:spacing w:line="380" w:lineRule="exact"/>
        <w:rPr>
          <w:rFonts w:hint="eastAsia" w:ascii="宋体" w:hAnsi="宋体" w:eastAsia="宋体" w:cs="宋体"/>
          <w:bCs/>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w:t>
      </w:r>
      <w:r>
        <w:rPr>
          <w:rFonts w:hint="eastAsia" w:ascii="宋体" w:hAnsi="宋体" w:eastAsia="宋体" w:cs="宋体"/>
          <w:bCs/>
          <w:color w:val="auto"/>
          <w:sz w:val="22"/>
          <w:szCs w:val="22"/>
          <w:highlight w:val="none"/>
        </w:rPr>
        <w:t>此表仅提供了表格形式，应根据需要准备足够数量的表格来填写。</w:t>
      </w:r>
    </w:p>
    <w:p>
      <w:pPr>
        <w:tabs>
          <w:tab w:val="left" w:pos="900"/>
        </w:tabs>
        <w:spacing w:line="320" w:lineRule="exact"/>
        <w:rPr>
          <w:rFonts w:hint="eastAsia" w:ascii="宋体" w:hAnsi="宋体" w:eastAsia="宋体" w:cs="Times New Roman"/>
          <w:color w:val="000000"/>
          <w:sz w:val="22"/>
          <w:szCs w:val="22"/>
          <w:highlight w:val="none"/>
        </w:rPr>
      </w:pPr>
      <w:r>
        <w:rPr>
          <w:rFonts w:hint="eastAsia" w:ascii="宋体" w:hAnsi="宋体"/>
          <w:color w:val="000000"/>
          <w:sz w:val="22"/>
          <w:szCs w:val="22"/>
          <w:highlight w:val="none"/>
          <w:lang w:val="en-US" w:eastAsia="zh-CN"/>
        </w:rPr>
        <w:t>4</w:t>
      </w:r>
      <w:r>
        <w:rPr>
          <w:rFonts w:hint="eastAsia" w:ascii="宋体" w:hAnsi="宋体"/>
          <w:color w:val="000000"/>
          <w:sz w:val="22"/>
          <w:szCs w:val="22"/>
          <w:highlight w:val="none"/>
        </w:rPr>
        <w:t>.</w:t>
      </w:r>
      <w:r>
        <w:rPr>
          <w:rFonts w:hint="eastAsia" w:ascii="宋体" w:hAnsi="宋体" w:eastAsia="宋体" w:cs="Times New Roman"/>
          <w:color w:val="000000"/>
          <w:sz w:val="22"/>
          <w:szCs w:val="22"/>
          <w:highlight w:val="none"/>
        </w:rPr>
        <w:t>如果免费请在该备注栏内注明“免”，如果含在产品价格中则填“含”，如无此项内容则填“无”，不留空白。</w:t>
      </w:r>
    </w:p>
    <w:p>
      <w:pPr>
        <w:spacing w:line="380" w:lineRule="exact"/>
        <w:rPr>
          <w:rFonts w:hint="eastAsia" w:ascii="宋体" w:hAnsi="宋体" w:eastAsia="宋体" w:cs="宋体"/>
          <w:b/>
          <w:bCs w:val="0"/>
          <w:color w:val="auto"/>
          <w:sz w:val="22"/>
          <w:szCs w:val="22"/>
          <w:highlight w:val="none"/>
          <w:u w:val="single"/>
          <w:lang w:val="en-US" w:eastAsia="zh-CN"/>
        </w:rPr>
      </w:pPr>
    </w:p>
    <w:p>
      <w:pPr>
        <w:tabs>
          <w:tab w:val="left" w:pos="900"/>
        </w:tabs>
        <w:spacing w:line="380" w:lineRule="exact"/>
        <w:rPr>
          <w:rFonts w:hint="eastAsia" w:ascii="宋体" w:hAnsi="宋体"/>
          <w:color w:val="auto"/>
          <w:szCs w:val="21"/>
          <w:highlight w:val="none"/>
        </w:rPr>
      </w:pPr>
      <w:r>
        <w:rPr>
          <w:rFonts w:hint="eastAsia" w:ascii="宋体" w:hAnsi="宋体"/>
          <w:color w:val="auto"/>
          <w:szCs w:val="21"/>
          <w:highlight w:val="none"/>
        </w:rPr>
        <w:t xml:space="preserve">                                                     </w:t>
      </w:r>
    </w:p>
    <w:p>
      <w:pPr>
        <w:tabs>
          <w:tab w:val="left" w:pos="900"/>
        </w:tabs>
        <w:spacing w:line="380" w:lineRule="exact"/>
        <w:rPr>
          <w:rFonts w:hint="eastAsia" w:ascii="宋体" w:hAnsi="宋体"/>
          <w:color w:val="auto"/>
          <w:szCs w:val="21"/>
          <w:highlight w:val="none"/>
        </w:rPr>
      </w:pPr>
    </w:p>
    <w:p>
      <w:pPr>
        <w:tabs>
          <w:tab w:val="left" w:pos="900"/>
        </w:tabs>
        <w:spacing w:line="380" w:lineRule="exact"/>
        <w:ind w:firstLine="5250" w:firstLineChars="2500"/>
        <w:rPr>
          <w:rFonts w:hint="eastAsia" w:ascii="宋体" w:hAnsi="宋体"/>
          <w:color w:val="auto"/>
          <w:szCs w:val="21"/>
          <w:highlight w:val="none"/>
        </w:rPr>
      </w:pPr>
      <w:r>
        <w:rPr>
          <w:rFonts w:hint="eastAsia" w:ascii="宋体" w:hAnsi="宋体"/>
          <w:color w:val="auto"/>
          <w:szCs w:val="21"/>
          <w:highlight w:val="none"/>
        </w:rPr>
        <w:t>供应商全称（盖章）：</w:t>
      </w:r>
    </w:p>
    <w:p>
      <w:pPr>
        <w:tabs>
          <w:tab w:val="left" w:pos="900"/>
        </w:tabs>
        <w:spacing w:line="380" w:lineRule="exact"/>
        <w:ind w:firstLine="5250" w:firstLineChars="2500"/>
        <w:rPr>
          <w:rFonts w:hint="eastAsia" w:ascii="宋体" w:hAnsi="宋体"/>
          <w:color w:val="auto"/>
          <w:szCs w:val="21"/>
          <w:highlight w:val="none"/>
        </w:rPr>
      </w:pPr>
      <w:r>
        <w:rPr>
          <w:rFonts w:hint="eastAsia" w:ascii="宋体" w:hAnsi="宋体"/>
          <w:color w:val="auto"/>
          <w:szCs w:val="21"/>
          <w:highlight w:val="none"/>
        </w:rPr>
        <w:t>法定代表人或授权代表</w:t>
      </w:r>
      <w:r>
        <w:rPr>
          <w:rFonts w:hint="eastAsia" w:ascii="宋体" w:hAnsi="宋体" w:cs="Arial"/>
          <w:color w:val="auto"/>
          <w:kern w:val="0"/>
          <w:szCs w:val="21"/>
          <w:highlight w:val="none"/>
        </w:rPr>
        <w:t>（签字或盖章）</w:t>
      </w:r>
      <w:r>
        <w:rPr>
          <w:rFonts w:hint="eastAsia" w:ascii="宋体" w:hAnsi="宋体"/>
          <w:color w:val="auto"/>
          <w:szCs w:val="21"/>
          <w:highlight w:val="none"/>
        </w:rPr>
        <w:t>：</w:t>
      </w:r>
    </w:p>
    <w:p>
      <w:pPr>
        <w:tabs>
          <w:tab w:val="left" w:pos="900"/>
        </w:tabs>
        <w:wordWrap/>
        <w:spacing w:line="380" w:lineRule="exact"/>
        <w:jc w:val="center"/>
        <w:rPr>
          <w:rFonts w:ascii="宋体" w:hAnsi="宋体"/>
          <w:color w:val="auto"/>
          <w:sz w:val="22"/>
          <w:szCs w:val="22"/>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 期：  年  月  日</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pPr>
        <w:pStyle w:val="2"/>
        <w:rPr>
          <w:rFonts w:hint="eastAsia"/>
          <w:color w:val="auto"/>
          <w:highlight w:val="none"/>
        </w:rPr>
      </w:pP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附件三</w:t>
      </w:r>
    </w:p>
    <w:p>
      <w:pPr>
        <w:spacing w:line="460" w:lineRule="exact"/>
        <w:rPr>
          <w:rFonts w:hint="eastAsia" w:ascii="宋体" w:hAnsi="宋体" w:eastAsia="宋体" w:cs="宋体"/>
          <w:b/>
          <w:bCs/>
          <w:color w:val="auto"/>
          <w:highlight w:val="none"/>
        </w:rPr>
      </w:pP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磋商函</w:t>
      </w:r>
    </w:p>
    <w:p>
      <w:pPr>
        <w:spacing w:line="42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温州市瓯海区人民政府茶山街道办事处</w:t>
      </w:r>
      <w:r>
        <w:rPr>
          <w:rFonts w:hint="eastAsia" w:ascii="宋体" w:hAnsi="宋体" w:eastAsia="宋体" w:cs="宋体"/>
          <w:color w:val="auto"/>
          <w:sz w:val="22"/>
          <w:szCs w:val="22"/>
          <w:highlight w:val="none"/>
        </w:rPr>
        <w:t>：</w:t>
      </w:r>
    </w:p>
    <w:p>
      <w:pPr>
        <w:spacing w:line="42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温州中致工程项目管理有限公司</w:t>
      </w:r>
      <w:r>
        <w:rPr>
          <w:rFonts w:hint="eastAsia" w:ascii="宋体" w:hAnsi="宋体" w:eastAsia="宋体" w:cs="宋体"/>
          <w:color w:val="auto"/>
          <w:sz w:val="22"/>
          <w:szCs w:val="22"/>
          <w:highlight w:val="none"/>
        </w:rPr>
        <w:t>：</w:t>
      </w:r>
    </w:p>
    <w:p>
      <w:pPr>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根据贵方为项目（采购编号：）的磋商邀请，我方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（供应商名称）作为供应商正式授权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（授权代表全名，职务）代表我方处理有关本磋商的一切事宜。</w:t>
      </w:r>
    </w:p>
    <w:p>
      <w:pPr>
        <w:pStyle w:val="8"/>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rPr>
        <w:t>在此提交的磋商响应文件中，包括如下内</w:t>
      </w:r>
      <w:r>
        <w:rPr>
          <w:rFonts w:hint="eastAsia" w:ascii="宋体" w:hAnsi="宋体" w:eastAsia="宋体" w:cs="宋体"/>
          <w:color w:val="auto"/>
          <w:sz w:val="22"/>
          <w:highlight w:val="none"/>
        </w:rPr>
        <w:t>容：</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1、按“供应商须知”要求编制的磋商响应文件资格文件；</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2、按“供应商须知”要求编制的磋商响应文件商务技术文件；</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3、按“供应商须知”要求编制的磋商响应文件报价文件；</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我方己完全明白磋商文件的所有条款要求，并重申以下几点：</w:t>
      </w:r>
    </w:p>
    <w:p>
      <w:pPr>
        <w:pStyle w:val="182"/>
        <w:numPr>
          <w:ilvl w:val="1"/>
          <w:numId w:val="42"/>
        </w:numPr>
        <w:spacing w:line="360" w:lineRule="exact"/>
        <w:ind w:left="567" w:hanging="283"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本磋商响应文件的有效期自磋商截止日起  90 天内有效，如中标，有效期将延至合同终止日为止；</w:t>
      </w:r>
    </w:p>
    <w:p>
      <w:pPr>
        <w:pStyle w:val="182"/>
        <w:numPr>
          <w:ilvl w:val="1"/>
          <w:numId w:val="42"/>
        </w:numPr>
        <w:spacing w:line="360" w:lineRule="exact"/>
        <w:ind w:left="567" w:hanging="283"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我方已详细研究了磋商文件的所有内容包括修改书（如有）和所有已提供的参考资料以及有关附件，我方完全理解并同意放弃在此方面提出含糊意见或误解的一切权力；</w:t>
      </w:r>
    </w:p>
    <w:p>
      <w:pPr>
        <w:pStyle w:val="182"/>
        <w:numPr>
          <w:ilvl w:val="1"/>
          <w:numId w:val="42"/>
        </w:numPr>
        <w:spacing w:line="360" w:lineRule="exact"/>
        <w:ind w:left="567" w:hanging="283"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我方郑重承诺所提供的“信用中国网站”、“中国政府采购网”信用查询证明文件真实有效；</w:t>
      </w:r>
    </w:p>
    <w:p>
      <w:pPr>
        <w:pStyle w:val="182"/>
        <w:numPr>
          <w:ilvl w:val="1"/>
          <w:numId w:val="42"/>
        </w:numPr>
        <w:spacing w:line="360" w:lineRule="exact"/>
        <w:ind w:left="567" w:hanging="283"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我方在参加本项目前三年内</w:t>
      </w:r>
      <w:r>
        <w:rPr>
          <w:rFonts w:hint="eastAsia" w:ascii="宋体" w:hAnsi="宋体" w:eastAsia="宋体" w:cs="宋体"/>
          <w:color w:val="auto"/>
          <w:sz w:val="22"/>
          <w:highlight w:val="none"/>
          <w:u w:val="single"/>
        </w:rPr>
        <w:t>（被通报或者处罚的违法行为有：               ）</w:t>
      </w:r>
      <w:r>
        <w:rPr>
          <w:rFonts w:hint="eastAsia" w:ascii="宋体" w:hAnsi="宋体" w:eastAsia="宋体" w:cs="宋体"/>
          <w:color w:val="auto"/>
          <w:sz w:val="22"/>
          <w:highlight w:val="none"/>
        </w:rPr>
        <w:t>或（</w:t>
      </w:r>
      <w:r>
        <w:rPr>
          <w:rFonts w:hint="eastAsia" w:ascii="宋体" w:hAnsi="宋体" w:eastAsia="宋体" w:cs="宋体"/>
          <w:color w:val="auto"/>
          <w:sz w:val="22"/>
          <w:highlight w:val="none"/>
          <w:u w:val="single"/>
        </w:rPr>
        <w:t>没有因违法经营受到刑事处罚或者责令停产停业、吊销许可证或者执照、较大数额罚款等行政处罚或处罚）</w:t>
      </w:r>
      <w:r>
        <w:rPr>
          <w:rFonts w:hint="eastAsia" w:ascii="宋体" w:hAnsi="宋体" w:eastAsia="宋体" w:cs="宋体"/>
          <w:color w:val="auto"/>
          <w:sz w:val="22"/>
          <w:highlight w:val="none"/>
        </w:rPr>
        <w:t>或</w:t>
      </w:r>
      <w:r>
        <w:rPr>
          <w:rFonts w:hint="eastAsia" w:ascii="宋体" w:hAnsi="宋体" w:eastAsia="宋体" w:cs="宋体"/>
          <w:color w:val="auto"/>
          <w:sz w:val="22"/>
          <w:highlight w:val="none"/>
          <w:u w:val="single"/>
        </w:rPr>
        <w:t>（在  至  期间禁止参加政府采购活动但是期限届满，须附相关证明文件）</w:t>
      </w:r>
      <w:r>
        <w:rPr>
          <w:rFonts w:hint="eastAsia" w:ascii="宋体" w:hAnsi="宋体" w:eastAsia="宋体" w:cs="宋体"/>
          <w:color w:val="auto"/>
          <w:sz w:val="22"/>
          <w:highlight w:val="none"/>
        </w:rPr>
        <w:t>；</w:t>
      </w:r>
    </w:p>
    <w:p>
      <w:pPr>
        <w:pStyle w:val="182"/>
        <w:numPr>
          <w:ilvl w:val="1"/>
          <w:numId w:val="42"/>
        </w:numPr>
        <w:spacing w:line="360" w:lineRule="exact"/>
        <w:ind w:left="567" w:hanging="283"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我方同意提供按照贵方可能要求的与磋商有关的一切数据或资料；</w:t>
      </w:r>
    </w:p>
    <w:p>
      <w:pPr>
        <w:pStyle w:val="182"/>
        <w:numPr>
          <w:ilvl w:val="1"/>
          <w:numId w:val="42"/>
        </w:numPr>
        <w:spacing w:line="360" w:lineRule="exact"/>
        <w:ind w:left="567" w:hanging="283"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我方理解贵方不一定接受最低报价。</w:t>
      </w:r>
      <w:r>
        <w:rPr>
          <w:rFonts w:hint="eastAsia" w:ascii="宋体" w:hAnsi="宋体" w:eastAsia="宋体" w:cs="宋体"/>
          <w:color w:val="auto"/>
          <w:sz w:val="22"/>
          <w:highlight w:val="none"/>
        </w:rPr>
        <w:tab/>
      </w:r>
    </w:p>
    <w:p>
      <w:pPr>
        <w:pStyle w:val="182"/>
        <w:numPr>
          <w:ilvl w:val="1"/>
          <w:numId w:val="42"/>
        </w:numPr>
        <w:spacing w:line="360" w:lineRule="exact"/>
        <w:ind w:left="567" w:hanging="283"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我方如果中标，将保证履行磋商文件以及磋商文件修改书（如有）中的全部责任和义务，按质、按量、按期完成《合同书》中的全部任务。</w:t>
      </w:r>
    </w:p>
    <w:p>
      <w:pPr>
        <w:pStyle w:val="182"/>
        <w:numPr>
          <w:ilvl w:val="1"/>
          <w:numId w:val="42"/>
        </w:numPr>
        <w:spacing w:line="360" w:lineRule="exact"/>
        <w:ind w:left="567" w:hanging="283"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所有与本磋商有关的函件请发往下列地址：</w:t>
      </w:r>
    </w:p>
    <w:p>
      <w:pPr>
        <w:spacing w:line="360" w:lineRule="exact"/>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地址</w:t>
      </w:r>
    </w:p>
    <w:p>
      <w:pPr>
        <w:spacing w:line="360" w:lineRule="exact"/>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电话</w:t>
      </w:r>
    </w:p>
    <w:p>
      <w:pPr>
        <w:spacing w:line="360" w:lineRule="exact"/>
        <w:ind w:firstLine="435"/>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 xml:space="preserve">   传真</w:t>
      </w:r>
    </w:p>
    <w:p>
      <w:pPr>
        <w:spacing w:line="360" w:lineRule="exact"/>
        <w:ind w:firstLine="770" w:firstLineChars="35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电子邮件</w:t>
      </w:r>
    </w:p>
    <w:p>
      <w:pPr>
        <w:spacing w:line="420" w:lineRule="exact"/>
        <w:ind w:firstLine="435"/>
        <w:rPr>
          <w:rFonts w:hint="eastAsia" w:ascii="宋体" w:hAnsi="宋体" w:eastAsia="宋体" w:cs="宋体"/>
          <w:color w:val="auto"/>
          <w:sz w:val="22"/>
          <w:szCs w:val="22"/>
          <w:highlight w:val="none"/>
        </w:rPr>
      </w:pPr>
    </w:p>
    <w:p>
      <w:pPr>
        <w:spacing w:line="420" w:lineRule="exact"/>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供应商名称（盖章）</w:t>
      </w:r>
    </w:p>
    <w:p>
      <w:pPr>
        <w:spacing w:line="420" w:lineRule="exact"/>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供应商代表（签字或盖章）</w:t>
      </w:r>
    </w:p>
    <w:p>
      <w:pPr>
        <w:spacing w:line="460" w:lineRule="exact"/>
        <w:ind w:firstLine="435"/>
        <w:rPr>
          <w:rFonts w:hint="eastAsia" w:ascii="宋体" w:hAnsi="宋体" w:eastAsia="宋体" w:cs="宋体"/>
          <w:color w:val="auto"/>
          <w:sz w:val="22"/>
          <w:szCs w:val="22"/>
          <w:highlight w:val="none"/>
          <w:u w:val="single"/>
        </w:rPr>
        <w:sectPr>
          <w:pgSz w:w="11906" w:h="16838"/>
          <w:pgMar w:top="1134" w:right="1134" w:bottom="1134" w:left="1134" w:header="851" w:footer="851" w:gutter="0"/>
          <w:pgNumType w:fmt="decimal"/>
          <w:cols w:space="720" w:num="1"/>
          <w:titlePg/>
          <w:docGrid w:linePitch="312" w:charSpace="0"/>
        </w:sectPr>
      </w:pPr>
      <w:r>
        <w:rPr>
          <w:rFonts w:hint="eastAsia" w:ascii="宋体" w:hAnsi="宋体" w:eastAsia="宋体" w:cs="宋体"/>
          <w:color w:val="auto"/>
          <w:sz w:val="22"/>
          <w:szCs w:val="22"/>
          <w:highlight w:val="none"/>
        </w:rPr>
        <w:t xml:space="preserve">                                   日    期</w:t>
      </w:r>
    </w:p>
    <w:p>
      <w:pPr>
        <w:spacing w:line="460" w:lineRule="exact"/>
        <w:rPr>
          <w:rFonts w:hint="eastAsia" w:ascii="宋体" w:hAnsi="宋体" w:eastAsia="宋体" w:cs="宋体"/>
          <w:color w:val="auto"/>
          <w:highlight w:val="none"/>
        </w:rPr>
      </w:pPr>
      <w:r>
        <w:rPr>
          <w:rFonts w:hint="eastAsia" w:ascii="宋体" w:hAnsi="宋体" w:eastAsia="宋体" w:cs="宋体"/>
          <w:b/>
          <w:bCs/>
          <w:color w:val="auto"/>
          <w:sz w:val="22"/>
          <w:szCs w:val="22"/>
          <w:highlight w:val="none"/>
        </w:rPr>
        <w:t>附件四</w:t>
      </w:r>
    </w:p>
    <w:p>
      <w:pPr>
        <w:spacing w:line="460" w:lineRule="exact"/>
        <w:ind w:firstLine="437"/>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技术规格、商务条款偏离表</w:t>
      </w:r>
    </w:p>
    <w:p>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供应商名称：                                          采购编号：</w:t>
      </w:r>
    </w:p>
    <w:tbl>
      <w:tblPr>
        <w:tblStyle w:val="3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43" w:type="dxa"/>
          </w:tcPr>
          <w:p>
            <w:pPr>
              <w:spacing w:line="380" w:lineRule="exact"/>
              <w:jc w:val="center"/>
              <w:rPr>
                <w:rFonts w:hint="eastAsia" w:ascii="宋体" w:hAnsi="宋体" w:eastAsia="宋体" w:cs="宋体"/>
                <w:color w:val="auto"/>
                <w:sz w:val="22"/>
                <w:szCs w:val="22"/>
                <w:highlight w:val="none"/>
              </w:rPr>
            </w:pPr>
          </w:p>
        </w:tc>
        <w:tc>
          <w:tcPr>
            <w:tcW w:w="1364" w:type="dxa"/>
            <w:vAlign w:val="center"/>
          </w:tcPr>
          <w:p>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2097" w:type="dxa"/>
            <w:vAlign w:val="center"/>
          </w:tcPr>
          <w:p>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磋商文件</w:t>
            </w:r>
          </w:p>
          <w:p>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条目号</w:t>
            </w:r>
          </w:p>
        </w:tc>
        <w:tc>
          <w:tcPr>
            <w:tcW w:w="1992" w:type="dxa"/>
            <w:vAlign w:val="center"/>
          </w:tcPr>
          <w:p>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磋商文件</w:t>
            </w:r>
          </w:p>
          <w:p>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规范要求</w:t>
            </w:r>
          </w:p>
        </w:tc>
        <w:tc>
          <w:tcPr>
            <w:tcW w:w="1866" w:type="dxa"/>
            <w:vAlign w:val="center"/>
          </w:tcPr>
          <w:p>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磋商响应文件</w:t>
            </w:r>
          </w:p>
          <w:p>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对应规范</w:t>
            </w:r>
          </w:p>
        </w:tc>
        <w:tc>
          <w:tcPr>
            <w:tcW w:w="1592" w:type="dxa"/>
            <w:vAlign w:val="center"/>
          </w:tcPr>
          <w:p>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43" w:type="dxa"/>
            <w:vMerge w:val="restart"/>
            <w:vAlign w:val="center"/>
          </w:tcPr>
          <w:p>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w:t>
            </w:r>
          </w:p>
          <w:p>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术</w:t>
            </w:r>
          </w:p>
          <w:p>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w:t>
            </w:r>
          </w:p>
          <w:p>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格</w:t>
            </w:r>
          </w:p>
        </w:tc>
        <w:tc>
          <w:tcPr>
            <w:tcW w:w="1364" w:type="dxa"/>
            <w:vAlign w:val="center"/>
          </w:tcPr>
          <w:p>
            <w:pPr>
              <w:spacing w:line="380" w:lineRule="exact"/>
              <w:jc w:val="center"/>
              <w:rPr>
                <w:rFonts w:hint="eastAsia" w:ascii="宋体" w:hAnsi="宋体" w:eastAsia="宋体" w:cs="宋体"/>
                <w:color w:val="auto"/>
                <w:sz w:val="22"/>
                <w:szCs w:val="22"/>
                <w:highlight w:val="none"/>
              </w:rPr>
            </w:pPr>
          </w:p>
        </w:tc>
        <w:tc>
          <w:tcPr>
            <w:tcW w:w="2097" w:type="dxa"/>
            <w:vAlign w:val="center"/>
          </w:tcPr>
          <w:p>
            <w:pPr>
              <w:spacing w:line="380" w:lineRule="exact"/>
              <w:jc w:val="center"/>
              <w:rPr>
                <w:rFonts w:hint="eastAsia" w:ascii="宋体" w:hAnsi="宋体" w:eastAsia="宋体" w:cs="宋体"/>
                <w:color w:val="auto"/>
                <w:sz w:val="22"/>
                <w:szCs w:val="22"/>
                <w:highlight w:val="none"/>
              </w:rPr>
            </w:pPr>
          </w:p>
        </w:tc>
        <w:tc>
          <w:tcPr>
            <w:tcW w:w="1992" w:type="dxa"/>
            <w:vAlign w:val="center"/>
          </w:tcPr>
          <w:p>
            <w:pPr>
              <w:spacing w:line="380" w:lineRule="exact"/>
              <w:jc w:val="center"/>
              <w:rPr>
                <w:rFonts w:hint="eastAsia" w:ascii="宋体" w:hAnsi="宋体" w:eastAsia="宋体" w:cs="宋体"/>
                <w:color w:val="auto"/>
                <w:sz w:val="22"/>
                <w:szCs w:val="22"/>
                <w:highlight w:val="none"/>
              </w:rPr>
            </w:pPr>
          </w:p>
        </w:tc>
        <w:tc>
          <w:tcPr>
            <w:tcW w:w="1866" w:type="dxa"/>
            <w:vAlign w:val="center"/>
          </w:tcPr>
          <w:p>
            <w:pPr>
              <w:spacing w:line="380" w:lineRule="exact"/>
              <w:jc w:val="center"/>
              <w:rPr>
                <w:rFonts w:hint="eastAsia" w:ascii="宋体" w:hAnsi="宋体" w:eastAsia="宋体" w:cs="宋体"/>
                <w:color w:val="auto"/>
                <w:sz w:val="22"/>
                <w:szCs w:val="22"/>
                <w:highlight w:val="none"/>
              </w:rPr>
            </w:pPr>
          </w:p>
        </w:tc>
        <w:tc>
          <w:tcPr>
            <w:tcW w:w="1592" w:type="dxa"/>
            <w:vAlign w:val="center"/>
          </w:tcPr>
          <w:p>
            <w:pPr>
              <w:spacing w:line="3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ind w:firstLine="220" w:firstLineChars="100"/>
              <w:rPr>
                <w:rFonts w:hint="eastAsia" w:ascii="宋体" w:hAnsi="宋体" w:eastAsia="宋体" w:cs="宋体"/>
                <w:color w:val="auto"/>
                <w:sz w:val="22"/>
                <w:szCs w:val="22"/>
                <w:highlight w:val="none"/>
              </w:rPr>
            </w:pPr>
          </w:p>
        </w:tc>
        <w:tc>
          <w:tcPr>
            <w:tcW w:w="1364" w:type="dxa"/>
            <w:vAlign w:val="center"/>
          </w:tcPr>
          <w:p>
            <w:pPr>
              <w:spacing w:line="380" w:lineRule="exact"/>
              <w:jc w:val="center"/>
              <w:rPr>
                <w:rFonts w:hint="eastAsia" w:ascii="宋体" w:hAnsi="宋体" w:eastAsia="宋体" w:cs="宋体"/>
                <w:color w:val="auto"/>
                <w:sz w:val="22"/>
                <w:szCs w:val="22"/>
                <w:highlight w:val="none"/>
              </w:rPr>
            </w:pPr>
          </w:p>
        </w:tc>
        <w:tc>
          <w:tcPr>
            <w:tcW w:w="2097" w:type="dxa"/>
            <w:vAlign w:val="center"/>
          </w:tcPr>
          <w:p>
            <w:pPr>
              <w:spacing w:line="380" w:lineRule="exact"/>
              <w:jc w:val="center"/>
              <w:rPr>
                <w:rFonts w:hint="eastAsia" w:ascii="宋体" w:hAnsi="宋体" w:eastAsia="宋体" w:cs="宋体"/>
                <w:color w:val="auto"/>
                <w:sz w:val="22"/>
                <w:szCs w:val="22"/>
                <w:highlight w:val="none"/>
              </w:rPr>
            </w:pPr>
          </w:p>
        </w:tc>
        <w:tc>
          <w:tcPr>
            <w:tcW w:w="1992" w:type="dxa"/>
            <w:vAlign w:val="center"/>
          </w:tcPr>
          <w:p>
            <w:pPr>
              <w:spacing w:line="380" w:lineRule="exact"/>
              <w:jc w:val="center"/>
              <w:rPr>
                <w:rFonts w:hint="eastAsia" w:ascii="宋体" w:hAnsi="宋体" w:eastAsia="宋体" w:cs="宋体"/>
                <w:color w:val="auto"/>
                <w:sz w:val="22"/>
                <w:szCs w:val="22"/>
                <w:highlight w:val="none"/>
              </w:rPr>
            </w:pPr>
          </w:p>
        </w:tc>
        <w:tc>
          <w:tcPr>
            <w:tcW w:w="1866" w:type="dxa"/>
            <w:vAlign w:val="center"/>
          </w:tcPr>
          <w:p>
            <w:pPr>
              <w:spacing w:line="380" w:lineRule="exact"/>
              <w:jc w:val="center"/>
              <w:rPr>
                <w:rFonts w:hint="eastAsia" w:ascii="宋体" w:hAnsi="宋体" w:eastAsia="宋体" w:cs="宋体"/>
                <w:color w:val="auto"/>
                <w:sz w:val="22"/>
                <w:szCs w:val="22"/>
                <w:highlight w:val="none"/>
              </w:rPr>
            </w:pPr>
          </w:p>
        </w:tc>
        <w:tc>
          <w:tcPr>
            <w:tcW w:w="1592" w:type="dxa"/>
            <w:vAlign w:val="center"/>
          </w:tcPr>
          <w:p>
            <w:pPr>
              <w:spacing w:line="3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hint="eastAsia" w:ascii="宋体" w:hAnsi="宋体" w:eastAsia="宋体" w:cs="宋体"/>
                <w:color w:val="auto"/>
                <w:sz w:val="22"/>
                <w:szCs w:val="22"/>
                <w:highlight w:val="none"/>
              </w:rPr>
            </w:pPr>
          </w:p>
        </w:tc>
        <w:tc>
          <w:tcPr>
            <w:tcW w:w="1364" w:type="dxa"/>
            <w:vAlign w:val="center"/>
          </w:tcPr>
          <w:p>
            <w:pPr>
              <w:spacing w:line="380" w:lineRule="exact"/>
              <w:jc w:val="center"/>
              <w:rPr>
                <w:rFonts w:hint="eastAsia" w:ascii="宋体" w:hAnsi="宋体" w:eastAsia="宋体" w:cs="宋体"/>
                <w:color w:val="auto"/>
                <w:sz w:val="22"/>
                <w:szCs w:val="22"/>
                <w:highlight w:val="none"/>
              </w:rPr>
            </w:pPr>
          </w:p>
        </w:tc>
        <w:tc>
          <w:tcPr>
            <w:tcW w:w="2097" w:type="dxa"/>
            <w:vAlign w:val="center"/>
          </w:tcPr>
          <w:p>
            <w:pPr>
              <w:spacing w:line="380" w:lineRule="exact"/>
              <w:jc w:val="center"/>
              <w:rPr>
                <w:rFonts w:hint="eastAsia" w:ascii="宋体" w:hAnsi="宋体" w:eastAsia="宋体" w:cs="宋体"/>
                <w:color w:val="auto"/>
                <w:sz w:val="22"/>
                <w:szCs w:val="22"/>
                <w:highlight w:val="none"/>
              </w:rPr>
            </w:pPr>
          </w:p>
        </w:tc>
        <w:tc>
          <w:tcPr>
            <w:tcW w:w="1992" w:type="dxa"/>
            <w:vAlign w:val="center"/>
          </w:tcPr>
          <w:p>
            <w:pPr>
              <w:spacing w:line="380" w:lineRule="exact"/>
              <w:jc w:val="center"/>
              <w:rPr>
                <w:rFonts w:hint="eastAsia" w:ascii="宋体" w:hAnsi="宋体" w:eastAsia="宋体" w:cs="宋体"/>
                <w:color w:val="auto"/>
                <w:sz w:val="22"/>
                <w:szCs w:val="22"/>
                <w:highlight w:val="none"/>
              </w:rPr>
            </w:pPr>
          </w:p>
        </w:tc>
        <w:tc>
          <w:tcPr>
            <w:tcW w:w="1866" w:type="dxa"/>
            <w:vAlign w:val="center"/>
          </w:tcPr>
          <w:p>
            <w:pPr>
              <w:spacing w:line="380" w:lineRule="exact"/>
              <w:jc w:val="center"/>
              <w:rPr>
                <w:rFonts w:hint="eastAsia" w:ascii="宋体" w:hAnsi="宋体" w:eastAsia="宋体" w:cs="宋体"/>
                <w:color w:val="auto"/>
                <w:sz w:val="22"/>
                <w:szCs w:val="22"/>
                <w:highlight w:val="none"/>
              </w:rPr>
            </w:pPr>
          </w:p>
        </w:tc>
        <w:tc>
          <w:tcPr>
            <w:tcW w:w="1592" w:type="dxa"/>
            <w:vAlign w:val="center"/>
          </w:tcPr>
          <w:p>
            <w:pPr>
              <w:spacing w:line="3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hint="eastAsia" w:ascii="宋体" w:hAnsi="宋体" w:eastAsia="宋体" w:cs="宋体"/>
                <w:color w:val="auto"/>
                <w:sz w:val="22"/>
                <w:szCs w:val="22"/>
                <w:highlight w:val="none"/>
              </w:rPr>
            </w:pPr>
          </w:p>
        </w:tc>
        <w:tc>
          <w:tcPr>
            <w:tcW w:w="1364" w:type="dxa"/>
            <w:vAlign w:val="center"/>
          </w:tcPr>
          <w:p>
            <w:pPr>
              <w:spacing w:line="380" w:lineRule="exact"/>
              <w:jc w:val="center"/>
              <w:rPr>
                <w:rFonts w:hint="eastAsia" w:ascii="宋体" w:hAnsi="宋体" w:eastAsia="宋体" w:cs="宋体"/>
                <w:color w:val="auto"/>
                <w:sz w:val="22"/>
                <w:szCs w:val="22"/>
                <w:highlight w:val="none"/>
              </w:rPr>
            </w:pPr>
          </w:p>
        </w:tc>
        <w:tc>
          <w:tcPr>
            <w:tcW w:w="2097" w:type="dxa"/>
            <w:vAlign w:val="center"/>
          </w:tcPr>
          <w:p>
            <w:pPr>
              <w:spacing w:line="380" w:lineRule="exact"/>
              <w:jc w:val="center"/>
              <w:rPr>
                <w:rFonts w:hint="eastAsia" w:ascii="宋体" w:hAnsi="宋体" w:eastAsia="宋体" w:cs="宋体"/>
                <w:color w:val="auto"/>
                <w:sz w:val="22"/>
                <w:szCs w:val="22"/>
                <w:highlight w:val="none"/>
              </w:rPr>
            </w:pPr>
          </w:p>
        </w:tc>
        <w:tc>
          <w:tcPr>
            <w:tcW w:w="1992" w:type="dxa"/>
            <w:vAlign w:val="center"/>
          </w:tcPr>
          <w:p>
            <w:pPr>
              <w:spacing w:line="380" w:lineRule="exact"/>
              <w:jc w:val="center"/>
              <w:rPr>
                <w:rFonts w:hint="eastAsia" w:ascii="宋体" w:hAnsi="宋体" w:eastAsia="宋体" w:cs="宋体"/>
                <w:color w:val="auto"/>
                <w:sz w:val="22"/>
                <w:szCs w:val="22"/>
                <w:highlight w:val="none"/>
              </w:rPr>
            </w:pPr>
          </w:p>
        </w:tc>
        <w:tc>
          <w:tcPr>
            <w:tcW w:w="1866" w:type="dxa"/>
            <w:vAlign w:val="center"/>
          </w:tcPr>
          <w:p>
            <w:pPr>
              <w:spacing w:line="380" w:lineRule="exact"/>
              <w:jc w:val="center"/>
              <w:rPr>
                <w:rFonts w:hint="eastAsia" w:ascii="宋体" w:hAnsi="宋体" w:eastAsia="宋体" w:cs="宋体"/>
                <w:color w:val="auto"/>
                <w:sz w:val="22"/>
                <w:szCs w:val="22"/>
                <w:highlight w:val="none"/>
              </w:rPr>
            </w:pPr>
          </w:p>
        </w:tc>
        <w:tc>
          <w:tcPr>
            <w:tcW w:w="1592" w:type="dxa"/>
            <w:vAlign w:val="center"/>
          </w:tcPr>
          <w:p>
            <w:pPr>
              <w:spacing w:line="3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hint="eastAsia" w:ascii="宋体" w:hAnsi="宋体" w:eastAsia="宋体" w:cs="宋体"/>
                <w:color w:val="auto"/>
                <w:sz w:val="22"/>
                <w:szCs w:val="22"/>
                <w:highlight w:val="none"/>
              </w:rPr>
            </w:pPr>
          </w:p>
        </w:tc>
        <w:tc>
          <w:tcPr>
            <w:tcW w:w="1364" w:type="dxa"/>
            <w:vAlign w:val="center"/>
          </w:tcPr>
          <w:p>
            <w:pPr>
              <w:spacing w:line="380" w:lineRule="exact"/>
              <w:jc w:val="center"/>
              <w:rPr>
                <w:rFonts w:hint="eastAsia" w:ascii="宋体" w:hAnsi="宋体" w:eastAsia="宋体" w:cs="宋体"/>
                <w:color w:val="auto"/>
                <w:sz w:val="22"/>
                <w:szCs w:val="22"/>
                <w:highlight w:val="none"/>
              </w:rPr>
            </w:pPr>
          </w:p>
        </w:tc>
        <w:tc>
          <w:tcPr>
            <w:tcW w:w="2097" w:type="dxa"/>
            <w:vAlign w:val="center"/>
          </w:tcPr>
          <w:p>
            <w:pPr>
              <w:spacing w:line="380" w:lineRule="exact"/>
              <w:jc w:val="center"/>
              <w:rPr>
                <w:rFonts w:hint="eastAsia" w:ascii="宋体" w:hAnsi="宋体" w:eastAsia="宋体" w:cs="宋体"/>
                <w:color w:val="auto"/>
                <w:sz w:val="22"/>
                <w:szCs w:val="22"/>
                <w:highlight w:val="none"/>
              </w:rPr>
            </w:pPr>
          </w:p>
        </w:tc>
        <w:tc>
          <w:tcPr>
            <w:tcW w:w="1992" w:type="dxa"/>
            <w:vAlign w:val="center"/>
          </w:tcPr>
          <w:p>
            <w:pPr>
              <w:spacing w:line="380" w:lineRule="exact"/>
              <w:jc w:val="center"/>
              <w:rPr>
                <w:rFonts w:hint="eastAsia" w:ascii="宋体" w:hAnsi="宋体" w:eastAsia="宋体" w:cs="宋体"/>
                <w:color w:val="auto"/>
                <w:sz w:val="22"/>
                <w:szCs w:val="22"/>
                <w:highlight w:val="none"/>
              </w:rPr>
            </w:pPr>
          </w:p>
        </w:tc>
        <w:tc>
          <w:tcPr>
            <w:tcW w:w="1866" w:type="dxa"/>
            <w:vAlign w:val="center"/>
          </w:tcPr>
          <w:p>
            <w:pPr>
              <w:spacing w:line="380" w:lineRule="exact"/>
              <w:jc w:val="center"/>
              <w:rPr>
                <w:rFonts w:hint="eastAsia" w:ascii="宋体" w:hAnsi="宋体" w:eastAsia="宋体" w:cs="宋体"/>
                <w:color w:val="auto"/>
                <w:sz w:val="22"/>
                <w:szCs w:val="22"/>
                <w:highlight w:val="none"/>
              </w:rPr>
            </w:pPr>
          </w:p>
        </w:tc>
        <w:tc>
          <w:tcPr>
            <w:tcW w:w="1592" w:type="dxa"/>
            <w:vAlign w:val="center"/>
          </w:tcPr>
          <w:p>
            <w:pPr>
              <w:spacing w:line="3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3" w:type="dxa"/>
            <w:vMerge w:val="restart"/>
            <w:vAlign w:val="center"/>
          </w:tcPr>
          <w:p>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w:t>
            </w:r>
          </w:p>
          <w:p>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务</w:t>
            </w:r>
          </w:p>
          <w:p>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w:t>
            </w:r>
          </w:p>
          <w:p>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款</w:t>
            </w:r>
          </w:p>
        </w:tc>
        <w:tc>
          <w:tcPr>
            <w:tcW w:w="1364" w:type="dxa"/>
            <w:vAlign w:val="center"/>
          </w:tcPr>
          <w:p>
            <w:pPr>
              <w:spacing w:line="380" w:lineRule="exact"/>
              <w:jc w:val="center"/>
              <w:rPr>
                <w:rFonts w:hint="eastAsia" w:ascii="宋体" w:hAnsi="宋体" w:eastAsia="宋体" w:cs="宋体"/>
                <w:color w:val="auto"/>
                <w:sz w:val="22"/>
                <w:szCs w:val="22"/>
                <w:highlight w:val="none"/>
              </w:rPr>
            </w:pPr>
          </w:p>
        </w:tc>
        <w:tc>
          <w:tcPr>
            <w:tcW w:w="2097" w:type="dxa"/>
            <w:vAlign w:val="center"/>
          </w:tcPr>
          <w:p>
            <w:pPr>
              <w:spacing w:line="380" w:lineRule="exact"/>
              <w:jc w:val="center"/>
              <w:rPr>
                <w:rFonts w:hint="eastAsia" w:ascii="宋体" w:hAnsi="宋体" w:eastAsia="宋体" w:cs="宋体"/>
                <w:color w:val="auto"/>
                <w:sz w:val="22"/>
                <w:szCs w:val="22"/>
                <w:highlight w:val="none"/>
              </w:rPr>
            </w:pPr>
          </w:p>
        </w:tc>
        <w:tc>
          <w:tcPr>
            <w:tcW w:w="1992" w:type="dxa"/>
            <w:vAlign w:val="center"/>
          </w:tcPr>
          <w:p>
            <w:pPr>
              <w:spacing w:line="380" w:lineRule="exact"/>
              <w:jc w:val="center"/>
              <w:rPr>
                <w:rFonts w:hint="eastAsia" w:ascii="宋体" w:hAnsi="宋体" w:eastAsia="宋体" w:cs="宋体"/>
                <w:color w:val="auto"/>
                <w:sz w:val="22"/>
                <w:szCs w:val="22"/>
                <w:highlight w:val="none"/>
              </w:rPr>
            </w:pPr>
          </w:p>
        </w:tc>
        <w:tc>
          <w:tcPr>
            <w:tcW w:w="1866" w:type="dxa"/>
            <w:vAlign w:val="center"/>
          </w:tcPr>
          <w:p>
            <w:pPr>
              <w:spacing w:line="380" w:lineRule="exact"/>
              <w:jc w:val="center"/>
              <w:rPr>
                <w:rFonts w:hint="eastAsia" w:ascii="宋体" w:hAnsi="宋体" w:eastAsia="宋体" w:cs="宋体"/>
                <w:color w:val="auto"/>
                <w:sz w:val="22"/>
                <w:szCs w:val="22"/>
                <w:highlight w:val="none"/>
              </w:rPr>
            </w:pPr>
          </w:p>
        </w:tc>
        <w:tc>
          <w:tcPr>
            <w:tcW w:w="1592" w:type="dxa"/>
            <w:vAlign w:val="center"/>
          </w:tcPr>
          <w:p>
            <w:pPr>
              <w:spacing w:line="3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hint="eastAsia" w:ascii="宋体" w:hAnsi="宋体" w:eastAsia="宋体" w:cs="宋体"/>
                <w:color w:val="auto"/>
                <w:sz w:val="22"/>
                <w:szCs w:val="22"/>
                <w:highlight w:val="none"/>
              </w:rPr>
            </w:pPr>
          </w:p>
        </w:tc>
        <w:tc>
          <w:tcPr>
            <w:tcW w:w="1364" w:type="dxa"/>
            <w:vAlign w:val="center"/>
          </w:tcPr>
          <w:p>
            <w:pPr>
              <w:spacing w:line="380" w:lineRule="exact"/>
              <w:jc w:val="center"/>
              <w:rPr>
                <w:rFonts w:hint="eastAsia" w:ascii="宋体" w:hAnsi="宋体" w:eastAsia="宋体" w:cs="宋体"/>
                <w:color w:val="auto"/>
                <w:sz w:val="22"/>
                <w:szCs w:val="22"/>
                <w:highlight w:val="none"/>
              </w:rPr>
            </w:pPr>
          </w:p>
        </w:tc>
        <w:tc>
          <w:tcPr>
            <w:tcW w:w="2097" w:type="dxa"/>
            <w:vAlign w:val="center"/>
          </w:tcPr>
          <w:p>
            <w:pPr>
              <w:spacing w:line="380" w:lineRule="exact"/>
              <w:jc w:val="center"/>
              <w:rPr>
                <w:rFonts w:hint="eastAsia" w:ascii="宋体" w:hAnsi="宋体" w:eastAsia="宋体" w:cs="宋体"/>
                <w:color w:val="auto"/>
                <w:sz w:val="22"/>
                <w:szCs w:val="22"/>
                <w:highlight w:val="none"/>
              </w:rPr>
            </w:pPr>
          </w:p>
        </w:tc>
        <w:tc>
          <w:tcPr>
            <w:tcW w:w="1992" w:type="dxa"/>
            <w:vAlign w:val="center"/>
          </w:tcPr>
          <w:p>
            <w:pPr>
              <w:spacing w:line="380" w:lineRule="exact"/>
              <w:jc w:val="center"/>
              <w:rPr>
                <w:rFonts w:hint="eastAsia" w:ascii="宋体" w:hAnsi="宋体" w:eastAsia="宋体" w:cs="宋体"/>
                <w:color w:val="auto"/>
                <w:sz w:val="22"/>
                <w:szCs w:val="22"/>
                <w:highlight w:val="none"/>
              </w:rPr>
            </w:pPr>
          </w:p>
        </w:tc>
        <w:tc>
          <w:tcPr>
            <w:tcW w:w="1866" w:type="dxa"/>
            <w:vAlign w:val="center"/>
          </w:tcPr>
          <w:p>
            <w:pPr>
              <w:spacing w:line="380" w:lineRule="exact"/>
              <w:jc w:val="center"/>
              <w:rPr>
                <w:rFonts w:hint="eastAsia" w:ascii="宋体" w:hAnsi="宋体" w:eastAsia="宋体" w:cs="宋体"/>
                <w:color w:val="auto"/>
                <w:sz w:val="22"/>
                <w:szCs w:val="22"/>
                <w:highlight w:val="none"/>
              </w:rPr>
            </w:pPr>
          </w:p>
        </w:tc>
        <w:tc>
          <w:tcPr>
            <w:tcW w:w="1592" w:type="dxa"/>
            <w:vAlign w:val="center"/>
          </w:tcPr>
          <w:p>
            <w:pPr>
              <w:spacing w:line="3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hint="eastAsia" w:ascii="宋体" w:hAnsi="宋体" w:eastAsia="宋体" w:cs="宋体"/>
                <w:color w:val="auto"/>
                <w:sz w:val="22"/>
                <w:szCs w:val="22"/>
                <w:highlight w:val="none"/>
              </w:rPr>
            </w:pPr>
          </w:p>
        </w:tc>
        <w:tc>
          <w:tcPr>
            <w:tcW w:w="1364" w:type="dxa"/>
            <w:vAlign w:val="center"/>
          </w:tcPr>
          <w:p>
            <w:pPr>
              <w:spacing w:line="380" w:lineRule="exact"/>
              <w:jc w:val="center"/>
              <w:rPr>
                <w:rFonts w:hint="eastAsia" w:ascii="宋体" w:hAnsi="宋体" w:eastAsia="宋体" w:cs="宋体"/>
                <w:color w:val="auto"/>
                <w:sz w:val="22"/>
                <w:szCs w:val="22"/>
                <w:highlight w:val="none"/>
              </w:rPr>
            </w:pPr>
          </w:p>
        </w:tc>
        <w:tc>
          <w:tcPr>
            <w:tcW w:w="2097" w:type="dxa"/>
            <w:vAlign w:val="center"/>
          </w:tcPr>
          <w:p>
            <w:pPr>
              <w:spacing w:line="380" w:lineRule="exact"/>
              <w:jc w:val="center"/>
              <w:rPr>
                <w:rFonts w:hint="eastAsia" w:ascii="宋体" w:hAnsi="宋体" w:eastAsia="宋体" w:cs="宋体"/>
                <w:color w:val="auto"/>
                <w:sz w:val="22"/>
                <w:szCs w:val="22"/>
                <w:highlight w:val="none"/>
              </w:rPr>
            </w:pPr>
          </w:p>
        </w:tc>
        <w:tc>
          <w:tcPr>
            <w:tcW w:w="1992" w:type="dxa"/>
            <w:vAlign w:val="center"/>
          </w:tcPr>
          <w:p>
            <w:pPr>
              <w:spacing w:line="380" w:lineRule="exact"/>
              <w:jc w:val="center"/>
              <w:rPr>
                <w:rFonts w:hint="eastAsia" w:ascii="宋体" w:hAnsi="宋体" w:eastAsia="宋体" w:cs="宋体"/>
                <w:color w:val="auto"/>
                <w:sz w:val="22"/>
                <w:szCs w:val="22"/>
                <w:highlight w:val="none"/>
              </w:rPr>
            </w:pPr>
          </w:p>
        </w:tc>
        <w:tc>
          <w:tcPr>
            <w:tcW w:w="1866" w:type="dxa"/>
            <w:vAlign w:val="center"/>
          </w:tcPr>
          <w:p>
            <w:pPr>
              <w:spacing w:line="380" w:lineRule="exact"/>
              <w:jc w:val="center"/>
              <w:rPr>
                <w:rFonts w:hint="eastAsia" w:ascii="宋体" w:hAnsi="宋体" w:eastAsia="宋体" w:cs="宋体"/>
                <w:color w:val="auto"/>
                <w:sz w:val="22"/>
                <w:szCs w:val="22"/>
                <w:highlight w:val="none"/>
              </w:rPr>
            </w:pPr>
          </w:p>
        </w:tc>
        <w:tc>
          <w:tcPr>
            <w:tcW w:w="1592" w:type="dxa"/>
            <w:vAlign w:val="center"/>
          </w:tcPr>
          <w:p>
            <w:pPr>
              <w:spacing w:line="3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hint="eastAsia" w:ascii="宋体" w:hAnsi="宋体" w:eastAsia="宋体" w:cs="宋体"/>
                <w:color w:val="auto"/>
                <w:sz w:val="22"/>
                <w:szCs w:val="22"/>
                <w:highlight w:val="none"/>
              </w:rPr>
            </w:pPr>
          </w:p>
        </w:tc>
        <w:tc>
          <w:tcPr>
            <w:tcW w:w="1364" w:type="dxa"/>
            <w:vAlign w:val="center"/>
          </w:tcPr>
          <w:p>
            <w:pPr>
              <w:spacing w:line="380" w:lineRule="exact"/>
              <w:jc w:val="center"/>
              <w:rPr>
                <w:rFonts w:hint="eastAsia" w:ascii="宋体" w:hAnsi="宋体" w:eastAsia="宋体" w:cs="宋体"/>
                <w:color w:val="auto"/>
                <w:sz w:val="22"/>
                <w:szCs w:val="22"/>
                <w:highlight w:val="none"/>
              </w:rPr>
            </w:pPr>
          </w:p>
        </w:tc>
        <w:tc>
          <w:tcPr>
            <w:tcW w:w="2097" w:type="dxa"/>
            <w:vAlign w:val="center"/>
          </w:tcPr>
          <w:p>
            <w:pPr>
              <w:spacing w:line="380" w:lineRule="exact"/>
              <w:jc w:val="center"/>
              <w:rPr>
                <w:rFonts w:hint="eastAsia" w:ascii="宋体" w:hAnsi="宋体" w:eastAsia="宋体" w:cs="宋体"/>
                <w:color w:val="auto"/>
                <w:sz w:val="22"/>
                <w:szCs w:val="22"/>
                <w:highlight w:val="none"/>
              </w:rPr>
            </w:pPr>
          </w:p>
        </w:tc>
        <w:tc>
          <w:tcPr>
            <w:tcW w:w="1992" w:type="dxa"/>
            <w:vAlign w:val="center"/>
          </w:tcPr>
          <w:p>
            <w:pPr>
              <w:spacing w:line="380" w:lineRule="exact"/>
              <w:jc w:val="center"/>
              <w:rPr>
                <w:rFonts w:hint="eastAsia" w:ascii="宋体" w:hAnsi="宋体" w:eastAsia="宋体" w:cs="宋体"/>
                <w:color w:val="auto"/>
                <w:sz w:val="22"/>
                <w:szCs w:val="22"/>
                <w:highlight w:val="none"/>
              </w:rPr>
            </w:pPr>
          </w:p>
        </w:tc>
        <w:tc>
          <w:tcPr>
            <w:tcW w:w="1866" w:type="dxa"/>
            <w:vAlign w:val="center"/>
          </w:tcPr>
          <w:p>
            <w:pPr>
              <w:spacing w:line="380" w:lineRule="exact"/>
              <w:jc w:val="center"/>
              <w:rPr>
                <w:rFonts w:hint="eastAsia" w:ascii="宋体" w:hAnsi="宋体" w:eastAsia="宋体" w:cs="宋体"/>
                <w:color w:val="auto"/>
                <w:sz w:val="22"/>
                <w:szCs w:val="22"/>
                <w:highlight w:val="none"/>
              </w:rPr>
            </w:pPr>
          </w:p>
        </w:tc>
        <w:tc>
          <w:tcPr>
            <w:tcW w:w="1592" w:type="dxa"/>
            <w:vAlign w:val="center"/>
          </w:tcPr>
          <w:p>
            <w:pPr>
              <w:spacing w:line="3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hint="eastAsia" w:ascii="宋体" w:hAnsi="宋体" w:eastAsia="宋体" w:cs="宋体"/>
                <w:color w:val="auto"/>
                <w:sz w:val="22"/>
                <w:szCs w:val="22"/>
                <w:highlight w:val="none"/>
              </w:rPr>
            </w:pPr>
          </w:p>
        </w:tc>
        <w:tc>
          <w:tcPr>
            <w:tcW w:w="1364" w:type="dxa"/>
            <w:vAlign w:val="center"/>
          </w:tcPr>
          <w:p>
            <w:pPr>
              <w:spacing w:line="380" w:lineRule="exact"/>
              <w:jc w:val="center"/>
              <w:rPr>
                <w:rFonts w:hint="eastAsia" w:ascii="宋体" w:hAnsi="宋体" w:eastAsia="宋体" w:cs="宋体"/>
                <w:color w:val="auto"/>
                <w:sz w:val="22"/>
                <w:szCs w:val="22"/>
                <w:highlight w:val="none"/>
              </w:rPr>
            </w:pPr>
          </w:p>
        </w:tc>
        <w:tc>
          <w:tcPr>
            <w:tcW w:w="2097" w:type="dxa"/>
            <w:vAlign w:val="center"/>
          </w:tcPr>
          <w:p>
            <w:pPr>
              <w:spacing w:line="380" w:lineRule="exact"/>
              <w:jc w:val="center"/>
              <w:rPr>
                <w:rFonts w:hint="eastAsia" w:ascii="宋体" w:hAnsi="宋体" w:eastAsia="宋体" w:cs="宋体"/>
                <w:color w:val="auto"/>
                <w:sz w:val="22"/>
                <w:szCs w:val="22"/>
                <w:highlight w:val="none"/>
              </w:rPr>
            </w:pPr>
          </w:p>
        </w:tc>
        <w:tc>
          <w:tcPr>
            <w:tcW w:w="1992" w:type="dxa"/>
            <w:vAlign w:val="center"/>
          </w:tcPr>
          <w:p>
            <w:pPr>
              <w:spacing w:line="380" w:lineRule="exact"/>
              <w:jc w:val="center"/>
              <w:rPr>
                <w:rFonts w:hint="eastAsia" w:ascii="宋体" w:hAnsi="宋体" w:eastAsia="宋体" w:cs="宋体"/>
                <w:color w:val="auto"/>
                <w:sz w:val="22"/>
                <w:szCs w:val="22"/>
                <w:highlight w:val="none"/>
              </w:rPr>
            </w:pPr>
          </w:p>
        </w:tc>
        <w:tc>
          <w:tcPr>
            <w:tcW w:w="1866" w:type="dxa"/>
            <w:vAlign w:val="center"/>
          </w:tcPr>
          <w:p>
            <w:pPr>
              <w:spacing w:line="380" w:lineRule="exact"/>
              <w:jc w:val="center"/>
              <w:rPr>
                <w:rFonts w:hint="eastAsia" w:ascii="宋体" w:hAnsi="宋体" w:eastAsia="宋体" w:cs="宋体"/>
                <w:color w:val="auto"/>
                <w:sz w:val="22"/>
                <w:szCs w:val="22"/>
                <w:highlight w:val="none"/>
              </w:rPr>
            </w:pPr>
          </w:p>
        </w:tc>
        <w:tc>
          <w:tcPr>
            <w:tcW w:w="1592" w:type="dxa"/>
            <w:vAlign w:val="center"/>
          </w:tcPr>
          <w:p>
            <w:pPr>
              <w:spacing w:line="380" w:lineRule="exact"/>
              <w:jc w:val="center"/>
              <w:rPr>
                <w:rFonts w:hint="eastAsia" w:ascii="宋体" w:hAnsi="宋体" w:eastAsia="宋体" w:cs="宋体"/>
                <w:color w:val="auto"/>
                <w:sz w:val="22"/>
                <w:szCs w:val="22"/>
                <w:highlight w:val="none"/>
              </w:rPr>
            </w:pPr>
          </w:p>
        </w:tc>
      </w:tr>
    </w:tbl>
    <w:p>
      <w:pPr>
        <w:spacing w:line="38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w:t>
      </w:r>
      <w:r>
        <w:rPr>
          <w:rFonts w:hint="eastAsia" w:ascii="宋体" w:hAnsi="宋体" w:eastAsia="宋体" w:cs="宋体"/>
          <w:b/>
          <w:color w:val="auto"/>
          <w:highlight w:val="none"/>
        </w:rPr>
        <w:t>不填写此表视为完全响应磋商文件内容。</w:t>
      </w:r>
    </w:p>
    <w:p>
      <w:pPr>
        <w:spacing w:line="380" w:lineRule="exact"/>
        <w:ind w:firstLine="4417" w:firstLineChars="2000"/>
        <w:rPr>
          <w:rFonts w:hint="eastAsia" w:ascii="宋体" w:hAnsi="宋体" w:eastAsia="宋体" w:cs="宋体"/>
          <w:b/>
          <w:color w:val="auto"/>
          <w:sz w:val="22"/>
          <w:szCs w:val="22"/>
          <w:highlight w:val="none"/>
        </w:rPr>
      </w:pPr>
    </w:p>
    <w:p>
      <w:pPr>
        <w:spacing w:line="38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供应商全称（盖章）：</w:t>
      </w:r>
    </w:p>
    <w:p>
      <w:pPr>
        <w:spacing w:line="38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pPr>
        <w:spacing w:line="38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pPr>
        <w:spacing w:line="460" w:lineRule="exact"/>
        <w:rPr>
          <w:rFonts w:hint="eastAsia" w:ascii="宋体" w:hAnsi="宋体" w:eastAsia="宋体" w:cs="宋体"/>
          <w:b/>
          <w:color w:val="auto"/>
          <w:sz w:val="22"/>
          <w:szCs w:val="22"/>
          <w:highlight w:val="none"/>
        </w:rPr>
      </w:pPr>
      <w:r>
        <w:rPr>
          <w:rFonts w:hint="eastAsia" w:ascii="宋体" w:hAnsi="宋体" w:eastAsia="宋体" w:cs="宋体"/>
          <w:color w:val="auto"/>
          <w:highlight w:val="none"/>
        </w:rPr>
        <w:br w:type="page"/>
      </w:r>
    </w:p>
    <w:p>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附件五</w:t>
      </w:r>
    </w:p>
    <w:p>
      <w:pPr>
        <w:pStyle w:val="50"/>
        <w:rPr>
          <w:rFonts w:hint="eastAsia" w:ascii="宋体" w:hAnsi="宋体" w:eastAsia="宋体" w:cs="宋体"/>
          <w:color w:val="auto"/>
          <w:highlight w:val="none"/>
        </w:rPr>
      </w:pPr>
    </w:p>
    <w:p>
      <w:pPr>
        <w:pStyle w:val="50"/>
        <w:rPr>
          <w:rFonts w:hint="eastAsia" w:ascii="宋体" w:hAnsi="宋体" w:eastAsia="宋体" w:cs="宋体"/>
          <w:color w:val="auto"/>
          <w:highlight w:val="none"/>
        </w:rPr>
      </w:pPr>
    </w:p>
    <w:p>
      <w:pPr>
        <w:jc w:val="center"/>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采购活动现场确认声明书</w:t>
      </w:r>
    </w:p>
    <w:p>
      <w:pPr>
        <w:tabs>
          <w:tab w:val="left" w:pos="795"/>
          <w:tab w:val="center" w:pos="4873"/>
        </w:tabs>
        <w:overflowPunct w:val="0"/>
        <w:spacing w:line="460" w:lineRule="exact"/>
        <w:ind w:firstLine="118" w:firstLineChars="49"/>
        <w:jc w:val="left"/>
        <w:rPr>
          <w:rFonts w:hint="eastAsia" w:ascii="宋体" w:hAnsi="宋体" w:eastAsia="宋体" w:cs="宋体"/>
          <w:b/>
          <w:bCs/>
          <w:color w:val="auto"/>
          <w:sz w:val="24"/>
          <w:highlight w:val="none"/>
        </w:rPr>
      </w:pPr>
    </w:p>
    <w:p>
      <w:pPr>
        <w:pStyle w:val="208"/>
        <w:widowControl w:val="0"/>
        <w:snapToGrid w:val="0"/>
        <w:spacing w:line="440" w:lineRule="exact"/>
        <w:jc w:val="both"/>
        <w:rPr>
          <w:rFonts w:hint="eastAsia" w:ascii="宋体" w:hAnsi="宋体" w:eastAsia="宋体" w:cs="宋体"/>
          <w:b/>
          <w:color w:val="auto"/>
          <w:spacing w:val="6"/>
          <w:sz w:val="22"/>
          <w:szCs w:val="22"/>
          <w:highlight w:val="none"/>
          <w:u w:val="single"/>
        </w:rPr>
      </w:pPr>
      <w:r>
        <w:rPr>
          <w:rFonts w:hint="eastAsia" w:hAnsi="宋体" w:cs="宋体"/>
          <w:b/>
          <w:color w:val="auto"/>
          <w:spacing w:val="6"/>
          <w:sz w:val="22"/>
          <w:szCs w:val="22"/>
          <w:highlight w:val="none"/>
          <w:u w:val="single"/>
          <w:lang w:eastAsia="zh-CN"/>
        </w:rPr>
        <w:t>温州市瓯海区人民政府茶山街道办事处</w:t>
      </w:r>
      <w:r>
        <w:rPr>
          <w:rFonts w:hint="eastAsia" w:ascii="宋体" w:hAnsi="宋体" w:eastAsia="宋体" w:cs="宋体"/>
          <w:b/>
          <w:color w:val="auto"/>
          <w:spacing w:val="6"/>
          <w:sz w:val="22"/>
          <w:szCs w:val="22"/>
          <w:highlight w:val="none"/>
        </w:rPr>
        <w:t>：</w:t>
      </w:r>
    </w:p>
    <w:p>
      <w:pPr>
        <w:pStyle w:val="208"/>
        <w:widowControl w:val="0"/>
        <w:snapToGrid w:val="0"/>
        <w:spacing w:line="440" w:lineRule="exact"/>
        <w:jc w:val="both"/>
        <w:rPr>
          <w:rFonts w:hint="eastAsia" w:ascii="宋体" w:hAnsi="宋体" w:eastAsia="宋体" w:cs="宋体"/>
          <w:b/>
          <w:color w:val="auto"/>
          <w:spacing w:val="6"/>
          <w:sz w:val="22"/>
          <w:szCs w:val="22"/>
          <w:highlight w:val="none"/>
          <w:u w:val="single"/>
        </w:rPr>
      </w:pPr>
      <w:r>
        <w:rPr>
          <w:rFonts w:hint="eastAsia" w:hAnsi="宋体" w:cs="宋体"/>
          <w:b/>
          <w:color w:val="auto"/>
          <w:spacing w:val="6"/>
          <w:sz w:val="22"/>
          <w:szCs w:val="22"/>
          <w:highlight w:val="none"/>
          <w:u w:val="single"/>
          <w:lang w:eastAsia="zh-CN"/>
        </w:rPr>
        <w:t>温州中致工程项目管理有限公司</w:t>
      </w:r>
      <w:r>
        <w:rPr>
          <w:rFonts w:hint="eastAsia" w:ascii="宋体" w:hAnsi="宋体" w:eastAsia="宋体" w:cs="宋体"/>
          <w:b/>
          <w:color w:val="auto"/>
          <w:kern w:val="0"/>
          <w:sz w:val="22"/>
          <w:szCs w:val="22"/>
          <w:highlight w:val="none"/>
        </w:rPr>
        <w:t>：</w:t>
      </w:r>
    </w:p>
    <w:p>
      <w:pPr>
        <w:pStyle w:val="208"/>
        <w:widowControl w:val="0"/>
        <w:snapToGrid w:val="0"/>
        <w:spacing w:line="440" w:lineRule="exact"/>
        <w:ind w:firstLine="464" w:firstLineChars="200"/>
        <w:jc w:val="both"/>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本人经由</w:t>
      </w:r>
      <w:r>
        <w:rPr>
          <w:rFonts w:hint="eastAsia" w:ascii="宋体" w:hAnsi="宋体" w:eastAsia="宋体" w:cs="宋体"/>
          <w:color w:val="auto"/>
          <w:spacing w:val="6"/>
          <w:sz w:val="22"/>
          <w:szCs w:val="22"/>
          <w:highlight w:val="none"/>
          <w:u w:val="single"/>
        </w:rPr>
        <w:t xml:space="preserve">                       （单位）</w:t>
      </w:r>
      <w:r>
        <w:rPr>
          <w:rFonts w:hint="eastAsia" w:ascii="宋体" w:hAnsi="宋体" w:eastAsia="宋体" w:cs="宋体"/>
          <w:color w:val="auto"/>
          <w:spacing w:val="6"/>
          <w:sz w:val="22"/>
          <w:szCs w:val="22"/>
          <w:highlight w:val="none"/>
        </w:rPr>
        <w:t>负责人</w:t>
      </w:r>
      <w:r>
        <w:rPr>
          <w:rFonts w:hint="eastAsia" w:ascii="宋体" w:hAnsi="宋体" w:eastAsia="宋体" w:cs="宋体"/>
          <w:color w:val="auto"/>
          <w:spacing w:val="6"/>
          <w:sz w:val="22"/>
          <w:szCs w:val="22"/>
          <w:highlight w:val="none"/>
          <w:u w:val="single"/>
        </w:rPr>
        <w:t xml:space="preserve">          （姓名）</w:t>
      </w:r>
      <w:r>
        <w:rPr>
          <w:rFonts w:hint="eastAsia" w:ascii="宋体" w:hAnsi="宋体" w:eastAsia="宋体" w:cs="宋体"/>
          <w:color w:val="auto"/>
          <w:spacing w:val="6"/>
          <w:sz w:val="22"/>
          <w:szCs w:val="22"/>
          <w:highlight w:val="none"/>
        </w:rPr>
        <w:t>合法授权</w:t>
      </w:r>
      <w:r>
        <w:rPr>
          <w:rFonts w:hint="eastAsia" w:ascii="宋体" w:hAnsi="宋体" w:eastAsia="宋体" w:cs="宋体"/>
          <w:color w:val="auto"/>
          <w:sz w:val="22"/>
          <w:szCs w:val="22"/>
          <w:highlight w:val="none"/>
          <w:u w:val="single"/>
        </w:rPr>
        <w:t xml:space="preserve"> （项目名称） </w:t>
      </w:r>
      <w:r>
        <w:rPr>
          <w:rFonts w:hint="eastAsia" w:ascii="宋体" w:hAnsi="宋体" w:eastAsia="宋体" w:cs="宋体"/>
          <w:color w:val="auto"/>
          <w:spacing w:val="6"/>
          <w:sz w:val="22"/>
          <w:szCs w:val="22"/>
          <w:highlight w:val="none"/>
        </w:rPr>
        <w:t xml:space="preserve">项目（编号：）采购活动，经与本单位法人代表（负责人）联系确认，现就有关公平竞争事项郑重声明如下： </w:t>
      </w:r>
    </w:p>
    <w:p>
      <w:pPr>
        <w:pStyle w:val="157"/>
        <w:widowControl/>
        <w:numPr>
          <w:ilvl w:val="0"/>
          <w:numId w:val="43"/>
        </w:numPr>
        <w:snapToGrid w:val="0"/>
        <w:spacing w:line="440" w:lineRule="exact"/>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本单位与采购人之间 □不存在利害关系 □存在下列利害关系：</w:t>
      </w:r>
    </w:p>
    <w:p>
      <w:pPr>
        <w:pStyle w:val="157"/>
        <w:widowControl/>
        <w:snapToGrid w:val="0"/>
        <w:spacing w:line="4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A.投资关系    B.行政隶属关系    C.业务指导关系</w:t>
      </w:r>
    </w:p>
    <w:p>
      <w:pPr>
        <w:pStyle w:val="157"/>
        <w:widowControl/>
        <w:snapToGrid w:val="0"/>
        <w:spacing w:line="4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D.其他可能</w:t>
      </w:r>
      <w:r>
        <w:rPr>
          <w:rFonts w:hint="eastAsia" w:ascii="宋体" w:hAnsi="宋体" w:eastAsia="宋体" w:cs="宋体"/>
          <w:color w:val="auto"/>
          <w:sz w:val="22"/>
          <w:szCs w:val="22"/>
          <w:highlight w:val="none"/>
        </w:rPr>
        <w:t>影响采购公正的</w:t>
      </w:r>
      <w:r>
        <w:rPr>
          <w:rFonts w:hint="eastAsia" w:ascii="宋体" w:hAnsi="宋体" w:eastAsia="宋体" w:cs="宋体"/>
          <w:color w:val="auto"/>
          <w:kern w:val="0"/>
          <w:sz w:val="22"/>
          <w:szCs w:val="22"/>
          <w:highlight w:val="none"/>
        </w:rPr>
        <w:t>利害关系</w:t>
      </w:r>
      <w:r>
        <w:rPr>
          <w:rFonts w:hint="eastAsia" w:ascii="宋体" w:hAnsi="宋体" w:eastAsia="宋体" w:cs="宋体"/>
          <w:color w:val="auto"/>
          <w:kern w:val="0"/>
          <w:sz w:val="22"/>
          <w:szCs w:val="22"/>
          <w:highlight w:val="none"/>
          <w:u w:val="single"/>
        </w:rPr>
        <w:t xml:space="preserve">（如有，请如实说明）                 </w:t>
      </w:r>
      <w:r>
        <w:rPr>
          <w:rFonts w:hint="eastAsia" w:ascii="宋体" w:hAnsi="宋体" w:eastAsia="宋体" w:cs="宋体"/>
          <w:color w:val="auto"/>
          <w:kern w:val="0"/>
          <w:sz w:val="22"/>
          <w:szCs w:val="22"/>
          <w:highlight w:val="none"/>
        </w:rPr>
        <w:t>。</w:t>
      </w:r>
    </w:p>
    <w:p>
      <w:pPr>
        <w:pStyle w:val="157"/>
        <w:widowControl/>
        <w:snapToGrid w:val="0"/>
        <w:spacing w:line="440" w:lineRule="exact"/>
        <w:rPr>
          <w:rFonts w:hint="eastAsia" w:ascii="宋体" w:hAnsi="宋体" w:eastAsia="宋体" w:cs="宋体"/>
          <w:color w:val="auto"/>
          <w:kern w:val="0"/>
          <w:sz w:val="22"/>
          <w:szCs w:val="22"/>
          <w:highlight w:val="none"/>
        </w:rPr>
      </w:pPr>
      <w:r>
        <w:rPr>
          <w:rFonts w:hint="eastAsia" w:ascii="宋体" w:hAnsi="宋体" w:eastAsia="宋体" w:cs="宋体"/>
          <w:color w:val="auto"/>
          <w:spacing w:val="6"/>
          <w:sz w:val="22"/>
          <w:szCs w:val="22"/>
          <w:highlight w:val="none"/>
        </w:rPr>
        <w:t xml:space="preserve">  二、</w:t>
      </w:r>
      <w:r>
        <w:rPr>
          <w:rFonts w:hint="eastAsia" w:ascii="宋体" w:hAnsi="宋体" w:eastAsia="宋体" w:cs="宋体"/>
          <w:color w:val="auto"/>
          <w:kern w:val="0"/>
          <w:sz w:val="22"/>
          <w:szCs w:val="22"/>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2"/>
          <w:szCs w:val="22"/>
          <w:highlight w:val="none"/>
          <w:u w:val="single"/>
        </w:rPr>
        <w:t xml:space="preserve">           （供应商名称）</w:t>
      </w:r>
      <w:r>
        <w:rPr>
          <w:rFonts w:hint="eastAsia" w:ascii="宋体" w:hAnsi="宋体" w:eastAsia="宋体" w:cs="宋体"/>
          <w:color w:val="auto"/>
          <w:kern w:val="0"/>
          <w:sz w:val="22"/>
          <w:szCs w:val="22"/>
          <w:highlight w:val="none"/>
        </w:rPr>
        <w:t>之间存在下列利害关系：</w:t>
      </w:r>
    </w:p>
    <w:p>
      <w:pPr>
        <w:pStyle w:val="208"/>
        <w:widowControl w:val="0"/>
        <w:snapToGrid w:val="0"/>
        <w:spacing w:line="440" w:lineRule="exact"/>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A.法定代表人或负责人或实际控制人是同一人</w:t>
      </w:r>
    </w:p>
    <w:p>
      <w:pPr>
        <w:pStyle w:val="208"/>
        <w:widowControl w:val="0"/>
        <w:snapToGrid w:val="0"/>
        <w:spacing w:line="440" w:lineRule="exact"/>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B.法定代表人或负责人或实际控制人是夫妻关系</w:t>
      </w:r>
    </w:p>
    <w:p>
      <w:pPr>
        <w:pStyle w:val="208"/>
        <w:widowControl w:val="0"/>
        <w:snapToGrid w:val="0"/>
        <w:spacing w:line="440" w:lineRule="exact"/>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C.法定代表人或负责人或实际控制人是直系血亲关系</w:t>
      </w:r>
    </w:p>
    <w:p>
      <w:pPr>
        <w:pStyle w:val="208"/>
        <w:widowControl w:val="0"/>
        <w:snapToGrid w:val="0"/>
        <w:spacing w:line="440" w:lineRule="exact"/>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D.法定代表人或负责人或实际控制人存在三代以内旁系血亲关系</w:t>
      </w:r>
    </w:p>
    <w:p>
      <w:pPr>
        <w:pStyle w:val="208"/>
        <w:widowControl w:val="0"/>
        <w:snapToGrid w:val="0"/>
        <w:spacing w:line="440" w:lineRule="exact"/>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E.法定代表人或负责人或实际控制人存在近姻亲关系</w:t>
      </w:r>
    </w:p>
    <w:p>
      <w:pPr>
        <w:pStyle w:val="208"/>
        <w:widowControl w:val="0"/>
        <w:snapToGrid w:val="0"/>
        <w:spacing w:line="440" w:lineRule="exact"/>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F.法定代表人或负责人或实际控制人存在股份控制或实际控制关系</w:t>
      </w:r>
    </w:p>
    <w:p>
      <w:pPr>
        <w:pStyle w:val="208"/>
        <w:widowControl w:val="0"/>
        <w:snapToGrid w:val="0"/>
        <w:spacing w:line="440" w:lineRule="exact"/>
        <w:jc w:val="both"/>
        <w:outlineLvl w:val="0"/>
        <w:rPr>
          <w:rFonts w:hint="eastAsia" w:ascii="宋体" w:hAnsi="宋体" w:eastAsia="宋体" w:cs="宋体"/>
          <w:color w:val="auto"/>
          <w:kern w:val="0"/>
          <w:sz w:val="22"/>
          <w:szCs w:val="22"/>
          <w:highlight w:val="none"/>
        </w:rPr>
      </w:pPr>
      <w:bookmarkStart w:id="272" w:name="_Toc17819"/>
      <w:bookmarkStart w:id="273" w:name="_Toc63"/>
      <w:r>
        <w:rPr>
          <w:rFonts w:hint="eastAsia" w:ascii="宋体" w:hAnsi="宋体" w:eastAsia="宋体" w:cs="宋体"/>
          <w:color w:val="auto"/>
          <w:kern w:val="0"/>
          <w:sz w:val="22"/>
          <w:szCs w:val="22"/>
          <w:highlight w:val="none"/>
        </w:rPr>
        <w:t>G.存在共同直接或间接投资设立子公司、联营企业和合营企业情况</w:t>
      </w:r>
      <w:bookmarkEnd w:id="272"/>
      <w:bookmarkEnd w:id="273"/>
    </w:p>
    <w:p>
      <w:pPr>
        <w:pStyle w:val="208"/>
        <w:widowControl w:val="0"/>
        <w:snapToGrid w:val="0"/>
        <w:spacing w:line="440" w:lineRule="exact"/>
        <w:jc w:val="both"/>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 xml:space="preserve">  H.存在分级代理或代销关系、同一生产制造商关系、</w:t>
      </w:r>
      <w:r>
        <w:rPr>
          <w:rFonts w:hint="eastAsia" w:ascii="宋体" w:hAnsi="宋体" w:eastAsia="宋体" w:cs="宋体"/>
          <w:color w:val="auto"/>
          <w:sz w:val="22"/>
          <w:szCs w:val="22"/>
          <w:highlight w:val="none"/>
        </w:rPr>
        <w:t>管理关系、重要业务（占主营业务收入50%以上）或重要财务往来关系（如融资）等其他实质性控制关系</w:t>
      </w:r>
    </w:p>
    <w:p>
      <w:pPr>
        <w:pStyle w:val="208"/>
        <w:widowControl w:val="0"/>
        <w:snapToGrid w:val="0"/>
        <w:spacing w:line="440" w:lineRule="exact"/>
        <w:jc w:val="both"/>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 xml:space="preserve">  I</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其他利害关系情况</w:t>
      </w:r>
      <w:r>
        <w:rPr>
          <w:rFonts w:hint="eastAsia" w:ascii="宋体" w:hAnsi="宋体" w:eastAsia="宋体" w:cs="宋体"/>
          <w:color w:val="auto"/>
          <w:kern w:val="0"/>
          <w:sz w:val="22"/>
          <w:szCs w:val="22"/>
          <w:highlight w:val="none"/>
        </w:rPr>
        <w:t>。</w:t>
      </w:r>
    </w:p>
    <w:p>
      <w:pPr>
        <w:pStyle w:val="157"/>
        <w:widowControl/>
        <w:numPr>
          <w:ilvl w:val="0"/>
          <w:numId w:val="44"/>
        </w:numPr>
        <w:snapToGrid w:val="0"/>
        <w:spacing w:line="440" w:lineRule="exact"/>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现已清楚知道并</w:t>
      </w:r>
      <w:r>
        <w:rPr>
          <w:rFonts w:hint="eastAsia" w:ascii="宋体" w:hAnsi="宋体" w:eastAsia="宋体" w:cs="宋体"/>
          <w:color w:val="auto"/>
          <w:kern w:val="0"/>
          <w:sz w:val="22"/>
          <w:szCs w:val="22"/>
          <w:highlight w:val="none"/>
        </w:rPr>
        <w:t>严格遵守采购法律法规和现场纪律。</w:t>
      </w:r>
    </w:p>
    <w:p>
      <w:pPr>
        <w:pStyle w:val="157"/>
        <w:widowControl/>
        <w:numPr>
          <w:ilvl w:val="0"/>
          <w:numId w:val="44"/>
        </w:numPr>
        <w:snapToGrid w:val="0"/>
        <w:spacing w:line="440" w:lineRule="exact"/>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我发现供应商之间存在或可能存在上述第二条第项利害关系。</w:t>
      </w:r>
    </w:p>
    <w:p>
      <w:pPr>
        <w:pStyle w:val="208"/>
        <w:widowControl w:val="0"/>
        <w:snapToGrid w:val="0"/>
        <w:spacing w:line="440" w:lineRule="exact"/>
        <w:ind w:firstLine="440" w:firstLineChars="200"/>
        <w:jc w:val="both"/>
        <w:rPr>
          <w:rFonts w:hint="eastAsia" w:ascii="宋体" w:hAnsi="宋体" w:eastAsia="宋体" w:cs="宋体"/>
          <w:color w:val="auto"/>
          <w:sz w:val="22"/>
          <w:szCs w:val="22"/>
          <w:highlight w:val="none"/>
        </w:rPr>
      </w:pPr>
    </w:p>
    <w:p>
      <w:pPr>
        <w:pStyle w:val="208"/>
        <w:widowControl w:val="0"/>
        <w:snapToGrid w:val="0"/>
        <w:spacing w:line="440" w:lineRule="exact"/>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供应商代表签名：</w:t>
      </w:r>
    </w:p>
    <w:p>
      <w:pPr>
        <w:pStyle w:val="208"/>
        <w:widowControl w:val="0"/>
        <w:snapToGrid w:val="0"/>
        <w:spacing w:line="440" w:lineRule="exact"/>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年   月   日</w:t>
      </w:r>
    </w:p>
    <w:p>
      <w:pPr>
        <w:pStyle w:val="208"/>
        <w:widowControl w:val="0"/>
        <w:snapToGrid w:val="0"/>
        <w:spacing w:line="440" w:lineRule="exact"/>
        <w:ind w:firstLine="440" w:firstLineChars="200"/>
        <w:jc w:val="both"/>
        <w:rPr>
          <w:rFonts w:hint="eastAsia" w:ascii="宋体" w:hAnsi="宋体" w:eastAsia="宋体" w:cs="宋体"/>
          <w:color w:val="auto"/>
          <w:sz w:val="22"/>
          <w:szCs w:val="22"/>
          <w:highlight w:val="none"/>
        </w:rPr>
      </w:pPr>
    </w:p>
    <w:p>
      <w:pPr>
        <w:jc w:val="left"/>
        <w:rPr>
          <w:rFonts w:ascii="宋体" w:hAnsi="宋体"/>
          <w:b/>
          <w:color w:val="000000"/>
          <w:sz w:val="22"/>
          <w:highlight w:val="none"/>
        </w:rPr>
      </w:pPr>
      <w:r>
        <w:rPr>
          <w:rFonts w:hint="eastAsia" w:ascii="宋体" w:hAnsi="宋体"/>
          <w:b/>
          <w:color w:val="000000"/>
          <w:sz w:val="22"/>
          <w:highlight w:val="none"/>
        </w:rPr>
        <w:t>注：电子投标文件解密结束后，各供应商签署《</w:t>
      </w:r>
      <w:r>
        <w:rPr>
          <w:rFonts w:ascii="宋体" w:hAnsi="宋体"/>
          <w:b/>
          <w:color w:val="000000"/>
          <w:sz w:val="22"/>
          <w:highlight w:val="none"/>
        </w:rPr>
        <w:fldChar w:fldCharType="begin"/>
      </w:r>
      <w:r>
        <w:rPr>
          <w:rFonts w:ascii="宋体" w:hAnsi="宋体"/>
          <w:b/>
          <w:color w:val="000000"/>
          <w:sz w:val="22"/>
          <w:highlight w:val="none"/>
        </w:rPr>
        <w:instrText xml:space="preserve"> HYPERLINK "mailto:</w:instrText>
      </w:r>
      <w:r>
        <w:rPr>
          <w:rFonts w:hint="eastAsia" w:ascii="宋体" w:hAnsi="宋体"/>
          <w:b/>
          <w:color w:val="000000"/>
          <w:sz w:val="22"/>
          <w:highlight w:val="none"/>
        </w:rPr>
        <w:instrText xml:space="preserve">政府采购活动现场确认声明书》后将扫描件发送至采购代理机构邮箱313596759@qq.com</w:instrText>
      </w:r>
      <w:r>
        <w:rPr>
          <w:rFonts w:ascii="宋体" w:hAnsi="宋体"/>
          <w:b/>
          <w:color w:val="000000"/>
          <w:sz w:val="22"/>
          <w:highlight w:val="none"/>
        </w:rPr>
        <w:instrText xml:space="preserve">" </w:instrText>
      </w:r>
      <w:r>
        <w:rPr>
          <w:rFonts w:ascii="宋体" w:hAnsi="宋体"/>
          <w:b/>
          <w:color w:val="000000"/>
          <w:sz w:val="22"/>
          <w:highlight w:val="none"/>
        </w:rPr>
        <w:fldChar w:fldCharType="separate"/>
      </w:r>
      <w:r>
        <w:rPr>
          <w:rStyle w:val="46"/>
          <w:rFonts w:hint="eastAsia" w:ascii="宋体" w:hAnsi="宋体"/>
          <w:b/>
          <w:color w:val="000000"/>
          <w:sz w:val="22"/>
          <w:szCs w:val="24"/>
          <w:highlight w:val="none"/>
        </w:rPr>
        <w:t>政府采购活动现场确认声明书》后将扫描件发送至采购代理机构邮箱</w:t>
      </w:r>
      <w:r>
        <w:rPr>
          <w:rStyle w:val="46"/>
          <w:rFonts w:hint="eastAsia" w:ascii="宋体" w:hAnsi="宋体"/>
          <w:b/>
          <w:color w:val="000000"/>
          <w:sz w:val="22"/>
          <w:szCs w:val="24"/>
          <w:highlight w:val="none"/>
          <w:lang w:eastAsia="zh-CN"/>
        </w:rPr>
        <w:t>zzgc6688@126.com</w:t>
      </w:r>
      <w:r>
        <w:rPr>
          <w:rFonts w:ascii="宋体" w:hAnsi="宋体"/>
          <w:b/>
          <w:color w:val="000000"/>
          <w:sz w:val="22"/>
          <w:highlight w:val="none"/>
        </w:rPr>
        <w:fldChar w:fldCharType="end"/>
      </w:r>
      <w:r>
        <w:rPr>
          <w:rFonts w:hint="eastAsia" w:ascii="宋体" w:hAnsi="宋体"/>
          <w:b/>
          <w:color w:val="000000"/>
          <w:sz w:val="22"/>
          <w:highlight w:val="none"/>
        </w:rPr>
        <w:t>。</w:t>
      </w:r>
      <w:r>
        <w:rPr>
          <w:rFonts w:ascii="宋体" w:hAnsi="宋体"/>
          <w:b/>
          <w:color w:val="000000"/>
          <w:sz w:val="22"/>
          <w:highlight w:val="none"/>
        </w:rPr>
        <w:t xml:space="preserve"> </w:t>
      </w:r>
    </w:p>
    <w:p>
      <w:pPr>
        <w:spacing w:line="440" w:lineRule="exact"/>
        <w:ind w:left="439" w:leftChars="209"/>
        <w:rPr>
          <w:rFonts w:hint="eastAsia" w:ascii="宋体" w:hAnsi="宋体" w:eastAsia="宋体" w:cs="宋体"/>
          <w:color w:val="auto"/>
          <w:sz w:val="22"/>
          <w:szCs w:val="22"/>
          <w:highlight w:val="none"/>
        </w:rPr>
      </w:pPr>
    </w:p>
    <w:sectPr>
      <w:headerReference r:id="rId13" w:type="default"/>
      <w:footerReference r:id="rId14"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DFKai-SB">
    <w:altName w:val="Microsoft JhengHei Light"/>
    <w:panose1 w:val="03000509000000000000"/>
    <w:charset w:val="88"/>
    <w:family w:val="script"/>
    <w:pitch w:val="default"/>
    <w:sig w:usb0="00000000" w:usb1="00000000" w:usb2="00000016" w:usb3="00000000" w:csb0="0010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方正黑体简体">
    <w:altName w:val="黑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MingLiUfalt">
    <w:altName w:val="MingLiU-ExtB"/>
    <w:panose1 w:val="00000000000000000000"/>
    <w:charset w:val="88"/>
    <w:family w:val="modern"/>
    <w:pitch w:val="default"/>
    <w:sig w:usb0="00000000" w:usb1="00000000" w:usb2="00000010" w:usb3="00000000" w:csb0="00100000" w:csb1="00000000"/>
  </w:font>
  <w:font w:name="Calibri Light">
    <w:panose1 w:val="020F0302020204030204"/>
    <w:charset w:val="00"/>
    <w:family w:val="swiss"/>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Microsoft JhengHei Light">
    <w:panose1 w:val="020B0304030504040204"/>
    <w:charset w:val="88"/>
    <w:family w:val="auto"/>
    <w:pitch w:val="default"/>
    <w:sig w:usb0="800002A7" w:usb1="28CF4400" w:usb2="00000016" w:usb3="00000000" w:csb0="00100009"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s>
      <w:jc w:val="both"/>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pPr>
                      <w:pStyle w:val="25"/>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25"/>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lang w:val="zh-CN"/>
                            </w:rPr>
                            <w:t>21</w:t>
                          </w:r>
                          <w:r>
                            <w:rPr>
                              <w:sz w:val="18"/>
                              <w:szCs w:val="18"/>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lang w:val="zh-CN"/>
                      </w:rPr>
                      <w:t>21</w:t>
                    </w:r>
                    <w:r>
                      <w:rPr>
                        <w:sz w:val="18"/>
                        <w:szCs w:val="18"/>
                        <w:lang w:val="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pBdr>
        <w:bottom w:val="single" w:color="auto" w:sz="6" w:space="3"/>
      </w:pBdr>
      <w:rPr>
        <w:rStyle w:val="43"/>
      </w:rPr>
    </w:pPr>
    <w:r>
      <w:rPr>
        <w:rStyle w:val="43"/>
      </w:rPr>
      <w:fldChar w:fldCharType="begin"/>
    </w:r>
    <w:r>
      <w:rPr>
        <w:rStyle w:val="43"/>
      </w:rPr>
      <w:instrText xml:space="preserve">PAGE  </w:instrText>
    </w:r>
    <w:r>
      <w:rPr>
        <w:rStyle w:val="43"/>
      </w:rPr>
      <w:fldChar w:fldCharType="end"/>
    </w:r>
  </w:p>
  <w:p>
    <w:pPr>
      <w:pStyle w:val="25"/>
      <w:pBdr>
        <w:bottom w:val="single" w:color="auto" w:sz="6" w:space="3"/>
      </w:pBd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s>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1u+M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pbW74zgCAABxBAAADgAAAAAAAAABACAAAAAfAQAAZHJzL2Uyb0RvYy54&#10;bWxQSwUGAAAAAAYABgBZAQAAyQ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pPr>
                      <w:pStyle w:val="25"/>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5ECE2"/>
    <w:multiLevelType w:val="singleLevel"/>
    <w:tmpl w:val="80A5ECE2"/>
    <w:lvl w:ilvl="0" w:tentative="0">
      <w:start w:val="1"/>
      <w:numFmt w:val="decimal"/>
      <w:lvlText w:val="(%1)"/>
      <w:lvlJc w:val="left"/>
      <w:pPr>
        <w:ind w:left="425" w:hanging="425"/>
      </w:pPr>
      <w:rPr>
        <w:rFonts w:hint="default" w:cs="Times New Roman"/>
      </w:rPr>
    </w:lvl>
  </w:abstractNum>
  <w:abstractNum w:abstractNumId="1">
    <w:nsid w:val="84C0E346"/>
    <w:multiLevelType w:val="multilevel"/>
    <w:tmpl w:val="84C0E346"/>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2">
    <w:nsid w:val="8BA18F3F"/>
    <w:multiLevelType w:val="multilevel"/>
    <w:tmpl w:val="8BA18F3F"/>
    <w:lvl w:ilvl="0" w:tentative="0">
      <w:start w:val="1"/>
      <w:numFmt w:val="decimal"/>
      <w:lvlText w:val="%1."/>
      <w:lvlJc w:val="left"/>
      <w:pPr>
        <w:tabs>
          <w:tab w:val="left" w:pos="562"/>
        </w:tabs>
        <w:ind w:left="562" w:hanging="420"/>
      </w:pPr>
      <w:rPr>
        <w:rFonts w:hint="eastAsia" w:ascii="楷体_GB2312" w:hAnsi="Arial" w:eastAsia="楷体_GB2312" w:cs="Arial"/>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3">
    <w:nsid w:val="9520A690"/>
    <w:multiLevelType w:val="singleLevel"/>
    <w:tmpl w:val="9520A690"/>
    <w:lvl w:ilvl="0" w:tentative="0">
      <w:start w:val="1"/>
      <w:numFmt w:val="decimal"/>
      <w:suff w:val="nothing"/>
      <w:lvlText w:val="%1．"/>
      <w:lvlJc w:val="left"/>
      <w:pPr>
        <w:ind w:left="230" w:firstLine="400"/>
      </w:pPr>
      <w:rPr>
        <w:rFonts w:hint="default"/>
      </w:rPr>
    </w:lvl>
  </w:abstractNum>
  <w:abstractNum w:abstractNumId="4">
    <w:nsid w:val="A11448D1"/>
    <w:multiLevelType w:val="singleLevel"/>
    <w:tmpl w:val="A11448D1"/>
    <w:lvl w:ilvl="0" w:tentative="0">
      <w:start w:val="1"/>
      <w:numFmt w:val="chineseCounting"/>
      <w:suff w:val="nothing"/>
      <w:lvlText w:val="（%1）"/>
      <w:lvlJc w:val="left"/>
      <w:rPr>
        <w:rFonts w:hint="eastAsia"/>
      </w:rPr>
    </w:lvl>
  </w:abstractNum>
  <w:abstractNum w:abstractNumId="5">
    <w:nsid w:val="A8BB8B81"/>
    <w:multiLevelType w:val="singleLevel"/>
    <w:tmpl w:val="A8BB8B81"/>
    <w:lvl w:ilvl="0" w:tentative="0">
      <w:start w:val="1"/>
      <w:numFmt w:val="decimal"/>
      <w:lvlText w:val="(%1)"/>
      <w:lvlJc w:val="left"/>
      <w:pPr>
        <w:ind w:left="425" w:hanging="425"/>
      </w:pPr>
      <w:rPr>
        <w:rFonts w:hint="default" w:cs="Times New Roman"/>
      </w:rPr>
    </w:lvl>
  </w:abstractNum>
  <w:abstractNum w:abstractNumId="6">
    <w:nsid w:val="B319288F"/>
    <w:multiLevelType w:val="singleLevel"/>
    <w:tmpl w:val="B319288F"/>
    <w:lvl w:ilvl="0" w:tentative="0">
      <w:start w:val="1"/>
      <w:numFmt w:val="decimalEnclosedCircleChinese"/>
      <w:suff w:val="nothing"/>
      <w:lvlText w:val="%1　"/>
      <w:lvlJc w:val="left"/>
      <w:pPr>
        <w:ind w:left="0" w:firstLine="400"/>
      </w:pPr>
      <w:rPr>
        <w:rFonts w:hint="eastAsia"/>
      </w:rPr>
    </w:lvl>
  </w:abstractNum>
  <w:abstractNum w:abstractNumId="7">
    <w:nsid w:val="BB45D9BF"/>
    <w:multiLevelType w:val="multilevel"/>
    <w:tmpl w:val="BB45D9BF"/>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8">
    <w:nsid w:val="BD456B7D"/>
    <w:multiLevelType w:val="singleLevel"/>
    <w:tmpl w:val="BD456B7D"/>
    <w:lvl w:ilvl="0" w:tentative="0">
      <w:start w:val="1"/>
      <w:numFmt w:val="decimalEnclosedCircleChinese"/>
      <w:suff w:val="nothing"/>
      <w:lvlText w:val="%1　"/>
      <w:lvlJc w:val="left"/>
      <w:pPr>
        <w:ind w:left="0" w:firstLine="400"/>
      </w:pPr>
      <w:rPr>
        <w:rFonts w:hint="eastAsia"/>
      </w:rPr>
    </w:lvl>
  </w:abstractNum>
  <w:abstractNum w:abstractNumId="9">
    <w:nsid w:val="BDBF084B"/>
    <w:multiLevelType w:val="multilevel"/>
    <w:tmpl w:val="BDBF084B"/>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10">
    <w:nsid w:val="D22A41A8"/>
    <w:multiLevelType w:val="singleLevel"/>
    <w:tmpl w:val="D22A41A8"/>
    <w:lvl w:ilvl="0" w:tentative="0">
      <w:start w:val="7"/>
      <w:numFmt w:val="chineseCounting"/>
      <w:suff w:val="nothing"/>
      <w:lvlText w:val="%1、"/>
      <w:lvlJc w:val="left"/>
      <w:rPr>
        <w:rFonts w:hint="eastAsia"/>
      </w:rPr>
    </w:lvl>
  </w:abstractNum>
  <w:abstractNum w:abstractNumId="11">
    <w:nsid w:val="D527D7BF"/>
    <w:multiLevelType w:val="multilevel"/>
    <w:tmpl w:val="D527D7BF"/>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7.%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12">
    <w:nsid w:val="E055B643"/>
    <w:multiLevelType w:val="singleLevel"/>
    <w:tmpl w:val="E055B643"/>
    <w:lvl w:ilvl="0" w:tentative="0">
      <w:start w:val="1"/>
      <w:numFmt w:val="decimal"/>
      <w:lvlText w:val="(%1)"/>
      <w:lvlJc w:val="left"/>
      <w:pPr>
        <w:ind w:left="425" w:hanging="425"/>
      </w:pPr>
      <w:rPr>
        <w:rFonts w:hint="default" w:cs="Times New Roman"/>
      </w:rPr>
    </w:lvl>
  </w:abstractNum>
  <w:abstractNum w:abstractNumId="13">
    <w:nsid w:val="E375F72A"/>
    <w:multiLevelType w:val="singleLevel"/>
    <w:tmpl w:val="E375F72A"/>
    <w:lvl w:ilvl="0" w:tentative="0">
      <w:start w:val="1"/>
      <w:numFmt w:val="decimal"/>
      <w:lvlText w:val="(%1)"/>
      <w:lvlJc w:val="left"/>
      <w:pPr>
        <w:ind w:left="425" w:hanging="425"/>
      </w:pPr>
      <w:rPr>
        <w:rFonts w:hint="default"/>
      </w:rPr>
    </w:lvl>
  </w:abstractNum>
  <w:abstractNum w:abstractNumId="14">
    <w:nsid w:val="F83C3DC6"/>
    <w:multiLevelType w:val="singleLevel"/>
    <w:tmpl w:val="F83C3DC6"/>
    <w:lvl w:ilvl="0" w:tentative="0">
      <w:start w:val="1"/>
      <w:numFmt w:val="decimal"/>
      <w:suff w:val="space"/>
      <w:lvlText w:val="%1."/>
      <w:lvlJc w:val="left"/>
    </w:lvl>
  </w:abstractNum>
  <w:abstractNum w:abstractNumId="15">
    <w:nsid w:val="F90281EB"/>
    <w:multiLevelType w:val="singleLevel"/>
    <w:tmpl w:val="F90281EB"/>
    <w:lvl w:ilvl="0" w:tentative="0">
      <w:start w:val="3"/>
      <w:numFmt w:val="chineseCounting"/>
      <w:suff w:val="nothing"/>
      <w:lvlText w:val="%1．"/>
      <w:lvlJc w:val="left"/>
      <w:rPr>
        <w:rFonts w:hint="eastAsia"/>
      </w:rPr>
    </w:lvl>
  </w:abstractNum>
  <w:abstractNum w:abstractNumId="16">
    <w:nsid w:val="FB0F5EB6"/>
    <w:multiLevelType w:val="singleLevel"/>
    <w:tmpl w:val="FB0F5EB6"/>
    <w:lvl w:ilvl="0" w:tentative="0">
      <w:start w:val="1"/>
      <w:numFmt w:val="decimalEnclosedCircleChinese"/>
      <w:suff w:val="nothing"/>
      <w:lvlText w:val="%1　"/>
      <w:lvlJc w:val="left"/>
      <w:pPr>
        <w:ind w:firstLine="400"/>
      </w:pPr>
      <w:rPr>
        <w:rFonts w:hint="eastAsia" w:cs="Times New Roman"/>
      </w:rPr>
    </w:lvl>
  </w:abstractNum>
  <w:abstractNum w:abstractNumId="17">
    <w:nsid w:val="00000010"/>
    <w:multiLevelType w:val="multilevel"/>
    <w:tmpl w:val="00000010"/>
    <w:lvl w:ilvl="0" w:tentative="0">
      <w:start w:val="1"/>
      <w:numFmt w:val="decimal"/>
      <w:lvlText w:val="（%1）"/>
      <w:lvlJc w:val="left"/>
      <w:pPr>
        <w:tabs>
          <w:tab w:val="left" w:pos="420"/>
        </w:tabs>
        <w:ind w:left="420" w:hanging="420"/>
      </w:pPr>
      <w:rPr>
        <w:rFonts w:hint="default" w:ascii="Times New Roman" w:hAnsi="Times New Roman" w:cs="Tahoma"/>
        <w:b w:val="0"/>
      </w:rPr>
    </w:lvl>
    <w:lvl w:ilvl="1" w:tentative="0">
      <w:start w:val="2"/>
      <w:numFmt w:val="decimal"/>
      <w:lvlText w:val="%2．"/>
      <w:lvlJc w:val="left"/>
      <w:pPr>
        <w:tabs>
          <w:tab w:val="left" w:pos="780"/>
        </w:tabs>
        <w:ind w:left="780" w:hanging="360"/>
      </w:pPr>
      <w:rPr>
        <w:rFonts w:hint="default"/>
        <w:color w:val="000000"/>
        <w:sz w:val="24"/>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31"/>
    <w:multiLevelType w:val="multilevel"/>
    <w:tmpl w:val="00000031"/>
    <w:lvl w:ilvl="0" w:tentative="0">
      <w:start w:val="1"/>
      <w:numFmt w:val="decimal"/>
      <w:lvlText w:val="（%1）"/>
      <w:lvlJc w:val="left"/>
      <w:pPr>
        <w:tabs>
          <w:tab w:val="left" w:pos="420"/>
        </w:tabs>
        <w:ind w:left="420" w:hanging="420"/>
      </w:pPr>
      <w:rPr>
        <w:rFonts w:hint="eastAsia" w:ascii="楷体_GB2312" w:eastAsia="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200DDB7"/>
    <w:multiLevelType w:val="multilevel"/>
    <w:tmpl w:val="0200DDB7"/>
    <w:lvl w:ilvl="0" w:tentative="0">
      <w:start w:val="1"/>
      <w:numFmt w:val="decimal"/>
      <w:lvlText w:val="%1."/>
      <w:lvlJc w:val="left"/>
      <w:pPr>
        <w:tabs>
          <w:tab w:val="left" w:pos="562"/>
        </w:tabs>
        <w:ind w:left="562" w:hanging="420"/>
      </w:pPr>
      <w:rPr>
        <w:rFonts w:hint="eastAsia" w:ascii="楷体_GB2312" w:hAnsi="Arial" w:eastAsia="楷体_GB2312" w:cs="Arial"/>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20">
    <w:nsid w:val="0585F458"/>
    <w:multiLevelType w:val="multilevel"/>
    <w:tmpl w:val="0585F458"/>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1">
    <w:nsid w:val="085EDAC4"/>
    <w:multiLevelType w:val="singleLevel"/>
    <w:tmpl w:val="085EDAC4"/>
    <w:lvl w:ilvl="0" w:tentative="0">
      <w:start w:val="1"/>
      <w:numFmt w:val="decimal"/>
      <w:lvlText w:val="(%1)"/>
      <w:lvlJc w:val="left"/>
      <w:pPr>
        <w:ind w:left="425" w:hanging="425"/>
      </w:pPr>
      <w:rPr>
        <w:rFonts w:hint="default"/>
      </w:rPr>
    </w:lvl>
  </w:abstractNum>
  <w:abstractNum w:abstractNumId="22">
    <w:nsid w:val="16410696"/>
    <w:multiLevelType w:val="singleLevel"/>
    <w:tmpl w:val="16410696"/>
    <w:lvl w:ilvl="0" w:tentative="0">
      <w:start w:val="1"/>
      <w:numFmt w:val="decimal"/>
      <w:suff w:val="nothing"/>
      <w:lvlText w:val="%1）"/>
      <w:lvlJc w:val="left"/>
    </w:lvl>
  </w:abstractNum>
  <w:abstractNum w:abstractNumId="23">
    <w:nsid w:val="1B6B396E"/>
    <w:multiLevelType w:val="singleLevel"/>
    <w:tmpl w:val="1B6B396E"/>
    <w:lvl w:ilvl="0" w:tentative="0">
      <w:start w:val="1"/>
      <w:numFmt w:val="decimalEnclosedCircleChinese"/>
      <w:suff w:val="nothing"/>
      <w:lvlText w:val="%1　"/>
      <w:lvlJc w:val="left"/>
      <w:pPr>
        <w:ind w:left="0" w:firstLine="400"/>
      </w:pPr>
      <w:rPr>
        <w:rFonts w:hint="eastAsia"/>
      </w:rPr>
    </w:lvl>
  </w:abstractNum>
  <w:abstractNum w:abstractNumId="24">
    <w:nsid w:val="1DAD1D94"/>
    <w:multiLevelType w:val="singleLevel"/>
    <w:tmpl w:val="1DAD1D94"/>
    <w:lvl w:ilvl="0" w:tentative="0">
      <w:start w:val="1"/>
      <w:numFmt w:val="decimal"/>
      <w:lvlText w:val="(%1)"/>
      <w:lvlJc w:val="left"/>
      <w:pPr>
        <w:ind w:left="425" w:hanging="425"/>
      </w:pPr>
      <w:rPr>
        <w:rFonts w:hint="default"/>
      </w:rPr>
    </w:lvl>
  </w:abstractNum>
  <w:abstractNum w:abstractNumId="25">
    <w:nsid w:val="1E5719E2"/>
    <w:multiLevelType w:val="multilevel"/>
    <w:tmpl w:val="1E5719E2"/>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26">
    <w:nsid w:val="1F9982C3"/>
    <w:multiLevelType w:val="multilevel"/>
    <w:tmpl w:val="1F9982C3"/>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9.%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27">
    <w:nsid w:val="22DD3438"/>
    <w:multiLevelType w:val="multilevel"/>
    <w:tmpl w:val="22DD3438"/>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2434239E"/>
    <w:multiLevelType w:val="multilevel"/>
    <w:tmpl w:val="2434239E"/>
    <w:lvl w:ilvl="0" w:tentative="0">
      <w:start w:val="1"/>
      <w:numFmt w:val="decimal"/>
      <w:lvlText w:val="%1."/>
      <w:lvlJc w:val="left"/>
      <w:pPr>
        <w:tabs>
          <w:tab w:val="left" w:pos="562"/>
        </w:tabs>
        <w:ind w:left="562" w:hanging="420"/>
      </w:pPr>
      <w:rPr>
        <w:rFonts w:hint="eastAsia" w:ascii="楷体_GB2312" w:hAnsi="Arial" w:eastAsia="楷体_GB2312" w:cs="Arial"/>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29">
    <w:nsid w:val="26FA678D"/>
    <w:multiLevelType w:val="singleLevel"/>
    <w:tmpl w:val="26FA678D"/>
    <w:lvl w:ilvl="0" w:tentative="0">
      <w:start w:val="1"/>
      <w:numFmt w:val="decimal"/>
      <w:suff w:val="nothing"/>
      <w:lvlText w:val="%1．"/>
      <w:lvlJc w:val="left"/>
      <w:pPr>
        <w:ind w:left="230" w:firstLine="400"/>
      </w:pPr>
      <w:rPr>
        <w:rFonts w:hint="default"/>
      </w:rPr>
    </w:lvl>
  </w:abstractNum>
  <w:abstractNum w:abstractNumId="30">
    <w:nsid w:val="286C31CB"/>
    <w:multiLevelType w:val="singleLevel"/>
    <w:tmpl w:val="286C31CB"/>
    <w:lvl w:ilvl="0" w:tentative="0">
      <w:start w:val="1"/>
      <w:numFmt w:val="decimal"/>
      <w:suff w:val="nothing"/>
      <w:lvlText w:val="%1．"/>
      <w:lvlJc w:val="left"/>
      <w:pPr>
        <w:ind w:left="230" w:firstLine="400"/>
      </w:pPr>
      <w:rPr>
        <w:rFonts w:hint="default"/>
      </w:rPr>
    </w:lvl>
  </w:abstractNum>
  <w:abstractNum w:abstractNumId="31">
    <w:nsid w:val="36569358"/>
    <w:multiLevelType w:val="singleLevel"/>
    <w:tmpl w:val="36569358"/>
    <w:lvl w:ilvl="0" w:tentative="0">
      <w:start w:val="1"/>
      <w:numFmt w:val="decimal"/>
      <w:suff w:val="nothing"/>
      <w:lvlText w:val="%1．"/>
      <w:lvlJc w:val="left"/>
      <w:pPr>
        <w:ind w:left="230" w:firstLine="400"/>
      </w:pPr>
      <w:rPr>
        <w:rFonts w:hint="default"/>
      </w:rPr>
    </w:lvl>
  </w:abstractNum>
  <w:abstractNum w:abstractNumId="32">
    <w:nsid w:val="37E9328B"/>
    <w:multiLevelType w:val="multilevel"/>
    <w:tmpl w:val="37E9328B"/>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33">
    <w:nsid w:val="3CC351E3"/>
    <w:multiLevelType w:val="multilevel"/>
    <w:tmpl w:val="3CC351E3"/>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34">
    <w:nsid w:val="3F31A2EA"/>
    <w:multiLevelType w:val="singleLevel"/>
    <w:tmpl w:val="3F31A2EA"/>
    <w:lvl w:ilvl="0" w:tentative="0">
      <w:start w:val="1"/>
      <w:numFmt w:val="decimal"/>
      <w:lvlText w:val="%1."/>
      <w:lvlJc w:val="left"/>
      <w:pPr>
        <w:ind w:left="425" w:hanging="425"/>
      </w:pPr>
      <w:rPr>
        <w:rFonts w:hint="default"/>
      </w:rPr>
    </w:lvl>
  </w:abstractNum>
  <w:abstractNum w:abstractNumId="35">
    <w:nsid w:val="4542E4C5"/>
    <w:multiLevelType w:val="multilevel"/>
    <w:tmpl w:val="4542E4C5"/>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3.%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36">
    <w:nsid w:val="45DC5E2A"/>
    <w:multiLevelType w:val="multilevel"/>
    <w:tmpl w:val="45DC5E2A"/>
    <w:lvl w:ilvl="0" w:tentative="0">
      <w:start w:val="1"/>
      <w:numFmt w:val="decimal"/>
      <w:lvlText w:val="%1."/>
      <w:lvlJc w:val="left"/>
      <w:pPr>
        <w:ind w:left="805" w:hanging="420"/>
      </w:pPr>
    </w:lvl>
    <w:lvl w:ilvl="1" w:tentative="0">
      <w:start w:val="1"/>
      <w:numFmt w:val="lowerLetter"/>
      <w:lvlText w:val="%2)"/>
      <w:lvlJc w:val="left"/>
      <w:pPr>
        <w:ind w:left="1225" w:hanging="420"/>
      </w:pPr>
    </w:lvl>
    <w:lvl w:ilvl="2" w:tentative="0">
      <w:start w:val="1"/>
      <w:numFmt w:val="lowerRoman"/>
      <w:lvlText w:val="%3."/>
      <w:lvlJc w:val="right"/>
      <w:pPr>
        <w:ind w:left="1645" w:hanging="420"/>
      </w:pPr>
    </w:lvl>
    <w:lvl w:ilvl="3" w:tentative="0">
      <w:start w:val="1"/>
      <w:numFmt w:val="decimal"/>
      <w:lvlText w:val="%4."/>
      <w:lvlJc w:val="left"/>
      <w:pPr>
        <w:ind w:left="2065" w:hanging="420"/>
      </w:pPr>
    </w:lvl>
    <w:lvl w:ilvl="4" w:tentative="0">
      <w:start w:val="1"/>
      <w:numFmt w:val="lowerLetter"/>
      <w:lvlText w:val="%5)"/>
      <w:lvlJc w:val="left"/>
      <w:pPr>
        <w:ind w:left="2485" w:hanging="420"/>
      </w:pPr>
    </w:lvl>
    <w:lvl w:ilvl="5" w:tentative="0">
      <w:start w:val="1"/>
      <w:numFmt w:val="lowerRoman"/>
      <w:lvlText w:val="%6."/>
      <w:lvlJc w:val="right"/>
      <w:pPr>
        <w:ind w:left="2905" w:hanging="420"/>
      </w:pPr>
    </w:lvl>
    <w:lvl w:ilvl="6" w:tentative="0">
      <w:start w:val="1"/>
      <w:numFmt w:val="decimal"/>
      <w:lvlText w:val="%7."/>
      <w:lvlJc w:val="left"/>
      <w:pPr>
        <w:ind w:left="3325" w:hanging="420"/>
      </w:pPr>
    </w:lvl>
    <w:lvl w:ilvl="7" w:tentative="0">
      <w:start w:val="1"/>
      <w:numFmt w:val="lowerLetter"/>
      <w:lvlText w:val="%8)"/>
      <w:lvlJc w:val="left"/>
      <w:pPr>
        <w:ind w:left="3745" w:hanging="420"/>
      </w:pPr>
    </w:lvl>
    <w:lvl w:ilvl="8" w:tentative="0">
      <w:start w:val="1"/>
      <w:numFmt w:val="lowerRoman"/>
      <w:lvlText w:val="%9."/>
      <w:lvlJc w:val="right"/>
      <w:pPr>
        <w:ind w:left="4165" w:hanging="420"/>
      </w:pPr>
    </w:lvl>
  </w:abstractNum>
  <w:abstractNum w:abstractNumId="37">
    <w:nsid w:val="4B8E5DBA"/>
    <w:multiLevelType w:val="multilevel"/>
    <w:tmpl w:val="4B8E5DBA"/>
    <w:lvl w:ilvl="0" w:tentative="0">
      <w:start w:val="1"/>
      <w:numFmt w:val="chineseCountingThousand"/>
      <w:lvlText w:val="(%1)"/>
      <w:lvlJc w:val="left"/>
      <w:pPr>
        <w:ind w:left="420" w:hanging="420"/>
      </w:pPr>
      <w:rPr>
        <w:rFonts w:cs="Times New Roman"/>
      </w:rPr>
    </w:lvl>
    <w:lvl w:ilvl="1" w:tentative="0">
      <w:start w:val="1"/>
      <w:numFmt w:val="chineseCountingThousand"/>
      <w:lvlText w:val="(%2)"/>
      <w:lvlJc w:val="left"/>
      <w:pPr>
        <w:ind w:left="272" w:firstLine="148"/>
      </w:pPr>
      <w:rPr>
        <w:rFonts w:hint="eastAsia"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8">
    <w:nsid w:val="54F403B5"/>
    <w:multiLevelType w:val="singleLevel"/>
    <w:tmpl w:val="54F403B5"/>
    <w:lvl w:ilvl="0" w:tentative="0">
      <w:start w:val="1"/>
      <w:numFmt w:val="chineseCounting"/>
      <w:suff w:val="nothing"/>
      <w:lvlText w:val="%1、"/>
      <w:lvlJc w:val="left"/>
      <w:rPr>
        <w:rFonts w:cs="Times New Roman"/>
      </w:rPr>
    </w:lvl>
  </w:abstractNum>
  <w:abstractNum w:abstractNumId="39">
    <w:nsid w:val="557FD3DA"/>
    <w:multiLevelType w:val="singleLevel"/>
    <w:tmpl w:val="557FD3DA"/>
    <w:lvl w:ilvl="0" w:tentative="0">
      <w:start w:val="3"/>
      <w:numFmt w:val="chineseCounting"/>
      <w:suff w:val="nothing"/>
      <w:lvlText w:val="%1、"/>
      <w:lvlJc w:val="left"/>
      <w:rPr>
        <w:rFonts w:cs="Times New Roman"/>
      </w:rPr>
    </w:lvl>
  </w:abstractNum>
  <w:abstractNum w:abstractNumId="40">
    <w:nsid w:val="5FA200D4"/>
    <w:multiLevelType w:val="multilevel"/>
    <w:tmpl w:val="5FA200D4"/>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41">
    <w:nsid w:val="5FF75B03"/>
    <w:multiLevelType w:val="multilevel"/>
    <w:tmpl w:val="5FF75B03"/>
    <w:lvl w:ilvl="0" w:tentative="0">
      <w:start w:val="1"/>
      <w:numFmt w:val="decimal"/>
      <w:lvlText w:val="(%1)"/>
      <w:lvlJc w:val="left"/>
      <w:pPr>
        <w:tabs>
          <w:tab w:val="left" w:pos="840"/>
        </w:tabs>
        <w:ind w:left="840" w:hanging="42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718BE135"/>
    <w:multiLevelType w:val="singleLevel"/>
    <w:tmpl w:val="718BE135"/>
    <w:lvl w:ilvl="0" w:tentative="0">
      <w:start w:val="1"/>
      <w:numFmt w:val="decimal"/>
      <w:suff w:val="nothing"/>
      <w:lvlText w:val="%1．"/>
      <w:lvlJc w:val="left"/>
      <w:pPr>
        <w:ind w:left="0" w:firstLine="400"/>
      </w:pPr>
      <w:rPr>
        <w:rFonts w:hint="default"/>
      </w:rPr>
    </w:lvl>
  </w:abstractNum>
  <w:abstractNum w:abstractNumId="43">
    <w:nsid w:val="75B97CCE"/>
    <w:multiLevelType w:val="multilevel"/>
    <w:tmpl w:val="75B97CCE"/>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3.%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num w:numId="1">
    <w:abstractNumId w:val="10"/>
  </w:num>
  <w:num w:numId="2">
    <w:abstractNumId w:val="8"/>
  </w:num>
  <w:num w:numId="3">
    <w:abstractNumId w:val="23"/>
  </w:num>
  <w:num w:numId="4">
    <w:abstractNumId w:val="16"/>
  </w:num>
  <w:num w:numId="5">
    <w:abstractNumId w:val="34"/>
  </w:num>
  <w:num w:numId="6">
    <w:abstractNumId w:val="28"/>
  </w:num>
  <w:num w:numId="7">
    <w:abstractNumId w:val="1"/>
  </w:num>
  <w:num w:numId="8">
    <w:abstractNumId w:val="19"/>
  </w:num>
  <w:num w:numId="9">
    <w:abstractNumId w:val="25"/>
  </w:num>
  <w:num w:numId="10">
    <w:abstractNumId w:val="35"/>
  </w:num>
  <w:num w:numId="11">
    <w:abstractNumId w:val="7"/>
  </w:num>
  <w:num w:numId="12">
    <w:abstractNumId w:val="2"/>
  </w:num>
  <w:num w:numId="13">
    <w:abstractNumId w:val="6"/>
  </w:num>
  <w:num w:numId="14">
    <w:abstractNumId w:val="43"/>
  </w:num>
  <w:num w:numId="15">
    <w:abstractNumId w:val="40"/>
  </w:num>
  <w:num w:numId="16">
    <w:abstractNumId w:val="11"/>
  </w:num>
  <w:num w:numId="17">
    <w:abstractNumId w:val="18"/>
  </w:num>
  <w:num w:numId="18">
    <w:abstractNumId w:val="26"/>
  </w:num>
  <w:num w:numId="19">
    <w:abstractNumId w:val="33"/>
  </w:num>
  <w:num w:numId="20">
    <w:abstractNumId w:val="32"/>
  </w:num>
  <w:num w:numId="21">
    <w:abstractNumId w:val="9"/>
  </w:num>
  <w:num w:numId="22">
    <w:abstractNumId w:val="12"/>
  </w:num>
  <w:num w:numId="23">
    <w:abstractNumId w:val="0"/>
  </w:num>
  <w:num w:numId="24">
    <w:abstractNumId w:val="5"/>
  </w:num>
  <w:num w:numId="25">
    <w:abstractNumId w:val="17"/>
  </w:num>
  <w:num w:numId="26">
    <w:abstractNumId w:val="21"/>
  </w:num>
  <w:num w:numId="27">
    <w:abstractNumId w:val="24"/>
  </w:num>
  <w:num w:numId="28">
    <w:abstractNumId w:val="13"/>
  </w:num>
  <w:num w:numId="29">
    <w:abstractNumId w:val="27"/>
  </w:num>
  <w:num w:numId="30">
    <w:abstractNumId w:val="22"/>
  </w:num>
  <w:num w:numId="31">
    <w:abstractNumId w:val="20"/>
  </w:num>
  <w:num w:numId="32">
    <w:abstractNumId w:val="3"/>
  </w:num>
  <w:num w:numId="33">
    <w:abstractNumId w:val="29"/>
  </w:num>
  <w:num w:numId="34">
    <w:abstractNumId w:val="30"/>
  </w:num>
  <w:num w:numId="35">
    <w:abstractNumId w:val="31"/>
  </w:num>
  <w:num w:numId="36">
    <w:abstractNumId w:val="4"/>
  </w:num>
  <w:num w:numId="37">
    <w:abstractNumId w:val="14"/>
  </w:num>
  <w:num w:numId="38">
    <w:abstractNumId w:val="41"/>
  </w:num>
  <w:num w:numId="39">
    <w:abstractNumId w:val="15"/>
  </w:num>
  <w:num w:numId="40">
    <w:abstractNumId w:val="42"/>
  </w:num>
  <w:num w:numId="41">
    <w:abstractNumId w:val="36"/>
  </w:num>
  <w:num w:numId="42">
    <w:abstractNumId w:val="37"/>
  </w:num>
  <w:num w:numId="43">
    <w:abstractNumId w:val="38"/>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MjI4N2UzZjI0NWEyMGU4MjNjMmFiZWVkZWZhMWUifQ=="/>
  </w:docVars>
  <w:rsids>
    <w:rsidRoot w:val="00172A27"/>
    <w:rsid w:val="0000141E"/>
    <w:rsid w:val="00002648"/>
    <w:rsid w:val="00006DDC"/>
    <w:rsid w:val="000121B8"/>
    <w:rsid w:val="000127DB"/>
    <w:rsid w:val="000165B4"/>
    <w:rsid w:val="00016E22"/>
    <w:rsid w:val="0002209E"/>
    <w:rsid w:val="00026995"/>
    <w:rsid w:val="00034949"/>
    <w:rsid w:val="00036886"/>
    <w:rsid w:val="00036B31"/>
    <w:rsid w:val="00043198"/>
    <w:rsid w:val="00047B5F"/>
    <w:rsid w:val="00050004"/>
    <w:rsid w:val="00052879"/>
    <w:rsid w:val="00052D0F"/>
    <w:rsid w:val="000535A1"/>
    <w:rsid w:val="00054A90"/>
    <w:rsid w:val="00055D42"/>
    <w:rsid w:val="00060E56"/>
    <w:rsid w:val="000614C5"/>
    <w:rsid w:val="000632AC"/>
    <w:rsid w:val="00064C0F"/>
    <w:rsid w:val="00066263"/>
    <w:rsid w:val="000760D6"/>
    <w:rsid w:val="000820F8"/>
    <w:rsid w:val="00082490"/>
    <w:rsid w:val="000829D0"/>
    <w:rsid w:val="000835F2"/>
    <w:rsid w:val="00084021"/>
    <w:rsid w:val="0008542C"/>
    <w:rsid w:val="000857A4"/>
    <w:rsid w:val="00091EB8"/>
    <w:rsid w:val="00092B21"/>
    <w:rsid w:val="000963A6"/>
    <w:rsid w:val="0009658B"/>
    <w:rsid w:val="0009687B"/>
    <w:rsid w:val="00097950"/>
    <w:rsid w:val="000A0CED"/>
    <w:rsid w:val="000A10FE"/>
    <w:rsid w:val="000A1B8E"/>
    <w:rsid w:val="000B01F9"/>
    <w:rsid w:val="000B21A2"/>
    <w:rsid w:val="000B2D87"/>
    <w:rsid w:val="000B45FB"/>
    <w:rsid w:val="000B5CA3"/>
    <w:rsid w:val="000C1990"/>
    <w:rsid w:val="000D01FE"/>
    <w:rsid w:val="000D1A2D"/>
    <w:rsid w:val="000D272C"/>
    <w:rsid w:val="000D484D"/>
    <w:rsid w:val="000D537A"/>
    <w:rsid w:val="000D6A4F"/>
    <w:rsid w:val="000E0825"/>
    <w:rsid w:val="000E091B"/>
    <w:rsid w:val="000E2FE4"/>
    <w:rsid w:val="000E41FB"/>
    <w:rsid w:val="000F1146"/>
    <w:rsid w:val="000F431E"/>
    <w:rsid w:val="000F718F"/>
    <w:rsid w:val="0010148C"/>
    <w:rsid w:val="0010394F"/>
    <w:rsid w:val="00105553"/>
    <w:rsid w:val="00106896"/>
    <w:rsid w:val="00106DAC"/>
    <w:rsid w:val="00110F01"/>
    <w:rsid w:val="001114B4"/>
    <w:rsid w:val="001128A5"/>
    <w:rsid w:val="00114DD2"/>
    <w:rsid w:val="00121855"/>
    <w:rsid w:val="00124923"/>
    <w:rsid w:val="00126EC8"/>
    <w:rsid w:val="00127C3B"/>
    <w:rsid w:val="00131C77"/>
    <w:rsid w:val="00135A8D"/>
    <w:rsid w:val="00136450"/>
    <w:rsid w:val="001415E0"/>
    <w:rsid w:val="001425A5"/>
    <w:rsid w:val="00143586"/>
    <w:rsid w:val="00145B82"/>
    <w:rsid w:val="00147930"/>
    <w:rsid w:val="00155724"/>
    <w:rsid w:val="00155E7F"/>
    <w:rsid w:val="00157B00"/>
    <w:rsid w:val="00161EFD"/>
    <w:rsid w:val="001622FB"/>
    <w:rsid w:val="00164A6A"/>
    <w:rsid w:val="00164BD8"/>
    <w:rsid w:val="0016733F"/>
    <w:rsid w:val="001729C4"/>
    <w:rsid w:val="00172A27"/>
    <w:rsid w:val="00174BD4"/>
    <w:rsid w:val="00176D05"/>
    <w:rsid w:val="00180CCC"/>
    <w:rsid w:val="00183A9D"/>
    <w:rsid w:val="0018607C"/>
    <w:rsid w:val="001916A1"/>
    <w:rsid w:val="001919F1"/>
    <w:rsid w:val="00193603"/>
    <w:rsid w:val="00194D8A"/>
    <w:rsid w:val="00195F4A"/>
    <w:rsid w:val="00196B04"/>
    <w:rsid w:val="001A041D"/>
    <w:rsid w:val="001A16FB"/>
    <w:rsid w:val="001A1733"/>
    <w:rsid w:val="001A2297"/>
    <w:rsid w:val="001A2FED"/>
    <w:rsid w:val="001B3A08"/>
    <w:rsid w:val="001B58E0"/>
    <w:rsid w:val="001B5F87"/>
    <w:rsid w:val="001C5582"/>
    <w:rsid w:val="001D15FC"/>
    <w:rsid w:val="001D313E"/>
    <w:rsid w:val="001D5635"/>
    <w:rsid w:val="001E0A96"/>
    <w:rsid w:val="001E0D58"/>
    <w:rsid w:val="001E2081"/>
    <w:rsid w:val="001E282D"/>
    <w:rsid w:val="001E3ABB"/>
    <w:rsid w:val="001F093B"/>
    <w:rsid w:val="001F3C50"/>
    <w:rsid w:val="001F59B6"/>
    <w:rsid w:val="001F6EDE"/>
    <w:rsid w:val="001F7D38"/>
    <w:rsid w:val="00200FDE"/>
    <w:rsid w:val="00202AB8"/>
    <w:rsid w:val="002103BD"/>
    <w:rsid w:val="00211362"/>
    <w:rsid w:val="00212975"/>
    <w:rsid w:val="00213C70"/>
    <w:rsid w:val="00217D0A"/>
    <w:rsid w:val="00220723"/>
    <w:rsid w:val="00227BE1"/>
    <w:rsid w:val="00232387"/>
    <w:rsid w:val="00233988"/>
    <w:rsid w:val="00235467"/>
    <w:rsid w:val="002370E3"/>
    <w:rsid w:val="002376B8"/>
    <w:rsid w:val="00237AB6"/>
    <w:rsid w:val="00241128"/>
    <w:rsid w:val="00250873"/>
    <w:rsid w:val="00252267"/>
    <w:rsid w:val="002567B5"/>
    <w:rsid w:val="00256EBD"/>
    <w:rsid w:val="00260772"/>
    <w:rsid w:val="00260E8B"/>
    <w:rsid w:val="002615CA"/>
    <w:rsid w:val="002622CB"/>
    <w:rsid w:val="00262565"/>
    <w:rsid w:val="002635D5"/>
    <w:rsid w:val="002635E0"/>
    <w:rsid w:val="00263A77"/>
    <w:rsid w:val="002657D7"/>
    <w:rsid w:val="00265EEA"/>
    <w:rsid w:val="00266C30"/>
    <w:rsid w:val="00274C71"/>
    <w:rsid w:val="00275D64"/>
    <w:rsid w:val="00276A15"/>
    <w:rsid w:val="0028110F"/>
    <w:rsid w:val="00284F61"/>
    <w:rsid w:val="00292A4A"/>
    <w:rsid w:val="002941A0"/>
    <w:rsid w:val="0029448D"/>
    <w:rsid w:val="00294A1D"/>
    <w:rsid w:val="00295B9B"/>
    <w:rsid w:val="002A2663"/>
    <w:rsid w:val="002A5054"/>
    <w:rsid w:val="002A746C"/>
    <w:rsid w:val="002B0958"/>
    <w:rsid w:val="002B1644"/>
    <w:rsid w:val="002B3A52"/>
    <w:rsid w:val="002B7565"/>
    <w:rsid w:val="002C02FE"/>
    <w:rsid w:val="002C2C4F"/>
    <w:rsid w:val="002D591F"/>
    <w:rsid w:val="002E0575"/>
    <w:rsid w:val="002E3D10"/>
    <w:rsid w:val="002F1A18"/>
    <w:rsid w:val="002F69C5"/>
    <w:rsid w:val="00301242"/>
    <w:rsid w:val="00301692"/>
    <w:rsid w:val="00301C08"/>
    <w:rsid w:val="00306D49"/>
    <w:rsid w:val="00307C0E"/>
    <w:rsid w:val="00310C69"/>
    <w:rsid w:val="00312DEB"/>
    <w:rsid w:val="003145BC"/>
    <w:rsid w:val="00317B9C"/>
    <w:rsid w:val="00320795"/>
    <w:rsid w:val="00324628"/>
    <w:rsid w:val="00324BE1"/>
    <w:rsid w:val="00334FD4"/>
    <w:rsid w:val="00335CE6"/>
    <w:rsid w:val="003404F6"/>
    <w:rsid w:val="0034116E"/>
    <w:rsid w:val="003441D5"/>
    <w:rsid w:val="00344BB4"/>
    <w:rsid w:val="00344DF5"/>
    <w:rsid w:val="00344FBB"/>
    <w:rsid w:val="00350909"/>
    <w:rsid w:val="00351CB5"/>
    <w:rsid w:val="0035416E"/>
    <w:rsid w:val="00356370"/>
    <w:rsid w:val="00360F52"/>
    <w:rsid w:val="00363379"/>
    <w:rsid w:val="00363C43"/>
    <w:rsid w:val="00364D5B"/>
    <w:rsid w:val="003661AC"/>
    <w:rsid w:val="003664AD"/>
    <w:rsid w:val="00371D65"/>
    <w:rsid w:val="00371F2F"/>
    <w:rsid w:val="00373691"/>
    <w:rsid w:val="00380B0F"/>
    <w:rsid w:val="00382112"/>
    <w:rsid w:val="00387EF0"/>
    <w:rsid w:val="00392B8B"/>
    <w:rsid w:val="003937D6"/>
    <w:rsid w:val="003979B5"/>
    <w:rsid w:val="00397A98"/>
    <w:rsid w:val="00397AB3"/>
    <w:rsid w:val="003A0166"/>
    <w:rsid w:val="003A0A34"/>
    <w:rsid w:val="003A1C8A"/>
    <w:rsid w:val="003B2A45"/>
    <w:rsid w:val="003B6B64"/>
    <w:rsid w:val="003C2128"/>
    <w:rsid w:val="003C7D51"/>
    <w:rsid w:val="003D218F"/>
    <w:rsid w:val="003D6437"/>
    <w:rsid w:val="003D75FA"/>
    <w:rsid w:val="003E050F"/>
    <w:rsid w:val="003E11A5"/>
    <w:rsid w:val="003F051B"/>
    <w:rsid w:val="003F0B9B"/>
    <w:rsid w:val="003F1859"/>
    <w:rsid w:val="003F25E3"/>
    <w:rsid w:val="003F3F19"/>
    <w:rsid w:val="003F4EF1"/>
    <w:rsid w:val="003F51AE"/>
    <w:rsid w:val="00400616"/>
    <w:rsid w:val="004013C5"/>
    <w:rsid w:val="00401CD6"/>
    <w:rsid w:val="00402198"/>
    <w:rsid w:val="00402D52"/>
    <w:rsid w:val="0040311F"/>
    <w:rsid w:val="00403585"/>
    <w:rsid w:val="00410322"/>
    <w:rsid w:val="004121E7"/>
    <w:rsid w:val="00412DCB"/>
    <w:rsid w:val="00412F5E"/>
    <w:rsid w:val="00415257"/>
    <w:rsid w:val="00421A6F"/>
    <w:rsid w:val="004246BE"/>
    <w:rsid w:val="00426118"/>
    <w:rsid w:val="00432D22"/>
    <w:rsid w:val="0043716C"/>
    <w:rsid w:val="00437446"/>
    <w:rsid w:val="0044260A"/>
    <w:rsid w:val="00444BC9"/>
    <w:rsid w:val="0044657E"/>
    <w:rsid w:val="004506C3"/>
    <w:rsid w:val="00451485"/>
    <w:rsid w:val="004518D0"/>
    <w:rsid w:val="00452E51"/>
    <w:rsid w:val="004541D6"/>
    <w:rsid w:val="004564A1"/>
    <w:rsid w:val="004626A7"/>
    <w:rsid w:val="00470271"/>
    <w:rsid w:val="004715AE"/>
    <w:rsid w:val="00475FA8"/>
    <w:rsid w:val="00484DDE"/>
    <w:rsid w:val="00486E8B"/>
    <w:rsid w:val="00487587"/>
    <w:rsid w:val="00490C24"/>
    <w:rsid w:val="00491F16"/>
    <w:rsid w:val="0049347A"/>
    <w:rsid w:val="00496BB0"/>
    <w:rsid w:val="00496C5D"/>
    <w:rsid w:val="0049721A"/>
    <w:rsid w:val="004A5E0F"/>
    <w:rsid w:val="004B3CD6"/>
    <w:rsid w:val="004B63C9"/>
    <w:rsid w:val="004C1FBB"/>
    <w:rsid w:val="004C47EF"/>
    <w:rsid w:val="004C6142"/>
    <w:rsid w:val="004C6965"/>
    <w:rsid w:val="004D0B59"/>
    <w:rsid w:val="004D0CDF"/>
    <w:rsid w:val="004D18D9"/>
    <w:rsid w:val="004D25DB"/>
    <w:rsid w:val="004D2807"/>
    <w:rsid w:val="004D2C75"/>
    <w:rsid w:val="004D47F9"/>
    <w:rsid w:val="004D4A5F"/>
    <w:rsid w:val="004E2483"/>
    <w:rsid w:val="004E3C48"/>
    <w:rsid w:val="004F1D91"/>
    <w:rsid w:val="004F5CD4"/>
    <w:rsid w:val="004F7891"/>
    <w:rsid w:val="00500121"/>
    <w:rsid w:val="005076FC"/>
    <w:rsid w:val="005110ED"/>
    <w:rsid w:val="00514DCF"/>
    <w:rsid w:val="00516E87"/>
    <w:rsid w:val="00517441"/>
    <w:rsid w:val="00520F3F"/>
    <w:rsid w:val="005213BB"/>
    <w:rsid w:val="00524E75"/>
    <w:rsid w:val="00525027"/>
    <w:rsid w:val="00526613"/>
    <w:rsid w:val="00527011"/>
    <w:rsid w:val="00541316"/>
    <w:rsid w:val="00545044"/>
    <w:rsid w:val="00547574"/>
    <w:rsid w:val="0054780A"/>
    <w:rsid w:val="00553637"/>
    <w:rsid w:val="005546AC"/>
    <w:rsid w:val="00557885"/>
    <w:rsid w:val="005616E0"/>
    <w:rsid w:val="00565F3B"/>
    <w:rsid w:val="00567B0F"/>
    <w:rsid w:val="00567C84"/>
    <w:rsid w:val="0057049C"/>
    <w:rsid w:val="00570836"/>
    <w:rsid w:val="00570D79"/>
    <w:rsid w:val="00571050"/>
    <w:rsid w:val="00571BBE"/>
    <w:rsid w:val="00573612"/>
    <w:rsid w:val="00575E69"/>
    <w:rsid w:val="00576659"/>
    <w:rsid w:val="00587862"/>
    <w:rsid w:val="00587FDB"/>
    <w:rsid w:val="0059042F"/>
    <w:rsid w:val="00590BFD"/>
    <w:rsid w:val="00592304"/>
    <w:rsid w:val="0059616E"/>
    <w:rsid w:val="005A15FD"/>
    <w:rsid w:val="005A1B0C"/>
    <w:rsid w:val="005A4240"/>
    <w:rsid w:val="005A54C4"/>
    <w:rsid w:val="005A58BE"/>
    <w:rsid w:val="005B08DD"/>
    <w:rsid w:val="005B0AA8"/>
    <w:rsid w:val="005B7C92"/>
    <w:rsid w:val="005C66EB"/>
    <w:rsid w:val="005C7EFE"/>
    <w:rsid w:val="005D645D"/>
    <w:rsid w:val="005D6A0B"/>
    <w:rsid w:val="005E0DF7"/>
    <w:rsid w:val="005E4C3B"/>
    <w:rsid w:val="005E5640"/>
    <w:rsid w:val="005F23A5"/>
    <w:rsid w:val="005F5AD2"/>
    <w:rsid w:val="005F7241"/>
    <w:rsid w:val="005F7E60"/>
    <w:rsid w:val="00601DF5"/>
    <w:rsid w:val="00602D5A"/>
    <w:rsid w:val="0060675C"/>
    <w:rsid w:val="00607ABB"/>
    <w:rsid w:val="006118EA"/>
    <w:rsid w:val="006139EF"/>
    <w:rsid w:val="00616A22"/>
    <w:rsid w:val="006179D0"/>
    <w:rsid w:val="00621D3B"/>
    <w:rsid w:val="00623476"/>
    <w:rsid w:val="006243A9"/>
    <w:rsid w:val="006262DE"/>
    <w:rsid w:val="00627795"/>
    <w:rsid w:val="006315F0"/>
    <w:rsid w:val="00631CFD"/>
    <w:rsid w:val="00632294"/>
    <w:rsid w:val="00635B83"/>
    <w:rsid w:val="00637985"/>
    <w:rsid w:val="00641FC0"/>
    <w:rsid w:val="006477F3"/>
    <w:rsid w:val="006516C6"/>
    <w:rsid w:val="00653AD7"/>
    <w:rsid w:val="00655FD6"/>
    <w:rsid w:val="00657684"/>
    <w:rsid w:val="00660502"/>
    <w:rsid w:val="006633D7"/>
    <w:rsid w:val="0066418E"/>
    <w:rsid w:val="0066519D"/>
    <w:rsid w:val="00666528"/>
    <w:rsid w:val="006671FA"/>
    <w:rsid w:val="006674FC"/>
    <w:rsid w:val="006675A5"/>
    <w:rsid w:val="00671FBB"/>
    <w:rsid w:val="006743AA"/>
    <w:rsid w:val="0067484B"/>
    <w:rsid w:val="006856C4"/>
    <w:rsid w:val="00685C52"/>
    <w:rsid w:val="0068702B"/>
    <w:rsid w:val="0069117B"/>
    <w:rsid w:val="00694F25"/>
    <w:rsid w:val="0069624A"/>
    <w:rsid w:val="006974E4"/>
    <w:rsid w:val="006A2C4F"/>
    <w:rsid w:val="006A432B"/>
    <w:rsid w:val="006A5F97"/>
    <w:rsid w:val="006A68C4"/>
    <w:rsid w:val="006B01EB"/>
    <w:rsid w:val="006B2B3D"/>
    <w:rsid w:val="006B6D23"/>
    <w:rsid w:val="006C0BC4"/>
    <w:rsid w:val="006C0E47"/>
    <w:rsid w:val="006C1B0F"/>
    <w:rsid w:val="006C24E0"/>
    <w:rsid w:val="006C321F"/>
    <w:rsid w:val="006C6CC9"/>
    <w:rsid w:val="006C795F"/>
    <w:rsid w:val="006C7A92"/>
    <w:rsid w:val="006D05FC"/>
    <w:rsid w:val="006D3F9C"/>
    <w:rsid w:val="006D4597"/>
    <w:rsid w:val="006D45C0"/>
    <w:rsid w:val="006E0683"/>
    <w:rsid w:val="006E4599"/>
    <w:rsid w:val="006E6354"/>
    <w:rsid w:val="006F08E3"/>
    <w:rsid w:val="006F10A8"/>
    <w:rsid w:val="006F1910"/>
    <w:rsid w:val="006F53FD"/>
    <w:rsid w:val="006F6217"/>
    <w:rsid w:val="006F6773"/>
    <w:rsid w:val="006F6FD6"/>
    <w:rsid w:val="006F73A3"/>
    <w:rsid w:val="006F7407"/>
    <w:rsid w:val="007006D9"/>
    <w:rsid w:val="00700A61"/>
    <w:rsid w:val="00703A0F"/>
    <w:rsid w:val="007100CC"/>
    <w:rsid w:val="007118C2"/>
    <w:rsid w:val="0071754E"/>
    <w:rsid w:val="00717BE8"/>
    <w:rsid w:val="0072154D"/>
    <w:rsid w:val="007232F6"/>
    <w:rsid w:val="00726C50"/>
    <w:rsid w:val="007271F2"/>
    <w:rsid w:val="007309B0"/>
    <w:rsid w:val="00732C1E"/>
    <w:rsid w:val="00737361"/>
    <w:rsid w:val="00742CDF"/>
    <w:rsid w:val="00746787"/>
    <w:rsid w:val="0075314A"/>
    <w:rsid w:val="00753166"/>
    <w:rsid w:val="00754C6D"/>
    <w:rsid w:val="0075510F"/>
    <w:rsid w:val="0076217A"/>
    <w:rsid w:val="00766C1A"/>
    <w:rsid w:val="00770A21"/>
    <w:rsid w:val="00771EAE"/>
    <w:rsid w:val="00774761"/>
    <w:rsid w:val="00775DDD"/>
    <w:rsid w:val="00776D1C"/>
    <w:rsid w:val="00777F4A"/>
    <w:rsid w:val="00781227"/>
    <w:rsid w:val="007823D0"/>
    <w:rsid w:val="0079311B"/>
    <w:rsid w:val="00794D61"/>
    <w:rsid w:val="007A4E26"/>
    <w:rsid w:val="007A6437"/>
    <w:rsid w:val="007B51CE"/>
    <w:rsid w:val="007B6B0B"/>
    <w:rsid w:val="007B6CFB"/>
    <w:rsid w:val="007C11FF"/>
    <w:rsid w:val="007C69CD"/>
    <w:rsid w:val="007D042D"/>
    <w:rsid w:val="007D232E"/>
    <w:rsid w:val="007D2882"/>
    <w:rsid w:val="007D363E"/>
    <w:rsid w:val="007E62D7"/>
    <w:rsid w:val="007F0D3D"/>
    <w:rsid w:val="007F15C9"/>
    <w:rsid w:val="007F1F64"/>
    <w:rsid w:val="007F2B02"/>
    <w:rsid w:val="00802C11"/>
    <w:rsid w:val="00805E54"/>
    <w:rsid w:val="0080683F"/>
    <w:rsid w:val="00807317"/>
    <w:rsid w:val="00810789"/>
    <w:rsid w:val="00811DFB"/>
    <w:rsid w:val="008208C7"/>
    <w:rsid w:val="008211B0"/>
    <w:rsid w:val="00821CA7"/>
    <w:rsid w:val="008260E0"/>
    <w:rsid w:val="0082754D"/>
    <w:rsid w:val="00830095"/>
    <w:rsid w:val="00831135"/>
    <w:rsid w:val="00833575"/>
    <w:rsid w:val="008355EE"/>
    <w:rsid w:val="008361AC"/>
    <w:rsid w:val="00836576"/>
    <w:rsid w:val="0083760F"/>
    <w:rsid w:val="00841DDD"/>
    <w:rsid w:val="008431C6"/>
    <w:rsid w:val="00844E3D"/>
    <w:rsid w:val="00845D96"/>
    <w:rsid w:val="008504F9"/>
    <w:rsid w:val="00852139"/>
    <w:rsid w:val="008560CB"/>
    <w:rsid w:val="0086372A"/>
    <w:rsid w:val="00865DB4"/>
    <w:rsid w:val="00866AEE"/>
    <w:rsid w:val="00870498"/>
    <w:rsid w:val="00871403"/>
    <w:rsid w:val="00873989"/>
    <w:rsid w:val="00877C1E"/>
    <w:rsid w:val="00880C78"/>
    <w:rsid w:val="008813C5"/>
    <w:rsid w:val="008814E3"/>
    <w:rsid w:val="00882A73"/>
    <w:rsid w:val="0088445D"/>
    <w:rsid w:val="00887392"/>
    <w:rsid w:val="00890662"/>
    <w:rsid w:val="0089437F"/>
    <w:rsid w:val="0089647C"/>
    <w:rsid w:val="0089684F"/>
    <w:rsid w:val="0089713A"/>
    <w:rsid w:val="008A0FCE"/>
    <w:rsid w:val="008A1588"/>
    <w:rsid w:val="008A1AA3"/>
    <w:rsid w:val="008A1D0D"/>
    <w:rsid w:val="008A1F5B"/>
    <w:rsid w:val="008A28A5"/>
    <w:rsid w:val="008A406E"/>
    <w:rsid w:val="008A7525"/>
    <w:rsid w:val="008B10FF"/>
    <w:rsid w:val="008B342B"/>
    <w:rsid w:val="008B69CB"/>
    <w:rsid w:val="008C0DED"/>
    <w:rsid w:val="008C6C69"/>
    <w:rsid w:val="008E306E"/>
    <w:rsid w:val="008E45FE"/>
    <w:rsid w:val="008E6063"/>
    <w:rsid w:val="008F2A80"/>
    <w:rsid w:val="008F3B95"/>
    <w:rsid w:val="00900B53"/>
    <w:rsid w:val="00901015"/>
    <w:rsid w:val="00901468"/>
    <w:rsid w:val="0090174C"/>
    <w:rsid w:val="0090330A"/>
    <w:rsid w:val="009037BD"/>
    <w:rsid w:val="00905097"/>
    <w:rsid w:val="009062A2"/>
    <w:rsid w:val="00906C5E"/>
    <w:rsid w:val="00906DA9"/>
    <w:rsid w:val="0092109C"/>
    <w:rsid w:val="009225BE"/>
    <w:rsid w:val="0092583D"/>
    <w:rsid w:val="00932688"/>
    <w:rsid w:val="00933426"/>
    <w:rsid w:val="00934057"/>
    <w:rsid w:val="0093592E"/>
    <w:rsid w:val="0093645A"/>
    <w:rsid w:val="00936A28"/>
    <w:rsid w:val="00936F23"/>
    <w:rsid w:val="00950E78"/>
    <w:rsid w:val="0095470B"/>
    <w:rsid w:val="00955AE5"/>
    <w:rsid w:val="00957F16"/>
    <w:rsid w:val="009603E9"/>
    <w:rsid w:val="00964865"/>
    <w:rsid w:val="00973E8F"/>
    <w:rsid w:val="00975E57"/>
    <w:rsid w:val="009808C4"/>
    <w:rsid w:val="00980C81"/>
    <w:rsid w:val="00983722"/>
    <w:rsid w:val="00985F73"/>
    <w:rsid w:val="009900A9"/>
    <w:rsid w:val="00990B32"/>
    <w:rsid w:val="00990D82"/>
    <w:rsid w:val="0099639D"/>
    <w:rsid w:val="00996C5E"/>
    <w:rsid w:val="009974F5"/>
    <w:rsid w:val="009A0667"/>
    <w:rsid w:val="009A0784"/>
    <w:rsid w:val="009B0F03"/>
    <w:rsid w:val="009B0FD4"/>
    <w:rsid w:val="009B4BE8"/>
    <w:rsid w:val="009B56DA"/>
    <w:rsid w:val="009B5CB3"/>
    <w:rsid w:val="009B7160"/>
    <w:rsid w:val="009C649A"/>
    <w:rsid w:val="009D2136"/>
    <w:rsid w:val="009D4FB3"/>
    <w:rsid w:val="009D76D9"/>
    <w:rsid w:val="009E394B"/>
    <w:rsid w:val="009E627B"/>
    <w:rsid w:val="009E79C1"/>
    <w:rsid w:val="009F0835"/>
    <w:rsid w:val="009F5369"/>
    <w:rsid w:val="00A00D9B"/>
    <w:rsid w:val="00A04FCF"/>
    <w:rsid w:val="00A20710"/>
    <w:rsid w:val="00A27D49"/>
    <w:rsid w:val="00A32F47"/>
    <w:rsid w:val="00A3389F"/>
    <w:rsid w:val="00A34701"/>
    <w:rsid w:val="00A36002"/>
    <w:rsid w:val="00A367FF"/>
    <w:rsid w:val="00A37BCF"/>
    <w:rsid w:val="00A43439"/>
    <w:rsid w:val="00A50E72"/>
    <w:rsid w:val="00A52FFA"/>
    <w:rsid w:val="00A53201"/>
    <w:rsid w:val="00A5722F"/>
    <w:rsid w:val="00A61769"/>
    <w:rsid w:val="00A63C59"/>
    <w:rsid w:val="00A65480"/>
    <w:rsid w:val="00A70CD9"/>
    <w:rsid w:val="00A710C7"/>
    <w:rsid w:val="00A71E90"/>
    <w:rsid w:val="00A72F07"/>
    <w:rsid w:val="00A74241"/>
    <w:rsid w:val="00A74EB7"/>
    <w:rsid w:val="00A75958"/>
    <w:rsid w:val="00A76112"/>
    <w:rsid w:val="00A77843"/>
    <w:rsid w:val="00A83E62"/>
    <w:rsid w:val="00A841B5"/>
    <w:rsid w:val="00A8534B"/>
    <w:rsid w:val="00A863B7"/>
    <w:rsid w:val="00A8686B"/>
    <w:rsid w:val="00A91DE7"/>
    <w:rsid w:val="00A9237C"/>
    <w:rsid w:val="00AA15DE"/>
    <w:rsid w:val="00AA2114"/>
    <w:rsid w:val="00AA323D"/>
    <w:rsid w:val="00AA4892"/>
    <w:rsid w:val="00AA6C06"/>
    <w:rsid w:val="00AB128E"/>
    <w:rsid w:val="00AB6079"/>
    <w:rsid w:val="00AC117D"/>
    <w:rsid w:val="00AC14C2"/>
    <w:rsid w:val="00AC18D9"/>
    <w:rsid w:val="00AC47AE"/>
    <w:rsid w:val="00AC4F3C"/>
    <w:rsid w:val="00AD111C"/>
    <w:rsid w:val="00AD1A62"/>
    <w:rsid w:val="00AD2F12"/>
    <w:rsid w:val="00AD3113"/>
    <w:rsid w:val="00AD5C23"/>
    <w:rsid w:val="00AE0B6F"/>
    <w:rsid w:val="00AE6391"/>
    <w:rsid w:val="00AE6E9D"/>
    <w:rsid w:val="00AF0806"/>
    <w:rsid w:val="00AF120B"/>
    <w:rsid w:val="00AF2131"/>
    <w:rsid w:val="00AF23E2"/>
    <w:rsid w:val="00AF2EEC"/>
    <w:rsid w:val="00AF3496"/>
    <w:rsid w:val="00AF734C"/>
    <w:rsid w:val="00B036D5"/>
    <w:rsid w:val="00B045C8"/>
    <w:rsid w:val="00B04B09"/>
    <w:rsid w:val="00B07E05"/>
    <w:rsid w:val="00B12496"/>
    <w:rsid w:val="00B133B5"/>
    <w:rsid w:val="00B14AE3"/>
    <w:rsid w:val="00B16746"/>
    <w:rsid w:val="00B16E56"/>
    <w:rsid w:val="00B172B8"/>
    <w:rsid w:val="00B1761F"/>
    <w:rsid w:val="00B22832"/>
    <w:rsid w:val="00B2432D"/>
    <w:rsid w:val="00B26FCE"/>
    <w:rsid w:val="00B27274"/>
    <w:rsid w:val="00B3406B"/>
    <w:rsid w:val="00B346C3"/>
    <w:rsid w:val="00B3580B"/>
    <w:rsid w:val="00B36A2D"/>
    <w:rsid w:val="00B36CF4"/>
    <w:rsid w:val="00B418B8"/>
    <w:rsid w:val="00B42DB4"/>
    <w:rsid w:val="00B45084"/>
    <w:rsid w:val="00B515E8"/>
    <w:rsid w:val="00B51975"/>
    <w:rsid w:val="00B51B83"/>
    <w:rsid w:val="00B56502"/>
    <w:rsid w:val="00B57625"/>
    <w:rsid w:val="00B57DA6"/>
    <w:rsid w:val="00B602ED"/>
    <w:rsid w:val="00B6163A"/>
    <w:rsid w:val="00B623A4"/>
    <w:rsid w:val="00B628A1"/>
    <w:rsid w:val="00B628A8"/>
    <w:rsid w:val="00B65BDE"/>
    <w:rsid w:val="00B73EA6"/>
    <w:rsid w:val="00B74B36"/>
    <w:rsid w:val="00B8050C"/>
    <w:rsid w:val="00B81454"/>
    <w:rsid w:val="00B931DC"/>
    <w:rsid w:val="00B95166"/>
    <w:rsid w:val="00B95420"/>
    <w:rsid w:val="00BA1C85"/>
    <w:rsid w:val="00BA29DF"/>
    <w:rsid w:val="00BA62EF"/>
    <w:rsid w:val="00BA78CA"/>
    <w:rsid w:val="00BB07CA"/>
    <w:rsid w:val="00BB0929"/>
    <w:rsid w:val="00BB573F"/>
    <w:rsid w:val="00BB5B99"/>
    <w:rsid w:val="00BB6727"/>
    <w:rsid w:val="00BB7E48"/>
    <w:rsid w:val="00BC1730"/>
    <w:rsid w:val="00BC2639"/>
    <w:rsid w:val="00BC4ABA"/>
    <w:rsid w:val="00BC60BD"/>
    <w:rsid w:val="00BD1904"/>
    <w:rsid w:val="00BE01AC"/>
    <w:rsid w:val="00BE1254"/>
    <w:rsid w:val="00BE3F99"/>
    <w:rsid w:val="00BE675D"/>
    <w:rsid w:val="00BF0C75"/>
    <w:rsid w:val="00BF0F76"/>
    <w:rsid w:val="00BF2C1E"/>
    <w:rsid w:val="00BF2C64"/>
    <w:rsid w:val="00BF2ECC"/>
    <w:rsid w:val="00BF508C"/>
    <w:rsid w:val="00C023EC"/>
    <w:rsid w:val="00C02B05"/>
    <w:rsid w:val="00C04C5A"/>
    <w:rsid w:val="00C06207"/>
    <w:rsid w:val="00C151EC"/>
    <w:rsid w:val="00C1571F"/>
    <w:rsid w:val="00C15C61"/>
    <w:rsid w:val="00C2127A"/>
    <w:rsid w:val="00C22C97"/>
    <w:rsid w:val="00C246A0"/>
    <w:rsid w:val="00C261BE"/>
    <w:rsid w:val="00C31EF0"/>
    <w:rsid w:val="00C31FFC"/>
    <w:rsid w:val="00C363BD"/>
    <w:rsid w:val="00C374CC"/>
    <w:rsid w:val="00C40FAC"/>
    <w:rsid w:val="00C4313F"/>
    <w:rsid w:val="00C45F46"/>
    <w:rsid w:val="00C46D8F"/>
    <w:rsid w:val="00C51D19"/>
    <w:rsid w:val="00C53B4A"/>
    <w:rsid w:val="00C55170"/>
    <w:rsid w:val="00C56A28"/>
    <w:rsid w:val="00C57D03"/>
    <w:rsid w:val="00C600DF"/>
    <w:rsid w:val="00C60387"/>
    <w:rsid w:val="00C627E4"/>
    <w:rsid w:val="00C70DEE"/>
    <w:rsid w:val="00C8055A"/>
    <w:rsid w:val="00C81783"/>
    <w:rsid w:val="00C8311A"/>
    <w:rsid w:val="00C86F20"/>
    <w:rsid w:val="00C921CA"/>
    <w:rsid w:val="00C9667B"/>
    <w:rsid w:val="00CA0DBF"/>
    <w:rsid w:val="00CA5B16"/>
    <w:rsid w:val="00CB068A"/>
    <w:rsid w:val="00CB0AE1"/>
    <w:rsid w:val="00CB42E8"/>
    <w:rsid w:val="00CB77A6"/>
    <w:rsid w:val="00CC1F16"/>
    <w:rsid w:val="00CC5AC8"/>
    <w:rsid w:val="00CD0CD4"/>
    <w:rsid w:val="00CD1851"/>
    <w:rsid w:val="00CD2830"/>
    <w:rsid w:val="00CD7C0A"/>
    <w:rsid w:val="00CE3A9C"/>
    <w:rsid w:val="00CE3EE4"/>
    <w:rsid w:val="00CE4577"/>
    <w:rsid w:val="00CF3C27"/>
    <w:rsid w:val="00CF47E4"/>
    <w:rsid w:val="00CF7524"/>
    <w:rsid w:val="00D01511"/>
    <w:rsid w:val="00D01A7D"/>
    <w:rsid w:val="00D22BA8"/>
    <w:rsid w:val="00D25958"/>
    <w:rsid w:val="00D32A17"/>
    <w:rsid w:val="00D32AC4"/>
    <w:rsid w:val="00D3347A"/>
    <w:rsid w:val="00D34318"/>
    <w:rsid w:val="00D44E8C"/>
    <w:rsid w:val="00D46D1F"/>
    <w:rsid w:val="00D478A9"/>
    <w:rsid w:val="00D50337"/>
    <w:rsid w:val="00D55DF4"/>
    <w:rsid w:val="00D57078"/>
    <w:rsid w:val="00D57DE3"/>
    <w:rsid w:val="00D6007F"/>
    <w:rsid w:val="00D62F4E"/>
    <w:rsid w:val="00D6319D"/>
    <w:rsid w:val="00D65C21"/>
    <w:rsid w:val="00D72153"/>
    <w:rsid w:val="00D73606"/>
    <w:rsid w:val="00D74D00"/>
    <w:rsid w:val="00D76560"/>
    <w:rsid w:val="00D80018"/>
    <w:rsid w:val="00D80977"/>
    <w:rsid w:val="00D8185E"/>
    <w:rsid w:val="00D844BB"/>
    <w:rsid w:val="00D91F7A"/>
    <w:rsid w:val="00D92FAD"/>
    <w:rsid w:val="00D9712B"/>
    <w:rsid w:val="00D975E0"/>
    <w:rsid w:val="00DA03D1"/>
    <w:rsid w:val="00DA0C4B"/>
    <w:rsid w:val="00DA1D46"/>
    <w:rsid w:val="00DA2364"/>
    <w:rsid w:val="00DA5759"/>
    <w:rsid w:val="00DB4C61"/>
    <w:rsid w:val="00DC0C06"/>
    <w:rsid w:val="00DC4482"/>
    <w:rsid w:val="00DC6F54"/>
    <w:rsid w:val="00DD0D59"/>
    <w:rsid w:val="00DD1E05"/>
    <w:rsid w:val="00DD23F0"/>
    <w:rsid w:val="00DD2CCC"/>
    <w:rsid w:val="00DD72E5"/>
    <w:rsid w:val="00DE136B"/>
    <w:rsid w:val="00DE2473"/>
    <w:rsid w:val="00DE318D"/>
    <w:rsid w:val="00DE4DF0"/>
    <w:rsid w:val="00DE5426"/>
    <w:rsid w:val="00DE7D3A"/>
    <w:rsid w:val="00DE7F49"/>
    <w:rsid w:val="00DF1C04"/>
    <w:rsid w:val="00DF246B"/>
    <w:rsid w:val="00DF2E65"/>
    <w:rsid w:val="00DF322F"/>
    <w:rsid w:val="00DF416C"/>
    <w:rsid w:val="00E018EC"/>
    <w:rsid w:val="00E03116"/>
    <w:rsid w:val="00E06926"/>
    <w:rsid w:val="00E06927"/>
    <w:rsid w:val="00E07CBE"/>
    <w:rsid w:val="00E10961"/>
    <w:rsid w:val="00E17282"/>
    <w:rsid w:val="00E212AB"/>
    <w:rsid w:val="00E235F0"/>
    <w:rsid w:val="00E24523"/>
    <w:rsid w:val="00E27523"/>
    <w:rsid w:val="00E31748"/>
    <w:rsid w:val="00E3295C"/>
    <w:rsid w:val="00E32DF7"/>
    <w:rsid w:val="00E366A0"/>
    <w:rsid w:val="00E37A16"/>
    <w:rsid w:val="00E41CE1"/>
    <w:rsid w:val="00E422F5"/>
    <w:rsid w:val="00E46338"/>
    <w:rsid w:val="00E467D0"/>
    <w:rsid w:val="00E52EDF"/>
    <w:rsid w:val="00E5304F"/>
    <w:rsid w:val="00E54BE1"/>
    <w:rsid w:val="00E60720"/>
    <w:rsid w:val="00E62CC3"/>
    <w:rsid w:val="00E644ED"/>
    <w:rsid w:val="00E721CE"/>
    <w:rsid w:val="00E74757"/>
    <w:rsid w:val="00E86069"/>
    <w:rsid w:val="00E902CD"/>
    <w:rsid w:val="00E90F95"/>
    <w:rsid w:val="00E92541"/>
    <w:rsid w:val="00E942C0"/>
    <w:rsid w:val="00E9525F"/>
    <w:rsid w:val="00E95AB1"/>
    <w:rsid w:val="00EA1A6A"/>
    <w:rsid w:val="00EA51D9"/>
    <w:rsid w:val="00EB4B6A"/>
    <w:rsid w:val="00EB771A"/>
    <w:rsid w:val="00EC0F1A"/>
    <w:rsid w:val="00EC14A7"/>
    <w:rsid w:val="00EC14CE"/>
    <w:rsid w:val="00EC239B"/>
    <w:rsid w:val="00EC5F22"/>
    <w:rsid w:val="00ED31E7"/>
    <w:rsid w:val="00ED6D65"/>
    <w:rsid w:val="00EE0ABA"/>
    <w:rsid w:val="00EE105A"/>
    <w:rsid w:val="00EE1577"/>
    <w:rsid w:val="00EE2F20"/>
    <w:rsid w:val="00EF1409"/>
    <w:rsid w:val="00EF211F"/>
    <w:rsid w:val="00EF6C2D"/>
    <w:rsid w:val="00EF7E66"/>
    <w:rsid w:val="00F0044F"/>
    <w:rsid w:val="00F00A8A"/>
    <w:rsid w:val="00F01076"/>
    <w:rsid w:val="00F03FFF"/>
    <w:rsid w:val="00F07A08"/>
    <w:rsid w:val="00F119AF"/>
    <w:rsid w:val="00F13525"/>
    <w:rsid w:val="00F13E8F"/>
    <w:rsid w:val="00F16CA0"/>
    <w:rsid w:val="00F173B1"/>
    <w:rsid w:val="00F21AAA"/>
    <w:rsid w:val="00F31974"/>
    <w:rsid w:val="00F3376B"/>
    <w:rsid w:val="00F34A7F"/>
    <w:rsid w:val="00F34C55"/>
    <w:rsid w:val="00F350E0"/>
    <w:rsid w:val="00F3555C"/>
    <w:rsid w:val="00F35BE1"/>
    <w:rsid w:val="00F41948"/>
    <w:rsid w:val="00F447B7"/>
    <w:rsid w:val="00F44FE3"/>
    <w:rsid w:val="00F5009E"/>
    <w:rsid w:val="00F51C0E"/>
    <w:rsid w:val="00F5241F"/>
    <w:rsid w:val="00F534C8"/>
    <w:rsid w:val="00F53A92"/>
    <w:rsid w:val="00F55B17"/>
    <w:rsid w:val="00F55BFF"/>
    <w:rsid w:val="00F55E01"/>
    <w:rsid w:val="00F5727D"/>
    <w:rsid w:val="00F60CF6"/>
    <w:rsid w:val="00F62F8E"/>
    <w:rsid w:val="00F63517"/>
    <w:rsid w:val="00F64EC1"/>
    <w:rsid w:val="00F651CE"/>
    <w:rsid w:val="00F67159"/>
    <w:rsid w:val="00F67277"/>
    <w:rsid w:val="00F71B99"/>
    <w:rsid w:val="00F7356E"/>
    <w:rsid w:val="00F812E7"/>
    <w:rsid w:val="00F8392E"/>
    <w:rsid w:val="00F84BC2"/>
    <w:rsid w:val="00F9153F"/>
    <w:rsid w:val="00F94DBF"/>
    <w:rsid w:val="00F95222"/>
    <w:rsid w:val="00F9658C"/>
    <w:rsid w:val="00F97B89"/>
    <w:rsid w:val="00FA1680"/>
    <w:rsid w:val="00FA1B34"/>
    <w:rsid w:val="00FA4899"/>
    <w:rsid w:val="00FA4C3A"/>
    <w:rsid w:val="00FA79F6"/>
    <w:rsid w:val="00FB2120"/>
    <w:rsid w:val="00FB407C"/>
    <w:rsid w:val="00FB5509"/>
    <w:rsid w:val="00FB5B25"/>
    <w:rsid w:val="00FB62B3"/>
    <w:rsid w:val="00FB6DA4"/>
    <w:rsid w:val="00FC2B2D"/>
    <w:rsid w:val="00FC4184"/>
    <w:rsid w:val="00FC50AE"/>
    <w:rsid w:val="00FC6DCD"/>
    <w:rsid w:val="00FC7CC8"/>
    <w:rsid w:val="00FD70D8"/>
    <w:rsid w:val="00FD7B53"/>
    <w:rsid w:val="00FE3B9A"/>
    <w:rsid w:val="00FE46D3"/>
    <w:rsid w:val="00FE46F4"/>
    <w:rsid w:val="00FE4DC9"/>
    <w:rsid w:val="00FE7CA2"/>
    <w:rsid w:val="00FF1D15"/>
    <w:rsid w:val="00FF2F4F"/>
    <w:rsid w:val="00FF4827"/>
    <w:rsid w:val="01393961"/>
    <w:rsid w:val="01895F66"/>
    <w:rsid w:val="020D1C65"/>
    <w:rsid w:val="020D5122"/>
    <w:rsid w:val="02EA6239"/>
    <w:rsid w:val="030F6088"/>
    <w:rsid w:val="03224562"/>
    <w:rsid w:val="033754C2"/>
    <w:rsid w:val="045A7D1F"/>
    <w:rsid w:val="0492610D"/>
    <w:rsid w:val="0534503D"/>
    <w:rsid w:val="05B42825"/>
    <w:rsid w:val="05D868B2"/>
    <w:rsid w:val="065C2940"/>
    <w:rsid w:val="06A27213"/>
    <w:rsid w:val="06AB431A"/>
    <w:rsid w:val="06AC4000"/>
    <w:rsid w:val="07B57AAD"/>
    <w:rsid w:val="07D84D1A"/>
    <w:rsid w:val="08300C77"/>
    <w:rsid w:val="08404F36"/>
    <w:rsid w:val="08733C00"/>
    <w:rsid w:val="097005B8"/>
    <w:rsid w:val="0A3D02C0"/>
    <w:rsid w:val="0B646560"/>
    <w:rsid w:val="0BA537DB"/>
    <w:rsid w:val="0BB562B0"/>
    <w:rsid w:val="0BB63AAE"/>
    <w:rsid w:val="0BC25C28"/>
    <w:rsid w:val="0BDF12EB"/>
    <w:rsid w:val="0C2D6852"/>
    <w:rsid w:val="0C4E470B"/>
    <w:rsid w:val="0C9E78C1"/>
    <w:rsid w:val="0CB43DDD"/>
    <w:rsid w:val="0D260BD2"/>
    <w:rsid w:val="0D3560FD"/>
    <w:rsid w:val="0D36166F"/>
    <w:rsid w:val="0D6F5208"/>
    <w:rsid w:val="0D7B118C"/>
    <w:rsid w:val="0DC3593C"/>
    <w:rsid w:val="0DE77A82"/>
    <w:rsid w:val="0F17333D"/>
    <w:rsid w:val="100F100C"/>
    <w:rsid w:val="11026FCE"/>
    <w:rsid w:val="120A61E6"/>
    <w:rsid w:val="12CC2248"/>
    <w:rsid w:val="1332046B"/>
    <w:rsid w:val="137E6AD9"/>
    <w:rsid w:val="14077ADA"/>
    <w:rsid w:val="142457BE"/>
    <w:rsid w:val="142F5989"/>
    <w:rsid w:val="14885E31"/>
    <w:rsid w:val="15033B58"/>
    <w:rsid w:val="1581229B"/>
    <w:rsid w:val="15C34AB0"/>
    <w:rsid w:val="162946D6"/>
    <w:rsid w:val="169B5C26"/>
    <w:rsid w:val="16F70EB5"/>
    <w:rsid w:val="17587224"/>
    <w:rsid w:val="17806E60"/>
    <w:rsid w:val="17D11706"/>
    <w:rsid w:val="180351D4"/>
    <w:rsid w:val="18090E9B"/>
    <w:rsid w:val="18622AE5"/>
    <w:rsid w:val="18794099"/>
    <w:rsid w:val="187E113A"/>
    <w:rsid w:val="190B0C48"/>
    <w:rsid w:val="19397FF3"/>
    <w:rsid w:val="19B1055A"/>
    <w:rsid w:val="1AA1530A"/>
    <w:rsid w:val="1BA01B1B"/>
    <w:rsid w:val="1BBA1404"/>
    <w:rsid w:val="1BD8246D"/>
    <w:rsid w:val="1CB93F8E"/>
    <w:rsid w:val="1CF26999"/>
    <w:rsid w:val="1D046BCC"/>
    <w:rsid w:val="1D056636"/>
    <w:rsid w:val="1D0870FF"/>
    <w:rsid w:val="1D303373"/>
    <w:rsid w:val="1D666D95"/>
    <w:rsid w:val="1D725541"/>
    <w:rsid w:val="1D836A53"/>
    <w:rsid w:val="1D892180"/>
    <w:rsid w:val="1DC77687"/>
    <w:rsid w:val="1E024F05"/>
    <w:rsid w:val="1E57588B"/>
    <w:rsid w:val="1EC515DF"/>
    <w:rsid w:val="1EDE428E"/>
    <w:rsid w:val="1EEA2D53"/>
    <w:rsid w:val="206D58F6"/>
    <w:rsid w:val="2198293B"/>
    <w:rsid w:val="21FB0BD1"/>
    <w:rsid w:val="22D84291"/>
    <w:rsid w:val="22F97705"/>
    <w:rsid w:val="230A01C2"/>
    <w:rsid w:val="234F1140"/>
    <w:rsid w:val="23BC6C4B"/>
    <w:rsid w:val="23D51490"/>
    <w:rsid w:val="23EB67CD"/>
    <w:rsid w:val="24681126"/>
    <w:rsid w:val="24806868"/>
    <w:rsid w:val="24B36210"/>
    <w:rsid w:val="24FF1C4C"/>
    <w:rsid w:val="257302A1"/>
    <w:rsid w:val="261B679F"/>
    <w:rsid w:val="26706F3A"/>
    <w:rsid w:val="2675734C"/>
    <w:rsid w:val="26C541EC"/>
    <w:rsid w:val="279D6630"/>
    <w:rsid w:val="27CA7114"/>
    <w:rsid w:val="28C40D70"/>
    <w:rsid w:val="29704EF3"/>
    <w:rsid w:val="2A0F7564"/>
    <w:rsid w:val="2A306F5B"/>
    <w:rsid w:val="2A34236A"/>
    <w:rsid w:val="2AEF4C89"/>
    <w:rsid w:val="2B425F3A"/>
    <w:rsid w:val="2B6B576F"/>
    <w:rsid w:val="2B894F6F"/>
    <w:rsid w:val="2C550AD2"/>
    <w:rsid w:val="2CD37ECB"/>
    <w:rsid w:val="2CE6709D"/>
    <w:rsid w:val="2D136F42"/>
    <w:rsid w:val="2D675E34"/>
    <w:rsid w:val="2DDB2D72"/>
    <w:rsid w:val="2EF00F5D"/>
    <w:rsid w:val="2EF93A12"/>
    <w:rsid w:val="30663AD5"/>
    <w:rsid w:val="3077469A"/>
    <w:rsid w:val="30E57569"/>
    <w:rsid w:val="30F015EC"/>
    <w:rsid w:val="30F86F89"/>
    <w:rsid w:val="31D02811"/>
    <w:rsid w:val="323B3EF4"/>
    <w:rsid w:val="32FB69FE"/>
    <w:rsid w:val="33574AE3"/>
    <w:rsid w:val="336E44D6"/>
    <w:rsid w:val="337819C3"/>
    <w:rsid w:val="34542C62"/>
    <w:rsid w:val="35AE7CB6"/>
    <w:rsid w:val="37782338"/>
    <w:rsid w:val="37BE0AC6"/>
    <w:rsid w:val="37FD7471"/>
    <w:rsid w:val="385126F9"/>
    <w:rsid w:val="38560221"/>
    <w:rsid w:val="386D2F02"/>
    <w:rsid w:val="390458C3"/>
    <w:rsid w:val="39170C14"/>
    <w:rsid w:val="391B07C5"/>
    <w:rsid w:val="39EE09DF"/>
    <w:rsid w:val="3A01440B"/>
    <w:rsid w:val="3A2D2688"/>
    <w:rsid w:val="3A756262"/>
    <w:rsid w:val="3B527932"/>
    <w:rsid w:val="3BA57A9E"/>
    <w:rsid w:val="3BBC3FE9"/>
    <w:rsid w:val="3BFE60F6"/>
    <w:rsid w:val="3C1B31B8"/>
    <w:rsid w:val="3C3771B0"/>
    <w:rsid w:val="3C63394E"/>
    <w:rsid w:val="3C6F14A7"/>
    <w:rsid w:val="3C77021F"/>
    <w:rsid w:val="3C917995"/>
    <w:rsid w:val="3D0B10C1"/>
    <w:rsid w:val="3D4C1A5C"/>
    <w:rsid w:val="3D4E0E6C"/>
    <w:rsid w:val="3D684196"/>
    <w:rsid w:val="3DAD7C7A"/>
    <w:rsid w:val="3EDB5BC6"/>
    <w:rsid w:val="3F023270"/>
    <w:rsid w:val="3F240869"/>
    <w:rsid w:val="3F3278E9"/>
    <w:rsid w:val="3F747F01"/>
    <w:rsid w:val="3FF2288E"/>
    <w:rsid w:val="3FF93A61"/>
    <w:rsid w:val="40E662B4"/>
    <w:rsid w:val="41183185"/>
    <w:rsid w:val="41193F15"/>
    <w:rsid w:val="419550CE"/>
    <w:rsid w:val="436D789E"/>
    <w:rsid w:val="43A531A4"/>
    <w:rsid w:val="44941F60"/>
    <w:rsid w:val="44B049A7"/>
    <w:rsid w:val="44FB4C6B"/>
    <w:rsid w:val="45BA1E8E"/>
    <w:rsid w:val="47D75F11"/>
    <w:rsid w:val="47E32E6D"/>
    <w:rsid w:val="47FA4000"/>
    <w:rsid w:val="47FF77F9"/>
    <w:rsid w:val="482D261C"/>
    <w:rsid w:val="484D31A3"/>
    <w:rsid w:val="48560D86"/>
    <w:rsid w:val="486125A1"/>
    <w:rsid w:val="48645885"/>
    <w:rsid w:val="487338BA"/>
    <w:rsid w:val="48AB372A"/>
    <w:rsid w:val="48B541CA"/>
    <w:rsid w:val="48E23C35"/>
    <w:rsid w:val="49C82FE8"/>
    <w:rsid w:val="49FA418A"/>
    <w:rsid w:val="4AC640FD"/>
    <w:rsid w:val="4B335666"/>
    <w:rsid w:val="4B5A58D3"/>
    <w:rsid w:val="4BE739E7"/>
    <w:rsid w:val="4C1D5AF9"/>
    <w:rsid w:val="4CB26740"/>
    <w:rsid w:val="4D0F501F"/>
    <w:rsid w:val="4D9E627F"/>
    <w:rsid w:val="4DA50D3A"/>
    <w:rsid w:val="4DE2750C"/>
    <w:rsid w:val="4DEE56A0"/>
    <w:rsid w:val="4E4E354A"/>
    <w:rsid w:val="4EC516E5"/>
    <w:rsid w:val="4F154E78"/>
    <w:rsid w:val="4FD15CD0"/>
    <w:rsid w:val="519B69F0"/>
    <w:rsid w:val="51B80C88"/>
    <w:rsid w:val="521D2544"/>
    <w:rsid w:val="541E58DF"/>
    <w:rsid w:val="54286D5D"/>
    <w:rsid w:val="545637E7"/>
    <w:rsid w:val="545C73A5"/>
    <w:rsid w:val="54BC03B3"/>
    <w:rsid w:val="54D30958"/>
    <w:rsid w:val="55665307"/>
    <w:rsid w:val="55B913DC"/>
    <w:rsid w:val="56F15200"/>
    <w:rsid w:val="5732222E"/>
    <w:rsid w:val="57413FAD"/>
    <w:rsid w:val="57703E94"/>
    <w:rsid w:val="578B4A84"/>
    <w:rsid w:val="57FF7420"/>
    <w:rsid w:val="58272F15"/>
    <w:rsid w:val="58DF1FDF"/>
    <w:rsid w:val="58DF2F7C"/>
    <w:rsid w:val="59A269BC"/>
    <w:rsid w:val="59F960CB"/>
    <w:rsid w:val="5A0C7B10"/>
    <w:rsid w:val="5AA8059F"/>
    <w:rsid w:val="5B557D55"/>
    <w:rsid w:val="5B6003E2"/>
    <w:rsid w:val="5BB4249E"/>
    <w:rsid w:val="5BC8639F"/>
    <w:rsid w:val="5C4117ED"/>
    <w:rsid w:val="5C872AF0"/>
    <w:rsid w:val="5CC27B24"/>
    <w:rsid w:val="5CD93599"/>
    <w:rsid w:val="5CE905F4"/>
    <w:rsid w:val="5DAA543E"/>
    <w:rsid w:val="5E8A398A"/>
    <w:rsid w:val="5E8C0C2F"/>
    <w:rsid w:val="5E8E1AB7"/>
    <w:rsid w:val="5EB775AA"/>
    <w:rsid w:val="5FDB2263"/>
    <w:rsid w:val="60220F9D"/>
    <w:rsid w:val="60A96349"/>
    <w:rsid w:val="60DF7FBD"/>
    <w:rsid w:val="60F03E6D"/>
    <w:rsid w:val="61185045"/>
    <w:rsid w:val="61650A05"/>
    <w:rsid w:val="61C45547"/>
    <w:rsid w:val="61CC515B"/>
    <w:rsid w:val="620A1069"/>
    <w:rsid w:val="62D553E4"/>
    <w:rsid w:val="62FA0CB4"/>
    <w:rsid w:val="632B2A7A"/>
    <w:rsid w:val="633E321C"/>
    <w:rsid w:val="64063C8C"/>
    <w:rsid w:val="64514C47"/>
    <w:rsid w:val="6597224E"/>
    <w:rsid w:val="65A76A5B"/>
    <w:rsid w:val="66CC3986"/>
    <w:rsid w:val="67F435FA"/>
    <w:rsid w:val="681532E8"/>
    <w:rsid w:val="685777EC"/>
    <w:rsid w:val="68701274"/>
    <w:rsid w:val="68822FFC"/>
    <w:rsid w:val="68825A9D"/>
    <w:rsid w:val="68860FA4"/>
    <w:rsid w:val="68A42935"/>
    <w:rsid w:val="68CE57DD"/>
    <w:rsid w:val="6951617B"/>
    <w:rsid w:val="69573FF2"/>
    <w:rsid w:val="6A836076"/>
    <w:rsid w:val="6AEB57B0"/>
    <w:rsid w:val="6B6C68F1"/>
    <w:rsid w:val="6B772ACF"/>
    <w:rsid w:val="6B7D68C3"/>
    <w:rsid w:val="6BA451FD"/>
    <w:rsid w:val="6BBC1467"/>
    <w:rsid w:val="6BF03187"/>
    <w:rsid w:val="6C186B77"/>
    <w:rsid w:val="6C8A13E5"/>
    <w:rsid w:val="6CD833EE"/>
    <w:rsid w:val="6DE2733E"/>
    <w:rsid w:val="6E5A3632"/>
    <w:rsid w:val="6EAD3CE2"/>
    <w:rsid w:val="6EB949BE"/>
    <w:rsid w:val="6EBF7937"/>
    <w:rsid w:val="6EE3511C"/>
    <w:rsid w:val="6EE92E8B"/>
    <w:rsid w:val="6F867A59"/>
    <w:rsid w:val="703B5E57"/>
    <w:rsid w:val="707B0E1A"/>
    <w:rsid w:val="710217B4"/>
    <w:rsid w:val="7172379C"/>
    <w:rsid w:val="720B4EB8"/>
    <w:rsid w:val="720C605F"/>
    <w:rsid w:val="722F5D7F"/>
    <w:rsid w:val="73133C64"/>
    <w:rsid w:val="73616252"/>
    <w:rsid w:val="73DA4614"/>
    <w:rsid w:val="75DC67F6"/>
    <w:rsid w:val="7684188D"/>
    <w:rsid w:val="770F7A02"/>
    <w:rsid w:val="77895A3C"/>
    <w:rsid w:val="77CA4A84"/>
    <w:rsid w:val="77F03B44"/>
    <w:rsid w:val="78B239AC"/>
    <w:rsid w:val="79120D48"/>
    <w:rsid w:val="79347971"/>
    <w:rsid w:val="79420EC3"/>
    <w:rsid w:val="797F2765"/>
    <w:rsid w:val="798818F8"/>
    <w:rsid w:val="7A800A82"/>
    <w:rsid w:val="7B385E42"/>
    <w:rsid w:val="7B4A2424"/>
    <w:rsid w:val="7B5454F0"/>
    <w:rsid w:val="7B685B22"/>
    <w:rsid w:val="7C961A20"/>
    <w:rsid w:val="7CFD384D"/>
    <w:rsid w:val="7D5A0C9F"/>
    <w:rsid w:val="7DBD670C"/>
    <w:rsid w:val="7DC12997"/>
    <w:rsid w:val="7E7A6C73"/>
    <w:rsid w:val="7EB855E3"/>
    <w:rsid w:val="7ECF60DF"/>
    <w:rsid w:val="7F393D64"/>
    <w:rsid w:val="7F583DE0"/>
    <w:rsid w:val="7FB670A1"/>
    <w:rsid w:val="FFCD5D9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autoRedefine/>
    <w:qFormat/>
    <w:uiPriority w:val="99"/>
    <w:pPr>
      <w:keepNext/>
      <w:jc w:val="center"/>
      <w:outlineLvl w:val="0"/>
    </w:pPr>
    <w:rPr>
      <w:rFonts w:ascii="楷体_GB2312" w:eastAsia="楷体_GB2312"/>
      <w:b/>
      <w:bCs/>
    </w:rPr>
  </w:style>
  <w:style w:type="paragraph" w:styleId="3">
    <w:name w:val="heading 2"/>
    <w:basedOn w:val="1"/>
    <w:next w:val="1"/>
    <w:link w:val="52"/>
    <w:autoRedefine/>
    <w:qFormat/>
    <w:uiPriority w:val="99"/>
    <w:pPr>
      <w:keepLines/>
      <w:adjustRightInd w:val="0"/>
      <w:spacing w:before="240" w:after="120" w:line="240" w:lineRule="atLeast"/>
      <w:textAlignment w:val="baseline"/>
      <w:outlineLvl w:val="1"/>
    </w:pPr>
    <w:rPr>
      <w:rFonts w:eastAsia="黑体"/>
      <w:b/>
      <w:kern w:val="0"/>
      <w:sz w:val="32"/>
      <w:szCs w:val="20"/>
    </w:rPr>
  </w:style>
  <w:style w:type="paragraph" w:styleId="4">
    <w:name w:val="heading 3"/>
    <w:basedOn w:val="1"/>
    <w:next w:val="1"/>
    <w:link w:val="53"/>
    <w:autoRedefine/>
    <w:qFormat/>
    <w:uiPriority w:val="99"/>
    <w:pPr>
      <w:keepNext/>
      <w:keepLines/>
      <w:spacing w:before="260" w:after="260" w:line="416" w:lineRule="auto"/>
      <w:outlineLvl w:val="2"/>
    </w:pPr>
    <w:rPr>
      <w:rFonts w:eastAsia="等线"/>
      <w:b/>
      <w:bCs/>
      <w:sz w:val="32"/>
      <w:szCs w:val="32"/>
    </w:rPr>
  </w:style>
  <w:style w:type="paragraph" w:styleId="5">
    <w:name w:val="heading 4"/>
    <w:basedOn w:val="1"/>
    <w:next w:val="1"/>
    <w:link w:val="54"/>
    <w:autoRedefine/>
    <w:qFormat/>
    <w:uiPriority w:val="99"/>
    <w:pPr>
      <w:keepNext/>
      <w:keepLines/>
      <w:spacing w:before="280" w:after="290" w:line="376" w:lineRule="auto"/>
      <w:outlineLvl w:val="3"/>
    </w:pPr>
    <w:rPr>
      <w:rFonts w:ascii="Cambria" w:hAnsi="Cambria"/>
      <w:b/>
      <w:bCs/>
      <w:sz w:val="28"/>
      <w:szCs w:val="28"/>
    </w:rPr>
  </w:style>
  <w:style w:type="paragraph" w:styleId="6">
    <w:name w:val="heading 5"/>
    <w:basedOn w:val="1"/>
    <w:next w:val="1"/>
    <w:link w:val="55"/>
    <w:autoRedefine/>
    <w:qFormat/>
    <w:uiPriority w:val="99"/>
    <w:pPr>
      <w:keepNext/>
      <w:keepLines/>
      <w:spacing w:before="280" w:after="290" w:line="376" w:lineRule="auto"/>
      <w:outlineLvl w:val="4"/>
    </w:pPr>
    <w:rPr>
      <w:b/>
      <w:bCs/>
      <w:sz w:val="28"/>
      <w:szCs w:val="28"/>
    </w:rPr>
  </w:style>
  <w:style w:type="paragraph" w:styleId="7">
    <w:name w:val="heading 6"/>
    <w:basedOn w:val="1"/>
    <w:next w:val="8"/>
    <w:link w:val="56"/>
    <w:autoRedefine/>
    <w:qFormat/>
    <w:uiPriority w:val="99"/>
    <w:pPr>
      <w:keepNext/>
      <w:keepLines/>
      <w:spacing w:before="240" w:after="64" w:line="317" w:lineRule="auto"/>
      <w:outlineLvl w:val="5"/>
    </w:pPr>
    <w:rPr>
      <w:rFonts w:ascii="Arial" w:hAnsi="Arial" w:eastAsia="黑体"/>
      <w:b/>
      <w:sz w:val="24"/>
      <w:szCs w:val="20"/>
    </w:rPr>
  </w:style>
  <w:style w:type="paragraph" w:styleId="9">
    <w:name w:val="heading 7"/>
    <w:basedOn w:val="1"/>
    <w:next w:val="8"/>
    <w:link w:val="57"/>
    <w:autoRedefine/>
    <w:qFormat/>
    <w:uiPriority w:val="99"/>
    <w:pPr>
      <w:keepNext/>
      <w:keepLines/>
      <w:spacing w:before="240" w:after="64" w:line="317" w:lineRule="auto"/>
      <w:outlineLvl w:val="6"/>
    </w:pPr>
    <w:rPr>
      <w:b/>
      <w:sz w:val="24"/>
      <w:szCs w:val="20"/>
    </w:rPr>
  </w:style>
  <w:style w:type="paragraph" w:styleId="10">
    <w:name w:val="heading 8"/>
    <w:basedOn w:val="1"/>
    <w:next w:val="8"/>
    <w:link w:val="58"/>
    <w:autoRedefine/>
    <w:qFormat/>
    <w:uiPriority w:val="99"/>
    <w:pPr>
      <w:keepNext/>
      <w:keepLines/>
      <w:spacing w:before="240" w:after="64" w:line="317" w:lineRule="auto"/>
      <w:outlineLvl w:val="7"/>
    </w:pPr>
    <w:rPr>
      <w:rFonts w:ascii="Arial" w:hAnsi="Arial" w:eastAsia="黑体"/>
      <w:sz w:val="24"/>
      <w:szCs w:val="20"/>
    </w:rPr>
  </w:style>
  <w:style w:type="paragraph" w:styleId="11">
    <w:name w:val="heading 9"/>
    <w:basedOn w:val="1"/>
    <w:next w:val="8"/>
    <w:link w:val="59"/>
    <w:autoRedefine/>
    <w:qFormat/>
    <w:uiPriority w:val="99"/>
    <w:pPr>
      <w:keepNext/>
      <w:keepLines/>
      <w:spacing w:before="240" w:after="64" w:line="317" w:lineRule="auto"/>
      <w:outlineLvl w:val="8"/>
    </w:pPr>
    <w:rPr>
      <w:rFonts w:ascii="Arial" w:hAnsi="Arial" w:eastAsia="黑体"/>
      <w:szCs w:val="20"/>
    </w:rPr>
  </w:style>
  <w:style w:type="character" w:default="1" w:styleId="41">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link w:val="94"/>
    <w:autoRedefine/>
    <w:qFormat/>
    <w:uiPriority w:val="99"/>
    <w:pPr>
      <w:adjustRightInd w:val="0"/>
      <w:spacing w:line="312" w:lineRule="atLeast"/>
      <w:ind w:firstLine="420"/>
      <w:textAlignment w:val="baseline"/>
    </w:pPr>
    <w:rPr>
      <w:kern w:val="0"/>
      <w:szCs w:val="20"/>
    </w:rPr>
  </w:style>
  <w:style w:type="paragraph" w:styleId="12">
    <w:name w:val="List Number"/>
    <w:basedOn w:val="1"/>
    <w:autoRedefine/>
    <w:qFormat/>
    <w:uiPriority w:val="99"/>
    <w:pPr>
      <w:tabs>
        <w:tab w:val="left" w:pos="360"/>
      </w:tabs>
      <w:ind w:left="360" w:hanging="360"/>
      <w:contextualSpacing/>
    </w:pPr>
  </w:style>
  <w:style w:type="paragraph" w:styleId="13">
    <w:name w:val="caption"/>
    <w:basedOn w:val="1"/>
    <w:next w:val="1"/>
    <w:autoRedefine/>
    <w:qFormat/>
    <w:uiPriority w:val="0"/>
    <w:pPr>
      <w:autoSpaceDE w:val="0"/>
      <w:autoSpaceDN w:val="0"/>
      <w:adjustRightInd w:val="0"/>
      <w:jc w:val="left"/>
    </w:pPr>
    <w:rPr>
      <w:rFonts w:ascii="Arial" w:hAnsi="Arial" w:eastAsia="黑体"/>
      <w:kern w:val="0"/>
      <w:sz w:val="20"/>
      <w:szCs w:val="20"/>
    </w:rPr>
  </w:style>
  <w:style w:type="paragraph" w:styleId="14">
    <w:name w:val="Document Map"/>
    <w:basedOn w:val="1"/>
    <w:link w:val="62"/>
    <w:autoRedefine/>
    <w:qFormat/>
    <w:uiPriority w:val="99"/>
    <w:pPr>
      <w:shd w:val="clear" w:color="auto" w:fill="000080"/>
    </w:pPr>
  </w:style>
  <w:style w:type="paragraph" w:styleId="15">
    <w:name w:val="annotation text"/>
    <w:basedOn w:val="1"/>
    <w:link w:val="63"/>
    <w:autoRedefine/>
    <w:qFormat/>
    <w:uiPriority w:val="0"/>
    <w:pPr>
      <w:jc w:val="left"/>
    </w:pPr>
  </w:style>
  <w:style w:type="paragraph" w:styleId="16">
    <w:name w:val="Body Text"/>
    <w:basedOn w:val="1"/>
    <w:next w:val="1"/>
    <w:link w:val="60"/>
    <w:autoRedefine/>
    <w:qFormat/>
    <w:uiPriority w:val="99"/>
    <w:pPr>
      <w:spacing w:after="120"/>
    </w:pPr>
    <w:rPr>
      <w:rFonts w:eastAsia="等线"/>
    </w:rPr>
  </w:style>
  <w:style w:type="paragraph" w:styleId="17">
    <w:name w:val="Body Text Indent"/>
    <w:basedOn w:val="1"/>
    <w:next w:val="1"/>
    <w:link w:val="64"/>
    <w:autoRedefine/>
    <w:qFormat/>
    <w:uiPriority w:val="99"/>
    <w:pPr>
      <w:ind w:left="480" w:hanging="480" w:hangingChars="200"/>
    </w:pPr>
    <w:rPr>
      <w:sz w:val="24"/>
    </w:rPr>
  </w:style>
  <w:style w:type="paragraph" w:styleId="18">
    <w:name w:val="List 2"/>
    <w:basedOn w:val="1"/>
    <w:autoRedefine/>
    <w:qFormat/>
    <w:uiPriority w:val="99"/>
    <w:pPr>
      <w:ind w:left="100" w:leftChars="200" w:hanging="200" w:hangingChars="200"/>
    </w:pPr>
  </w:style>
  <w:style w:type="paragraph" w:styleId="19">
    <w:name w:val="Block Text"/>
    <w:basedOn w:val="1"/>
    <w:autoRedefine/>
    <w:qFormat/>
    <w:locked/>
    <w:uiPriority w:val="99"/>
    <w:pPr>
      <w:adjustRightInd w:val="0"/>
      <w:spacing w:line="360" w:lineRule="atLeast"/>
      <w:ind w:left="1260" w:leftChars="525" w:right="22" w:rightChars="9" w:firstLine="200" w:firstLineChars="200"/>
      <w:jc w:val="left"/>
      <w:textAlignment w:val="baseline"/>
    </w:pPr>
    <w:rPr>
      <w:rFonts w:ascii="DFKai-SB" w:hAnsi="DFKai-SB" w:eastAsia="DFKai-SB" w:cs="DFKai-SB"/>
      <w:kern w:val="0"/>
      <w:sz w:val="28"/>
      <w:szCs w:val="28"/>
      <w:lang w:eastAsia="zh-TW"/>
    </w:rPr>
  </w:style>
  <w:style w:type="paragraph" w:styleId="20">
    <w:name w:val="toc 3"/>
    <w:basedOn w:val="1"/>
    <w:next w:val="1"/>
    <w:autoRedefine/>
    <w:semiHidden/>
    <w:qFormat/>
    <w:uiPriority w:val="99"/>
    <w:pPr>
      <w:ind w:left="840" w:leftChars="400"/>
    </w:pPr>
  </w:style>
  <w:style w:type="paragraph" w:styleId="21">
    <w:name w:val="Plain Text"/>
    <w:basedOn w:val="1"/>
    <w:link w:val="65"/>
    <w:autoRedefine/>
    <w:qFormat/>
    <w:uiPriority w:val="99"/>
    <w:pPr>
      <w:widowControl/>
      <w:overflowPunct w:val="0"/>
      <w:autoSpaceDE w:val="0"/>
      <w:autoSpaceDN w:val="0"/>
      <w:adjustRightInd w:val="0"/>
      <w:jc w:val="left"/>
      <w:textAlignment w:val="baseline"/>
    </w:pPr>
    <w:rPr>
      <w:rFonts w:ascii="宋体" w:hAnsi="Courier New"/>
      <w:kern w:val="0"/>
      <w:szCs w:val="21"/>
    </w:rPr>
  </w:style>
  <w:style w:type="paragraph" w:styleId="22">
    <w:name w:val="Date"/>
    <w:basedOn w:val="1"/>
    <w:next w:val="1"/>
    <w:link w:val="66"/>
    <w:autoRedefine/>
    <w:qFormat/>
    <w:uiPriority w:val="99"/>
    <w:pPr>
      <w:ind w:left="100" w:leftChars="2500"/>
    </w:pPr>
  </w:style>
  <w:style w:type="paragraph" w:styleId="23">
    <w:name w:val="Body Text Indent 2"/>
    <w:basedOn w:val="1"/>
    <w:link w:val="67"/>
    <w:autoRedefine/>
    <w:qFormat/>
    <w:uiPriority w:val="99"/>
    <w:pPr>
      <w:spacing w:line="500" w:lineRule="exact"/>
      <w:ind w:firstLine="511" w:firstLineChars="213"/>
    </w:pPr>
    <w:rPr>
      <w:sz w:val="24"/>
    </w:rPr>
  </w:style>
  <w:style w:type="paragraph" w:styleId="24">
    <w:name w:val="Balloon Text"/>
    <w:basedOn w:val="1"/>
    <w:link w:val="68"/>
    <w:autoRedefine/>
    <w:semiHidden/>
    <w:qFormat/>
    <w:uiPriority w:val="99"/>
    <w:rPr>
      <w:sz w:val="18"/>
      <w:szCs w:val="18"/>
    </w:rPr>
  </w:style>
  <w:style w:type="paragraph" w:styleId="25">
    <w:name w:val="footer"/>
    <w:basedOn w:val="1"/>
    <w:link w:val="69"/>
    <w:autoRedefine/>
    <w:qFormat/>
    <w:uiPriority w:val="99"/>
    <w:pPr>
      <w:tabs>
        <w:tab w:val="center" w:pos="4153"/>
        <w:tab w:val="right" w:pos="8306"/>
      </w:tabs>
      <w:snapToGrid w:val="0"/>
      <w:jc w:val="left"/>
    </w:pPr>
    <w:rPr>
      <w:rFonts w:eastAsia="等线"/>
      <w:sz w:val="18"/>
      <w:szCs w:val="18"/>
    </w:rPr>
  </w:style>
  <w:style w:type="paragraph" w:styleId="26">
    <w:name w:val="header"/>
    <w:basedOn w:val="1"/>
    <w:link w:val="139"/>
    <w:autoRedefine/>
    <w:qFormat/>
    <w:uiPriority w:val="99"/>
    <w:pPr>
      <w:pBdr>
        <w:bottom w:val="single" w:color="auto" w:sz="6" w:space="1"/>
      </w:pBdr>
      <w:tabs>
        <w:tab w:val="center" w:pos="4153"/>
        <w:tab w:val="right" w:pos="8306"/>
      </w:tabs>
      <w:snapToGrid w:val="0"/>
      <w:jc w:val="center"/>
    </w:pPr>
    <w:rPr>
      <w:rFonts w:eastAsia="等线"/>
      <w:sz w:val="18"/>
      <w:szCs w:val="20"/>
    </w:rPr>
  </w:style>
  <w:style w:type="paragraph" w:styleId="27">
    <w:name w:val="toc 1"/>
    <w:basedOn w:val="1"/>
    <w:next w:val="1"/>
    <w:autoRedefine/>
    <w:qFormat/>
    <w:uiPriority w:val="99"/>
    <w:pPr>
      <w:tabs>
        <w:tab w:val="right" w:leader="dot" w:pos="9628"/>
      </w:tabs>
      <w:spacing w:line="480" w:lineRule="auto"/>
    </w:pPr>
    <w:rPr>
      <w:rFonts w:ascii="Arial" w:hAnsi="Arial" w:eastAsia="新宋体" w:cs="Arial"/>
      <w:bCs/>
      <w:sz w:val="24"/>
    </w:rPr>
  </w:style>
  <w:style w:type="paragraph" w:styleId="28">
    <w:name w:val="Subtitle"/>
    <w:basedOn w:val="1"/>
    <w:next w:val="1"/>
    <w:link w:val="71"/>
    <w:autoRedefine/>
    <w:qFormat/>
    <w:uiPriority w:val="99"/>
    <w:pPr>
      <w:spacing w:before="240" w:after="60" w:line="312" w:lineRule="auto"/>
      <w:jc w:val="center"/>
      <w:outlineLvl w:val="1"/>
    </w:pPr>
    <w:rPr>
      <w:rFonts w:ascii="Cambria" w:hAnsi="Cambria" w:cs="黑体"/>
      <w:b/>
      <w:bCs/>
      <w:kern w:val="28"/>
      <w:sz w:val="32"/>
      <w:szCs w:val="32"/>
    </w:rPr>
  </w:style>
  <w:style w:type="paragraph" w:styleId="29">
    <w:name w:val="List"/>
    <w:basedOn w:val="1"/>
    <w:autoRedefine/>
    <w:qFormat/>
    <w:uiPriority w:val="99"/>
    <w:pPr>
      <w:ind w:left="200" w:hanging="200" w:hangingChars="200"/>
    </w:pPr>
    <w:rPr>
      <w:sz w:val="28"/>
    </w:rPr>
  </w:style>
  <w:style w:type="paragraph" w:styleId="30">
    <w:name w:val="toc 6"/>
    <w:basedOn w:val="1"/>
    <w:next w:val="1"/>
    <w:autoRedefine/>
    <w:qFormat/>
    <w:uiPriority w:val="39"/>
    <w:pPr>
      <w:ind w:left="1050"/>
    </w:pPr>
    <w:rPr>
      <w:sz w:val="18"/>
    </w:rPr>
  </w:style>
  <w:style w:type="paragraph" w:styleId="31">
    <w:name w:val="Body Text Indent 3"/>
    <w:basedOn w:val="1"/>
    <w:link w:val="72"/>
    <w:autoRedefine/>
    <w:qFormat/>
    <w:uiPriority w:val="99"/>
    <w:pPr>
      <w:spacing w:line="500" w:lineRule="exact"/>
      <w:ind w:left="511" w:hanging="511" w:hangingChars="213"/>
    </w:pPr>
    <w:rPr>
      <w:sz w:val="24"/>
    </w:rPr>
  </w:style>
  <w:style w:type="paragraph" w:styleId="32">
    <w:name w:val="toc 2"/>
    <w:basedOn w:val="1"/>
    <w:next w:val="1"/>
    <w:autoRedefine/>
    <w:qFormat/>
    <w:uiPriority w:val="99"/>
    <w:pPr>
      <w:ind w:left="420" w:leftChars="200"/>
    </w:pPr>
  </w:style>
  <w:style w:type="paragraph" w:styleId="33">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4">
    <w:name w:val="Title"/>
    <w:basedOn w:val="1"/>
    <w:next w:val="1"/>
    <w:link w:val="73"/>
    <w:autoRedefine/>
    <w:qFormat/>
    <w:uiPriority w:val="99"/>
    <w:pPr>
      <w:spacing w:before="240" w:after="60"/>
      <w:jc w:val="center"/>
      <w:outlineLvl w:val="0"/>
    </w:pPr>
    <w:rPr>
      <w:rFonts w:ascii="Cambria" w:hAnsi="Cambria"/>
      <w:b/>
      <w:bCs/>
      <w:sz w:val="32"/>
      <w:szCs w:val="32"/>
    </w:rPr>
  </w:style>
  <w:style w:type="paragraph" w:styleId="35">
    <w:name w:val="annotation subject"/>
    <w:basedOn w:val="15"/>
    <w:next w:val="15"/>
    <w:link w:val="74"/>
    <w:autoRedefine/>
    <w:semiHidden/>
    <w:qFormat/>
    <w:uiPriority w:val="99"/>
    <w:rPr>
      <w:b/>
      <w:bCs/>
    </w:rPr>
  </w:style>
  <w:style w:type="paragraph" w:styleId="36">
    <w:name w:val="Body Text First Indent"/>
    <w:basedOn w:val="16"/>
    <w:next w:val="21"/>
    <w:link w:val="61"/>
    <w:autoRedefine/>
    <w:qFormat/>
    <w:uiPriority w:val="99"/>
    <w:pPr>
      <w:ind w:firstLine="420" w:firstLineChars="100"/>
    </w:pPr>
  </w:style>
  <w:style w:type="paragraph" w:styleId="37">
    <w:name w:val="Body Text First Indent 2"/>
    <w:basedOn w:val="17"/>
    <w:next w:val="36"/>
    <w:link w:val="75"/>
    <w:autoRedefine/>
    <w:qFormat/>
    <w:uiPriority w:val="99"/>
    <w:pPr>
      <w:spacing w:after="120"/>
      <w:ind w:left="420" w:leftChars="200" w:firstLine="420" w:firstLineChars="200"/>
    </w:pPr>
    <w:rPr>
      <w:sz w:val="21"/>
    </w:rPr>
  </w:style>
  <w:style w:type="table" w:styleId="39">
    <w:name w:val="Table Grid"/>
    <w:basedOn w:val="38"/>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0">
    <w:name w:val="Table Professional"/>
    <w:basedOn w:val="38"/>
    <w:autoRedefine/>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42">
    <w:name w:val="Strong"/>
    <w:basedOn w:val="41"/>
    <w:autoRedefine/>
    <w:qFormat/>
    <w:uiPriority w:val="99"/>
    <w:rPr>
      <w:rFonts w:cs="Times New Roman"/>
      <w:b/>
    </w:rPr>
  </w:style>
  <w:style w:type="character" w:styleId="43">
    <w:name w:val="page number"/>
    <w:basedOn w:val="41"/>
    <w:autoRedefine/>
    <w:qFormat/>
    <w:uiPriority w:val="99"/>
    <w:rPr>
      <w:rFonts w:cs="Times New Roman"/>
    </w:rPr>
  </w:style>
  <w:style w:type="character" w:styleId="44">
    <w:name w:val="FollowedHyperlink"/>
    <w:basedOn w:val="41"/>
    <w:autoRedefine/>
    <w:qFormat/>
    <w:uiPriority w:val="99"/>
    <w:rPr>
      <w:rFonts w:cs="Times New Roman"/>
      <w:color w:val="800080"/>
      <w:u w:val="single"/>
    </w:rPr>
  </w:style>
  <w:style w:type="character" w:styleId="45">
    <w:name w:val="Emphasis"/>
    <w:basedOn w:val="41"/>
    <w:autoRedefine/>
    <w:qFormat/>
    <w:uiPriority w:val="99"/>
    <w:rPr>
      <w:rFonts w:cs="Times New Roman"/>
      <w:i/>
    </w:rPr>
  </w:style>
  <w:style w:type="character" w:styleId="46">
    <w:name w:val="Hyperlink"/>
    <w:basedOn w:val="41"/>
    <w:autoRedefine/>
    <w:qFormat/>
    <w:uiPriority w:val="99"/>
    <w:rPr>
      <w:rFonts w:cs="Times New Roman"/>
      <w:color w:val="000000"/>
      <w:sz w:val="20"/>
      <w:u w:val="none"/>
    </w:rPr>
  </w:style>
  <w:style w:type="character" w:styleId="47">
    <w:name w:val="annotation reference"/>
    <w:basedOn w:val="41"/>
    <w:autoRedefine/>
    <w:semiHidden/>
    <w:qFormat/>
    <w:uiPriority w:val="99"/>
    <w:rPr>
      <w:rFonts w:cs="Times New Roman"/>
      <w:sz w:val="21"/>
    </w:rPr>
  </w:style>
  <w:style w:type="paragraph" w:customStyle="1" w:styleId="48">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9">
    <w:name w:val="样式 首行缩进:  2 字符"/>
    <w:basedOn w:val="1"/>
    <w:autoRedefine/>
    <w:qFormat/>
    <w:uiPriority w:val="99"/>
    <w:pPr>
      <w:spacing w:line="360" w:lineRule="auto"/>
      <w:ind w:firstLine="480" w:firstLineChars="200"/>
    </w:pPr>
    <w:rPr>
      <w:rFonts w:ascii="宋体" w:hAnsi="宋体" w:cs="宋体"/>
      <w:color w:val="000000"/>
      <w:sz w:val="24"/>
    </w:rPr>
  </w:style>
  <w:style w:type="paragraph" w:customStyle="1" w:styleId="50">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51">
    <w:name w:val="标题 1 Char2"/>
    <w:basedOn w:val="41"/>
    <w:link w:val="2"/>
    <w:autoRedefine/>
    <w:qFormat/>
    <w:locked/>
    <w:uiPriority w:val="99"/>
    <w:rPr>
      <w:rFonts w:ascii="楷体_GB2312" w:eastAsia="楷体_GB2312" w:cs="Times New Roman"/>
      <w:b/>
      <w:kern w:val="2"/>
      <w:sz w:val="24"/>
    </w:rPr>
  </w:style>
  <w:style w:type="character" w:customStyle="1" w:styleId="52">
    <w:name w:val="标题 2 Char1"/>
    <w:basedOn w:val="41"/>
    <w:link w:val="3"/>
    <w:autoRedefine/>
    <w:qFormat/>
    <w:locked/>
    <w:uiPriority w:val="99"/>
    <w:rPr>
      <w:rFonts w:eastAsia="黑体" w:cs="Times New Roman"/>
      <w:b/>
      <w:sz w:val="32"/>
    </w:rPr>
  </w:style>
  <w:style w:type="character" w:customStyle="1" w:styleId="53">
    <w:name w:val="标题 3 Char2"/>
    <w:basedOn w:val="41"/>
    <w:link w:val="4"/>
    <w:autoRedefine/>
    <w:qFormat/>
    <w:locked/>
    <w:uiPriority w:val="99"/>
    <w:rPr>
      <w:rFonts w:cs="Times New Roman"/>
      <w:b/>
      <w:kern w:val="2"/>
      <w:sz w:val="32"/>
    </w:rPr>
  </w:style>
  <w:style w:type="character" w:customStyle="1" w:styleId="54">
    <w:name w:val="标题 4 Char2"/>
    <w:basedOn w:val="41"/>
    <w:link w:val="5"/>
    <w:autoRedefine/>
    <w:semiHidden/>
    <w:qFormat/>
    <w:locked/>
    <w:uiPriority w:val="99"/>
    <w:rPr>
      <w:rFonts w:ascii="Cambria" w:hAnsi="Cambria" w:eastAsia="宋体" w:cs="Times New Roman"/>
      <w:b/>
      <w:kern w:val="2"/>
      <w:sz w:val="28"/>
    </w:rPr>
  </w:style>
  <w:style w:type="character" w:customStyle="1" w:styleId="55">
    <w:name w:val="标题 5 Char"/>
    <w:basedOn w:val="41"/>
    <w:link w:val="6"/>
    <w:autoRedefine/>
    <w:qFormat/>
    <w:locked/>
    <w:uiPriority w:val="99"/>
    <w:rPr>
      <w:rFonts w:cs="Times New Roman"/>
      <w:b/>
      <w:bCs/>
      <w:kern w:val="2"/>
      <w:sz w:val="28"/>
      <w:szCs w:val="28"/>
    </w:rPr>
  </w:style>
  <w:style w:type="character" w:customStyle="1" w:styleId="56">
    <w:name w:val="标题 6 Char"/>
    <w:basedOn w:val="41"/>
    <w:link w:val="7"/>
    <w:autoRedefine/>
    <w:qFormat/>
    <w:locked/>
    <w:uiPriority w:val="99"/>
    <w:rPr>
      <w:rFonts w:ascii="Arial" w:hAnsi="Arial" w:eastAsia="黑体" w:cs="Times New Roman"/>
      <w:b/>
      <w:kern w:val="2"/>
      <w:sz w:val="24"/>
    </w:rPr>
  </w:style>
  <w:style w:type="character" w:customStyle="1" w:styleId="57">
    <w:name w:val="标题 7 Char"/>
    <w:basedOn w:val="41"/>
    <w:link w:val="9"/>
    <w:autoRedefine/>
    <w:qFormat/>
    <w:locked/>
    <w:uiPriority w:val="99"/>
    <w:rPr>
      <w:rFonts w:cs="Times New Roman"/>
      <w:b/>
      <w:kern w:val="2"/>
      <w:sz w:val="24"/>
    </w:rPr>
  </w:style>
  <w:style w:type="character" w:customStyle="1" w:styleId="58">
    <w:name w:val="标题 8 Char"/>
    <w:basedOn w:val="41"/>
    <w:link w:val="10"/>
    <w:autoRedefine/>
    <w:qFormat/>
    <w:locked/>
    <w:uiPriority w:val="99"/>
    <w:rPr>
      <w:rFonts w:ascii="Arial" w:hAnsi="Arial" w:eastAsia="黑体" w:cs="Times New Roman"/>
      <w:kern w:val="2"/>
      <w:sz w:val="24"/>
    </w:rPr>
  </w:style>
  <w:style w:type="character" w:customStyle="1" w:styleId="59">
    <w:name w:val="标题 9 Char"/>
    <w:basedOn w:val="41"/>
    <w:link w:val="11"/>
    <w:autoRedefine/>
    <w:qFormat/>
    <w:locked/>
    <w:uiPriority w:val="99"/>
    <w:rPr>
      <w:rFonts w:ascii="Arial" w:hAnsi="Arial" w:eastAsia="黑体" w:cs="Times New Roman"/>
      <w:kern w:val="2"/>
      <w:sz w:val="21"/>
    </w:rPr>
  </w:style>
  <w:style w:type="character" w:customStyle="1" w:styleId="60">
    <w:name w:val="正文文本 Char2"/>
    <w:basedOn w:val="41"/>
    <w:link w:val="16"/>
    <w:autoRedefine/>
    <w:qFormat/>
    <w:locked/>
    <w:uiPriority w:val="99"/>
    <w:rPr>
      <w:rFonts w:cs="Times New Roman"/>
      <w:kern w:val="2"/>
      <w:sz w:val="24"/>
    </w:rPr>
  </w:style>
  <w:style w:type="character" w:customStyle="1" w:styleId="61">
    <w:name w:val="正文首行缩进 Char"/>
    <w:basedOn w:val="60"/>
    <w:link w:val="36"/>
    <w:autoRedefine/>
    <w:qFormat/>
    <w:locked/>
    <w:uiPriority w:val="99"/>
    <w:rPr>
      <w:rFonts w:cs="Times New Roman"/>
      <w:kern w:val="2"/>
      <w:sz w:val="24"/>
      <w:szCs w:val="24"/>
    </w:rPr>
  </w:style>
  <w:style w:type="character" w:customStyle="1" w:styleId="62">
    <w:name w:val="文档结构图 Char1"/>
    <w:basedOn w:val="41"/>
    <w:link w:val="14"/>
    <w:autoRedefine/>
    <w:qFormat/>
    <w:locked/>
    <w:uiPriority w:val="99"/>
    <w:rPr>
      <w:rFonts w:cs="Times New Roman"/>
      <w:kern w:val="2"/>
      <w:sz w:val="24"/>
      <w:szCs w:val="24"/>
      <w:shd w:val="clear" w:color="auto" w:fill="000080"/>
    </w:rPr>
  </w:style>
  <w:style w:type="character" w:customStyle="1" w:styleId="63">
    <w:name w:val="批注文字 Char2"/>
    <w:basedOn w:val="41"/>
    <w:link w:val="15"/>
    <w:autoRedefine/>
    <w:semiHidden/>
    <w:qFormat/>
    <w:locked/>
    <w:uiPriority w:val="99"/>
    <w:rPr>
      <w:rFonts w:cs="Times New Roman"/>
      <w:kern w:val="2"/>
      <w:sz w:val="24"/>
      <w:szCs w:val="24"/>
    </w:rPr>
  </w:style>
  <w:style w:type="character" w:customStyle="1" w:styleId="64">
    <w:name w:val="正文文本缩进 Char1"/>
    <w:basedOn w:val="41"/>
    <w:link w:val="17"/>
    <w:autoRedefine/>
    <w:qFormat/>
    <w:locked/>
    <w:uiPriority w:val="99"/>
    <w:rPr>
      <w:rFonts w:cs="Times New Roman"/>
      <w:kern w:val="2"/>
      <w:sz w:val="24"/>
      <w:szCs w:val="24"/>
    </w:rPr>
  </w:style>
  <w:style w:type="character" w:customStyle="1" w:styleId="65">
    <w:name w:val="纯文本 Char2"/>
    <w:basedOn w:val="41"/>
    <w:link w:val="21"/>
    <w:autoRedefine/>
    <w:qFormat/>
    <w:locked/>
    <w:uiPriority w:val="99"/>
    <w:rPr>
      <w:rFonts w:ascii="宋体" w:hAnsi="Courier New" w:eastAsia="宋体" w:cs="Times New Roman"/>
      <w:sz w:val="21"/>
      <w:lang w:val="en-US" w:eastAsia="zh-CN"/>
    </w:rPr>
  </w:style>
  <w:style w:type="character" w:customStyle="1" w:styleId="66">
    <w:name w:val="日期 Char1"/>
    <w:basedOn w:val="41"/>
    <w:link w:val="22"/>
    <w:autoRedefine/>
    <w:qFormat/>
    <w:locked/>
    <w:uiPriority w:val="99"/>
    <w:rPr>
      <w:rFonts w:cs="Times New Roman"/>
      <w:kern w:val="2"/>
      <w:sz w:val="24"/>
      <w:szCs w:val="24"/>
    </w:rPr>
  </w:style>
  <w:style w:type="character" w:customStyle="1" w:styleId="67">
    <w:name w:val="正文文本缩进 2 Char1"/>
    <w:basedOn w:val="41"/>
    <w:link w:val="23"/>
    <w:autoRedefine/>
    <w:qFormat/>
    <w:locked/>
    <w:uiPriority w:val="99"/>
    <w:rPr>
      <w:rFonts w:cs="Times New Roman"/>
      <w:kern w:val="2"/>
      <w:sz w:val="24"/>
      <w:szCs w:val="24"/>
    </w:rPr>
  </w:style>
  <w:style w:type="character" w:customStyle="1" w:styleId="68">
    <w:name w:val="批注框文本 Char1"/>
    <w:basedOn w:val="41"/>
    <w:link w:val="24"/>
    <w:autoRedefine/>
    <w:semiHidden/>
    <w:qFormat/>
    <w:locked/>
    <w:uiPriority w:val="99"/>
    <w:rPr>
      <w:rFonts w:cs="Times New Roman"/>
      <w:kern w:val="2"/>
      <w:sz w:val="18"/>
      <w:szCs w:val="18"/>
    </w:rPr>
  </w:style>
  <w:style w:type="character" w:customStyle="1" w:styleId="69">
    <w:name w:val="页脚 Char2"/>
    <w:basedOn w:val="41"/>
    <w:link w:val="25"/>
    <w:autoRedefine/>
    <w:qFormat/>
    <w:locked/>
    <w:uiPriority w:val="99"/>
    <w:rPr>
      <w:rFonts w:cs="Times New Roman"/>
      <w:kern w:val="2"/>
      <w:sz w:val="18"/>
    </w:rPr>
  </w:style>
  <w:style w:type="character" w:customStyle="1" w:styleId="70">
    <w:name w:val="Header Char"/>
    <w:basedOn w:val="41"/>
    <w:autoRedefine/>
    <w:qFormat/>
    <w:locked/>
    <w:uiPriority w:val="99"/>
    <w:rPr>
      <w:rFonts w:cs="Times New Roman"/>
      <w:sz w:val="18"/>
    </w:rPr>
  </w:style>
  <w:style w:type="character" w:customStyle="1" w:styleId="71">
    <w:name w:val="副标题 Char1"/>
    <w:basedOn w:val="41"/>
    <w:link w:val="28"/>
    <w:autoRedefine/>
    <w:qFormat/>
    <w:locked/>
    <w:uiPriority w:val="99"/>
    <w:rPr>
      <w:rFonts w:ascii="Cambria" w:hAnsi="Cambria" w:cs="黑体"/>
      <w:b/>
      <w:bCs/>
      <w:kern w:val="28"/>
      <w:sz w:val="32"/>
      <w:szCs w:val="32"/>
    </w:rPr>
  </w:style>
  <w:style w:type="character" w:customStyle="1" w:styleId="72">
    <w:name w:val="正文文本缩进 3 Char1"/>
    <w:basedOn w:val="41"/>
    <w:link w:val="31"/>
    <w:autoRedefine/>
    <w:qFormat/>
    <w:locked/>
    <w:uiPriority w:val="99"/>
    <w:rPr>
      <w:rFonts w:cs="Times New Roman"/>
      <w:kern w:val="2"/>
      <w:sz w:val="24"/>
      <w:szCs w:val="24"/>
    </w:rPr>
  </w:style>
  <w:style w:type="character" w:customStyle="1" w:styleId="73">
    <w:name w:val="标题 Char1"/>
    <w:basedOn w:val="41"/>
    <w:link w:val="34"/>
    <w:autoRedefine/>
    <w:qFormat/>
    <w:locked/>
    <w:uiPriority w:val="99"/>
    <w:rPr>
      <w:rFonts w:ascii="Cambria" w:hAnsi="Cambria" w:cs="Times New Roman"/>
      <w:b/>
      <w:bCs/>
      <w:kern w:val="2"/>
      <w:sz w:val="32"/>
      <w:szCs w:val="32"/>
    </w:rPr>
  </w:style>
  <w:style w:type="character" w:customStyle="1" w:styleId="74">
    <w:name w:val="批注主题 Char1"/>
    <w:basedOn w:val="63"/>
    <w:link w:val="35"/>
    <w:autoRedefine/>
    <w:semiHidden/>
    <w:qFormat/>
    <w:locked/>
    <w:uiPriority w:val="99"/>
    <w:rPr>
      <w:rFonts w:cs="Times New Roman"/>
      <w:b/>
      <w:bCs/>
      <w:kern w:val="2"/>
      <w:sz w:val="24"/>
      <w:szCs w:val="24"/>
    </w:rPr>
  </w:style>
  <w:style w:type="character" w:customStyle="1" w:styleId="75">
    <w:name w:val="正文首行缩进 2 Char"/>
    <w:basedOn w:val="64"/>
    <w:link w:val="37"/>
    <w:autoRedefine/>
    <w:semiHidden/>
    <w:qFormat/>
    <w:locked/>
    <w:uiPriority w:val="99"/>
    <w:rPr>
      <w:rFonts w:eastAsia="宋体" w:cs="Times New Roman"/>
      <w:kern w:val="2"/>
      <w:sz w:val="24"/>
      <w:szCs w:val="24"/>
    </w:rPr>
  </w:style>
  <w:style w:type="character" w:customStyle="1" w:styleId="76">
    <w:name w:val="标题 4 Char1"/>
    <w:basedOn w:val="41"/>
    <w:autoRedefine/>
    <w:qFormat/>
    <w:uiPriority w:val="99"/>
    <w:rPr>
      <w:rFonts w:ascii="Times New Roman" w:hAnsi="Times New Roman" w:eastAsia="宋体" w:cs="Times New Roman"/>
      <w:sz w:val="20"/>
      <w:szCs w:val="20"/>
    </w:rPr>
  </w:style>
  <w:style w:type="character" w:customStyle="1" w:styleId="77">
    <w:name w:val="文档结构图 Char"/>
    <w:autoRedefine/>
    <w:qFormat/>
    <w:uiPriority w:val="99"/>
    <w:rPr>
      <w:rFonts w:ascii="宋体" w:hAnsi="Times New Roman" w:eastAsia="宋体"/>
      <w:sz w:val="18"/>
    </w:rPr>
  </w:style>
  <w:style w:type="character" w:customStyle="1" w:styleId="78">
    <w:name w:val="列出段落 Char"/>
    <w:autoRedefine/>
    <w:qFormat/>
    <w:uiPriority w:val="99"/>
    <w:rPr>
      <w:rFonts w:ascii="Times New Roman" w:hAnsi="Times New Roman" w:eastAsia="宋体"/>
      <w:sz w:val="20"/>
    </w:rPr>
  </w:style>
  <w:style w:type="character" w:customStyle="1" w:styleId="79">
    <w:name w:val="标题 9 Char1"/>
    <w:basedOn w:val="41"/>
    <w:autoRedefine/>
    <w:qFormat/>
    <w:uiPriority w:val="99"/>
    <w:rPr>
      <w:rFonts w:ascii="Arial" w:hAnsi="Arial" w:eastAsia="黑体" w:cs="Times New Roman"/>
      <w:sz w:val="21"/>
      <w:szCs w:val="21"/>
    </w:rPr>
  </w:style>
  <w:style w:type="character" w:customStyle="1" w:styleId="80">
    <w:name w:val="批注文字 Char1"/>
    <w:autoRedefine/>
    <w:qFormat/>
    <w:uiPriority w:val="99"/>
    <w:rPr>
      <w:kern w:val="2"/>
      <w:sz w:val="21"/>
    </w:rPr>
  </w:style>
  <w:style w:type="character" w:customStyle="1" w:styleId="81">
    <w:name w:val="正文4 Char"/>
    <w:link w:val="82"/>
    <w:autoRedefine/>
    <w:qFormat/>
    <w:locked/>
    <w:uiPriority w:val="99"/>
    <w:rPr>
      <w:kern w:val="2"/>
      <w:sz w:val="24"/>
    </w:rPr>
  </w:style>
  <w:style w:type="paragraph" w:customStyle="1" w:styleId="82">
    <w:name w:val="正文4"/>
    <w:basedOn w:val="1"/>
    <w:link w:val="81"/>
    <w:autoRedefine/>
    <w:qFormat/>
    <w:uiPriority w:val="99"/>
    <w:pPr>
      <w:tabs>
        <w:tab w:val="left" w:pos="520"/>
      </w:tabs>
      <w:spacing w:before="60" w:after="60" w:line="360" w:lineRule="auto"/>
      <w:ind w:left="520"/>
    </w:pPr>
    <w:rPr>
      <w:rFonts w:eastAsia="等线"/>
      <w:sz w:val="24"/>
      <w:szCs w:val="20"/>
    </w:rPr>
  </w:style>
  <w:style w:type="character" w:customStyle="1" w:styleId="83">
    <w:name w:val="正文文本缩进 2 Char"/>
    <w:link w:val="84"/>
    <w:autoRedefine/>
    <w:qFormat/>
    <w:locked/>
    <w:uiPriority w:val="99"/>
    <w:rPr>
      <w:rFonts w:ascii="仿宋_GB2312" w:eastAsia="仿宋_GB2312"/>
      <w:b/>
      <w:sz w:val="24"/>
    </w:rPr>
  </w:style>
  <w:style w:type="paragraph" w:customStyle="1" w:styleId="84">
    <w:name w:val="正文文本缩进 21"/>
    <w:basedOn w:val="1"/>
    <w:link w:val="83"/>
    <w:autoRedefine/>
    <w:qFormat/>
    <w:uiPriority w:val="99"/>
    <w:pPr>
      <w:snapToGrid w:val="0"/>
      <w:spacing w:line="400" w:lineRule="exact"/>
      <w:ind w:firstLine="562" w:firstLineChars="200"/>
    </w:pPr>
    <w:rPr>
      <w:rFonts w:ascii="仿宋_GB2312" w:eastAsia="仿宋_GB2312"/>
      <w:b/>
      <w:kern w:val="0"/>
      <w:sz w:val="24"/>
      <w:szCs w:val="20"/>
    </w:rPr>
  </w:style>
  <w:style w:type="character" w:customStyle="1" w:styleId="85">
    <w:name w:val="标题 3 Char"/>
    <w:autoRedefine/>
    <w:qFormat/>
    <w:uiPriority w:val="99"/>
    <w:rPr>
      <w:rFonts w:ascii="黑体" w:hAnsi="Times New Roman" w:eastAsia="黑体"/>
      <w:kern w:val="0"/>
      <w:sz w:val="20"/>
    </w:rPr>
  </w:style>
  <w:style w:type="character" w:customStyle="1" w:styleId="86">
    <w:name w:val="文档正文 Char"/>
    <w:link w:val="87"/>
    <w:autoRedefine/>
    <w:qFormat/>
    <w:locked/>
    <w:uiPriority w:val="99"/>
    <w:rPr>
      <w:rFonts w:ascii="Tahoma" w:hAnsi="Tahoma" w:eastAsia="仿宋_GB2312"/>
      <w:sz w:val="28"/>
      <w:lang w:val="en-US" w:eastAsia="zh-CN"/>
    </w:rPr>
  </w:style>
  <w:style w:type="paragraph" w:customStyle="1" w:styleId="87">
    <w:name w:val="文档正文"/>
    <w:basedOn w:val="1"/>
    <w:link w:val="86"/>
    <w:autoRedefine/>
    <w:qFormat/>
    <w:uiPriority w:val="99"/>
    <w:pPr>
      <w:spacing w:line="360" w:lineRule="auto"/>
      <w:ind w:firstLine="480" w:firstLineChars="200"/>
    </w:pPr>
    <w:rPr>
      <w:rFonts w:ascii="Tahoma" w:hAnsi="Tahoma" w:eastAsia="仿宋_GB2312"/>
      <w:kern w:val="0"/>
      <w:sz w:val="28"/>
      <w:szCs w:val="20"/>
    </w:rPr>
  </w:style>
  <w:style w:type="character" w:customStyle="1" w:styleId="88">
    <w:name w:val="标题 Char"/>
    <w:basedOn w:val="41"/>
    <w:autoRedefine/>
    <w:qFormat/>
    <w:uiPriority w:val="99"/>
    <w:rPr>
      <w:rFonts w:ascii="Cambria" w:hAnsi="Cambria" w:cs="Times New Roman"/>
      <w:b/>
      <w:bCs/>
      <w:kern w:val="2"/>
      <w:sz w:val="32"/>
      <w:szCs w:val="32"/>
    </w:rPr>
  </w:style>
  <w:style w:type="character" w:customStyle="1" w:styleId="89">
    <w:name w:val="标题 7 Char1"/>
    <w:basedOn w:val="41"/>
    <w:autoRedefine/>
    <w:qFormat/>
    <w:uiPriority w:val="99"/>
    <w:rPr>
      <w:rFonts w:ascii="Times New Roman" w:hAnsi="Times New Roman" w:eastAsia="宋体" w:cs="Times New Roman"/>
      <w:b/>
      <w:bCs/>
      <w:sz w:val="24"/>
      <w:szCs w:val="24"/>
    </w:rPr>
  </w:style>
  <w:style w:type="character" w:customStyle="1" w:styleId="90">
    <w:name w:val="页眉 Char"/>
    <w:autoRedefine/>
    <w:qFormat/>
    <w:uiPriority w:val="99"/>
    <w:rPr>
      <w:rFonts w:ascii="Times New Roman" w:hAnsi="Times New Roman" w:eastAsia="宋体"/>
      <w:sz w:val="18"/>
    </w:rPr>
  </w:style>
  <w:style w:type="character" w:customStyle="1" w:styleId="91">
    <w:name w:val="Texte Char Char"/>
    <w:autoRedefine/>
    <w:qFormat/>
    <w:uiPriority w:val="99"/>
    <w:rPr>
      <w:rFonts w:ascii="宋体" w:hAnsi="Courier New" w:eastAsia="宋体"/>
      <w:sz w:val="21"/>
      <w:lang w:val="en-US" w:eastAsia="zh-CN"/>
    </w:rPr>
  </w:style>
  <w:style w:type="character" w:customStyle="1" w:styleId="92">
    <w:name w:val="BZ_二级标题 Char"/>
    <w:link w:val="93"/>
    <w:autoRedefine/>
    <w:qFormat/>
    <w:locked/>
    <w:uiPriority w:val="99"/>
    <w:rPr>
      <w:rFonts w:eastAsia="楷体"/>
      <w:b/>
      <w:kern w:val="2"/>
      <w:sz w:val="32"/>
    </w:rPr>
  </w:style>
  <w:style w:type="paragraph" w:customStyle="1" w:styleId="93">
    <w:name w:val="BZ_二级标题"/>
    <w:basedOn w:val="3"/>
    <w:next w:val="1"/>
    <w:link w:val="92"/>
    <w:autoRedefine/>
    <w:qFormat/>
    <w:uiPriority w:val="99"/>
    <w:pPr>
      <w:keepNext/>
      <w:widowControl/>
      <w:tabs>
        <w:tab w:val="left" w:pos="1440"/>
      </w:tabs>
      <w:adjustRightInd/>
      <w:spacing w:beforeLines="50" w:afterLines="50" w:line="240" w:lineRule="auto"/>
      <w:ind w:left="1440" w:hanging="360"/>
      <w:textAlignment w:val="auto"/>
    </w:pPr>
    <w:rPr>
      <w:rFonts w:eastAsia="楷体"/>
      <w:kern w:val="2"/>
    </w:rPr>
  </w:style>
  <w:style w:type="character" w:customStyle="1" w:styleId="94">
    <w:name w:val="正文缩进 Char1"/>
    <w:link w:val="8"/>
    <w:autoRedefine/>
    <w:qFormat/>
    <w:locked/>
    <w:uiPriority w:val="99"/>
    <w:rPr>
      <w:rFonts w:eastAsia="宋体"/>
      <w:sz w:val="21"/>
      <w:lang w:val="en-US" w:eastAsia="zh-CN"/>
    </w:rPr>
  </w:style>
  <w:style w:type="character" w:customStyle="1" w:styleId="95">
    <w:name w:val="正文文本首行缩进 字符"/>
    <w:link w:val="96"/>
    <w:autoRedefine/>
    <w:qFormat/>
    <w:locked/>
    <w:uiPriority w:val="99"/>
    <w:rPr>
      <w:rFonts w:ascii="仿宋_GB2312"/>
      <w:kern w:val="2"/>
      <w:sz w:val="24"/>
    </w:rPr>
  </w:style>
  <w:style w:type="paragraph" w:customStyle="1" w:styleId="96">
    <w:name w:val="1"/>
    <w:basedOn w:val="16"/>
    <w:next w:val="36"/>
    <w:link w:val="95"/>
    <w:autoRedefine/>
    <w:qFormat/>
    <w:uiPriority w:val="99"/>
    <w:pPr>
      <w:ind w:firstLine="420" w:firstLineChars="100"/>
    </w:pPr>
    <w:rPr>
      <w:rFonts w:ascii="仿宋_GB2312"/>
      <w:sz w:val="24"/>
      <w:szCs w:val="20"/>
    </w:rPr>
  </w:style>
  <w:style w:type="character" w:customStyle="1" w:styleId="97">
    <w:name w:val="index-text3"/>
    <w:basedOn w:val="41"/>
    <w:autoRedefine/>
    <w:qFormat/>
    <w:uiPriority w:val="99"/>
    <w:rPr>
      <w:rFonts w:cs="Times New Roman"/>
    </w:rPr>
  </w:style>
  <w:style w:type="character" w:customStyle="1" w:styleId="98">
    <w:name w:val="l正文 Char"/>
    <w:link w:val="99"/>
    <w:autoRedefine/>
    <w:qFormat/>
    <w:locked/>
    <w:uiPriority w:val="99"/>
    <w:rPr>
      <w:rFonts w:ascii="宋体" w:eastAsia="宋体"/>
      <w:sz w:val="24"/>
    </w:rPr>
  </w:style>
  <w:style w:type="paragraph" w:customStyle="1" w:styleId="99">
    <w:name w:val="l正文"/>
    <w:basedOn w:val="1"/>
    <w:link w:val="98"/>
    <w:autoRedefine/>
    <w:qFormat/>
    <w:uiPriority w:val="99"/>
    <w:pPr>
      <w:spacing w:line="360" w:lineRule="auto"/>
      <w:ind w:firstLine="200" w:firstLineChars="200"/>
    </w:pPr>
    <w:rPr>
      <w:rFonts w:ascii="宋体"/>
      <w:kern w:val="0"/>
      <w:sz w:val="24"/>
      <w:szCs w:val="20"/>
    </w:rPr>
  </w:style>
  <w:style w:type="character" w:customStyle="1" w:styleId="100">
    <w:name w:val="￥正文 Char"/>
    <w:link w:val="101"/>
    <w:autoRedefine/>
    <w:qFormat/>
    <w:locked/>
    <w:uiPriority w:val="99"/>
    <w:rPr>
      <w:sz w:val="24"/>
    </w:rPr>
  </w:style>
  <w:style w:type="paragraph" w:customStyle="1" w:styleId="101">
    <w:name w:val="￥正文"/>
    <w:basedOn w:val="1"/>
    <w:link w:val="100"/>
    <w:autoRedefine/>
    <w:qFormat/>
    <w:uiPriority w:val="99"/>
    <w:pPr>
      <w:spacing w:line="360" w:lineRule="auto"/>
      <w:ind w:firstLine="200" w:firstLineChars="200"/>
    </w:pPr>
    <w:rPr>
      <w:rFonts w:eastAsia="等线"/>
      <w:kern w:val="0"/>
      <w:sz w:val="24"/>
      <w:szCs w:val="20"/>
    </w:rPr>
  </w:style>
  <w:style w:type="character" w:customStyle="1" w:styleId="102">
    <w:name w:val="style44"/>
    <w:autoRedefine/>
    <w:qFormat/>
    <w:uiPriority w:val="99"/>
  </w:style>
  <w:style w:type="character" w:customStyle="1" w:styleId="103">
    <w:name w:val="Char Char2"/>
    <w:autoRedefine/>
    <w:qFormat/>
    <w:uiPriority w:val="99"/>
    <w:rPr>
      <w:rFonts w:ascii="宋体" w:hAnsi="Courier New" w:eastAsia="宋体"/>
      <w:kern w:val="2"/>
      <w:sz w:val="21"/>
      <w:lang w:val="en-US" w:eastAsia="zh-CN"/>
    </w:rPr>
  </w:style>
  <w:style w:type="character" w:customStyle="1" w:styleId="104">
    <w:name w:val="页脚 Char1"/>
    <w:basedOn w:val="41"/>
    <w:autoRedefine/>
    <w:qFormat/>
    <w:uiPriority w:val="99"/>
    <w:rPr>
      <w:rFonts w:cs="Times New Roman"/>
      <w:sz w:val="18"/>
      <w:szCs w:val="18"/>
    </w:rPr>
  </w:style>
  <w:style w:type="character" w:customStyle="1" w:styleId="105">
    <w:name w:val="标题 5 Char1"/>
    <w:basedOn w:val="41"/>
    <w:autoRedefine/>
    <w:qFormat/>
    <w:uiPriority w:val="99"/>
    <w:rPr>
      <w:rFonts w:ascii="Times New Roman" w:hAnsi="Times New Roman" w:eastAsia="宋体" w:cs="Times New Roman"/>
      <w:b/>
      <w:bCs/>
      <w:sz w:val="28"/>
      <w:szCs w:val="28"/>
    </w:rPr>
  </w:style>
  <w:style w:type="character" w:customStyle="1" w:styleId="106">
    <w:name w:val="段落文字 Char"/>
    <w:link w:val="107"/>
    <w:autoRedefine/>
    <w:qFormat/>
    <w:locked/>
    <w:uiPriority w:val="99"/>
    <w:rPr>
      <w:sz w:val="24"/>
    </w:rPr>
  </w:style>
  <w:style w:type="paragraph" w:customStyle="1" w:styleId="107">
    <w:name w:val="段落文字"/>
    <w:basedOn w:val="1"/>
    <w:link w:val="106"/>
    <w:autoRedefine/>
    <w:qFormat/>
    <w:uiPriority w:val="99"/>
    <w:pPr>
      <w:spacing w:line="398" w:lineRule="auto"/>
      <w:ind w:firstLine="480" w:firstLineChars="200"/>
    </w:pPr>
    <w:rPr>
      <w:rFonts w:eastAsia="等线"/>
      <w:kern w:val="0"/>
      <w:sz w:val="24"/>
      <w:szCs w:val="20"/>
    </w:rPr>
  </w:style>
  <w:style w:type="character" w:customStyle="1" w:styleId="108">
    <w:name w:val="标题 4 Char"/>
    <w:autoRedefine/>
    <w:qFormat/>
    <w:uiPriority w:val="99"/>
    <w:rPr>
      <w:rFonts w:ascii="Times New Roman" w:hAnsi="Times New Roman" w:eastAsia="宋体"/>
      <w:sz w:val="20"/>
    </w:rPr>
  </w:style>
  <w:style w:type="character" w:customStyle="1" w:styleId="109">
    <w:name w:val="样式6 列表并列 Char"/>
    <w:link w:val="110"/>
    <w:autoRedefine/>
    <w:qFormat/>
    <w:locked/>
    <w:uiPriority w:val="99"/>
    <w:rPr>
      <w:rFonts w:ascii="Arial" w:hAnsi="Arial" w:eastAsia="宋体"/>
      <w:kern w:val="21"/>
      <w:sz w:val="24"/>
      <w:lang w:val="en-US" w:eastAsia="zh-CN"/>
    </w:rPr>
  </w:style>
  <w:style w:type="paragraph" w:customStyle="1" w:styleId="110">
    <w:name w:val="样式6 列表并列"/>
    <w:link w:val="109"/>
    <w:autoRedefine/>
    <w:qFormat/>
    <w:uiPriority w:val="99"/>
    <w:pPr>
      <w:widowControl w:val="0"/>
      <w:tabs>
        <w:tab w:val="left" w:pos="0"/>
      </w:tabs>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111">
    <w:name w:val="批注主题 Char"/>
    <w:autoRedefine/>
    <w:semiHidden/>
    <w:qFormat/>
    <w:uiPriority w:val="99"/>
    <w:rPr>
      <w:rFonts w:ascii="Times New Roman" w:hAnsi="Times New Roman" w:eastAsia="宋体"/>
      <w:b/>
      <w:sz w:val="20"/>
    </w:rPr>
  </w:style>
  <w:style w:type="character" w:customStyle="1" w:styleId="112">
    <w:name w:val="标题 8 Char1"/>
    <w:basedOn w:val="41"/>
    <w:autoRedefine/>
    <w:qFormat/>
    <w:uiPriority w:val="99"/>
    <w:rPr>
      <w:rFonts w:ascii="Arial" w:hAnsi="Arial" w:eastAsia="黑体" w:cs="Times New Roman"/>
      <w:sz w:val="24"/>
      <w:szCs w:val="24"/>
    </w:rPr>
  </w:style>
  <w:style w:type="character" w:customStyle="1" w:styleId="113">
    <w:name w:val="Char Char Char"/>
    <w:autoRedefine/>
    <w:qFormat/>
    <w:uiPriority w:val="99"/>
    <w:rPr>
      <w:rFonts w:ascii="宋体" w:hAnsi="Courier New" w:eastAsia="宋体"/>
      <w:sz w:val="21"/>
      <w:lang w:val="en-US" w:eastAsia="zh-CN"/>
    </w:rPr>
  </w:style>
  <w:style w:type="character" w:customStyle="1" w:styleId="114">
    <w:name w:val="style21"/>
    <w:autoRedefine/>
    <w:qFormat/>
    <w:uiPriority w:val="99"/>
    <w:rPr>
      <w:sz w:val="15"/>
    </w:rPr>
  </w:style>
  <w:style w:type="character" w:customStyle="1" w:styleId="115">
    <w:name w:val="哈哈正文 Char"/>
    <w:link w:val="116"/>
    <w:autoRedefine/>
    <w:qFormat/>
    <w:locked/>
    <w:uiPriority w:val="99"/>
    <w:rPr>
      <w:rFonts w:ascii="宋体" w:hAnsi="宋体" w:eastAsia="宋体"/>
      <w:kern w:val="2"/>
      <w:sz w:val="24"/>
      <w:lang w:val="en-US" w:eastAsia="zh-CN"/>
    </w:rPr>
  </w:style>
  <w:style w:type="paragraph" w:customStyle="1" w:styleId="116">
    <w:name w:val="哈哈正文"/>
    <w:basedOn w:val="1"/>
    <w:link w:val="115"/>
    <w:autoRedefine/>
    <w:qFormat/>
    <w:uiPriority w:val="99"/>
    <w:pPr>
      <w:spacing w:line="360" w:lineRule="auto"/>
      <w:ind w:firstLine="200" w:firstLineChars="200"/>
    </w:pPr>
    <w:rPr>
      <w:rFonts w:ascii="宋体" w:hAnsi="宋体"/>
      <w:sz w:val="24"/>
      <w:szCs w:val="20"/>
    </w:rPr>
  </w:style>
  <w:style w:type="character" w:customStyle="1" w:styleId="117">
    <w:name w:val="标题 1 Char1"/>
    <w:basedOn w:val="41"/>
    <w:autoRedefine/>
    <w:qFormat/>
    <w:uiPriority w:val="99"/>
    <w:rPr>
      <w:rFonts w:ascii="方正黑体简体" w:hAnsi="Times New Roman" w:eastAsia="方正黑体简体" w:cs="Times New Roman"/>
      <w:b/>
      <w:kern w:val="0"/>
      <w:sz w:val="28"/>
      <w:szCs w:val="28"/>
    </w:rPr>
  </w:style>
  <w:style w:type="character" w:customStyle="1" w:styleId="118">
    <w:name w:val="Char Char1"/>
    <w:autoRedefine/>
    <w:qFormat/>
    <w:uiPriority w:val="99"/>
    <w:rPr>
      <w:rFonts w:ascii="楷体_GB2312" w:eastAsia="楷体_GB2312"/>
      <w:sz w:val="28"/>
    </w:rPr>
  </w:style>
  <w:style w:type="character" w:customStyle="1" w:styleId="119">
    <w:name w:val="正文文本 Char"/>
    <w:autoRedefine/>
    <w:qFormat/>
    <w:uiPriority w:val="99"/>
    <w:rPr>
      <w:rFonts w:ascii="Times New Roman" w:hAnsi="Times New Roman" w:eastAsia="宋体"/>
      <w:sz w:val="20"/>
    </w:rPr>
  </w:style>
  <w:style w:type="character" w:customStyle="1" w:styleId="120">
    <w:name w:val="*正文 Char"/>
    <w:link w:val="121"/>
    <w:autoRedefine/>
    <w:qFormat/>
    <w:locked/>
    <w:uiPriority w:val="99"/>
    <w:rPr>
      <w:rFonts w:ascii="宋体" w:eastAsia="宋体"/>
      <w:kern w:val="2"/>
      <w:sz w:val="24"/>
    </w:rPr>
  </w:style>
  <w:style w:type="paragraph" w:customStyle="1" w:styleId="121">
    <w:name w:val="*正文"/>
    <w:basedOn w:val="1"/>
    <w:link w:val="120"/>
    <w:autoRedefine/>
    <w:qFormat/>
    <w:uiPriority w:val="99"/>
    <w:pPr>
      <w:spacing w:line="360" w:lineRule="auto"/>
      <w:ind w:firstLine="200" w:firstLineChars="200"/>
    </w:pPr>
    <w:rPr>
      <w:rFonts w:ascii="宋体"/>
      <w:sz w:val="24"/>
      <w:szCs w:val="20"/>
    </w:rPr>
  </w:style>
  <w:style w:type="character" w:customStyle="1" w:styleId="122">
    <w:name w:val="正文缩进 Char"/>
    <w:autoRedefine/>
    <w:qFormat/>
    <w:uiPriority w:val="99"/>
    <w:rPr>
      <w:rFonts w:ascii="仿宋_GB2312" w:eastAsia="宋体"/>
      <w:b/>
      <w:sz w:val="32"/>
      <w:lang w:val="en-US" w:eastAsia="zh-CN"/>
    </w:rPr>
  </w:style>
  <w:style w:type="character" w:customStyle="1" w:styleId="123">
    <w:name w:val="apple-converted-space"/>
    <w:autoRedefine/>
    <w:qFormat/>
    <w:uiPriority w:val="99"/>
  </w:style>
  <w:style w:type="character" w:customStyle="1" w:styleId="124">
    <w:name w:val="BZ_三级标题 Char"/>
    <w:link w:val="125"/>
    <w:autoRedefine/>
    <w:qFormat/>
    <w:locked/>
    <w:uiPriority w:val="99"/>
    <w:rPr>
      <w:rFonts w:eastAsia="黑体"/>
      <w:b/>
      <w:kern w:val="2"/>
      <w:sz w:val="28"/>
    </w:rPr>
  </w:style>
  <w:style w:type="paragraph" w:customStyle="1" w:styleId="125">
    <w:name w:val="BZ_三级标题"/>
    <w:basedOn w:val="4"/>
    <w:next w:val="1"/>
    <w:link w:val="124"/>
    <w:autoRedefine/>
    <w:qFormat/>
    <w:uiPriority w:val="99"/>
    <w:pPr>
      <w:widowControl/>
      <w:tabs>
        <w:tab w:val="left" w:pos="2160"/>
      </w:tabs>
      <w:spacing w:beforeLines="50" w:afterLines="50" w:line="240" w:lineRule="auto"/>
      <w:ind w:left="2160" w:hanging="360"/>
    </w:pPr>
    <w:rPr>
      <w:rFonts w:eastAsia="黑体"/>
      <w:bCs w:val="0"/>
      <w:sz w:val="28"/>
      <w:szCs w:val="20"/>
    </w:rPr>
  </w:style>
  <w:style w:type="character" w:customStyle="1" w:styleId="126">
    <w:name w:val="正文文本 Char1"/>
    <w:basedOn w:val="41"/>
    <w:autoRedefine/>
    <w:qFormat/>
    <w:uiPriority w:val="99"/>
    <w:rPr>
      <w:rFonts w:ascii="Times New Roman" w:hAnsi="Times New Roman" w:eastAsia="宋体" w:cs="Times New Roman"/>
      <w:sz w:val="20"/>
      <w:szCs w:val="20"/>
    </w:rPr>
  </w:style>
  <w:style w:type="character" w:customStyle="1" w:styleId="127">
    <w:name w:val="日期 Char"/>
    <w:autoRedefine/>
    <w:qFormat/>
    <w:uiPriority w:val="99"/>
    <w:rPr>
      <w:rFonts w:ascii="Times New Roman" w:hAnsi="Times New Roman" w:eastAsia="宋体"/>
      <w:sz w:val="20"/>
    </w:rPr>
  </w:style>
  <w:style w:type="character" w:customStyle="1" w:styleId="128">
    <w:name w:val="批注框文本 Char"/>
    <w:autoRedefine/>
    <w:semiHidden/>
    <w:qFormat/>
    <w:uiPriority w:val="99"/>
    <w:rPr>
      <w:rFonts w:ascii="Times New Roman" w:hAnsi="Times New Roman" w:eastAsia="宋体"/>
      <w:sz w:val="18"/>
    </w:rPr>
  </w:style>
  <w:style w:type="character" w:customStyle="1" w:styleId="129">
    <w:name w:val="纯文本 Char"/>
    <w:autoRedefine/>
    <w:qFormat/>
    <w:uiPriority w:val="99"/>
    <w:rPr>
      <w:rFonts w:ascii="宋体" w:hAnsi="Courier New" w:eastAsia="宋体"/>
      <w:sz w:val="21"/>
      <w:lang w:val="en-US" w:eastAsia="zh-CN"/>
    </w:rPr>
  </w:style>
  <w:style w:type="character" w:customStyle="1" w:styleId="130">
    <w:name w:val="Char Char6"/>
    <w:autoRedefine/>
    <w:qFormat/>
    <w:uiPriority w:val="99"/>
    <w:rPr>
      <w:b/>
      <w:kern w:val="2"/>
      <w:sz w:val="32"/>
    </w:rPr>
  </w:style>
  <w:style w:type="character" w:customStyle="1" w:styleId="131">
    <w:name w:val="标题 2 Char"/>
    <w:autoRedefine/>
    <w:qFormat/>
    <w:uiPriority w:val="99"/>
    <w:rPr>
      <w:rFonts w:ascii="Arial" w:hAnsi="Arial" w:eastAsia="黑体"/>
      <w:b/>
      <w:sz w:val="32"/>
    </w:rPr>
  </w:style>
  <w:style w:type="character" w:customStyle="1" w:styleId="132">
    <w:name w:val="BZ_一级标题 Char"/>
    <w:link w:val="133"/>
    <w:autoRedefine/>
    <w:qFormat/>
    <w:locked/>
    <w:uiPriority w:val="99"/>
    <w:rPr>
      <w:rFonts w:eastAsia="华文中宋"/>
      <w:b/>
      <w:kern w:val="44"/>
      <w:sz w:val="36"/>
    </w:rPr>
  </w:style>
  <w:style w:type="paragraph" w:customStyle="1" w:styleId="133">
    <w:name w:val="BZ_一级标题"/>
    <w:basedOn w:val="2"/>
    <w:next w:val="1"/>
    <w:link w:val="132"/>
    <w:autoRedefine/>
    <w:qFormat/>
    <w:uiPriority w:val="99"/>
    <w:pPr>
      <w:keepLines/>
      <w:widowControl/>
      <w:spacing w:beforeLines="50" w:afterLines="50"/>
      <w:ind w:left="432" w:hanging="432"/>
      <w:jc w:val="both"/>
    </w:pPr>
    <w:rPr>
      <w:rFonts w:ascii="Times New Roman" w:eastAsia="华文中宋"/>
      <w:bCs w:val="0"/>
      <w:kern w:val="44"/>
      <w:sz w:val="36"/>
      <w:szCs w:val="20"/>
    </w:rPr>
  </w:style>
  <w:style w:type="character" w:customStyle="1" w:styleId="134">
    <w:name w:val="正文文本缩进 3 Char"/>
    <w:autoRedefine/>
    <w:qFormat/>
    <w:uiPriority w:val="99"/>
    <w:rPr>
      <w:rFonts w:ascii="Times New Roman" w:hAnsi="Times New Roman" w:eastAsia="宋体"/>
      <w:sz w:val="20"/>
    </w:rPr>
  </w:style>
  <w:style w:type="character" w:customStyle="1" w:styleId="135">
    <w:name w:val="标题 6 Char1"/>
    <w:basedOn w:val="41"/>
    <w:autoRedefine/>
    <w:qFormat/>
    <w:uiPriority w:val="99"/>
    <w:rPr>
      <w:rFonts w:ascii="Arial" w:hAnsi="Arial" w:eastAsia="黑体" w:cs="Times New Roman"/>
      <w:b/>
      <w:bCs/>
      <w:sz w:val="24"/>
      <w:szCs w:val="24"/>
    </w:rPr>
  </w:style>
  <w:style w:type="character" w:customStyle="1" w:styleId="136">
    <w:name w:val="style7"/>
    <w:autoRedefine/>
    <w:qFormat/>
    <w:uiPriority w:val="99"/>
  </w:style>
  <w:style w:type="character" w:customStyle="1" w:styleId="137">
    <w:name w:val="批注文字 Char"/>
    <w:autoRedefine/>
    <w:qFormat/>
    <w:uiPriority w:val="99"/>
    <w:rPr>
      <w:rFonts w:ascii="Times New Roman" w:hAnsi="Times New Roman" w:eastAsia="宋体"/>
      <w:sz w:val="24"/>
    </w:rPr>
  </w:style>
  <w:style w:type="character" w:customStyle="1" w:styleId="138">
    <w:name w:val="页脚 Char"/>
    <w:autoRedefine/>
    <w:qFormat/>
    <w:uiPriority w:val="99"/>
    <w:rPr>
      <w:rFonts w:ascii="Times New Roman" w:hAnsi="Times New Roman" w:eastAsia="宋体"/>
      <w:sz w:val="18"/>
    </w:rPr>
  </w:style>
  <w:style w:type="character" w:customStyle="1" w:styleId="139">
    <w:name w:val="页眉 Char2"/>
    <w:link w:val="26"/>
    <w:autoRedefine/>
    <w:qFormat/>
    <w:locked/>
    <w:uiPriority w:val="99"/>
    <w:rPr>
      <w:kern w:val="2"/>
      <w:sz w:val="18"/>
    </w:rPr>
  </w:style>
  <w:style w:type="character" w:customStyle="1" w:styleId="140">
    <w:name w:val="标题 1 Char"/>
    <w:autoRedefine/>
    <w:qFormat/>
    <w:uiPriority w:val="99"/>
    <w:rPr>
      <w:rFonts w:ascii="Times New Roman" w:hAnsi="Times New Roman" w:eastAsia="宋体"/>
      <w:b/>
      <w:kern w:val="44"/>
      <w:sz w:val="44"/>
    </w:rPr>
  </w:style>
  <w:style w:type="character" w:customStyle="1" w:styleId="141">
    <w:name w:val="正文文本缩进 Char"/>
    <w:autoRedefine/>
    <w:qFormat/>
    <w:uiPriority w:val="99"/>
    <w:rPr>
      <w:rFonts w:ascii="楷体_GB2312" w:hAnsi="Times New Roman" w:eastAsia="楷体_GB2312"/>
      <w:kern w:val="0"/>
      <w:sz w:val="20"/>
    </w:rPr>
  </w:style>
  <w:style w:type="character" w:customStyle="1" w:styleId="142">
    <w:name w:val="页眉 Char1"/>
    <w:basedOn w:val="41"/>
    <w:autoRedefine/>
    <w:qFormat/>
    <w:uiPriority w:val="99"/>
    <w:rPr>
      <w:rFonts w:cs="Times New Roman"/>
      <w:sz w:val="18"/>
      <w:szCs w:val="18"/>
    </w:rPr>
  </w:style>
  <w:style w:type="character" w:customStyle="1" w:styleId="143">
    <w:name w:val="正文缩进 Char2"/>
    <w:autoRedefine/>
    <w:qFormat/>
    <w:uiPriority w:val="99"/>
    <w:rPr>
      <w:rFonts w:eastAsia="宋体"/>
      <w:sz w:val="21"/>
      <w:lang w:val="en-US" w:eastAsia="zh-CN"/>
    </w:rPr>
  </w:style>
  <w:style w:type="character" w:customStyle="1" w:styleId="144">
    <w:name w:val="标题 3 Char1"/>
    <w:basedOn w:val="41"/>
    <w:autoRedefine/>
    <w:qFormat/>
    <w:uiPriority w:val="99"/>
    <w:rPr>
      <w:rFonts w:ascii="Arial" w:hAnsi="Arial" w:eastAsia="黑体" w:cs="Times New Roman"/>
      <w:sz w:val="24"/>
      <w:szCs w:val="24"/>
    </w:rPr>
  </w:style>
  <w:style w:type="character" w:customStyle="1" w:styleId="145">
    <w:name w:val="纯文本 Char1"/>
    <w:autoRedefine/>
    <w:qFormat/>
    <w:uiPriority w:val="99"/>
    <w:rPr>
      <w:rFonts w:ascii="宋体" w:hAnsi="Courier New" w:eastAsia="宋体"/>
      <w:sz w:val="21"/>
      <w:lang w:val="en-US" w:eastAsia="zh-CN"/>
    </w:rPr>
  </w:style>
  <w:style w:type="character" w:customStyle="1" w:styleId="146">
    <w:name w:val="副标题 Char"/>
    <w:basedOn w:val="41"/>
    <w:autoRedefine/>
    <w:qFormat/>
    <w:uiPriority w:val="99"/>
    <w:rPr>
      <w:rFonts w:ascii="Cambria" w:hAnsi="Cambria" w:cs="Times New Roman"/>
      <w:b/>
      <w:bCs/>
      <w:kern w:val="28"/>
      <w:sz w:val="32"/>
      <w:szCs w:val="32"/>
    </w:rPr>
  </w:style>
  <w:style w:type="paragraph" w:customStyle="1" w:styleId="147">
    <w:name w:val="正文00"/>
    <w:basedOn w:val="1"/>
    <w:autoRedefine/>
    <w:qFormat/>
    <w:uiPriority w:val="99"/>
    <w:pPr>
      <w:topLinePunct/>
      <w:spacing w:line="360" w:lineRule="auto"/>
      <w:ind w:firstLine="200" w:firstLineChars="200"/>
    </w:pPr>
    <w:rPr>
      <w:sz w:val="24"/>
      <w:szCs w:val="21"/>
    </w:rPr>
  </w:style>
  <w:style w:type="paragraph" w:customStyle="1" w:styleId="148">
    <w:name w:val="style31"/>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149">
    <w:name w:val="Default"/>
    <w:next w:val="14"/>
    <w:autoRedefine/>
    <w:qFormat/>
    <w:uiPriority w:val="99"/>
    <w:pPr>
      <w:widowControl w:val="0"/>
      <w:autoSpaceDE w:val="0"/>
      <w:autoSpaceDN w:val="0"/>
      <w:adjustRightInd w:val="0"/>
    </w:pPr>
    <w:rPr>
      <w:rFonts w:ascii="仿宋_GB2312" w:hAnsi="新宋体" w:eastAsia="仿宋_GB2312" w:cs="仿宋_GB2312"/>
      <w:color w:val="000000"/>
      <w:sz w:val="24"/>
      <w:szCs w:val="24"/>
      <w:lang w:val="en-US" w:eastAsia="zh-CN" w:bidi="ar-SA"/>
    </w:rPr>
  </w:style>
  <w:style w:type="paragraph" w:customStyle="1" w:styleId="150">
    <w:name w:val="Char Char"/>
    <w:basedOn w:val="1"/>
    <w:autoRedefine/>
    <w:qFormat/>
    <w:uiPriority w:val="99"/>
    <w:rPr>
      <w:rFonts w:ascii="仿宋_GB2312" w:eastAsia="仿宋_GB2312"/>
      <w:b/>
      <w:sz w:val="32"/>
      <w:szCs w:val="32"/>
    </w:rPr>
  </w:style>
  <w:style w:type="paragraph" w:customStyle="1" w:styleId="151">
    <w:name w:val="style48"/>
    <w:basedOn w:val="1"/>
    <w:autoRedefine/>
    <w:qFormat/>
    <w:uiPriority w:val="99"/>
    <w:pPr>
      <w:widowControl/>
      <w:jc w:val="left"/>
    </w:pPr>
    <w:rPr>
      <w:rFonts w:ascii="宋体" w:hAnsi="宋体" w:cs="宋体"/>
      <w:kern w:val="0"/>
      <w:sz w:val="24"/>
    </w:rPr>
  </w:style>
  <w:style w:type="paragraph" w:customStyle="1" w:styleId="152">
    <w:name w:val="_Style 2"/>
    <w:basedOn w:val="1"/>
    <w:autoRedefine/>
    <w:qFormat/>
    <w:uiPriority w:val="99"/>
    <w:pPr>
      <w:spacing w:line="360" w:lineRule="auto"/>
      <w:ind w:firstLine="420" w:firstLineChars="200"/>
    </w:pPr>
    <w:rPr>
      <w:rFonts w:cs="黑体"/>
      <w:sz w:val="24"/>
      <w:szCs w:val="21"/>
    </w:rPr>
  </w:style>
  <w:style w:type="paragraph" w:customStyle="1" w:styleId="153">
    <w:name w:val="正文（小四+1.25倍行距）"/>
    <w:basedOn w:val="1"/>
    <w:autoRedefine/>
    <w:qFormat/>
    <w:uiPriority w:val="99"/>
    <w:pPr>
      <w:spacing w:beforeLines="50" w:afterLines="50" w:line="360" w:lineRule="auto"/>
      <w:ind w:firstLine="420"/>
    </w:pPr>
    <w:rPr>
      <w:rFonts w:ascii="Calibri" w:hAnsi="Calibri"/>
      <w:szCs w:val="20"/>
    </w:rPr>
  </w:style>
  <w:style w:type="paragraph" w:customStyle="1" w:styleId="154">
    <w:name w:val="正文 1.1.1"/>
    <w:basedOn w:val="1"/>
    <w:next w:val="1"/>
    <w:autoRedefine/>
    <w:qFormat/>
    <w:uiPriority w:val="99"/>
    <w:pPr>
      <w:tabs>
        <w:tab w:val="left" w:pos="851"/>
      </w:tabs>
      <w:adjustRightInd w:val="0"/>
      <w:spacing w:line="360" w:lineRule="auto"/>
      <w:textAlignment w:val="baseline"/>
      <w:outlineLvl w:val="2"/>
    </w:pPr>
    <w:rPr>
      <w:rFonts w:ascii="宋体" w:hAnsi="宋体"/>
      <w:color w:val="FF0000"/>
      <w:kern w:val="0"/>
      <w:sz w:val="28"/>
      <w:szCs w:val="21"/>
    </w:rPr>
  </w:style>
  <w:style w:type="paragraph" w:customStyle="1" w:styleId="155">
    <w:name w:val="Char Char Char Char Char Char"/>
    <w:basedOn w:val="1"/>
    <w:autoRedefine/>
    <w:qFormat/>
    <w:uiPriority w:val="99"/>
    <w:rPr>
      <w:rFonts w:ascii="Tahoma" w:hAnsi="Tahoma"/>
      <w:sz w:val="24"/>
      <w:szCs w:val="20"/>
    </w:rPr>
  </w:style>
  <w:style w:type="paragraph" w:customStyle="1" w:styleId="156">
    <w:name w:val="标题 55"/>
    <w:basedOn w:val="6"/>
    <w:autoRedefine/>
    <w:qFormat/>
    <w:uiPriority w:val="99"/>
    <w:rPr>
      <w:rFonts w:ascii="方正黑体简体" w:eastAsia="方正黑体简体"/>
      <w:b w:val="0"/>
      <w:bCs w:val="0"/>
    </w:rPr>
  </w:style>
  <w:style w:type="paragraph" w:customStyle="1" w:styleId="157">
    <w:name w:val="正文5"/>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58">
    <w:name w:val="TOC 标题1"/>
    <w:basedOn w:val="2"/>
    <w:next w:val="1"/>
    <w:autoRedefine/>
    <w:qFormat/>
    <w:uiPriority w:val="99"/>
    <w:pPr>
      <w:keepLines/>
      <w:widowControl/>
      <w:spacing w:before="480" w:line="276" w:lineRule="auto"/>
      <w:jc w:val="left"/>
      <w:outlineLvl w:val="9"/>
    </w:pPr>
    <w:rPr>
      <w:rFonts w:ascii="Cambria" w:hAnsi="Cambria" w:eastAsia="方正黑体简体"/>
      <w:bCs w:val="0"/>
      <w:color w:val="365F91"/>
      <w:kern w:val="0"/>
      <w:sz w:val="28"/>
      <w:szCs w:val="28"/>
    </w:rPr>
  </w:style>
  <w:style w:type="paragraph" w:customStyle="1" w:styleId="159">
    <w:name w:val="_Style 36"/>
    <w:basedOn w:val="1"/>
    <w:autoRedefine/>
    <w:qFormat/>
    <w:uiPriority w:val="99"/>
    <w:pPr>
      <w:ind w:firstLine="420" w:firstLineChars="200"/>
    </w:pPr>
    <w:rPr>
      <w:szCs w:val="20"/>
    </w:rPr>
  </w:style>
  <w:style w:type="paragraph" w:customStyle="1" w:styleId="160">
    <w:name w:val="正文_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CM106"/>
    <w:basedOn w:val="149"/>
    <w:next w:val="149"/>
    <w:autoRedefine/>
    <w:qFormat/>
    <w:uiPriority w:val="99"/>
    <w:rPr>
      <w:rFonts w:ascii="宋体" w:hAnsi="Times New Roman" w:eastAsia="宋体" w:cs="Times New Roman"/>
      <w:color w:val="auto"/>
    </w:rPr>
  </w:style>
  <w:style w:type="paragraph" w:customStyle="1" w:styleId="162">
    <w:name w:val="默认段落字体 Para Char Char Char Char Char Char Char Char Char1 Char Char Char Char Char Char Char"/>
    <w:basedOn w:val="14"/>
    <w:autoRedefine/>
    <w:qFormat/>
    <w:uiPriority w:val="99"/>
    <w:rPr>
      <w:sz w:val="24"/>
    </w:rPr>
  </w:style>
  <w:style w:type="paragraph" w:customStyle="1" w:styleId="163">
    <w:name w:val="列出段落2"/>
    <w:basedOn w:val="1"/>
    <w:autoRedefine/>
    <w:qFormat/>
    <w:uiPriority w:val="99"/>
    <w:pPr>
      <w:ind w:firstLine="420" w:firstLineChars="200"/>
    </w:pPr>
    <w:rPr>
      <w:rFonts w:ascii="Calibri" w:hAnsi="Calibri"/>
      <w:szCs w:val="22"/>
    </w:rPr>
  </w:style>
  <w:style w:type="paragraph" w:customStyle="1" w:styleId="164">
    <w:name w:val="Char Char1 Char Char Char Char Char Char"/>
    <w:basedOn w:val="1"/>
    <w:autoRedefine/>
    <w:qFormat/>
    <w:uiPriority w:val="99"/>
    <w:pPr>
      <w:widowControl/>
      <w:spacing w:after="160" w:line="240" w:lineRule="exact"/>
      <w:jc w:val="left"/>
    </w:pPr>
    <w:rPr>
      <w:rFonts w:ascii="宋体" w:hAnsi="宋体" w:cs="宋体"/>
      <w:kern w:val="0"/>
      <w:szCs w:val="20"/>
    </w:rPr>
  </w:style>
  <w:style w:type="paragraph" w:customStyle="1" w:styleId="165">
    <w:name w:val="内文正文"/>
    <w:basedOn w:val="21"/>
    <w:autoRedefine/>
    <w:qFormat/>
    <w:uiPriority w:val="99"/>
    <w:pPr>
      <w:widowControl w:val="0"/>
      <w:overflowPunct/>
      <w:autoSpaceDE/>
      <w:autoSpaceDN/>
      <w:snapToGrid w:val="0"/>
      <w:spacing w:line="400" w:lineRule="exact"/>
      <w:ind w:firstLine="200" w:firstLineChars="200"/>
      <w:jc w:val="both"/>
      <w:textAlignment w:val="auto"/>
    </w:pPr>
    <w:rPr>
      <w:rFonts w:ascii="Arial" w:hAnsi="Arial" w:cs="Courier New"/>
      <w:color w:val="000000"/>
      <w:kern w:val="2"/>
    </w:rPr>
  </w:style>
  <w:style w:type="paragraph" w:customStyle="1" w:styleId="166">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167">
    <w:name w:val="新定义正文"/>
    <w:basedOn w:val="1"/>
    <w:autoRedefine/>
    <w:qFormat/>
    <w:uiPriority w:val="99"/>
    <w:pPr>
      <w:widowControl/>
    </w:pPr>
    <w:rPr>
      <w:color w:val="000000"/>
      <w:szCs w:val="21"/>
    </w:rPr>
  </w:style>
  <w:style w:type="paragraph" w:customStyle="1" w:styleId="168">
    <w:name w:val="_Style 5"/>
    <w:basedOn w:val="14"/>
    <w:autoRedefine/>
    <w:qFormat/>
    <w:uiPriority w:val="99"/>
  </w:style>
  <w:style w:type="paragraph" w:customStyle="1" w:styleId="169">
    <w:name w:val="正文 第一章"/>
    <w:basedOn w:val="1"/>
    <w:next w:val="170"/>
    <w:autoRedefine/>
    <w:qFormat/>
    <w:uiPriority w:val="99"/>
    <w:pPr>
      <w:pageBreakBefore/>
      <w:adjustRightInd w:val="0"/>
      <w:spacing w:before="240" w:after="240" w:line="480" w:lineRule="auto"/>
      <w:ind w:left="300" w:hanging="420"/>
      <w:jc w:val="center"/>
      <w:textAlignment w:val="baseline"/>
      <w:outlineLvl w:val="0"/>
    </w:pPr>
    <w:rPr>
      <w:rFonts w:ascii="黑体" w:hAnsi="宋体" w:eastAsia="黑体"/>
      <w:kern w:val="0"/>
      <w:sz w:val="36"/>
      <w:szCs w:val="36"/>
    </w:rPr>
  </w:style>
  <w:style w:type="paragraph" w:customStyle="1" w:styleId="170">
    <w:name w:val="正文 1.1"/>
    <w:basedOn w:val="1"/>
    <w:next w:val="154"/>
    <w:autoRedefine/>
    <w:qFormat/>
    <w:uiPriority w:val="99"/>
    <w:pPr>
      <w:adjustRightInd w:val="0"/>
      <w:spacing w:line="360" w:lineRule="auto"/>
      <w:ind w:left="980" w:hanging="980" w:hangingChars="350"/>
      <w:textAlignment w:val="baseline"/>
      <w:outlineLvl w:val="1"/>
    </w:pPr>
    <w:rPr>
      <w:rFonts w:ascii="仿宋" w:hAnsi="仿宋" w:eastAsia="仿宋"/>
      <w:b/>
      <w:kern w:val="0"/>
      <w:sz w:val="28"/>
      <w:szCs w:val="21"/>
    </w:rPr>
  </w:style>
  <w:style w:type="paragraph" w:customStyle="1" w:styleId="171">
    <w:name w:val="Char Char Char Char11"/>
    <w:basedOn w:val="14"/>
    <w:autoRedefine/>
    <w:qFormat/>
    <w:uiPriority w:val="99"/>
    <w:rPr>
      <w:szCs w:val="20"/>
    </w:rPr>
  </w:style>
  <w:style w:type="paragraph" w:customStyle="1" w:styleId="172">
    <w:name w:val="正文空2格  1."/>
    <w:basedOn w:val="1"/>
    <w:autoRedefine/>
    <w:qFormat/>
    <w:uiPriority w:val="99"/>
    <w:pPr>
      <w:adjustRightInd w:val="0"/>
      <w:spacing w:line="360" w:lineRule="auto"/>
      <w:ind w:firstLine="480" w:firstLineChars="200"/>
      <w:textAlignment w:val="baseline"/>
    </w:pPr>
    <w:rPr>
      <w:rFonts w:ascii="宋体" w:eastAsia="仿宋" w:cs="宋体"/>
      <w:kern w:val="0"/>
      <w:sz w:val="28"/>
      <w:szCs w:val="20"/>
    </w:rPr>
  </w:style>
  <w:style w:type="paragraph" w:customStyle="1" w:styleId="173">
    <w:name w:val="正文2"/>
    <w:basedOn w:val="1"/>
    <w:autoRedefine/>
    <w:qFormat/>
    <w:uiPriority w:val="99"/>
    <w:pPr>
      <w:spacing w:before="156" w:line="360" w:lineRule="auto"/>
      <w:ind w:firstLine="510" w:firstLineChars="200"/>
    </w:pPr>
    <w:rPr>
      <w:sz w:val="24"/>
      <w:szCs w:val="20"/>
    </w:rPr>
  </w:style>
  <w:style w:type="paragraph" w:customStyle="1" w:styleId="174">
    <w:name w:val="正文0"/>
    <w:basedOn w:val="1"/>
    <w:autoRedefine/>
    <w:qFormat/>
    <w:uiPriority w:val="99"/>
    <w:pPr>
      <w:adjustRightInd w:val="0"/>
      <w:snapToGrid w:val="0"/>
      <w:spacing w:line="440" w:lineRule="exact"/>
      <w:ind w:left="420" w:leftChars="200" w:firstLine="428" w:firstLineChars="200"/>
    </w:pPr>
    <w:rPr>
      <w:spacing w:val="2"/>
      <w:szCs w:val="21"/>
      <w:u w:val="single"/>
    </w:rPr>
  </w:style>
  <w:style w:type="paragraph" w:customStyle="1" w:styleId="175">
    <w:name w:val="样式6"/>
    <w:basedOn w:val="13"/>
    <w:autoRedefine/>
    <w:qFormat/>
    <w:uiPriority w:val="99"/>
    <w:pPr>
      <w:spacing w:line="360" w:lineRule="auto"/>
      <w:ind w:firstLine="200" w:firstLineChars="200"/>
    </w:pPr>
    <w:rPr>
      <w:sz w:val="24"/>
    </w:rPr>
  </w:style>
  <w:style w:type="paragraph" w:customStyle="1" w:styleId="176">
    <w:name w:val="TOC 标题2"/>
    <w:basedOn w:val="2"/>
    <w:next w:val="1"/>
    <w:autoRedefine/>
    <w:qFormat/>
    <w:uiPriority w:val="99"/>
    <w:pPr>
      <w:keepLines/>
      <w:widowControl/>
      <w:spacing w:before="480" w:line="276" w:lineRule="auto"/>
      <w:jc w:val="left"/>
      <w:outlineLvl w:val="9"/>
    </w:pPr>
    <w:rPr>
      <w:rFonts w:ascii="Cambria" w:hAnsi="Cambria" w:eastAsia="方正黑体简体" w:cs="黑体"/>
      <w:bCs w:val="0"/>
      <w:color w:val="365F90"/>
      <w:kern w:val="0"/>
      <w:sz w:val="28"/>
      <w:szCs w:val="28"/>
    </w:rPr>
  </w:style>
  <w:style w:type="paragraph" w:customStyle="1" w:styleId="177">
    <w:name w:val="ml2"/>
    <w:basedOn w:val="27"/>
    <w:autoRedefine/>
    <w:qFormat/>
    <w:uiPriority w:val="99"/>
    <w:pPr>
      <w:tabs>
        <w:tab w:val="clear" w:pos="9628"/>
      </w:tabs>
      <w:spacing w:before="120" w:after="120" w:line="240" w:lineRule="auto"/>
      <w:ind w:left="420" w:leftChars="200"/>
      <w:jc w:val="left"/>
    </w:pPr>
    <w:rPr>
      <w:rFonts w:ascii="Calibri" w:hAnsi="Calibri" w:eastAsia="宋体" w:cs="Calibri"/>
      <w:b/>
      <w:caps/>
      <w:szCs w:val="20"/>
    </w:rPr>
  </w:style>
  <w:style w:type="paragraph" w:customStyle="1" w:styleId="178">
    <w:name w:val="Char1 Char Char Char"/>
    <w:basedOn w:val="1"/>
    <w:autoRedefine/>
    <w:qFormat/>
    <w:uiPriority w:val="99"/>
    <w:rPr>
      <w:rFonts w:ascii="Tahoma" w:hAnsi="Tahoma"/>
      <w:sz w:val="24"/>
      <w:szCs w:val="20"/>
    </w:rPr>
  </w:style>
  <w:style w:type="paragraph" w:customStyle="1" w:styleId="179">
    <w:name w:val="正文 New New New New"/>
    <w:autoRedefine/>
    <w:qFormat/>
    <w:uiPriority w:val="99"/>
    <w:pPr>
      <w:widowControl w:val="0"/>
      <w:jc w:val="both"/>
    </w:pPr>
    <w:rPr>
      <w:rFonts w:ascii="Times New Roman" w:hAnsi="Times New Roman" w:eastAsia="宋体" w:cs="Times New Roman"/>
      <w:szCs w:val="24"/>
      <w:lang w:val="en-US" w:eastAsia="zh-CN" w:bidi="ar-SA"/>
    </w:rPr>
  </w:style>
  <w:style w:type="paragraph" w:customStyle="1" w:styleId="180">
    <w:name w:val="TOC 标题3"/>
    <w:basedOn w:val="2"/>
    <w:next w:val="1"/>
    <w:autoRedefine/>
    <w:qFormat/>
    <w:uiPriority w:val="99"/>
    <w:pPr>
      <w:keepLines/>
      <w:widowControl/>
      <w:spacing w:before="480" w:line="276" w:lineRule="auto"/>
      <w:jc w:val="left"/>
      <w:outlineLvl w:val="9"/>
    </w:pPr>
    <w:rPr>
      <w:rFonts w:ascii="Cambria" w:hAnsi="Cambria" w:eastAsia="宋体"/>
      <w:bCs w:val="0"/>
      <w:color w:val="365F91"/>
      <w:kern w:val="0"/>
      <w:sz w:val="28"/>
      <w:szCs w:val="28"/>
    </w:rPr>
  </w:style>
  <w:style w:type="paragraph" w:customStyle="1" w:styleId="181">
    <w:name w:val="正文1"/>
    <w:basedOn w:val="182"/>
    <w:next w:val="1"/>
    <w:autoRedefine/>
    <w:qFormat/>
    <w:uiPriority w:val="99"/>
    <w:pPr>
      <w:spacing w:beforeLines="50" w:afterLines="50" w:line="300" w:lineRule="auto"/>
      <w:ind w:firstLine="480" w:firstLineChars="200"/>
    </w:pPr>
    <w:rPr>
      <w:szCs w:val="20"/>
    </w:rPr>
  </w:style>
  <w:style w:type="paragraph" w:styleId="182">
    <w:name w:val="List Paragraph"/>
    <w:basedOn w:val="1"/>
    <w:autoRedefine/>
    <w:qFormat/>
    <w:uiPriority w:val="99"/>
    <w:pPr>
      <w:ind w:firstLine="420" w:firstLineChars="200"/>
    </w:pPr>
  </w:style>
  <w:style w:type="paragraph" w:customStyle="1" w:styleId="183">
    <w:name w:val="_Style 32"/>
    <w:basedOn w:val="1"/>
    <w:autoRedefine/>
    <w:qFormat/>
    <w:uiPriority w:val="99"/>
    <w:rPr>
      <w:szCs w:val="20"/>
    </w:rPr>
  </w:style>
  <w:style w:type="paragraph" w:customStyle="1" w:styleId="184">
    <w:name w:val="彩色列表 - 强调文字颜色 11"/>
    <w:basedOn w:val="1"/>
    <w:autoRedefine/>
    <w:qFormat/>
    <w:uiPriority w:val="99"/>
    <w:pPr>
      <w:ind w:firstLine="420" w:firstLineChars="200"/>
    </w:pPr>
  </w:style>
  <w:style w:type="paragraph" w:customStyle="1" w:styleId="185">
    <w:name w:val="Char Char Char Char Char Char Char"/>
    <w:basedOn w:val="1"/>
    <w:autoRedefine/>
    <w:qFormat/>
    <w:uiPriority w:val="99"/>
    <w:rPr>
      <w:rFonts w:ascii="仿宋_GB2312" w:eastAsia="仿宋_GB2312"/>
      <w:b/>
      <w:sz w:val="32"/>
      <w:szCs w:val="32"/>
    </w:rPr>
  </w:style>
  <w:style w:type="paragraph" w:customStyle="1" w:styleId="186">
    <w:name w:val="Char Char Char Char Char Char Char Char Char Char Char Char Char1"/>
    <w:basedOn w:val="1"/>
    <w:autoRedefine/>
    <w:qFormat/>
    <w:uiPriority w:val="99"/>
    <w:rPr>
      <w:rFonts w:ascii="Tahoma" w:hAnsi="Tahoma"/>
      <w:sz w:val="24"/>
      <w:szCs w:val="20"/>
    </w:rPr>
  </w:style>
  <w:style w:type="paragraph" w:customStyle="1" w:styleId="187">
    <w:name w:val="[Normal]"/>
    <w:autoRedefine/>
    <w:qFormat/>
    <w:uiPriority w:val="99"/>
    <w:rPr>
      <w:rFonts w:ascii="宋体" w:hAnsi="宋体" w:eastAsia="宋体" w:cs="Times New Roman"/>
      <w:sz w:val="24"/>
      <w:szCs w:val="22"/>
      <w:lang w:val="zh-CN" w:eastAsia="zh-CN" w:bidi="ar-SA"/>
    </w:rPr>
  </w:style>
  <w:style w:type="paragraph" w:customStyle="1" w:styleId="188">
    <w:name w:val="Blockquote"/>
    <w:basedOn w:val="1"/>
    <w:autoRedefine/>
    <w:qFormat/>
    <w:uiPriority w:val="99"/>
    <w:pPr>
      <w:autoSpaceDE w:val="0"/>
      <w:autoSpaceDN w:val="0"/>
      <w:adjustRightInd w:val="0"/>
      <w:spacing w:before="100" w:after="100"/>
      <w:ind w:left="360" w:right="360"/>
      <w:jc w:val="left"/>
    </w:pPr>
    <w:rPr>
      <w:kern w:val="0"/>
      <w:sz w:val="24"/>
      <w:szCs w:val="20"/>
    </w:rPr>
  </w:style>
  <w:style w:type="paragraph" w:customStyle="1" w:styleId="189">
    <w:name w:val="默认段落字体 Para Char"/>
    <w:basedOn w:val="1"/>
    <w:autoRedefine/>
    <w:qFormat/>
    <w:uiPriority w:val="99"/>
    <w:pPr>
      <w:tabs>
        <w:tab w:val="left" w:pos="360"/>
      </w:tabs>
      <w:adjustRightInd w:val="0"/>
      <w:textAlignment w:val="baseline"/>
    </w:pPr>
    <w:rPr>
      <w:kern w:val="0"/>
      <w:sz w:val="24"/>
      <w:szCs w:val="20"/>
    </w:rPr>
  </w:style>
  <w:style w:type="paragraph" w:customStyle="1" w:styleId="190">
    <w:name w:val="Char Char Char Char Char Char Char Char Char Char Char Char Char"/>
    <w:basedOn w:val="1"/>
    <w:autoRedefine/>
    <w:qFormat/>
    <w:uiPriority w:val="99"/>
  </w:style>
  <w:style w:type="paragraph" w:customStyle="1" w:styleId="191">
    <w:name w:val="Char Char Char Char Char Char Char Char Char Char Char Char Char2"/>
    <w:basedOn w:val="1"/>
    <w:autoRedefine/>
    <w:qFormat/>
    <w:uiPriority w:val="99"/>
    <w:rPr>
      <w:rFonts w:ascii="Tahoma" w:hAnsi="Tahoma"/>
      <w:sz w:val="24"/>
      <w:szCs w:val="20"/>
    </w:rPr>
  </w:style>
  <w:style w:type="paragraph" w:customStyle="1" w:styleId="192">
    <w:name w:val="bt1bt1"/>
    <w:basedOn w:val="2"/>
    <w:autoRedefine/>
    <w:qFormat/>
    <w:uiPriority w:val="99"/>
    <w:pPr>
      <w:keepLines/>
      <w:spacing w:before="280" w:after="290"/>
    </w:pPr>
    <w:rPr>
      <w:rFonts w:ascii="黑体" w:eastAsia="黑体"/>
      <w:b w:val="0"/>
      <w:bCs w:val="0"/>
      <w:kern w:val="0"/>
      <w:sz w:val="36"/>
      <w:szCs w:val="36"/>
    </w:rPr>
  </w:style>
  <w:style w:type="paragraph" w:customStyle="1" w:styleId="193">
    <w:name w:val="ml"/>
    <w:basedOn w:val="27"/>
    <w:autoRedefine/>
    <w:qFormat/>
    <w:uiPriority w:val="99"/>
    <w:pPr>
      <w:tabs>
        <w:tab w:val="clear" w:pos="9628"/>
      </w:tabs>
      <w:spacing w:before="120" w:after="120" w:line="240" w:lineRule="auto"/>
      <w:jc w:val="left"/>
    </w:pPr>
    <w:rPr>
      <w:rFonts w:ascii="Calibri" w:hAnsi="Calibri" w:eastAsia="宋体" w:cs="Calibri"/>
      <w:b/>
      <w:bCs w:val="0"/>
      <w:caps/>
      <w:kern w:val="0"/>
      <w:szCs w:val="20"/>
    </w:rPr>
  </w:style>
  <w:style w:type="paragraph" w:customStyle="1" w:styleId="194">
    <w:name w:val="xl55"/>
    <w:basedOn w:val="1"/>
    <w:autoRedefine/>
    <w:qFormat/>
    <w:uiPriority w:val="99"/>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195">
    <w:name w:val="标题 10"/>
    <w:basedOn w:val="3"/>
    <w:autoRedefine/>
    <w:qFormat/>
    <w:uiPriority w:val="99"/>
    <w:pPr>
      <w:keepNext/>
      <w:adjustRightInd/>
      <w:spacing w:before="280" w:after="290" w:line="377" w:lineRule="auto"/>
      <w:jc w:val="center"/>
      <w:textAlignment w:val="auto"/>
    </w:pPr>
    <w:rPr>
      <w:rFonts w:ascii="方正黑体简体" w:eastAsia="方正黑体简体"/>
      <w:sz w:val="28"/>
      <w:szCs w:val="28"/>
    </w:rPr>
  </w:style>
  <w:style w:type="paragraph" w:customStyle="1" w:styleId="196">
    <w:name w:val="修订11"/>
    <w:autoRedefine/>
    <w:qFormat/>
    <w:uiPriority w:val="99"/>
    <w:rPr>
      <w:rFonts w:ascii="Times New Roman" w:hAnsi="Times New Roman" w:eastAsia="宋体" w:cs="Times New Roman"/>
      <w:kern w:val="2"/>
      <w:sz w:val="21"/>
      <w:szCs w:val="24"/>
      <w:lang w:val="en-US" w:eastAsia="zh-CN" w:bidi="ar-SA"/>
    </w:rPr>
  </w:style>
  <w:style w:type="paragraph" w:customStyle="1" w:styleId="197">
    <w:name w:val="第四级"/>
    <w:basedOn w:val="1"/>
    <w:next w:val="172"/>
    <w:autoRedefine/>
    <w:qFormat/>
    <w:uiPriority w:val="99"/>
    <w:pPr>
      <w:tabs>
        <w:tab w:val="left" w:pos="1134"/>
      </w:tabs>
      <w:adjustRightInd w:val="0"/>
      <w:spacing w:line="360" w:lineRule="auto"/>
      <w:textAlignment w:val="baseline"/>
    </w:pPr>
    <w:rPr>
      <w:rFonts w:ascii="宋体" w:hAnsi="宋体" w:eastAsia="仿宋"/>
      <w:kern w:val="0"/>
      <w:sz w:val="28"/>
      <w:szCs w:val="21"/>
    </w:rPr>
  </w:style>
  <w:style w:type="paragraph" w:customStyle="1" w:styleId="198">
    <w:name w:val="样式 标题 3 + (中文) 黑体 小四 非加粗 段前: 7.8 磅 段后: 0 磅 行距: 固定值 20 磅"/>
    <w:basedOn w:val="4"/>
    <w:autoRedefine/>
    <w:qFormat/>
    <w:uiPriority w:val="99"/>
    <w:pPr>
      <w:spacing w:before="0" w:after="0" w:line="400" w:lineRule="exact"/>
      <w:ind w:firstLine="480" w:firstLineChars="200"/>
    </w:pPr>
    <w:rPr>
      <w:rFonts w:hAnsi="Arial" w:eastAsia="黑体" w:cs="宋体"/>
      <w:b w:val="0"/>
      <w:bCs w:val="0"/>
      <w:sz w:val="24"/>
      <w:szCs w:val="24"/>
    </w:rPr>
  </w:style>
  <w:style w:type="paragraph" w:customStyle="1" w:styleId="199">
    <w:name w:val="_Style 38"/>
    <w:basedOn w:val="14"/>
    <w:autoRedefine/>
    <w:qFormat/>
    <w:uiPriority w:val="99"/>
    <w:rPr>
      <w:rFonts w:ascii="Tahoma" w:hAnsi="Tahoma"/>
      <w:sz w:val="24"/>
    </w:rPr>
  </w:style>
  <w:style w:type="paragraph" w:customStyle="1" w:styleId="200">
    <w:name w:val="xl35"/>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等线"/>
      <w:kern w:val="0"/>
      <w:sz w:val="24"/>
    </w:rPr>
  </w:style>
  <w:style w:type="paragraph" w:customStyle="1" w:styleId="201">
    <w:name w:val="Char"/>
    <w:basedOn w:val="1"/>
    <w:autoRedefine/>
    <w:qFormat/>
    <w:uiPriority w:val="99"/>
    <w:pPr>
      <w:ind w:left="960" w:leftChars="400" w:firstLine="420" w:firstLineChars="200"/>
    </w:pPr>
    <w:rPr>
      <w:rFonts w:ascii="宋体" w:hAnsi="宋体"/>
      <w:szCs w:val="21"/>
    </w:rPr>
  </w:style>
  <w:style w:type="paragraph" w:customStyle="1" w:styleId="202">
    <w:name w:val="2级"/>
    <w:basedOn w:val="3"/>
    <w:next w:val="37"/>
    <w:autoRedefine/>
    <w:qFormat/>
    <w:uiPriority w:val="99"/>
    <w:pPr>
      <w:keepNext/>
      <w:adjustRightInd/>
      <w:spacing w:before="260" w:after="260" w:line="415" w:lineRule="auto"/>
      <w:ind w:left="420"/>
      <w:textAlignment w:val="auto"/>
    </w:pPr>
    <w:rPr>
      <w:rFonts w:ascii="Cambria" w:hAnsi="Cambria"/>
      <w:bCs/>
      <w:sz w:val="30"/>
      <w:szCs w:val="32"/>
    </w:rPr>
  </w:style>
  <w:style w:type="paragraph" w:customStyle="1" w:styleId="203">
    <w:name w:val="Char1"/>
    <w:basedOn w:val="1"/>
    <w:autoRedefine/>
    <w:qFormat/>
    <w:uiPriority w:val="99"/>
    <w:rPr>
      <w:szCs w:val="20"/>
    </w:rPr>
  </w:style>
  <w:style w:type="paragraph" w:customStyle="1" w:styleId="204">
    <w:name w:val="简单回函地址"/>
    <w:basedOn w:val="1"/>
    <w:autoRedefine/>
    <w:qFormat/>
    <w:uiPriority w:val="99"/>
  </w:style>
  <w:style w:type="paragraph" w:customStyle="1" w:styleId="205">
    <w:name w:val="Char Char Char Char1"/>
    <w:basedOn w:val="1"/>
    <w:autoRedefine/>
    <w:qFormat/>
    <w:uiPriority w:val="99"/>
    <w:rPr>
      <w:rFonts w:ascii="Tahoma" w:hAnsi="Tahoma"/>
      <w:sz w:val="24"/>
      <w:szCs w:val="20"/>
    </w:rPr>
  </w:style>
  <w:style w:type="paragraph" w:customStyle="1" w:styleId="206">
    <w:name w:val="Char Char Char Char"/>
    <w:basedOn w:val="14"/>
    <w:autoRedefine/>
    <w:qFormat/>
    <w:uiPriority w:val="99"/>
    <w:rPr>
      <w:rFonts w:ascii="Tahoma" w:hAnsi="Tahoma"/>
      <w:sz w:val="24"/>
    </w:rPr>
  </w:style>
  <w:style w:type="paragraph" w:customStyle="1" w:styleId="207">
    <w:name w:val="彩色列表 - 强调文字颜色 12"/>
    <w:basedOn w:val="1"/>
    <w:autoRedefine/>
    <w:qFormat/>
    <w:uiPriority w:val="99"/>
    <w:pPr>
      <w:ind w:firstLine="420" w:firstLineChars="200"/>
    </w:pPr>
  </w:style>
  <w:style w:type="paragraph" w:customStyle="1" w:styleId="208">
    <w:name w:val="纯文本2"/>
    <w:basedOn w:val="157"/>
    <w:autoRedefine/>
    <w:qFormat/>
    <w:uiPriority w:val="99"/>
    <w:pPr>
      <w:widowControl/>
      <w:jc w:val="left"/>
    </w:pPr>
    <w:rPr>
      <w:rFonts w:ascii="宋体" w:hAnsi="Courier New"/>
    </w:rPr>
  </w:style>
  <w:style w:type="paragraph" w:customStyle="1" w:styleId="209">
    <w:name w:val="节"/>
    <w:basedOn w:val="3"/>
    <w:autoRedefine/>
    <w:qFormat/>
    <w:uiPriority w:val="99"/>
    <w:pPr>
      <w:keepNext/>
      <w:tabs>
        <w:tab w:val="left" w:pos="432"/>
        <w:tab w:val="left" w:pos="576"/>
      </w:tabs>
      <w:adjustRightInd/>
      <w:spacing w:before="280" w:after="290" w:line="240" w:lineRule="auto"/>
      <w:ind w:left="576" w:hanging="576"/>
      <w:textAlignment w:val="auto"/>
    </w:pPr>
    <w:rPr>
      <w:rFonts w:ascii="黑体" w:eastAsia="方正黑体简体"/>
      <w:b w:val="0"/>
      <w:kern w:val="2"/>
      <w:sz w:val="28"/>
      <w:szCs w:val="28"/>
    </w:rPr>
  </w:style>
  <w:style w:type="paragraph" w:customStyle="1" w:styleId="210">
    <w:name w:val="标题 60"/>
    <w:basedOn w:val="7"/>
    <w:autoRedefine/>
    <w:qFormat/>
    <w:uiPriority w:val="99"/>
    <w:pPr>
      <w:spacing w:line="319" w:lineRule="auto"/>
      <w:ind w:firstLine="200" w:firstLineChars="200"/>
    </w:pPr>
    <w:rPr>
      <w:b w:val="0"/>
      <w:szCs w:val="24"/>
    </w:rPr>
  </w:style>
  <w:style w:type="paragraph" w:customStyle="1" w:styleId="211">
    <w:name w:val="ml3"/>
    <w:basedOn w:val="27"/>
    <w:autoRedefine/>
    <w:qFormat/>
    <w:uiPriority w:val="99"/>
    <w:pPr>
      <w:tabs>
        <w:tab w:val="clear" w:pos="9628"/>
      </w:tabs>
      <w:spacing w:before="120" w:after="120" w:line="240" w:lineRule="auto"/>
      <w:ind w:left="840" w:leftChars="400"/>
      <w:jc w:val="left"/>
    </w:pPr>
    <w:rPr>
      <w:rFonts w:ascii="Calibri" w:hAnsi="Calibri" w:eastAsia="宋体" w:cs="Calibri"/>
      <w:b/>
      <w:caps/>
      <w:szCs w:val="20"/>
    </w:rPr>
  </w:style>
  <w:style w:type="paragraph" w:customStyle="1" w:styleId="212">
    <w:name w:val="默认段落字体 Para Char Char Char Char Char Char Char"/>
    <w:basedOn w:val="1"/>
    <w:autoRedefine/>
    <w:qFormat/>
    <w:uiPriority w:val="99"/>
    <w:rPr>
      <w:rFonts w:ascii="Tahoma" w:hAnsi="Tahoma"/>
      <w:sz w:val="24"/>
      <w:szCs w:val="20"/>
    </w:rPr>
  </w:style>
  <w:style w:type="paragraph" w:customStyle="1" w:styleId="213">
    <w:name w:val="p0"/>
    <w:basedOn w:val="1"/>
    <w:autoRedefine/>
    <w:qFormat/>
    <w:uiPriority w:val="99"/>
    <w:pPr>
      <w:widowControl/>
      <w:spacing w:line="360" w:lineRule="auto"/>
    </w:pPr>
    <w:rPr>
      <w:rFonts w:cs="黑体"/>
      <w:kern w:val="0"/>
      <w:szCs w:val="21"/>
    </w:rPr>
  </w:style>
  <w:style w:type="paragraph" w:customStyle="1" w:styleId="214">
    <w:name w:val="保留正文"/>
    <w:basedOn w:val="16"/>
    <w:autoRedefine/>
    <w:qFormat/>
    <w:uiPriority w:val="99"/>
    <w:pPr>
      <w:keepNext/>
      <w:spacing w:after="160"/>
    </w:pPr>
  </w:style>
  <w:style w:type="table" w:customStyle="1" w:styleId="215">
    <w:name w:val="网格型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
    <w:name w:val="网格型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
    <w:name w:val="专业型1"/>
    <w:autoRedefine/>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paragraph" w:customStyle="1" w:styleId="218">
    <w:name w:val="正文文本 (2)"/>
    <w:basedOn w:val="1"/>
    <w:autoRedefine/>
    <w:qFormat/>
    <w:uiPriority w:val="99"/>
    <w:pPr>
      <w:shd w:val="clear" w:color="auto" w:fill="FFFFFF"/>
      <w:spacing w:line="319" w:lineRule="auto"/>
      <w:ind w:firstLine="120"/>
    </w:pPr>
    <w:rPr>
      <w:sz w:val="19"/>
      <w:szCs w:val="19"/>
      <w:lang w:val="zh-CN"/>
    </w:rPr>
  </w:style>
  <w:style w:type="paragraph" w:customStyle="1" w:styleId="219">
    <w:name w:val="正文文本1"/>
    <w:basedOn w:val="1"/>
    <w:autoRedefine/>
    <w:qFormat/>
    <w:uiPriority w:val="99"/>
    <w:pPr>
      <w:shd w:val="clear" w:color="auto" w:fill="FFFFFF"/>
      <w:spacing w:line="326" w:lineRule="auto"/>
    </w:pPr>
    <w:rPr>
      <w:rFonts w:ascii="MingLiUfalt" w:hAnsi="MingLiUfalt" w:eastAsia="MingLiUfalt" w:cs="MingLiUfalt"/>
      <w:sz w:val="19"/>
      <w:szCs w:val="19"/>
      <w:lang w:val="zh-CN"/>
    </w:rPr>
  </w:style>
  <w:style w:type="paragraph" w:customStyle="1" w:styleId="220">
    <w:name w:val="※正文"/>
    <w:basedOn w:val="1"/>
    <w:next w:val="1"/>
    <w:autoRedefine/>
    <w:qFormat/>
    <w:uiPriority w:val="0"/>
    <w:pPr>
      <w:widowControl/>
      <w:wordWrap w:val="0"/>
      <w:spacing w:line="400" w:lineRule="exact"/>
    </w:pPr>
    <w:rPr>
      <w:rFonts w:ascii="Calibri Light" w:hAnsi="Calibri Light" w:eastAsia="华文仿宋"/>
      <w:sz w:val="28"/>
      <w:szCs w:val="28"/>
    </w:rPr>
  </w:style>
  <w:style w:type="paragraph" w:customStyle="1" w:styleId="221">
    <w:name w:val="表格文字"/>
    <w:basedOn w:val="222"/>
    <w:next w:val="16"/>
    <w:autoRedefine/>
    <w:qFormat/>
    <w:uiPriority w:val="0"/>
    <w:pPr>
      <w:spacing w:line="420" w:lineRule="atLeast"/>
    </w:pPr>
    <w:rPr>
      <w:rFonts w:ascii="Times New Roman" w:hAnsi="Times New Roman"/>
      <w:szCs w:val="24"/>
    </w:rPr>
  </w:style>
  <w:style w:type="paragraph" w:customStyle="1" w:styleId="222">
    <w:name w:val="表格文字（两侧对齐）"/>
    <w:basedOn w:val="1"/>
    <w:autoRedefine/>
    <w:qFormat/>
    <w:uiPriority w:val="0"/>
    <w:pPr>
      <w:widowControl w:val="0"/>
      <w:snapToGrid w:val="0"/>
    </w:pPr>
    <w:rPr>
      <w:rFonts w:ascii="Times New Roman" w:hAnsi="Times New Roman" w:cs="Times New Roman"/>
      <w:sz w:val="20"/>
      <w:szCs w:val="20"/>
    </w:rPr>
  </w:style>
  <w:style w:type="paragraph" w:customStyle="1" w:styleId="223">
    <w:name w:val="表格"/>
    <w:basedOn w:val="1"/>
    <w:autoRedefine/>
    <w:qFormat/>
    <w:uiPriority w:val="99"/>
    <w:pPr>
      <w:autoSpaceDE w:val="0"/>
      <w:autoSpaceDN w:val="0"/>
      <w:adjustRightInd w:val="0"/>
      <w:snapToGrid w:val="0"/>
      <w:ind w:firstLine="42" w:firstLineChars="21"/>
      <w:jc w:val="left"/>
    </w:pPr>
    <w:rPr>
      <w:rFonts w:ascii="仿宋_GB2312" w:hAnsi="仿宋_GB2312" w:eastAsia="仿宋_GB2312"/>
      <w:kern w:val="0"/>
      <w:sz w:val="20"/>
      <w:szCs w:val="20"/>
    </w:rPr>
  </w:style>
  <w:style w:type="paragraph" w:customStyle="1" w:styleId="224">
    <w:name w:val="zw1"/>
    <w:basedOn w:val="1"/>
    <w:autoRedefine/>
    <w:qFormat/>
    <w:uiPriority w:val="0"/>
    <w:pPr>
      <w:spacing w:line="360" w:lineRule="auto"/>
      <w:ind w:firstLine="560" w:firstLineChars="200"/>
    </w:pPr>
    <w:rPr>
      <w:sz w:val="28"/>
      <w:szCs w:val="20"/>
    </w:rPr>
  </w:style>
  <w:style w:type="paragraph" w:customStyle="1" w:styleId="225">
    <w:name w:val="Body text|1"/>
    <w:basedOn w:val="1"/>
    <w:autoRedefine/>
    <w:qFormat/>
    <w:uiPriority w:val="0"/>
    <w:pPr>
      <w:spacing w:line="473" w:lineRule="auto"/>
      <w:ind w:firstLine="400"/>
    </w:pPr>
    <w:rPr>
      <w:rFonts w:ascii="宋体" w:hAnsi="宋体" w:cs="宋体"/>
      <w:sz w:val="20"/>
      <w:szCs w:val="20"/>
      <w:lang w:val="zh-TW" w:eastAsia="zh-TW" w:bidi="zh-TW"/>
    </w:rPr>
  </w:style>
  <w:style w:type="paragraph" w:customStyle="1" w:styleId="226">
    <w:name w:val="Table Paragraph"/>
    <w:basedOn w:val="1"/>
    <w:autoRedefine/>
    <w:qFormat/>
    <w:uiPriority w:val="1"/>
    <w:pPr>
      <w:spacing w:before="103"/>
      <w:ind w:left="98"/>
      <w:jc w:val="center"/>
    </w:pPr>
    <w:rPr>
      <w:rFonts w:ascii="宋体" w:hAnsi="宋体" w:cs="宋体"/>
      <w:lang w:eastAsia="en-US" w:bidi="en-US"/>
    </w:rPr>
  </w:style>
  <w:style w:type="character" w:customStyle="1" w:styleId="227">
    <w:name w:val="font11"/>
    <w:basedOn w:val="41"/>
    <w:autoRedefine/>
    <w:qFormat/>
    <w:uiPriority w:val="0"/>
    <w:rPr>
      <w:rFonts w:hint="eastAsia" w:ascii="宋体" w:hAnsi="宋体" w:eastAsia="宋体" w:cs="宋体"/>
      <w:color w:val="000000"/>
      <w:sz w:val="20"/>
      <w:szCs w:val="20"/>
      <w:u w:val="none"/>
    </w:rPr>
  </w:style>
  <w:style w:type="character" w:customStyle="1" w:styleId="228">
    <w:name w:val="font71"/>
    <w:basedOn w:val="41"/>
    <w:autoRedefine/>
    <w:qFormat/>
    <w:uiPriority w:val="0"/>
    <w:rPr>
      <w:rFonts w:hint="eastAsia" w:ascii="宋体" w:hAnsi="宋体" w:eastAsia="宋体" w:cs="宋体"/>
      <w:color w:val="000000"/>
      <w:sz w:val="20"/>
      <w:szCs w:val="20"/>
      <w:u w:val="none"/>
    </w:rPr>
  </w:style>
  <w:style w:type="paragraph" w:customStyle="1" w:styleId="229">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30">
    <w:name w:val="font21"/>
    <w:basedOn w:val="41"/>
    <w:autoRedefine/>
    <w:qFormat/>
    <w:uiPriority w:val="0"/>
    <w:rPr>
      <w:rFonts w:hint="eastAsia" w:ascii="微软雅黑" w:hAnsi="微软雅黑" w:eastAsia="微软雅黑" w:cs="微软雅黑"/>
      <w:color w:val="000000"/>
      <w:sz w:val="12"/>
      <w:szCs w:val="12"/>
      <w:u w:val="none"/>
    </w:rPr>
  </w:style>
  <w:style w:type="character" w:customStyle="1" w:styleId="231">
    <w:name w:val="area_1"/>
    <w:autoRedefine/>
    <w:qFormat/>
    <w:uiPriority w:val="0"/>
    <w:rPr>
      <w:rFonts w:ascii="宋体" w:hAnsi="宋体"/>
      <w:sz w:val="24"/>
    </w:rPr>
  </w:style>
  <w:style w:type="character" w:customStyle="1" w:styleId="232">
    <w:name w:val="font41"/>
    <w:basedOn w:val="41"/>
    <w:autoRedefine/>
    <w:qFormat/>
    <w:uiPriority w:val="0"/>
    <w:rPr>
      <w:rFonts w:hint="eastAsia" w:ascii="宋体" w:hAnsi="宋体" w:eastAsia="宋体" w:cs="宋体"/>
      <w:color w:val="000000"/>
      <w:sz w:val="20"/>
      <w:szCs w:val="20"/>
      <w:u w:val="none"/>
    </w:rPr>
  </w:style>
  <w:style w:type="character" w:customStyle="1" w:styleId="233">
    <w:name w:val="font81"/>
    <w:basedOn w:val="41"/>
    <w:autoRedefine/>
    <w:qFormat/>
    <w:uiPriority w:val="0"/>
    <w:rPr>
      <w:rFonts w:hint="eastAsia" w:ascii="宋体" w:hAnsi="宋体" w:eastAsia="宋体" w:cs="宋体"/>
      <w:color w:val="FF0000"/>
      <w:sz w:val="20"/>
      <w:szCs w:val="20"/>
      <w:u w:val="none"/>
    </w:rPr>
  </w:style>
  <w:style w:type="character" w:customStyle="1" w:styleId="234">
    <w:name w:val="font101"/>
    <w:basedOn w:val="41"/>
    <w:autoRedefine/>
    <w:qFormat/>
    <w:uiPriority w:val="0"/>
    <w:rPr>
      <w:rFonts w:hint="eastAsia" w:ascii="黑体" w:hAnsi="宋体" w:eastAsia="黑体" w:cs="黑体"/>
      <w:color w:val="000000"/>
      <w:sz w:val="16"/>
      <w:szCs w:val="16"/>
      <w:u w:val="none"/>
    </w:rPr>
  </w:style>
  <w:style w:type="character" w:customStyle="1" w:styleId="235">
    <w:name w:val="font121"/>
    <w:basedOn w:val="41"/>
    <w:autoRedefine/>
    <w:qFormat/>
    <w:uiPriority w:val="0"/>
    <w:rPr>
      <w:rFonts w:ascii="华文细黑" w:hAnsi="华文细黑" w:eastAsia="华文细黑" w:cs="华文细黑"/>
      <w:color w:val="000000"/>
      <w:sz w:val="16"/>
      <w:szCs w:val="16"/>
      <w:u w:val="none"/>
    </w:rPr>
  </w:style>
  <w:style w:type="character" w:customStyle="1" w:styleId="236">
    <w:name w:val="font131"/>
    <w:basedOn w:val="41"/>
    <w:autoRedefine/>
    <w:qFormat/>
    <w:uiPriority w:val="0"/>
    <w:rPr>
      <w:rFonts w:hint="eastAsia" w:ascii="宋体" w:hAnsi="宋体" w:eastAsia="宋体" w:cs="宋体"/>
      <w:color w:val="000000"/>
      <w:sz w:val="16"/>
      <w:szCs w:val="16"/>
      <w:u w:val="none"/>
    </w:rPr>
  </w:style>
  <w:style w:type="character" w:customStyle="1" w:styleId="237">
    <w:name w:val="font01"/>
    <w:basedOn w:val="41"/>
    <w:autoRedefine/>
    <w:qFormat/>
    <w:uiPriority w:val="0"/>
    <w:rPr>
      <w:rFonts w:hint="eastAsia" w:ascii="黑体" w:hAnsi="宋体" w:eastAsia="黑体" w:cs="黑体"/>
      <w:color w:val="000000"/>
      <w:sz w:val="16"/>
      <w:szCs w:val="16"/>
      <w:u w:val="none"/>
    </w:rPr>
  </w:style>
  <w:style w:type="character" w:customStyle="1" w:styleId="238">
    <w:name w:val="font111"/>
    <w:basedOn w:val="41"/>
    <w:autoRedefine/>
    <w:qFormat/>
    <w:uiPriority w:val="0"/>
    <w:rPr>
      <w:rFonts w:hint="eastAsia" w:ascii="宋体" w:hAnsi="宋体" w:eastAsia="宋体" w:cs="宋体"/>
      <w:color w:val="000000"/>
      <w:sz w:val="16"/>
      <w:szCs w:val="16"/>
      <w:u w:val="none"/>
    </w:rPr>
  </w:style>
  <w:style w:type="character" w:customStyle="1" w:styleId="239">
    <w:name w:val="font112"/>
    <w:basedOn w:val="41"/>
    <w:autoRedefine/>
    <w:qFormat/>
    <w:uiPriority w:val="0"/>
    <w:rPr>
      <w:rFonts w:hint="eastAsia" w:ascii="宋体" w:hAnsi="宋体" w:eastAsia="宋体" w:cs="宋体"/>
      <w:color w:val="000000"/>
      <w:sz w:val="16"/>
      <w:szCs w:val="16"/>
      <w:u w:val="none"/>
    </w:rPr>
  </w:style>
  <w:style w:type="character" w:customStyle="1" w:styleId="240">
    <w:name w:val="font141"/>
    <w:basedOn w:val="41"/>
    <w:autoRedefine/>
    <w:qFormat/>
    <w:uiPriority w:val="0"/>
    <w:rPr>
      <w:rFonts w:hint="eastAsia" w:ascii="宋体" w:hAnsi="宋体" w:eastAsia="宋体" w:cs="宋体"/>
      <w:color w:val="000000"/>
      <w:sz w:val="16"/>
      <w:szCs w:val="16"/>
      <w:u w:val="none"/>
    </w:rPr>
  </w:style>
  <w:style w:type="character" w:customStyle="1" w:styleId="241">
    <w:name w:val="font151"/>
    <w:basedOn w:val="41"/>
    <w:autoRedefine/>
    <w:qFormat/>
    <w:uiPriority w:val="0"/>
    <w:rPr>
      <w:rFonts w:ascii="华文细黑" w:hAnsi="华文细黑" w:eastAsia="华文细黑" w:cs="华文细黑"/>
      <w:color w:val="000000"/>
      <w:sz w:val="16"/>
      <w:szCs w:val="16"/>
      <w:u w:val="none"/>
    </w:rPr>
  </w:style>
  <w:style w:type="character" w:customStyle="1" w:styleId="242">
    <w:name w:val="font161"/>
    <w:basedOn w:val="41"/>
    <w:autoRedefine/>
    <w:qFormat/>
    <w:uiPriority w:val="0"/>
    <w:rPr>
      <w:rFonts w:hint="eastAsia" w:ascii="宋体" w:hAnsi="宋体" w:eastAsia="宋体" w:cs="宋体"/>
      <w:color w:val="000000"/>
      <w:sz w:val="24"/>
      <w:szCs w:val="24"/>
      <w:u w:val="none"/>
    </w:rPr>
  </w:style>
  <w:style w:type="character" w:customStyle="1" w:styleId="243">
    <w:name w:val="font31"/>
    <w:basedOn w:val="41"/>
    <w:autoRedefine/>
    <w:qFormat/>
    <w:uiPriority w:val="0"/>
    <w:rPr>
      <w:rFonts w:hint="eastAsia" w:ascii="微软雅黑" w:hAnsi="微软雅黑" w:eastAsia="微软雅黑" w:cs="微软雅黑"/>
      <w:color w:val="000000"/>
      <w:sz w:val="20"/>
      <w:szCs w:val="20"/>
      <w:u w:val="none"/>
    </w:rPr>
  </w:style>
  <w:style w:type="character" w:customStyle="1" w:styleId="244">
    <w:name w:val="font61"/>
    <w:basedOn w:val="41"/>
    <w:autoRedefine/>
    <w:qFormat/>
    <w:uiPriority w:val="0"/>
    <w:rPr>
      <w:rFonts w:hint="eastAsia" w:ascii="微软雅黑" w:hAnsi="微软雅黑" w:eastAsia="微软雅黑" w:cs="微软雅黑"/>
      <w:b/>
      <w:bCs/>
      <w:color w:val="FF0000"/>
      <w:sz w:val="20"/>
      <w:szCs w:val="20"/>
      <w:u w:val="none"/>
    </w:rPr>
  </w:style>
  <w:style w:type="character" w:customStyle="1" w:styleId="245">
    <w:name w:val="font51"/>
    <w:basedOn w:val="41"/>
    <w:autoRedefine/>
    <w:qFormat/>
    <w:uiPriority w:val="0"/>
    <w:rPr>
      <w:rFonts w:hint="eastAsia" w:ascii="黑体" w:hAnsi="宋体" w:eastAsia="黑体" w:cs="黑体"/>
      <w:color w:val="000000"/>
      <w:sz w:val="20"/>
      <w:szCs w:val="20"/>
      <w:u w:val="none"/>
    </w:rPr>
  </w:style>
  <w:style w:type="paragraph" w:customStyle="1" w:styleId="246">
    <w:name w:val="列出段落3"/>
    <w:basedOn w:val="1"/>
    <w:autoRedefine/>
    <w:qFormat/>
    <w:uiPriority w:val="0"/>
    <w:pPr>
      <w:spacing w:line="360" w:lineRule="auto"/>
      <w:ind w:firstLine="420" w:firstLineChars="200"/>
    </w:pPr>
    <w:rPr>
      <w:rFonts w:ascii="Calibri" w:hAnsi="Calibri"/>
      <w:sz w:val="24"/>
      <w:szCs w:val="22"/>
    </w:rPr>
  </w:style>
  <w:style w:type="paragraph" w:customStyle="1" w:styleId="247">
    <w:name w:val="BodyText"/>
    <w:basedOn w:val="1"/>
    <w:next w:val="1"/>
    <w:autoRedefine/>
    <w:qFormat/>
    <w:uiPriority w:val="0"/>
    <w:pPr>
      <w:spacing w:after="120"/>
      <w:textAlignment w:val="baseline"/>
    </w:pPr>
    <w:rPr>
      <w:rFonts w:cs="宋体"/>
      <w:szCs w:val="22"/>
    </w:rPr>
  </w:style>
  <w:style w:type="character" w:customStyle="1" w:styleId="248">
    <w:name w:val="NormalCharacter"/>
    <w:autoRedefine/>
    <w:qFormat/>
    <w:uiPriority w:val="0"/>
  </w:style>
  <w:style w:type="paragraph" w:customStyle="1" w:styleId="249">
    <w:name w:val="PlainText"/>
    <w:basedOn w:val="1"/>
    <w:autoRedefine/>
    <w:qFormat/>
    <w:uiPriority w:val="0"/>
    <w:pPr>
      <w:textAlignment w:val="baseline"/>
    </w:pPr>
    <w:rPr>
      <w:rFonts w:ascii="宋体" w:hAnsi="Courier New" w:eastAsia="仿宋_GB2312" w:cs="宋体"/>
      <w:b/>
      <w:bCs/>
      <w:color w:val="000000"/>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29431</Words>
  <Characters>30657</Characters>
  <Lines>230</Lines>
  <Paragraphs>64</Paragraphs>
  <TotalTime>29</TotalTime>
  <ScaleCrop>false</ScaleCrop>
  <LinksUpToDate>false</LinksUpToDate>
  <CharactersWithSpaces>32057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2021-03-18T19:02:00Z</dcterms:created>
  <dc:creator>LCMZX</dc:creator>
  <cp:lastModifiedBy>张豪</cp:lastModifiedBy>
  <cp:lastPrinted>2024-03-05T03:45:00Z</cp:lastPrinted>
  <dcterms:modified xsi:type="dcterms:W3CDTF">2024-04-03T11:34:54Z</dcterms:modified>
  <dc:title>温州市政府采购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FB19054D0D7040C9B951F8AA4FA3CAE6_13</vt:lpwstr>
  </property>
  <property fmtid="{D5CDD505-2E9C-101B-9397-08002B2CF9AE}" pid="4" name="commondata">
    <vt:lpwstr>eyJoZGlkIjoiZDRhNzcwYWMxNDc0YjRjN2UxZDk1NTg4ZWEwNTIzZDUifQ==</vt:lpwstr>
  </property>
</Properties>
</file>