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pacing w:val="120"/>
          <w:sz w:val="56"/>
          <w:highlight w:val="none"/>
        </w:rPr>
      </w:pPr>
      <w:bookmarkStart w:id="183" w:name="_GoBack"/>
      <w:bookmarkEnd w:id="183"/>
    </w:p>
    <w:p>
      <w:pPr>
        <w:jc w:val="center"/>
        <w:rPr>
          <w:rFonts w:hint="eastAsia" w:ascii="宋体" w:hAnsi="宋体" w:cs="宋体"/>
          <w:b/>
          <w:color w:val="auto"/>
          <w:spacing w:val="120"/>
          <w:sz w:val="56"/>
          <w:highlight w:val="none"/>
        </w:rPr>
      </w:pPr>
    </w:p>
    <w:p>
      <w:pPr>
        <w:tabs>
          <w:tab w:val="left" w:pos="8789"/>
        </w:tabs>
        <w:jc w:val="center"/>
        <w:rPr>
          <w:rFonts w:hint="eastAsia" w:ascii="宋体" w:hAnsi="宋体" w:cs="宋体"/>
          <w:b/>
          <w:color w:val="auto"/>
          <w:spacing w:val="220"/>
          <w:sz w:val="72"/>
          <w:highlight w:val="none"/>
        </w:rPr>
      </w:pPr>
      <w:r>
        <w:rPr>
          <w:rFonts w:hint="eastAsia" w:ascii="宋体" w:hAnsi="宋体" w:cs="宋体"/>
          <w:b/>
          <w:color w:val="auto"/>
          <w:spacing w:val="140"/>
          <w:sz w:val="72"/>
          <w:highlight w:val="none"/>
        </w:rPr>
        <w:t>温州市政府分散采购</w:t>
      </w:r>
      <w:r>
        <w:rPr>
          <w:rFonts w:hint="eastAsia" w:ascii="宋体" w:hAnsi="宋体" w:cs="宋体"/>
          <w:b/>
          <w:color w:val="auto"/>
          <w:spacing w:val="300"/>
          <w:sz w:val="72"/>
          <w:highlight w:val="none"/>
        </w:rPr>
        <w:t xml:space="preserve"> </w:t>
      </w:r>
    </w:p>
    <w:p>
      <w:pPr>
        <w:jc w:val="center"/>
        <w:rPr>
          <w:rFonts w:hint="eastAsia" w:ascii="宋体" w:hAnsi="宋体" w:cs="宋体"/>
          <w:b/>
          <w:color w:val="auto"/>
          <w:spacing w:val="26"/>
          <w:sz w:val="52"/>
          <w:highlight w:val="none"/>
        </w:rPr>
      </w:pPr>
    </w:p>
    <w:p>
      <w:pPr>
        <w:ind w:firstLine="2357" w:firstLineChars="235"/>
        <w:rPr>
          <w:rFonts w:hint="eastAsia" w:ascii="宋体" w:hAnsi="宋体" w:cs="宋体"/>
          <w:b/>
          <w:color w:val="auto"/>
          <w:spacing w:val="140"/>
          <w:sz w:val="72"/>
          <w:highlight w:val="none"/>
        </w:rPr>
      </w:pPr>
    </w:p>
    <w:p>
      <w:pPr>
        <w:spacing w:line="360" w:lineRule="exact"/>
        <w:jc w:val="center"/>
        <w:rPr>
          <w:rFonts w:hint="eastAsia" w:ascii="宋体" w:hAnsi="宋体" w:cs="宋体"/>
          <w:b/>
          <w:color w:val="auto"/>
          <w:spacing w:val="140"/>
          <w:sz w:val="72"/>
          <w:highlight w:val="none"/>
        </w:rPr>
      </w:pPr>
    </w:p>
    <w:p>
      <w:pPr>
        <w:spacing w:line="900" w:lineRule="exact"/>
        <w:jc w:val="center"/>
        <w:rPr>
          <w:rFonts w:hint="eastAsia" w:ascii="宋体" w:hAnsi="宋体" w:cs="宋体"/>
          <w:b/>
          <w:color w:val="auto"/>
          <w:spacing w:val="140"/>
          <w:sz w:val="84"/>
          <w:szCs w:val="84"/>
          <w:highlight w:val="none"/>
        </w:rPr>
      </w:pPr>
      <w:r>
        <w:rPr>
          <w:rFonts w:hint="eastAsia" w:ascii="宋体" w:hAnsi="宋体" w:cs="宋体"/>
          <w:b/>
          <w:color w:val="auto"/>
          <w:spacing w:val="140"/>
          <w:sz w:val="84"/>
          <w:szCs w:val="84"/>
          <w:highlight w:val="none"/>
        </w:rPr>
        <w:t>招 标 文 件</w:t>
      </w:r>
    </w:p>
    <w:p>
      <w:pPr>
        <w:spacing w:line="400" w:lineRule="exact"/>
        <w:jc w:val="center"/>
        <w:rPr>
          <w:rFonts w:hint="eastAsia" w:ascii="宋体" w:hAnsi="宋体" w:cs="宋体"/>
          <w:b/>
          <w:color w:val="auto"/>
          <w:sz w:val="32"/>
          <w:highlight w:val="none"/>
        </w:rPr>
      </w:pPr>
    </w:p>
    <w:p>
      <w:pPr>
        <w:spacing w:line="400" w:lineRule="exact"/>
        <w:jc w:val="center"/>
        <w:rPr>
          <w:rFonts w:hint="eastAsia" w:ascii="宋体" w:hAnsi="宋体" w:cs="宋体"/>
          <w:b/>
          <w:color w:val="auto"/>
          <w:sz w:val="32"/>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spacing w:line="700" w:lineRule="exact"/>
        <w:ind w:firstLine="1699" w:firstLineChars="472"/>
        <w:rPr>
          <w:rFonts w:hint="eastAsia" w:ascii="宋体" w:hAnsi="宋体" w:cs="宋体"/>
          <w:color w:val="auto"/>
          <w:sz w:val="30"/>
          <w:highlight w:val="none"/>
        </w:rPr>
      </w:pPr>
      <w:r>
        <w:rPr>
          <w:rFonts w:hint="eastAsia" w:ascii="宋体" w:hAnsi="宋体" w:cs="宋体"/>
          <w:color w:val="auto"/>
          <w:spacing w:val="30"/>
          <w:sz w:val="30"/>
          <w:highlight w:val="none"/>
        </w:rPr>
        <w:t xml:space="preserve">项 目 编 号: ZJDO20221008001 </w:t>
      </w:r>
      <w:r>
        <w:rPr>
          <w:rFonts w:hint="eastAsia" w:ascii="宋体" w:hAnsi="宋体" w:cs="宋体"/>
          <w:color w:val="auto"/>
          <w:sz w:val="30"/>
          <w:highlight w:val="none"/>
        </w:rPr>
        <w:t xml:space="preserve"> </w:t>
      </w:r>
    </w:p>
    <w:p>
      <w:pPr>
        <w:spacing w:line="700" w:lineRule="exact"/>
        <w:ind w:left="4107" w:leftChars="809" w:hanging="2408" w:hangingChars="669"/>
        <w:rPr>
          <w:rFonts w:hint="eastAsia" w:ascii="宋体" w:hAnsi="宋体" w:cs="宋体"/>
          <w:color w:val="auto"/>
          <w:spacing w:val="30"/>
          <w:sz w:val="30"/>
          <w:highlight w:val="none"/>
        </w:rPr>
      </w:pPr>
      <w:r>
        <w:rPr>
          <w:rFonts w:hint="eastAsia" w:ascii="宋体" w:hAnsi="宋体" w:cs="宋体"/>
          <w:color w:val="auto"/>
          <w:spacing w:val="30"/>
          <w:sz w:val="30"/>
          <w:highlight w:val="none"/>
        </w:rPr>
        <w:t xml:space="preserve">项 目 名 称: </w:t>
      </w:r>
      <w:r>
        <w:rPr>
          <w:rFonts w:hint="eastAsia" w:ascii="宋体" w:hAnsi="宋体" w:cs="宋体"/>
          <w:color w:val="auto"/>
          <w:sz w:val="30"/>
          <w:highlight w:val="none"/>
        </w:rPr>
        <w:t>网络安全框架建设</w:t>
      </w:r>
    </w:p>
    <w:p>
      <w:pPr>
        <w:spacing w:line="700" w:lineRule="exact"/>
        <w:ind w:firstLine="1699" w:firstLineChars="472"/>
        <w:rPr>
          <w:rFonts w:hint="eastAsia" w:ascii="宋体" w:hAnsi="宋体" w:cs="宋体"/>
          <w:color w:val="auto"/>
          <w:spacing w:val="40"/>
          <w:sz w:val="30"/>
          <w:highlight w:val="none"/>
        </w:rPr>
      </w:pPr>
      <w:r>
        <w:rPr>
          <w:rFonts w:hint="eastAsia" w:ascii="宋体" w:hAnsi="宋体" w:cs="宋体"/>
          <w:color w:val="auto"/>
          <w:spacing w:val="30"/>
          <w:sz w:val="30"/>
          <w:highlight w:val="none"/>
        </w:rPr>
        <w:t>采 购 方 式：公开招标</w:t>
      </w:r>
    </w:p>
    <w:p>
      <w:pPr>
        <w:spacing w:line="600" w:lineRule="exact"/>
        <w:rPr>
          <w:rFonts w:hint="eastAsia" w:ascii="宋体" w:hAnsi="宋体" w:cs="宋体"/>
          <w:color w:val="auto"/>
          <w:spacing w:val="40"/>
          <w:sz w:val="30"/>
          <w:highlight w:val="none"/>
        </w:rPr>
      </w:pPr>
    </w:p>
    <w:p>
      <w:pPr>
        <w:spacing w:line="600" w:lineRule="exact"/>
        <w:rPr>
          <w:rFonts w:hint="eastAsia" w:ascii="宋体" w:hAnsi="宋体" w:cs="宋体"/>
          <w:color w:val="auto"/>
          <w:spacing w:val="40"/>
          <w:sz w:val="30"/>
          <w:highlight w:val="none"/>
        </w:rPr>
      </w:pPr>
    </w:p>
    <w:p>
      <w:pPr>
        <w:spacing w:line="600" w:lineRule="exact"/>
        <w:rPr>
          <w:rFonts w:hint="eastAsia" w:ascii="宋体" w:hAnsi="宋体" w:cs="宋体"/>
          <w:color w:val="auto"/>
          <w:spacing w:val="40"/>
          <w:sz w:val="30"/>
          <w:highlight w:val="none"/>
        </w:rPr>
      </w:pPr>
    </w:p>
    <w:p>
      <w:pPr>
        <w:spacing w:line="600" w:lineRule="exact"/>
        <w:rPr>
          <w:rFonts w:hint="eastAsia" w:ascii="宋体" w:hAnsi="宋体" w:cs="宋体"/>
          <w:color w:val="auto"/>
          <w:spacing w:val="40"/>
          <w:sz w:val="30"/>
          <w:highlight w:val="none"/>
        </w:rPr>
      </w:pPr>
    </w:p>
    <w:p>
      <w:pPr>
        <w:spacing w:line="6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采购人：温州市公安局交通管理局</w:t>
      </w:r>
    </w:p>
    <w:p>
      <w:pPr>
        <w:spacing w:line="60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采购代理机构：浙江东瓯工程造价咨询有限公司</w:t>
      </w:r>
    </w:p>
    <w:p>
      <w:pPr>
        <w:spacing w:line="600" w:lineRule="exact"/>
        <w:jc w:val="center"/>
        <w:rPr>
          <w:rFonts w:hint="eastAsia" w:ascii="宋体" w:hAnsi="宋体" w:cs="宋体"/>
          <w:b/>
          <w:bCs/>
          <w:color w:val="auto"/>
          <w:spacing w:val="40"/>
          <w:sz w:val="28"/>
          <w:szCs w:val="28"/>
          <w:highlight w:val="none"/>
        </w:rPr>
      </w:pPr>
    </w:p>
    <w:p>
      <w:pPr>
        <w:spacing w:line="600" w:lineRule="exact"/>
        <w:jc w:val="center"/>
        <w:rPr>
          <w:rFonts w:hint="eastAsia" w:ascii="宋体" w:hAnsi="宋体" w:cs="宋体"/>
          <w:b/>
          <w:bCs/>
          <w:color w:val="auto"/>
          <w:spacing w:val="40"/>
          <w:sz w:val="30"/>
          <w:szCs w:val="30"/>
          <w:highlight w:val="none"/>
        </w:rPr>
      </w:pPr>
      <w:r>
        <w:rPr>
          <w:rFonts w:hint="eastAsia" w:ascii="宋体" w:hAnsi="宋体" w:cs="宋体"/>
          <w:b/>
          <w:bCs/>
          <w:color w:val="auto"/>
          <w:spacing w:val="40"/>
          <w:sz w:val="30"/>
          <w:szCs w:val="30"/>
          <w:highlight w:val="none"/>
        </w:rPr>
        <w:t>二〇二二年</w:t>
      </w:r>
      <w:r>
        <w:rPr>
          <w:rFonts w:hint="eastAsia" w:ascii="宋体" w:hAnsi="宋体" w:cs="宋体"/>
          <w:b/>
          <w:bCs/>
          <w:color w:val="auto"/>
          <w:spacing w:val="40"/>
          <w:sz w:val="30"/>
          <w:szCs w:val="30"/>
          <w:highlight w:val="none"/>
          <w:lang w:val="en-US" w:eastAsia="zh-CN"/>
        </w:rPr>
        <w:t>十一</w:t>
      </w:r>
      <w:r>
        <w:rPr>
          <w:rFonts w:hint="eastAsia" w:ascii="宋体" w:hAnsi="宋体" w:cs="宋体"/>
          <w:b/>
          <w:bCs/>
          <w:color w:val="auto"/>
          <w:spacing w:val="40"/>
          <w:sz w:val="30"/>
          <w:szCs w:val="30"/>
          <w:highlight w:val="none"/>
        </w:rPr>
        <w:t xml:space="preserve">月 </w:t>
      </w:r>
    </w:p>
    <w:p>
      <w:pPr>
        <w:pStyle w:val="3"/>
        <w:tabs>
          <w:tab w:val="clear" w:pos="840"/>
        </w:tabs>
        <w:adjustRightInd/>
        <w:snapToGrid/>
        <w:spacing w:before="120" w:after="120" w:line="600" w:lineRule="exact"/>
        <w:jc w:val="center"/>
        <w:rPr>
          <w:rFonts w:hint="eastAsia" w:hAnsi="宋体" w:cs="宋体"/>
          <w:bCs/>
          <w:color w:val="auto"/>
          <w:sz w:val="36"/>
          <w:szCs w:val="36"/>
          <w:highlight w:val="none"/>
        </w:rPr>
        <w:sectPr>
          <w:headerReference r:id="rId4" w:type="first"/>
          <w:headerReference r:id="rId3" w:type="default"/>
          <w:footerReference r:id="rId5" w:type="default"/>
          <w:footerReference r:id="rId6" w:type="even"/>
          <w:pgSz w:w="11906" w:h="16838"/>
          <w:pgMar w:top="1134" w:right="1134" w:bottom="1134" w:left="1134" w:header="851" w:footer="992" w:gutter="284"/>
          <w:pgNumType w:start="0"/>
          <w:cols w:space="720" w:num="1"/>
          <w:titlePg/>
          <w:docGrid w:linePitch="312" w:charSpace="0"/>
        </w:sectPr>
      </w:pPr>
      <w:bookmarkStart w:id="0" w:name="_Toc66274185"/>
    </w:p>
    <w:bookmarkEnd w:id="0"/>
    <w:p>
      <w:pPr>
        <w:pStyle w:val="3"/>
        <w:jc w:val="center"/>
        <w:rPr>
          <w:rFonts w:hint="eastAsia" w:hAnsi="宋体" w:cs="宋体"/>
          <w:color w:val="auto"/>
          <w:sz w:val="36"/>
          <w:szCs w:val="36"/>
          <w:highlight w:val="none"/>
        </w:rPr>
      </w:pPr>
      <w:bookmarkStart w:id="1" w:name="_Toc10520"/>
      <w:bookmarkStart w:id="2" w:name="_Toc14648"/>
      <w:r>
        <w:rPr>
          <w:rFonts w:hint="eastAsia" w:hAnsi="宋体" w:cs="宋体"/>
          <w:color w:val="auto"/>
          <w:sz w:val="36"/>
          <w:szCs w:val="36"/>
          <w:highlight w:val="none"/>
        </w:rPr>
        <w:t>目    录</w:t>
      </w:r>
      <w:bookmarkEnd w:id="1"/>
      <w:bookmarkEnd w:id="2"/>
    </w:p>
    <w:p>
      <w:pPr>
        <w:pStyle w:val="26"/>
        <w:tabs>
          <w:tab w:val="right" w:leader="dot" w:pos="9354"/>
        </w:tabs>
        <w:rPr>
          <w:color w:val="auto"/>
          <w:highlight w:val="none"/>
        </w:rPr>
      </w:pPr>
      <w:r>
        <w:rPr>
          <w:rFonts w:hint="eastAsia" w:ascii="宋体" w:hAnsi="宋体" w:cs="宋体"/>
          <w:b w:val="0"/>
          <w:bCs w:val="0"/>
          <w:caps w:val="0"/>
          <w:color w:val="auto"/>
          <w:sz w:val="22"/>
          <w:szCs w:val="22"/>
          <w:highlight w:val="none"/>
        </w:rPr>
        <w:fldChar w:fldCharType="begin"/>
      </w:r>
      <w:r>
        <w:rPr>
          <w:rFonts w:hint="eastAsia" w:ascii="宋体" w:hAnsi="宋体" w:cs="宋体"/>
          <w:b w:val="0"/>
          <w:bCs w:val="0"/>
          <w:caps w:val="0"/>
          <w:color w:val="auto"/>
          <w:sz w:val="22"/>
          <w:szCs w:val="22"/>
          <w:highlight w:val="none"/>
        </w:rPr>
        <w:instrText xml:space="preserve"> TOC \o "1-3" \h \z \u </w:instrText>
      </w:r>
      <w:r>
        <w:rPr>
          <w:rFonts w:hint="eastAsia" w:ascii="宋体" w:hAnsi="宋体" w:cs="宋体"/>
          <w:b w:val="0"/>
          <w:bCs w:val="0"/>
          <w:caps w:val="0"/>
          <w:color w:val="auto"/>
          <w:sz w:val="22"/>
          <w:szCs w:val="22"/>
          <w:highlight w:val="none"/>
        </w:rPr>
        <w:fldChar w:fldCharType="separate"/>
      </w: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_Toc14648 </w:instrText>
      </w:r>
      <w:r>
        <w:rPr>
          <w:rFonts w:hint="eastAsia" w:ascii="宋体" w:hAnsi="宋体" w:cs="宋体"/>
          <w:bCs w:val="0"/>
          <w:caps w:val="0"/>
          <w:color w:val="auto"/>
          <w:szCs w:val="22"/>
          <w:highlight w:val="none"/>
        </w:rPr>
        <w:fldChar w:fldCharType="separate"/>
      </w:r>
      <w:r>
        <w:rPr>
          <w:rFonts w:hint="eastAsia" w:hAnsi="宋体" w:cs="宋体"/>
          <w:color w:val="auto"/>
          <w:szCs w:val="36"/>
          <w:highlight w:val="none"/>
        </w:rPr>
        <w:t>目    录</w:t>
      </w:r>
      <w:r>
        <w:rPr>
          <w:color w:val="auto"/>
          <w:highlight w:val="none"/>
        </w:rPr>
        <w:tab/>
      </w:r>
      <w:r>
        <w:rPr>
          <w:color w:val="auto"/>
          <w:highlight w:val="none"/>
        </w:rPr>
        <w:fldChar w:fldCharType="begin"/>
      </w:r>
      <w:r>
        <w:rPr>
          <w:color w:val="auto"/>
          <w:highlight w:val="none"/>
        </w:rPr>
        <w:instrText xml:space="preserve"> PAGEREF _Toc14648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_Toc22010 </w:instrText>
      </w:r>
      <w:r>
        <w:rPr>
          <w:rFonts w:hint="eastAsia" w:ascii="宋体" w:hAnsi="宋体" w:cs="宋体"/>
          <w:bCs w:val="0"/>
          <w:caps w:val="0"/>
          <w:color w:val="auto"/>
          <w:szCs w:val="22"/>
          <w:highlight w:val="none"/>
        </w:rPr>
        <w:fldChar w:fldCharType="separate"/>
      </w:r>
      <w:r>
        <w:rPr>
          <w:rFonts w:hint="eastAsia" w:hAnsi="宋体" w:cs="宋体"/>
          <w:color w:val="auto"/>
          <w:szCs w:val="32"/>
          <w:highlight w:val="none"/>
        </w:rPr>
        <w:t>第一部分  投标供应商须知</w:t>
      </w:r>
      <w:r>
        <w:rPr>
          <w:color w:val="auto"/>
          <w:highlight w:val="none"/>
        </w:rPr>
        <w:tab/>
      </w:r>
      <w:r>
        <w:rPr>
          <w:color w:val="auto"/>
          <w:highlight w:val="none"/>
        </w:rPr>
        <w:fldChar w:fldCharType="begin"/>
      </w:r>
      <w:r>
        <w:rPr>
          <w:color w:val="auto"/>
          <w:highlight w:val="none"/>
        </w:rPr>
        <w:instrText xml:space="preserve"> PAGEREF _Toc22010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val="0"/>
          <w:caps w:val="0"/>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_Toc26182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一、 说  明</w:t>
      </w:r>
      <w:r>
        <w:rPr>
          <w:color w:val="auto"/>
          <w:highlight w:val="none"/>
        </w:rPr>
        <w:tab/>
      </w:r>
      <w:r>
        <w:rPr>
          <w:color w:val="auto"/>
          <w:highlight w:val="none"/>
        </w:rPr>
        <w:fldChar w:fldCharType="begin"/>
      </w:r>
      <w:r>
        <w:rPr>
          <w:color w:val="auto"/>
          <w:highlight w:val="none"/>
        </w:rPr>
        <w:instrText xml:space="preserve"> PAGEREF _Toc26182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_Toc29592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二、 招标文件</w:t>
      </w:r>
      <w:r>
        <w:rPr>
          <w:color w:val="auto"/>
          <w:highlight w:val="none"/>
        </w:rPr>
        <w:tab/>
      </w:r>
      <w:r>
        <w:rPr>
          <w:color w:val="auto"/>
          <w:highlight w:val="none"/>
        </w:rPr>
        <w:fldChar w:fldCharType="begin"/>
      </w:r>
      <w:r>
        <w:rPr>
          <w:color w:val="auto"/>
          <w:highlight w:val="none"/>
        </w:rPr>
        <w:instrText xml:space="preserve"> PAGEREF _Toc29592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_Toc31539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_Toc31539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_Toc22301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四、 投标</w:t>
      </w:r>
      <w:r>
        <w:rPr>
          <w:color w:val="auto"/>
          <w:highlight w:val="none"/>
        </w:rPr>
        <w:tab/>
      </w:r>
      <w:r>
        <w:rPr>
          <w:color w:val="auto"/>
          <w:highlight w:val="none"/>
        </w:rPr>
        <w:fldChar w:fldCharType="begin"/>
      </w:r>
      <w:r>
        <w:rPr>
          <w:color w:val="auto"/>
          <w:highlight w:val="none"/>
        </w:rPr>
        <w:instrText xml:space="preserve"> PAGEREF _Toc22301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_Toc9951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五、 开标和评标</w:t>
      </w:r>
      <w:r>
        <w:rPr>
          <w:color w:val="auto"/>
          <w:highlight w:val="none"/>
        </w:rPr>
        <w:tab/>
      </w:r>
      <w:r>
        <w:rPr>
          <w:color w:val="auto"/>
          <w:highlight w:val="none"/>
        </w:rPr>
        <w:fldChar w:fldCharType="begin"/>
      </w:r>
      <w:r>
        <w:rPr>
          <w:color w:val="auto"/>
          <w:highlight w:val="none"/>
        </w:rPr>
        <w:instrText xml:space="preserve"> PAGEREF _Toc9951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_Toc6669 </w:instrText>
      </w:r>
      <w:r>
        <w:rPr>
          <w:rFonts w:hint="eastAsia" w:ascii="宋体" w:hAnsi="宋体" w:cs="宋体"/>
          <w:bCs/>
          <w:caps/>
          <w:color w:val="auto"/>
          <w:szCs w:val="22"/>
          <w:highlight w:val="none"/>
        </w:rPr>
        <w:fldChar w:fldCharType="separate"/>
      </w:r>
      <w:r>
        <w:rPr>
          <w:rFonts w:hint="eastAsia" w:ascii="宋体" w:hAnsi="宋体" w:cs="宋体"/>
          <w:color w:val="auto"/>
          <w:szCs w:val="24"/>
          <w:highlight w:val="none"/>
        </w:rPr>
        <w:t>六、 授予合同</w:t>
      </w:r>
      <w:r>
        <w:rPr>
          <w:color w:val="auto"/>
          <w:highlight w:val="none"/>
        </w:rPr>
        <w:tab/>
      </w:r>
      <w:r>
        <w:rPr>
          <w:color w:val="auto"/>
          <w:highlight w:val="none"/>
        </w:rPr>
        <w:fldChar w:fldCharType="begin"/>
      </w:r>
      <w:r>
        <w:rPr>
          <w:color w:val="auto"/>
          <w:highlight w:val="none"/>
        </w:rPr>
        <w:instrText xml:space="preserve"> PAGEREF _Toc6669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_Toc12885 </w:instrText>
      </w:r>
      <w:r>
        <w:rPr>
          <w:rFonts w:hint="eastAsia" w:ascii="宋体" w:hAnsi="宋体" w:cs="宋体"/>
          <w:bCs w:val="0"/>
          <w:caps w:val="0"/>
          <w:color w:val="auto"/>
          <w:szCs w:val="22"/>
          <w:highlight w:val="none"/>
        </w:rPr>
        <w:fldChar w:fldCharType="separate"/>
      </w:r>
      <w:r>
        <w:rPr>
          <w:rFonts w:hint="eastAsia" w:hAnsi="宋体" w:cs="宋体"/>
          <w:color w:val="auto"/>
          <w:highlight w:val="none"/>
        </w:rPr>
        <w:t>投标邀请函</w:t>
      </w:r>
      <w:r>
        <w:rPr>
          <w:color w:val="auto"/>
          <w:highlight w:val="none"/>
        </w:rPr>
        <w:tab/>
      </w:r>
      <w:r>
        <w:rPr>
          <w:color w:val="auto"/>
          <w:highlight w:val="none"/>
        </w:rPr>
        <w:fldChar w:fldCharType="begin"/>
      </w:r>
      <w:r>
        <w:rPr>
          <w:color w:val="auto"/>
          <w:highlight w:val="none"/>
        </w:rPr>
        <w:instrText xml:space="preserve"> PAGEREF _Toc12885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val="0"/>
          <w:caps w:val="0"/>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_Toc2167 </w:instrText>
      </w:r>
      <w:r>
        <w:rPr>
          <w:rFonts w:hint="eastAsia" w:ascii="宋体" w:hAnsi="宋体" w:cs="宋体"/>
          <w:bCs w:val="0"/>
          <w:caps w:val="0"/>
          <w:color w:val="auto"/>
          <w:szCs w:val="22"/>
          <w:highlight w:val="none"/>
        </w:rPr>
        <w:fldChar w:fldCharType="separate"/>
      </w:r>
      <w:r>
        <w:rPr>
          <w:rFonts w:hint="eastAsia" w:hAnsi="宋体" w:cs="宋体"/>
          <w:color w:val="auto"/>
          <w:szCs w:val="32"/>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_Toc2167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val="0"/>
          <w:caps w:val="0"/>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_Toc3030 </w:instrText>
      </w:r>
      <w:r>
        <w:rPr>
          <w:rFonts w:hint="eastAsia" w:ascii="宋体" w:hAnsi="宋体" w:cs="宋体"/>
          <w:bCs w:val="0"/>
          <w:caps w:val="0"/>
          <w:color w:val="auto"/>
          <w:szCs w:val="22"/>
          <w:highlight w:val="none"/>
        </w:rPr>
        <w:fldChar w:fldCharType="separate"/>
      </w:r>
      <w:r>
        <w:rPr>
          <w:rFonts w:hint="eastAsia" w:hAnsi="宋体" w:cs="宋体"/>
          <w:color w:val="auto"/>
          <w:szCs w:val="32"/>
          <w:highlight w:val="none"/>
        </w:rPr>
        <w:t>第三部分 附件</w:t>
      </w:r>
      <w:r>
        <w:rPr>
          <w:color w:val="auto"/>
          <w:highlight w:val="none"/>
        </w:rPr>
        <w:tab/>
      </w:r>
      <w:r>
        <w:rPr>
          <w:color w:val="auto"/>
          <w:highlight w:val="none"/>
        </w:rPr>
        <w:fldChar w:fldCharType="begin"/>
      </w:r>
      <w:r>
        <w:rPr>
          <w:color w:val="auto"/>
          <w:highlight w:val="none"/>
        </w:rPr>
        <w:instrText xml:space="preserve"> PAGEREF _Toc3030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val="0"/>
          <w:caps w:val="0"/>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_Toc2135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附件一  投 标 函</w:t>
      </w:r>
      <w:r>
        <w:rPr>
          <w:color w:val="auto"/>
          <w:highlight w:val="none"/>
        </w:rPr>
        <w:tab/>
      </w:r>
      <w:r>
        <w:rPr>
          <w:color w:val="auto"/>
          <w:highlight w:val="none"/>
        </w:rPr>
        <w:fldChar w:fldCharType="begin"/>
      </w:r>
      <w:r>
        <w:rPr>
          <w:color w:val="auto"/>
          <w:highlight w:val="none"/>
        </w:rPr>
        <w:instrText xml:space="preserve"> PAGEREF _Toc2135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_Toc30499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附件二  投标一览表</w:t>
      </w:r>
      <w:r>
        <w:rPr>
          <w:color w:val="auto"/>
          <w:highlight w:val="none"/>
        </w:rPr>
        <w:tab/>
      </w:r>
      <w:r>
        <w:rPr>
          <w:color w:val="auto"/>
          <w:highlight w:val="none"/>
        </w:rPr>
        <w:fldChar w:fldCharType="begin"/>
      </w:r>
      <w:r>
        <w:rPr>
          <w:color w:val="auto"/>
          <w:highlight w:val="none"/>
        </w:rPr>
        <w:instrText xml:space="preserve"> PAGEREF _Toc30499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_Toc21827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附件三  投标分项报价表</w:t>
      </w:r>
      <w:r>
        <w:rPr>
          <w:color w:val="auto"/>
          <w:highlight w:val="none"/>
        </w:rPr>
        <w:tab/>
      </w:r>
      <w:r>
        <w:rPr>
          <w:color w:val="auto"/>
          <w:highlight w:val="none"/>
        </w:rPr>
        <w:fldChar w:fldCharType="begin"/>
      </w:r>
      <w:r>
        <w:rPr>
          <w:color w:val="auto"/>
          <w:highlight w:val="none"/>
        </w:rPr>
        <w:instrText xml:space="preserve"> PAGEREF _Toc21827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_Toc29963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附件四  证明文件</w:t>
      </w:r>
      <w:r>
        <w:rPr>
          <w:color w:val="auto"/>
          <w:highlight w:val="none"/>
        </w:rPr>
        <w:tab/>
      </w:r>
      <w:r>
        <w:rPr>
          <w:color w:val="auto"/>
          <w:highlight w:val="none"/>
        </w:rPr>
        <w:fldChar w:fldCharType="begin"/>
      </w:r>
      <w:r>
        <w:rPr>
          <w:color w:val="auto"/>
          <w:highlight w:val="none"/>
        </w:rPr>
        <w:instrText xml:space="preserve"> PAGEREF _Toc29963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_Toc31276 </w:instrText>
      </w:r>
      <w:r>
        <w:rPr>
          <w:rFonts w:hint="eastAsia" w:ascii="宋体" w:hAnsi="宋体" w:cs="宋体"/>
          <w:bCs/>
          <w:caps/>
          <w:color w:val="auto"/>
          <w:szCs w:val="22"/>
          <w:highlight w:val="none"/>
        </w:rPr>
        <w:fldChar w:fldCharType="separate"/>
      </w:r>
      <w:r>
        <w:rPr>
          <w:rFonts w:hint="eastAsia" w:ascii="宋体" w:hAnsi="宋体" w:cs="宋体"/>
          <w:color w:val="auto"/>
          <w:highlight w:val="none"/>
        </w:rPr>
        <w:t>（1）法定代表人授权书</w:t>
      </w:r>
      <w:r>
        <w:rPr>
          <w:color w:val="auto"/>
          <w:highlight w:val="none"/>
        </w:rPr>
        <w:tab/>
      </w:r>
      <w:r>
        <w:rPr>
          <w:color w:val="auto"/>
          <w:highlight w:val="none"/>
        </w:rPr>
        <w:fldChar w:fldCharType="begin"/>
      </w:r>
      <w:r>
        <w:rPr>
          <w:color w:val="auto"/>
          <w:highlight w:val="none"/>
        </w:rPr>
        <w:instrText xml:space="preserve"> PAGEREF _Toc31276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_Toc17553 </w:instrText>
      </w:r>
      <w:r>
        <w:rPr>
          <w:rFonts w:hint="eastAsia" w:ascii="宋体" w:hAnsi="宋体" w:cs="宋体"/>
          <w:bCs/>
          <w:caps/>
          <w:color w:val="auto"/>
          <w:szCs w:val="22"/>
          <w:highlight w:val="none"/>
        </w:rPr>
        <w:fldChar w:fldCharType="separate"/>
      </w:r>
      <w:r>
        <w:rPr>
          <w:rFonts w:hint="eastAsia" w:ascii="宋体" w:hAnsi="宋体" w:cs="宋体"/>
          <w:color w:val="auto"/>
          <w:highlight w:val="none"/>
        </w:rPr>
        <w:t>（2）供应商基本情况表</w:t>
      </w:r>
      <w:r>
        <w:rPr>
          <w:color w:val="auto"/>
          <w:highlight w:val="none"/>
        </w:rPr>
        <w:tab/>
      </w:r>
      <w:r>
        <w:rPr>
          <w:color w:val="auto"/>
          <w:highlight w:val="none"/>
        </w:rPr>
        <w:fldChar w:fldCharType="begin"/>
      </w:r>
      <w:r>
        <w:rPr>
          <w:color w:val="auto"/>
          <w:highlight w:val="none"/>
        </w:rPr>
        <w:instrText xml:space="preserve"> PAGEREF _Toc17553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_Toc633 </w:instrText>
      </w:r>
      <w:r>
        <w:rPr>
          <w:rFonts w:hint="eastAsia" w:ascii="宋体" w:hAnsi="宋体" w:cs="宋体"/>
          <w:bCs/>
          <w:caps/>
          <w:color w:val="auto"/>
          <w:szCs w:val="22"/>
          <w:highlight w:val="none"/>
        </w:rPr>
        <w:fldChar w:fldCharType="separate"/>
      </w:r>
      <w:r>
        <w:rPr>
          <w:rFonts w:hint="eastAsia" w:ascii="宋体" w:hAnsi="宋体" w:cs="宋体"/>
          <w:color w:val="auto"/>
          <w:highlight w:val="none"/>
        </w:rPr>
        <w:t>（3）资格条件承诺函</w:t>
      </w:r>
      <w:r>
        <w:rPr>
          <w:color w:val="auto"/>
          <w:highlight w:val="none"/>
        </w:rPr>
        <w:tab/>
      </w:r>
      <w:r>
        <w:rPr>
          <w:color w:val="auto"/>
          <w:highlight w:val="none"/>
        </w:rPr>
        <w:fldChar w:fldCharType="begin"/>
      </w:r>
      <w:r>
        <w:rPr>
          <w:color w:val="auto"/>
          <w:highlight w:val="none"/>
        </w:rPr>
        <w:instrText xml:space="preserve"> PAGEREF _Toc633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_Toc12841 </w:instrText>
      </w:r>
      <w:r>
        <w:rPr>
          <w:rFonts w:hint="eastAsia" w:ascii="宋体" w:hAnsi="宋体" w:cs="宋体"/>
          <w:bCs/>
          <w:caps/>
          <w:color w:val="auto"/>
          <w:szCs w:val="22"/>
          <w:highlight w:val="none"/>
        </w:rPr>
        <w:fldChar w:fldCharType="separate"/>
      </w:r>
      <w:r>
        <w:rPr>
          <w:rFonts w:hint="eastAsia" w:ascii="宋体" w:hAnsi="宋体" w:cs="宋体"/>
          <w:color w:val="auto"/>
          <w:kern w:val="0"/>
          <w:highlight w:val="none"/>
        </w:rPr>
        <w:t>（4）中小企业声明函</w:t>
      </w:r>
      <w:r>
        <w:rPr>
          <w:color w:val="auto"/>
          <w:highlight w:val="none"/>
        </w:rPr>
        <w:tab/>
      </w:r>
      <w:r>
        <w:rPr>
          <w:color w:val="auto"/>
          <w:highlight w:val="none"/>
        </w:rPr>
        <w:fldChar w:fldCharType="begin"/>
      </w:r>
      <w:r>
        <w:rPr>
          <w:color w:val="auto"/>
          <w:highlight w:val="none"/>
        </w:rPr>
        <w:instrText xml:space="preserve"> PAGEREF _Toc12841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_Toc25811 </w:instrText>
      </w:r>
      <w:r>
        <w:rPr>
          <w:rFonts w:hint="eastAsia" w:ascii="宋体" w:hAnsi="宋体" w:cs="宋体"/>
          <w:bCs/>
          <w:caps/>
          <w:color w:val="auto"/>
          <w:szCs w:val="22"/>
          <w:highlight w:val="none"/>
        </w:rPr>
        <w:fldChar w:fldCharType="separate"/>
      </w:r>
      <w:r>
        <w:rPr>
          <w:rFonts w:hint="eastAsia" w:ascii="宋体" w:hAnsi="宋体" w:cs="宋体"/>
          <w:color w:val="auto"/>
          <w:kern w:val="0"/>
          <w:highlight w:val="none"/>
        </w:rPr>
        <w:t>（5）残疾人福利性单位声明函</w:t>
      </w:r>
      <w:r>
        <w:rPr>
          <w:color w:val="auto"/>
          <w:highlight w:val="none"/>
        </w:rPr>
        <w:tab/>
      </w:r>
      <w:r>
        <w:rPr>
          <w:color w:val="auto"/>
          <w:highlight w:val="none"/>
        </w:rPr>
        <w:fldChar w:fldCharType="begin"/>
      </w:r>
      <w:r>
        <w:rPr>
          <w:color w:val="auto"/>
          <w:highlight w:val="none"/>
        </w:rPr>
        <w:instrText xml:space="preserve"> PAGEREF _Toc25811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_Toc19923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附件五  商务、技术条款偏离表</w:t>
      </w:r>
      <w:r>
        <w:rPr>
          <w:color w:val="auto"/>
          <w:highlight w:val="none"/>
        </w:rPr>
        <w:tab/>
      </w:r>
      <w:r>
        <w:rPr>
          <w:color w:val="auto"/>
          <w:highlight w:val="none"/>
        </w:rPr>
        <w:fldChar w:fldCharType="begin"/>
      </w:r>
      <w:r>
        <w:rPr>
          <w:color w:val="auto"/>
          <w:highlight w:val="none"/>
        </w:rPr>
        <w:instrText xml:space="preserve"> PAGEREF _Toc19923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_Toc32077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附件六  货物成套供货清单</w:t>
      </w:r>
      <w:r>
        <w:rPr>
          <w:color w:val="auto"/>
          <w:highlight w:val="none"/>
        </w:rPr>
        <w:tab/>
      </w:r>
      <w:r>
        <w:rPr>
          <w:color w:val="auto"/>
          <w:highlight w:val="none"/>
        </w:rPr>
        <w:fldChar w:fldCharType="begin"/>
      </w:r>
      <w:r>
        <w:rPr>
          <w:color w:val="auto"/>
          <w:highlight w:val="none"/>
        </w:rPr>
        <w:instrText xml:space="preserve"> PAGEREF _Toc32077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_Toc10017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附件七  供应商综合实力</w:t>
      </w:r>
      <w:r>
        <w:rPr>
          <w:color w:val="auto"/>
          <w:highlight w:val="none"/>
        </w:rPr>
        <w:tab/>
      </w:r>
      <w:r>
        <w:rPr>
          <w:color w:val="auto"/>
          <w:highlight w:val="none"/>
        </w:rPr>
        <w:fldChar w:fldCharType="begin"/>
      </w:r>
      <w:r>
        <w:rPr>
          <w:color w:val="auto"/>
          <w:highlight w:val="none"/>
        </w:rPr>
        <w:instrText xml:space="preserve"> PAGEREF _Toc10017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_Toc22992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附件八  项目需求理解</w:t>
      </w:r>
      <w:r>
        <w:rPr>
          <w:color w:val="auto"/>
          <w:highlight w:val="none"/>
        </w:rPr>
        <w:tab/>
      </w:r>
      <w:r>
        <w:rPr>
          <w:color w:val="auto"/>
          <w:highlight w:val="none"/>
        </w:rPr>
        <w:fldChar w:fldCharType="begin"/>
      </w:r>
      <w:r>
        <w:rPr>
          <w:color w:val="auto"/>
          <w:highlight w:val="none"/>
        </w:rPr>
        <w:instrText xml:space="preserve"> PAGEREF _Toc22992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_Toc26224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附件九  功能及服务</w:t>
      </w:r>
      <w:r>
        <w:rPr>
          <w:color w:val="auto"/>
          <w:highlight w:val="none"/>
        </w:rPr>
        <w:tab/>
      </w:r>
      <w:r>
        <w:rPr>
          <w:color w:val="auto"/>
          <w:highlight w:val="none"/>
        </w:rPr>
        <w:fldChar w:fldCharType="begin"/>
      </w:r>
      <w:r>
        <w:rPr>
          <w:color w:val="auto"/>
          <w:highlight w:val="none"/>
        </w:rPr>
        <w:instrText xml:space="preserve"> PAGEREF _Toc26224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_Toc29432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  人员投入</w:t>
      </w:r>
      <w:r>
        <w:rPr>
          <w:color w:val="auto"/>
          <w:highlight w:val="none"/>
        </w:rPr>
        <w:tab/>
      </w:r>
      <w:r>
        <w:rPr>
          <w:color w:val="auto"/>
          <w:highlight w:val="none"/>
        </w:rPr>
        <w:fldChar w:fldCharType="begin"/>
      </w:r>
      <w:r>
        <w:rPr>
          <w:color w:val="auto"/>
          <w:highlight w:val="none"/>
        </w:rPr>
        <w:instrText xml:space="preserve"> PAGEREF _Toc29432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_Toc5335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附件十一  质量保证措施</w:t>
      </w:r>
      <w:r>
        <w:rPr>
          <w:color w:val="auto"/>
          <w:highlight w:val="none"/>
        </w:rPr>
        <w:tab/>
      </w:r>
      <w:r>
        <w:rPr>
          <w:color w:val="auto"/>
          <w:highlight w:val="none"/>
        </w:rPr>
        <w:fldChar w:fldCharType="begin"/>
      </w:r>
      <w:r>
        <w:rPr>
          <w:color w:val="auto"/>
          <w:highlight w:val="none"/>
        </w:rPr>
        <w:instrText xml:space="preserve"> PAGEREF _Toc5335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_Toc31939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附件十二  应急方案</w:t>
      </w:r>
      <w:r>
        <w:rPr>
          <w:color w:val="auto"/>
          <w:highlight w:val="none"/>
        </w:rPr>
        <w:tab/>
      </w:r>
      <w:r>
        <w:rPr>
          <w:color w:val="auto"/>
          <w:highlight w:val="none"/>
        </w:rPr>
        <w:fldChar w:fldCharType="begin"/>
      </w:r>
      <w:r>
        <w:rPr>
          <w:color w:val="auto"/>
          <w:highlight w:val="none"/>
        </w:rPr>
        <w:instrText xml:space="preserve"> PAGEREF _Toc31939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_Toc12440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附件十三  巡检计划</w:t>
      </w:r>
      <w:r>
        <w:rPr>
          <w:color w:val="auto"/>
          <w:highlight w:val="none"/>
        </w:rPr>
        <w:tab/>
      </w:r>
      <w:r>
        <w:rPr>
          <w:color w:val="auto"/>
          <w:highlight w:val="none"/>
        </w:rPr>
        <w:fldChar w:fldCharType="begin"/>
      </w:r>
      <w:r>
        <w:rPr>
          <w:color w:val="auto"/>
          <w:highlight w:val="none"/>
        </w:rPr>
        <w:instrText xml:space="preserve"> PAGEREF _Toc12440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_Toc5564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附件十四  培训计划</w:t>
      </w:r>
      <w:r>
        <w:rPr>
          <w:color w:val="auto"/>
          <w:highlight w:val="none"/>
        </w:rPr>
        <w:tab/>
      </w:r>
      <w:r>
        <w:rPr>
          <w:color w:val="auto"/>
          <w:highlight w:val="none"/>
        </w:rPr>
        <w:fldChar w:fldCharType="begin"/>
      </w:r>
      <w:r>
        <w:rPr>
          <w:color w:val="auto"/>
          <w:highlight w:val="none"/>
        </w:rPr>
        <w:instrText xml:space="preserve"> PAGEREF _Toc5564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_Toc23066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附件十五  售后服务</w:t>
      </w:r>
      <w:r>
        <w:rPr>
          <w:color w:val="auto"/>
          <w:highlight w:val="none"/>
        </w:rPr>
        <w:tab/>
      </w:r>
      <w:r>
        <w:rPr>
          <w:color w:val="auto"/>
          <w:highlight w:val="none"/>
        </w:rPr>
        <w:fldChar w:fldCharType="begin"/>
      </w:r>
      <w:r>
        <w:rPr>
          <w:color w:val="auto"/>
          <w:highlight w:val="none"/>
        </w:rPr>
        <w:instrText xml:space="preserve"> PAGEREF _Toc23066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_Toc4238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附件十六  项目业绩</w:t>
      </w:r>
      <w:r>
        <w:rPr>
          <w:color w:val="auto"/>
          <w:highlight w:val="none"/>
        </w:rPr>
        <w:tab/>
      </w:r>
      <w:r>
        <w:rPr>
          <w:color w:val="auto"/>
          <w:highlight w:val="none"/>
        </w:rPr>
        <w:fldChar w:fldCharType="begin"/>
      </w:r>
      <w:r>
        <w:rPr>
          <w:color w:val="auto"/>
          <w:highlight w:val="none"/>
        </w:rPr>
        <w:instrText xml:space="preserve"> PAGEREF _Toc4238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_Toc1463 </w:instrText>
      </w:r>
      <w:r>
        <w:rPr>
          <w:rFonts w:hint="eastAsia" w:ascii="宋体" w:hAnsi="宋体" w:cs="宋体"/>
          <w:bCs/>
          <w:caps/>
          <w:color w:val="auto"/>
          <w:szCs w:val="22"/>
          <w:highlight w:val="none"/>
        </w:rPr>
        <w:fldChar w:fldCharType="separate"/>
      </w:r>
      <w:r>
        <w:rPr>
          <w:rFonts w:hint="eastAsia" w:ascii="宋体" w:hAnsi="宋体" w:cs="宋体"/>
          <w:color w:val="auto"/>
          <w:szCs w:val="22"/>
          <w:highlight w:val="none"/>
        </w:rPr>
        <w:t>附件十七  诚信投标承诺书</w:t>
      </w:r>
      <w:r>
        <w:rPr>
          <w:color w:val="auto"/>
          <w:highlight w:val="none"/>
        </w:rPr>
        <w:tab/>
      </w:r>
      <w:r>
        <w:rPr>
          <w:color w:val="auto"/>
          <w:highlight w:val="none"/>
        </w:rPr>
        <w:fldChar w:fldCharType="begin"/>
      </w:r>
      <w:r>
        <w:rPr>
          <w:color w:val="auto"/>
          <w:highlight w:val="none"/>
        </w:rPr>
        <w:instrText xml:space="preserve"> PAGEREF _Toc1463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bCs/>
          <w:caps/>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_Toc13090 </w:instrText>
      </w:r>
      <w:r>
        <w:rPr>
          <w:rFonts w:hint="eastAsia" w:ascii="宋体" w:hAnsi="宋体" w:cs="宋体"/>
          <w:bCs w:val="0"/>
          <w:caps w:val="0"/>
          <w:color w:val="auto"/>
          <w:szCs w:val="22"/>
          <w:highlight w:val="none"/>
        </w:rPr>
        <w:fldChar w:fldCharType="separate"/>
      </w:r>
      <w:r>
        <w:rPr>
          <w:rFonts w:hint="eastAsia" w:hAnsi="宋体" w:cs="宋体"/>
          <w:color w:val="auto"/>
          <w:szCs w:val="32"/>
          <w:highlight w:val="none"/>
        </w:rPr>
        <w:t>第四部分  采购内容及要求</w:t>
      </w:r>
      <w:r>
        <w:rPr>
          <w:color w:val="auto"/>
          <w:highlight w:val="none"/>
        </w:rPr>
        <w:tab/>
      </w:r>
      <w:r>
        <w:rPr>
          <w:color w:val="auto"/>
          <w:highlight w:val="none"/>
        </w:rPr>
        <w:fldChar w:fldCharType="begin"/>
      </w:r>
      <w:r>
        <w:rPr>
          <w:color w:val="auto"/>
          <w:highlight w:val="none"/>
        </w:rPr>
        <w:instrText xml:space="preserve"> PAGEREF _Toc13090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val="0"/>
          <w:caps w:val="0"/>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_Toc16602 </w:instrText>
      </w:r>
      <w:r>
        <w:rPr>
          <w:rFonts w:hint="eastAsia" w:ascii="宋体" w:hAnsi="宋体" w:cs="宋体"/>
          <w:bCs/>
          <w:caps/>
          <w:color w:val="auto"/>
          <w:szCs w:val="22"/>
          <w:highlight w:val="none"/>
        </w:rPr>
        <w:fldChar w:fldCharType="separate"/>
      </w:r>
      <w:r>
        <w:rPr>
          <w:rFonts w:hint="eastAsia" w:ascii="宋体" w:hAnsi="宋体" w:cs="宋体"/>
          <w:color w:val="auto"/>
          <w:szCs w:val="28"/>
          <w:highlight w:val="none"/>
        </w:rPr>
        <w:t>一、 项目概况</w:t>
      </w:r>
      <w:r>
        <w:rPr>
          <w:color w:val="auto"/>
          <w:highlight w:val="none"/>
        </w:rPr>
        <w:tab/>
      </w:r>
      <w:r>
        <w:rPr>
          <w:color w:val="auto"/>
          <w:highlight w:val="none"/>
        </w:rPr>
        <w:fldChar w:fldCharType="begin"/>
      </w:r>
      <w:r>
        <w:rPr>
          <w:color w:val="auto"/>
          <w:highlight w:val="none"/>
        </w:rPr>
        <w:instrText xml:space="preserve"> PAGEREF _Toc16602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_Toc24502 </w:instrText>
      </w:r>
      <w:r>
        <w:rPr>
          <w:rFonts w:hint="eastAsia" w:ascii="宋体" w:hAnsi="宋体" w:cs="宋体"/>
          <w:bCs/>
          <w:caps/>
          <w:color w:val="auto"/>
          <w:szCs w:val="22"/>
          <w:highlight w:val="none"/>
        </w:rPr>
        <w:fldChar w:fldCharType="separate"/>
      </w:r>
      <w:r>
        <w:rPr>
          <w:rFonts w:hint="eastAsia" w:ascii="宋体" w:hAnsi="宋体" w:cs="宋体"/>
          <w:color w:val="auto"/>
          <w:szCs w:val="28"/>
          <w:highlight w:val="none"/>
        </w:rPr>
        <w:t>二、 安全现状</w:t>
      </w:r>
      <w:r>
        <w:rPr>
          <w:color w:val="auto"/>
          <w:highlight w:val="none"/>
        </w:rPr>
        <w:tab/>
      </w:r>
      <w:r>
        <w:rPr>
          <w:color w:val="auto"/>
          <w:highlight w:val="none"/>
        </w:rPr>
        <w:fldChar w:fldCharType="begin"/>
      </w:r>
      <w:r>
        <w:rPr>
          <w:color w:val="auto"/>
          <w:highlight w:val="none"/>
        </w:rPr>
        <w:instrText xml:space="preserve"> PAGEREF _Toc24502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_Toc19786 </w:instrText>
      </w:r>
      <w:r>
        <w:rPr>
          <w:rFonts w:hint="eastAsia" w:ascii="宋体" w:hAnsi="宋体" w:cs="宋体"/>
          <w:bCs/>
          <w:caps/>
          <w:color w:val="auto"/>
          <w:szCs w:val="22"/>
          <w:highlight w:val="none"/>
        </w:rPr>
        <w:fldChar w:fldCharType="separate"/>
      </w:r>
      <w:r>
        <w:rPr>
          <w:rFonts w:hint="eastAsia" w:ascii="宋体" w:hAnsi="宋体" w:cs="宋体"/>
          <w:color w:val="auto"/>
          <w:szCs w:val="28"/>
          <w:highlight w:val="none"/>
        </w:rPr>
        <w:t>三、 具体采购内容及技术要求</w:t>
      </w:r>
      <w:r>
        <w:rPr>
          <w:color w:val="auto"/>
          <w:highlight w:val="none"/>
        </w:rPr>
        <w:tab/>
      </w:r>
      <w:r>
        <w:rPr>
          <w:color w:val="auto"/>
          <w:highlight w:val="none"/>
        </w:rPr>
        <w:fldChar w:fldCharType="begin"/>
      </w:r>
      <w:r>
        <w:rPr>
          <w:color w:val="auto"/>
          <w:highlight w:val="none"/>
        </w:rPr>
        <w:instrText xml:space="preserve"> PAGEREF _Toc19786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bCs/>
          <w:caps/>
          <w:color w:val="auto"/>
          <w:szCs w:val="22"/>
          <w:highlight w:val="none"/>
        </w:rPr>
        <w:fldChar w:fldCharType="end"/>
      </w:r>
    </w:p>
    <w:p>
      <w:pPr>
        <w:pStyle w:val="30"/>
        <w:tabs>
          <w:tab w:val="right" w:leader="dot" w:pos="9354"/>
        </w:tabs>
        <w:rPr>
          <w:color w:val="auto"/>
          <w:highlight w:val="none"/>
        </w:rPr>
      </w:pPr>
      <w:r>
        <w:rPr>
          <w:rFonts w:hint="eastAsia" w:ascii="宋体" w:hAnsi="宋体" w:cs="宋体"/>
          <w:bCs/>
          <w:caps/>
          <w:color w:val="auto"/>
          <w:szCs w:val="22"/>
          <w:highlight w:val="none"/>
        </w:rPr>
        <w:fldChar w:fldCharType="begin"/>
      </w:r>
      <w:r>
        <w:rPr>
          <w:rFonts w:hint="eastAsia" w:ascii="宋体" w:hAnsi="宋体" w:cs="宋体"/>
          <w:bCs/>
          <w:caps/>
          <w:color w:val="auto"/>
          <w:szCs w:val="22"/>
          <w:highlight w:val="none"/>
        </w:rPr>
        <w:instrText xml:space="preserve"> HYPERLINK \l _Toc32647 </w:instrText>
      </w:r>
      <w:r>
        <w:rPr>
          <w:rFonts w:hint="eastAsia" w:ascii="宋体" w:hAnsi="宋体" w:cs="宋体"/>
          <w:bCs/>
          <w:caps/>
          <w:color w:val="auto"/>
          <w:szCs w:val="22"/>
          <w:highlight w:val="none"/>
        </w:rPr>
        <w:fldChar w:fldCharType="separate"/>
      </w:r>
      <w:r>
        <w:rPr>
          <w:rFonts w:hint="eastAsia" w:ascii="宋体" w:hAnsi="宋体" w:cs="宋体"/>
          <w:color w:val="auto"/>
          <w:szCs w:val="28"/>
          <w:highlight w:val="none"/>
        </w:rPr>
        <w:t>四、 其他要求</w:t>
      </w:r>
      <w:r>
        <w:rPr>
          <w:color w:val="auto"/>
          <w:highlight w:val="none"/>
        </w:rPr>
        <w:tab/>
      </w:r>
      <w:r>
        <w:rPr>
          <w:color w:val="auto"/>
          <w:highlight w:val="none"/>
        </w:rPr>
        <w:fldChar w:fldCharType="begin"/>
      </w:r>
      <w:r>
        <w:rPr>
          <w:color w:val="auto"/>
          <w:highlight w:val="none"/>
        </w:rPr>
        <w:instrText xml:space="preserve"> PAGEREF _Toc32647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cs="宋体"/>
          <w:bCs/>
          <w:caps/>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_Toc11157 </w:instrText>
      </w:r>
      <w:r>
        <w:rPr>
          <w:rFonts w:hint="eastAsia" w:ascii="宋体" w:hAnsi="宋体" w:cs="宋体"/>
          <w:bCs w:val="0"/>
          <w:caps w:val="0"/>
          <w:color w:val="auto"/>
          <w:szCs w:val="22"/>
          <w:highlight w:val="none"/>
        </w:rPr>
        <w:fldChar w:fldCharType="separate"/>
      </w:r>
      <w:r>
        <w:rPr>
          <w:rFonts w:hint="eastAsia" w:hAnsi="宋体" w:cs="宋体"/>
          <w:color w:val="auto"/>
          <w:szCs w:val="32"/>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_Toc11157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bCs w:val="0"/>
          <w:caps w:val="0"/>
          <w:color w:val="auto"/>
          <w:szCs w:val="22"/>
          <w:highlight w:val="none"/>
        </w:rPr>
        <w:fldChar w:fldCharType="end"/>
      </w:r>
    </w:p>
    <w:p>
      <w:pPr>
        <w:pStyle w:val="26"/>
        <w:tabs>
          <w:tab w:val="right" w:leader="dot" w:pos="9354"/>
        </w:tabs>
        <w:rPr>
          <w:color w:val="auto"/>
          <w:highlight w:val="none"/>
        </w:rPr>
      </w:pPr>
      <w:r>
        <w:rPr>
          <w:rFonts w:hint="eastAsia" w:ascii="宋体" w:hAnsi="宋体" w:cs="宋体"/>
          <w:bCs w:val="0"/>
          <w:caps w:val="0"/>
          <w:color w:val="auto"/>
          <w:szCs w:val="22"/>
          <w:highlight w:val="none"/>
        </w:rPr>
        <w:fldChar w:fldCharType="begin"/>
      </w:r>
      <w:r>
        <w:rPr>
          <w:rFonts w:hint="eastAsia" w:ascii="宋体" w:hAnsi="宋体" w:cs="宋体"/>
          <w:bCs w:val="0"/>
          <w:caps w:val="0"/>
          <w:color w:val="auto"/>
          <w:szCs w:val="22"/>
          <w:highlight w:val="none"/>
        </w:rPr>
        <w:instrText xml:space="preserve"> HYPERLINK \l _Toc1036 </w:instrText>
      </w:r>
      <w:r>
        <w:rPr>
          <w:rFonts w:hint="eastAsia" w:ascii="宋体" w:hAnsi="宋体" w:cs="宋体"/>
          <w:bCs w:val="0"/>
          <w:caps w:val="0"/>
          <w:color w:val="auto"/>
          <w:szCs w:val="22"/>
          <w:highlight w:val="none"/>
        </w:rPr>
        <w:fldChar w:fldCharType="separate"/>
      </w:r>
      <w:r>
        <w:rPr>
          <w:rFonts w:hint="eastAsia" w:ascii="宋体" w:hAnsi="宋体" w:cs="宋体"/>
          <w:color w:val="auto"/>
          <w:szCs w:val="32"/>
          <w:highlight w:val="none"/>
        </w:rPr>
        <w:t>政府采购活动现场确认声明书</w:t>
      </w:r>
      <w:r>
        <w:rPr>
          <w:color w:val="auto"/>
          <w:highlight w:val="none"/>
        </w:rPr>
        <w:tab/>
      </w:r>
      <w:r>
        <w:rPr>
          <w:color w:val="auto"/>
          <w:highlight w:val="none"/>
        </w:rPr>
        <w:fldChar w:fldCharType="begin"/>
      </w:r>
      <w:r>
        <w:rPr>
          <w:color w:val="auto"/>
          <w:highlight w:val="none"/>
        </w:rPr>
        <w:instrText xml:space="preserve"> PAGEREF _Toc1036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cs="宋体"/>
          <w:bCs w:val="0"/>
          <w:caps w:val="0"/>
          <w:color w:val="auto"/>
          <w:szCs w:val="22"/>
          <w:highlight w:val="none"/>
        </w:rPr>
        <w:fldChar w:fldCharType="end"/>
      </w:r>
    </w:p>
    <w:p>
      <w:pPr>
        <w:spacing w:line="360" w:lineRule="auto"/>
        <w:ind w:right="110"/>
        <w:rPr>
          <w:rFonts w:hint="eastAsia" w:ascii="宋体" w:hAnsi="宋体" w:cs="宋体"/>
          <w:b/>
          <w:color w:val="auto"/>
          <w:sz w:val="22"/>
          <w:szCs w:val="22"/>
          <w:highlight w:val="none"/>
          <w:u w:val="single"/>
        </w:rPr>
      </w:pPr>
      <w:r>
        <w:rPr>
          <w:rFonts w:hint="eastAsia" w:ascii="宋体" w:hAnsi="宋体" w:cs="宋体"/>
          <w:bCs/>
          <w:caps/>
          <w:color w:val="auto"/>
          <w:szCs w:val="22"/>
          <w:highlight w:val="none"/>
        </w:rPr>
        <w:fldChar w:fldCharType="end"/>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备注：招标文件中带“▲”并加下划线的内容为实质性要求或者条款；带有下划线或深色底纹的内容，为招标文件的着重提醒内容，请投标供应商审慎阅读。</w:t>
      </w:r>
    </w:p>
    <w:p>
      <w:pPr>
        <w:pStyle w:val="36"/>
        <w:ind w:left="442" w:hanging="442"/>
        <w:rPr>
          <w:rFonts w:hint="eastAsia" w:ascii="宋体" w:hAnsi="宋体"/>
          <w:b/>
          <w:color w:val="auto"/>
          <w:sz w:val="22"/>
          <w:szCs w:val="22"/>
          <w:highlight w:val="none"/>
          <w:u w:val="single"/>
        </w:rPr>
      </w:pPr>
    </w:p>
    <w:p>
      <w:pPr>
        <w:pStyle w:val="36"/>
        <w:ind w:left="442" w:hanging="442"/>
        <w:rPr>
          <w:rFonts w:hint="eastAsia" w:ascii="宋体" w:hAnsi="宋体"/>
          <w:b/>
          <w:color w:val="auto"/>
          <w:sz w:val="22"/>
          <w:szCs w:val="22"/>
          <w:highlight w:val="none"/>
          <w:u w:val="single"/>
        </w:rPr>
      </w:pPr>
    </w:p>
    <w:p>
      <w:pPr>
        <w:pStyle w:val="36"/>
        <w:ind w:left="442" w:hanging="442"/>
        <w:rPr>
          <w:rFonts w:hint="eastAsia" w:ascii="宋体" w:hAnsi="宋体"/>
          <w:b/>
          <w:color w:val="auto"/>
          <w:sz w:val="22"/>
          <w:szCs w:val="22"/>
          <w:highlight w:val="none"/>
          <w:u w:val="single"/>
        </w:rPr>
      </w:pPr>
    </w:p>
    <w:p>
      <w:pPr>
        <w:pStyle w:val="3"/>
        <w:tabs>
          <w:tab w:val="clear" w:pos="840"/>
        </w:tabs>
        <w:adjustRightInd/>
        <w:snapToGrid/>
        <w:spacing w:before="120" w:after="120" w:line="300" w:lineRule="exact"/>
        <w:jc w:val="center"/>
        <w:rPr>
          <w:rFonts w:hint="eastAsia" w:hAnsi="宋体" w:cs="宋体"/>
          <w:color w:val="auto"/>
          <w:sz w:val="28"/>
          <w:highlight w:val="none"/>
        </w:rPr>
      </w:pPr>
      <w:bookmarkStart w:id="3" w:name="_Toc18623"/>
      <w:bookmarkStart w:id="4" w:name="_Toc12885"/>
      <w:r>
        <w:rPr>
          <w:rFonts w:hint="eastAsia" w:hAnsi="宋体" w:cs="宋体"/>
          <w:color w:val="auto"/>
          <w:sz w:val="32"/>
          <w:highlight w:val="none"/>
        </w:rPr>
        <w:t>投标邀请函</w:t>
      </w:r>
      <w:bookmarkEnd w:id="3"/>
      <w:bookmarkEnd w:id="4"/>
    </w:p>
    <w:p>
      <w:pPr>
        <w:spacing w:line="312" w:lineRule="auto"/>
        <w:rPr>
          <w:rFonts w:hint="eastAsia" w:ascii="宋体" w:hAnsi="宋体" w:cs="宋体"/>
          <w:color w:val="auto"/>
          <w:sz w:val="22"/>
          <w:highlight w:val="none"/>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pPr>
        <w:spacing w:line="312" w:lineRule="auto"/>
        <w:ind w:firstLine="440" w:firstLineChars="200"/>
        <w:rPr>
          <w:rFonts w:hint="eastAsia" w:ascii="宋体" w:hAnsi="宋体" w:cs="宋体"/>
          <w:bCs/>
          <w:color w:val="auto"/>
          <w:sz w:val="22"/>
          <w:highlight w:val="none"/>
          <w:u w:val="single"/>
        </w:rPr>
      </w:pPr>
      <w:r>
        <w:rPr>
          <w:rFonts w:hint="eastAsia" w:ascii="宋体" w:hAnsi="宋体" w:cs="宋体"/>
          <w:color w:val="auto"/>
          <w:sz w:val="22"/>
          <w:highlight w:val="none"/>
        </w:rPr>
        <w:t>浙江东瓯工程造价咨询有限公司受温州市公安局交通管理局委托就网络安全框架建设项目进行公开招标，我们诚恳地邀请贵单位参加投标，并请按招标文件的要求认真准备，按时参加投标。</w:t>
      </w:r>
    </w:p>
    <w:p>
      <w:pPr>
        <w:spacing w:line="312" w:lineRule="auto"/>
        <w:rPr>
          <w:rFonts w:hint="eastAsia" w:ascii="宋体" w:hAnsi="宋体" w:cs="宋体"/>
          <w:bCs/>
          <w:color w:val="auto"/>
          <w:sz w:val="22"/>
          <w:highlight w:val="none"/>
        </w:rPr>
      </w:pPr>
      <w:r>
        <w:rPr>
          <w:rFonts w:hint="eastAsia" w:ascii="宋体" w:hAnsi="宋体" w:cs="宋体"/>
          <w:color w:val="auto"/>
          <w:spacing w:val="40"/>
          <w:sz w:val="22"/>
          <w:highlight w:val="none"/>
        </w:rPr>
        <w:t>1．项目编号</w:t>
      </w:r>
      <w:r>
        <w:rPr>
          <w:rFonts w:hint="eastAsia" w:ascii="宋体" w:hAnsi="宋体" w:cs="宋体"/>
          <w:color w:val="auto"/>
          <w:sz w:val="22"/>
          <w:highlight w:val="none"/>
        </w:rPr>
        <w:t xml:space="preserve">：ZJDO20221008001  </w:t>
      </w:r>
    </w:p>
    <w:p>
      <w:pPr>
        <w:spacing w:line="312" w:lineRule="auto"/>
        <w:rPr>
          <w:rFonts w:hint="eastAsia" w:ascii="宋体" w:hAnsi="宋体" w:cs="宋体"/>
          <w:color w:val="auto"/>
          <w:sz w:val="22"/>
          <w:highlight w:val="none"/>
        </w:rPr>
      </w:pPr>
      <w:r>
        <w:rPr>
          <w:rFonts w:hint="eastAsia" w:ascii="宋体" w:hAnsi="宋体" w:cs="宋体"/>
          <w:color w:val="auto"/>
          <w:spacing w:val="40"/>
          <w:sz w:val="22"/>
          <w:highlight w:val="none"/>
        </w:rPr>
        <w:t>2．项目名称</w:t>
      </w:r>
      <w:r>
        <w:rPr>
          <w:rFonts w:hint="eastAsia" w:ascii="宋体" w:hAnsi="宋体" w:cs="宋体"/>
          <w:color w:val="auto"/>
          <w:sz w:val="22"/>
          <w:highlight w:val="none"/>
        </w:rPr>
        <w:t>：网络安全框架建设</w:t>
      </w:r>
    </w:p>
    <w:p>
      <w:pPr>
        <w:spacing w:line="312" w:lineRule="auto"/>
        <w:rPr>
          <w:rFonts w:hint="eastAsia" w:ascii="宋体" w:hAnsi="宋体" w:cs="宋体"/>
          <w:color w:val="auto"/>
          <w:sz w:val="22"/>
          <w:highlight w:val="none"/>
        </w:rPr>
      </w:pPr>
      <w:r>
        <w:rPr>
          <w:rFonts w:hint="eastAsia" w:ascii="宋体" w:hAnsi="宋体" w:cs="宋体"/>
          <w:color w:val="auto"/>
          <w:sz w:val="22"/>
          <w:highlight w:val="none"/>
        </w:rPr>
        <w:t>3． 采购内容：详见招标文件第四部分。</w:t>
      </w:r>
    </w:p>
    <w:p>
      <w:pPr>
        <w:spacing w:line="31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采购预算: </w:t>
      </w:r>
      <w:r>
        <w:rPr>
          <w:rFonts w:hint="eastAsia" w:ascii="宋体" w:hAnsi="宋体" w:cs="宋体"/>
          <w:color w:val="auto"/>
          <w:sz w:val="22"/>
          <w:szCs w:val="22"/>
          <w:highlight w:val="none"/>
          <w:lang w:eastAsia="zh-CN"/>
        </w:rPr>
        <w:t>126.2</w:t>
      </w:r>
      <w:r>
        <w:rPr>
          <w:rFonts w:hint="eastAsia" w:ascii="宋体" w:hAnsi="宋体" w:cs="宋体"/>
          <w:color w:val="auto"/>
          <w:sz w:val="22"/>
          <w:szCs w:val="22"/>
          <w:highlight w:val="none"/>
        </w:rPr>
        <w:t>万元</w:t>
      </w:r>
      <w:r>
        <w:rPr>
          <w:rFonts w:hint="eastAsia" w:ascii="宋体" w:hAnsi="宋体" w:cs="宋体"/>
          <w:color w:val="auto"/>
          <w:sz w:val="22"/>
          <w:szCs w:val="22"/>
          <w:highlight w:val="none"/>
          <w:lang w:eastAsia="zh-CN"/>
        </w:rPr>
        <w:t>；</w:t>
      </w:r>
    </w:p>
    <w:p>
      <w:pPr>
        <w:spacing w:line="312"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最高限价：126.2万元。</w:t>
      </w:r>
    </w:p>
    <w:p>
      <w:pPr>
        <w:spacing w:line="312" w:lineRule="auto"/>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4． 招标文件获取时间：</w:t>
      </w:r>
      <w:r>
        <w:rPr>
          <w:rFonts w:hint="eastAsia" w:ascii="宋体" w:hAnsi="宋体" w:cs="宋体"/>
          <w:color w:val="auto"/>
          <w:kern w:val="0"/>
          <w:sz w:val="22"/>
          <w:szCs w:val="22"/>
          <w:highlight w:val="none"/>
        </w:rPr>
        <w:t>即日起至</w:t>
      </w:r>
      <w:r>
        <w:rPr>
          <w:rFonts w:hint="eastAsia" w:ascii="宋体" w:hAnsi="宋体" w:cs="宋体"/>
          <w:color w:val="auto"/>
          <w:sz w:val="22"/>
          <w:highlight w:val="none"/>
        </w:rPr>
        <w:t>投标文件递交截止时间为止。</w:t>
      </w:r>
      <w:r>
        <w:rPr>
          <w:rFonts w:hint="eastAsia" w:ascii="宋体" w:hAnsi="宋体" w:cs="宋体"/>
          <w:color w:val="auto"/>
          <w:sz w:val="22"/>
          <w:szCs w:val="22"/>
          <w:highlight w:val="none"/>
        </w:rPr>
        <w:t>（未按规定时间及方式获取招标文件的潜在供应商拒绝参加投标，且其提出的质疑不予受理）</w:t>
      </w:r>
    </w:p>
    <w:p>
      <w:pPr>
        <w:widowControl/>
        <w:tabs>
          <w:tab w:val="left" w:pos="-360"/>
        </w:tabs>
        <w:autoSpaceDE w:val="0"/>
        <w:autoSpaceDN w:val="0"/>
        <w:spacing w:line="312" w:lineRule="auto"/>
        <w:ind w:right="-283" w:rightChars="-135"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招标文件获取地点：政府采购云平台（http://zfcg.czt.zj.gov.cn）</w:t>
      </w:r>
    </w:p>
    <w:p>
      <w:pPr>
        <w:widowControl/>
        <w:tabs>
          <w:tab w:val="left" w:pos="-360"/>
        </w:tabs>
        <w:autoSpaceDE w:val="0"/>
        <w:autoSpaceDN w:val="0"/>
        <w:spacing w:line="312" w:lineRule="auto"/>
        <w:ind w:left="420" w:leftChars="200" w:right="-34"/>
        <w:textAlignment w:val="bottom"/>
        <w:rPr>
          <w:rFonts w:hint="eastAsia" w:ascii="宋体" w:hAnsi="宋体" w:cs="宋体"/>
          <w:color w:val="auto"/>
          <w:sz w:val="22"/>
          <w:highlight w:val="none"/>
        </w:rPr>
      </w:pPr>
      <w:r>
        <w:rPr>
          <w:rFonts w:hint="eastAsia" w:ascii="宋体" w:hAnsi="宋体" w:cs="宋体"/>
          <w:color w:val="auto"/>
          <w:sz w:val="22"/>
          <w:szCs w:val="22"/>
          <w:highlight w:val="none"/>
        </w:rPr>
        <w:t>招标文件获取方式：实行“政府采购云平台”在线申请获取，不提供招标文件纸质版。供应商获取招标文件前应先完成“政府采购云平台”账号注册，后登陆政采云平台在线申请获取招标文件（进入“项目采购”应用，在获取招标文件菜单中选择项目，申请获取招标文件）</w:t>
      </w:r>
    </w:p>
    <w:p>
      <w:pPr>
        <w:spacing w:line="312" w:lineRule="auto"/>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5.  投标文件递交截止时间：</w:t>
      </w:r>
      <w:r>
        <w:rPr>
          <w:rFonts w:hint="eastAsia" w:ascii="宋体" w:hAnsi="宋体" w:cs="宋体"/>
          <w:color w:val="auto"/>
          <w:sz w:val="22"/>
          <w:szCs w:val="22"/>
          <w:highlight w:val="none"/>
        </w:rPr>
        <w:t>2022年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日09:30分整</w:t>
      </w:r>
      <w:r>
        <w:rPr>
          <w:rFonts w:hint="eastAsia" w:ascii="宋体" w:hAnsi="宋体" w:cs="宋体"/>
          <w:color w:val="auto"/>
          <w:sz w:val="22"/>
          <w:highlight w:val="none"/>
        </w:rPr>
        <w:t>；</w:t>
      </w:r>
    </w:p>
    <w:p>
      <w:pPr>
        <w:widowControl/>
        <w:tabs>
          <w:tab w:val="left" w:pos="-360"/>
        </w:tabs>
        <w:autoSpaceDE w:val="0"/>
        <w:autoSpaceDN w:val="0"/>
        <w:spacing w:line="312" w:lineRule="auto"/>
        <w:ind w:left="439" w:leftChars="209" w:right="-34"/>
        <w:textAlignment w:val="bottom"/>
        <w:rPr>
          <w:rFonts w:hint="eastAsia" w:ascii="宋体" w:hAnsi="宋体" w:cs="宋体"/>
          <w:color w:val="auto"/>
          <w:sz w:val="22"/>
          <w:highlight w:val="none"/>
        </w:rPr>
      </w:pPr>
      <w:r>
        <w:rPr>
          <w:rFonts w:hint="eastAsia" w:ascii="宋体" w:hAnsi="宋体" w:cs="宋体"/>
          <w:color w:val="auto"/>
          <w:sz w:val="22"/>
          <w:szCs w:val="22"/>
          <w:highlight w:val="none"/>
        </w:rPr>
        <w:t>递交地点：</w:t>
      </w:r>
      <w:r>
        <w:rPr>
          <w:rFonts w:hint="eastAsia" w:ascii="宋体" w:hAnsi="宋体" w:cs="宋体"/>
          <w:color w:val="auto"/>
          <w:kern w:val="0"/>
          <w:sz w:val="22"/>
          <w:szCs w:val="22"/>
          <w:highlight w:val="none"/>
        </w:rPr>
        <w:t>通过“政府采购云平台（www.zcygov.cn）”在线投标。</w:t>
      </w:r>
    </w:p>
    <w:p>
      <w:pPr>
        <w:spacing w:line="312" w:lineRule="auto"/>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6． 开标时间：</w:t>
      </w:r>
      <w:r>
        <w:rPr>
          <w:rFonts w:hint="eastAsia" w:ascii="宋体" w:hAnsi="宋体" w:cs="宋体"/>
          <w:color w:val="auto"/>
          <w:sz w:val="22"/>
          <w:szCs w:val="22"/>
          <w:highlight w:val="none"/>
        </w:rPr>
        <w:t>2022年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日</w:t>
      </w:r>
      <w:r>
        <w:rPr>
          <w:rFonts w:hint="eastAsia" w:ascii="宋体" w:hAnsi="宋体" w:cs="宋体"/>
          <w:color w:val="auto"/>
          <w:sz w:val="22"/>
          <w:highlight w:val="none"/>
        </w:rPr>
        <w:t>09:30分整；</w:t>
      </w:r>
    </w:p>
    <w:p>
      <w:pPr>
        <w:spacing w:line="312" w:lineRule="auto"/>
        <w:ind w:left="1520" w:leftChars="200" w:right="-283" w:rightChars="-135" w:hanging="1100" w:hangingChars="50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开标地点：</w:t>
      </w:r>
      <w:r>
        <w:rPr>
          <w:rFonts w:hint="eastAsia" w:ascii="宋体" w:hAnsi="宋体" w:cs="宋体"/>
          <w:color w:val="auto"/>
          <w:kern w:val="0"/>
          <w:sz w:val="22"/>
          <w:szCs w:val="22"/>
          <w:highlight w:val="none"/>
        </w:rPr>
        <w:t>通过“政府采购云平台（www.zcygov.cn）”在线开标。</w:t>
      </w:r>
    </w:p>
    <w:p>
      <w:pPr>
        <w:spacing w:line="312" w:lineRule="auto"/>
        <w:ind w:left="1520" w:leftChars="200" w:hanging="1100" w:hangingChars="500"/>
        <w:rPr>
          <w:rFonts w:hint="eastAsia" w:ascii="宋体" w:hAnsi="宋体" w:cs="宋体"/>
          <w:color w:val="auto"/>
          <w:sz w:val="22"/>
          <w:highlight w:val="none"/>
        </w:rPr>
      </w:pPr>
      <w:r>
        <w:rPr>
          <w:rFonts w:hint="eastAsia" w:ascii="宋体" w:hAnsi="宋体" w:cs="宋体"/>
          <w:color w:val="auto"/>
          <w:kern w:val="0"/>
          <w:sz w:val="22"/>
          <w:szCs w:val="22"/>
          <w:highlight w:val="none"/>
        </w:rPr>
        <w:t>评标地点：</w:t>
      </w:r>
      <w:r>
        <w:rPr>
          <w:rFonts w:hint="eastAsia" w:ascii="宋体" w:hAnsi="宋体" w:cs="宋体"/>
          <w:color w:val="auto"/>
          <w:sz w:val="22"/>
          <w:highlight w:val="none"/>
        </w:rPr>
        <w:t xml:space="preserve">浙江东瓯工程造价咨询有限公司会议室（温州市鹿城区隔岸路68号2楼）。  </w:t>
      </w:r>
    </w:p>
    <w:p>
      <w:pPr>
        <w:spacing w:line="312" w:lineRule="auto"/>
        <w:rPr>
          <w:rFonts w:hint="eastAsia" w:ascii="宋体" w:hAnsi="宋体" w:cs="宋体"/>
          <w:color w:val="auto"/>
          <w:sz w:val="22"/>
          <w:highlight w:val="none"/>
        </w:rPr>
      </w:pPr>
      <w:r>
        <w:rPr>
          <w:rFonts w:hint="eastAsia" w:ascii="宋体" w:hAnsi="宋体" w:cs="宋体"/>
          <w:color w:val="auto"/>
          <w:sz w:val="22"/>
          <w:highlight w:val="none"/>
        </w:rPr>
        <w:t>7． 采 购 人：温州市公安局交通管理局</w:t>
      </w:r>
    </w:p>
    <w:p>
      <w:pPr>
        <w:spacing w:line="312" w:lineRule="auto"/>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联 系 人：</w:t>
      </w:r>
      <w:r>
        <w:rPr>
          <w:rFonts w:hint="eastAsia" w:ascii="宋体" w:hAnsi="宋体" w:cs="宋体"/>
          <w:color w:val="auto"/>
          <w:sz w:val="22"/>
          <w:highlight w:val="none"/>
        </w:rPr>
        <w:t>章华栾</w:t>
      </w:r>
    </w:p>
    <w:p>
      <w:pPr>
        <w:spacing w:line="312" w:lineRule="auto"/>
        <w:ind w:firstLine="435"/>
        <w:rPr>
          <w:rFonts w:hint="eastAsia" w:ascii="宋体" w:hAnsi="宋体" w:cs="宋体"/>
          <w:b/>
          <w:color w:val="auto"/>
          <w:sz w:val="22"/>
          <w:highlight w:val="none"/>
        </w:rPr>
      </w:pPr>
      <w:r>
        <w:rPr>
          <w:rFonts w:hint="eastAsia" w:ascii="宋体" w:hAnsi="宋体" w:cs="宋体"/>
          <w:color w:val="auto"/>
          <w:sz w:val="22"/>
          <w:highlight w:val="none"/>
        </w:rPr>
        <w:t>电    话：0577-56557283</w:t>
      </w:r>
    </w:p>
    <w:p>
      <w:pPr>
        <w:numPr>
          <w:ilvl w:val="0"/>
          <w:numId w:val="5"/>
        </w:numPr>
        <w:spacing w:line="312" w:lineRule="auto"/>
        <w:rPr>
          <w:rFonts w:hint="eastAsia" w:ascii="宋体" w:hAnsi="宋体" w:cs="宋体"/>
          <w:color w:val="auto"/>
          <w:sz w:val="22"/>
          <w:highlight w:val="none"/>
        </w:rPr>
      </w:pPr>
      <w:bookmarkStart w:id="5" w:name="B38_采购代理机构名称"/>
      <w:r>
        <w:rPr>
          <w:rFonts w:hint="eastAsia" w:ascii="宋体" w:hAnsi="宋体" w:cs="宋体"/>
          <w:color w:val="auto"/>
          <w:sz w:val="22"/>
          <w:highlight w:val="none"/>
        </w:rPr>
        <w:t xml:space="preserve"> 采购代理机构：</w:t>
      </w:r>
      <w:bookmarkEnd w:id="5"/>
      <w:r>
        <w:rPr>
          <w:rFonts w:hint="eastAsia" w:ascii="宋体" w:hAnsi="宋体" w:cs="宋体"/>
          <w:color w:val="auto"/>
          <w:sz w:val="22"/>
          <w:highlight w:val="none"/>
        </w:rPr>
        <w:t>浙江东瓯工程造价咨询有限公司</w:t>
      </w:r>
    </w:p>
    <w:p>
      <w:pPr>
        <w:spacing w:line="312" w:lineRule="auto"/>
        <w:ind w:firstLine="418" w:firstLineChars="190"/>
        <w:rPr>
          <w:rFonts w:hint="eastAsia" w:ascii="宋体" w:hAnsi="宋体" w:cs="宋体"/>
          <w:color w:val="auto"/>
          <w:sz w:val="22"/>
          <w:highlight w:val="none"/>
        </w:rPr>
      </w:pPr>
      <w:r>
        <w:rPr>
          <w:rFonts w:hint="eastAsia" w:ascii="宋体" w:hAnsi="宋体" w:cs="宋体"/>
          <w:color w:val="auto"/>
          <w:sz w:val="22"/>
          <w:highlight w:val="none"/>
        </w:rPr>
        <w:t>地    点：温州市鹿城区隔岸路68号2楼</w:t>
      </w:r>
    </w:p>
    <w:p>
      <w:pPr>
        <w:spacing w:line="312" w:lineRule="auto"/>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 系 人：金凯伦</w:t>
      </w:r>
    </w:p>
    <w:p>
      <w:pPr>
        <w:spacing w:line="312" w:lineRule="auto"/>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手    机：15088555258</w:t>
      </w:r>
    </w:p>
    <w:p>
      <w:pPr>
        <w:spacing w:line="312" w:lineRule="auto"/>
        <w:ind w:firstLine="418" w:firstLineChars="190"/>
        <w:rPr>
          <w:rFonts w:hint="eastAsia" w:ascii="宋体" w:hAnsi="宋体" w:cs="宋体"/>
          <w:color w:val="auto"/>
          <w:sz w:val="22"/>
          <w:highlight w:val="none"/>
        </w:rPr>
      </w:pPr>
      <w:r>
        <w:rPr>
          <w:rFonts w:hint="eastAsia" w:ascii="宋体" w:hAnsi="宋体" w:cs="宋体"/>
          <w:color w:val="auto"/>
          <w:sz w:val="22"/>
          <w:highlight w:val="none"/>
        </w:rPr>
        <w:t>电    话 ：0577-88521066</w:t>
      </w:r>
    </w:p>
    <w:p>
      <w:pPr>
        <w:widowControl/>
        <w:spacing w:before="67" w:after="67" w:line="312" w:lineRule="auto"/>
        <w:ind w:right="67"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同级政府采购监管部门：温州市财政局政府采购监管处</w:t>
      </w:r>
    </w:p>
    <w:p>
      <w:pPr>
        <w:widowControl/>
        <w:spacing w:before="67" w:after="67" w:line="312" w:lineRule="auto"/>
        <w:ind w:right="67"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 系 人：项先生、蔡女士</w:t>
      </w:r>
    </w:p>
    <w:p>
      <w:pPr>
        <w:widowControl/>
        <w:spacing w:before="67" w:after="67" w:line="312" w:lineRule="auto"/>
        <w:ind w:right="67" w:firstLine="440" w:firstLineChars="200"/>
        <w:jc w:val="left"/>
        <w:rPr>
          <w:rFonts w:hint="eastAsia" w:ascii="宋体" w:hAnsi="宋体" w:cs="宋体"/>
          <w:color w:val="auto"/>
          <w:sz w:val="22"/>
          <w:highlight w:val="none"/>
        </w:rPr>
      </w:pPr>
      <w:r>
        <w:rPr>
          <w:rFonts w:hint="eastAsia" w:ascii="宋体" w:hAnsi="宋体" w:cs="宋体"/>
          <w:bCs/>
          <w:color w:val="auto"/>
          <w:kern w:val="0"/>
          <w:sz w:val="22"/>
          <w:szCs w:val="22"/>
          <w:highlight w:val="none"/>
        </w:rPr>
        <w:t>联系电话：</w:t>
      </w:r>
      <w:r>
        <w:rPr>
          <w:rFonts w:hint="eastAsia" w:ascii="新宋体" w:hAnsi="新宋体" w:eastAsia="新宋体"/>
          <w:color w:val="auto"/>
          <w:sz w:val="22"/>
          <w:highlight w:val="none"/>
        </w:rPr>
        <w:t>0577-88532725、88521948</w:t>
      </w:r>
    </w:p>
    <w:p>
      <w:pPr>
        <w:spacing w:line="400" w:lineRule="exact"/>
        <w:ind w:firstLine="418" w:firstLineChars="190"/>
        <w:rPr>
          <w:rFonts w:hint="eastAsia" w:ascii="宋体" w:hAnsi="宋体" w:cs="宋体"/>
          <w:color w:val="auto"/>
          <w:sz w:val="22"/>
          <w:highlight w:val="none"/>
        </w:rPr>
      </w:pPr>
    </w:p>
    <w:p>
      <w:pPr>
        <w:spacing w:line="400" w:lineRule="exact"/>
        <w:ind w:firstLine="4833" w:firstLineChars="2197"/>
        <w:jc w:val="right"/>
        <w:rPr>
          <w:rFonts w:hint="eastAsia" w:ascii="宋体" w:hAnsi="宋体" w:cs="宋体"/>
          <w:color w:val="auto"/>
          <w:sz w:val="22"/>
          <w:highlight w:val="none"/>
        </w:rPr>
      </w:pPr>
      <w:r>
        <w:rPr>
          <w:rFonts w:hint="eastAsia" w:ascii="宋体" w:hAnsi="宋体" w:cs="宋体"/>
          <w:color w:val="auto"/>
          <w:sz w:val="22"/>
          <w:highlight w:val="none"/>
        </w:rPr>
        <w:t>温州市公安局交通管理局</w:t>
      </w:r>
    </w:p>
    <w:p>
      <w:pPr>
        <w:spacing w:line="400" w:lineRule="exact"/>
        <w:ind w:firstLine="5830" w:firstLineChars="2650"/>
        <w:jc w:val="right"/>
        <w:rPr>
          <w:rFonts w:hint="eastAsia" w:ascii="宋体" w:hAnsi="宋体" w:cs="宋体"/>
          <w:color w:val="auto"/>
          <w:sz w:val="22"/>
          <w:highlight w:val="none"/>
        </w:rPr>
      </w:pPr>
      <w:r>
        <w:rPr>
          <w:rFonts w:hint="eastAsia" w:ascii="宋体" w:hAnsi="宋体" w:cs="宋体"/>
          <w:color w:val="auto"/>
          <w:sz w:val="22"/>
          <w:highlight w:val="none"/>
        </w:rPr>
        <w:t>浙江东瓯工程造价咨询有限公司</w:t>
      </w:r>
    </w:p>
    <w:p>
      <w:pPr>
        <w:pStyle w:val="36"/>
        <w:ind w:left="440" w:hanging="440"/>
        <w:jc w:val="right"/>
        <w:rPr>
          <w:rFonts w:hint="eastAsia" w:ascii="宋体" w:hAnsi="宋体"/>
          <w:b/>
          <w:color w:val="auto"/>
          <w:sz w:val="22"/>
          <w:szCs w:val="22"/>
          <w:highlight w:val="none"/>
          <w:u w:val="single"/>
        </w:rPr>
      </w:pPr>
      <w:r>
        <w:rPr>
          <w:rFonts w:hint="eastAsia" w:ascii="宋体" w:hAnsi="宋体"/>
          <w:color w:val="auto"/>
          <w:sz w:val="22"/>
          <w:highlight w:val="none"/>
        </w:rPr>
        <w:t>2022年</w:t>
      </w:r>
      <w:r>
        <w:rPr>
          <w:rFonts w:hint="eastAsia" w:ascii="宋体" w:hAnsi="宋体"/>
          <w:color w:val="auto"/>
          <w:sz w:val="22"/>
          <w:highlight w:val="none"/>
          <w:lang w:val="en-US" w:eastAsia="zh-CN"/>
        </w:rPr>
        <w:t>11</w:t>
      </w:r>
      <w:r>
        <w:rPr>
          <w:rFonts w:hint="eastAsia" w:ascii="宋体" w:hAnsi="宋体"/>
          <w:color w:val="auto"/>
          <w:sz w:val="22"/>
          <w:highlight w:val="none"/>
        </w:rPr>
        <w:t>月</w:t>
      </w:r>
      <w:r>
        <w:rPr>
          <w:rFonts w:hint="eastAsia" w:ascii="宋体" w:hAnsi="宋体"/>
          <w:color w:val="auto"/>
          <w:sz w:val="22"/>
          <w:highlight w:val="none"/>
          <w:lang w:val="en-US" w:eastAsia="zh-CN"/>
        </w:rPr>
        <w:t>03</w:t>
      </w:r>
      <w:r>
        <w:rPr>
          <w:rFonts w:hint="eastAsia" w:ascii="宋体" w:hAnsi="宋体"/>
          <w:color w:val="auto"/>
          <w:sz w:val="22"/>
          <w:highlight w:val="none"/>
        </w:rPr>
        <w:t>日</w:t>
      </w:r>
    </w:p>
    <w:p>
      <w:pPr>
        <w:pStyle w:val="3"/>
        <w:tabs>
          <w:tab w:val="clear" w:pos="840"/>
        </w:tabs>
        <w:adjustRightInd/>
        <w:snapToGrid/>
        <w:spacing w:before="120" w:after="120" w:line="460" w:lineRule="exact"/>
        <w:jc w:val="center"/>
        <w:rPr>
          <w:rFonts w:hint="eastAsia" w:hAnsi="宋体" w:cs="宋体"/>
          <w:bCs/>
          <w:color w:val="auto"/>
          <w:sz w:val="32"/>
          <w:szCs w:val="32"/>
          <w:highlight w:val="none"/>
        </w:rPr>
      </w:pPr>
      <w:bookmarkStart w:id="6" w:name="_Toc66274187"/>
      <w:bookmarkStart w:id="7" w:name="_Toc26027"/>
      <w:bookmarkStart w:id="8" w:name="_Toc22010"/>
      <w:bookmarkStart w:id="9" w:name="_Toc267898765"/>
      <w:bookmarkStart w:id="10" w:name="_Toc66274186"/>
      <w:r>
        <w:rPr>
          <w:rFonts w:hint="eastAsia" w:hAnsi="宋体" w:cs="宋体"/>
          <w:bCs/>
          <w:color w:val="auto"/>
          <w:sz w:val="32"/>
          <w:szCs w:val="32"/>
          <w:highlight w:val="none"/>
        </w:rPr>
        <w:t>第一部分  投标供应商须知</w:t>
      </w:r>
      <w:bookmarkEnd w:id="6"/>
      <w:bookmarkEnd w:id="7"/>
      <w:bookmarkEnd w:id="8"/>
    </w:p>
    <w:p>
      <w:pPr>
        <w:pStyle w:val="4"/>
        <w:spacing w:line="500" w:lineRule="exact"/>
        <w:jc w:val="center"/>
        <w:rPr>
          <w:rFonts w:hint="eastAsia" w:ascii="宋体" w:hAnsi="宋体" w:eastAsia="宋体" w:cs="宋体"/>
          <w:color w:val="auto"/>
          <w:sz w:val="24"/>
          <w:szCs w:val="24"/>
          <w:highlight w:val="none"/>
        </w:rPr>
      </w:pPr>
      <w:bookmarkStart w:id="11" w:name="_Toc19936"/>
      <w:bookmarkStart w:id="12" w:name="_Toc26182"/>
      <w:bookmarkStart w:id="13" w:name="_Toc66274188"/>
      <w:r>
        <w:rPr>
          <w:rFonts w:hint="eastAsia" w:ascii="宋体" w:hAnsi="宋体" w:eastAsia="宋体" w:cs="宋体"/>
          <w:color w:val="auto"/>
          <w:sz w:val="24"/>
          <w:szCs w:val="24"/>
          <w:highlight w:val="none"/>
        </w:rPr>
        <w:t>一、 说  明</w:t>
      </w:r>
      <w:bookmarkEnd w:id="11"/>
      <w:bookmarkEnd w:id="12"/>
      <w:bookmarkEnd w:id="13"/>
    </w:p>
    <w:p>
      <w:pPr>
        <w:tabs>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本次招标是根据《中华人民共和国政府采购法》、《采购法实施条例》、《政府采购货物和服务招标投标管理办法》、《浙江省政府采购项目电子交易管理暂行办法》等有关法律法规组织和实施。</w:t>
      </w:r>
    </w:p>
    <w:p>
      <w:pPr>
        <w:tabs>
          <w:tab w:val="left" w:pos="180"/>
        </w:tabs>
        <w:spacing w:line="440" w:lineRule="exact"/>
        <w:ind w:left="-2" w:leftChars="-1"/>
        <w:rPr>
          <w:rFonts w:hint="eastAsia" w:ascii="宋体" w:hAnsi="宋体" w:cs="宋体"/>
          <w:b/>
          <w:color w:val="auto"/>
          <w:sz w:val="22"/>
          <w:szCs w:val="22"/>
          <w:highlight w:val="none"/>
        </w:rPr>
      </w:pPr>
      <w:r>
        <w:rPr>
          <w:rFonts w:hint="eastAsia" w:ascii="宋体" w:hAnsi="宋体" w:cs="宋体"/>
          <w:b/>
          <w:color w:val="auto"/>
          <w:sz w:val="22"/>
          <w:szCs w:val="22"/>
          <w:highlight w:val="none"/>
        </w:rPr>
        <w:t>2．  ▲</w:t>
      </w:r>
      <w:r>
        <w:rPr>
          <w:rFonts w:hint="eastAsia" w:ascii="宋体" w:hAnsi="宋体" w:cs="宋体"/>
          <w:b/>
          <w:color w:val="auto"/>
          <w:sz w:val="22"/>
          <w:szCs w:val="22"/>
          <w:highlight w:val="none"/>
          <w:u w:val="single"/>
        </w:rPr>
        <w:t>合格投标供应商</w:t>
      </w:r>
    </w:p>
    <w:p>
      <w:pPr>
        <w:widowControl/>
        <w:tabs>
          <w:tab w:val="left" w:pos="0"/>
        </w:tabs>
        <w:spacing w:line="400" w:lineRule="exact"/>
        <w:ind w:left="537" w:right="60" w:hanging="537" w:hangingChars="243"/>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2.1  满足《中华人民共和国政府采购法》第二十二条规定；未被“信用中国”（www.creditchina.gov.cn)、中国政府采购网（www.ccgp.gov.cn）列入失信被执行人、重大税收违法案件当事人名单、政府采购严重违法失信行为记录名单；</w:t>
      </w:r>
    </w:p>
    <w:p>
      <w:pPr>
        <w:spacing w:line="420" w:lineRule="exact"/>
        <w:ind w:left="552" w:hanging="552" w:hangingChars="250"/>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2.2  本项目谢绝联合体投标；</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   投标供应商代表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3.1  指全权代表投标供应商参加投标活动并签署投标文件的人。</w:t>
      </w:r>
      <w:r>
        <w:rPr>
          <w:rFonts w:hint="eastAsia" w:ascii="宋体" w:hAnsi="宋体" w:cs="宋体"/>
          <w:color w:val="auto"/>
          <w:sz w:val="22"/>
          <w:highlight w:val="none"/>
        </w:rPr>
        <w:t>投标供应商代表可以是法定代表人（事业单位为法定负责人，下同）或其有效授权的本单位人员，</w:t>
      </w: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如果投标供应商代表不是法定代表人，须持有《法定代表人授权书》（见附件统一格式）</w:t>
      </w:r>
      <w:r>
        <w:rPr>
          <w:rFonts w:hint="eastAsia" w:ascii="宋体" w:hAnsi="宋体" w:cs="宋体"/>
          <w:b/>
          <w:bCs/>
          <w:color w:val="auto"/>
          <w:sz w:val="22"/>
          <w:szCs w:val="22"/>
          <w:highlight w:val="none"/>
          <w:u w:val="single"/>
        </w:rPr>
        <w:t>、授权代表有效身份证件</w:t>
      </w:r>
      <w:r>
        <w:rPr>
          <w:rFonts w:hint="eastAsia" w:ascii="宋体" w:hAnsi="宋体" w:cs="宋体"/>
          <w:b/>
          <w:color w:val="auto"/>
          <w:sz w:val="22"/>
          <w:szCs w:val="22"/>
          <w:highlight w:val="none"/>
          <w:u w:val="single"/>
        </w:rPr>
        <w:t>，否则授权代表身份不予认可，投标无效。</w:t>
      </w:r>
    </w:p>
    <w:p>
      <w:pPr>
        <w:spacing w:line="42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4</w:t>
      </w:r>
      <w:r>
        <w:rPr>
          <w:rFonts w:hint="eastAsia" w:ascii="宋体" w:hAnsi="宋体" w:cs="宋体"/>
          <w:b/>
          <w:color w:val="auto"/>
          <w:spacing w:val="100"/>
          <w:sz w:val="22"/>
          <w:szCs w:val="22"/>
          <w:highlight w:val="none"/>
        </w:rPr>
        <w:t xml:space="preserve">. </w:t>
      </w:r>
      <w:r>
        <w:rPr>
          <w:rFonts w:hint="eastAsia" w:ascii="宋体" w:hAnsi="宋体" w:cs="宋体"/>
          <w:b/>
          <w:color w:val="auto"/>
          <w:sz w:val="22"/>
          <w:szCs w:val="22"/>
          <w:highlight w:val="none"/>
        </w:rPr>
        <w:t>投标费用</w:t>
      </w:r>
    </w:p>
    <w:p>
      <w:pPr>
        <w:spacing w:line="42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投标供应商应承担所有与准备和参加投标有关费用，不论投标的结果如何，采购人和采购代理机构（以下统称为招标采购单位）均无义务和责任承担这些费用。</w:t>
      </w:r>
    </w:p>
    <w:p>
      <w:pPr>
        <w:spacing w:line="42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投标供应商获取招标文件后，决定不参加本项目投标的，应在获取招标文件后5个工作日内以书面（加盖投标单位公章）电子邮件形式通知招标采购单位，如在规定期限内未收到投标供应商的书面函件，视为投标供应商同意参加投标。投标截止时无故（不可抗力事件影响除外）不参加投标的，将被采购单位列入非诚信供应商名单，影响其今后采购单位项目投标的诚信评价。</w:t>
      </w:r>
    </w:p>
    <w:p>
      <w:pPr>
        <w:spacing w:line="42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w:t>
      </w:r>
      <w:r>
        <w:rPr>
          <w:rFonts w:hint="eastAsia" w:ascii="宋体" w:hAnsi="宋体" w:cs="宋体"/>
          <w:color w:val="auto"/>
          <w:sz w:val="22"/>
          <w:szCs w:val="22"/>
          <w:highlight w:val="none"/>
          <w:u w:val="single"/>
        </w:rPr>
        <w:t>单位负责人为同一人或者存在直接控股、管理关系的不同供应商，不得参加同一合同项下的政府采购活动；公益一类事业单位不属于政府购买服务的承接主体，不得参与承接购买服务。</w:t>
      </w:r>
    </w:p>
    <w:p>
      <w:pPr>
        <w:spacing w:line="42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7.   如无特别说明，投标供应商参加本项目投标所使用的资格、信誉、荣誉、业绩与企业认证、人员必须为其单位所有。</w:t>
      </w:r>
    </w:p>
    <w:p>
      <w:pPr>
        <w:spacing w:line="420" w:lineRule="exact"/>
        <w:ind w:left="550" w:hanging="550" w:hangingChars="250"/>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8. ▲</w:t>
      </w:r>
      <w:r>
        <w:rPr>
          <w:rFonts w:hint="eastAsia" w:ascii="宋体" w:hAnsi="宋体" w:cs="宋体"/>
          <w:b/>
          <w:color w:val="auto"/>
          <w:sz w:val="22"/>
          <w:szCs w:val="22"/>
          <w:highlight w:val="none"/>
          <w:u w:val="single"/>
        </w:rPr>
        <w:t>参加本项目投标的供应商必须遵守“诚实信用”原则，并在投标文件中提供《诚信投标承诺书》（见附件统一格式），不提供该承诺书的投标文件将按无效标处理。</w:t>
      </w:r>
    </w:p>
    <w:p>
      <w:pPr>
        <w:spacing w:line="420" w:lineRule="exact"/>
        <w:ind w:left="552" w:hanging="552" w:hangingChars="25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 xml:space="preserve">9. </w:t>
      </w: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投标供应商必须在《资格条件承诺函》（见附件统一格式）中对“2.合格投标供应商资格条件第2.1款”进行承诺，不按要求提供该承诺书的投标文件视为资格性审查不通过，投标无效，不得进入下一步评审。</w:t>
      </w:r>
    </w:p>
    <w:p>
      <w:pPr>
        <w:spacing w:line="4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10.  在线投标响应（电子投标）说明</w:t>
      </w:r>
    </w:p>
    <w:p>
      <w:pPr>
        <w:spacing w:line="400" w:lineRule="exact"/>
        <w:ind w:left="565" w:hanging="565" w:hangingChars="257"/>
        <w:rPr>
          <w:rFonts w:hint="eastAsia" w:ascii="宋体" w:hAnsi="宋体" w:cs="宋体"/>
          <w:color w:val="auto"/>
          <w:sz w:val="22"/>
          <w:szCs w:val="22"/>
          <w:highlight w:val="none"/>
        </w:rPr>
      </w:pPr>
      <w:r>
        <w:rPr>
          <w:rFonts w:hint="eastAsia" w:ascii="宋体" w:hAnsi="宋体" w:cs="宋体"/>
          <w:color w:val="auto"/>
          <w:sz w:val="22"/>
          <w:szCs w:val="22"/>
          <w:highlight w:val="none"/>
        </w:rPr>
        <w:t>10.1 本项目通过“政府采购云平台（</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"http://www.zcygov.cn）\”实行在线投标响应（电子投标），供应" </w:instrText>
      </w:r>
      <w:r>
        <w:rPr>
          <w:rFonts w:hint="eastAsia" w:ascii="宋体" w:hAnsi="宋体" w:cs="宋体"/>
          <w:color w:val="auto"/>
          <w:sz w:val="22"/>
          <w:szCs w:val="22"/>
          <w:highlight w:val="none"/>
        </w:rPr>
        <w:fldChar w:fldCharType="separate"/>
      </w:r>
      <w:r>
        <w:rPr>
          <w:rStyle w:val="46"/>
          <w:rFonts w:hint="eastAsia" w:ascii="宋体" w:hAnsi="宋体" w:cs="宋体"/>
          <w:color w:val="auto"/>
          <w:sz w:val="22"/>
          <w:szCs w:val="22"/>
          <w:highlight w:val="none"/>
        </w:rPr>
        <w:t>www.zcygov.cn）”实行在线投标响应（电子投标）</w:t>
      </w:r>
      <w:r>
        <w:rPr>
          <w:rStyle w:val="46"/>
          <w:rFonts w:hint="eastAsia" w:ascii="宋体" w:hAnsi="宋体" w:cs="宋体"/>
          <w:color w:val="auto"/>
          <w:sz w:val="22"/>
          <w:szCs w:val="22"/>
          <w:highlight w:val="none"/>
          <w:u w:val="none"/>
        </w:rPr>
        <w:t>，供应</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商应先安装“政采云电子交易客户端”，并按照本招标文件和“政府采购云平台”的要求，通过“政采云电子交易客户端”编制并加密投标文件。供应商未按规定加密的投标文件，“政府采购云平台”将予以拒收。</w:t>
      </w:r>
    </w:p>
    <w:p>
      <w:pPr>
        <w:spacing w:line="400" w:lineRule="exact"/>
        <w:ind w:left="565" w:hanging="565" w:hangingChars="257"/>
        <w:rPr>
          <w:rFonts w:hint="eastAsia" w:ascii="宋体" w:hAnsi="宋体" w:cs="宋体"/>
          <w:color w:val="auto"/>
          <w:sz w:val="22"/>
          <w:szCs w:val="22"/>
          <w:highlight w:val="none"/>
        </w:rPr>
      </w:pPr>
      <w:r>
        <w:rPr>
          <w:rFonts w:hint="eastAsia" w:ascii="宋体" w:hAnsi="宋体" w:cs="宋体"/>
          <w:bCs/>
          <w:color w:val="auto"/>
          <w:sz w:val="22"/>
          <w:szCs w:val="22"/>
          <w:highlight w:val="none"/>
        </w:rPr>
        <w:t>10.2 “政采云电子交易客户端”请自行前往“浙江政府采购网-下载专区-电子交易客户端”进</w:t>
      </w:r>
      <w:r>
        <w:rPr>
          <w:rFonts w:hint="eastAsia" w:ascii="宋体" w:hAnsi="宋体" w:cs="宋体"/>
          <w:color w:val="auto"/>
          <w:sz w:val="22"/>
          <w:szCs w:val="22"/>
          <w:highlight w:val="none"/>
        </w:rPr>
        <w:t>行下载；电子投标具体操作流程详见本公告附件《供应商项目采购-电子招投标操作指南》；通过“政府采购云平台”参与在线投标时如遇平台技术问题详询400-881-7190。</w:t>
      </w:r>
    </w:p>
    <w:p>
      <w:pPr>
        <w:spacing w:line="42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sz w:val="22"/>
          <w:szCs w:val="22"/>
          <w:highlight w:val="none"/>
        </w:rPr>
        <w:t>10.3  为确保网上操作合法、有效和安全，供应商应当在投标截止时间前完成在“政府采购云平台”的身份认证，确保在电子投标过程中能够对相关数据电文进行加密和使用电子签章。使用“</w:t>
      </w:r>
      <w:r>
        <w:rPr>
          <w:rFonts w:hint="eastAsia" w:ascii="宋体" w:hAnsi="宋体" w:cs="宋体"/>
          <w:bCs/>
          <w:color w:val="auto"/>
          <w:sz w:val="22"/>
          <w:szCs w:val="22"/>
          <w:highlight w:val="none"/>
        </w:rPr>
        <w:t>政采云电子交易客户端”需要提前申领CA数字证书，申领流程请自行前往“浙江政府采购网-下载专区-电子交易客户端-</w:t>
      </w:r>
      <w:r>
        <w:rPr>
          <w:rFonts w:hint="eastAsia" w:ascii="宋体" w:hAnsi="宋体" w:cs="宋体"/>
          <w:bCs/>
          <w:color w:val="auto"/>
          <w:sz w:val="22"/>
          <w:szCs w:val="22"/>
          <w:highlight w:val="none"/>
        </w:rPr>
        <w:fldChar w:fldCharType="begin"/>
      </w:r>
      <w:r>
        <w:rPr>
          <w:rFonts w:hint="eastAsia" w:ascii="宋体" w:hAnsi="宋体" w:cs="宋体"/>
          <w:bCs/>
          <w:color w:val="auto"/>
          <w:sz w:val="22"/>
          <w:szCs w:val="22"/>
          <w:highlight w:val="none"/>
        </w:rPr>
        <w:instrText xml:space="preserve"> HYPERLINK "http://www.zjzfcg.gov.cn/bidClientTemplate/2019-05-27/12945.html" \o "CA驱动和申领流程" \t "_blank" </w:instrText>
      </w:r>
      <w:r>
        <w:rPr>
          <w:rFonts w:hint="eastAsia" w:ascii="宋体" w:hAnsi="宋体" w:cs="宋体"/>
          <w:bCs/>
          <w:color w:val="auto"/>
          <w:sz w:val="22"/>
          <w:szCs w:val="22"/>
          <w:highlight w:val="none"/>
        </w:rPr>
        <w:fldChar w:fldCharType="separate"/>
      </w:r>
      <w:r>
        <w:rPr>
          <w:rFonts w:hint="eastAsia" w:ascii="宋体" w:hAnsi="宋体" w:cs="宋体"/>
          <w:bCs/>
          <w:color w:val="auto"/>
          <w:sz w:val="22"/>
          <w:szCs w:val="22"/>
          <w:highlight w:val="none"/>
        </w:rPr>
        <w:t>CA驱动和申领流程</w:t>
      </w:r>
      <w:r>
        <w:rPr>
          <w:rFonts w:hint="eastAsia" w:ascii="宋体" w:hAnsi="宋体" w:cs="宋体"/>
          <w:bCs/>
          <w:color w:val="auto"/>
          <w:sz w:val="22"/>
          <w:szCs w:val="22"/>
          <w:highlight w:val="none"/>
        </w:rPr>
        <w:fldChar w:fldCharType="end"/>
      </w:r>
      <w:r>
        <w:rPr>
          <w:rFonts w:hint="eastAsia" w:ascii="宋体" w:hAnsi="宋体" w:cs="宋体"/>
          <w:bCs/>
          <w:color w:val="auto"/>
          <w:sz w:val="22"/>
          <w:szCs w:val="22"/>
          <w:highlight w:val="none"/>
        </w:rPr>
        <w:t>”进行查阅。</w:t>
      </w:r>
    </w:p>
    <w:p>
      <w:pPr>
        <w:spacing w:line="420" w:lineRule="exact"/>
        <w:ind w:left="542" w:hanging="542" w:hangingChars="257"/>
        <w:rPr>
          <w:rFonts w:hint="eastAsia"/>
          <w:b/>
          <w:bCs/>
          <w:color w:val="auto"/>
          <w:highlight w:val="none"/>
          <w:u w:val="single"/>
        </w:rPr>
      </w:pPr>
      <w:r>
        <w:rPr>
          <w:rFonts w:hint="eastAsia"/>
          <w:b/>
          <w:bCs/>
          <w:color w:val="auto"/>
          <w:highlight w:val="none"/>
          <w:u w:val="single"/>
        </w:rPr>
        <w:t>11.  根据《政府采购促进中小企业发展管理办法》（财库[2020]46号）规定，本项目专门面向中小企业进行采购，符合以下要求的供应商才能享受相关中小企业扶持政策，参加本项目磋商：</w:t>
      </w:r>
    </w:p>
    <w:p>
      <w:pPr>
        <w:spacing w:line="420" w:lineRule="exact"/>
        <w:ind w:left="542" w:hanging="542" w:hangingChars="257"/>
        <w:rPr>
          <w:rFonts w:hint="eastAsia"/>
          <w:b/>
          <w:bCs/>
          <w:color w:val="auto"/>
          <w:highlight w:val="none"/>
          <w:u w:val="single"/>
        </w:rPr>
      </w:pPr>
      <w:r>
        <w:rPr>
          <w:rFonts w:hint="eastAsia"/>
          <w:b/>
          <w:bCs/>
          <w:color w:val="auto"/>
          <w:highlight w:val="none"/>
          <w:u w:val="single"/>
        </w:rPr>
        <w:t>11.1 供应商按采购文件规定格式及要求在投标响应文件中出具了《中小企业声明函》（格式附件四-4），声明相关企业为中小企业的。如中标（成交），将在中标（成交）结果同时公告其《中小企业声明函》，接受社会监督。如提供的《中小企业声明函》内容不实的，属于提供虚假材料谋取中标，依照《政府采购法》等国家有关规定追究相应责任。</w:t>
      </w:r>
    </w:p>
    <w:p>
      <w:pPr>
        <w:spacing w:line="420" w:lineRule="exact"/>
        <w:ind w:left="542" w:hanging="542" w:hangingChars="257"/>
        <w:rPr>
          <w:rFonts w:hint="eastAsia"/>
          <w:b/>
          <w:bCs/>
          <w:color w:val="auto"/>
          <w:highlight w:val="none"/>
          <w:u w:val="single"/>
        </w:rPr>
      </w:pPr>
      <w:r>
        <w:rPr>
          <w:rFonts w:hint="eastAsia"/>
          <w:b/>
          <w:bCs/>
          <w:color w:val="auto"/>
          <w:highlight w:val="none"/>
          <w:u w:val="single"/>
        </w:rPr>
        <w:t>11.2 监狱企业视同小微企业，监狱企业参加投标应当提供由省级以上监狱管理局、戒毒管理局（含新疆生产建设兵团）出具的属于监狱企业的证明文件，否则无效。</w:t>
      </w:r>
    </w:p>
    <w:p>
      <w:pPr>
        <w:spacing w:line="420" w:lineRule="exact"/>
        <w:ind w:left="542" w:hanging="542" w:hangingChars="257"/>
        <w:rPr>
          <w:rFonts w:hint="eastAsia"/>
          <w:b/>
          <w:bCs/>
          <w:color w:val="auto"/>
          <w:highlight w:val="none"/>
          <w:u w:val="single"/>
        </w:rPr>
      </w:pPr>
      <w:r>
        <w:rPr>
          <w:rFonts w:hint="eastAsia"/>
          <w:b/>
          <w:bCs/>
          <w:color w:val="auto"/>
          <w:highlight w:val="none"/>
          <w:u w:val="single"/>
        </w:rPr>
        <w:t>11.3 残疾人福利性单位视同小微企业。符合条件的残疾人福利性单位在参加政府采购活动时，应当提供《残疾人福利性单位声明函》（见附件四-5），并对声明的真实性负责。如中标，将在中标结果同时公告其《残疾人福利性单位声明函》，接受社会监督。如提供的《残疾人福利性单位声明函》与事实不符的，依照《政府采购法》第七十七条第一款的规定追究法律责任。</w:t>
      </w:r>
    </w:p>
    <w:p>
      <w:pPr>
        <w:spacing w:line="420" w:lineRule="exact"/>
        <w:ind w:left="542" w:hanging="542" w:hangingChars="257"/>
        <w:rPr>
          <w:rFonts w:hint="eastAsia"/>
          <w:b/>
          <w:bCs/>
          <w:color w:val="auto"/>
          <w:highlight w:val="none"/>
          <w:u w:val="single"/>
        </w:rPr>
      </w:pPr>
      <w:r>
        <w:rPr>
          <w:rFonts w:hint="eastAsia"/>
          <w:b/>
          <w:bCs/>
          <w:color w:val="auto"/>
          <w:highlight w:val="none"/>
          <w:u w:val="single"/>
        </w:rPr>
        <w:t>11.4 对符合划分标准的个体工商户，视同中小企业。</w:t>
      </w:r>
    </w:p>
    <w:p>
      <w:pPr>
        <w:spacing w:line="420" w:lineRule="exact"/>
        <w:ind w:left="542" w:hanging="542" w:hangingChars="257"/>
        <w:rPr>
          <w:rFonts w:hint="eastAsia"/>
          <w:b/>
          <w:bCs/>
          <w:color w:val="auto"/>
          <w:highlight w:val="none"/>
          <w:u w:val="single"/>
        </w:rPr>
      </w:pPr>
      <w:r>
        <w:rPr>
          <w:rFonts w:hint="eastAsia"/>
          <w:b/>
          <w:bCs/>
          <w:color w:val="auto"/>
          <w:highlight w:val="none"/>
        </w:rPr>
        <w:t xml:space="preserve">12.  </w:t>
      </w: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pStyle w:val="4"/>
        <w:spacing w:line="500" w:lineRule="exact"/>
        <w:jc w:val="center"/>
        <w:rPr>
          <w:rFonts w:hint="eastAsia" w:ascii="宋体" w:hAnsi="宋体" w:eastAsia="宋体" w:cs="宋体"/>
          <w:color w:val="auto"/>
          <w:sz w:val="24"/>
          <w:szCs w:val="24"/>
          <w:highlight w:val="none"/>
        </w:rPr>
      </w:pPr>
      <w:bookmarkStart w:id="14" w:name="_Toc66274189"/>
      <w:bookmarkStart w:id="15" w:name="_Toc1092"/>
      <w:bookmarkStart w:id="16" w:name="_Toc29592"/>
      <w:r>
        <w:rPr>
          <w:rFonts w:hint="eastAsia" w:ascii="宋体" w:hAnsi="宋体" w:eastAsia="宋体" w:cs="宋体"/>
          <w:color w:val="auto"/>
          <w:sz w:val="24"/>
          <w:szCs w:val="24"/>
          <w:highlight w:val="none"/>
        </w:rPr>
        <w:t>二、 招标文件</w:t>
      </w:r>
      <w:bookmarkEnd w:id="14"/>
      <w:bookmarkEnd w:id="15"/>
      <w:bookmarkEnd w:id="16"/>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pPr>
        <w:spacing w:line="440" w:lineRule="exact"/>
        <w:ind w:left="190" w:hanging="190" w:hangingChars="86"/>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  招标文件的澄清或修改</w:t>
      </w:r>
    </w:p>
    <w:p>
      <w:pPr>
        <w:spacing w:line="440" w:lineRule="exact"/>
        <w:ind w:left="539" w:hanging="539" w:hangingChars="245"/>
        <w:rPr>
          <w:rFonts w:hint="eastAsia" w:ascii="宋体" w:hAnsi="宋体" w:cs="宋体"/>
          <w:color w:val="auto"/>
          <w:sz w:val="22"/>
          <w:szCs w:val="22"/>
          <w:highlight w:val="none"/>
        </w:rPr>
      </w:pPr>
      <w:r>
        <w:rPr>
          <w:rFonts w:hint="eastAsia" w:ascii="宋体" w:hAnsi="宋体" w:cs="宋体"/>
          <w:color w:val="auto"/>
          <w:sz w:val="22"/>
          <w:szCs w:val="22"/>
          <w:highlight w:val="none"/>
        </w:rPr>
        <w:t>2.1  招标采购单位可以对已发出的招标文件进行必要的澄清或者修改。澄清或者修改的内容可能影响投标文件编制的，招标采购单位应当在投标截止时间至少15日前，以书面形式（公告，下同）通知所有获取招标文件的潜在投标供应商；不足15日的，招标采购单位应当顺延提交投标文件的截止时间。该澄清或修改内容为招标文件的组成部分。</w:t>
      </w:r>
    </w:p>
    <w:p>
      <w:pPr>
        <w:spacing w:line="420" w:lineRule="exact"/>
        <w:ind w:left="539" w:hanging="539" w:hangingChars="245"/>
        <w:rPr>
          <w:rFonts w:hint="eastAsia" w:ascii="宋体" w:hAnsi="宋体" w:cs="宋体"/>
          <w:color w:val="auto"/>
          <w:sz w:val="22"/>
          <w:szCs w:val="22"/>
          <w:highlight w:val="none"/>
        </w:rPr>
      </w:pPr>
      <w:r>
        <w:rPr>
          <w:rFonts w:hint="eastAsia" w:ascii="宋体" w:hAnsi="宋体" w:cs="宋体"/>
          <w:color w:val="auto"/>
          <w:sz w:val="22"/>
          <w:szCs w:val="22"/>
          <w:highlight w:val="none"/>
        </w:rPr>
        <w:t>2.2  招标代理单位可以视采购的具体情况决定是否延长投标截止时间和开标时间，具体参照2.1条规定。</w:t>
      </w:r>
    </w:p>
    <w:p>
      <w:pPr>
        <w:pStyle w:val="4"/>
        <w:spacing w:line="500" w:lineRule="exact"/>
        <w:jc w:val="center"/>
        <w:rPr>
          <w:rFonts w:hint="eastAsia" w:ascii="宋体" w:hAnsi="宋体" w:eastAsia="宋体" w:cs="宋体"/>
          <w:color w:val="auto"/>
          <w:sz w:val="24"/>
          <w:szCs w:val="24"/>
          <w:highlight w:val="none"/>
        </w:rPr>
      </w:pPr>
      <w:bookmarkStart w:id="17" w:name="_Toc31539"/>
      <w:bookmarkStart w:id="18" w:name="_Toc20547"/>
      <w:bookmarkStart w:id="19" w:name="_Toc66274190"/>
      <w:r>
        <w:rPr>
          <w:rFonts w:hint="eastAsia" w:ascii="宋体" w:hAnsi="宋体" w:eastAsia="宋体" w:cs="宋体"/>
          <w:color w:val="auto"/>
          <w:sz w:val="24"/>
          <w:szCs w:val="24"/>
          <w:highlight w:val="none"/>
        </w:rPr>
        <w:t>三、 投标文件的编制</w:t>
      </w:r>
      <w:bookmarkEnd w:id="17"/>
      <w:bookmarkEnd w:id="18"/>
      <w:bookmarkEnd w:id="19"/>
    </w:p>
    <w:p>
      <w:pPr>
        <w:spacing w:line="440" w:lineRule="exact"/>
        <w:ind w:left="539" w:hanging="539" w:hangingChars="245"/>
        <w:rPr>
          <w:rFonts w:hint="eastAsia" w:ascii="宋体" w:hAnsi="宋体" w:cs="宋体"/>
          <w:b/>
          <w:color w:val="auto"/>
          <w:sz w:val="22"/>
          <w:szCs w:val="22"/>
          <w:highlight w:val="none"/>
        </w:rPr>
      </w:pPr>
      <w:r>
        <w:rPr>
          <w:rFonts w:hint="eastAsia" w:ascii="宋体" w:hAnsi="宋体" w:cs="宋体"/>
          <w:color w:val="auto"/>
          <w:sz w:val="22"/>
          <w:szCs w:val="22"/>
          <w:highlight w:val="none"/>
        </w:rPr>
        <w:t>1．  投标供应商应认真阅读招标文件中所有事项、格式、条款和技术规范等。投标供应商没有按照招标文件要求提交全部资料，或者没有仔细阅读招标文件，或者没有对招标文件各个方面做出实质性响应，是投标供应商的风险，由此造成的一切后果由投标供应商自行承担。</w:t>
      </w:r>
    </w:p>
    <w:p>
      <w:pPr>
        <w:spacing w:line="440" w:lineRule="exact"/>
        <w:ind w:left="539" w:hanging="539" w:hangingChars="24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 xml:space="preserve"> 投标供应商应保证所提供文件资料的真实性，所有文件资料必须是针对本次投标的。如发现投标单位提供了虚假文件资料，其投标将被拒绝，并自行承担相应的法律责任。</w:t>
      </w:r>
    </w:p>
    <w:p>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投标文件组成：</w:t>
      </w:r>
    </w:p>
    <w:p>
      <w:pPr>
        <w:spacing w:line="420" w:lineRule="exact"/>
        <w:ind w:left="629" w:hanging="629" w:hangingChars="286"/>
        <w:rPr>
          <w:rFonts w:hint="eastAsia" w:ascii="宋体" w:hAnsi="宋体" w:cs="宋体"/>
          <w:color w:val="auto"/>
          <w:sz w:val="22"/>
          <w:szCs w:val="22"/>
          <w:highlight w:val="none"/>
        </w:rPr>
      </w:pPr>
      <w:r>
        <w:rPr>
          <w:rFonts w:hint="eastAsia" w:ascii="宋体" w:hAnsi="宋体" w:cs="宋体"/>
          <w:color w:val="auto"/>
          <w:sz w:val="22"/>
          <w:szCs w:val="22"/>
          <w:highlight w:val="none"/>
        </w:rPr>
        <w:t>3.1  投标文件由资格文件、商务技术文件和报价文件三个部分组成：</w:t>
      </w:r>
    </w:p>
    <w:p>
      <w:pPr>
        <w:pStyle w:val="2"/>
        <w:rPr>
          <w:rFonts w:hint="eastAsia" w:ascii="宋体" w:hAnsi="宋体" w:cs="宋体"/>
          <w:color w:val="auto"/>
          <w:sz w:val="22"/>
          <w:szCs w:val="22"/>
          <w:highlight w:val="none"/>
        </w:rPr>
      </w:pPr>
    </w:p>
    <w:p>
      <w:pPr>
        <w:spacing w:line="4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81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6814"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c>
          <w:tcPr>
            <w:tcW w:w="1820"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360" w:lineRule="auto"/>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投标供应商营业执照（或事业单位法人证书）副本（复印件加盖公章）</w:t>
            </w:r>
          </w:p>
        </w:tc>
        <w:tc>
          <w:tcPr>
            <w:tcW w:w="1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pacing w:line="360" w:lineRule="auto"/>
              <w:rPr>
                <w:rFonts w:hint="eastAsia"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360" w:lineRule="auto"/>
              <w:rPr>
                <w:rFonts w:hint="eastAsia" w:ascii="宋体" w:hAnsi="宋体" w:cs="宋体"/>
                <w:bCs/>
                <w:color w:val="auto"/>
                <w:kern w:val="0"/>
                <w:sz w:val="22"/>
                <w:szCs w:val="22"/>
                <w:highlight w:val="none"/>
              </w:rPr>
            </w:pPr>
            <w:r>
              <w:rPr>
                <w:rFonts w:hint="eastAsia" w:ascii="宋体" w:hAnsi="宋体" w:cs="宋体"/>
                <w:color w:val="auto"/>
                <w:sz w:val="22"/>
                <w:highlight w:val="none"/>
              </w:rPr>
              <w:t xml:space="preserve">资格条件承诺函 </w:t>
            </w:r>
          </w:p>
        </w:tc>
        <w:tc>
          <w:tcPr>
            <w:tcW w:w="1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textAlignment w:val="baseline"/>
              <w:rPr>
                <w:rFonts w:hint="eastAsia" w:ascii="宋体" w:hAnsi="宋体" w:cs="宋体"/>
                <w:color w:val="auto"/>
                <w:sz w:val="22"/>
                <w:highlight w:val="none"/>
              </w:rPr>
            </w:pPr>
            <w:r>
              <w:rPr>
                <w:rFonts w:hint="eastAsia" w:ascii="宋体" w:hAnsi="宋体" w:cs="宋体"/>
                <w:color w:val="auto"/>
                <w:sz w:val="22"/>
                <w:highlight w:val="none"/>
              </w:rPr>
              <w:t>（附件四-3）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新宋体" w:hAnsi="Segoe UI Symbol" w:eastAsia="新宋体" w:cs="新宋体"/>
                <w:color w:val="auto"/>
                <w:kern w:val="0"/>
                <w:sz w:val="22"/>
                <w:szCs w:val="22"/>
                <w:highlight w:val="none"/>
              </w:rPr>
              <w:t>3</w:t>
            </w:r>
          </w:p>
        </w:tc>
        <w:tc>
          <w:tcPr>
            <w:tcW w:w="6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360" w:lineRule="auto"/>
              <w:rPr>
                <w:rFonts w:hint="eastAsia" w:ascii="宋体" w:hAnsi="宋体" w:cs="宋体"/>
                <w:color w:val="auto"/>
                <w:sz w:val="22"/>
                <w:highlight w:val="none"/>
              </w:rPr>
            </w:pPr>
            <w:r>
              <w:rPr>
                <w:rFonts w:hint="eastAsia" w:ascii="宋体" w:hAnsi="宋体"/>
                <w:color w:val="auto"/>
                <w:sz w:val="22"/>
                <w:highlight w:val="none"/>
              </w:rPr>
              <w:t>中小企业证明文件</w:t>
            </w:r>
          </w:p>
        </w:tc>
        <w:tc>
          <w:tcPr>
            <w:tcW w:w="1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olor w:val="auto"/>
                <w:sz w:val="22"/>
                <w:highlight w:val="none"/>
              </w:rPr>
              <w:t>（附件四-4、5）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360" w:lineRule="auto"/>
              <w:rPr>
                <w:rFonts w:hint="eastAsia" w:ascii="宋体" w:hAnsi="宋体" w:cs="宋体"/>
                <w:bCs/>
                <w:color w:val="auto"/>
                <w:kern w:val="0"/>
                <w:sz w:val="22"/>
                <w:szCs w:val="22"/>
                <w:highlight w:val="none"/>
              </w:rPr>
            </w:pPr>
            <w:r>
              <w:rPr>
                <w:rFonts w:hint="eastAsia" w:ascii="宋体" w:hAnsi="宋体" w:cs="宋体"/>
                <w:color w:val="auto"/>
                <w:sz w:val="22"/>
                <w:highlight w:val="none"/>
              </w:rPr>
              <w:t>投标供应商认为需要提供的其他相关资格证明资料</w:t>
            </w:r>
          </w:p>
        </w:tc>
        <w:tc>
          <w:tcPr>
            <w:tcW w:w="1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textAlignment w:val="baseline"/>
              <w:rPr>
                <w:rFonts w:hint="eastAsia" w:ascii="宋体" w:hAnsi="宋体" w:cs="宋体"/>
                <w:bCs/>
                <w:color w:val="auto"/>
                <w:kern w:val="0"/>
                <w:sz w:val="22"/>
                <w:szCs w:val="22"/>
                <w:highlight w:val="none"/>
              </w:rPr>
            </w:pPr>
          </w:p>
        </w:tc>
      </w:tr>
    </w:tbl>
    <w:p>
      <w:pPr>
        <w:spacing w:line="4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83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683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835" w:type="dxa"/>
            <w:shd w:val="clear" w:color="000000" w:fill="FFFFFF"/>
            <w:noWrap w:val="0"/>
            <w:vAlign w:val="center"/>
          </w:tcPr>
          <w:p>
            <w:pPr>
              <w:autoSpaceDE w:val="0"/>
              <w:autoSpaceDN w:val="0"/>
              <w:adjustRightInd w:val="0"/>
              <w:spacing w:line="360" w:lineRule="auto"/>
              <w:jc w:val="left"/>
              <w:rPr>
                <w:rFonts w:hint="eastAsia" w:ascii="宋体" w:hAnsi="宋体" w:cs="宋体"/>
                <w:b/>
                <w:bCs/>
                <w:color w:val="auto"/>
                <w:kern w:val="0"/>
                <w:sz w:val="22"/>
                <w:szCs w:val="22"/>
                <w:highlight w:val="none"/>
                <w:lang w:val="zh-CN"/>
              </w:rPr>
            </w:pPr>
            <w:r>
              <w:rPr>
                <w:rFonts w:hint="eastAsia" w:ascii="宋体" w:hAnsi="宋体" w:cs="宋体"/>
                <w:color w:val="auto"/>
                <w:sz w:val="22"/>
                <w:highlight w:val="none"/>
              </w:rPr>
              <w:t>投标函</w:t>
            </w:r>
          </w:p>
        </w:tc>
        <w:tc>
          <w:tcPr>
            <w:tcW w:w="1806" w:type="dxa"/>
            <w:shd w:val="clear" w:color="000000" w:fill="FFFFFF"/>
            <w:noWrap w:val="0"/>
            <w:vAlign w:val="center"/>
          </w:tcPr>
          <w:p>
            <w:pPr>
              <w:spacing w:line="360" w:lineRule="auto"/>
              <w:jc w:val="center"/>
              <w:textAlignment w:val="baseline"/>
              <w:rPr>
                <w:rFonts w:hint="eastAsia" w:ascii="宋体" w:hAnsi="宋体" w:cs="宋体"/>
                <w:b/>
                <w:bCs/>
                <w:color w:val="auto"/>
                <w:kern w:val="0"/>
                <w:sz w:val="22"/>
                <w:szCs w:val="22"/>
                <w:highlight w:val="none"/>
                <w:lang w:val="zh-CN"/>
              </w:rPr>
            </w:pPr>
            <w:r>
              <w:rPr>
                <w:rFonts w:hint="eastAsia" w:ascii="宋体" w:hAnsi="宋体" w:cs="宋体"/>
                <w:color w:val="auto"/>
                <w:sz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835" w:type="dxa"/>
            <w:shd w:val="clear" w:color="000000" w:fill="FFFFFF"/>
            <w:noWrap w:val="0"/>
            <w:vAlign w:val="center"/>
          </w:tcPr>
          <w:p>
            <w:pPr>
              <w:autoSpaceDE w:val="0"/>
              <w:autoSpaceDN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highlight w:val="none"/>
              </w:rPr>
              <w:t>法定代表人</w:t>
            </w:r>
            <w:r>
              <w:rPr>
                <w:rFonts w:hint="eastAsia" w:ascii="宋体" w:hAnsi="宋体" w:cs="宋体"/>
                <w:color w:val="auto"/>
                <w:sz w:val="22"/>
                <w:szCs w:val="22"/>
                <w:highlight w:val="none"/>
              </w:rPr>
              <w:t>授权书</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sz w:val="22"/>
                <w:highlight w:val="none"/>
              </w:rPr>
            </w:pPr>
            <w:r>
              <w:rPr>
                <w:rFonts w:hint="eastAsia" w:ascii="宋体" w:hAnsi="宋体" w:cs="宋体"/>
                <w:color w:val="auto"/>
                <w:kern w:val="0"/>
                <w:sz w:val="22"/>
                <w:szCs w:val="22"/>
                <w:highlight w:val="none"/>
              </w:rPr>
              <w:t>（附件四-1）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835" w:type="dxa"/>
            <w:shd w:val="clear" w:color="000000" w:fill="FFFFFF"/>
            <w:noWrap w:val="0"/>
            <w:vAlign w:val="center"/>
          </w:tcPr>
          <w:p>
            <w:pPr>
              <w:autoSpaceDE w:val="0"/>
              <w:autoSpaceDN w:val="0"/>
              <w:adjustRightInd w:val="0"/>
              <w:snapToGrid w:val="0"/>
              <w:spacing w:line="360" w:lineRule="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供应商</w:t>
            </w:r>
            <w:r>
              <w:rPr>
                <w:rFonts w:hint="eastAsia" w:ascii="宋体" w:hAnsi="宋体" w:cs="宋体"/>
                <w:color w:val="auto"/>
                <w:sz w:val="22"/>
                <w:highlight w:val="none"/>
              </w:rPr>
              <w:t>基本情况表</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sz w:val="22"/>
                <w:highlight w:val="none"/>
              </w:rPr>
              <w:t>（附件四-2）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835" w:type="dxa"/>
            <w:shd w:val="clear" w:color="000000" w:fill="FFFFFF"/>
            <w:noWrap w:val="0"/>
            <w:vAlign w:val="center"/>
          </w:tcPr>
          <w:p>
            <w:pPr>
              <w:autoSpaceDE w:val="0"/>
              <w:autoSpaceDN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诚信投标承诺书</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（附件十七）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835" w:type="dxa"/>
            <w:shd w:val="clear" w:color="000000" w:fill="FFFFFF"/>
            <w:noWrap w:val="0"/>
            <w:vAlign w:val="center"/>
          </w:tcPr>
          <w:p>
            <w:pPr>
              <w:autoSpaceDE w:val="0"/>
              <w:autoSpaceDN w:val="0"/>
              <w:adjustRightIn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商务条款、技术规格偏离表</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（附件五1、2）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highlight w:val="none"/>
              </w:rPr>
            </w:pPr>
            <w:r>
              <w:rPr>
                <w:rFonts w:hint="eastAsia" w:ascii="宋体" w:hAnsi="宋体" w:cs="宋体"/>
                <w:color w:val="auto"/>
                <w:sz w:val="22"/>
                <w:highlight w:val="none"/>
              </w:rPr>
              <w:t>货物成套供货清单</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highlight w:val="none"/>
              </w:rPr>
            </w:pPr>
            <w:r>
              <w:rPr>
                <w:rFonts w:hint="eastAsia" w:ascii="宋体" w:hAnsi="宋体" w:cs="宋体"/>
                <w:color w:val="auto"/>
                <w:sz w:val="22"/>
                <w:highlight w:val="none"/>
              </w:rPr>
              <w:t>供应商综合实力</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highlight w:val="none"/>
              </w:rPr>
            </w:pPr>
            <w:r>
              <w:rPr>
                <w:rFonts w:hint="eastAsia" w:ascii="宋体" w:hAnsi="宋体" w:cs="宋体"/>
                <w:color w:val="auto"/>
                <w:sz w:val="22"/>
                <w:highlight w:val="none"/>
              </w:rPr>
              <w:t>项目需求理解</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highlight w:val="none"/>
              </w:rPr>
            </w:pPr>
            <w:r>
              <w:rPr>
                <w:rFonts w:hint="eastAsia" w:ascii="宋体" w:hAnsi="宋体" w:cs="宋体"/>
                <w:color w:val="auto"/>
                <w:sz w:val="22"/>
                <w:szCs w:val="22"/>
                <w:highlight w:val="none"/>
              </w:rPr>
              <w:t>功能及服务</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人员投入</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质量保证措施</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应急方案</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000000" w:fill="FFFFFF"/>
            <w:noWrap w:val="0"/>
            <w:vAlign w:val="center"/>
          </w:tcPr>
          <w:p>
            <w:pPr>
              <w:autoSpaceDE w:val="0"/>
              <w:autoSpaceDN w:val="0"/>
              <w:adjustRightInd w:val="0"/>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巡检计划</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培训计划</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6835" w:type="dxa"/>
            <w:shd w:val="clear" w:color="000000" w:fill="FFFFFF"/>
            <w:noWrap w:val="0"/>
            <w:vAlign w:val="center"/>
          </w:tcPr>
          <w:p>
            <w:pPr>
              <w:autoSpaceDE w:val="0"/>
              <w:autoSpaceDN w:val="0"/>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售后服务</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5"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6835" w:type="dxa"/>
            <w:shd w:val="clear" w:color="000000" w:fill="FFFFFF"/>
            <w:noWrap w:val="0"/>
            <w:vAlign w:val="center"/>
          </w:tcPr>
          <w:p>
            <w:pPr>
              <w:autoSpaceDE w:val="0"/>
              <w:autoSpaceDN w:val="0"/>
              <w:adjustRightIn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同类项目业绩一览表</w:t>
            </w:r>
          </w:p>
        </w:tc>
        <w:tc>
          <w:tcPr>
            <w:tcW w:w="1806" w:type="dxa"/>
            <w:shd w:val="clear" w:color="000000" w:fill="FFFFFF"/>
            <w:noWrap w:val="0"/>
            <w:vAlign w:val="center"/>
          </w:tcPr>
          <w:p>
            <w:pPr>
              <w:autoSpaceDE w:val="0"/>
              <w:autoSpaceDN w:val="0"/>
              <w:adjustRightIn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5" w:type="dxa"/>
            <w:shd w:val="clear" w:color="000000" w:fill="FFFFFF"/>
            <w:noWrap w:val="0"/>
            <w:vAlign w:val="center"/>
          </w:tcPr>
          <w:p>
            <w:pPr>
              <w:autoSpaceDE w:val="0"/>
              <w:autoSpaceDN w:val="0"/>
              <w:adjustRightInd w:val="0"/>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6835" w:type="dxa"/>
            <w:shd w:val="clear" w:color="000000" w:fill="FFFFFF"/>
            <w:noWrap w:val="0"/>
            <w:vAlign w:val="center"/>
          </w:tcPr>
          <w:p>
            <w:pPr>
              <w:autoSpaceDE w:val="0"/>
              <w:autoSpaceDN w:val="0"/>
              <w:adjustRightIn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投标供应商认为需要提供的其他相关资料</w:t>
            </w:r>
          </w:p>
        </w:tc>
        <w:tc>
          <w:tcPr>
            <w:tcW w:w="1806"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p>
        </w:tc>
      </w:tr>
    </w:tbl>
    <w:p>
      <w:pPr>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（三）报价文件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9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noWrap w:val="0"/>
            <w:vAlign w:val="center"/>
          </w:tcPr>
          <w:p>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6999" w:type="dxa"/>
            <w:shd w:val="clear" w:color="000000" w:fill="FFFFFF"/>
            <w:noWrap w:val="0"/>
            <w:vAlign w:val="center"/>
          </w:tcPr>
          <w:p>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c>
          <w:tcPr>
            <w:tcW w:w="1650" w:type="dxa"/>
            <w:shd w:val="clear" w:color="000000" w:fill="FFFFFF"/>
            <w:noWrap w:val="0"/>
            <w:vAlign w:val="center"/>
          </w:tcPr>
          <w:p>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noWrap w:val="0"/>
            <w:vAlign w:val="center"/>
          </w:tcPr>
          <w:p>
            <w:pPr>
              <w:autoSpaceDE w:val="0"/>
              <w:autoSpaceDN w:val="0"/>
              <w:adjustRightIn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999" w:type="dxa"/>
            <w:shd w:val="clear" w:color="000000" w:fill="FFFFFF"/>
            <w:noWrap w:val="0"/>
            <w:vAlign w:val="center"/>
          </w:tcPr>
          <w:p>
            <w:pPr>
              <w:autoSpaceDE w:val="0"/>
              <w:autoSpaceDN w:val="0"/>
              <w:adjustRightInd w:val="0"/>
              <w:jc w:val="left"/>
              <w:rPr>
                <w:rFonts w:hint="eastAsia" w:ascii="宋体" w:hAnsi="宋体" w:cs="宋体"/>
                <w:b/>
                <w:bCs/>
                <w:color w:val="auto"/>
                <w:kern w:val="0"/>
                <w:sz w:val="22"/>
                <w:szCs w:val="22"/>
                <w:highlight w:val="none"/>
                <w:lang w:val="zh-CN"/>
              </w:rPr>
            </w:pPr>
            <w:r>
              <w:rPr>
                <w:rFonts w:hint="eastAsia" w:ascii="宋体" w:hAnsi="宋体" w:cs="宋体"/>
                <w:color w:val="auto"/>
                <w:sz w:val="22"/>
                <w:highlight w:val="none"/>
              </w:rPr>
              <w:t xml:space="preserve">报价一览表 </w:t>
            </w:r>
          </w:p>
        </w:tc>
        <w:tc>
          <w:tcPr>
            <w:tcW w:w="1650" w:type="dxa"/>
            <w:shd w:val="clear" w:color="000000" w:fill="FFFFFF"/>
            <w:noWrap w:val="0"/>
            <w:vAlign w:val="center"/>
          </w:tcPr>
          <w:p>
            <w:pPr>
              <w:spacing w:line="360" w:lineRule="auto"/>
              <w:jc w:val="center"/>
              <w:textAlignment w:val="baseline"/>
              <w:rPr>
                <w:rFonts w:hint="eastAsia" w:ascii="宋体" w:hAnsi="宋体" w:cs="宋体"/>
                <w:b/>
                <w:bCs/>
                <w:color w:val="auto"/>
                <w:kern w:val="0"/>
                <w:sz w:val="22"/>
                <w:szCs w:val="22"/>
                <w:highlight w:val="none"/>
                <w:lang w:val="zh-CN"/>
              </w:rPr>
            </w:pPr>
            <w:r>
              <w:rPr>
                <w:rFonts w:hint="eastAsia" w:ascii="宋体" w:hAnsi="宋体" w:cs="宋体"/>
                <w:color w:val="auto"/>
                <w:sz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noWrap w:val="0"/>
            <w:vAlign w:val="center"/>
          </w:tcPr>
          <w:p>
            <w:pPr>
              <w:autoSpaceDE w:val="0"/>
              <w:autoSpaceDN w:val="0"/>
              <w:adjustRightIn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999" w:type="dxa"/>
            <w:shd w:val="clear" w:color="000000" w:fill="FFFFFF"/>
            <w:noWrap w:val="0"/>
            <w:vAlign w:val="center"/>
          </w:tcPr>
          <w:p>
            <w:pPr>
              <w:autoSpaceDE w:val="0"/>
              <w:autoSpaceDN w:val="0"/>
              <w:adjustRightInd w:val="0"/>
              <w:jc w:val="left"/>
              <w:rPr>
                <w:rFonts w:hint="eastAsia" w:ascii="宋体" w:hAnsi="宋体" w:cs="宋体"/>
                <w:color w:val="auto"/>
                <w:sz w:val="22"/>
                <w:highlight w:val="none"/>
              </w:rPr>
            </w:pPr>
            <w:r>
              <w:rPr>
                <w:rFonts w:hint="eastAsia" w:ascii="宋体" w:hAnsi="宋体" w:cs="宋体"/>
                <w:color w:val="auto"/>
                <w:sz w:val="22"/>
                <w:highlight w:val="none"/>
              </w:rPr>
              <w:t xml:space="preserve">分项报价表 </w:t>
            </w:r>
          </w:p>
        </w:tc>
        <w:tc>
          <w:tcPr>
            <w:tcW w:w="1650" w:type="dxa"/>
            <w:shd w:val="clear" w:color="000000" w:fill="FFFFFF"/>
            <w:noWrap w:val="0"/>
            <w:vAlign w:val="center"/>
          </w:tcPr>
          <w:p>
            <w:pPr>
              <w:spacing w:line="360" w:lineRule="auto"/>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（附件三）</w:t>
            </w:r>
          </w:p>
        </w:tc>
      </w:tr>
    </w:tbl>
    <w:p>
      <w:pPr>
        <w:spacing w:line="440" w:lineRule="exact"/>
        <w:ind w:left="33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3.2  投标文件格式</w:t>
      </w:r>
    </w:p>
    <w:p>
      <w:pPr>
        <w:spacing w:line="440" w:lineRule="exact"/>
        <w:ind w:left="525" w:leftChars="25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投标供应商应根据招标文件中所提供的格式，内容按顺序填写并制作投标文件。</w:t>
      </w:r>
      <w:r>
        <w:rPr>
          <w:rFonts w:hint="eastAsia" w:ascii="宋体" w:hAnsi="宋体" w:cs="宋体"/>
          <w:b/>
          <w:color w:val="auto"/>
          <w:sz w:val="22"/>
          <w:szCs w:val="22"/>
          <w:highlight w:val="none"/>
        </w:rPr>
        <w:t>任何未按招标文件要求制作投标文件均可能会导致对其不利的评定，该风险由投标供应商自行承担。</w:t>
      </w:r>
    </w:p>
    <w:p>
      <w:pPr>
        <w:tabs>
          <w:tab w:val="left" w:pos="-180"/>
          <w:tab w:val="left" w:pos="180"/>
          <w:tab w:val="left" w:pos="360"/>
        </w:tabs>
        <w:spacing w:line="440" w:lineRule="exact"/>
        <w:ind w:left="663" w:hanging="663" w:hangingChars="300"/>
        <w:rPr>
          <w:rFonts w:hint="eastAsia" w:ascii="宋体" w:hAnsi="宋体" w:cs="宋体"/>
          <w:color w:val="auto"/>
          <w:sz w:val="22"/>
          <w:szCs w:val="22"/>
          <w:highlight w:val="none"/>
        </w:rPr>
      </w:pPr>
      <w:r>
        <w:rPr>
          <w:rFonts w:hint="eastAsia" w:ascii="宋体" w:hAnsi="宋体" w:cs="宋体"/>
          <w:b/>
          <w:bCs/>
          <w:color w:val="auto"/>
          <w:sz w:val="22"/>
          <w:szCs w:val="22"/>
          <w:highlight w:val="none"/>
        </w:rPr>
        <w:t>4． 投标报价</w:t>
      </w:r>
    </w:p>
    <w:p>
      <w:pPr>
        <w:pStyle w:val="22"/>
        <w:spacing w:line="440" w:lineRule="exact"/>
        <w:ind w:left="534" w:leftChars="4" w:hanging="526" w:hangingChars="238"/>
        <w:rPr>
          <w:rFonts w:hint="eastAsia" w:ascii="宋体" w:hAnsi="宋体" w:cs="宋体"/>
          <w:b/>
          <w:bCs/>
          <w:color w:val="auto"/>
          <w:sz w:val="22"/>
          <w:szCs w:val="22"/>
          <w:highlight w:val="none"/>
          <w:u w:val="single"/>
        </w:rPr>
      </w:pPr>
      <w:r>
        <w:rPr>
          <w:rFonts w:hint="eastAsia" w:ascii="宋体" w:hAnsi="宋体" w:cs="宋体"/>
          <w:b/>
          <w:color w:val="auto"/>
          <w:sz w:val="22"/>
          <w:szCs w:val="22"/>
          <w:highlight w:val="none"/>
        </w:rPr>
        <w:t xml:space="preserve">4.1 </w:t>
      </w:r>
      <w:r>
        <w:rPr>
          <w:rFonts w:hint="eastAsia" w:ascii="宋体" w:hAnsi="宋体" w:cs="宋体"/>
          <w:b/>
          <w:bCs/>
          <w:color w:val="auto"/>
          <w:sz w:val="22"/>
          <w:szCs w:val="22"/>
          <w:highlight w:val="none"/>
          <w:u w:val="single"/>
        </w:rPr>
        <w:t>投标报价是指</w:t>
      </w:r>
      <w:r>
        <w:rPr>
          <w:rFonts w:hint="eastAsia" w:ascii="宋体" w:hAnsi="宋体" w:cs="宋体"/>
          <w:b/>
          <w:color w:val="auto"/>
          <w:sz w:val="22"/>
          <w:szCs w:val="22"/>
          <w:highlight w:val="none"/>
          <w:u w:val="single"/>
        </w:rPr>
        <w:t>本供应商为完成本次采购要求及完成技术标中所载明的设备费、软件费、系统集成、运输、安装、调试、人工费、利润、验收费、采购代理服务费、税金等完成合同所需的一切本身和不可或缺的所有工作开支、政策性文件规定及合同包含的所有风险、责任等各项全部费用，投标供应商应根据上述因素自行考虑含入投标报价</w:t>
      </w:r>
      <w:r>
        <w:rPr>
          <w:rFonts w:hint="eastAsia" w:ascii="宋体" w:hAnsi="宋体" w:cs="宋体"/>
          <w:b/>
          <w:bCs/>
          <w:color w:val="auto"/>
          <w:sz w:val="22"/>
          <w:szCs w:val="22"/>
          <w:highlight w:val="none"/>
          <w:u w:val="single"/>
        </w:rPr>
        <w:t>。</w:t>
      </w:r>
    </w:p>
    <w:p>
      <w:pPr>
        <w:pStyle w:val="19"/>
        <w:tabs>
          <w:tab w:val="left" w:pos="0"/>
          <w:tab w:val="left" w:pos="540"/>
        </w:tabs>
        <w:spacing w:line="440" w:lineRule="exact"/>
        <w:ind w:left="539" w:hanging="539" w:hangingChars="245"/>
        <w:rPr>
          <w:rFonts w:hint="eastAsia" w:hAnsi="宋体" w:cs="宋体"/>
          <w:color w:val="auto"/>
          <w:kern w:val="2"/>
          <w:sz w:val="22"/>
          <w:szCs w:val="22"/>
          <w:highlight w:val="none"/>
        </w:rPr>
      </w:pPr>
      <w:r>
        <w:rPr>
          <w:rFonts w:hint="eastAsia" w:hAnsi="宋体" w:cs="宋体"/>
          <w:color w:val="auto"/>
          <w:sz w:val="22"/>
          <w:szCs w:val="22"/>
          <w:highlight w:val="none"/>
        </w:rPr>
        <w:t xml:space="preserve">4.2 </w:t>
      </w:r>
      <w:r>
        <w:rPr>
          <w:rFonts w:hint="eastAsia" w:hAnsi="宋体" w:cs="宋体"/>
          <w:color w:val="auto"/>
          <w:kern w:val="2"/>
          <w:sz w:val="22"/>
          <w:szCs w:val="22"/>
          <w:highlight w:val="none"/>
        </w:rPr>
        <w:t xml:space="preserve"> </w:t>
      </w:r>
      <w:r>
        <w:rPr>
          <w:rFonts w:hint="eastAsia" w:hAnsi="宋体" w:cs="宋体"/>
          <w:color w:val="auto"/>
          <w:kern w:val="2"/>
          <w:sz w:val="22"/>
          <w:szCs w:val="22"/>
          <w:highlight w:val="none"/>
          <w:u w:val="single"/>
        </w:rPr>
        <w:t>投标供应商必须按第三部分附件中的投标一览表、投标分项报价表（均统一格式）内容填写单价、合价和总价，并由法定代表人或授权代表签署。</w:t>
      </w:r>
    </w:p>
    <w:p>
      <w:pPr>
        <w:tabs>
          <w:tab w:val="left" w:pos="-180"/>
          <w:tab w:val="left" w:pos="180"/>
          <w:tab w:val="left" w:pos="360"/>
        </w:tabs>
        <w:spacing w:line="440" w:lineRule="exact"/>
        <w:ind w:left="539" w:hanging="539" w:hangingChars="24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4.3  本次投标均以人民币报价。</w:t>
      </w:r>
    </w:p>
    <w:p>
      <w:pPr>
        <w:tabs>
          <w:tab w:val="left" w:pos="-180"/>
          <w:tab w:val="left" w:pos="180"/>
          <w:tab w:val="left" w:pos="360"/>
        </w:tabs>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4.4  </w:t>
      </w:r>
      <w:r>
        <w:rPr>
          <w:rFonts w:hint="eastAsia" w:ascii="宋体" w:hAnsi="宋体" w:cs="宋体"/>
          <w:color w:val="auto"/>
          <w:sz w:val="22"/>
          <w:szCs w:val="22"/>
          <w:highlight w:val="none"/>
          <w:u w:val="single"/>
        </w:rPr>
        <w:t>▲招标采购单位不接受任何选择报价，对任何货物或服务只允许一个报价。</w:t>
      </w:r>
    </w:p>
    <w:p>
      <w:pPr>
        <w:tabs>
          <w:tab w:val="left" w:pos="-180"/>
          <w:tab w:val="left" w:pos="180"/>
          <w:tab w:val="left" w:pos="360"/>
        </w:tabs>
        <w:spacing w:line="440" w:lineRule="exact"/>
        <w:ind w:left="539" w:hanging="539" w:hangingChars="245"/>
        <w:rPr>
          <w:rFonts w:hint="eastAsia" w:ascii="宋体" w:hAnsi="宋体" w:cs="宋体"/>
          <w:color w:val="auto"/>
          <w:sz w:val="22"/>
          <w:szCs w:val="22"/>
          <w:highlight w:val="none"/>
        </w:rPr>
      </w:pPr>
      <w:r>
        <w:rPr>
          <w:rFonts w:hint="eastAsia" w:ascii="宋体" w:hAnsi="宋体" w:cs="宋体"/>
          <w:color w:val="auto"/>
          <w:sz w:val="22"/>
          <w:szCs w:val="22"/>
          <w:highlight w:val="none"/>
        </w:rPr>
        <w:t>4.5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39" w:leftChars="-6"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4.6  投标价报出后，投标供应商不得以任何理由予以变更。任何包含价格调整的要求，将被认为是非实质性响应投标而予以拒绝。</w:t>
      </w:r>
    </w:p>
    <w:p>
      <w:pPr>
        <w:tabs>
          <w:tab w:val="left" w:pos="-180"/>
          <w:tab w:val="left" w:pos="180"/>
          <w:tab w:val="left" w:pos="360"/>
        </w:tabs>
        <w:spacing w:line="440" w:lineRule="exact"/>
        <w:ind w:left="663" w:hanging="663" w:hangingChars="300"/>
        <w:rPr>
          <w:rFonts w:hint="eastAsia" w:ascii="宋体" w:hAnsi="宋体" w:cs="宋体"/>
          <w:color w:val="auto"/>
          <w:sz w:val="22"/>
          <w:szCs w:val="22"/>
          <w:highlight w:val="none"/>
        </w:rPr>
      </w:pPr>
      <w:r>
        <w:rPr>
          <w:rFonts w:hint="eastAsia" w:ascii="宋体" w:hAnsi="宋体" w:cs="宋体"/>
          <w:b/>
          <w:color w:val="auto"/>
          <w:sz w:val="22"/>
          <w:szCs w:val="22"/>
          <w:highlight w:val="none"/>
        </w:rPr>
        <w:t>4.7  最低报价不能作为中标的保证。</w:t>
      </w:r>
    </w:p>
    <w:p>
      <w:pPr>
        <w:spacing w:line="440" w:lineRule="exact"/>
        <w:ind w:left="647" w:leftChars="20" w:hanging="605" w:hangingChars="274"/>
        <w:rPr>
          <w:rFonts w:hint="eastAsia" w:ascii="宋体" w:hAnsi="宋体" w:cs="宋体"/>
          <w:color w:val="auto"/>
          <w:sz w:val="22"/>
          <w:szCs w:val="22"/>
          <w:highlight w:val="none"/>
        </w:rPr>
      </w:pPr>
      <w:r>
        <w:rPr>
          <w:rFonts w:hint="eastAsia" w:ascii="宋体" w:hAnsi="宋体" w:cs="宋体"/>
          <w:b/>
          <w:bCs/>
          <w:color w:val="auto"/>
          <w:sz w:val="22"/>
          <w:szCs w:val="22"/>
          <w:highlight w:val="none"/>
        </w:rPr>
        <w:t>5．  投标有效期</w:t>
      </w:r>
    </w:p>
    <w:p>
      <w:pPr>
        <w:spacing w:line="440" w:lineRule="exact"/>
        <w:ind w:left="663" w:hanging="663" w:hangingChars="3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 xml:space="preserve">5.1  </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天内投标应保持有效。</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5.2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pPr>
        <w:spacing w:line="420" w:lineRule="exact"/>
        <w:ind w:left="565" w:leftChars="3" w:hanging="559" w:hangingChars="241"/>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5.3 在投标有效期内，投标供应商不能撤销投标文件，强行撤销投标文件的，应按预算（或最高限价）金额的2%赔偿对采购代理机构及采购人造成的损失。</w:t>
      </w:r>
    </w:p>
    <w:p>
      <w:pPr>
        <w:spacing w:line="440" w:lineRule="exact"/>
        <w:ind w:left="663" w:hanging="663" w:hangingChars="3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投标文件的编制</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6.1 本项目通过“政府采购云平台（www.zcygov.cn）” 实行在线投标响应（即电子投标）。投标供应商应通过“政采云电子交易客户端”，并按照本招标文件和“政府采购云平台”的要求编制并加密投标文件。供应商未按规定加密的投标文件，“政府采购云平台”将予以拒收。</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6.2  投标供应商应当按照本章节“投标文件组成”规定的内容及顺序在“政采云电子交易客户端”编制投标文件。其中资格文件和商务技术文件中不得出现本项目投标报价，如因投标供应商原因提前泄露投标报价，自行承担责任。</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6.3  招标文件“第三部分 附件”中有提供格式的，投标供应商须参照格式进行编制（格式中要求提供相关证明材料的还需后附相关证明材料），并按格式要求在指定位置进行签章，否则视为未提供；招标文件“第三部分 附件”未提供格式的，请各投标单位自行拟定格式，并加盖单位公章（或CA电子公章）以及投标供应商代表签字，否则视为未提供。</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6.4  </w:t>
      </w:r>
      <w:r>
        <w:rPr>
          <w:rFonts w:hint="eastAsia" w:ascii="宋体" w:hAnsi="宋体" w:cs="宋体"/>
          <w:color w:val="auto"/>
          <w:sz w:val="22"/>
          <w:szCs w:val="22"/>
          <w:highlight w:val="none"/>
          <w:u w:val="single"/>
        </w:rPr>
        <w:t>在电子投标文件制作过程中投标文件编制内容不完整、编排混乱，未编有目录链接，或没有做好系统中每一评分项与投标文件对应内容关联的，导致投标文件被误读、漏读或者查找不到相关内容的，是投标供应商的责任，后果由投标供应商负责。</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6.5  投标文件字迹模糊、潦草或表述不清所引起的后果由投标供应商负责。</w:t>
      </w:r>
    </w:p>
    <w:p>
      <w:pPr>
        <w:tabs>
          <w:tab w:val="left" w:pos="540"/>
        </w:tabs>
        <w:overflowPunct w:val="0"/>
        <w:snapToGrid w:val="0"/>
        <w:spacing w:line="400" w:lineRule="exact"/>
        <w:ind w:left="565" w:hanging="565" w:hangingChars="257"/>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6.6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pPr>
        <w:spacing w:line="440" w:lineRule="exact"/>
        <w:ind w:left="523" w:leftChars="3" w:hanging="517" w:hangingChars="23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6.7  </w:t>
      </w:r>
      <w:r>
        <w:rPr>
          <w:rFonts w:hint="eastAsia" w:ascii="宋体" w:hAnsi="宋体" w:cs="宋体"/>
          <w:color w:val="auto"/>
          <w:kern w:val="0"/>
          <w:sz w:val="22"/>
          <w:highlight w:val="none"/>
          <w:u w:val="single"/>
        </w:rPr>
        <w:t>本招标文件里“评分内容”中要求提供的各种证书、证件、证明资料须原件备查，即投标供应商在投标时不需要提供原件，如采购人、采购代理机构或评委会在后续环节中需要对相关资料原件进行真实性核查时，则投标供应商必须按要求提交相关原件及其他要求提供的辅助证明材料，如供应商不能按要求提供相关原件及其他要求提供的辅助证明材料以证明其资料真实性的，采购人及采购代理机构将做出对其不利的认定（包括取消其投标或中标资格），后果由</w:t>
      </w:r>
      <w:r>
        <w:rPr>
          <w:rFonts w:hint="eastAsia" w:ascii="宋体" w:hAnsi="宋体" w:cs="宋体"/>
          <w:color w:val="auto"/>
          <w:sz w:val="22"/>
          <w:highlight w:val="none"/>
          <w:u w:val="single"/>
        </w:rPr>
        <w:t>投标供应商负责。</w:t>
      </w:r>
    </w:p>
    <w:p>
      <w:pPr>
        <w:spacing w:line="440" w:lineRule="exact"/>
        <w:ind w:left="525" w:leftChars="3" w:hanging="519" w:hangingChars="235"/>
        <w:rPr>
          <w:rFonts w:hint="eastAsia" w:ascii="宋体" w:hAnsi="宋体" w:cs="宋体"/>
          <w:b/>
          <w:color w:val="auto"/>
          <w:sz w:val="22"/>
          <w:szCs w:val="22"/>
          <w:highlight w:val="none"/>
        </w:rPr>
      </w:pPr>
      <w:r>
        <w:rPr>
          <w:rFonts w:hint="eastAsia" w:ascii="宋体" w:hAnsi="宋体" w:cs="宋体"/>
          <w:b/>
          <w:color w:val="auto"/>
          <w:sz w:val="22"/>
          <w:szCs w:val="22"/>
          <w:highlight w:val="none"/>
        </w:rPr>
        <w:t>7.  投标文件的签章</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7.1投标文件封面和内部有要求盖章或签字的地方应加盖投标供应商的单位公章（或CA电子公章，两者具有同等效力，下同）以及投标供应商代表签字。电子签章操作指南详见采购公告附件《供应商项目采购-电子招投标操作指南》。</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7.2 投标文件不得涂改，若有修改错漏处，须加盖单位公章（或CA电子公章）或者投标供应商代表签字。</w:t>
      </w:r>
    </w:p>
    <w:p>
      <w:pPr>
        <w:spacing w:line="440" w:lineRule="exact"/>
        <w:ind w:left="525" w:leftChars="3" w:hanging="519" w:hangingChars="235"/>
        <w:rPr>
          <w:rFonts w:hint="eastAsia" w:ascii="宋体" w:hAnsi="宋体" w:cs="宋体"/>
          <w:b/>
          <w:color w:val="auto"/>
          <w:sz w:val="22"/>
          <w:szCs w:val="22"/>
          <w:highlight w:val="none"/>
        </w:rPr>
      </w:pPr>
      <w:r>
        <w:rPr>
          <w:rFonts w:hint="eastAsia" w:ascii="宋体" w:hAnsi="宋体" w:cs="宋体"/>
          <w:b/>
          <w:color w:val="auto"/>
          <w:sz w:val="22"/>
          <w:szCs w:val="22"/>
          <w:highlight w:val="none"/>
        </w:rPr>
        <w:t>8.  投标文件的形式</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8.1投标文件的形式：电子投标文件包括“电子加密投标文件”和“备份投标文件”，在投标文件编制完成后同时生成。其中备份投标文件不作为强制要求提供。</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8.2 电子加密投标文件：电子加密投标文件是指通过“政采云电子交易客户端”完成投标文件编制后生成并加密的数据电文形式的投标文件。</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8.3 备份投标文件：备份投标文件是指与电子加密投标文件同时生成的数据电文形式的电子文件（备份标书），其他方式编制的备份投标文件视为无效的备份投标文件。</w:t>
      </w:r>
    </w:p>
    <w:p>
      <w:pPr>
        <w:spacing w:line="440" w:lineRule="exact"/>
        <w:ind w:left="525" w:leftChars="3" w:hanging="519" w:hangingChars="235"/>
        <w:rPr>
          <w:rFonts w:hint="eastAsia" w:ascii="宋体" w:hAnsi="宋体" w:cs="宋体"/>
          <w:b/>
          <w:color w:val="auto"/>
          <w:sz w:val="22"/>
          <w:szCs w:val="22"/>
          <w:highlight w:val="none"/>
        </w:rPr>
      </w:pPr>
      <w:r>
        <w:rPr>
          <w:rFonts w:hint="eastAsia" w:ascii="宋体" w:hAnsi="宋体" w:cs="宋体"/>
          <w:b/>
          <w:color w:val="auto"/>
          <w:sz w:val="22"/>
          <w:szCs w:val="22"/>
          <w:highlight w:val="none"/>
        </w:rPr>
        <w:t>9.  投标文件的份数</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9.1 电子加密投标文件：一份，在线上传递交。</w:t>
      </w:r>
    </w:p>
    <w:p>
      <w:pPr>
        <w:spacing w:line="440" w:lineRule="exact"/>
        <w:ind w:left="424" w:leftChars="3" w:hanging="418" w:hangingChars="190"/>
        <w:rPr>
          <w:rFonts w:hint="eastAsia" w:ascii="宋体" w:hAnsi="宋体" w:cs="宋体"/>
          <w:color w:val="auto"/>
          <w:sz w:val="22"/>
          <w:szCs w:val="22"/>
          <w:highlight w:val="none"/>
        </w:rPr>
      </w:pPr>
      <w:r>
        <w:rPr>
          <w:rFonts w:hint="eastAsia" w:ascii="宋体" w:hAnsi="宋体" w:cs="宋体"/>
          <w:color w:val="auto"/>
          <w:sz w:val="22"/>
          <w:szCs w:val="22"/>
          <w:highlight w:val="none"/>
        </w:rPr>
        <w:t>9.2 备份投标文件：一份，以介质（</w:t>
      </w:r>
      <w:r>
        <w:rPr>
          <w:rFonts w:hint="eastAsia" w:ascii="宋体" w:hAnsi="宋体" w:cs="宋体"/>
          <w:bCs/>
          <w:color w:val="auto"/>
          <w:sz w:val="22"/>
          <w:szCs w:val="22"/>
          <w:highlight w:val="none"/>
        </w:rPr>
        <w:t>U盘</w:t>
      </w:r>
      <w:r>
        <w:rPr>
          <w:rFonts w:hint="eastAsia" w:ascii="宋体" w:hAnsi="宋体" w:cs="宋体"/>
          <w:color w:val="auto"/>
          <w:sz w:val="22"/>
          <w:szCs w:val="22"/>
          <w:highlight w:val="none"/>
        </w:rPr>
        <w:t>）存储形式通过现场方式或邮寄（EMS、顺丰）方式递交采购代理机构。</w:t>
      </w:r>
    </w:p>
    <w:p>
      <w:pPr>
        <w:spacing w:line="440" w:lineRule="exact"/>
        <w:ind w:left="525" w:leftChars="3" w:hanging="519" w:hangingChars="235"/>
        <w:rPr>
          <w:rFonts w:hint="eastAsia" w:ascii="宋体" w:hAnsi="宋体" w:cs="宋体"/>
          <w:b/>
          <w:color w:val="auto"/>
          <w:sz w:val="22"/>
          <w:szCs w:val="22"/>
          <w:highlight w:val="none"/>
        </w:rPr>
      </w:pPr>
      <w:r>
        <w:rPr>
          <w:rFonts w:hint="eastAsia" w:ascii="宋体" w:hAnsi="宋体" w:cs="宋体"/>
          <w:b/>
          <w:color w:val="auto"/>
          <w:sz w:val="22"/>
          <w:szCs w:val="22"/>
          <w:highlight w:val="none"/>
        </w:rPr>
        <w:t>10. 投标文件的效力</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10.1投标文件的启用，按先后顺位分别为电子加密投标文件、备份投标文件。供应商不上传或提供电子加密投标文件的，投标无效。</w:t>
      </w:r>
    </w:p>
    <w:p>
      <w:pPr>
        <w:spacing w:line="440" w:lineRule="exact"/>
        <w:ind w:left="523" w:leftChars="3" w:hanging="517" w:hangingChars="235"/>
        <w:rPr>
          <w:rFonts w:hint="eastAsia" w:ascii="宋体" w:hAnsi="宋体" w:cs="宋体"/>
          <w:color w:val="auto"/>
          <w:sz w:val="22"/>
          <w:szCs w:val="22"/>
          <w:highlight w:val="none"/>
        </w:rPr>
      </w:pPr>
      <w:r>
        <w:rPr>
          <w:rFonts w:hint="eastAsia" w:ascii="宋体" w:hAnsi="宋体" w:cs="宋体"/>
          <w:color w:val="auto"/>
          <w:sz w:val="22"/>
          <w:szCs w:val="22"/>
          <w:highlight w:val="none"/>
        </w:rPr>
        <w:t>10.2电子加密投标文件与备份投标文件的内容应完全一致。如因电子加密投标文件解密异常，才能启用备份投标文件，备份投标文件一旦启用，则电子加密投标文件即为失效。</w:t>
      </w:r>
    </w:p>
    <w:p>
      <w:pPr>
        <w:pStyle w:val="4"/>
        <w:spacing w:line="500" w:lineRule="exact"/>
        <w:jc w:val="center"/>
        <w:rPr>
          <w:rFonts w:hint="eastAsia" w:ascii="宋体" w:hAnsi="宋体" w:eastAsia="宋体" w:cs="宋体"/>
          <w:color w:val="auto"/>
          <w:sz w:val="24"/>
          <w:szCs w:val="24"/>
          <w:highlight w:val="none"/>
        </w:rPr>
      </w:pPr>
      <w:bookmarkStart w:id="20" w:name="_Toc33287506"/>
      <w:bookmarkStart w:id="21" w:name="_Toc35974567"/>
      <w:bookmarkStart w:id="22" w:name="_Toc34949231"/>
      <w:bookmarkStart w:id="23" w:name="_Toc66274191"/>
      <w:bookmarkStart w:id="24" w:name="_Toc10801"/>
      <w:bookmarkStart w:id="25" w:name="_Toc35189569"/>
      <w:bookmarkStart w:id="26" w:name="_Toc35186948"/>
      <w:bookmarkStart w:id="27" w:name="_Toc22301"/>
      <w:r>
        <w:rPr>
          <w:rFonts w:hint="eastAsia" w:ascii="宋体" w:hAnsi="宋体" w:eastAsia="宋体" w:cs="宋体"/>
          <w:color w:val="auto"/>
          <w:sz w:val="24"/>
          <w:szCs w:val="24"/>
          <w:highlight w:val="none"/>
        </w:rPr>
        <w:t>四、 投</w:t>
      </w:r>
      <w:bookmarkEnd w:id="20"/>
      <w:r>
        <w:rPr>
          <w:rFonts w:hint="eastAsia" w:ascii="宋体" w:hAnsi="宋体" w:eastAsia="宋体" w:cs="宋体"/>
          <w:color w:val="auto"/>
          <w:sz w:val="24"/>
          <w:szCs w:val="24"/>
          <w:highlight w:val="none"/>
        </w:rPr>
        <w:t>标</w:t>
      </w:r>
      <w:bookmarkEnd w:id="21"/>
      <w:bookmarkEnd w:id="22"/>
      <w:bookmarkEnd w:id="23"/>
      <w:bookmarkEnd w:id="24"/>
      <w:bookmarkEnd w:id="25"/>
      <w:bookmarkEnd w:id="26"/>
      <w:bookmarkEnd w:id="27"/>
    </w:p>
    <w:p>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电子加密投标文件的上传、递交</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投标供应商应在投标截止时间前将电子加密投标文件成功上传递交至“政府采购云平台”，</w:t>
      </w:r>
      <w:r>
        <w:rPr>
          <w:rFonts w:hint="eastAsia" w:ascii="宋体" w:hAnsi="宋体" w:cs="宋体"/>
          <w:color w:val="auto"/>
          <w:sz w:val="22"/>
          <w:szCs w:val="22"/>
          <w:highlight w:val="none"/>
        </w:rPr>
        <w:t>在投标截止时间后上传提交投标文件的，将被政采云平台拒绝，</w:t>
      </w:r>
      <w:r>
        <w:rPr>
          <w:rFonts w:hint="eastAsia" w:ascii="宋体" w:hAnsi="宋体" w:cs="宋体"/>
          <w:bCs/>
          <w:color w:val="auto"/>
          <w:sz w:val="22"/>
          <w:szCs w:val="22"/>
          <w:highlight w:val="none"/>
        </w:rPr>
        <w:t>投标无效</w:t>
      </w:r>
      <w:r>
        <w:rPr>
          <w:rFonts w:hint="eastAsia" w:ascii="宋体" w:hAnsi="宋体" w:cs="宋体"/>
          <w:color w:val="auto"/>
          <w:sz w:val="22"/>
          <w:szCs w:val="22"/>
          <w:highlight w:val="none"/>
        </w:rPr>
        <w:t>。</w:t>
      </w:r>
    </w:p>
    <w:p>
      <w:pPr>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1.2 电子加密投标文件成功上传递交后，供应商可自行打印投标文件接收回执。</w:t>
      </w:r>
    </w:p>
    <w:p>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  备份投标文件的密封、递交</w:t>
      </w:r>
    </w:p>
    <w:p>
      <w:pPr>
        <w:spacing w:line="440" w:lineRule="exact"/>
        <w:ind w:left="424" w:leftChars="3" w:hanging="418" w:hangingChars="19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2.1 </w:t>
      </w:r>
      <w:r>
        <w:rPr>
          <w:rFonts w:hint="eastAsia" w:ascii="宋体" w:hAnsi="宋体" w:cs="宋体"/>
          <w:b/>
          <w:bCs/>
          <w:color w:val="auto"/>
          <w:sz w:val="22"/>
          <w:szCs w:val="22"/>
          <w:highlight w:val="none"/>
        </w:rPr>
        <w:t>备份投标文件的密封及标记</w:t>
      </w:r>
    </w:p>
    <w:p>
      <w:pPr>
        <w:spacing w:line="420" w:lineRule="exact"/>
        <w:ind w:left="420" w:left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备份投标文件应当包装密封，封口处贴上封条，启封处加盖投标供应商法人公章并由法定代表人或授权代表签字，并在封皮上标注投标项目名称、编号、投标供应商名称、地址、联系人、联系电话、邮政编码，注明“备份投标文件”字样。如果未按上述要求密封及标记，招标采购单位对备份投标文件的误投和提前启封不负责任。</w:t>
      </w:r>
    </w:p>
    <w:p>
      <w:pPr>
        <w:spacing w:line="440" w:lineRule="exact"/>
        <w:ind w:left="424" w:leftChars="3" w:hanging="418" w:hanging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2.2 </w:t>
      </w:r>
      <w:r>
        <w:rPr>
          <w:rFonts w:hint="eastAsia" w:ascii="宋体" w:hAnsi="宋体" w:cs="宋体"/>
          <w:b/>
          <w:bCs/>
          <w:color w:val="auto"/>
          <w:sz w:val="22"/>
          <w:szCs w:val="22"/>
          <w:highlight w:val="none"/>
        </w:rPr>
        <w:t>备份投标文件的递交</w:t>
      </w:r>
    </w:p>
    <w:p>
      <w:pPr>
        <w:spacing w:line="440" w:lineRule="exact"/>
        <w:ind w:left="565" w:hanging="565" w:hangingChars="257"/>
        <w:rPr>
          <w:rFonts w:hint="eastAsia" w:ascii="宋体" w:hAnsi="宋体" w:cs="宋体"/>
          <w:color w:val="auto"/>
          <w:sz w:val="22"/>
          <w:szCs w:val="22"/>
          <w:highlight w:val="none"/>
        </w:rPr>
      </w:pPr>
      <w:r>
        <w:rPr>
          <w:rFonts w:hint="eastAsia" w:ascii="宋体" w:hAnsi="宋体" w:cs="宋体"/>
          <w:bCs/>
          <w:color w:val="auto"/>
          <w:sz w:val="22"/>
          <w:szCs w:val="22"/>
          <w:highlight w:val="none"/>
        </w:rPr>
        <w:t>（1）投标供应商在“政府采购云平台”完成电子加密投标文件的上传递交同时，还可以在</w:t>
      </w:r>
      <w:r>
        <w:rPr>
          <w:rFonts w:hint="eastAsia" w:ascii="宋体" w:hAnsi="宋体" w:cs="宋体"/>
          <w:color w:val="auto"/>
          <w:sz w:val="22"/>
          <w:szCs w:val="22"/>
          <w:highlight w:val="none"/>
        </w:rPr>
        <w:t>投标截止前一日以现场方式（评标地点）或邮寄（通过EMS、顺丰寄至邮寄地址）方式</w:t>
      </w:r>
      <w:r>
        <w:rPr>
          <w:rFonts w:hint="eastAsia" w:ascii="宋体" w:hAnsi="宋体" w:cs="宋体"/>
          <w:bCs/>
          <w:color w:val="auto"/>
          <w:sz w:val="22"/>
          <w:szCs w:val="22"/>
          <w:highlight w:val="none"/>
        </w:rPr>
        <w:t>递交以介质（U盘）存储的备份投标文件</w:t>
      </w:r>
      <w:r>
        <w:rPr>
          <w:rFonts w:hint="eastAsia" w:ascii="宋体" w:hAnsi="宋体" w:cs="宋体"/>
          <w:color w:val="auto"/>
          <w:sz w:val="22"/>
          <w:szCs w:val="22"/>
          <w:highlight w:val="none"/>
        </w:rPr>
        <w:t>。</w:t>
      </w:r>
    </w:p>
    <w:p>
      <w:pPr>
        <w:spacing w:line="440" w:lineRule="exact"/>
        <w:ind w:left="565" w:hanging="565" w:hangingChars="257"/>
        <w:rPr>
          <w:rFonts w:hint="eastAsia" w:ascii="宋体" w:hAnsi="宋体" w:cs="宋体"/>
          <w:color w:val="auto"/>
          <w:sz w:val="22"/>
          <w:szCs w:val="22"/>
          <w:highlight w:val="none"/>
        </w:rPr>
      </w:pPr>
      <w:r>
        <w:rPr>
          <w:rFonts w:hint="eastAsia" w:ascii="宋体" w:hAnsi="宋体" w:cs="宋体"/>
          <w:bCs/>
          <w:color w:val="auto"/>
          <w:sz w:val="22"/>
          <w:szCs w:val="22"/>
          <w:highlight w:val="none"/>
        </w:rPr>
        <w:t>（2）</w:t>
      </w:r>
      <w:r>
        <w:rPr>
          <w:rFonts w:hint="eastAsia" w:ascii="宋体" w:hAnsi="宋体" w:cs="宋体"/>
          <w:color w:val="auto"/>
          <w:sz w:val="22"/>
          <w:szCs w:val="22"/>
          <w:highlight w:val="none"/>
        </w:rPr>
        <w:t>采购代理机构工作人员将做好备份投标文件的签收手续，明确备份投标文件的提交时间、份数、提交人等信息。没有密封包装或者逾期送达至指定地点的备份投标文件将不予接收。因密封不严、标记不明而造成过早启封、失密等情况，采购代理机构概不负责。</w:t>
      </w:r>
    </w:p>
    <w:p>
      <w:pPr>
        <w:spacing w:line="440" w:lineRule="exact"/>
        <w:ind w:left="565" w:hanging="565" w:hangingChars="257"/>
        <w:rPr>
          <w:rFonts w:hint="eastAsia" w:ascii="宋体" w:hAnsi="宋体" w:cs="宋体"/>
          <w:bCs/>
          <w:color w:val="auto"/>
          <w:sz w:val="22"/>
          <w:szCs w:val="22"/>
          <w:highlight w:val="none"/>
        </w:rPr>
      </w:pPr>
      <w:r>
        <w:rPr>
          <w:rFonts w:hint="eastAsia" w:ascii="宋体" w:hAnsi="宋体" w:cs="宋体"/>
          <w:color w:val="auto"/>
          <w:sz w:val="22"/>
          <w:szCs w:val="22"/>
          <w:highlight w:val="none"/>
        </w:rPr>
        <w:t>（3）采用EMS、顺丰邮寄递交备份投标文件的，应充分考虑邮寄时间，送达时间不迟于投标截止前一日17点整，具体以采购代理代理机构工作人员签收时间为准，并自行承</w:t>
      </w:r>
      <w:r>
        <w:rPr>
          <w:rFonts w:hint="eastAsia" w:ascii="宋体" w:hAnsi="宋体" w:cs="宋体"/>
          <w:color w:val="auto"/>
          <w:kern w:val="0"/>
          <w:sz w:val="22"/>
          <w:szCs w:val="22"/>
          <w:highlight w:val="none"/>
        </w:rPr>
        <w:t>担邮寄过程中可能发生的时间延误、密封破损等一切风险和责任。寄出前应对</w:t>
      </w:r>
      <w:r>
        <w:rPr>
          <w:rFonts w:hint="eastAsia" w:ascii="宋体" w:hAnsi="宋体" w:cs="宋体"/>
          <w:color w:val="auto"/>
          <w:sz w:val="22"/>
          <w:szCs w:val="22"/>
          <w:highlight w:val="none"/>
        </w:rPr>
        <w:t>包装的</w:t>
      </w:r>
      <w:r>
        <w:rPr>
          <w:rFonts w:hint="eastAsia" w:ascii="宋体" w:hAnsi="宋体" w:cs="宋体"/>
          <w:color w:val="auto"/>
          <w:kern w:val="0"/>
          <w:sz w:val="22"/>
          <w:szCs w:val="22"/>
          <w:highlight w:val="none"/>
        </w:rPr>
        <w:t>密封情况进行拍照，寄出后将相关邮寄信息及照片发送至代理机构邮箱，告知代理机构邮件接收人并做好邮件密封核对工作。邮寄地址：温州市鹿城区隔岸路68号2楼；邮件接收人：金先生；联系电话：0577-88521066；邮箱：</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"mailto:155400207@qq.com；邮编：325000" </w:instrText>
      </w:r>
      <w:r>
        <w:rPr>
          <w:rFonts w:hint="eastAsia" w:ascii="宋体" w:hAnsi="宋体" w:cs="宋体"/>
          <w:color w:val="auto"/>
          <w:kern w:val="0"/>
          <w:sz w:val="22"/>
          <w:szCs w:val="22"/>
          <w:highlight w:val="none"/>
        </w:rPr>
        <w:fldChar w:fldCharType="separate"/>
      </w:r>
      <w:r>
        <w:rPr>
          <w:rStyle w:val="46"/>
          <w:rFonts w:hint="eastAsia" w:ascii="宋体" w:hAnsi="宋体" w:cs="宋体"/>
          <w:color w:val="auto"/>
          <w:kern w:val="0"/>
          <w:sz w:val="22"/>
          <w:szCs w:val="22"/>
          <w:highlight w:val="none"/>
        </w:rPr>
        <w:t>358801740@qq.com；邮编：325000</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2.3 通过“政府采购云平台”成功上传递交的电子加密投标文件已按时解密的，备份投标文件自动失效。</w:t>
      </w:r>
    </w:p>
    <w:p>
      <w:pPr>
        <w:spacing w:line="42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电子加密投标文件的解密和异常情况处理</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3.1开标后，采购组织机构将向各投标供应商发出电子加密投标文件的解密通知，各投标供应商代表应当在招标文件规定的时间内自行完成电子加密投标文件的在线解密。</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3.3投标截止时间前，投标供应商仅递交了备份投标文件而未将电子加密投标文件上传至“政府采购云平台”的，投标无效。</w:t>
      </w:r>
    </w:p>
    <w:p>
      <w:pPr>
        <w:spacing w:line="420" w:lineRule="exact"/>
        <w:ind w:left="442" w:hanging="442" w:hanging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4.  投标文件的补充、修改或撤回</w:t>
      </w:r>
    </w:p>
    <w:p>
      <w:pPr>
        <w:spacing w:line="42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4.1供应商应当在投标截止时间前完成投标文件的上传、递交，并可以补充、修改或者撤回投标文件。补充或者修改投标文件的，应当先行撤回原文件，补充、修改后重新上传、递交</w:t>
      </w:r>
      <w:r>
        <w:rPr>
          <w:rFonts w:hint="eastAsia" w:ascii="宋体" w:hAnsi="宋体" w:cs="宋体"/>
          <w:bCs/>
          <w:color w:val="auto"/>
          <w:sz w:val="22"/>
          <w:szCs w:val="22"/>
          <w:highlight w:val="none"/>
          <w:u w:val="single"/>
        </w:rPr>
        <w:t>（撤回后需重新做好系统评分内容与投标文件对应内容的关联）</w:t>
      </w:r>
      <w:r>
        <w:rPr>
          <w:rFonts w:hint="eastAsia" w:ascii="宋体" w:hAnsi="宋体" w:cs="宋体"/>
          <w:bCs/>
          <w:color w:val="auto"/>
          <w:sz w:val="22"/>
          <w:szCs w:val="22"/>
          <w:highlight w:val="none"/>
        </w:rPr>
        <w:t>，如投标截止时间前未完成重新上传、递交的，视为撤回投标文件。投标截止时间后递交的投标文件，“政府采购云平台”将予以拒收。</w:t>
      </w:r>
    </w:p>
    <w:p>
      <w:pPr>
        <w:spacing w:line="420" w:lineRule="exact"/>
        <w:rPr>
          <w:rFonts w:hint="eastAsia" w:ascii="宋体" w:hAnsi="宋体" w:cs="宋体"/>
          <w:b/>
          <w:color w:val="auto"/>
          <w:sz w:val="22"/>
          <w:szCs w:val="22"/>
          <w:highlight w:val="none"/>
        </w:rPr>
      </w:pPr>
      <w:r>
        <w:rPr>
          <w:rFonts w:hint="eastAsia" w:ascii="宋体" w:hAnsi="宋体" w:cs="宋体"/>
          <w:bCs/>
          <w:color w:val="auto"/>
          <w:sz w:val="22"/>
          <w:szCs w:val="22"/>
          <w:highlight w:val="none"/>
        </w:rPr>
        <w:t>4.2投标截止时间后，投标供应商不得撤回、修改投标文件。</w:t>
      </w:r>
    </w:p>
    <w:p>
      <w:pPr>
        <w:pStyle w:val="4"/>
        <w:spacing w:line="420" w:lineRule="exact"/>
        <w:jc w:val="center"/>
        <w:rPr>
          <w:rFonts w:hint="eastAsia" w:ascii="宋体" w:hAnsi="宋体" w:eastAsia="宋体" w:cs="宋体"/>
          <w:color w:val="auto"/>
          <w:sz w:val="24"/>
          <w:szCs w:val="24"/>
          <w:highlight w:val="none"/>
        </w:rPr>
      </w:pPr>
      <w:bookmarkStart w:id="28" w:name="_Toc66274192"/>
      <w:bookmarkStart w:id="29" w:name="_Toc35186949"/>
      <w:bookmarkStart w:id="30" w:name="_Toc35189570"/>
      <w:bookmarkStart w:id="31" w:name="_Toc306613653"/>
      <w:bookmarkStart w:id="32" w:name="_Toc9951"/>
      <w:bookmarkStart w:id="33" w:name="_Toc85"/>
      <w:bookmarkStart w:id="34" w:name="_Toc35974568"/>
      <w:r>
        <w:rPr>
          <w:rFonts w:hint="eastAsia" w:ascii="宋体" w:hAnsi="宋体" w:eastAsia="宋体" w:cs="宋体"/>
          <w:color w:val="auto"/>
          <w:sz w:val="24"/>
          <w:szCs w:val="24"/>
          <w:highlight w:val="none"/>
        </w:rPr>
        <w:t>五、 开标和评标</w:t>
      </w:r>
      <w:bookmarkEnd w:id="28"/>
      <w:bookmarkEnd w:id="29"/>
      <w:bookmarkEnd w:id="30"/>
      <w:bookmarkEnd w:id="31"/>
      <w:bookmarkEnd w:id="32"/>
      <w:bookmarkEnd w:id="33"/>
      <w:bookmarkEnd w:id="34"/>
    </w:p>
    <w:p>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评标委员会</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本项目依法组建评标委员会。评标委员会由采购人或采购代理机构依法组建，成员包括采购人代表和评审专家，成员人数为五人或以上单数，其中评审专家不少于成员总数的三分之二。评标委员会成员名单在评审结果（采购结果）公告前保密。</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1.2 评标委员会的成员在评标过程中必须严格遵守《政府采购法》等有关法律、法规的规定。</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1.3 评标委员会负责具体评标事务，并独立履行下列职责：</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　　（1）审查、评价投标文件是否符合招标文件的商务、技术等实质性要求；</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　　（2）要求投标供应商对投标文件有关事项作出澄清或者说明；</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　　（3）对投标文件进行比较和评价；</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　　（4）确定中标候选人名单，以及根据采购人委托直接确定中标人；</w:t>
      </w:r>
    </w:p>
    <w:p>
      <w:pPr>
        <w:spacing w:line="460" w:lineRule="exact"/>
        <w:ind w:left="425" w:hanging="424" w:hangingChars="193"/>
        <w:rPr>
          <w:rFonts w:hint="eastAsia" w:ascii="宋体" w:hAnsi="宋体" w:cs="宋体"/>
          <w:bCs/>
          <w:color w:val="auto"/>
          <w:sz w:val="22"/>
          <w:szCs w:val="22"/>
          <w:highlight w:val="none"/>
        </w:rPr>
      </w:pPr>
      <w:r>
        <w:rPr>
          <w:rFonts w:hint="eastAsia" w:ascii="宋体" w:hAnsi="宋体" w:cs="宋体"/>
          <w:bCs/>
          <w:color w:val="auto"/>
          <w:sz w:val="22"/>
          <w:szCs w:val="22"/>
          <w:highlight w:val="none"/>
        </w:rPr>
        <w:t>　　（5）向采购人、采购代理机构或者有关部门报告评标中发现的违法行为。</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 评标过程的保密性</w:t>
      </w:r>
    </w:p>
    <w:p>
      <w:pPr>
        <w:spacing w:line="460" w:lineRule="exact"/>
        <w:ind w:left="425" w:hanging="424" w:hangingChars="193"/>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2.1 </w:t>
      </w:r>
      <w:r>
        <w:rPr>
          <w:rFonts w:hint="eastAsia" w:ascii="宋体" w:hAnsi="宋体" w:cs="宋体"/>
          <w:b/>
          <w:bCs/>
          <w:color w:val="auto"/>
          <w:sz w:val="22"/>
          <w:szCs w:val="22"/>
          <w:highlight w:val="none"/>
        </w:rPr>
        <w:t>开标后直至向中标供应商授予合同时止，凡与评审有关的资料均不得向投标供应商及与评标无关人员透露。如果投标供应商在评标过程中试图向招标采购单位施加影响，或扰乱开评标秩序，其投标将被拒绝。</w:t>
      </w:r>
    </w:p>
    <w:p>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开标、评标</w:t>
      </w:r>
    </w:p>
    <w:p>
      <w:pPr>
        <w:spacing w:line="400" w:lineRule="exact"/>
        <w:ind w:left="440" w:hanging="440" w:hanging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r>
        <w:rPr>
          <w:rFonts w:hint="eastAsia" w:ascii="宋体" w:hAnsi="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cs="宋体"/>
          <w:color w:val="auto"/>
          <w:kern w:val="0"/>
          <w:sz w:val="22"/>
          <w:szCs w:val="22"/>
          <w:highlight w:val="none"/>
        </w:rPr>
        <w:t>投标供应商如不在线参加开标大会的，视同认可开标结果，事后不得对开标过程和开标结果提出异议。如投标供应商因未在线参加开标而导致投标文件无法按时解密等一切后果由供应商自己承担。</w:t>
      </w:r>
    </w:p>
    <w:p>
      <w:pPr>
        <w:spacing w:line="400" w:lineRule="exact"/>
        <w:ind w:left="440" w:hanging="440" w:hangingChars="200"/>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kern w:val="0"/>
          <w:sz w:val="22"/>
          <w:szCs w:val="22"/>
          <w:highlight w:val="none"/>
        </w:rPr>
        <w:t>向各投标供应商发出电子加密投标文件【开始解密】通知，由供应商在</w:t>
      </w:r>
      <w:r>
        <w:rPr>
          <w:rFonts w:hint="eastAsia" w:ascii="宋体" w:hAnsi="宋体" w:cs="宋体"/>
          <w:b/>
          <w:color w:val="auto"/>
          <w:sz w:val="22"/>
          <w:szCs w:val="22"/>
          <w:highlight w:val="none"/>
        </w:rPr>
        <w:t>采购代理机构发送解密指令后60分钟内</w:t>
      </w:r>
      <w:r>
        <w:rPr>
          <w:rFonts w:hint="eastAsia" w:ascii="宋体" w:hAnsi="宋体" w:cs="宋体"/>
          <w:color w:val="auto"/>
          <w:kern w:val="0"/>
          <w:sz w:val="22"/>
          <w:szCs w:val="22"/>
          <w:highlight w:val="none"/>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pPr>
        <w:spacing w:line="400" w:lineRule="exact"/>
        <w:ind w:left="440" w:hanging="440" w:hangingChars="200"/>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 xml:space="preserve">3.3 </w:t>
      </w:r>
      <w:r>
        <w:rPr>
          <w:rFonts w:hint="eastAsia" w:ascii="宋体" w:hAnsi="宋体" w:cs="宋体"/>
          <w:color w:val="auto"/>
          <w:kern w:val="0"/>
          <w:sz w:val="22"/>
          <w:szCs w:val="22"/>
          <w:highlight w:val="none"/>
        </w:rPr>
        <w:t>投标文件解密结束后，采购代理机构将统一开启电子投标文件，各投标供应商需确认己方报价，并签署《政府采购活动现场确认声明书》（声明书已放在招标文件最后一页，由供应商打印填写签章），扫描回传邮箱（358801740@qq.com）。</w:t>
      </w:r>
    </w:p>
    <w:p>
      <w:pPr>
        <w:spacing w:line="400" w:lineRule="exact"/>
        <w:ind w:left="440" w:hanging="440" w:hangingChars="200"/>
        <w:rPr>
          <w:rFonts w:hint="eastAsia" w:ascii="宋体" w:hAnsi="宋体" w:cs="宋体"/>
          <w:b/>
          <w:color w:val="auto"/>
          <w:sz w:val="22"/>
          <w:szCs w:val="22"/>
          <w:highlight w:val="none"/>
        </w:rPr>
      </w:pPr>
      <w:r>
        <w:rPr>
          <w:rFonts w:hint="eastAsia" w:ascii="宋体" w:hAnsi="宋体" w:cs="宋体"/>
          <w:color w:val="auto"/>
          <w:sz w:val="22"/>
          <w:szCs w:val="22"/>
          <w:highlight w:val="none"/>
        </w:rPr>
        <w:t>3.4 开标结束后，</w:t>
      </w:r>
      <w:r>
        <w:rPr>
          <w:rFonts w:hint="eastAsia" w:ascii="宋体" w:hAnsi="宋体" w:cs="宋体"/>
          <w:color w:val="auto"/>
          <w:kern w:val="0"/>
          <w:sz w:val="22"/>
          <w:szCs w:val="22"/>
          <w:highlight w:val="none"/>
        </w:rPr>
        <w:t>采购人或采购代理机构将</w:t>
      </w:r>
      <w:r>
        <w:rPr>
          <w:rFonts w:hint="eastAsia" w:ascii="宋体" w:hAnsi="宋体" w:cs="宋体"/>
          <w:bCs/>
          <w:color w:val="auto"/>
          <w:sz w:val="22"/>
          <w:szCs w:val="22"/>
          <w:highlight w:val="none"/>
        </w:rPr>
        <w:t>依据法律法规及招标文件的规定</w:t>
      </w:r>
      <w:r>
        <w:rPr>
          <w:rFonts w:hint="eastAsia" w:ascii="宋体" w:hAnsi="宋体" w:cs="宋体"/>
          <w:color w:val="auto"/>
          <w:kern w:val="0"/>
          <w:sz w:val="22"/>
          <w:szCs w:val="22"/>
          <w:highlight w:val="none"/>
        </w:rPr>
        <w:t>对投标供应商的资格文件进行审查，</w:t>
      </w:r>
      <w:r>
        <w:rPr>
          <w:rFonts w:hint="eastAsia" w:ascii="宋体" w:hAnsi="宋体" w:cs="宋体"/>
          <w:bCs/>
          <w:color w:val="auto"/>
          <w:sz w:val="22"/>
          <w:szCs w:val="22"/>
          <w:highlight w:val="none"/>
        </w:rPr>
        <w:t>包括营业执照（或事业单位法人证书）、合格供应商资格证明文件，以确定是否具备投标资格。</w:t>
      </w:r>
      <w:r>
        <w:rPr>
          <w:rFonts w:hint="eastAsia" w:ascii="宋体" w:hAnsi="宋体" w:cs="宋体"/>
          <w:bCs/>
          <w:color w:val="auto"/>
          <w:sz w:val="22"/>
          <w:szCs w:val="22"/>
          <w:highlight w:val="none"/>
          <w:u w:val="single"/>
        </w:rPr>
        <w:t>▲</w:t>
      </w:r>
      <w:r>
        <w:rPr>
          <w:rFonts w:hint="eastAsia" w:ascii="宋体" w:hAnsi="宋体" w:cs="宋体"/>
          <w:color w:val="auto"/>
          <w:sz w:val="22"/>
          <w:szCs w:val="22"/>
          <w:highlight w:val="none"/>
          <w:u w:val="single"/>
        </w:rPr>
        <w:t>投标供应商</w:t>
      </w:r>
      <w:r>
        <w:rPr>
          <w:rFonts w:hint="eastAsia" w:ascii="宋体" w:hAnsi="宋体" w:cs="宋体"/>
          <w:bCs/>
          <w:color w:val="auto"/>
          <w:sz w:val="22"/>
          <w:szCs w:val="22"/>
          <w:highlight w:val="none"/>
          <w:u w:val="single"/>
        </w:rPr>
        <w:t>未按要求提交上述资料或经审查所</w:t>
      </w:r>
      <w:r>
        <w:rPr>
          <w:rFonts w:hint="eastAsia" w:ascii="宋体" w:hAnsi="宋体" w:cs="宋体"/>
          <w:color w:val="auto"/>
          <w:sz w:val="22"/>
          <w:szCs w:val="22"/>
          <w:highlight w:val="none"/>
          <w:u w:val="single"/>
        </w:rPr>
        <w:t>提交的资格证明材料无法证明其符合招标文件规定的“投标供应商资格要求”的，或具有其他违反</w:t>
      </w:r>
      <w:r>
        <w:rPr>
          <w:rFonts w:hint="eastAsia" w:ascii="宋体" w:hAnsi="宋体" w:cs="宋体"/>
          <w:bCs/>
          <w:color w:val="auto"/>
          <w:sz w:val="22"/>
          <w:szCs w:val="22"/>
          <w:highlight w:val="none"/>
          <w:u w:val="single"/>
        </w:rPr>
        <w:t>法律法规规定应被取消投标资格情形的，</w:t>
      </w:r>
      <w:r>
        <w:rPr>
          <w:rFonts w:hint="eastAsia" w:ascii="宋体" w:hAnsi="宋体" w:cs="宋体"/>
          <w:color w:val="auto"/>
          <w:kern w:val="0"/>
          <w:sz w:val="22"/>
          <w:szCs w:val="22"/>
          <w:highlight w:val="none"/>
          <w:u w:val="single"/>
        </w:rPr>
        <w:t>资格审查将不予通过，</w:t>
      </w:r>
      <w:r>
        <w:rPr>
          <w:rFonts w:hint="eastAsia" w:ascii="宋体" w:hAnsi="宋体" w:cs="宋体"/>
          <w:bCs/>
          <w:color w:val="auto"/>
          <w:sz w:val="22"/>
          <w:szCs w:val="22"/>
          <w:highlight w:val="none"/>
          <w:u w:val="single"/>
        </w:rPr>
        <w:t>其投标文件</w:t>
      </w:r>
      <w:r>
        <w:rPr>
          <w:rFonts w:hint="eastAsia" w:ascii="宋体" w:hAnsi="宋体" w:cs="宋体"/>
          <w:color w:val="auto"/>
          <w:sz w:val="22"/>
          <w:szCs w:val="22"/>
          <w:highlight w:val="none"/>
          <w:u w:val="single"/>
        </w:rPr>
        <w:t>作无效标处理</w:t>
      </w:r>
      <w:r>
        <w:rPr>
          <w:rFonts w:hint="eastAsia" w:ascii="宋体" w:hAnsi="宋体" w:cs="宋体"/>
          <w:color w:val="auto"/>
          <w:kern w:val="0"/>
          <w:sz w:val="22"/>
          <w:szCs w:val="22"/>
          <w:highlight w:val="none"/>
          <w:u w:val="single"/>
        </w:rPr>
        <w:t>，并不再将其投标提交评标委员会进行后续评审</w:t>
      </w:r>
      <w:r>
        <w:rPr>
          <w:rFonts w:hint="eastAsia" w:ascii="宋体" w:hAnsi="宋体" w:cs="宋体"/>
          <w:color w:val="auto"/>
          <w:kern w:val="0"/>
          <w:sz w:val="22"/>
          <w:szCs w:val="22"/>
          <w:highlight w:val="none"/>
        </w:rPr>
        <w:t>。</w:t>
      </w:r>
    </w:p>
    <w:p>
      <w:pPr>
        <w:spacing w:line="400" w:lineRule="exact"/>
        <w:ind w:left="420" w:left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tabs>
          <w:tab w:val="left" w:pos="180"/>
        </w:tabs>
        <w:spacing w:line="460" w:lineRule="exact"/>
        <w:ind w:left="424" w:leftChars="8" w:hanging="407" w:hangingChars="185"/>
        <w:rPr>
          <w:rFonts w:hint="eastAsia" w:ascii="宋体" w:hAnsi="宋体" w:cs="宋体"/>
          <w:color w:val="auto"/>
          <w:sz w:val="22"/>
          <w:szCs w:val="22"/>
          <w:highlight w:val="none"/>
        </w:rPr>
      </w:pPr>
      <w:r>
        <w:rPr>
          <w:rFonts w:hint="eastAsia" w:ascii="宋体" w:hAnsi="宋体" w:cs="宋体"/>
          <w:bCs/>
          <w:color w:val="auto"/>
          <w:sz w:val="22"/>
          <w:szCs w:val="22"/>
          <w:highlight w:val="none"/>
        </w:rPr>
        <w:t>3.5评标委员会对符合资格的投标供应商的投标文件进行符合性审查，以确定其是否满足招标文件的实质性要求。</w:t>
      </w:r>
      <w:r>
        <w:rPr>
          <w:rFonts w:hint="eastAsia" w:ascii="宋体" w:hAnsi="宋体" w:cs="宋体"/>
          <w:bCs/>
          <w:color w:val="auto"/>
          <w:sz w:val="22"/>
          <w:szCs w:val="22"/>
          <w:highlight w:val="none"/>
          <w:u w:val="single"/>
        </w:rPr>
        <w:t>▲没有满足招标文件实质性要求</w:t>
      </w:r>
      <w:r>
        <w:rPr>
          <w:rFonts w:hint="eastAsia" w:ascii="宋体" w:hAnsi="宋体" w:cs="宋体"/>
          <w:color w:val="auto"/>
          <w:sz w:val="22"/>
          <w:szCs w:val="22"/>
          <w:highlight w:val="none"/>
          <w:u w:val="single"/>
        </w:rPr>
        <w:t>的投标作无效标处理。</w:t>
      </w:r>
      <w:r>
        <w:rPr>
          <w:rFonts w:hint="eastAsia" w:ascii="宋体" w:hAnsi="宋体" w:cs="宋体"/>
          <w:color w:val="auto"/>
          <w:sz w:val="22"/>
          <w:szCs w:val="22"/>
          <w:highlight w:val="none"/>
        </w:rPr>
        <w:t>评标委员会决定投标的实质性要求只根据投标文件本身的内容，而不寻求外部的证据。投标供应商不得通过修正或撤销不合要求的偏离或保留从而使其投标成为实质上响应的投标。</w:t>
      </w:r>
    </w:p>
    <w:p>
      <w:pPr>
        <w:tabs>
          <w:tab w:val="left" w:pos="180"/>
        </w:tabs>
        <w:spacing w:line="460" w:lineRule="exact"/>
        <w:ind w:left="424" w:leftChars="8" w:hanging="407" w:hangingChars="185"/>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3.6 </w:t>
      </w:r>
      <w:r>
        <w:rPr>
          <w:rFonts w:hint="eastAsia" w:ascii="宋体" w:hAnsi="宋体" w:cs="宋体"/>
          <w:color w:val="auto"/>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tabs>
          <w:tab w:val="left" w:pos="180"/>
        </w:tabs>
        <w:spacing w:line="460" w:lineRule="exact"/>
        <w:ind w:left="507" w:leftChars="32" w:hanging="440" w:hangingChars="200"/>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3.7</w:t>
      </w:r>
      <w:r>
        <w:rPr>
          <w:rFonts w:hint="eastAsia" w:ascii="宋体" w:hAnsi="宋体" w:cs="宋体"/>
          <w:bCs/>
          <w:color w:val="auto"/>
          <w:sz w:val="22"/>
          <w:szCs w:val="22"/>
          <w:highlight w:val="none"/>
          <w:u w:val="single"/>
        </w:rPr>
        <w:t>招标文件中加“下划线”且加“▲”的条款，为实质性条款，不得负偏离，否则按无效标条款处理。</w:t>
      </w:r>
      <w:r>
        <w:rPr>
          <w:rFonts w:hint="eastAsia" w:ascii="宋体" w:hAnsi="宋体" w:cs="宋体"/>
          <w:bCs/>
          <w:color w:val="auto"/>
          <w:sz w:val="22"/>
          <w:szCs w:val="22"/>
          <w:highlight w:val="none"/>
        </w:rPr>
        <w:t>对于标书中规定的实质性条款，判定是否构成实质性偏离，由评标委员会来判定。</w:t>
      </w:r>
    </w:p>
    <w:p>
      <w:pPr>
        <w:tabs>
          <w:tab w:val="left" w:pos="180"/>
        </w:tabs>
        <w:spacing w:line="460" w:lineRule="exact"/>
        <w:ind w:left="525" w:leftChars="250"/>
        <w:rPr>
          <w:rFonts w:hint="eastAsia" w:ascii="宋体" w:hAnsi="宋体" w:cs="宋体"/>
          <w:color w:val="auto"/>
          <w:sz w:val="22"/>
          <w:szCs w:val="22"/>
          <w:highlight w:val="none"/>
          <w:u w:val="single"/>
        </w:rPr>
      </w:pPr>
      <w:r>
        <w:rPr>
          <w:rFonts w:hint="eastAsia" w:ascii="宋体" w:hAnsi="宋体" w:cs="宋体"/>
          <w:bCs/>
          <w:color w:val="auto"/>
          <w:sz w:val="22"/>
          <w:szCs w:val="22"/>
          <w:highlight w:val="none"/>
          <w:u w:val="single"/>
        </w:rPr>
        <w:t>投标响应微小负偏离或重大负偏离的认定，由评标委员会来判定，对属于微小负偏离的由评委在评分中予以酌情考量，对构成重大负偏离的，将被认定为是对招标文件实质上的不响应，按无效标条款处理。</w:t>
      </w:r>
    </w:p>
    <w:p>
      <w:pPr>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3.8 评标委员按照招标文件中规定的评标方法和标准，对投标文件进行商务和技术评估，综合比较与评价。</w:t>
      </w:r>
    </w:p>
    <w:p>
      <w:pPr>
        <w:spacing w:line="460" w:lineRule="exact"/>
        <w:ind w:left="522" w:leftChars="5" w:hanging="512" w:hangingChars="232"/>
        <w:rPr>
          <w:rFonts w:hint="eastAsia" w:ascii="宋体" w:hAnsi="宋体" w:cs="宋体"/>
          <w:b/>
          <w:color w:val="auto"/>
          <w:sz w:val="22"/>
          <w:highlight w:val="none"/>
          <w:u w:val="single"/>
        </w:rPr>
      </w:pPr>
      <w:r>
        <w:rPr>
          <w:rFonts w:hint="eastAsia" w:ascii="宋体" w:hAnsi="宋体" w:cs="宋体"/>
          <w:b/>
          <w:color w:val="auto"/>
          <w:sz w:val="22"/>
          <w:highlight w:val="none"/>
        </w:rPr>
        <w:t xml:space="preserve">3.9 </w:t>
      </w:r>
      <w:r>
        <w:rPr>
          <w:rFonts w:hint="eastAsia" w:ascii="宋体" w:hAnsi="宋体" w:cs="宋体"/>
          <w:color w:val="auto"/>
          <w:sz w:val="22"/>
          <w:highlight w:val="none"/>
        </w:rPr>
        <w:t>▲</w:t>
      </w:r>
      <w:r>
        <w:rPr>
          <w:rFonts w:hint="eastAsia" w:ascii="宋体" w:hAnsi="宋体" w:cs="宋体"/>
          <w:b/>
          <w:color w:val="auto"/>
          <w:sz w:val="22"/>
          <w:highlight w:val="none"/>
          <w:u w:val="single"/>
        </w:rPr>
        <w:t>投标文件有下列情形之一的，经评标委员会认定后按无效标处理（无效标条款）：</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（1）投标文件在招标文件规定的实质性响应内容中未按要求加盖单位公章</w:t>
      </w:r>
      <w:r>
        <w:rPr>
          <w:rFonts w:hint="eastAsia" w:ascii="宋体" w:hAnsi="宋体" w:cs="宋体"/>
          <w:b/>
          <w:color w:val="auto"/>
          <w:sz w:val="22"/>
          <w:szCs w:val="22"/>
          <w:highlight w:val="none"/>
        </w:rPr>
        <w:t>（或CA电子公章）</w:t>
      </w:r>
      <w:r>
        <w:rPr>
          <w:rFonts w:hint="eastAsia" w:ascii="宋体" w:hAnsi="宋体" w:cs="宋体"/>
          <w:b/>
          <w:color w:val="auto"/>
          <w:sz w:val="22"/>
          <w:highlight w:val="none"/>
        </w:rPr>
        <w:t>、无法定代表人签章</w:t>
      </w:r>
      <w:r>
        <w:rPr>
          <w:rFonts w:hint="eastAsia" w:ascii="宋体" w:hAnsi="宋体" w:cs="宋体"/>
          <w:b/>
          <w:color w:val="auto"/>
          <w:sz w:val="22"/>
          <w:szCs w:val="22"/>
          <w:highlight w:val="none"/>
        </w:rPr>
        <w:t>（或CA电子签章）</w:t>
      </w:r>
      <w:r>
        <w:rPr>
          <w:rFonts w:hint="eastAsia" w:ascii="宋体" w:hAnsi="宋体" w:cs="宋体"/>
          <w:b/>
          <w:color w:val="auto"/>
          <w:sz w:val="22"/>
          <w:highlight w:val="none"/>
        </w:rPr>
        <w:t>或其授权代表签字</w:t>
      </w:r>
      <w:r>
        <w:rPr>
          <w:rFonts w:hint="eastAsia" w:ascii="宋体" w:hAnsi="宋体" w:cs="宋体"/>
          <w:b/>
          <w:color w:val="auto"/>
          <w:sz w:val="22"/>
          <w:szCs w:val="22"/>
          <w:highlight w:val="none"/>
        </w:rPr>
        <w:t>的</w:t>
      </w:r>
      <w:r>
        <w:rPr>
          <w:rFonts w:hint="eastAsia" w:ascii="宋体" w:hAnsi="宋体" w:cs="宋体"/>
          <w:b/>
          <w:color w:val="auto"/>
          <w:sz w:val="22"/>
          <w:highlight w:val="none"/>
        </w:rPr>
        <w:t>；</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（2）投标响应明显不满足招标文件中规定的采购需求及技术、服务要求的被认定构成重大偏离的，或不满足招标文件中规定的标注“▲”的实质性条款，或存在招标文件中明确规定的其他无效标情形的；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（3）投标文件内容不全或关键字迹模糊无法辨认的；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（4）投标文件的编制明显不符合招标文件规定的编制要求；</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bCs/>
          <w:color w:val="auto"/>
          <w:sz w:val="22"/>
          <w:szCs w:val="22"/>
          <w:highlight w:val="none"/>
        </w:rPr>
        <w:t>（5）在资格文件和商务技术文件中出现投标报价的；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（6）投标文件附有采购人不能接受的条件；</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（7）未提供法定代表人授权委托书（法定代表人作为投标供应商代表的除外），或提供的法定代表人授权委托书信息填写不完整或没有加盖单位公章</w:t>
      </w:r>
      <w:r>
        <w:rPr>
          <w:rFonts w:hint="eastAsia" w:ascii="宋体" w:hAnsi="宋体" w:cs="宋体"/>
          <w:b/>
          <w:color w:val="auto"/>
          <w:sz w:val="22"/>
          <w:szCs w:val="22"/>
          <w:highlight w:val="none"/>
        </w:rPr>
        <w:t>（或CA电子公章）</w:t>
      </w:r>
      <w:r>
        <w:rPr>
          <w:rFonts w:hint="eastAsia" w:ascii="宋体" w:hAnsi="宋体" w:cs="宋体"/>
          <w:b/>
          <w:color w:val="auto"/>
          <w:sz w:val="22"/>
          <w:highlight w:val="none"/>
        </w:rPr>
        <w:t>或无法定代表人本人签章</w:t>
      </w:r>
      <w:r>
        <w:rPr>
          <w:rFonts w:hint="eastAsia" w:ascii="宋体" w:hAnsi="宋体" w:cs="宋体"/>
          <w:b/>
          <w:color w:val="auto"/>
          <w:sz w:val="22"/>
          <w:szCs w:val="22"/>
          <w:highlight w:val="none"/>
        </w:rPr>
        <w:t>（或CA电子签章）</w:t>
      </w:r>
      <w:r>
        <w:rPr>
          <w:rFonts w:hint="eastAsia" w:ascii="宋体" w:hAnsi="宋体" w:cs="宋体"/>
          <w:b/>
          <w:color w:val="auto"/>
          <w:sz w:val="22"/>
          <w:highlight w:val="none"/>
        </w:rPr>
        <w:t>或有涂改等情形导致无法确认其有效性的；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（8）同一投标供应商提交两个以上不同的投标文件（或投标方案）或者投标报价的；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（9）评标委员会认定投标供应商具有法律、法规规定的不良投标行为的；</w:t>
      </w:r>
    </w:p>
    <w:p>
      <w:pPr>
        <w:spacing w:line="440" w:lineRule="exact"/>
        <w:ind w:left="730" w:leftChars="85" w:hanging="552" w:hangingChars="250"/>
        <w:rPr>
          <w:rFonts w:hint="eastAsia" w:ascii="宋体" w:hAnsi="宋体" w:cs="宋体"/>
          <w:b/>
          <w:color w:val="auto"/>
          <w:sz w:val="22"/>
          <w:szCs w:val="22"/>
          <w:highlight w:val="none"/>
        </w:rPr>
      </w:pPr>
      <w:r>
        <w:rPr>
          <w:rFonts w:hint="eastAsia" w:ascii="宋体" w:hAnsi="宋体" w:cs="宋体"/>
          <w:b/>
          <w:color w:val="auto"/>
          <w:sz w:val="22"/>
          <w:highlight w:val="none"/>
        </w:rPr>
        <w:t>（10）</w:t>
      </w:r>
      <w:r>
        <w:rPr>
          <w:rFonts w:hint="eastAsia" w:ascii="宋体" w:hAnsi="宋体" w:cs="宋体"/>
          <w:b/>
          <w:color w:val="auto"/>
          <w:sz w:val="22"/>
          <w:szCs w:val="22"/>
          <w:highlight w:val="none"/>
        </w:rPr>
        <w:t>未按照采购文件标明币种进行报价的，或者投标报价涵盖的内容不符合采购文件要求的，或者投标报价超过采购预算（或最高限价）的；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szCs w:val="22"/>
          <w:highlight w:val="none"/>
        </w:rPr>
        <w:t>（11）评标委员会认定供应商的报价明显低于其他通过符合性审查投标供应商的报价，有可能影响产品质量或者不能诚信履约的，但该供应商不能证明其报价合理性的；</w:t>
      </w:r>
    </w:p>
    <w:p>
      <w:pPr>
        <w:spacing w:line="440" w:lineRule="exact"/>
        <w:ind w:left="730" w:leftChars="85" w:hanging="552" w:hangingChars="250"/>
        <w:rPr>
          <w:rFonts w:hint="eastAsia" w:ascii="宋体" w:hAnsi="宋体" w:cs="宋体"/>
          <w:b/>
          <w:color w:val="auto"/>
          <w:sz w:val="22"/>
          <w:highlight w:val="none"/>
        </w:rPr>
      </w:pPr>
      <w:r>
        <w:rPr>
          <w:rFonts w:hint="eastAsia" w:ascii="宋体" w:hAnsi="宋体" w:cs="宋体"/>
          <w:b/>
          <w:color w:val="auto"/>
          <w:sz w:val="22"/>
          <w:highlight w:val="none"/>
        </w:rPr>
        <w:t>（12）评标委员会认定不符合法律、法规和招标文件中规定的其他实质性要求的。</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3.10 投标文件商务报价出现前后不一致的，按照下列规定修正：</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（1）投标文件中开标一览表内容与分项报价表内容不一致的，以开标一览表为准；</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（2）大写金额和小写金额不一致的，以大写金额为准；</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（3）单价金额小数点或者百分比有明显错位的，以开标一览表的总价为准，并修改单价；</w:t>
      </w:r>
    </w:p>
    <w:p>
      <w:pPr>
        <w:spacing w:line="4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pPr>
        <w:spacing w:line="46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同时出现两种以上不一致的，按照前款规定的顺序修正。▲</w:t>
      </w:r>
      <w:r>
        <w:rPr>
          <w:rFonts w:hint="eastAsia" w:ascii="宋体" w:hAnsi="宋体" w:cs="宋体"/>
          <w:bCs/>
          <w:color w:val="auto"/>
          <w:sz w:val="22"/>
          <w:szCs w:val="22"/>
          <w:highlight w:val="none"/>
          <w:u w:val="single"/>
        </w:rPr>
        <w:t>如果投标供应商不接受对其价格错误进行修正，其投标无效。</w:t>
      </w:r>
    </w:p>
    <w:p>
      <w:pPr>
        <w:spacing w:line="440" w:lineRule="exact"/>
        <w:ind w:left="563" w:leftChars="19" w:hanging="523" w:hangingChars="238"/>
        <w:rPr>
          <w:rFonts w:hint="eastAsia" w:ascii="宋体" w:hAnsi="宋体" w:cs="宋体"/>
          <w:color w:val="auto"/>
          <w:sz w:val="22"/>
          <w:szCs w:val="22"/>
          <w:highlight w:val="none"/>
        </w:rPr>
      </w:pPr>
      <w:r>
        <w:rPr>
          <w:rFonts w:hint="eastAsia" w:ascii="宋体" w:hAnsi="宋体" w:cs="宋体"/>
          <w:color w:val="auto"/>
          <w:sz w:val="22"/>
          <w:szCs w:val="22"/>
          <w:highlight w:val="none"/>
        </w:rPr>
        <w:t>4.   评标过程中遇到特殊情况，由评标委员会遵循公开、公正原则，采取投票方式按照少数服从多数原则决定。</w:t>
      </w:r>
    </w:p>
    <w:p>
      <w:pPr>
        <w:tabs>
          <w:tab w:val="left" w:pos="1365"/>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  投标文件的澄清</w:t>
      </w:r>
    </w:p>
    <w:p>
      <w:pPr>
        <w:tabs>
          <w:tab w:val="left" w:pos="1365"/>
        </w:tabs>
        <w:spacing w:line="46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5.1  对于投标文件中含义不明确、同类问题表述不一致或者有明显文字和计算错误的内容，评标委员会应当以书面形式（或通过“政府采购云平台”在线询标）要求投标供应商在30分钟内作出必要的澄清、说明或者补正。投标供应商的澄清、说明或者补正应当采用书面形式（或通过“政府采购云平台”在线答复），并由法定代表人或其授权的代表签字。投标供应商的澄清、说明或者补正不得超出投标文件的范围或者改变投标文件的实质性内容。拒不按要求对其投标文件进行澄清，说明或补正的投标供应商，评标委员会可以否决其投标。</w:t>
      </w:r>
    </w:p>
    <w:p>
      <w:pPr>
        <w:tabs>
          <w:tab w:val="left" w:pos="1365"/>
        </w:tabs>
        <w:spacing w:line="46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5.2  ▲</w:t>
      </w:r>
      <w:r>
        <w:rPr>
          <w:rFonts w:hint="eastAsia" w:ascii="宋体" w:hAnsi="宋体" w:cs="宋体"/>
          <w:b/>
          <w:color w:val="auto"/>
          <w:sz w:val="22"/>
          <w:szCs w:val="22"/>
          <w:highlight w:val="none"/>
          <w:u w:val="single"/>
        </w:rPr>
        <w:t>经澄清后，若偏差仍存在，且不可接受，投标供应商则被认为是“没有实质性响应招标文件要求”，其投标不进入下一步评审。</w:t>
      </w:r>
    </w:p>
    <w:p>
      <w:pPr>
        <w:tabs>
          <w:tab w:val="left" w:pos="1365"/>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  确定中标候选供应商</w:t>
      </w:r>
    </w:p>
    <w:p>
      <w:pPr>
        <w:tabs>
          <w:tab w:val="left" w:pos="1365"/>
        </w:tabs>
        <w:spacing w:line="46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6.1  本次招标由评标委员会确定2名中标候选供应商并向采购人推荐，采购人根据评标委员会的推荐结果按顺序确定中标供应商。</w:t>
      </w:r>
    </w:p>
    <w:p>
      <w:pPr>
        <w:tabs>
          <w:tab w:val="left" w:pos="1365"/>
        </w:tabs>
        <w:spacing w:line="460" w:lineRule="exact"/>
        <w:ind w:left="554" w:leftChars="2"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6.2  评标委员会依据法律、法规及招标文件有关规定按有效投标供应商的最终得分（即商务技术分与价格分之和）高低进行排序，得分前二名的投标供应商确定为第一和第二中标候选供应商（得分相同投标报价低的排序第一；得分且投标报价相同的，中标候选供应商并列，并确定技术部分得分高的为中标供应商）。</w:t>
      </w:r>
    </w:p>
    <w:p>
      <w:pPr>
        <w:tabs>
          <w:tab w:val="left" w:pos="1365"/>
        </w:tabs>
        <w:spacing w:line="460" w:lineRule="exact"/>
        <w:ind w:left="554" w:leftChars="2"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6.3  排名第一的中标候选供应商放弃中标；因不可抗力或自身原因提出不能履行合同；或未能在规定时间内与采购人签订合同的；</w:t>
      </w:r>
      <w:r>
        <w:rPr>
          <w:rFonts w:hint="eastAsia" w:ascii="宋体" w:hAnsi="宋体" w:cs="宋体"/>
          <w:color w:val="auto"/>
          <w:spacing w:val="6"/>
          <w:sz w:val="22"/>
          <w:szCs w:val="22"/>
          <w:highlight w:val="none"/>
        </w:rPr>
        <w:t>或在规定时间内借故否认已经承诺的条件而拒签合同的；</w:t>
      </w:r>
      <w:r>
        <w:rPr>
          <w:rFonts w:hint="eastAsia" w:ascii="宋体" w:hAnsi="宋体" w:cs="宋体"/>
          <w:color w:val="auto"/>
          <w:sz w:val="22"/>
          <w:szCs w:val="22"/>
          <w:highlight w:val="none"/>
        </w:rPr>
        <w:t>或已签合同却拒绝按合同约定履约的；或者因排名第一的候选供应商在本次采购活动中存在违法违规行为或其他原因被取消中标资格的，采购人可确定由排名第二的候选供应商为中标供应商，</w:t>
      </w:r>
      <w:r>
        <w:rPr>
          <w:rFonts w:hint="eastAsia" w:ascii="宋体" w:hAnsi="宋体" w:cs="宋体"/>
          <w:bCs/>
          <w:color w:val="auto"/>
          <w:sz w:val="22"/>
          <w:szCs w:val="22"/>
          <w:highlight w:val="none"/>
        </w:rPr>
        <w:t>也可以重新开展政府采购活动。</w:t>
      </w:r>
    </w:p>
    <w:p>
      <w:pPr>
        <w:tabs>
          <w:tab w:val="left" w:pos="1365"/>
        </w:tabs>
        <w:spacing w:line="460" w:lineRule="exact"/>
        <w:ind w:left="541" w:hanging="541" w:hanging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6.4  采购人根据招标文件、中标供应商的投标文件、合同等材料及时组织验收，并严把质量关。</w:t>
      </w:r>
    </w:p>
    <w:p>
      <w:pPr>
        <w:tabs>
          <w:tab w:val="left" w:pos="1365"/>
        </w:tabs>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6.5  采购人对决标结果不做任何解释，也不保证最低价中标。</w:t>
      </w:r>
    </w:p>
    <w:p>
      <w:pPr>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7．  评标细则详见第五部分“评标原则及方法”。</w:t>
      </w:r>
    </w:p>
    <w:p>
      <w:pPr>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8．  未详尽事宜，遵照有关法律法规执行。</w:t>
      </w:r>
    </w:p>
    <w:p>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9.   特别说明：如遇“政府采购云平台”电子化开标或评审程序调整的，按调整后程序执行。</w:t>
      </w:r>
    </w:p>
    <w:p>
      <w:pPr>
        <w:pStyle w:val="4"/>
        <w:spacing w:line="420" w:lineRule="exact"/>
        <w:jc w:val="center"/>
        <w:rPr>
          <w:rFonts w:hint="eastAsia" w:ascii="宋体" w:hAnsi="宋体" w:eastAsia="宋体" w:cs="宋体"/>
          <w:color w:val="auto"/>
          <w:sz w:val="24"/>
          <w:szCs w:val="24"/>
          <w:highlight w:val="none"/>
        </w:rPr>
      </w:pPr>
      <w:bookmarkStart w:id="35" w:name="_Toc306613654"/>
      <w:bookmarkStart w:id="36" w:name="_Toc35974569"/>
      <w:bookmarkStart w:id="37" w:name="_Toc6669"/>
      <w:bookmarkStart w:id="38" w:name="_Toc66274193"/>
      <w:bookmarkStart w:id="39" w:name="_Toc14611"/>
      <w:r>
        <w:rPr>
          <w:rFonts w:hint="eastAsia" w:ascii="宋体" w:hAnsi="宋体" w:eastAsia="宋体" w:cs="宋体"/>
          <w:color w:val="auto"/>
          <w:sz w:val="24"/>
          <w:szCs w:val="24"/>
          <w:highlight w:val="none"/>
        </w:rPr>
        <w:t>六、 授予合同</w:t>
      </w:r>
      <w:bookmarkEnd w:id="35"/>
      <w:bookmarkEnd w:id="36"/>
      <w:bookmarkEnd w:id="37"/>
      <w:bookmarkEnd w:id="38"/>
      <w:bookmarkEnd w:id="39"/>
    </w:p>
    <w:p>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中标结果公告</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评标委员会推荐的中标候选人经采购人确认为中标供应商后，在浙江省政府采购网上发布中标结果公告，公告期1个工作日。</w:t>
      </w:r>
    </w:p>
    <w:p>
      <w:pPr>
        <w:spacing w:line="440" w:lineRule="exact"/>
        <w:ind w:left="442" w:hanging="442" w:hangingChars="200"/>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 xml:space="preserve">2． </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中标通知书</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2.1  </w:t>
      </w:r>
      <w:r>
        <w:rPr>
          <w:rFonts w:hint="eastAsia" w:ascii="宋体" w:hAnsi="宋体" w:cs="宋体"/>
          <w:color w:val="auto"/>
          <w:sz w:val="22"/>
          <w:szCs w:val="22"/>
          <w:highlight w:val="none"/>
        </w:rPr>
        <w:t xml:space="preserve">中标供应商确定后，采购人将向中标供应商发出中标通知书。 </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2.2  </w:t>
      </w:r>
      <w:r>
        <w:rPr>
          <w:rFonts w:hint="eastAsia" w:ascii="宋体" w:hAnsi="宋体" w:cs="宋体"/>
          <w:color w:val="auto"/>
          <w:sz w:val="22"/>
          <w:szCs w:val="22"/>
          <w:highlight w:val="none"/>
        </w:rPr>
        <w:t>中标通知书是合同的一个组成部分,对采购人和中标供应商均具有同等法律效力。</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  授标时更改采购货物数量的权力</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采购人在授予合同时有权对采购服务的数量在10%幅度范围内予以增加或减少,但不得对单价和其他的条款和条件作任何改变。</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  签订合同</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4.1  中标供应商应按中标通知书规定的时间、地点与采购人签订合同。</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sz w:val="22"/>
          <w:szCs w:val="22"/>
          <w:highlight w:val="none"/>
        </w:rPr>
        <w:t>4.2  招标文件、中标供应商的投标文件、投标修改文件、评标过程中有关澄清文件及经投标供应商和评委双方签字的询标纪要和中标通知书均作为合同附件。</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4.3  拒签合同的违约责任</w:t>
      </w:r>
    </w:p>
    <w:p>
      <w:pPr>
        <w:spacing w:line="440" w:lineRule="exact"/>
        <w:ind w:left="565" w:leftChars="269"/>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中标供应商接到中标通知书后，在规定的时间内因自身原因拒签合同的，或在规定时间内借故否认已经承诺的条件而拒签合同的，按自动弃标处理。如已签合同却拒绝按合同约定履行，以违约处理，采购人可单方终止合同，并上报采购监管部门。</w:t>
      </w:r>
    </w:p>
    <w:p>
      <w:pPr>
        <w:spacing w:line="440" w:lineRule="exact"/>
        <w:ind w:left="571" w:hanging="571" w:hangingChars="245"/>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4.4  合同一式五份，其中采购人二份，中标供应商二份，采购代理机构备案一份。中标供应商在采购合同签订后应及时将合同交采购代理机构备案。</w:t>
      </w:r>
    </w:p>
    <w:p>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5．  质疑与投诉</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5.1  投标供应商认为采购文件、采购过程、中标和成交结果使自己的合法权益受到损害的，可以在知道或应知道其权益受到损害之日起七个工作日内以书面形式向招标采购单位提出质疑。对采购文件提出质疑的，应当在获取采购文件（以云平台获取时间为准）或者采购文件公告期限届满之日起7个工作日内，否则将不予接受。对采购结果提出质疑的，质疑期限自采购结果公告（包括公示、预公告、结果变更公告等）期限届满之日起计算。供应商针对同一采购程序环节的质疑必须一次性提出，否则不予接受。</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w:t>
      </w:r>
      <w:r>
        <w:rPr>
          <w:rFonts w:hint="eastAsia" w:ascii="宋体" w:hAnsi="宋体" w:cs="宋体"/>
          <w:bCs/>
          <w:color w:val="auto"/>
          <w:kern w:val="0"/>
          <w:sz w:val="22"/>
          <w:szCs w:val="22"/>
          <w:highlight w:val="none"/>
        </w:rPr>
        <w:t>项先生、蔡女士</w:t>
      </w:r>
      <w:r>
        <w:rPr>
          <w:rFonts w:hint="eastAsia" w:ascii="宋体" w:hAnsi="宋体" w:cs="宋体"/>
          <w:color w:val="auto"/>
          <w:sz w:val="22"/>
          <w:szCs w:val="22"/>
          <w:highlight w:val="none"/>
        </w:rPr>
        <w:t>，联系号码：0577-88532725、88521948。</w:t>
      </w:r>
    </w:p>
    <w:p>
      <w:pPr>
        <w:spacing w:line="440" w:lineRule="exact"/>
        <w:ind w:left="550" w:hanging="550" w:hangingChars="25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5.3  投诉人投诉时，应提交投诉书。投诉人对投诉书的真实性负责，恶意投诉将承当相应的法律和民事责任。</w:t>
      </w:r>
    </w:p>
    <w:p>
      <w:pPr>
        <w:spacing w:line="440" w:lineRule="exact"/>
        <w:ind w:left="552" w:hanging="552" w:hangingChars="250"/>
        <w:rPr>
          <w:rFonts w:hint="eastAsia" w:ascii="宋体" w:hAnsi="宋体" w:cs="宋体"/>
          <w:color w:val="auto"/>
          <w:spacing w:val="6"/>
          <w:sz w:val="22"/>
          <w:szCs w:val="22"/>
          <w:highlight w:val="none"/>
        </w:rPr>
      </w:pPr>
      <w:r>
        <w:rPr>
          <w:rFonts w:hint="eastAsia" w:ascii="宋体" w:hAnsi="宋体" w:cs="宋体"/>
          <w:b/>
          <w:bCs/>
          <w:color w:val="auto"/>
          <w:sz w:val="22"/>
          <w:szCs w:val="22"/>
          <w:highlight w:val="none"/>
        </w:rPr>
        <w:t>6．  招标代理服务费</w:t>
      </w:r>
    </w:p>
    <w:p>
      <w:pPr>
        <w:spacing w:line="440" w:lineRule="exact"/>
        <w:ind w:left="550" w:hanging="550" w:hangingChars="25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6.1  </w:t>
      </w:r>
      <w:r>
        <w:rPr>
          <w:rFonts w:hint="eastAsia" w:ascii="宋体" w:hAnsi="宋体" w:cs="宋体"/>
          <w:color w:val="auto"/>
          <w:sz w:val="22"/>
          <w:szCs w:val="22"/>
          <w:highlight w:val="none"/>
          <w:u w:val="single"/>
        </w:rPr>
        <w:t>▲</w:t>
      </w:r>
      <w:r>
        <w:rPr>
          <w:rFonts w:hint="eastAsia" w:ascii="宋体" w:hAnsi="宋体"/>
          <w:color w:val="auto"/>
          <w:sz w:val="22"/>
          <w:szCs w:val="22"/>
          <w:highlight w:val="none"/>
          <w:u w:val="single"/>
        </w:rPr>
        <w:t>本项目采购代理服务费一次性收取人民币壹万柒仟元整（￥17000</w:t>
      </w:r>
      <w:r>
        <w:rPr>
          <w:rFonts w:ascii="宋体" w:hAnsi="宋体"/>
          <w:color w:val="auto"/>
          <w:sz w:val="22"/>
          <w:szCs w:val="22"/>
          <w:highlight w:val="none"/>
          <w:u w:val="single"/>
        </w:rPr>
        <w:t>.00</w:t>
      </w:r>
      <w:r>
        <w:rPr>
          <w:rFonts w:hint="eastAsia" w:ascii="宋体" w:hAnsi="宋体"/>
          <w:color w:val="auto"/>
          <w:sz w:val="22"/>
          <w:szCs w:val="22"/>
          <w:highlight w:val="none"/>
          <w:u w:val="single"/>
        </w:rPr>
        <w:t>），由最终中标供应商在领取中标通知书时支付，采购代理费包含在投标总价中综合考虑。</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6.2  采购代理服务费可以是现金、支票或汇票。</w:t>
      </w: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spacing w:line="400" w:lineRule="exact"/>
        <w:ind w:firstLine="9920" w:firstLineChars="3100"/>
        <w:jc w:val="right"/>
        <w:rPr>
          <w:rFonts w:hint="eastAsia" w:ascii="宋体" w:hAnsi="宋体" w:cs="宋体"/>
          <w:color w:val="auto"/>
          <w:sz w:val="22"/>
          <w:highlight w:val="none"/>
        </w:rPr>
      </w:pPr>
      <w:r>
        <w:rPr>
          <w:rFonts w:hint="eastAsia" w:hAnsi="宋体" w:cs="宋体"/>
          <w:color w:val="auto"/>
          <w:sz w:val="32"/>
          <w:highlight w:val="none"/>
        </w:rPr>
        <w:br w:type="page"/>
      </w:r>
      <w:bookmarkEnd w:id="9"/>
      <w:bookmarkEnd w:id="10"/>
    </w:p>
    <w:p>
      <w:pPr>
        <w:spacing w:line="420" w:lineRule="exact"/>
        <w:ind w:firstLine="6820" w:firstLineChars="3100"/>
        <w:rPr>
          <w:rFonts w:hint="eastAsia" w:ascii="宋体" w:hAnsi="宋体" w:cs="宋体"/>
          <w:color w:val="auto"/>
          <w:sz w:val="22"/>
          <w:highlight w:val="none"/>
        </w:rPr>
      </w:pPr>
      <w:r>
        <w:rPr>
          <w:rFonts w:hint="eastAsia" w:ascii="宋体" w:hAnsi="宋体" w:cs="宋体"/>
          <w:color w:val="auto"/>
          <w:sz w:val="22"/>
          <w:highlight w:val="none"/>
        </w:rPr>
        <w:t xml:space="preserve"> </w:t>
      </w:r>
    </w:p>
    <w:p>
      <w:pPr>
        <w:pStyle w:val="3"/>
        <w:tabs>
          <w:tab w:val="clear" w:pos="840"/>
        </w:tabs>
        <w:adjustRightInd/>
        <w:snapToGrid/>
        <w:spacing w:before="120" w:after="120" w:line="460" w:lineRule="exact"/>
        <w:jc w:val="center"/>
        <w:rPr>
          <w:rFonts w:hint="eastAsia" w:hAnsi="宋体" w:cs="宋体"/>
          <w:bCs/>
          <w:color w:val="auto"/>
          <w:sz w:val="32"/>
          <w:szCs w:val="32"/>
          <w:highlight w:val="none"/>
        </w:rPr>
      </w:pPr>
      <w:bookmarkStart w:id="40" w:name="_Toc26766"/>
      <w:bookmarkStart w:id="41" w:name="_Toc66274194"/>
      <w:bookmarkStart w:id="42" w:name="_Toc2167"/>
      <w:r>
        <w:rPr>
          <w:rFonts w:hint="eastAsia" w:hAnsi="宋体" w:cs="宋体"/>
          <w:bCs/>
          <w:color w:val="auto"/>
          <w:sz w:val="32"/>
          <w:szCs w:val="32"/>
          <w:highlight w:val="none"/>
        </w:rPr>
        <w:t>第二部分 合同主要条款</w:t>
      </w:r>
      <w:bookmarkEnd w:id="40"/>
      <w:bookmarkEnd w:id="41"/>
      <w:bookmarkEnd w:id="42"/>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jc w:val="center"/>
        <w:rPr>
          <w:rFonts w:hint="eastAsia" w:ascii="宋体" w:hAnsi="宋体" w:cs="宋体"/>
          <w:b/>
          <w:color w:val="auto"/>
          <w:sz w:val="44"/>
          <w:szCs w:val="44"/>
          <w:highlight w:val="none"/>
        </w:rPr>
      </w:pPr>
    </w:p>
    <w:p>
      <w:pPr>
        <w:spacing w:line="600" w:lineRule="exact"/>
        <w:jc w:val="center"/>
        <w:rPr>
          <w:rFonts w:hint="eastAsia" w:ascii="宋体" w:hAnsi="宋体" w:cs="宋体"/>
          <w:b/>
          <w:bCs/>
          <w:color w:val="auto"/>
          <w:sz w:val="22"/>
          <w:szCs w:val="22"/>
          <w:highlight w:val="none"/>
        </w:rPr>
      </w:pPr>
      <w:r>
        <w:rPr>
          <w:rFonts w:hint="eastAsia" w:ascii="宋体" w:hAnsi="宋体" w:cs="宋体"/>
          <w:b/>
          <w:color w:val="auto"/>
          <w:sz w:val="44"/>
          <w:szCs w:val="44"/>
          <w:highlight w:val="none"/>
        </w:rPr>
        <w:t>政 府 采 购 合 同</w:t>
      </w:r>
    </w:p>
    <w:p>
      <w:pPr>
        <w:spacing w:line="400" w:lineRule="exact"/>
        <w:rPr>
          <w:rFonts w:hint="eastAsia" w:ascii="宋体" w:hAnsi="宋体" w:cs="宋体"/>
          <w:b/>
          <w:bCs/>
          <w:color w:val="auto"/>
          <w:sz w:val="22"/>
          <w:szCs w:val="22"/>
          <w:highlight w:val="none"/>
        </w:rPr>
      </w:pPr>
    </w:p>
    <w:p>
      <w:pPr>
        <w:spacing w:line="440" w:lineRule="exact"/>
        <w:ind w:left="552" w:hanging="552" w:hangingChars="250"/>
        <w:rPr>
          <w:rFonts w:hint="eastAsia" w:ascii="宋体" w:hAnsi="宋体" w:cs="宋体"/>
          <w:b/>
          <w:bCs/>
          <w:color w:val="auto"/>
          <w:sz w:val="22"/>
          <w:szCs w:val="22"/>
          <w:highlight w:val="none"/>
        </w:rPr>
      </w:pPr>
    </w:p>
    <w:p>
      <w:pPr>
        <w:spacing w:line="440" w:lineRule="exact"/>
        <w:ind w:left="552" w:hanging="552" w:hangingChars="250"/>
        <w:rPr>
          <w:rFonts w:hint="eastAsia" w:ascii="宋体" w:hAnsi="宋体" w:cs="宋体"/>
          <w:b/>
          <w:bCs/>
          <w:color w:val="auto"/>
          <w:sz w:val="22"/>
          <w:szCs w:val="22"/>
          <w:highlight w:val="none"/>
        </w:rPr>
      </w:pPr>
    </w:p>
    <w:p>
      <w:pPr>
        <w:spacing w:line="440" w:lineRule="exact"/>
        <w:ind w:left="550" w:hanging="550" w:hangingChars="250"/>
        <w:rPr>
          <w:rFonts w:hint="eastAsia" w:ascii="宋体" w:hAnsi="宋体" w:cs="宋体"/>
          <w:color w:val="auto"/>
          <w:sz w:val="22"/>
          <w:szCs w:val="22"/>
          <w:highlight w:val="none"/>
        </w:rPr>
      </w:pPr>
    </w:p>
    <w:p>
      <w:pPr>
        <w:spacing w:line="440" w:lineRule="exact"/>
        <w:ind w:firstLine="2380" w:firstLineChars="850"/>
        <w:rPr>
          <w:rFonts w:hint="eastAsia" w:ascii="宋体" w:hAnsi="宋体" w:cs="宋体"/>
          <w:color w:val="auto"/>
          <w:sz w:val="28"/>
          <w:highlight w:val="none"/>
        </w:rPr>
      </w:pPr>
      <w:r>
        <w:rPr>
          <w:rFonts w:hint="eastAsia" w:ascii="宋体" w:hAnsi="宋体" w:cs="宋体"/>
          <w:color w:val="auto"/>
          <w:sz w:val="28"/>
          <w:highlight w:val="none"/>
        </w:rPr>
        <w:t>项 目 名 称：</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_</w:t>
      </w:r>
    </w:p>
    <w:p>
      <w:pPr>
        <w:spacing w:line="440" w:lineRule="exact"/>
        <w:ind w:firstLine="2380" w:firstLineChars="850"/>
        <w:rPr>
          <w:rFonts w:hint="eastAsia" w:ascii="宋体" w:hAnsi="宋体" w:cs="宋体"/>
          <w:color w:val="auto"/>
          <w:sz w:val="28"/>
          <w:highlight w:val="none"/>
        </w:rPr>
      </w:pPr>
    </w:p>
    <w:p>
      <w:pPr>
        <w:spacing w:line="44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项 目 地 点：______________________</w:t>
      </w:r>
    </w:p>
    <w:p>
      <w:pPr>
        <w:spacing w:line="440" w:lineRule="exact"/>
        <w:ind w:firstLine="2413" w:firstLineChars="862"/>
        <w:rPr>
          <w:rFonts w:hint="eastAsia" w:ascii="宋体" w:hAnsi="宋体" w:cs="宋体"/>
          <w:color w:val="auto"/>
          <w:sz w:val="28"/>
          <w:highlight w:val="none"/>
        </w:rPr>
      </w:pPr>
    </w:p>
    <w:p>
      <w:pPr>
        <w:spacing w:line="44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合 同 编 号：______________________</w:t>
      </w:r>
    </w:p>
    <w:p>
      <w:pPr>
        <w:spacing w:line="440" w:lineRule="exact"/>
        <w:ind w:firstLine="4373" w:firstLineChars="1562"/>
        <w:rPr>
          <w:rFonts w:hint="eastAsia" w:ascii="宋体" w:hAnsi="宋体" w:cs="宋体"/>
          <w:color w:val="auto"/>
          <w:sz w:val="28"/>
          <w:highlight w:val="none"/>
        </w:rPr>
      </w:pPr>
      <w:r>
        <w:rPr>
          <w:rFonts w:hint="eastAsia" w:ascii="宋体" w:hAnsi="宋体" w:cs="宋体"/>
          <w:color w:val="auto"/>
          <w:sz w:val="28"/>
          <w:highlight w:val="none"/>
        </w:rPr>
        <w:t xml:space="preserve"> </w:t>
      </w:r>
    </w:p>
    <w:p>
      <w:pPr>
        <w:spacing w:line="440" w:lineRule="exact"/>
        <w:ind w:firstLine="2413" w:firstLineChars="862"/>
        <w:rPr>
          <w:rFonts w:hint="eastAsia" w:ascii="宋体" w:hAnsi="宋体" w:cs="宋体"/>
          <w:color w:val="auto"/>
          <w:sz w:val="28"/>
          <w:highlight w:val="none"/>
        </w:rPr>
      </w:pPr>
    </w:p>
    <w:p>
      <w:pPr>
        <w:spacing w:line="440" w:lineRule="exact"/>
        <w:ind w:firstLine="2413" w:firstLineChars="862"/>
        <w:rPr>
          <w:rFonts w:hint="eastAsia" w:ascii="宋体" w:hAnsi="宋体" w:cs="宋体"/>
          <w:color w:val="auto"/>
          <w:sz w:val="28"/>
          <w:highlight w:val="none"/>
        </w:rPr>
      </w:pPr>
    </w:p>
    <w:p>
      <w:pPr>
        <w:spacing w:line="440" w:lineRule="exact"/>
        <w:ind w:firstLine="2413" w:firstLineChars="862"/>
        <w:rPr>
          <w:rFonts w:hint="eastAsia" w:ascii="宋体" w:hAnsi="宋体" w:cs="宋体"/>
          <w:color w:val="auto"/>
          <w:sz w:val="28"/>
          <w:highlight w:val="none"/>
        </w:rPr>
      </w:pPr>
    </w:p>
    <w:p>
      <w:pPr>
        <w:spacing w:line="44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采 购 单 位：</w:t>
      </w:r>
      <w:r>
        <w:rPr>
          <w:rFonts w:hint="eastAsia" w:ascii="宋体" w:hAnsi="宋体" w:cs="宋体"/>
          <w:color w:val="auto"/>
          <w:sz w:val="28"/>
          <w:highlight w:val="none"/>
          <w:u w:val="single"/>
        </w:rPr>
        <w:t xml:space="preserve">                        </w:t>
      </w:r>
    </w:p>
    <w:p>
      <w:pPr>
        <w:spacing w:line="44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 xml:space="preserve"> </w:t>
      </w:r>
    </w:p>
    <w:p>
      <w:pPr>
        <w:spacing w:line="440" w:lineRule="exact"/>
        <w:ind w:firstLine="2409" w:firstLineChars="753"/>
        <w:rPr>
          <w:rFonts w:hint="eastAsia" w:ascii="宋体" w:hAnsi="宋体" w:cs="宋体"/>
          <w:color w:val="auto"/>
          <w:sz w:val="28"/>
          <w:highlight w:val="none"/>
          <w:u w:val="single"/>
        </w:rPr>
      </w:pPr>
      <w:r>
        <w:rPr>
          <w:rFonts w:hint="eastAsia" w:ascii="宋体" w:hAnsi="宋体" w:cs="宋体"/>
          <w:color w:val="auto"/>
          <w:spacing w:val="20"/>
          <w:sz w:val="28"/>
          <w:highlight w:val="none"/>
        </w:rPr>
        <w:t>中标供应商：</w:t>
      </w:r>
      <w:r>
        <w:rPr>
          <w:rFonts w:hint="eastAsia" w:ascii="宋体" w:hAnsi="宋体" w:cs="宋体"/>
          <w:color w:val="auto"/>
          <w:sz w:val="28"/>
          <w:highlight w:val="none"/>
          <w:u w:val="single"/>
        </w:rPr>
        <w:t xml:space="preserve">                        </w:t>
      </w:r>
    </w:p>
    <w:p>
      <w:pPr>
        <w:spacing w:line="440" w:lineRule="exact"/>
        <w:ind w:firstLine="2413" w:firstLineChars="862"/>
        <w:rPr>
          <w:rFonts w:hint="eastAsia" w:ascii="宋体" w:hAnsi="宋体" w:cs="宋体"/>
          <w:color w:val="auto"/>
          <w:sz w:val="28"/>
          <w:highlight w:val="none"/>
        </w:rPr>
      </w:pPr>
    </w:p>
    <w:p>
      <w:pPr>
        <w:spacing w:line="400" w:lineRule="exact"/>
        <w:ind w:firstLine="2380" w:firstLineChars="850"/>
        <w:rPr>
          <w:rFonts w:hint="eastAsia" w:ascii="宋体" w:hAnsi="宋体" w:cs="宋体"/>
          <w:b/>
          <w:bCs/>
          <w:color w:val="auto"/>
          <w:sz w:val="22"/>
          <w:szCs w:val="22"/>
          <w:highlight w:val="none"/>
        </w:rPr>
      </w:pPr>
      <w:r>
        <w:rPr>
          <w:rFonts w:hint="eastAsia" w:ascii="宋体" w:hAnsi="宋体" w:cs="宋体"/>
          <w:color w:val="auto"/>
          <w:sz w:val="28"/>
          <w:highlight w:val="none"/>
        </w:rPr>
        <w:t>签  订 日 期：___________________</w:t>
      </w:r>
      <w:r>
        <w:rPr>
          <w:rFonts w:hint="eastAsia" w:ascii="宋体" w:hAnsi="宋体" w:cs="宋体"/>
          <w:color w:val="auto"/>
          <w:sz w:val="28"/>
          <w:highlight w:val="none"/>
          <w:u w:val="single"/>
        </w:rPr>
        <w:t xml:space="preserve">     </w:t>
      </w: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rPr>
          <w:rFonts w:hint="eastAsia" w:ascii="宋体" w:hAnsi="宋体" w:cs="宋体"/>
          <w:b/>
          <w:bCs/>
          <w:color w:val="auto"/>
          <w:sz w:val="22"/>
          <w:szCs w:val="22"/>
          <w:highlight w:val="none"/>
        </w:rPr>
      </w:pP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color w:val="auto"/>
          <w:sz w:val="22"/>
          <w:highlight w:val="none"/>
        </w:rPr>
        <w:t>甲方（采购人）</w:t>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u w:val="single"/>
        </w:rPr>
        <w:t xml:space="preserve">                        </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color w:val="auto"/>
          <w:sz w:val="22"/>
          <w:highlight w:val="none"/>
        </w:rPr>
        <w:t>乙方（中标供应商）</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 xml:space="preserve">                       </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color w:val="auto"/>
          <w:sz w:val="22"/>
          <w:highlight w:val="none"/>
        </w:rPr>
        <w:t>温州市公安局交通管理局的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（项目名称)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(项目编号）在国内以公开招标方式进行采购，经评标委员会综合评定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（中标供应商名称）为中标供应商。</w:t>
      </w:r>
      <w:r>
        <w:rPr>
          <w:rFonts w:hint="eastAsia" w:ascii="宋体" w:hAnsi="宋体" w:cs="宋体"/>
          <w:bCs/>
          <w:color w:val="auto"/>
          <w:sz w:val="22"/>
          <w:szCs w:val="22"/>
          <w:highlight w:val="none"/>
        </w:rPr>
        <w:t>为了明确甲、乙双方的权利和义务，履行各自的职责，高效优质地完成本项目的各项工作任务，按照《中华人民共和国采购法》、《中华人民共和民法典》等有关法律法规规定，经甲乙双方在平等、自愿的基础上共同协商一致，现签订合同如下。</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合同项目名称</w:t>
      </w:r>
    </w:p>
    <w:p>
      <w:pPr>
        <w:spacing w:line="400" w:lineRule="exact"/>
        <w:ind w:firstLine="849" w:firstLineChars="386"/>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 xml:space="preserve">                                              </w:t>
      </w:r>
    </w:p>
    <w:p>
      <w:pPr>
        <w:numPr>
          <w:ilvl w:val="0"/>
          <w:numId w:val="6"/>
        </w:numPr>
        <w:tabs>
          <w:tab w:val="clear" w:pos="1920"/>
        </w:tabs>
        <w:spacing w:line="400" w:lineRule="exact"/>
        <w:ind w:left="1575" w:hanging="1575"/>
        <w:rPr>
          <w:rFonts w:hint="eastAsia" w:ascii="宋体" w:hAnsi="宋体" w:cs="宋体"/>
          <w:b/>
          <w:color w:val="auto"/>
          <w:sz w:val="22"/>
          <w:szCs w:val="22"/>
          <w:highlight w:val="none"/>
        </w:rPr>
      </w:pPr>
      <w:r>
        <w:rPr>
          <w:rFonts w:hint="eastAsia" w:ascii="宋体" w:hAnsi="宋体" w:cs="宋体"/>
          <w:b/>
          <w:bCs/>
          <w:color w:val="auto"/>
          <w:sz w:val="22"/>
          <w:szCs w:val="22"/>
          <w:highlight w:val="none"/>
        </w:rPr>
        <w:t>合同文件</w:t>
      </w:r>
      <w:r>
        <w:rPr>
          <w:rFonts w:hint="eastAsia" w:ascii="宋体" w:hAnsi="宋体" w:cs="宋体"/>
          <w:b/>
          <w:color w:val="auto"/>
          <w:sz w:val="22"/>
          <w:szCs w:val="22"/>
          <w:highlight w:val="none"/>
        </w:rPr>
        <w:t>的组成</w:t>
      </w:r>
    </w:p>
    <w:p>
      <w:pPr>
        <w:spacing w:line="40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下列文件构成本合同的组成部分：</w:t>
      </w:r>
    </w:p>
    <w:p>
      <w:pPr>
        <w:widowControl/>
        <w:numPr>
          <w:ilvl w:val="0"/>
          <w:numId w:val="7"/>
        </w:num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合同主要条款</w:t>
      </w:r>
    </w:p>
    <w:p>
      <w:pPr>
        <w:widowControl/>
        <w:numPr>
          <w:ilvl w:val="0"/>
          <w:numId w:val="7"/>
        </w:num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合同补充条款或说明（如有） </w:t>
      </w:r>
    </w:p>
    <w:p>
      <w:pPr>
        <w:spacing w:line="40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 中标通知书</w:t>
      </w:r>
    </w:p>
    <w:p>
      <w:pPr>
        <w:spacing w:line="40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(3) 招标文件 </w:t>
      </w:r>
    </w:p>
    <w:p>
      <w:pPr>
        <w:spacing w:line="40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(4) 投标文件 </w:t>
      </w:r>
    </w:p>
    <w:p>
      <w:pPr>
        <w:spacing w:line="40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(5) 承诺书  （含询标时承诺）</w:t>
      </w:r>
    </w:p>
    <w:p>
      <w:pPr>
        <w:numPr>
          <w:ilvl w:val="0"/>
          <w:numId w:val="6"/>
        </w:numPr>
        <w:tabs>
          <w:tab w:val="clear" w:pos="1920"/>
        </w:tabs>
        <w:spacing w:line="400" w:lineRule="exact"/>
        <w:ind w:left="1575" w:hanging="1575"/>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合同总价及付款方式</w:t>
      </w:r>
    </w:p>
    <w:p>
      <w:pPr>
        <w:pStyle w:val="7"/>
        <w:adjustRightInd w:val="0"/>
        <w:snapToGrid w:val="0"/>
        <w:spacing w:after="0" w:line="400" w:lineRule="exact"/>
        <w:ind w:left="323" w:hanging="323" w:hangingChars="147"/>
        <w:rPr>
          <w:rFonts w:hint="eastAsia" w:ascii="宋体" w:hAnsi="宋体" w:cs="宋体"/>
          <w:bCs/>
          <w:color w:val="auto"/>
          <w:sz w:val="22"/>
          <w:szCs w:val="22"/>
          <w:highlight w:val="none"/>
        </w:rPr>
      </w:pPr>
      <w:r>
        <w:rPr>
          <w:rFonts w:hint="eastAsia" w:ascii="宋体" w:hAnsi="宋体" w:cs="宋体"/>
          <w:color w:val="auto"/>
          <w:sz w:val="22"/>
          <w:szCs w:val="22"/>
          <w:highlight w:val="none"/>
        </w:rPr>
        <w:t>1、合同总价（暂定）：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包括设备费、软件费、系统集成、运输、安装、调试、人工费、利润、验收费、采购代理服务费、税金等完成合同所需的一切本身和不可或缺的所有工作开支、政策性文件规定及合同包含的所有风险、责任等各项全部费用，投标供应商应根据上述因素自行考虑含入投标报价</w:t>
      </w:r>
      <w:r>
        <w:rPr>
          <w:rFonts w:hint="eastAsia" w:ascii="宋体" w:hAnsi="宋体" w:cs="宋体"/>
          <w:bCs/>
          <w:color w:val="auto"/>
          <w:sz w:val="22"/>
          <w:szCs w:val="22"/>
          <w:highlight w:val="none"/>
        </w:rPr>
        <w:t>。</w:t>
      </w:r>
    </w:p>
    <w:p>
      <w:pPr>
        <w:overflowPunct w:val="0"/>
        <w:spacing w:line="400" w:lineRule="exact"/>
        <w:ind w:left="-3" w:leftChars="-119" w:hanging="247" w:hangingChars="112"/>
        <w:rPr>
          <w:rFonts w:hint="eastAsia" w:ascii="宋体" w:hAnsi="宋体" w:cs="宋体"/>
          <w:b/>
          <w:color w:val="auto"/>
          <w:sz w:val="22"/>
          <w:szCs w:val="22"/>
          <w:highlight w:val="none"/>
          <w:u w:val="single"/>
        </w:rPr>
      </w:pPr>
      <w:r>
        <w:rPr>
          <w:rFonts w:hint="eastAsia" w:ascii="宋体" w:hAnsi="宋体" w:cs="宋体"/>
          <w:b/>
          <w:bCs/>
          <w:color w:val="auto"/>
          <w:sz w:val="22"/>
          <w:szCs w:val="22"/>
          <w:highlight w:val="none"/>
        </w:rPr>
        <w:t>▲</w:t>
      </w:r>
      <w:r>
        <w:rPr>
          <w:rFonts w:hint="eastAsia" w:ascii="宋体" w:hAnsi="宋体" w:cs="宋体"/>
          <w:b/>
          <w:color w:val="auto"/>
          <w:sz w:val="22"/>
          <w:szCs w:val="22"/>
          <w:highlight w:val="none"/>
        </w:rPr>
        <w:t>2、</w:t>
      </w:r>
      <w:r>
        <w:rPr>
          <w:rFonts w:hint="eastAsia" w:ascii="宋体" w:hAnsi="宋体" w:cs="宋体"/>
          <w:b/>
          <w:color w:val="auto"/>
          <w:sz w:val="22"/>
          <w:szCs w:val="22"/>
          <w:highlight w:val="none"/>
          <w:u w:val="single"/>
        </w:rPr>
        <w:t>付款方式：</w:t>
      </w:r>
    </w:p>
    <w:p>
      <w:pPr>
        <w:pStyle w:val="7"/>
        <w:numPr>
          <w:ilvl w:val="0"/>
          <w:numId w:val="8"/>
        </w:numPr>
        <w:adjustRightInd w:val="0"/>
        <w:snapToGrid w:val="0"/>
        <w:spacing w:after="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预付款：签订合同后7个工作日内，甲方向乙方支付合同总价的50%预付款。</w:t>
      </w:r>
    </w:p>
    <w:p>
      <w:pPr>
        <w:pStyle w:val="7"/>
        <w:numPr>
          <w:ilvl w:val="0"/>
          <w:numId w:val="8"/>
        </w:numPr>
        <w:adjustRightInd w:val="0"/>
        <w:snapToGrid w:val="0"/>
        <w:spacing w:after="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履行期间付款：系统安装调试结束，乙方提交全部报告材料，经甲方组织确认，完成项目进入试运行后，甲方于7个工作日内，支付合同金额的20%款项。</w:t>
      </w:r>
    </w:p>
    <w:p>
      <w:pPr>
        <w:pStyle w:val="7"/>
        <w:numPr>
          <w:ilvl w:val="0"/>
          <w:numId w:val="8"/>
        </w:numPr>
        <w:adjustRightInd w:val="0"/>
        <w:snapToGrid w:val="0"/>
        <w:spacing w:after="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系统维护期满1年，运维任务合格，支付合同金额的10%款项。系统维护期满2年，运维任务合格，支付合同金额的10%款项。</w:t>
      </w:r>
    </w:p>
    <w:p>
      <w:pPr>
        <w:pStyle w:val="7"/>
        <w:numPr>
          <w:ilvl w:val="0"/>
          <w:numId w:val="8"/>
        </w:numPr>
        <w:adjustRightInd w:val="0"/>
        <w:snapToGrid w:val="0"/>
        <w:spacing w:after="0" w:line="400" w:lineRule="exact"/>
        <w:rPr>
          <w:rFonts w:hint="eastAsia"/>
          <w:color w:val="auto"/>
          <w:highlight w:val="none"/>
        </w:rPr>
      </w:pPr>
      <w:r>
        <w:rPr>
          <w:rFonts w:hint="eastAsia" w:ascii="宋体" w:hAnsi="宋体" w:cs="宋体"/>
          <w:color w:val="auto"/>
          <w:sz w:val="22"/>
          <w:szCs w:val="22"/>
          <w:highlight w:val="none"/>
        </w:rPr>
        <w:t>待三年系统维护期满后，由乙方提出验收申请，于20个工作日内组织项目验收，项目通过验收后7个工作日内支付剩余合同金额的10%款项。</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w:t>
      </w:r>
      <w:r>
        <w:rPr>
          <w:rFonts w:hint="eastAsia" w:ascii="宋体" w:hAnsi="宋体" w:cs="宋体"/>
          <w:b/>
          <w:color w:val="auto"/>
          <w:sz w:val="22"/>
          <w:szCs w:val="22"/>
          <w:highlight w:val="none"/>
        </w:rPr>
        <w:t>服务内容及要求</w:t>
      </w:r>
    </w:p>
    <w:p>
      <w:pPr>
        <w:widowControl/>
        <w:numPr>
          <w:ilvl w:val="0"/>
          <w:numId w:val="9"/>
        </w:numPr>
        <w:overflowPunct w:val="0"/>
        <w:spacing w:line="40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具体采购内容及技术要求</w:t>
      </w:r>
      <w:r>
        <w:rPr>
          <w:rFonts w:hint="eastAsia" w:ascii="宋体" w:hAnsi="宋体" w:cs="宋体"/>
          <w:color w:val="auto"/>
          <w:sz w:val="22"/>
          <w:szCs w:val="22"/>
          <w:highlight w:val="none"/>
          <w:u w:val="single"/>
        </w:rPr>
        <w:t xml:space="preserve">：见招标文件第四部分“采购内容及要求”相关内容  </w:t>
      </w:r>
    </w:p>
    <w:p>
      <w:pPr>
        <w:widowControl/>
        <w:numPr>
          <w:ilvl w:val="0"/>
          <w:numId w:val="9"/>
        </w:numPr>
        <w:overflowPunct w:val="0"/>
        <w:spacing w:line="40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人员培训要求</w:t>
      </w:r>
      <w:r>
        <w:rPr>
          <w:rFonts w:hint="eastAsia" w:ascii="宋体" w:hAnsi="宋体" w:cs="宋体"/>
          <w:color w:val="auto"/>
          <w:sz w:val="22"/>
          <w:szCs w:val="22"/>
          <w:highlight w:val="none"/>
          <w:u w:val="single"/>
        </w:rPr>
        <w:t xml:space="preserve">：见招标文件第四部分“采购内容及要求”相关内容  </w:t>
      </w:r>
    </w:p>
    <w:p>
      <w:pPr>
        <w:widowControl/>
        <w:numPr>
          <w:ilvl w:val="0"/>
          <w:numId w:val="9"/>
        </w:numPr>
        <w:overflowPunct w:val="0"/>
        <w:spacing w:line="40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售后服务要求：</w:t>
      </w:r>
      <w:r>
        <w:rPr>
          <w:rFonts w:hint="eastAsia" w:ascii="宋体" w:hAnsi="宋体" w:cs="宋体"/>
          <w:color w:val="auto"/>
          <w:sz w:val="22"/>
          <w:szCs w:val="22"/>
          <w:highlight w:val="none"/>
          <w:u w:val="single"/>
        </w:rPr>
        <w:t xml:space="preserve">见招标文件第四部分“采购内容及要求”相关内容  </w:t>
      </w:r>
    </w:p>
    <w:p>
      <w:pPr>
        <w:widowControl/>
        <w:numPr>
          <w:ilvl w:val="0"/>
          <w:numId w:val="9"/>
        </w:numPr>
        <w:overflowPunct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项目时间进度及交付地点要求：</w:t>
      </w:r>
      <w:r>
        <w:rPr>
          <w:rFonts w:hint="eastAsia" w:ascii="宋体" w:hAnsi="宋体" w:cs="宋体"/>
          <w:color w:val="auto"/>
          <w:sz w:val="22"/>
          <w:szCs w:val="22"/>
          <w:highlight w:val="none"/>
          <w:u w:val="single"/>
        </w:rPr>
        <w:t xml:space="preserve">见招标文件第四部分“采购内容及要求”相关内容  </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权利和义务</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（一）甲方权利与义务 </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甲方有权要求乙方全面、高效、优质的履行合同规定的要求（包括招标文件的要求及履约过 程中甲方交待的事项）以及乙方承诺的义务（包括投标文件的承诺）。乙方未能如期达到本合同要求，甲方有权解除本合同，除扣除相应合同款外，乙方应赔偿甲方相应的损失。</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甲方有权对乙方的工作质量、进度及要求进行控制和管理，对发现的问题及时向乙方提出书面或口头改进意见，并限期予以整改完善。</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甲方有权对项目实施过程中的决策、控制、实施等环节实行全面管理，协调和监督工作开展，进行中间检查，组织成果评审。</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甲方有权对乙方不履行合同义务及其投标承诺的行为进行处罚。</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甲方有权检查乙方项目组的组成和人员到位情况、人员稳定情况，可要求乙方调整不合格项目组成员及员工，并在要求的时间内及时调整到位。</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甲方有权审查乙方编制的管理文件及技术文件。</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甲方有权根据政策的变动或项目实际需要，对合同项目内容进行修改和补充，乙方应积极配合。</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在合同有效期内，甲方应当履行合同约定的义务，如有违反，则应当承担违约责任。</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甲方需积极协助配合乙方开展相关工作，协助乙方解决问题、使之顺利开展工作。</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甲方需及时提供完整、充分的项目基础资料，若因资料提供不及时造成项目延期，甲方应与乙方协商解决。</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甲方应按时向乙方支付合同款项，如出现有合同款项扣罚或经济处罚的情况，将在扣罚相关金额后进行余额的支付。</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甲方负责组织评审和确认成果及重大技术方案，甲方接到乙方交付的各阶段性研究成果后，应及时组织评审，并将评审意见以书面方式通知乙方。</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在合同履行期间，如因甲方原因提出解除合同的，甲方应根据乙方已完成的实际工作量支付相应的费用。</w:t>
      </w:r>
    </w:p>
    <w:p>
      <w:pPr>
        <w:numPr>
          <w:ilvl w:val="0"/>
          <w:numId w:val="10"/>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合同及招标</w:t>
      </w:r>
      <w:r>
        <w:rPr>
          <w:rFonts w:hint="eastAsia" w:ascii="宋体" w:hAnsi="宋体" w:cs="宋体"/>
          <w:color w:val="auto"/>
          <w:sz w:val="22"/>
          <w:szCs w:val="22"/>
          <w:highlight w:val="none"/>
        </w:rPr>
        <w:t>文件规定的其他权利义务。</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（二）乙方权利和义务</w:t>
      </w:r>
    </w:p>
    <w:p>
      <w:pPr>
        <w:numPr>
          <w:ilvl w:val="0"/>
          <w:numId w:val="11"/>
        </w:numPr>
        <w:tabs>
          <w:tab w:val="left" w:pos="567"/>
        </w:tabs>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乙方有权根据合同约定申请并获得项目合同款。</w:t>
      </w:r>
    </w:p>
    <w:p>
      <w:pPr>
        <w:numPr>
          <w:ilvl w:val="0"/>
          <w:numId w:val="11"/>
        </w:numPr>
        <w:tabs>
          <w:tab w:val="left" w:pos="567"/>
        </w:tabs>
        <w:overflowPunct w:val="0"/>
        <w:spacing w:line="400" w:lineRule="exact"/>
        <w:rPr>
          <w:rFonts w:hint="eastAsia" w:ascii="宋体" w:hAnsi="宋体" w:cs="宋体"/>
          <w:bCs/>
          <w:color w:val="auto"/>
          <w:sz w:val="22"/>
          <w:szCs w:val="22"/>
          <w:highlight w:val="none"/>
        </w:rPr>
      </w:pPr>
      <w:r>
        <w:rPr>
          <w:rFonts w:hint="eastAsia" w:ascii="宋体" w:hAnsi="宋体" w:cs="宋体"/>
          <w:color w:val="auto"/>
          <w:sz w:val="22"/>
          <w:szCs w:val="22"/>
          <w:highlight w:val="none"/>
        </w:rPr>
        <w:t>乙方根据研究工作需要，在合同规定的由甲方提供的资料范围内，有权要求甲方提供相关资料。</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乙方应在承包范围内全面、高效、优质的履行合同规定的各项要求（包括招标文件的要求及履约过程中甲方交待的事项）以及己方承诺的义务（包括投标文件的承诺）。</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乙方应按甲方的要求开展工作，合同实施方案应事先征得甲方的同意在予以实施。如在合同履约过程中出现计划或方案变更情况时，应及时向甲方提出，并在征得甲方的同意后方可实施。</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乙方应接受甲方的管理、监督及检查，在项目实施过程中出现问题应及时的纠正并向甲方进行通报。</w:t>
      </w:r>
    </w:p>
    <w:p>
      <w:pPr>
        <w:numPr>
          <w:ilvl w:val="0"/>
          <w:numId w:val="11"/>
        </w:numPr>
        <w:tabs>
          <w:tab w:val="left" w:pos="482"/>
        </w:tabs>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乙方有义务配合甲方完成各项审批和各阶段成果审查工作。</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乙方应维护甲方的声誉和利益，服从甲方的统一安排。</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乙方应严格遵守国家有关法律、法规，若有违反，由此造成的一切后果由乙方承担。乙方如因上述原因使合同性质发生改变，甲方不负赔偿责任。</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甲方不承担乙方在合同履行过程中因其责任引起的一切事故、法律纠纷和经济责任，乙方须自行负责并处理合同履行过程中与第三方发生的所有事故、法律纠纷及一切费用。</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本项目不能擅自转让或分包。若需要分包，须经甲方认可，乙方对分包服务承担全部责任。如发现擅自转让或分包，甲方有权否决或终止合同，由此给甲方带来的一切损失，由乙方承担。</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color w:val="auto"/>
          <w:sz w:val="22"/>
          <w:szCs w:val="22"/>
          <w:highlight w:val="none"/>
        </w:rPr>
        <w:t>乙方有技术保密的责任和义务，</w:t>
      </w:r>
      <w:r>
        <w:rPr>
          <w:rFonts w:hint="eastAsia" w:ascii="宋体" w:hAnsi="宋体" w:cs="宋体"/>
          <w:bCs/>
          <w:color w:val="auto"/>
          <w:sz w:val="22"/>
          <w:szCs w:val="22"/>
          <w:highlight w:val="none"/>
        </w:rPr>
        <w:t>项目中所涉及的所有资料数据与</w:t>
      </w:r>
      <w:r>
        <w:rPr>
          <w:rFonts w:hint="eastAsia" w:ascii="宋体" w:hAnsi="宋体" w:cs="宋体"/>
          <w:color w:val="auto"/>
          <w:sz w:val="22"/>
          <w:szCs w:val="22"/>
          <w:highlight w:val="none"/>
        </w:rPr>
        <w:t>成果文件</w:t>
      </w:r>
      <w:r>
        <w:rPr>
          <w:rFonts w:hint="eastAsia" w:ascii="宋体" w:hAnsi="宋体" w:cs="宋体"/>
          <w:bCs/>
          <w:color w:val="auto"/>
          <w:sz w:val="22"/>
          <w:szCs w:val="22"/>
          <w:highlight w:val="none"/>
        </w:rPr>
        <w:t>乙方均应负责保密，未经甲方同意不得以任何形式透露给第三方。如发现乙方有泄密情况，可根据国家有关法律向对方追究法律责任。</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乙方</w:t>
      </w:r>
      <w:r>
        <w:rPr>
          <w:rFonts w:hint="eastAsia" w:ascii="宋体" w:hAnsi="宋体" w:cs="宋体"/>
          <w:color w:val="auto"/>
          <w:sz w:val="22"/>
          <w:szCs w:val="22"/>
          <w:highlight w:val="none"/>
        </w:rPr>
        <w:t>负责项目履行过程中的安全责任问题，任何因人身安全伤害、财产损害问题导致的相关责任、赔偿等均由乙方全权负责和承担，乙方应切实做好安全防范工作，避免在工作中出现人身与财产的意外损害。</w:t>
      </w:r>
    </w:p>
    <w:p>
      <w:pPr>
        <w:numPr>
          <w:ilvl w:val="0"/>
          <w:numId w:val="11"/>
        </w:numPr>
        <w:tabs>
          <w:tab w:val="left" w:pos="567"/>
        </w:tabs>
        <w:overflowPunct w:val="0"/>
        <w:spacing w:line="400" w:lineRule="exact"/>
        <w:ind w:left="596" w:hanging="454"/>
        <w:rPr>
          <w:rFonts w:hint="eastAsia" w:ascii="宋体" w:hAnsi="宋体" w:cs="宋体"/>
          <w:bCs/>
          <w:color w:val="auto"/>
          <w:sz w:val="22"/>
          <w:szCs w:val="22"/>
          <w:highlight w:val="none"/>
        </w:rPr>
      </w:pPr>
      <w:r>
        <w:rPr>
          <w:rFonts w:hint="eastAsia" w:ascii="宋体" w:hAnsi="宋体" w:cs="宋体"/>
          <w:bCs/>
          <w:color w:val="auto"/>
          <w:sz w:val="22"/>
          <w:szCs w:val="22"/>
          <w:highlight w:val="none"/>
        </w:rPr>
        <w:t>承担本项目任务后，乙方在“项目实施周期”内向甲方提供与本项目相关的技术咨询服务。</w:t>
      </w:r>
    </w:p>
    <w:p>
      <w:pPr>
        <w:numPr>
          <w:ilvl w:val="0"/>
          <w:numId w:val="11"/>
        </w:numPr>
        <w:tabs>
          <w:tab w:val="left" w:pos="567"/>
        </w:tabs>
        <w:overflowPunct w:val="0"/>
        <w:spacing w:line="400" w:lineRule="exact"/>
        <w:ind w:left="596" w:hanging="454"/>
        <w:rPr>
          <w:rFonts w:hint="eastAsia" w:ascii="宋体" w:hAnsi="宋体" w:cs="宋体"/>
          <w:color w:val="auto"/>
          <w:sz w:val="22"/>
          <w:szCs w:val="22"/>
          <w:highlight w:val="none"/>
        </w:rPr>
      </w:pPr>
      <w:r>
        <w:rPr>
          <w:rFonts w:hint="eastAsia" w:ascii="宋体" w:hAnsi="宋体" w:cs="宋体"/>
          <w:bCs/>
          <w:color w:val="auto"/>
          <w:sz w:val="22"/>
          <w:szCs w:val="22"/>
          <w:highlight w:val="none"/>
        </w:rPr>
        <w:t>本合同执行中相</w:t>
      </w:r>
      <w:r>
        <w:rPr>
          <w:rFonts w:hint="eastAsia" w:ascii="宋体" w:hAnsi="宋体" w:cs="宋体"/>
          <w:color w:val="auto"/>
          <w:sz w:val="22"/>
          <w:szCs w:val="22"/>
          <w:highlight w:val="none"/>
        </w:rPr>
        <w:t>关的一切税费均由乙方负担。</w:t>
      </w:r>
    </w:p>
    <w:p>
      <w:pPr>
        <w:numPr>
          <w:ilvl w:val="0"/>
          <w:numId w:val="11"/>
        </w:numPr>
        <w:tabs>
          <w:tab w:val="left" w:pos="567"/>
        </w:tabs>
        <w:overflowPunct w:val="0"/>
        <w:spacing w:line="400" w:lineRule="exact"/>
        <w:ind w:left="596" w:hanging="454"/>
        <w:rPr>
          <w:rFonts w:hint="eastAsia" w:ascii="宋体" w:hAnsi="宋体" w:cs="宋体"/>
          <w:color w:val="auto"/>
          <w:sz w:val="22"/>
          <w:szCs w:val="22"/>
          <w:highlight w:val="none"/>
        </w:rPr>
      </w:pPr>
      <w:r>
        <w:rPr>
          <w:rFonts w:hint="eastAsia" w:ascii="宋体" w:hAnsi="宋体" w:cs="宋体"/>
          <w:bCs/>
          <w:color w:val="auto"/>
          <w:sz w:val="22"/>
          <w:szCs w:val="22"/>
          <w:highlight w:val="none"/>
        </w:rPr>
        <w:t>合同及招标</w:t>
      </w:r>
      <w:r>
        <w:rPr>
          <w:rFonts w:hint="eastAsia" w:ascii="宋体" w:hAnsi="宋体" w:cs="宋体"/>
          <w:color w:val="auto"/>
          <w:sz w:val="22"/>
          <w:szCs w:val="22"/>
          <w:highlight w:val="none"/>
        </w:rPr>
        <w:t>文件规定的其他权利义务。</w:t>
      </w:r>
    </w:p>
    <w:p>
      <w:pPr>
        <w:numPr>
          <w:ilvl w:val="0"/>
          <w:numId w:val="6"/>
        </w:numPr>
        <w:tabs>
          <w:tab w:val="clear" w:pos="1920"/>
        </w:tabs>
        <w:spacing w:line="400" w:lineRule="exact"/>
        <w:ind w:left="1575" w:hanging="1575"/>
        <w:rPr>
          <w:rFonts w:hint="eastAsia" w:ascii="宋体" w:hAnsi="宋体" w:cs="宋体"/>
          <w:b/>
          <w:color w:val="auto"/>
          <w:sz w:val="22"/>
          <w:szCs w:val="22"/>
          <w:highlight w:val="none"/>
        </w:rPr>
      </w:pPr>
      <w:r>
        <w:rPr>
          <w:rFonts w:hint="eastAsia" w:ascii="宋体" w:hAnsi="宋体" w:cs="宋体"/>
          <w:b/>
          <w:color w:val="auto"/>
          <w:sz w:val="22"/>
          <w:szCs w:val="22"/>
          <w:highlight w:val="none"/>
        </w:rPr>
        <w:t>知识产权保证、归属</w:t>
      </w:r>
    </w:p>
    <w:p>
      <w:pPr>
        <w:tabs>
          <w:tab w:val="left" w:pos="482"/>
        </w:tabs>
        <w:spacing w:line="400" w:lineRule="exact"/>
        <w:ind w:left="564" w:leftChars="99" w:hanging="356" w:hangingChars="162"/>
        <w:rPr>
          <w:rFonts w:hint="eastAsia" w:ascii="宋体" w:hAnsi="宋体" w:cs="宋体"/>
          <w:color w:val="auto"/>
          <w:sz w:val="22"/>
          <w:szCs w:val="22"/>
          <w:highlight w:val="none"/>
        </w:rPr>
      </w:pPr>
      <w:r>
        <w:rPr>
          <w:rFonts w:hint="eastAsia" w:ascii="宋体" w:hAnsi="宋体" w:cs="宋体"/>
          <w:color w:val="auto"/>
          <w:sz w:val="22"/>
          <w:szCs w:val="22"/>
          <w:highlight w:val="none"/>
        </w:rPr>
        <w:t>1、本项目开发成果的知识产权和软件源代码在签订合同后为甲方所有，署名权为甲方、乙方双方所共有，乙方有权就本项目开发成果参与报奖评优等活动。</w:t>
      </w:r>
    </w:p>
    <w:p>
      <w:pPr>
        <w:tabs>
          <w:tab w:val="left" w:pos="482"/>
        </w:tabs>
        <w:spacing w:line="400" w:lineRule="exact"/>
        <w:ind w:left="564" w:leftChars="99" w:hanging="356" w:hangingChars="162"/>
        <w:rPr>
          <w:rFonts w:hint="eastAsia" w:ascii="宋体" w:hAnsi="宋体" w:cs="宋体"/>
          <w:color w:val="auto"/>
          <w:sz w:val="22"/>
          <w:szCs w:val="22"/>
          <w:highlight w:val="none"/>
        </w:rPr>
      </w:pPr>
      <w:r>
        <w:rPr>
          <w:rFonts w:hint="eastAsia" w:ascii="宋体" w:hAnsi="宋体" w:cs="宋体"/>
          <w:color w:val="auto"/>
          <w:sz w:val="22"/>
          <w:szCs w:val="22"/>
          <w:highlight w:val="none"/>
        </w:rPr>
        <w:t>2、乙方保证最终提供给甲方的工作成果不会引起任何第三方基于该产品知识产权的指控，发生的任何侵权责任由乙方负责承担，与甲方无关。</w:t>
      </w:r>
    </w:p>
    <w:p>
      <w:pPr>
        <w:tabs>
          <w:tab w:val="left" w:pos="482"/>
        </w:tabs>
        <w:spacing w:line="400" w:lineRule="exact"/>
        <w:ind w:left="564" w:leftChars="99" w:hanging="356" w:hangingChars="162"/>
        <w:rPr>
          <w:rFonts w:hint="eastAsia" w:ascii="宋体" w:hAnsi="宋体" w:cs="宋体"/>
          <w:color w:val="auto"/>
          <w:sz w:val="22"/>
          <w:szCs w:val="22"/>
          <w:highlight w:val="none"/>
        </w:rPr>
      </w:pPr>
      <w:r>
        <w:rPr>
          <w:rFonts w:hint="eastAsia" w:ascii="宋体" w:hAnsi="宋体" w:cs="宋体"/>
          <w:color w:val="auto"/>
          <w:sz w:val="22"/>
          <w:szCs w:val="22"/>
          <w:highlight w:val="none"/>
        </w:rPr>
        <w:t>3、本条款的规定不因本合同的到期而失效。</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违约责任</w:t>
      </w:r>
    </w:p>
    <w:p>
      <w:pPr>
        <w:tabs>
          <w:tab w:val="left" w:pos="482"/>
        </w:tabs>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1、甲方违约</w:t>
      </w:r>
    </w:p>
    <w:p>
      <w:pPr>
        <w:spacing w:line="400" w:lineRule="exact"/>
        <w:ind w:left="667" w:leftChars="108"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1.1甲方未按约定及时提供基础资料，或受客观原因的制约未能履行合同约定职责的，有责任采取措施，消除影响。</w:t>
      </w:r>
    </w:p>
    <w:p>
      <w:pPr>
        <w:spacing w:line="400" w:lineRule="exact"/>
        <w:ind w:left="667" w:leftChars="108"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1.2在合同履行期间，因甲方自身原因要求中止或解除合同，应向乙方偿付违约金，违约金按合同总价的20％计算；同时按实际己完成工作量向乙方支付合同款；不可抗力及政府政策调整原因除外。</w:t>
      </w:r>
    </w:p>
    <w:p>
      <w:pPr>
        <w:spacing w:line="400" w:lineRule="exact"/>
        <w:ind w:left="667" w:leftChars="108"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2、乙方违约</w:t>
      </w:r>
    </w:p>
    <w:p>
      <w:pPr>
        <w:widowControl/>
        <w:overflowPunct w:val="0"/>
        <w:spacing w:line="400" w:lineRule="exact"/>
        <w:ind w:left="650" w:leftChars="100" w:hanging="440" w:hangingChars="200"/>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2.1</w:t>
      </w:r>
      <w:r>
        <w:rPr>
          <w:rFonts w:hint="eastAsia" w:ascii="宋体" w:hAnsi="宋体" w:cs="宋体"/>
          <w:bCs/>
          <w:color w:val="auto"/>
          <w:sz w:val="22"/>
          <w:szCs w:val="22"/>
          <w:highlight w:val="none"/>
        </w:rPr>
        <w:t>乙方未能履行合同义务，未遵守《招标文件》规定和《投标文件》中所承诺的服务内容及合同相关规定，均属违约行为。甲方根据合同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pPr>
        <w:widowControl/>
        <w:overflowPunct w:val="0"/>
        <w:spacing w:line="400" w:lineRule="exact"/>
        <w:ind w:left="650" w:leftChars="100" w:hanging="440" w:hanging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2.2</w:t>
      </w:r>
      <w:r>
        <w:rPr>
          <w:rFonts w:hint="eastAsia" w:ascii="宋体" w:hAnsi="宋体" w:cs="宋体"/>
          <w:color w:val="auto"/>
          <w:sz w:val="22"/>
          <w:highlight w:val="none"/>
        </w:rPr>
        <w:t>由于乙方原因，延误了各阶段任务完成时间，每延误一天（日历天），应减收该任务部分应收费用的千分之二，</w:t>
      </w:r>
      <w:r>
        <w:rPr>
          <w:rFonts w:hint="eastAsia" w:ascii="宋体" w:hAnsi="宋体" w:cs="宋体"/>
          <w:color w:val="auto"/>
          <w:sz w:val="22"/>
          <w:szCs w:val="22"/>
          <w:highlight w:val="none"/>
        </w:rPr>
        <w:t>扣除最高限额为该任务部分合同费用的8%，一旦达到扣除服务费的最高限额，甲方有权单方面终止合同。</w:t>
      </w:r>
    </w:p>
    <w:p>
      <w:pPr>
        <w:spacing w:line="400" w:lineRule="exact"/>
        <w:ind w:left="667" w:leftChars="108" w:hanging="440" w:hangingChars="200"/>
        <w:rPr>
          <w:rFonts w:hint="eastAsia" w:ascii="宋体" w:hAnsi="宋体" w:cs="宋体"/>
          <w:color w:val="auto"/>
          <w:sz w:val="22"/>
          <w:highlight w:val="none"/>
        </w:rPr>
      </w:pPr>
      <w:r>
        <w:rPr>
          <w:rFonts w:hint="eastAsia" w:ascii="宋体" w:hAnsi="宋体" w:cs="宋体"/>
          <w:color w:val="auto"/>
          <w:sz w:val="22"/>
          <w:szCs w:val="22"/>
          <w:highlight w:val="none"/>
        </w:rPr>
        <w:t>2.3</w:t>
      </w:r>
      <w:r>
        <w:rPr>
          <w:rFonts w:hint="eastAsia" w:ascii="宋体" w:hAnsi="宋体" w:cs="宋体"/>
          <w:color w:val="auto"/>
          <w:sz w:val="22"/>
          <w:highlight w:val="none"/>
        </w:rPr>
        <w:t>由于乙方错误造成项目质量事故损失，乙方除负责采取补救措施外，应免收受损失部分的服务费用，并根据损失程度向甲方支付相应的赔偿金。</w:t>
      </w:r>
    </w:p>
    <w:p>
      <w:pPr>
        <w:spacing w:line="400" w:lineRule="exact"/>
        <w:ind w:left="667" w:leftChars="108" w:hanging="440" w:hangingChars="200"/>
        <w:rPr>
          <w:rFonts w:hint="eastAsia" w:ascii="宋体" w:hAnsi="宋体" w:cs="宋体"/>
          <w:color w:val="auto"/>
          <w:sz w:val="22"/>
          <w:szCs w:val="22"/>
          <w:highlight w:val="none"/>
        </w:rPr>
      </w:pPr>
      <w:r>
        <w:rPr>
          <w:rFonts w:hint="eastAsia" w:ascii="宋体" w:hAnsi="宋体" w:cs="宋体"/>
          <w:color w:val="auto"/>
          <w:sz w:val="22"/>
          <w:highlight w:val="none"/>
        </w:rPr>
        <w:t>2.4合同生效后，乙方因自身原因要求终止或解除合同，</w:t>
      </w:r>
      <w:r>
        <w:rPr>
          <w:rFonts w:hint="eastAsia" w:ascii="宋体" w:hAnsi="宋体" w:cs="宋体"/>
          <w:color w:val="auto"/>
          <w:sz w:val="22"/>
          <w:szCs w:val="22"/>
          <w:highlight w:val="none"/>
        </w:rPr>
        <w:t>应向甲方偿付违约金，违约金按合同总价的20％计算；甲方已付合同款需全部退还；不可抗力原因除外。</w:t>
      </w:r>
    </w:p>
    <w:p>
      <w:pPr>
        <w:spacing w:line="400" w:lineRule="exact"/>
        <w:ind w:left="667" w:leftChars="108" w:hanging="440" w:hangingChars="200"/>
        <w:rPr>
          <w:rFonts w:hint="eastAsia" w:ascii="宋体" w:hAnsi="宋体" w:cs="宋体"/>
          <w:color w:val="auto"/>
          <w:sz w:val="22"/>
          <w:highlight w:val="none"/>
        </w:rPr>
      </w:pPr>
      <w:r>
        <w:rPr>
          <w:rFonts w:hint="eastAsia" w:ascii="宋体" w:hAnsi="宋体" w:cs="宋体"/>
          <w:color w:val="auto"/>
          <w:sz w:val="22"/>
          <w:highlight w:val="none"/>
        </w:rPr>
        <w:t>2.5乙方未认真履行合同义务和服务承诺，发现1次扣除合同总金额0.1%，即￥        (人民币        元整)。工作缺失造成不良后果的，确认一次扣除合同总金额0.5%，即￥       (人民币         元整)。</w:t>
      </w:r>
    </w:p>
    <w:p>
      <w:pPr>
        <w:spacing w:line="400" w:lineRule="exact"/>
        <w:ind w:left="667" w:leftChars="108" w:hanging="440" w:hangingChars="200"/>
        <w:rPr>
          <w:rFonts w:hint="eastAsia" w:ascii="宋体" w:hAnsi="宋体" w:cs="宋体"/>
          <w:color w:val="auto"/>
          <w:sz w:val="22"/>
          <w:highlight w:val="none"/>
        </w:rPr>
      </w:pPr>
      <w:r>
        <w:rPr>
          <w:rFonts w:hint="eastAsia" w:ascii="宋体" w:hAnsi="宋体" w:cs="宋体"/>
          <w:color w:val="auto"/>
          <w:sz w:val="22"/>
          <w:highlight w:val="none"/>
        </w:rPr>
        <w:t>2.6因乙方责任发生违反公安网络和计算机使用规定的，发生一次扣除合同总金额0.5%，即￥       (人民币          元整)。被上级部门通报的，发生一起扣除合同总金额的0.75%，即￥      (人民币           元整)。被省级以上(含)部门的扣除合同总金额的1%，即￥       （人民币          元整)。</w:t>
      </w:r>
    </w:p>
    <w:p>
      <w:pPr>
        <w:spacing w:line="400" w:lineRule="exact"/>
        <w:ind w:left="667" w:leftChars="108" w:hanging="440" w:hangingChars="200"/>
        <w:rPr>
          <w:rFonts w:hint="eastAsia"/>
          <w:color w:val="auto"/>
          <w:highlight w:val="none"/>
        </w:rPr>
      </w:pPr>
      <w:r>
        <w:rPr>
          <w:rFonts w:hint="eastAsia" w:ascii="宋体" w:hAnsi="宋体" w:cs="宋体"/>
          <w:color w:val="auto"/>
          <w:sz w:val="22"/>
          <w:highlight w:val="none"/>
        </w:rPr>
        <w:t>2.7合同执行期内，如因乙方责任造成甲方严重安全事件2起(含)以上，或被上级部门报3次(含)以上的甲方有权立即解除合同，可停止支付合同款，乙方将赔偿有关损失，乙方人员涉及违法犯罪的，依法追究其法律责任。</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不可抗力</w:t>
      </w:r>
    </w:p>
    <w:p>
      <w:pPr>
        <w:tabs>
          <w:tab w:val="left" w:pos="592"/>
        </w:tabs>
        <w:overflowPunct w:val="0"/>
        <w:spacing w:line="400" w:lineRule="exact"/>
        <w:ind w:left="548" w:leftChars="104" w:hanging="330" w:hangingChars="1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1、不可抗力事件发生后，应立即通知对方，并寄送有关权威机构出具的证明。不可抗力事件延续30天以上，双方应通过友好协商，确定是否继续履行合同。</w:t>
      </w:r>
    </w:p>
    <w:p>
      <w:pPr>
        <w:tabs>
          <w:tab w:val="left" w:pos="592"/>
        </w:tabs>
        <w:overflowPunct w:val="0"/>
        <w:spacing w:line="400" w:lineRule="exact"/>
        <w:ind w:left="548" w:leftChars="104" w:hanging="330" w:hangingChars="150"/>
        <w:rPr>
          <w:rFonts w:hint="eastAsia" w:ascii="宋体" w:hAnsi="宋体" w:cs="宋体"/>
          <w:bCs/>
          <w:color w:val="auto"/>
          <w:sz w:val="22"/>
          <w:szCs w:val="22"/>
          <w:highlight w:val="none"/>
        </w:rPr>
      </w:pPr>
      <w:r>
        <w:rPr>
          <w:rFonts w:hint="eastAsia" w:ascii="宋体" w:hAnsi="宋体" w:cs="宋体"/>
          <w:bCs/>
          <w:color w:val="auto"/>
          <w:sz w:val="22"/>
          <w:szCs w:val="22"/>
          <w:highlight w:val="none"/>
        </w:rPr>
        <w:t>2、在合同有效期间发生不可抗力，导致合同不能或不能全部履行。双方可以按以下各项执行：</w:t>
      </w:r>
    </w:p>
    <w:p>
      <w:pPr>
        <w:overflowPunct w:val="0"/>
        <w:spacing w:line="400" w:lineRule="exact"/>
        <w:ind w:left="768" w:leftChars="10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（1）因不可抗力导致合同终止，并不影响任何一方对不可抗力先前发生的违约行为合法追偿。</w:t>
      </w:r>
    </w:p>
    <w:p>
      <w:pPr>
        <w:tabs>
          <w:tab w:val="left" w:pos="592"/>
        </w:tabs>
        <w:overflowPunct w:val="0"/>
        <w:spacing w:line="400" w:lineRule="exact"/>
        <w:ind w:left="548" w:leftChars="104" w:hanging="330" w:hangingChars="150"/>
        <w:rPr>
          <w:rFonts w:hint="eastAsia" w:ascii="宋体" w:hAnsi="宋体" w:cs="宋体"/>
          <w:bCs/>
          <w:color w:val="auto"/>
          <w:sz w:val="22"/>
          <w:szCs w:val="22"/>
          <w:highlight w:val="none"/>
        </w:rPr>
      </w:pPr>
      <w:r>
        <w:rPr>
          <w:rFonts w:hint="eastAsia" w:ascii="宋体" w:hAnsi="宋体" w:cs="宋体"/>
          <w:bCs/>
          <w:color w:val="auto"/>
          <w:sz w:val="22"/>
          <w:szCs w:val="22"/>
          <w:highlight w:val="none"/>
        </w:rPr>
        <w:t>（2）甲方不承担因不可抗力造成合同不能正常履行的责任。</w:t>
      </w:r>
    </w:p>
    <w:p>
      <w:pPr>
        <w:tabs>
          <w:tab w:val="left" w:pos="592"/>
        </w:tabs>
        <w:overflowPunct w:val="0"/>
        <w:spacing w:line="400" w:lineRule="exact"/>
        <w:ind w:left="548" w:leftChars="104" w:hanging="330" w:hangingChars="1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3、遇国家政策性调整，影响合同履行，双方协商解决。</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合同生效及终止</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（一）合同生效：本合同自甲乙双方法定代表人或委托代理人签字、盖章之日起生效。</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（二）合同终止：本合同出现以下情况时终止。</w:t>
      </w:r>
    </w:p>
    <w:p>
      <w:pPr>
        <w:tabs>
          <w:tab w:val="left" w:pos="592"/>
        </w:tabs>
        <w:overflowPunct w:val="0"/>
        <w:spacing w:line="400" w:lineRule="exact"/>
        <w:ind w:left="548" w:leftChars="104"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1、提前终止</w:t>
      </w:r>
    </w:p>
    <w:p>
      <w:pPr>
        <w:overflowPunct w:val="0"/>
        <w:spacing w:line="400" w:lineRule="exact"/>
        <w:ind w:left="575" w:leftChars="12"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color w:val="auto"/>
          <w:sz w:val="22"/>
          <w:szCs w:val="22"/>
          <w:highlight w:val="none"/>
        </w:rPr>
        <w:t>乙方因自身过错未能履行合同和遵守有关规定，在甲方发出书面警告后仍无采取补救措施，</w:t>
      </w:r>
      <w:r>
        <w:rPr>
          <w:rFonts w:hint="eastAsia" w:ascii="宋体" w:hAnsi="宋体" w:cs="宋体"/>
          <w:bCs/>
          <w:color w:val="auto"/>
          <w:sz w:val="22"/>
          <w:szCs w:val="22"/>
          <w:highlight w:val="none"/>
        </w:rPr>
        <w:t>甲方有权单方终止合同，乙方应无条件退还全额已支付合同款。</w:t>
      </w:r>
    </w:p>
    <w:p>
      <w:pPr>
        <w:overflowPunct w:val="0"/>
        <w:spacing w:line="40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（2）根据招标文件第四部分要求及乙方在《投标文件》中做出的承诺性条款进行检查考评，不符合相关规定需终止合同的。</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（3）乙方有以下行为之一的：</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bCs/>
          <w:color w:val="auto"/>
          <w:sz w:val="22"/>
          <w:szCs w:val="22"/>
          <w:highlight w:val="none"/>
        </w:rPr>
        <w:t>1）违反规定造成重大伤亡或重大损失。</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bCs/>
          <w:color w:val="auto"/>
          <w:sz w:val="22"/>
          <w:szCs w:val="22"/>
          <w:highlight w:val="none"/>
        </w:rPr>
        <w:t>2）因管理不善造成恶劣影响。</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color w:val="auto"/>
          <w:sz w:val="22"/>
          <w:szCs w:val="22"/>
          <w:highlight w:val="none"/>
        </w:rPr>
        <w:t>3）从事违法犯罪活动或其他损害甲方形象或声誉的活动。</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bCs/>
          <w:color w:val="auto"/>
          <w:sz w:val="22"/>
          <w:szCs w:val="22"/>
          <w:highlight w:val="none"/>
        </w:rPr>
        <w:t>4）未经甲方同意擅自将合同全部或部分转包、分包给第三者。</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bCs/>
          <w:color w:val="auto"/>
          <w:sz w:val="22"/>
          <w:szCs w:val="22"/>
          <w:highlight w:val="none"/>
        </w:rPr>
        <w:t>5）违反其他相关法律法规，造成恶劣影响。</w:t>
      </w:r>
    </w:p>
    <w:p>
      <w:pPr>
        <w:overflowPunct w:val="0"/>
        <w:spacing w:line="400" w:lineRule="exact"/>
        <w:ind w:firstLine="178" w:firstLineChars="81"/>
        <w:rPr>
          <w:rFonts w:hint="eastAsia" w:ascii="宋体" w:hAnsi="宋体" w:cs="宋体"/>
          <w:bCs/>
          <w:color w:val="auto"/>
          <w:sz w:val="22"/>
          <w:szCs w:val="22"/>
          <w:highlight w:val="none"/>
        </w:rPr>
      </w:pPr>
      <w:r>
        <w:rPr>
          <w:rFonts w:hint="eastAsia" w:ascii="宋体" w:hAnsi="宋体" w:cs="宋体"/>
          <w:bCs/>
          <w:color w:val="auto"/>
          <w:sz w:val="22"/>
          <w:szCs w:val="22"/>
          <w:highlight w:val="none"/>
        </w:rPr>
        <w:t>6）《投标文件》承诺项目未落实到位的，弄虚作假及其他不正当行为。</w:t>
      </w:r>
    </w:p>
    <w:p>
      <w:pPr>
        <w:overflowPunct w:val="0"/>
        <w:spacing w:line="40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（4）乙方破产清算、重组及兼并等事实发生，或被债权人接管经营，甲方无需通知乙方即可终止承包。</w:t>
      </w:r>
    </w:p>
    <w:p>
      <w:pPr>
        <w:overflowPunct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（5）合同规定的其他终止情况。</w:t>
      </w:r>
    </w:p>
    <w:p>
      <w:pPr>
        <w:tabs>
          <w:tab w:val="left" w:pos="592"/>
        </w:tabs>
        <w:overflowPunct w:val="0"/>
        <w:spacing w:line="400" w:lineRule="exact"/>
        <w:ind w:left="548" w:leftChars="104"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2、协议终止</w:t>
      </w:r>
    </w:p>
    <w:p>
      <w:pPr>
        <w:overflowPunct w:val="0"/>
        <w:spacing w:line="400" w:lineRule="exact"/>
        <w:ind w:firstLine="616" w:firstLineChars="280"/>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经双方协商同意，可在任何时候终止合同。</w:t>
      </w:r>
    </w:p>
    <w:p>
      <w:pPr>
        <w:tabs>
          <w:tab w:val="left" w:pos="592"/>
        </w:tabs>
        <w:overflowPunct w:val="0"/>
        <w:spacing w:line="400" w:lineRule="exact"/>
        <w:ind w:left="548" w:leftChars="104" w:hanging="330" w:hangingChars="1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3、自然终止</w:t>
      </w:r>
    </w:p>
    <w:p>
      <w:pPr>
        <w:overflowPunct w:val="0"/>
        <w:spacing w:line="400" w:lineRule="exact"/>
        <w:ind w:firstLine="616" w:firstLineChars="280"/>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合同规定的义务履行完毕，合同自然终止。</w:t>
      </w:r>
    </w:p>
    <w:p>
      <w:pPr>
        <w:overflowPunct w:val="0"/>
        <w:spacing w:line="400" w:lineRule="exact"/>
        <w:ind w:left="660" w:hanging="660" w:hangingChars="3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（三）合同</w:t>
      </w:r>
      <w:r>
        <w:rPr>
          <w:rFonts w:hint="eastAsia" w:ascii="宋体" w:hAnsi="宋体" w:cs="宋体"/>
          <w:color w:val="auto"/>
          <w:sz w:val="22"/>
          <w:szCs w:val="22"/>
          <w:highlight w:val="none"/>
        </w:rPr>
        <w:t>未尽事宜由双方协商解决，并以书面形式修改或补充本合同条款；合同的附件、修改（补充）件均与本主合同有同等的法律效力。</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争议的解决</w:t>
      </w:r>
    </w:p>
    <w:p>
      <w:pPr>
        <w:overflowPunct w:val="0"/>
        <w:spacing w:line="400" w:lineRule="exact"/>
        <w:ind w:left="439" w:leftChars="209"/>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合同争议由双方友好协调解决。协商不一致，任何一方均可提起向甲方所在地人民法院提起诉讼。</w:t>
      </w:r>
    </w:p>
    <w:p>
      <w:pPr>
        <w:numPr>
          <w:ilvl w:val="0"/>
          <w:numId w:val="6"/>
        </w:numPr>
        <w:tabs>
          <w:tab w:val="clear" w:pos="1920"/>
        </w:tabs>
        <w:spacing w:line="400" w:lineRule="exact"/>
        <w:ind w:left="1575" w:hanging="157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合同的份数</w:t>
      </w:r>
    </w:p>
    <w:p>
      <w:pPr>
        <w:overflowPunct w:val="0"/>
        <w:spacing w:line="400" w:lineRule="exact"/>
        <w:ind w:left="439" w:leftChars="209"/>
        <w:rPr>
          <w:rFonts w:hint="eastAsia" w:ascii="宋体" w:hAnsi="宋体" w:cs="宋体"/>
          <w:bCs/>
          <w:color w:val="auto"/>
          <w:sz w:val="22"/>
          <w:szCs w:val="22"/>
          <w:highlight w:val="none"/>
        </w:rPr>
      </w:pPr>
      <w:r>
        <w:rPr>
          <w:rFonts w:hint="eastAsia" w:ascii="宋体" w:hAnsi="宋体" w:cs="宋体"/>
          <w:color w:val="auto"/>
          <w:sz w:val="22"/>
          <w:szCs w:val="22"/>
          <w:highlight w:val="none"/>
        </w:rPr>
        <w:t>本合同一式伍份，双方各执贰份，交采购代理机构备案壹份。</w:t>
      </w:r>
    </w:p>
    <w:p>
      <w:pPr>
        <w:overflowPunct w:val="0"/>
        <w:spacing w:line="400" w:lineRule="exact"/>
        <w:ind w:firstLine="440" w:firstLineChars="200"/>
        <w:rPr>
          <w:rFonts w:hint="eastAsia" w:ascii="宋体" w:hAnsi="宋体" w:cs="宋体"/>
          <w:bCs/>
          <w:color w:val="auto"/>
          <w:sz w:val="22"/>
          <w:szCs w:val="22"/>
          <w:highlight w:val="none"/>
        </w:rPr>
      </w:pP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甲    方：（印章）                   乙    方：（印章）</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全权代表：（签字）                   全权代表：（签字）</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地    址：                           地    址：</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邮政编码：                           邮政编码：</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    话：                           电    话：</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传    真：                           传    真：</w:t>
      </w:r>
    </w:p>
    <w:p>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开户银行：                           开户银行：</w:t>
      </w:r>
    </w:p>
    <w:p>
      <w:pPr>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帐    号：                           帐    号：</w:t>
      </w:r>
    </w:p>
    <w:p>
      <w:pPr>
        <w:spacing w:line="440" w:lineRule="exact"/>
        <w:ind w:left="210" w:leftChars="100" w:firstLine="220" w:firstLineChars="1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                           日    期：</w:t>
      </w:r>
    </w:p>
    <w:p>
      <w:pPr>
        <w:spacing w:line="440" w:lineRule="exact"/>
        <w:ind w:left="210" w:leftChars="100" w:firstLine="220" w:firstLineChars="100"/>
        <w:rPr>
          <w:rFonts w:hint="eastAsia" w:ascii="宋体" w:hAnsi="宋体" w:cs="宋体"/>
          <w:bCs/>
          <w:color w:val="auto"/>
          <w:sz w:val="22"/>
          <w:szCs w:val="22"/>
          <w:highlight w:val="none"/>
        </w:rPr>
      </w:pPr>
    </w:p>
    <w:p>
      <w:pPr>
        <w:pStyle w:val="3"/>
        <w:tabs>
          <w:tab w:val="clear" w:pos="840"/>
        </w:tabs>
        <w:adjustRightInd/>
        <w:snapToGrid/>
        <w:spacing w:before="120" w:after="120" w:line="400" w:lineRule="exact"/>
        <w:jc w:val="center"/>
        <w:rPr>
          <w:rFonts w:hint="eastAsia" w:hAnsi="宋体" w:cs="宋体"/>
          <w:color w:val="auto"/>
          <w:sz w:val="32"/>
          <w:szCs w:val="32"/>
          <w:highlight w:val="none"/>
        </w:rPr>
      </w:pPr>
      <w:bookmarkStart w:id="43" w:name="_Toc27501"/>
      <w:bookmarkStart w:id="44" w:name="_Toc66274195"/>
      <w:bookmarkStart w:id="45" w:name="_Toc3030"/>
      <w:r>
        <w:rPr>
          <w:rFonts w:hint="eastAsia" w:hAnsi="宋体" w:cs="宋体"/>
          <w:color w:val="auto"/>
          <w:sz w:val="32"/>
          <w:szCs w:val="32"/>
          <w:highlight w:val="none"/>
        </w:rPr>
        <w:br w:type="page"/>
      </w:r>
      <w:r>
        <w:rPr>
          <w:rFonts w:hint="eastAsia" w:hAnsi="宋体" w:cs="宋体"/>
          <w:color w:val="auto"/>
          <w:sz w:val="32"/>
          <w:szCs w:val="32"/>
          <w:highlight w:val="none"/>
        </w:rPr>
        <w:t>第三部分 附件</w:t>
      </w:r>
      <w:bookmarkEnd w:id="43"/>
      <w:bookmarkEnd w:id="44"/>
      <w:bookmarkEnd w:id="45"/>
    </w:p>
    <w:p>
      <w:pPr>
        <w:pStyle w:val="4"/>
        <w:spacing w:line="400" w:lineRule="exact"/>
        <w:rPr>
          <w:rFonts w:hint="eastAsia" w:ascii="宋体" w:hAnsi="宋体" w:eastAsia="宋体" w:cs="宋体"/>
          <w:color w:val="auto"/>
          <w:sz w:val="22"/>
          <w:szCs w:val="22"/>
          <w:highlight w:val="none"/>
        </w:rPr>
      </w:pPr>
      <w:bookmarkStart w:id="46" w:name="_Toc5003"/>
      <w:bookmarkStart w:id="47" w:name="_Toc66274196"/>
      <w:bookmarkStart w:id="48" w:name="_Toc2135"/>
      <w:bookmarkStart w:id="49" w:name="_Toc301515373"/>
      <w:bookmarkStart w:id="50" w:name="_Toc496784111"/>
      <w:bookmarkStart w:id="51" w:name="_Toc395528088"/>
      <w:r>
        <w:rPr>
          <w:rFonts w:hint="eastAsia" w:ascii="宋体" w:hAnsi="宋体" w:eastAsia="宋体" w:cs="宋体"/>
          <w:color w:val="auto"/>
          <w:sz w:val="22"/>
          <w:szCs w:val="22"/>
          <w:highlight w:val="none"/>
        </w:rPr>
        <w:t>附件一  投 标 函</w:t>
      </w:r>
      <w:bookmarkEnd w:id="46"/>
      <w:bookmarkEnd w:id="47"/>
      <w:bookmarkEnd w:id="48"/>
      <w:bookmarkEnd w:id="49"/>
      <w:bookmarkEnd w:id="50"/>
      <w:bookmarkEnd w:id="51"/>
    </w:p>
    <w:p>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温州市公安局交通管理局</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浙江东瓯工程造价咨询有限公司：</w:t>
      </w:r>
    </w:p>
    <w:p>
      <w:pPr>
        <w:spacing w:line="42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根据贵方为项目（编号：）的投标邀请，我方</w:t>
      </w:r>
      <w:r>
        <w:rPr>
          <w:rFonts w:hint="eastAsia" w:ascii="宋体" w:hAnsi="宋体" w:cs="宋体"/>
          <w:color w:val="auto"/>
          <w:sz w:val="22"/>
          <w:szCs w:val="22"/>
          <w:highlight w:val="none"/>
          <w:u w:val="single"/>
        </w:rPr>
        <w:t xml:space="preserve">   （投标供应商名称）    </w:t>
      </w:r>
      <w:r>
        <w:rPr>
          <w:rFonts w:hint="eastAsia" w:ascii="宋体" w:hAnsi="宋体" w:cs="宋体"/>
          <w:color w:val="auto"/>
          <w:sz w:val="22"/>
          <w:szCs w:val="22"/>
          <w:highlight w:val="none"/>
        </w:rPr>
        <w:t>作为投标供应商正式授权</w:t>
      </w:r>
      <w:r>
        <w:rPr>
          <w:rFonts w:hint="eastAsia" w:ascii="宋体" w:hAnsi="宋体" w:cs="宋体"/>
          <w:color w:val="auto"/>
          <w:sz w:val="22"/>
          <w:szCs w:val="22"/>
          <w:highlight w:val="none"/>
          <w:u w:val="single"/>
        </w:rPr>
        <w:t xml:space="preserve">　  （授权代表全名，职务）    </w:t>
      </w:r>
      <w:r>
        <w:rPr>
          <w:rFonts w:hint="eastAsia" w:ascii="宋体" w:hAnsi="宋体" w:cs="宋体"/>
          <w:color w:val="auto"/>
          <w:sz w:val="22"/>
          <w:szCs w:val="22"/>
          <w:highlight w:val="none"/>
        </w:rPr>
        <w:t>代表我方处理有关本投标的一切事宜，并参加本项目的投标。</w:t>
      </w:r>
    </w:p>
    <w:p>
      <w:pPr>
        <w:spacing w:line="420" w:lineRule="exact"/>
        <w:ind w:left="975" w:leftChars="15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在此提交的投标文件中，包括按“招标文件”要求编制的资格文件、商务技术文件、报价文件。</w:t>
      </w:r>
    </w:p>
    <w:p>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pPr>
        <w:spacing w:line="42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pPr>
        <w:spacing w:line="42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pPr>
        <w:spacing w:line="42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w:t>
      </w:r>
    </w:p>
    <w:p>
      <w:pPr>
        <w:spacing w:line="420" w:lineRule="exact"/>
        <w:ind w:left="359" w:leftChars="171"/>
        <w:rPr>
          <w:rFonts w:hint="eastAsia"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pPr>
        <w:spacing w:line="420" w:lineRule="exact"/>
        <w:ind w:left="359" w:leftChars="171"/>
        <w:rPr>
          <w:rFonts w:hint="eastAsia"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pPr>
        <w:spacing w:line="40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（六）我方如果中标，将保证履行招标文件以及招标文件修改书（如有）中的全部责任和义务，按质、按量、按期完成《合同书》中的全部任务。</w:t>
      </w:r>
    </w:p>
    <w:p>
      <w:pPr>
        <w:spacing w:line="40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（七）所有与本投标有关的函件请发往下列地址：</w:t>
      </w:r>
    </w:p>
    <w:p>
      <w:pPr>
        <w:spacing w:line="40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0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0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0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spacing w:line="400" w:lineRule="exact"/>
        <w:ind w:firstLine="770" w:firstLineChars="350"/>
        <w:rPr>
          <w:rFonts w:hint="eastAsia" w:ascii="宋体" w:hAnsi="宋体" w:cs="宋体"/>
          <w:color w:val="auto"/>
          <w:sz w:val="22"/>
          <w:szCs w:val="22"/>
          <w:highlight w:val="none"/>
          <w:u w:val="single"/>
        </w:rPr>
      </w:pPr>
    </w:p>
    <w:p>
      <w:pPr>
        <w:spacing w:line="500" w:lineRule="exact"/>
        <w:ind w:firstLine="4840" w:firstLineChars="2200"/>
        <w:rPr>
          <w:rFonts w:hint="eastAsia" w:ascii="宋体" w:hAnsi="宋体" w:cs="宋体"/>
          <w:color w:val="auto"/>
          <w:sz w:val="22"/>
          <w:highlight w:val="none"/>
        </w:rPr>
      </w:pP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（盖章）：</w:t>
      </w: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highlight w:val="none"/>
        </w:rPr>
        <w:t>投标供应商代表</w:t>
      </w:r>
      <w:r>
        <w:rPr>
          <w:rFonts w:hint="eastAsia" w:ascii="宋体" w:hAnsi="宋体" w:cs="宋体"/>
          <w:color w:val="auto"/>
          <w:sz w:val="22"/>
          <w:szCs w:val="22"/>
          <w:highlight w:val="none"/>
        </w:rPr>
        <w:t>（签字）：</w:t>
      </w: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400" w:lineRule="exact"/>
        <w:ind w:firstLine="435"/>
        <w:rPr>
          <w:rFonts w:hint="eastAsia" w:ascii="宋体" w:hAnsi="宋体" w:cs="宋体"/>
          <w:color w:val="auto"/>
          <w:sz w:val="22"/>
          <w:szCs w:val="22"/>
          <w:highlight w:val="none"/>
          <w:u w:val="single"/>
        </w:rPr>
      </w:pPr>
    </w:p>
    <w:p>
      <w:pPr>
        <w:spacing w:line="400" w:lineRule="exact"/>
        <w:ind w:firstLine="435"/>
        <w:rPr>
          <w:rFonts w:hint="eastAsia" w:ascii="宋体" w:hAnsi="宋体" w:cs="宋体"/>
          <w:color w:val="auto"/>
          <w:sz w:val="22"/>
          <w:szCs w:val="22"/>
          <w:highlight w:val="none"/>
          <w:u w:val="single"/>
        </w:rPr>
      </w:pPr>
    </w:p>
    <w:p>
      <w:pPr>
        <w:pStyle w:val="4"/>
        <w:spacing w:line="400" w:lineRule="exact"/>
        <w:rPr>
          <w:rFonts w:hint="eastAsia" w:ascii="宋体" w:hAnsi="宋体" w:eastAsia="宋体" w:cs="宋体"/>
          <w:color w:val="auto"/>
          <w:sz w:val="22"/>
          <w:szCs w:val="22"/>
          <w:highlight w:val="none"/>
        </w:rPr>
      </w:pPr>
      <w:bookmarkStart w:id="52" w:name="_Toc395528089"/>
      <w:bookmarkStart w:id="53" w:name="_Toc66274197"/>
      <w:bookmarkStart w:id="54" w:name="_Toc301515374"/>
      <w:bookmarkStart w:id="55" w:name="_Toc496784112"/>
      <w:bookmarkStart w:id="56" w:name="_Toc6893"/>
      <w:bookmarkStart w:id="57" w:name="_Toc30499"/>
      <w:r>
        <w:rPr>
          <w:rFonts w:hint="eastAsia" w:ascii="宋体" w:hAnsi="宋体" w:eastAsia="宋体" w:cs="宋体"/>
          <w:color w:val="auto"/>
          <w:sz w:val="22"/>
          <w:szCs w:val="22"/>
          <w:highlight w:val="none"/>
        </w:rPr>
        <w:t>附件二  投标一览表</w:t>
      </w:r>
      <w:bookmarkEnd w:id="52"/>
      <w:bookmarkEnd w:id="53"/>
      <w:bookmarkEnd w:id="54"/>
      <w:bookmarkEnd w:id="55"/>
      <w:bookmarkEnd w:id="56"/>
      <w:bookmarkEnd w:id="57"/>
    </w:p>
    <w:p>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投标报价一览表</w:t>
      </w:r>
    </w:p>
    <w:p>
      <w:pPr>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934"/>
        <w:gridCol w:w="414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exact"/>
        </w:trPr>
        <w:tc>
          <w:tcPr>
            <w:tcW w:w="718"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934"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名  称</w:t>
            </w:r>
          </w:p>
        </w:tc>
        <w:tc>
          <w:tcPr>
            <w:tcW w:w="4143"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投标报价（元）</w:t>
            </w:r>
          </w:p>
        </w:tc>
        <w:tc>
          <w:tcPr>
            <w:tcW w:w="1563"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exact"/>
        </w:trPr>
        <w:tc>
          <w:tcPr>
            <w:tcW w:w="718" w:type="dxa"/>
            <w:noWrap w:val="0"/>
            <w:vAlign w:val="center"/>
          </w:tcPr>
          <w:p>
            <w:pPr>
              <w:jc w:val="center"/>
              <w:rPr>
                <w:rFonts w:hint="eastAsia" w:ascii="宋体" w:hAnsi="宋体" w:cs="宋体"/>
                <w:b/>
                <w:color w:val="auto"/>
                <w:sz w:val="22"/>
                <w:szCs w:val="22"/>
                <w:highlight w:val="none"/>
              </w:rPr>
            </w:pPr>
            <w:r>
              <w:rPr>
                <w:rFonts w:hint="eastAsia" w:ascii="宋体" w:hAnsi="宋体" w:cs="宋体"/>
                <w:bCs/>
                <w:color w:val="auto"/>
                <w:sz w:val="22"/>
                <w:szCs w:val="22"/>
                <w:highlight w:val="none"/>
              </w:rPr>
              <w:t>1</w:t>
            </w:r>
          </w:p>
        </w:tc>
        <w:tc>
          <w:tcPr>
            <w:tcW w:w="2934" w:type="dxa"/>
            <w:noWrap w:val="0"/>
            <w:vAlign w:val="center"/>
          </w:tcPr>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网络安全框架建设</w:t>
            </w:r>
          </w:p>
        </w:tc>
        <w:tc>
          <w:tcPr>
            <w:tcW w:w="4143"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1563"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652" w:type="dxa"/>
            <w:gridSpan w:val="2"/>
            <w:noWrap w:val="0"/>
            <w:vAlign w:val="center"/>
          </w:tcPr>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投标报价 （大写）</w:t>
            </w:r>
          </w:p>
        </w:tc>
        <w:tc>
          <w:tcPr>
            <w:tcW w:w="5706" w:type="dxa"/>
            <w:gridSpan w:val="2"/>
            <w:noWrap w:val="0"/>
            <w:vAlign w:val="center"/>
          </w:tcPr>
          <w:p>
            <w:pPr>
              <w:ind w:firstLine="3190" w:firstLineChars="14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元</w:t>
            </w:r>
          </w:p>
        </w:tc>
      </w:tr>
    </w:tbl>
    <w:p>
      <w:pPr>
        <w:spacing w:line="360" w:lineRule="exact"/>
        <w:ind w:left="649" w:hanging="649" w:hangingChars="294"/>
        <w:rPr>
          <w:rFonts w:hint="eastAsia" w:ascii="宋体" w:hAnsi="宋体" w:cs="宋体"/>
          <w:b/>
          <w:color w:val="auto"/>
          <w:sz w:val="22"/>
          <w:highlight w:val="none"/>
        </w:rPr>
      </w:pPr>
      <w:r>
        <w:rPr>
          <w:rFonts w:hint="eastAsia" w:ascii="宋体" w:hAnsi="宋体" w:cs="宋体"/>
          <w:b/>
          <w:color w:val="auto"/>
          <w:sz w:val="22"/>
          <w:highlight w:val="none"/>
        </w:rPr>
        <w:t>注：</w:t>
      </w:r>
    </w:p>
    <w:p>
      <w:pPr>
        <w:spacing w:line="360" w:lineRule="auto"/>
        <w:ind w:left="321" w:leftChars="16" w:hanging="287" w:hangingChars="130"/>
        <w:rPr>
          <w:rFonts w:hint="eastAsia" w:ascii="宋体" w:hAnsi="宋体" w:cs="宋体"/>
          <w:b/>
          <w:bCs/>
          <w:color w:val="auto"/>
          <w:sz w:val="22"/>
          <w:highlight w:val="none"/>
        </w:rPr>
      </w:pPr>
      <w:r>
        <w:rPr>
          <w:rFonts w:hint="eastAsia" w:ascii="宋体" w:hAnsi="宋体" w:cs="宋体"/>
          <w:b/>
          <w:bCs/>
          <w:color w:val="auto"/>
          <w:sz w:val="22"/>
          <w:highlight w:val="none"/>
        </w:rPr>
        <w:t>1.</w:t>
      </w:r>
      <w:r>
        <w:rPr>
          <w:rFonts w:hint="eastAsia"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投标报价是指</w:t>
      </w:r>
      <w:r>
        <w:rPr>
          <w:rFonts w:hint="eastAsia" w:ascii="宋体" w:hAnsi="宋体" w:cs="宋体"/>
          <w:b/>
          <w:color w:val="auto"/>
          <w:sz w:val="22"/>
          <w:szCs w:val="22"/>
          <w:highlight w:val="none"/>
          <w:u w:val="single"/>
        </w:rPr>
        <w:t>本供应商为完成本次采购要求及完成技术标中所载明的设备费、软件费、系统集成、运输、安装、调试、人工费、利润、验收费、采购代理服务费、税金等完成合同所需的一切本身和不可或缺的所有工作开支、政策性文件规定及合同包含的所有风险、责任等各项全部费用，投标供应商应根据上述因素自行考虑含入投标报价</w:t>
      </w:r>
      <w:r>
        <w:rPr>
          <w:rFonts w:hint="eastAsia" w:ascii="宋体" w:hAnsi="宋体" w:cs="宋体"/>
          <w:b/>
          <w:bCs/>
          <w:color w:val="auto"/>
          <w:sz w:val="22"/>
          <w:szCs w:val="22"/>
          <w:highlight w:val="none"/>
        </w:rPr>
        <w:t>。</w:t>
      </w:r>
    </w:p>
    <w:p>
      <w:pPr>
        <w:spacing w:line="360" w:lineRule="auto"/>
        <w:ind w:left="220" w:hanging="220" w:hangingChars="100"/>
        <w:rPr>
          <w:rFonts w:hint="eastAsia" w:ascii="宋体" w:hAnsi="宋体" w:cs="宋体"/>
          <w:color w:val="auto"/>
          <w:sz w:val="22"/>
          <w:highlight w:val="none"/>
        </w:rPr>
      </w:pPr>
      <w:r>
        <w:rPr>
          <w:rFonts w:hint="eastAsia" w:ascii="宋体" w:hAnsi="宋体" w:cs="宋体"/>
          <w:color w:val="auto"/>
          <w:sz w:val="22"/>
          <w:highlight w:val="none"/>
        </w:rPr>
        <w:t>2.此投标报价一览表中投标报价应与附件三“投标分项报价表”中“总计价”相一致,不一致的以投标一览表为准。</w:t>
      </w:r>
    </w:p>
    <w:p>
      <w:pPr>
        <w:spacing w:line="360" w:lineRule="auto"/>
        <w:ind w:left="325" w:hanging="325" w:hangingChars="147"/>
        <w:rPr>
          <w:rFonts w:hint="eastAsia" w:ascii="宋体" w:hAnsi="宋体" w:cs="宋体"/>
          <w:color w:val="auto"/>
          <w:sz w:val="22"/>
          <w:szCs w:val="22"/>
          <w:highlight w:val="none"/>
        </w:rPr>
      </w:pPr>
      <w:r>
        <w:rPr>
          <w:rFonts w:hint="eastAsia" w:ascii="宋体" w:hAnsi="宋体" w:cs="宋体"/>
          <w:b/>
          <w:color w:val="auto"/>
          <w:sz w:val="22"/>
          <w:highlight w:val="none"/>
        </w:rPr>
        <w:t>3．▲</w:t>
      </w:r>
      <w:r>
        <w:rPr>
          <w:rFonts w:hint="eastAsia" w:ascii="宋体" w:hAnsi="宋体" w:cs="宋体"/>
          <w:b/>
          <w:color w:val="auto"/>
          <w:sz w:val="22"/>
          <w:highlight w:val="none"/>
          <w:u w:val="single"/>
        </w:rPr>
        <w:t>此表不得自行增减内容，不按要求提供此表格将被视为没有实质性响应招标文件,其投标文件将被拒绝</w:t>
      </w:r>
      <w:r>
        <w:rPr>
          <w:rFonts w:hint="eastAsia" w:ascii="宋体" w:hAnsi="宋体" w:cs="宋体"/>
          <w:b/>
          <w:color w:val="auto"/>
          <w:sz w:val="22"/>
          <w:highlight w:val="none"/>
        </w:rPr>
        <w:t>。</w:t>
      </w:r>
    </w:p>
    <w:p>
      <w:pPr>
        <w:rPr>
          <w:rFonts w:hint="eastAsia" w:ascii="宋体" w:hAnsi="宋体" w:cs="宋体"/>
          <w:color w:val="auto"/>
          <w:sz w:val="22"/>
          <w:szCs w:val="22"/>
          <w:highlight w:val="none"/>
        </w:rPr>
      </w:pPr>
    </w:p>
    <w:p>
      <w:pPr>
        <w:rPr>
          <w:rFonts w:hint="eastAsia" w:ascii="宋体" w:hAnsi="宋体" w:cs="宋体"/>
          <w:color w:val="auto"/>
          <w:sz w:val="22"/>
          <w:szCs w:val="22"/>
          <w:highlight w:val="none"/>
        </w:rPr>
      </w:pPr>
    </w:p>
    <w:p>
      <w:pPr>
        <w:rPr>
          <w:rFonts w:hint="eastAsia" w:ascii="宋体" w:hAnsi="宋体" w:cs="宋体"/>
          <w:color w:val="auto"/>
          <w:sz w:val="22"/>
          <w:szCs w:val="22"/>
          <w:highlight w:val="none"/>
        </w:rPr>
      </w:pP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（盖章）：</w:t>
      </w: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highlight w:val="none"/>
        </w:rPr>
        <w:t>投标供应商代表</w:t>
      </w:r>
      <w:r>
        <w:rPr>
          <w:rFonts w:hint="eastAsia" w:ascii="宋体" w:hAnsi="宋体" w:cs="宋体"/>
          <w:color w:val="auto"/>
          <w:sz w:val="22"/>
          <w:szCs w:val="22"/>
          <w:highlight w:val="none"/>
        </w:rPr>
        <w:t>（签字）：</w:t>
      </w:r>
    </w:p>
    <w:p>
      <w:pPr>
        <w:spacing w:line="50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pPr>
        <w:ind w:firstLine="4840" w:firstLineChars="2200"/>
        <w:rPr>
          <w:rFonts w:hint="eastAsia" w:ascii="宋体" w:hAnsi="宋体" w:cs="宋体"/>
          <w:color w:val="auto"/>
          <w:sz w:val="22"/>
          <w:szCs w:val="22"/>
          <w:highlight w:val="none"/>
        </w:rPr>
      </w:pPr>
    </w:p>
    <w:p>
      <w:pPr>
        <w:ind w:firstLine="4840" w:firstLineChars="2200"/>
        <w:rPr>
          <w:rFonts w:hint="eastAsia" w:ascii="宋体" w:hAnsi="宋体" w:cs="宋体"/>
          <w:color w:val="auto"/>
          <w:sz w:val="22"/>
          <w:szCs w:val="22"/>
          <w:highlight w:val="none"/>
        </w:rPr>
      </w:pPr>
    </w:p>
    <w:p>
      <w:pPr>
        <w:pStyle w:val="8"/>
        <w:ind w:firstLine="210"/>
        <w:rPr>
          <w:rFonts w:hint="eastAsia" w:ascii="宋体" w:hAnsi="宋体" w:cs="宋体"/>
          <w:color w:val="auto"/>
          <w:highlight w:val="none"/>
        </w:rPr>
      </w:pPr>
    </w:p>
    <w:p>
      <w:pPr>
        <w:pStyle w:val="4"/>
        <w:spacing w:line="400" w:lineRule="exact"/>
        <w:rPr>
          <w:rFonts w:hint="eastAsia" w:ascii="宋体" w:hAnsi="宋体" w:eastAsia="宋体" w:cs="宋体"/>
          <w:b w:val="0"/>
          <w:color w:val="auto"/>
          <w:highlight w:val="none"/>
        </w:rPr>
      </w:pPr>
      <w:bookmarkStart w:id="58" w:name="_Toc395528090"/>
      <w:bookmarkStart w:id="59" w:name="_Toc317492717"/>
      <w:bookmarkStart w:id="60" w:name="_Toc21827"/>
      <w:bookmarkStart w:id="61" w:name="_Toc4033"/>
      <w:bookmarkStart w:id="62" w:name="_Toc66274198"/>
      <w:bookmarkStart w:id="63" w:name="_Toc301515375"/>
      <w:bookmarkStart w:id="64" w:name="_Toc496784113"/>
      <w:r>
        <w:rPr>
          <w:rFonts w:hint="eastAsia" w:ascii="宋体" w:hAnsi="宋体" w:eastAsia="宋体" w:cs="宋体"/>
          <w:color w:val="auto"/>
          <w:sz w:val="22"/>
          <w:szCs w:val="22"/>
          <w:highlight w:val="none"/>
        </w:rPr>
        <w:t>附件三  投标分项报价表</w:t>
      </w:r>
      <w:bookmarkEnd w:id="58"/>
      <w:bookmarkEnd w:id="59"/>
      <w:bookmarkEnd w:id="60"/>
      <w:bookmarkEnd w:id="61"/>
      <w:bookmarkEnd w:id="62"/>
      <w:bookmarkEnd w:id="63"/>
      <w:bookmarkEnd w:id="64"/>
      <w:r>
        <w:rPr>
          <w:rFonts w:hint="eastAsia" w:ascii="宋体" w:hAnsi="宋体" w:eastAsia="宋体" w:cs="宋体"/>
          <w:b w:val="0"/>
          <w:color w:val="auto"/>
          <w:highlight w:val="none"/>
        </w:rPr>
        <w:t xml:space="preserve"> </w:t>
      </w:r>
    </w:p>
    <w:p>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投标分项报价表</w:t>
      </w:r>
    </w:p>
    <w:p>
      <w:pPr>
        <w:spacing w:line="200" w:lineRule="exact"/>
        <w:rPr>
          <w:rFonts w:hint="eastAsia" w:ascii="宋体" w:hAnsi="宋体" w:cs="宋体"/>
          <w:b/>
          <w:color w:val="auto"/>
          <w:sz w:val="24"/>
          <w:highlight w:val="none"/>
        </w:rPr>
      </w:pPr>
    </w:p>
    <w:p>
      <w:pPr>
        <w:spacing w:line="400" w:lineRule="exact"/>
        <w:rPr>
          <w:rFonts w:hint="eastAsia" w:ascii="宋体" w:hAnsi="宋体" w:cs="宋体"/>
          <w:b/>
          <w:color w:val="auto"/>
          <w:sz w:val="28"/>
          <w:szCs w:val="28"/>
          <w:highlight w:val="none"/>
        </w:rPr>
      </w:pPr>
      <w:r>
        <w:rPr>
          <w:rFonts w:hint="eastAsia" w:ascii="宋体" w:hAnsi="宋体" w:cs="宋体"/>
          <w:b/>
          <w:color w:val="auto"/>
          <w:sz w:val="24"/>
          <w:highlight w:val="none"/>
        </w:rPr>
        <w:t>项目名称：                           项目编号</w:t>
      </w:r>
      <w:r>
        <w:rPr>
          <w:rFonts w:hint="eastAsia" w:ascii="宋体" w:hAnsi="宋体" w:cs="宋体"/>
          <w:b/>
          <w:color w:val="auto"/>
          <w:sz w:val="28"/>
          <w:szCs w:val="28"/>
          <w:highlight w:val="non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324"/>
        <w:gridCol w:w="2268"/>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87" w:type="dxa"/>
            <w:noWrap w:val="0"/>
            <w:vAlign w:val="center"/>
          </w:tcPr>
          <w:p>
            <w:pPr>
              <w:spacing w:line="400" w:lineRule="exact"/>
              <w:jc w:val="center"/>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4324" w:type="dxa"/>
            <w:noWrap w:val="0"/>
            <w:vAlign w:val="center"/>
          </w:tcPr>
          <w:p>
            <w:pPr>
              <w:spacing w:line="400" w:lineRule="exact"/>
              <w:jc w:val="center"/>
              <w:rPr>
                <w:rFonts w:hint="eastAsia" w:ascii="宋体" w:hAnsi="宋体" w:cs="宋体"/>
                <w:b/>
                <w:color w:val="auto"/>
                <w:sz w:val="22"/>
                <w:highlight w:val="none"/>
              </w:rPr>
            </w:pPr>
            <w:r>
              <w:rPr>
                <w:rFonts w:hint="eastAsia" w:ascii="宋体" w:hAnsi="宋体" w:cs="宋体"/>
                <w:b/>
                <w:color w:val="auto"/>
                <w:sz w:val="22"/>
                <w:highlight w:val="none"/>
              </w:rPr>
              <w:t>项 目 内 容</w:t>
            </w:r>
          </w:p>
        </w:tc>
        <w:tc>
          <w:tcPr>
            <w:tcW w:w="2268" w:type="dxa"/>
            <w:noWrap w:val="0"/>
            <w:vAlign w:val="center"/>
          </w:tcPr>
          <w:p>
            <w:pPr>
              <w:spacing w:line="400" w:lineRule="exact"/>
              <w:jc w:val="center"/>
              <w:rPr>
                <w:rFonts w:hint="eastAsia" w:ascii="宋体" w:hAnsi="宋体" w:cs="宋体"/>
                <w:b/>
                <w:color w:val="auto"/>
                <w:sz w:val="22"/>
                <w:highlight w:val="none"/>
              </w:rPr>
            </w:pPr>
            <w:r>
              <w:rPr>
                <w:rFonts w:hint="eastAsia" w:ascii="宋体" w:hAnsi="宋体" w:cs="宋体"/>
                <w:b/>
                <w:color w:val="auto"/>
                <w:sz w:val="22"/>
                <w:highlight w:val="none"/>
              </w:rPr>
              <w:t>报价（元）</w:t>
            </w:r>
          </w:p>
        </w:tc>
        <w:tc>
          <w:tcPr>
            <w:tcW w:w="1731" w:type="dxa"/>
            <w:noWrap w:val="0"/>
            <w:vAlign w:val="center"/>
          </w:tcPr>
          <w:p>
            <w:pPr>
              <w:spacing w:line="400" w:lineRule="exact"/>
              <w:jc w:val="center"/>
              <w:rPr>
                <w:rFonts w:hint="eastAsia" w:ascii="宋体" w:hAnsi="宋体" w:cs="宋体"/>
                <w:b/>
                <w:color w:val="auto"/>
                <w:sz w:val="22"/>
                <w:highlight w:val="none"/>
              </w:rPr>
            </w:pPr>
            <w:r>
              <w:rPr>
                <w:rFonts w:hint="eastAsia" w:ascii="宋体" w:hAnsi="宋体" w:cs="宋体"/>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noWrap w:val="0"/>
            <w:vAlign w:val="center"/>
          </w:tcPr>
          <w:p>
            <w:pPr>
              <w:spacing w:line="400" w:lineRule="exact"/>
              <w:jc w:val="center"/>
              <w:rPr>
                <w:rFonts w:hint="eastAsia" w:ascii="宋体" w:hAnsi="宋体" w:cs="宋体"/>
                <w:b/>
                <w:color w:val="auto"/>
                <w:sz w:val="22"/>
                <w:highlight w:val="none"/>
              </w:rPr>
            </w:pPr>
          </w:p>
        </w:tc>
        <w:tc>
          <w:tcPr>
            <w:tcW w:w="4324" w:type="dxa"/>
            <w:noWrap w:val="0"/>
            <w:vAlign w:val="center"/>
          </w:tcPr>
          <w:p>
            <w:pPr>
              <w:spacing w:line="400" w:lineRule="exact"/>
              <w:jc w:val="center"/>
              <w:rPr>
                <w:rFonts w:hint="eastAsia" w:ascii="宋体" w:hAnsi="宋体" w:cs="宋体"/>
                <w:b/>
                <w:color w:val="auto"/>
                <w:sz w:val="22"/>
                <w:highlight w:val="none"/>
              </w:rPr>
            </w:pPr>
          </w:p>
        </w:tc>
        <w:tc>
          <w:tcPr>
            <w:tcW w:w="2268" w:type="dxa"/>
            <w:noWrap w:val="0"/>
            <w:vAlign w:val="center"/>
          </w:tcPr>
          <w:p>
            <w:pPr>
              <w:spacing w:line="400" w:lineRule="exact"/>
              <w:jc w:val="center"/>
              <w:rPr>
                <w:rFonts w:hint="eastAsia" w:ascii="宋体" w:hAnsi="宋体" w:cs="宋体"/>
                <w:b/>
                <w:color w:val="auto"/>
                <w:sz w:val="22"/>
                <w:highlight w:val="none"/>
              </w:rPr>
            </w:pPr>
          </w:p>
        </w:tc>
        <w:tc>
          <w:tcPr>
            <w:tcW w:w="1731" w:type="dxa"/>
            <w:noWrap w:val="0"/>
            <w:vAlign w:val="center"/>
          </w:tcPr>
          <w:p>
            <w:pPr>
              <w:spacing w:line="400" w:lineRule="exact"/>
              <w:jc w:val="center"/>
              <w:rPr>
                <w:rFonts w:hint="eastAsia" w:ascii="宋体" w:hAnsi="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87" w:type="dxa"/>
            <w:noWrap w:val="0"/>
            <w:vAlign w:val="center"/>
          </w:tcPr>
          <w:p>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 xml:space="preserve"> </w:t>
            </w:r>
          </w:p>
        </w:tc>
        <w:tc>
          <w:tcPr>
            <w:tcW w:w="4324" w:type="dxa"/>
            <w:noWrap w:val="0"/>
            <w:vAlign w:val="center"/>
          </w:tcPr>
          <w:p>
            <w:pPr>
              <w:spacing w:line="400" w:lineRule="exact"/>
              <w:ind w:firstLine="1210" w:firstLineChars="550"/>
              <w:rPr>
                <w:rFonts w:hint="eastAsia" w:ascii="宋体" w:hAnsi="宋体" w:cs="宋体"/>
                <w:b/>
                <w:color w:val="auto"/>
                <w:sz w:val="22"/>
                <w:highlight w:val="none"/>
              </w:rPr>
            </w:pPr>
            <w:r>
              <w:rPr>
                <w:rFonts w:hint="eastAsia" w:ascii="宋体" w:hAnsi="宋体" w:cs="宋体"/>
                <w:color w:val="auto"/>
                <w:sz w:val="22"/>
                <w:highlight w:val="none"/>
              </w:rPr>
              <w:t>总    计   价</w:t>
            </w:r>
          </w:p>
        </w:tc>
        <w:tc>
          <w:tcPr>
            <w:tcW w:w="2268" w:type="dxa"/>
            <w:noWrap w:val="0"/>
            <w:vAlign w:val="center"/>
          </w:tcPr>
          <w:p>
            <w:pPr>
              <w:spacing w:line="400" w:lineRule="exact"/>
              <w:jc w:val="center"/>
              <w:rPr>
                <w:rFonts w:hint="eastAsia" w:ascii="宋体" w:hAnsi="宋体" w:cs="宋体"/>
                <w:color w:val="auto"/>
                <w:sz w:val="22"/>
                <w:highlight w:val="none"/>
              </w:rPr>
            </w:pPr>
          </w:p>
        </w:tc>
        <w:tc>
          <w:tcPr>
            <w:tcW w:w="1731" w:type="dxa"/>
            <w:noWrap w:val="0"/>
            <w:vAlign w:val="center"/>
          </w:tcPr>
          <w:p>
            <w:pPr>
              <w:spacing w:line="400" w:lineRule="exact"/>
              <w:jc w:val="center"/>
              <w:rPr>
                <w:rFonts w:hint="eastAsia" w:ascii="宋体" w:hAnsi="宋体" w:cs="宋体"/>
                <w:color w:val="auto"/>
                <w:sz w:val="22"/>
                <w:highlight w:val="none"/>
              </w:rPr>
            </w:pPr>
          </w:p>
        </w:tc>
      </w:tr>
    </w:tbl>
    <w:p>
      <w:pPr>
        <w:spacing w:line="360" w:lineRule="exact"/>
        <w:ind w:left="1128" w:leftChars="133" w:hanging="849" w:hangingChars="386"/>
        <w:rPr>
          <w:rFonts w:hint="eastAsia" w:ascii="宋体" w:hAnsi="宋体" w:cs="宋体"/>
          <w:color w:val="auto"/>
          <w:sz w:val="22"/>
          <w:szCs w:val="22"/>
          <w:highlight w:val="none"/>
        </w:rPr>
      </w:pPr>
      <w:r>
        <w:rPr>
          <w:rFonts w:hint="eastAsia" w:ascii="宋体" w:hAnsi="宋体" w:cs="宋体"/>
          <w:color w:val="auto"/>
          <w:sz w:val="22"/>
          <w:szCs w:val="22"/>
          <w:highlight w:val="none"/>
        </w:rPr>
        <w:t>注：1.  按投标报价费用构成逐项列出；表内总计价应与附件二“投标报价一览表”中的投标报价相一致。</w:t>
      </w:r>
    </w:p>
    <w:p>
      <w:pPr>
        <w:spacing w:line="360" w:lineRule="exact"/>
        <w:ind w:firstLine="708" w:firstLineChars="322"/>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color w:val="auto"/>
          <w:sz w:val="22"/>
          <w:highlight w:val="none"/>
        </w:rPr>
        <w:t xml:space="preserve"> ▲</w:t>
      </w:r>
      <w:r>
        <w:rPr>
          <w:rFonts w:hint="eastAsia" w:ascii="宋体" w:hAnsi="宋体" w:cs="宋体"/>
          <w:color w:val="auto"/>
          <w:sz w:val="22"/>
          <w:szCs w:val="22"/>
          <w:highlight w:val="none"/>
          <w:u w:val="single"/>
        </w:rPr>
        <w:t>不按要求提供投标分项报价表将视为没有实质性响应招标文件。</w:t>
      </w:r>
    </w:p>
    <w:p>
      <w:pPr>
        <w:spacing w:line="360" w:lineRule="exact"/>
        <w:ind w:left="743" w:leftChars="354" w:firstLine="4589" w:firstLineChars="2086"/>
        <w:rPr>
          <w:rFonts w:hint="eastAsia" w:ascii="宋体" w:hAnsi="宋体" w:cs="宋体"/>
          <w:color w:val="auto"/>
          <w:sz w:val="22"/>
          <w:highlight w:val="none"/>
        </w:rPr>
      </w:pPr>
    </w:p>
    <w:p>
      <w:pPr>
        <w:spacing w:line="400" w:lineRule="exact"/>
        <w:ind w:left="743" w:leftChars="354" w:firstLine="4589" w:firstLineChars="2086"/>
        <w:rPr>
          <w:rFonts w:hint="eastAsia" w:ascii="宋体" w:hAnsi="宋体" w:cs="宋体"/>
          <w:color w:val="auto"/>
          <w:sz w:val="22"/>
          <w:highlight w:val="none"/>
        </w:rPr>
      </w:pPr>
      <w:r>
        <w:rPr>
          <w:rFonts w:hint="eastAsia" w:ascii="宋体" w:hAnsi="宋体" w:cs="宋体"/>
          <w:color w:val="auto"/>
          <w:sz w:val="22"/>
          <w:highlight w:val="none"/>
        </w:rPr>
        <w:t>投标供应商名称（盖章）：</w:t>
      </w:r>
    </w:p>
    <w:p>
      <w:pPr>
        <w:spacing w:line="400" w:lineRule="exact"/>
        <w:ind w:left="743" w:leftChars="354" w:firstLine="4589" w:firstLineChars="2086"/>
        <w:rPr>
          <w:rFonts w:hint="eastAsia" w:ascii="宋体" w:hAnsi="宋体" w:cs="宋体"/>
          <w:color w:val="auto"/>
          <w:sz w:val="22"/>
          <w:highlight w:val="none"/>
        </w:rPr>
      </w:pPr>
      <w:r>
        <w:rPr>
          <w:rFonts w:hint="eastAsia" w:ascii="宋体" w:hAnsi="宋体" w:cs="宋体"/>
          <w:color w:val="auto"/>
          <w:sz w:val="22"/>
          <w:highlight w:val="none"/>
        </w:rPr>
        <w:t>投标供应商代表（签字）:</w:t>
      </w:r>
    </w:p>
    <w:p>
      <w:pPr>
        <w:spacing w:line="360" w:lineRule="exact"/>
        <w:ind w:left="743" w:leftChars="354" w:firstLine="4589" w:firstLineChars="2086"/>
        <w:rPr>
          <w:rFonts w:hint="eastAsia" w:ascii="宋体" w:hAnsi="宋体" w:cs="宋体"/>
          <w:color w:val="auto"/>
          <w:sz w:val="22"/>
          <w:highlight w:val="none"/>
        </w:rPr>
      </w:pPr>
      <w:r>
        <w:rPr>
          <w:rFonts w:hint="eastAsia" w:ascii="宋体" w:hAnsi="宋体" w:cs="宋体"/>
          <w:color w:val="auto"/>
          <w:sz w:val="22"/>
          <w:highlight w:val="none"/>
        </w:rPr>
        <w:t>日    期：    年   月   日</w:t>
      </w:r>
    </w:p>
    <w:p>
      <w:pPr>
        <w:spacing w:line="360" w:lineRule="exact"/>
        <w:ind w:left="743" w:leftChars="354" w:firstLine="4589" w:firstLineChars="2086"/>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65" w:name="_Toc35974576"/>
      <w:bookmarkStart w:id="66" w:name="_Toc12744"/>
      <w:bookmarkStart w:id="67" w:name="_Toc29963"/>
      <w:bookmarkStart w:id="68" w:name="_Toc66274200"/>
      <w:bookmarkStart w:id="69" w:name="_Toc35189578"/>
      <w:r>
        <w:rPr>
          <w:rFonts w:hint="eastAsia" w:ascii="宋体" w:hAnsi="宋体" w:eastAsia="宋体" w:cs="宋体"/>
          <w:color w:val="auto"/>
          <w:sz w:val="22"/>
          <w:szCs w:val="22"/>
          <w:highlight w:val="none"/>
        </w:rPr>
        <w:t>附件四  证明文件</w:t>
      </w:r>
      <w:bookmarkEnd w:id="65"/>
      <w:bookmarkEnd w:id="66"/>
      <w:bookmarkEnd w:id="67"/>
      <w:bookmarkEnd w:id="68"/>
      <w:bookmarkEnd w:id="69"/>
    </w:p>
    <w:p>
      <w:pPr>
        <w:pStyle w:val="4"/>
        <w:spacing w:before="0" w:after="0" w:line="600" w:lineRule="exact"/>
        <w:jc w:val="center"/>
        <w:rPr>
          <w:rFonts w:hint="eastAsia" w:ascii="宋体" w:hAnsi="宋体" w:eastAsia="宋体" w:cs="宋体"/>
          <w:bCs w:val="0"/>
          <w:color w:val="auto"/>
          <w:highlight w:val="none"/>
        </w:rPr>
      </w:pPr>
      <w:bookmarkStart w:id="70" w:name="_Toc9690"/>
      <w:bookmarkStart w:id="71" w:name="_Toc35974577"/>
      <w:bookmarkStart w:id="72" w:name="_Toc35186958"/>
      <w:bookmarkStart w:id="73" w:name="_Toc35189579"/>
      <w:bookmarkStart w:id="74" w:name="_Toc66274201"/>
      <w:bookmarkStart w:id="75" w:name="_Toc31276"/>
      <w:r>
        <w:rPr>
          <w:rFonts w:hint="eastAsia" w:ascii="宋体" w:hAnsi="宋体" w:eastAsia="宋体" w:cs="宋体"/>
          <w:bCs w:val="0"/>
          <w:color w:val="auto"/>
          <w:highlight w:val="none"/>
        </w:rPr>
        <w:t>（1）法定代表人授权书</w:t>
      </w:r>
      <w:bookmarkEnd w:id="70"/>
      <w:bookmarkEnd w:id="71"/>
      <w:bookmarkEnd w:id="72"/>
      <w:bookmarkEnd w:id="73"/>
      <w:bookmarkEnd w:id="74"/>
      <w:bookmarkEnd w:id="75"/>
    </w:p>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温州市公安局交通管理局</w:t>
      </w: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浙江东瓯工程造价咨询有限公司：</w:t>
      </w:r>
    </w:p>
    <w:p>
      <w:pPr>
        <w:spacing w:line="460" w:lineRule="exact"/>
        <w:ind w:firstLine="550" w:firstLineChars="250"/>
        <w:rPr>
          <w:rFonts w:hint="eastAsia" w:ascii="宋体" w:hAnsi="宋体" w:cs="宋体"/>
          <w:color w:val="auto"/>
          <w:sz w:val="22"/>
          <w:szCs w:val="22"/>
          <w:highlight w:val="none"/>
          <w:u w:val="single"/>
        </w:rPr>
      </w:pPr>
    </w:p>
    <w:p>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（投标供应商全称）  </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（全权代表姓名）  </w:t>
      </w:r>
      <w:r>
        <w:rPr>
          <w:rFonts w:hint="eastAsia" w:ascii="宋体" w:hAnsi="宋体" w:cs="宋体"/>
          <w:color w:val="auto"/>
          <w:sz w:val="22"/>
          <w:szCs w:val="22"/>
          <w:highlight w:val="none"/>
        </w:rPr>
        <w:t>为全权代表，参加贵办组织的</w:t>
      </w:r>
      <w:r>
        <w:rPr>
          <w:rFonts w:hint="eastAsia" w:ascii="宋体" w:hAnsi="宋体" w:cs="宋体"/>
          <w:color w:val="auto"/>
          <w:sz w:val="22"/>
          <w:szCs w:val="22"/>
          <w:highlight w:val="none"/>
          <w:u w:val="single"/>
        </w:rPr>
        <w:t xml:space="preserve">        （项目名称、编号）      </w:t>
      </w:r>
      <w:r>
        <w:rPr>
          <w:rFonts w:hint="eastAsia" w:ascii="宋体" w:hAnsi="宋体" w:cs="宋体"/>
          <w:color w:val="auto"/>
          <w:sz w:val="22"/>
          <w:szCs w:val="22"/>
          <w:highlight w:val="none"/>
        </w:rPr>
        <w:t>的招投标活动，全权代表我方处理招投标活动中的一切事宜。</w:t>
      </w: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本授权书于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日签章生效，本授权无转委托权，特此说明。</w:t>
      </w: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60" w:lineRule="exact"/>
        <w:ind w:firstLine="4191" w:firstLineChars="19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（公章）：</w:t>
      </w: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bl>
      <w:tblPr>
        <w:tblStyle w:val="37"/>
        <w:tblpPr w:leftFromText="180" w:rightFromText="180" w:vertAnchor="text" w:horzAnchor="margin" w:tblpXSpec="right" w:tblpY="18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val="0"/>
            <w:vAlign w:val="top"/>
          </w:tcPr>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color w:val="auto"/>
                <w:sz w:val="22"/>
                <w:szCs w:val="22"/>
                <w:highlight w:val="none"/>
              </w:rPr>
            </w:pPr>
          </w:p>
          <w:p>
            <w:pPr>
              <w:spacing w:line="460" w:lineRule="exact"/>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投标供应商授权代表身份证复印件</w:t>
            </w:r>
          </w:p>
          <w:p>
            <w:pPr>
              <w:spacing w:line="460" w:lineRule="exact"/>
              <w:ind w:firstLine="1760" w:firstLineChars="800"/>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详细通讯地址：  </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b/>
          <w:bCs/>
          <w:color w:val="auto"/>
          <w:sz w:val="22"/>
          <w:szCs w:val="22"/>
          <w:highlight w:val="none"/>
        </w:rPr>
      </w:pPr>
    </w:p>
    <w:p>
      <w:pPr>
        <w:spacing w:line="46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rPr>
          <w:rFonts w:hint="eastAsia" w:ascii="宋体" w:hAnsi="宋体" w:cs="宋体"/>
          <w:b/>
          <w:bCs/>
          <w:color w:val="auto"/>
          <w:sz w:val="22"/>
          <w:szCs w:val="22"/>
          <w:highlight w:val="none"/>
        </w:rPr>
      </w:pPr>
    </w:p>
    <w:p>
      <w:pPr>
        <w:spacing w:line="380" w:lineRule="exact"/>
        <w:ind w:left="-358" w:leftChars="-171" w:hanging="1"/>
        <w:jc w:val="center"/>
        <w:rPr>
          <w:rFonts w:hint="eastAsia" w:ascii="宋体" w:hAnsi="宋体" w:cs="宋体"/>
          <w:b/>
          <w:bCs/>
          <w:color w:val="auto"/>
          <w:sz w:val="28"/>
          <w:szCs w:val="28"/>
          <w:highlight w:val="none"/>
        </w:rPr>
      </w:pPr>
    </w:p>
    <w:p>
      <w:pPr>
        <w:spacing w:line="380" w:lineRule="exact"/>
        <w:ind w:left="-358" w:leftChars="-171" w:hanging="1"/>
        <w:jc w:val="center"/>
        <w:rPr>
          <w:rFonts w:hint="eastAsia" w:ascii="宋体" w:hAnsi="宋体" w:cs="宋体"/>
          <w:b/>
          <w:bCs/>
          <w:color w:val="auto"/>
          <w:sz w:val="28"/>
          <w:szCs w:val="28"/>
          <w:highlight w:val="none"/>
        </w:rPr>
      </w:pPr>
    </w:p>
    <w:p>
      <w:pPr>
        <w:pStyle w:val="4"/>
        <w:spacing w:before="0" w:after="0" w:line="600" w:lineRule="exact"/>
        <w:jc w:val="center"/>
        <w:rPr>
          <w:rFonts w:hint="eastAsia" w:ascii="宋体" w:hAnsi="宋体" w:eastAsia="宋体" w:cs="宋体"/>
          <w:bCs w:val="0"/>
          <w:color w:val="auto"/>
          <w:highlight w:val="none"/>
        </w:rPr>
      </w:pPr>
      <w:bookmarkStart w:id="76" w:name="_Toc35974578"/>
      <w:bookmarkStart w:id="77" w:name="_Toc66274202"/>
      <w:bookmarkStart w:id="78" w:name="_Toc35189580"/>
      <w:bookmarkStart w:id="79" w:name="_Toc17553"/>
      <w:bookmarkStart w:id="80" w:name="_Toc26658"/>
      <w:bookmarkStart w:id="81" w:name="_Toc35186959"/>
      <w:r>
        <w:rPr>
          <w:rFonts w:hint="eastAsia" w:ascii="宋体" w:hAnsi="宋体" w:eastAsia="宋体" w:cs="宋体"/>
          <w:bCs w:val="0"/>
          <w:color w:val="auto"/>
          <w:highlight w:val="none"/>
        </w:rPr>
        <w:t>（2）</w:t>
      </w:r>
      <w:r>
        <w:rPr>
          <w:rFonts w:hint="eastAsia" w:ascii="宋体" w:hAnsi="宋体" w:eastAsia="宋体" w:cs="宋体"/>
          <w:color w:val="auto"/>
          <w:highlight w:val="none"/>
        </w:rPr>
        <w:t>供应商基本情况表</w:t>
      </w:r>
      <w:bookmarkEnd w:id="76"/>
      <w:bookmarkEnd w:id="77"/>
      <w:bookmarkEnd w:id="78"/>
      <w:bookmarkEnd w:id="79"/>
      <w:bookmarkEnd w:id="80"/>
      <w:bookmarkEnd w:id="81"/>
    </w:p>
    <w:p>
      <w:pPr>
        <w:spacing w:line="360" w:lineRule="exact"/>
        <w:jc w:val="center"/>
        <w:rPr>
          <w:rFonts w:hint="eastAsia" w:ascii="宋体" w:hAnsi="宋体" w:cs="宋体"/>
          <w:b/>
          <w:color w:val="auto"/>
          <w:sz w:val="28"/>
          <w:szCs w:val="28"/>
          <w:highlight w:val="none"/>
        </w:rPr>
      </w:pPr>
    </w:p>
    <w:p>
      <w:pPr>
        <w:spacing w:line="380" w:lineRule="exact"/>
        <w:ind w:firstLine="378" w:firstLineChars="171"/>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3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527"/>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单位名称</w:t>
            </w:r>
          </w:p>
          <w:p>
            <w:pPr>
              <w:jc w:val="center"/>
              <w:rPr>
                <w:rFonts w:hint="eastAsia" w:ascii="宋体" w:hAnsi="宋体" w:cs="宋体"/>
                <w:color w:val="auto"/>
                <w:sz w:val="22"/>
                <w:highlight w:val="none"/>
              </w:rPr>
            </w:pPr>
            <w:r>
              <w:rPr>
                <w:rFonts w:hint="eastAsia" w:ascii="宋体" w:hAnsi="宋体" w:cs="宋体"/>
                <w:color w:val="auto"/>
                <w:sz w:val="22"/>
                <w:highlight w:val="none"/>
              </w:rPr>
              <w:t>（公章）</w:t>
            </w:r>
          </w:p>
        </w:tc>
        <w:tc>
          <w:tcPr>
            <w:tcW w:w="7631" w:type="dxa"/>
            <w:gridSpan w:val="5"/>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单位地址</w:t>
            </w:r>
          </w:p>
        </w:tc>
        <w:tc>
          <w:tcPr>
            <w:tcW w:w="7631"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主管部门</w:t>
            </w:r>
          </w:p>
        </w:tc>
        <w:tc>
          <w:tcPr>
            <w:tcW w:w="7631"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批准部门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b/>
                <w:color w:val="auto"/>
                <w:kern w:val="0"/>
                <w:sz w:val="22"/>
                <w:szCs w:val="22"/>
                <w:highlight w:val="none"/>
              </w:rPr>
              <w:t xml:space="preserve"> </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开户银行及帐号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注册资金</w:t>
            </w:r>
          </w:p>
          <w:p>
            <w:pPr>
              <w:jc w:val="center"/>
              <w:rPr>
                <w:rFonts w:hint="eastAsia" w:ascii="宋体" w:hAnsi="宋体" w:cs="宋体"/>
                <w:color w:val="auto"/>
                <w:sz w:val="22"/>
                <w:highlight w:val="none"/>
              </w:rPr>
            </w:pPr>
            <w:r>
              <w:rPr>
                <w:rFonts w:hint="eastAsia" w:ascii="宋体" w:hAnsi="宋体" w:cs="宋体"/>
                <w:color w:val="auto"/>
                <w:sz w:val="22"/>
                <w:highlight w:val="none"/>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资质等级</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kern w:val="0"/>
                <w:sz w:val="22"/>
                <w:szCs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证号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kern w:val="0"/>
                <w:sz w:val="22"/>
                <w:szCs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相关认证证书</w:t>
            </w:r>
          </w:p>
        </w:tc>
        <w:tc>
          <w:tcPr>
            <w:tcW w:w="7631"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主要售后服务机构</w:t>
            </w:r>
          </w:p>
        </w:tc>
        <w:tc>
          <w:tcPr>
            <w:tcW w:w="7631"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电话</w:t>
            </w:r>
          </w:p>
        </w:tc>
        <w:tc>
          <w:tcPr>
            <w:tcW w:w="4579"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传真</w:t>
            </w:r>
          </w:p>
        </w:tc>
        <w:tc>
          <w:tcPr>
            <w:tcW w:w="4579"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职工概况</w:t>
            </w:r>
          </w:p>
        </w:tc>
        <w:tc>
          <w:tcPr>
            <w:tcW w:w="15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职工总人数</w:t>
            </w:r>
          </w:p>
        </w:tc>
        <w:tc>
          <w:tcPr>
            <w:tcW w:w="152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高级职称/资质（人数）</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中级职称/资质（人数）</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7631" w:type="dxa"/>
            <w:gridSpan w:val="5"/>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职务及职称</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auto"/>
                <w:sz w:val="22"/>
                <w:highlight w:val="none"/>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auto"/>
                <w:sz w:val="22"/>
                <w:highlight w:val="none"/>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s="宋体"/>
                <w:color w:val="auto"/>
                <w:sz w:val="22"/>
                <w:highlight w:val="none"/>
              </w:rPr>
            </w:pPr>
          </w:p>
        </w:tc>
      </w:tr>
    </w:tbl>
    <w:p>
      <w:pPr>
        <w:spacing w:line="400" w:lineRule="exact"/>
        <w:rPr>
          <w:rFonts w:hint="eastAsia" w:ascii="宋体" w:hAnsi="宋体" w:cs="宋体"/>
          <w:color w:val="auto"/>
          <w:sz w:val="22"/>
          <w:szCs w:val="22"/>
          <w:highlight w:val="none"/>
        </w:rPr>
      </w:pPr>
      <w:r>
        <w:rPr>
          <w:rFonts w:hint="eastAsia" w:ascii="宋体" w:hAnsi="宋体" w:cs="宋体"/>
          <w:b/>
          <w:color w:val="auto"/>
          <w:sz w:val="22"/>
          <w:highlight w:val="none"/>
        </w:rPr>
        <w:t>注：附营业执照副本、资质证书等有关复印件。</w:t>
      </w: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pStyle w:val="4"/>
        <w:spacing w:before="0" w:after="0" w:line="600" w:lineRule="exact"/>
        <w:jc w:val="center"/>
        <w:rPr>
          <w:rFonts w:hint="eastAsia" w:ascii="宋体" w:hAnsi="宋体" w:eastAsia="宋体" w:cs="宋体"/>
          <w:bCs w:val="0"/>
          <w:color w:val="auto"/>
          <w:highlight w:val="none"/>
        </w:rPr>
      </w:pPr>
      <w:bookmarkStart w:id="82" w:name="_Toc34949246"/>
      <w:bookmarkStart w:id="83" w:name="_Toc32516"/>
      <w:bookmarkStart w:id="84" w:name="_Toc66274203"/>
      <w:bookmarkStart w:id="85" w:name="_Toc633"/>
      <w:bookmarkStart w:id="86" w:name="_Toc35186960"/>
      <w:bookmarkStart w:id="87" w:name="_Toc35189581"/>
      <w:bookmarkStart w:id="88" w:name="_Toc35974579"/>
      <w:r>
        <w:rPr>
          <w:rFonts w:hint="eastAsia" w:ascii="宋体" w:hAnsi="宋体" w:eastAsia="宋体" w:cs="宋体"/>
          <w:bCs w:val="0"/>
          <w:color w:val="auto"/>
          <w:highlight w:val="none"/>
        </w:rPr>
        <w:t>（3）资格条件承诺函</w:t>
      </w:r>
      <w:bookmarkEnd w:id="82"/>
      <w:bookmarkEnd w:id="83"/>
      <w:bookmarkEnd w:id="84"/>
      <w:bookmarkEnd w:id="85"/>
      <w:bookmarkEnd w:id="86"/>
      <w:bookmarkEnd w:id="87"/>
      <w:bookmarkEnd w:id="88"/>
    </w:p>
    <w:p>
      <w:pPr>
        <w:spacing w:line="600" w:lineRule="exact"/>
        <w:ind w:right="-153" w:rightChars="-73"/>
        <w:jc w:val="center"/>
        <w:rPr>
          <w:rFonts w:hint="eastAsia" w:ascii="宋体" w:hAnsi="宋体" w:cs="宋体"/>
          <w:b/>
          <w:bCs/>
          <w:color w:val="auto"/>
          <w:sz w:val="22"/>
          <w:szCs w:val="22"/>
          <w:highlight w:val="none"/>
        </w:rPr>
      </w:pPr>
    </w:p>
    <w:p>
      <w:pPr>
        <w:shd w:val="clear" w:color="auto" w:fill="FFFFFF"/>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温州市公安局交通管理局</w:t>
      </w:r>
    </w:p>
    <w:p>
      <w:pPr>
        <w:shd w:val="clear" w:color="auto" w:fill="FFFFFF"/>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浙江东瓯工程造价咨询有限公司：</w:t>
      </w: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p>
    <w:p>
      <w:pPr>
        <w:widowControl/>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60" w:hanging="259" w:hangingChars="118"/>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"http://www.creditchina.gov.cn）、" </w:instrText>
      </w:r>
      <w:r>
        <w:rPr>
          <w:rFonts w:hint="eastAsia" w:ascii="宋体" w:hAnsi="宋体" w:cs="宋体"/>
          <w:color w:val="auto"/>
          <w:kern w:val="0"/>
          <w:sz w:val="22"/>
          <w:szCs w:val="22"/>
          <w:highlight w:val="none"/>
        </w:rPr>
        <w:fldChar w:fldCharType="separate"/>
      </w:r>
      <w:r>
        <w:rPr>
          <w:rStyle w:val="46"/>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p>
    <w:p>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widowControl/>
        <w:snapToGrid w:val="0"/>
        <w:spacing w:line="440" w:lineRule="exact"/>
        <w:ind w:firstLine="440" w:firstLineChars="200"/>
        <w:jc w:val="left"/>
        <w:rPr>
          <w:rFonts w:hint="eastAsia" w:ascii="宋体" w:hAnsi="宋体" w:cs="宋体"/>
          <w:color w:val="auto"/>
          <w:kern w:val="0"/>
          <w:sz w:val="22"/>
          <w:szCs w:val="22"/>
          <w:highlight w:val="none"/>
        </w:rPr>
      </w:pPr>
    </w:p>
    <w:p>
      <w:pPr>
        <w:pStyle w:val="19"/>
        <w:spacing w:line="600" w:lineRule="exact"/>
        <w:ind w:firstLine="5137" w:firstLineChars="2335"/>
        <w:rPr>
          <w:rFonts w:hint="eastAsia" w:hAnsi="宋体" w:cs="宋体"/>
          <w:color w:val="auto"/>
          <w:sz w:val="22"/>
          <w:szCs w:val="22"/>
          <w:highlight w:val="none"/>
        </w:rPr>
      </w:pPr>
      <w:r>
        <w:rPr>
          <w:rFonts w:hint="eastAsia" w:hAnsi="宋体" w:cs="宋体"/>
          <w:color w:val="auto"/>
          <w:sz w:val="22"/>
          <w:szCs w:val="22"/>
          <w:highlight w:val="none"/>
        </w:rPr>
        <w:t>投标供应商名称（盖章）：</w:t>
      </w:r>
    </w:p>
    <w:p>
      <w:pPr>
        <w:pStyle w:val="19"/>
        <w:spacing w:line="600" w:lineRule="exact"/>
        <w:ind w:left="4605" w:leftChars="2193" w:firstLine="550" w:firstLineChars="250"/>
        <w:rPr>
          <w:rFonts w:hint="eastAsia" w:hAnsi="宋体" w:cs="宋体"/>
          <w:color w:val="auto"/>
          <w:sz w:val="22"/>
          <w:szCs w:val="22"/>
          <w:highlight w:val="none"/>
        </w:rPr>
      </w:pPr>
      <w:r>
        <w:rPr>
          <w:rFonts w:hint="eastAsia" w:hAnsi="宋体" w:cs="宋体"/>
          <w:color w:val="auto"/>
          <w:sz w:val="22"/>
          <w:szCs w:val="22"/>
          <w:highlight w:val="none"/>
        </w:rPr>
        <w:t>投标供应商代表（签字）：</w:t>
      </w:r>
    </w:p>
    <w:p>
      <w:pPr>
        <w:pStyle w:val="19"/>
        <w:spacing w:line="600" w:lineRule="exact"/>
        <w:ind w:left="4605" w:leftChars="2193" w:firstLine="550" w:firstLineChars="250"/>
        <w:rPr>
          <w:rFonts w:hint="eastAsia" w:hAnsi="宋体" w:cs="宋体"/>
          <w:color w:val="auto"/>
          <w:sz w:val="22"/>
          <w:szCs w:val="22"/>
          <w:highlight w:val="none"/>
        </w:rPr>
      </w:pPr>
      <w:r>
        <w:rPr>
          <w:rFonts w:hint="eastAsia" w:hAnsi="宋体" w:cs="宋体"/>
          <w:color w:val="auto"/>
          <w:sz w:val="22"/>
          <w:szCs w:val="22"/>
          <w:highlight w:val="none"/>
        </w:rPr>
        <w:t>日    期：    年   月   日</w:t>
      </w: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▲不按要求提交本承诺书按无效标处理。</w:t>
      </w:r>
    </w:p>
    <w:p>
      <w:pPr>
        <w:widowControl/>
        <w:adjustRightInd w:val="0"/>
        <w:snapToGrid w:val="0"/>
        <w:spacing w:line="324" w:lineRule="auto"/>
        <w:jc w:val="center"/>
        <w:rPr>
          <w:rFonts w:hint="eastAsia" w:ascii="宋体" w:hAnsi="宋体" w:cs="宋体"/>
          <w:b/>
          <w:color w:val="auto"/>
          <w:kern w:val="0"/>
          <w:sz w:val="32"/>
          <w:szCs w:val="32"/>
          <w:highlight w:val="none"/>
        </w:rPr>
      </w:pPr>
    </w:p>
    <w:p>
      <w:pPr>
        <w:pStyle w:val="4"/>
        <w:spacing w:before="0" w:after="0" w:line="600" w:lineRule="exact"/>
        <w:jc w:val="center"/>
        <w:rPr>
          <w:rFonts w:hint="eastAsia" w:ascii="宋体" w:hAnsi="宋体" w:eastAsia="宋体" w:cs="宋体"/>
          <w:color w:val="auto"/>
          <w:kern w:val="0"/>
          <w:highlight w:val="none"/>
        </w:rPr>
      </w:pPr>
      <w:bookmarkStart w:id="89" w:name="_Toc12841"/>
      <w:bookmarkStart w:id="90" w:name="_Toc35189582"/>
      <w:bookmarkStart w:id="91" w:name="_Toc66274204"/>
      <w:bookmarkStart w:id="92" w:name="_Toc35186961"/>
      <w:bookmarkStart w:id="93" w:name="_Toc35974580"/>
      <w:bookmarkStart w:id="94" w:name="_Toc13727"/>
      <w:bookmarkStart w:id="95" w:name="_Toc58178798"/>
      <w:r>
        <w:rPr>
          <w:rFonts w:hint="eastAsia" w:ascii="宋体" w:hAnsi="宋体" w:eastAsia="宋体" w:cs="宋体"/>
          <w:color w:val="auto"/>
          <w:kern w:val="0"/>
          <w:highlight w:val="none"/>
        </w:rPr>
        <w:t>（4）中小企业声明函</w:t>
      </w:r>
      <w:bookmarkEnd w:id="89"/>
      <w:bookmarkEnd w:id="90"/>
      <w:bookmarkEnd w:id="91"/>
      <w:bookmarkEnd w:id="92"/>
      <w:bookmarkEnd w:id="93"/>
      <w:bookmarkEnd w:id="94"/>
      <w:bookmarkEnd w:id="95"/>
    </w:p>
    <w:p>
      <w:pPr>
        <w:widowControl/>
        <w:adjustRightInd w:val="0"/>
        <w:snapToGrid w:val="0"/>
        <w:spacing w:line="324" w:lineRule="auto"/>
        <w:ind w:right="-227" w:rightChars="-108"/>
        <w:jc w:val="center"/>
        <w:rPr>
          <w:rFonts w:hint="eastAsia" w:ascii="宋体" w:hAnsi="宋体" w:cs="宋体"/>
          <w:b/>
          <w:color w:val="auto"/>
          <w:kern w:val="0"/>
          <w:sz w:val="28"/>
          <w:szCs w:val="28"/>
          <w:highlight w:val="none"/>
        </w:rPr>
      </w:pPr>
    </w:p>
    <w:p>
      <w:pPr>
        <w:snapToGrid w:val="0"/>
        <w:spacing w:line="60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本公司郑重声明，根据《政府采购促进中小企业发展管理办法》（财库[2020]46号）的规定，本公司参加</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温州市公安局交通管理局 </w:t>
      </w:r>
      <w:r>
        <w:rPr>
          <w:rFonts w:hint="eastAsia" w:ascii="宋体" w:hAnsi="宋体" w:cs="宋体"/>
          <w:color w:val="auto"/>
          <w:kern w:val="0"/>
          <w:sz w:val="22"/>
          <w:szCs w:val="22"/>
          <w:highlight w:val="none"/>
        </w:rPr>
        <w:t>的</w:t>
      </w:r>
      <w:r>
        <w:rPr>
          <w:rFonts w:hint="eastAsia" w:ascii="宋体" w:hAnsi="宋体" w:cs="宋体"/>
          <w:color w:val="auto"/>
          <w:sz w:val="22"/>
          <w:szCs w:val="22"/>
          <w:highlight w:val="none"/>
          <w:u w:val="single"/>
        </w:rPr>
        <w:t xml:space="preserve"> 网络安全框架建设 </w:t>
      </w:r>
      <w:r>
        <w:rPr>
          <w:rFonts w:hint="eastAsia" w:ascii="宋体" w:hAnsi="宋体" w:cs="宋体"/>
          <w:color w:val="auto"/>
          <w:sz w:val="22"/>
          <w:szCs w:val="22"/>
          <w:highlight w:val="none"/>
        </w:rPr>
        <w:t>采购活动，服务全部由符合政策要求的中小企业承接。相关企业的具体情况如下：</w:t>
      </w:r>
    </w:p>
    <w:p>
      <w:pPr>
        <w:snapToGrid w:val="0"/>
        <w:spacing w:line="6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u w:val="single"/>
        </w:rPr>
        <w:t>网络安全框架建设项目</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其他未列明行业  </w:t>
      </w:r>
      <w:r>
        <w:rPr>
          <w:rFonts w:hint="eastAsia" w:ascii="宋体" w:hAnsi="宋体" w:cs="宋体"/>
          <w:color w:val="auto"/>
          <w:sz w:val="22"/>
          <w:szCs w:val="22"/>
          <w:highlight w:val="none"/>
        </w:rPr>
        <w:t>，承接企业为</w:t>
      </w:r>
      <w:r>
        <w:rPr>
          <w:rFonts w:hint="eastAsia" w:ascii="宋体" w:hAnsi="宋体" w:cs="宋体"/>
          <w:color w:val="auto"/>
          <w:sz w:val="22"/>
          <w:szCs w:val="22"/>
          <w:highlight w:val="none"/>
          <w:u w:val="single"/>
        </w:rPr>
        <w:t xml:space="preserve">      （填写企业名称）     </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 xml:space="preserve">  (填写中型企业、小型企业、微型企业) </w:t>
      </w:r>
      <w:r>
        <w:rPr>
          <w:rFonts w:hint="eastAsia" w:ascii="宋体" w:hAnsi="宋体" w:cs="宋体"/>
          <w:color w:val="auto"/>
          <w:sz w:val="22"/>
          <w:szCs w:val="22"/>
          <w:highlight w:val="none"/>
        </w:rPr>
        <w:t xml:space="preserve"> ；</w:t>
      </w:r>
    </w:p>
    <w:p>
      <w:pPr>
        <w:snapToGrid w:val="0"/>
        <w:spacing w:line="600" w:lineRule="exact"/>
        <w:rPr>
          <w:rFonts w:hint="eastAsia" w:ascii="宋体" w:hAnsi="宋体" w:cs="宋体"/>
          <w:color w:val="auto"/>
          <w:kern w:val="0"/>
          <w:sz w:val="22"/>
          <w:szCs w:val="22"/>
          <w:highlight w:val="none"/>
        </w:rPr>
      </w:pPr>
    </w:p>
    <w:p>
      <w:pPr>
        <w:snapToGrid w:val="0"/>
        <w:spacing w:line="600" w:lineRule="exact"/>
        <w:ind w:left="36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以上企业，不属于大企业的分支机构，不存在控股股东为大企业的情形，也不存在与大企业的负责人为同一人的情形。</w:t>
      </w:r>
    </w:p>
    <w:p>
      <w:pPr>
        <w:snapToGrid w:val="0"/>
        <w:spacing w:line="600" w:lineRule="exact"/>
        <w:ind w:left="36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本企业对上述声明内容的真实性负责。如有虚假，将依法承担相应责任。</w:t>
      </w:r>
    </w:p>
    <w:p>
      <w:pPr>
        <w:snapToGrid w:val="0"/>
        <w:spacing w:line="600" w:lineRule="exact"/>
        <w:ind w:left="360"/>
        <w:rPr>
          <w:rFonts w:hint="eastAsia" w:ascii="宋体" w:hAnsi="宋体" w:cs="宋体"/>
          <w:color w:val="auto"/>
          <w:sz w:val="22"/>
          <w:szCs w:val="22"/>
          <w:highlight w:val="none"/>
        </w:rPr>
      </w:pPr>
    </w:p>
    <w:p>
      <w:pPr>
        <w:snapToGrid w:val="0"/>
        <w:spacing w:line="600" w:lineRule="exact"/>
        <w:ind w:left="360"/>
        <w:rPr>
          <w:rFonts w:hint="eastAsia" w:ascii="宋体" w:hAnsi="宋体" w:cs="宋体"/>
          <w:color w:val="auto"/>
          <w:sz w:val="22"/>
          <w:szCs w:val="22"/>
          <w:highlight w:val="none"/>
        </w:rPr>
      </w:pPr>
    </w:p>
    <w:p>
      <w:pPr>
        <w:widowControl/>
        <w:adjustRightInd w:val="0"/>
        <w:snapToGrid w:val="0"/>
        <w:spacing w:line="600" w:lineRule="exact"/>
        <w:ind w:firstLine="3300" w:firstLineChars="15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企业名称（盖章）：</w:t>
      </w:r>
    </w:p>
    <w:p>
      <w:pPr>
        <w:widowControl/>
        <w:adjustRightInd w:val="0"/>
        <w:snapToGrid w:val="0"/>
        <w:spacing w:line="600" w:lineRule="exact"/>
        <w:ind w:firstLine="3300" w:firstLineChars="15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widowControl/>
        <w:adjustRightInd w:val="0"/>
        <w:snapToGrid w:val="0"/>
        <w:spacing w:line="600" w:lineRule="exact"/>
        <w:ind w:firstLine="3300" w:firstLineChars="1500"/>
        <w:jc w:val="left"/>
        <w:rPr>
          <w:rFonts w:hint="eastAsia" w:ascii="宋体" w:hAnsi="宋体" w:cs="宋体"/>
          <w:color w:val="auto"/>
          <w:sz w:val="22"/>
          <w:szCs w:val="22"/>
          <w:highlight w:val="none"/>
        </w:rPr>
      </w:pPr>
    </w:p>
    <w:p>
      <w:pPr>
        <w:widowControl/>
        <w:pBdr>
          <w:bottom w:val="single" w:color="auto" w:sz="6" w:space="1"/>
        </w:pBdr>
        <w:adjustRightInd w:val="0"/>
        <w:snapToGrid w:val="0"/>
        <w:spacing w:line="324" w:lineRule="auto"/>
        <w:ind w:firstLine="440" w:firstLineChars="200"/>
        <w:jc w:val="left"/>
        <w:rPr>
          <w:rFonts w:hint="eastAsia" w:ascii="宋体" w:hAnsi="宋体" w:cs="宋体"/>
          <w:color w:val="auto"/>
          <w:kern w:val="0"/>
          <w:sz w:val="22"/>
          <w:szCs w:val="22"/>
          <w:highlight w:val="none"/>
        </w:rPr>
      </w:pPr>
    </w:p>
    <w:p>
      <w:pPr>
        <w:widowControl/>
        <w:adjustRightInd w:val="0"/>
        <w:snapToGrid w:val="0"/>
        <w:spacing w:line="324" w:lineRule="auto"/>
        <w:ind w:firstLine="440" w:firstLineChars="200"/>
        <w:jc w:val="left"/>
        <w:rPr>
          <w:rFonts w:hint="eastAsia" w:ascii="宋体" w:hAnsi="宋体" w:cs="宋体"/>
          <w:color w:val="auto"/>
          <w:kern w:val="0"/>
          <w:sz w:val="22"/>
          <w:szCs w:val="22"/>
          <w:highlight w:val="none"/>
        </w:rPr>
      </w:pPr>
    </w:p>
    <w:p>
      <w:pPr>
        <w:widowControl/>
        <w:tabs>
          <w:tab w:val="left" w:pos="142"/>
        </w:tabs>
        <w:adjustRightInd w:val="0"/>
        <w:snapToGrid w:val="0"/>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相关说明及要求：</w:t>
      </w:r>
    </w:p>
    <w:p>
      <w:pPr>
        <w:widowControl/>
        <w:numPr>
          <w:ilvl w:val="0"/>
          <w:numId w:val="12"/>
        </w:numPr>
        <w:tabs>
          <w:tab w:val="left" w:pos="142"/>
        </w:tabs>
        <w:adjustRightInd w:val="0"/>
        <w:snapToGrid w:val="0"/>
        <w:spacing w:line="400" w:lineRule="exact"/>
        <w:ind w:left="444" w:hanging="444" w:hangingChars="20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从业人员、营业收入、资产总额填报上一年度数据，无上一年度数据的新成立企业可不填报。</w:t>
      </w:r>
    </w:p>
    <w:p>
      <w:pPr>
        <w:widowControl/>
        <w:numPr>
          <w:ilvl w:val="0"/>
          <w:numId w:val="12"/>
        </w:numPr>
        <w:tabs>
          <w:tab w:val="left" w:pos="142"/>
        </w:tabs>
        <w:adjustRightInd w:val="0"/>
        <w:snapToGrid w:val="0"/>
        <w:spacing w:line="400" w:lineRule="exact"/>
        <w:ind w:left="444" w:hanging="444" w:hangingChars="20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中小微企业标准：符合</w:t>
      </w:r>
      <w:r>
        <w:rPr>
          <w:rFonts w:hint="eastAsia" w:ascii="宋体" w:hAnsi="宋体" w:cs="宋体"/>
          <w:color w:val="auto"/>
          <w:sz w:val="22"/>
          <w:szCs w:val="22"/>
          <w:highlight w:val="none"/>
        </w:rPr>
        <w:t>《工业和信息化部、国家统计局、国家发展和改革委员会、财政部关于印发中小企业划型标准规定的通知》（工信部联企业〔2011〕300号）规定的划分标准</w:t>
      </w:r>
      <w:r>
        <w:rPr>
          <w:rFonts w:hint="eastAsia" w:ascii="宋体" w:hAnsi="宋体" w:cs="宋体"/>
          <w:color w:val="auto"/>
          <w:kern w:val="0"/>
          <w:sz w:val="22"/>
          <w:szCs w:val="22"/>
          <w:highlight w:val="none"/>
        </w:rPr>
        <w:t>。</w:t>
      </w:r>
    </w:p>
    <w:p>
      <w:pPr>
        <w:widowControl/>
        <w:numPr>
          <w:ilvl w:val="0"/>
          <w:numId w:val="12"/>
        </w:numPr>
        <w:tabs>
          <w:tab w:val="left" w:pos="142"/>
        </w:tabs>
        <w:adjustRightInd w:val="0"/>
        <w:snapToGrid w:val="0"/>
        <w:spacing w:line="400" w:lineRule="exact"/>
        <w:ind w:left="444" w:hanging="444" w:hangingChars="20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请投标供应商按本表规定格式及要求填写并加盖单位公章。</w:t>
      </w:r>
    </w:p>
    <w:p>
      <w:pPr>
        <w:widowControl/>
        <w:numPr>
          <w:ilvl w:val="0"/>
          <w:numId w:val="12"/>
        </w:numPr>
        <w:tabs>
          <w:tab w:val="left" w:pos="142"/>
        </w:tabs>
        <w:adjustRightInd w:val="0"/>
        <w:snapToGrid w:val="0"/>
        <w:spacing w:line="400" w:lineRule="exact"/>
        <w:ind w:left="444" w:hanging="444" w:hangingChars="20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填写本表的投标供应商应为浙江政府采购网正式入库供应商。</w:t>
      </w:r>
    </w:p>
    <w:p>
      <w:pPr>
        <w:widowControl/>
        <w:numPr>
          <w:ilvl w:val="0"/>
          <w:numId w:val="12"/>
        </w:numPr>
        <w:tabs>
          <w:tab w:val="left" w:pos="142"/>
        </w:tabs>
        <w:adjustRightInd w:val="0"/>
        <w:snapToGrid w:val="0"/>
        <w:spacing w:line="400" w:lineRule="exact"/>
        <w:ind w:left="444" w:hanging="444" w:hangingChars="20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不属于中小微企业的无需出具该声明函。</w:t>
      </w:r>
    </w:p>
    <w:p>
      <w:pPr>
        <w:widowControl/>
        <w:adjustRightInd w:val="0"/>
        <w:snapToGrid w:val="0"/>
        <w:spacing w:line="324" w:lineRule="auto"/>
        <w:jc w:val="center"/>
        <w:rPr>
          <w:rFonts w:hint="eastAsia" w:ascii="宋体" w:hAnsi="宋体" w:cs="宋体"/>
          <w:color w:val="auto"/>
          <w:sz w:val="22"/>
          <w:szCs w:val="22"/>
          <w:highlight w:val="none"/>
        </w:rPr>
      </w:pPr>
    </w:p>
    <w:p>
      <w:pPr>
        <w:widowControl/>
        <w:adjustRightInd w:val="0"/>
        <w:snapToGrid w:val="0"/>
        <w:spacing w:line="324" w:lineRule="auto"/>
        <w:jc w:val="center"/>
        <w:rPr>
          <w:rFonts w:hint="eastAsia" w:ascii="宋体" w:hAnsi="宋体" w:cs="宋体"/>
          <w:b/>
          <w:color w:val="auto"/>
          <w:kern w:val="0"/>
          <w:sz w:val="22"/>
          <w:szCs w:val="22"/>
          <w:highlight w:val="none"/>
        </w:rPr>
      </w:pPr>
    </w:p>
    <w:p>
      <w:pPr>
        <w:pStyle w:val="4"/>
        <w:spacing w:before="0" w:after="0" w:line="600" w:lineRule="exact"/>
        <w:jc w:val="center"/>
        <w:rPr>
          <w:rFonts w:hint="eastAsia" w:ascii="宋体" w:hAnsi="宋体" w:eastAsia="宋体" w:cs="宋体"/>
          <w:b w:val="0"/>
          <w:color w:val="auto"/>
          <w:kern w:val="0"/>
          <w:highlight w:val="none"/>
        </w:rPr>
      </w:pPr>
      <w:bookmarkStart w:id="96" w:name="_Toc25811"/>
      <w:bookmarkStart w:id="97" w:name="_Toc66274205"/>
      <w:bookmarkStart w:id="98" w:name="_Toc35189583"/>
      <w:bookmarkStart w:id="99" w:name="_Toc35974581"/>
      <w:bookmarkStart w:id="100" w:name="_Toc8892"/>
      <w:bookmarkStart w:id="101" w:name="_Toc35186962"/>
      <w:r>
        <w:rPr>
          <w:rFonts w:hint="eastAsia" w:ascii="宋体" w:hAnsi="宋体" w:eastAsia="宋体" w:cs="宋体"/>
          <w:b w:val="0"/>
          <w:color w:val="auto"/>
          <w:kern w:val="0"/>
          <w:highlight w:val="none"/>
        </w:rPr>
        <w:t>（5）残疾人福利性单位声明函</w:t>
      </w:r>
      <w:bookmarkEnd w:id="96"/>
      <w:bookmarkEnd w:id="97"/>
      <w:bookmarkEnd w:id="98"/>
      <w:bookmarkEnd w:id="99"/>
      <w:bookmarkEnd w:id="100"/>
      <w:bookmarkEnd w:id="101"/>
    </w:p>
    <w:p>
      <w:pPr>
        <w:spacing w:line="588" w:lineRule="exact"/>
        <w:rPr>
          <w:rFonts w:hint="eastAsia" w:ascii="宋体" w:hAnsi="宋体" w:cs="宋体"/>
          <w:b/>
          <w:color w:val="auto"/>
          <w:spacing w:val="6"/>
          <w:sz w:val="30"/>
          <w:szCs w:val="30"/>
          <w:highlight w:val="none"/>
        </w:rPr>
      </w:pP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            ）采购活动提供本单位制造的货物，或者提供其他残疾人福利性单位制造的货物（不包括使用非残疾人福利性单位注册商标的货物）。</w:t>
      </w: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cs="宋体"/>
          <w:color w:val="auto"/>
          <w:spacing w:val="6"/>
          <w:sz w:val="22"/>
          <w:szCs w:val="22"/>
          <w:highlight w:val="none"/>
        </w:rPr>
      </w:pPr>
    </w:p>
    <w:p>
      <w:pPr>
        <w:spacing w:line="588" w:lineRule="exact"/>
        <w:ind w:firstLine="464" w:firstLineChars="200"/>
        <w:rPr>
          <w:rFonts w:hint="eastAsia" w:ascii="宋体" w:hAnsi="宋体" w:cs="宋体"/>
          <w:color w:val="auto"/>
          <w:spacing w:val="6"/>
          <w:sz w:val="22"/>
          <w:szCs w:val="22"/>
          <w:highlight w:val="none"/>
        </w:rPr>
      </w:pPr>
    </w:p>
    <w:p>
      <w:pPr>
        <w:tabs>
          <w:tab w:val="left" w:pos="4860"/>
        </w:tabs>
        <w:spacing w:line="600" w:lineRule="exact"/>
        <w:ind w:right="1560"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                                </w:t>
      </w:r>
      <w:r>
        <w:rPr>
          <w:rFonts w:hint="eastAsia" w:ascii="宋体" w:hAnsi="宋体" w:cs="宋体"/>
          <w:color w:val="auto"/>
          <w:sz w:val="22"/>
          <w:szCs w:val="22"/>
          <w:highlight w:val="none"/>
        </w:rPr>
        <w:t>投标供应商名称（盖章）</w:t>
      </w:r>
      <w:r>
        <w:rPr>
          <w:rFonts w:hint="eastAsia" w:ascii="宋体" w:hAnsi="宋体" w:cs="宋体"/>
          <w:color w:val="auto"/>
          <w:spacing w:val="6"/>
          <w:sz w:val="22"/>
          <w:szCs w:val="22"/>
          <w:highlight w:val="none"/>
        </w:rPr>
        <w:t>：</w:t>
      </w:r>
    </w:p>
    <w:p>
      <w:pPr>
        <w:tabs>
          <w:tab w:val="left" w:pos="4860"/>
        </w:tabs>
        <w:spacing w:line="600" w:lineRule="exact"/>
        <w:ind w:right="1560" w:firstLine="440" w:firstLineChars="200"/>
        <w:jc w:val="center"/>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投标供应商代表（签字）：</w:t>
      </w:r>
    </w:p>
    <w:p>
      <w:pPr>
        <w:widowControl/>
        <w:adjustRightInd w:val="0"/>
        <w:snapToGrid w:val="0"/>
        <w:spacing w:line="600" w:lineRule="exact"/>
        <w:jc w:val="left"/>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日  期：</w:t>
      </w:r>
      <w:r>
        <w:rPr>
          <w:rFonts w:hint="eastAsia" w:ascii="宋体" w:hAnsi="宋体" w:cs="宋体"/>
          <w:color w:val="auto"/>
          <w:sz w:val="22"/>
          <w:szCs w:val="22"/>
          <w:highlight w:val="none"/>
        </w:rPr>
        <w:t xml:space="preserve">    年  月  日</w:t>
      </w:r>
    </w:p>
    <w:p>
      <w:pPr>
        <w:spacing w:line="440" w:lineRule="exact"/>
        <w:rPr>
          <w:rFonts w:hint="eastAsia" w:ascii="宋体" w:hAnsi="宋体" w:cs="宋体"/>
          <w:b/>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440" w:lineRule="exact"/>
        <w:rPr>
          <w:rFonts w:hint="eastAsia" w:ascii="宋体" w:hAnsi="宋体" w:cs="宋体"/>
          <w:b/>
          <w:color w:val="auto"/>
          <w:sz w:val="22"/>
          <w:szCs w:val="22"/>
          <w:highlight w:val="none"/>
        </w:rPr>
      </w:pPr>
    </w:p>
    <w:p>
      <w:pPr>
        <w:spacing w:line="440" w:lineRule="exact"/>
        <w:rPr>
          <w:rFonts w:hint="eastAsia" w:ascii="宋体" w:hAnsi="宋体" w:cs="宋体"/>
          <w:b/>
          <w:color w:val="auto"/>
          <w:sz w:val="22"/>
          <w:szCs w:val="22"/>
          <w:highlight w:val="none"/>
        </w:rPr>
      </w:pPr>
    </w:p>
    <w:p>
      <w:pPr>
        <w:spacing w:line="440" w:lineRule="exact"/>
        <w:rPr>
          <w:rFonts w:hint="eastAsia" w:ascii="宋体" w:hAnsi="宋体" w:cs="宋体"/>
          <w:b/>
          <w:color w:val="auto"/>
          <w:sz w:val="22"/>
          <w:szCs w:val="22"/>
          <w:highlight w:val="none"/>
        </w:rPr>
      </w:pPr>
    </w:p>
    <w:p>
      <w:pPr>
        <w:spacing w:line="440" w:lineRule="exact"/>
        <w:rPr>
          <w:rFonts w:hint="eastAsia" w:ascii="宋体" w:hAnsi="宋体" w:cs="宋体"/>
          <w:b/>
          <w:color w:val="auto"/>
          <w:sz w:val="22"/>
          <w:szCs w:val="22"/>
          <w:highlight w:val="none"/>
        </w:rPr>
      </w:pPr>
    </w:p>
    <w:p>
      <w:pPr>
        <w:spacing w:line="440" w:lineRule="exact"/>
        <w:rPr>
          <w:rFonts w:hint="eastAsia" w:ascii="宋体" w:hAnsi="宋体" w:cs="宋体"/>
          <w:b/>
          <w:color w:val="auto"/>
          <w:sz w:val="22"/>
          <w:szCs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spacing w:line="440" w:lineRule="exact"/>
        <w:rPr>
          <w:rFonts w:hint="eastAsia" w:ascii="宋体" w:hAnsi="宋体" w:cs="宋体"/>
          <w:b/>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02" w:name="_Toc66274199"/>
      <w:bookmarkStart w:id="103" w:name="_Toc395528091"/>
      <w:bookmarkStart w:id="104" w:name="_Toc24715"/>
      <w:bookmarkStart w:id="105" w:name="_Toc496784114"/>
      <w:bookmarkStart w:id="106" w:name="_Toc19923"/>
      <w:bookmarkStart w:id="107" w:name="_Toc301515376"/>
      <w:bookmarkStart w:id="108" w:name="_Toc317492718"/>
      <w:bookmarkStart w:id="109" w:name="_Toc184281693"/>
      <w:r>
        <w:rPr>
          <w:rFonts w:hint="eastAsia" w:ascii="宋体" w:hAnsi="宋体" w:eastAsia="宋体" w:cs="宋体"/>
          <w:color w:val="auto"/>
          <w:sz w:val="22"/>
          <w:szCs w:val="22"/>
          <w:highlight w:val="none"/>
        </w:rPr>
        <w:t>附件五  商务、技术条款偏离表</w:t>
      </w:r>
      <w:bookmarkEnd w:id="102"/>
      <w:bookmarkEnd w:id="103"/>
      <w:bookmarkEnd w:id="104"/>
      <w:bookmarkEnd w:id="105"/>
      <w:bookmarkEnd w:id="106"/>
      <w:bookmarkEnd w:id="107"/>
      <w:bookmarkEnd w:id="108"/>
    </w:p>
    <w:p>
      <w:pPr>
        <w:spacing w:line="380" w:lineRule="exact"/>
        <w:ind w:left="-358" w:leftChars="-171" w:hanging="1"/>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（1）商务条款偏离表</w:t>
      </w:r>
    </w:p>
    <w:p>
      <w:pPr>
        <w:spacing w:line="5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126"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条目</w:t>
            </w:r>
          </w:p>
        </w:tc>
        <w:tc>
          <w:tcPr>
            <w:tcW w:w="2255"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1976"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680"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bl>
    <w:p>
      <w:pPr>
        <w:pStyle w:val="19"/>
        <w:spacing w:line="400" w:lineRule="atLeas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 xml:space="preserve">注： </w:t>
      </w:r>
      <w:r>
        <w:rPr>
          <w:rFonts w:hint="eastAsia" w:hAnsi="宋体" w:cs="宋体"/>
          <w:color w:val="auto"/>
          <w:sz w:val="22"/>
          <w:szCs w:val="22"/>
          <w:highlight w:val="none"/>
        </w:rPr>
        <w:t>如有偏离，必须在偏离表中进行详细对比说明并注明正偏离（负偏离），如所有条款均无偏离，则只需在“投标文件对应规格”第一栏中填写“无偏离”即可。如不说明偏离情况，视为完全响应招标文件要求无偏离。</w:t>
      </w:r>
    </w:p>
    <w:p>
      <w:pPr>
        <w:rPr>
          <w:rFonts w:hint="eastAsia" w:ascii="宋体" w:hAnsi="宋体" w:cs="宋体"/>
          <w:color w:val="auto"/>
          <w:sz w:val="22"/>
          <w:szCs w:val="22"/>
          <w:highlight w:val="none"/>
        </w:rPr>
      </w:pP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（盖章）：</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w:t>
      </w:r>
      <w:r>
        <w:rPr>
          <w:rFonts w:hint="eastAsia" w:ascii="宋体" w:hAnsi="宋体" w:cs="宋体"/>
          <w:color w:val="auto"/>
          <w:sz w:val="22"/>
          <w:szCs w:val="22"/>
          <w:highlight w:val="none"/>
        </w:rPr>
        <w:t>代表（签字）：</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00" w:lineRule="exact"/>
        <w:ind w:firstLine="4400" w:firstLineChars="2000"/>
        <w:rPr>
          <w:rFonts w:hint="eastAsia" w:ascii="宋体" w:hAnsi="宋体" w:cs="宋体"/>
          <w:color w:val="auto"/>
          <w:sz w:val="22"/>
          <w:szCs w:val="22"/>
          <w:highlight w:val="none"/>
        </w:rPr>
      </w:pPr>
    </w:p>
    <w:p>
      <w:pPr>
        <w:spacing w:line="400" w:lineRule="exact"/>
        <w:ind w:firstLine="4400" w:firstLineChars="2000"/>
        <w:rPr>
          <w:rFonts w:hint="eastAsia" w:ascii="宋体" w:hAnsi="宋体" w:cs="宋体"/>
          <w:color w:val="auto"/>
          <w:sz w:val="22"/>
          <w:szCs w:val="22"/>
          <w:highlight w:val="none"/>
        </w:rPr>
      </w:pPr>
    </w:p>
    <w:p>
      <w:pPr>
        <w:spacing w:line="380" w:lineRule="exact"/>
        <w:ind w:left="-358" w:leftChars="-171" w:hanging="1"/>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（2）技术条款偏离表</w:t>
      </w:r>
    </w:p>
    <w:p>
      <w:pPr>
        <w:spacing w:line="5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126"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条目</w:t>
            </w:r>
          </w:p>
        </w:tc>
        <w:tc>
          <w:tcPr>
            <w:tcW w:w="2255"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1976"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投标文件</w:t>
            </w:r>
          </w:p>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680" w:type="dxa"/>
            <w:noWrap w:val="0"/>
            <w:vAlign w:val="center"/>
          </w:tcPr>
          <w:p>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ind w:firstLine="221" w:firstLineChars="100"/>
              <w:rPr>
                <w:rFonts w:hint="eastAsia" w:ascii="宋体" w:hAnsi="宋体" w:cs="宋体"/>
                <w:b/>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pPr>
              <w:jc w:val="center"/>
              <w:rPr>
                <w:rFonts w:hint="eastAsia" w:ascii="宋体" w:hAnsi="宋体" w:cs="宋体"/>
                <w:color w:val="auto"/>
                <w:sz w:val="22"/>
                <w:szCs w:val="22"/>
                <w:highlight w:val="none"/>
              </w:rPr>
            </w:pPr>
          </w:p>
        </w:tc>
        <w:tc>
          <w:tcPr>
            <w:tcW w:w="2126" w:type="dxa"/>
            <w:noWrap w:val="0"/>
            <w:vAlign w:val="center"/>
          </w:tcPr>
          <w:p>
            <w:pPr>
              <w:jc w:val="center"/>
              <w:rPr>
                <w:rFonts w:hint="eastAsia" w:ascii="宋体" w:hAnsi="宋体" w:cs="宋体"/>
                <w:color w:val="auto"/>
                <w:sz w:val="22"/>
                <w:szCs w:val="22"/>
                <w:highlight w:val="none"/>
              </w:rPr>
            </w:pPr>
          </w:p>
        </w:tc>
        <w:tc>
          <w:tcPr>
            <w:tcW w:w="2255" w:type="dxa"/>
            <w:noWrap w:val="0"/>
            <w:vAlign w:val="center"/>
          </w:tcPr>
          <w:p>
            <w:pPr>
              <w:jc w:val="center"/>
              <w:rPr>
                <w:rFonts w:hint="eastAsia" w:ascii="宋体" w:hAnsi="宋体" w:cs="宋体"/>
                <w:color w:val="auto"/>
                <w:sz w:val="22"/>
                <w:szCs w:val="22"/>
                <w:highlight w:val="none"/>
              </w:rPr>
            </w:pPr>
          </w:p>
        </w:tc>
        <w:tc>
          <w:tcPr>
            <w:tcW w:w="1976" w:type="dxa"/>
            <w:noWrap w:val="0"/>
            <w:vAlign w:val="center"/>
          </w:tcPr>
          <w:p>
            <w:pPr>
              <w:jc w:val="center"/>
              <w:rPr>
                <w:rFonts w:hint="eastAsia" w:ascii="宋体" w:hAnsi="宋体" w:cs="宋体"/>
                <w:color w:val="auto"/>
                <w:sz w:val="22"/>
                <w:szCs w:val="22"/>
                <w:highlight w:val="none"/>
              </w:rPr>
            </w:pPr>
          </w:p>
        </w:tc>
        <w:tc>
          <w:tcPr>
            <w:tcW w:w="1680" w:type="dxa"/>
            <w:noWrap w:val="0"/>
            <w:vAlign w:val="center"/>
          </w:tcPr>
          <w:p>
            <w:pPr>
              <w:jc w:val="center"/>
              <w:rPr>
                <w:rFonts w:hint="eastAsia" w:ascii="宋体" w:hAnsi="宋体" w:cs="宋体"/>
                <w:color w:val="auto"/>
                <w:sz w:val="22"/>
                <w:szCs w:val="22"/>
                <w:highlight w:val="none"/>
              </w:rPr>
            </w:pPr>
          </w:p>
        </w:tc>
      </w:tr>
    </w:tbl>
    <w:p>
      <w:pPr>
        <w:pStyle w:val="19"/>
        <w:spacing w:line="400" w:lineRule="atLeas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w:t>
      </w:r>
      <w:r>
        <w:rPr>
          <w:rFonts w:hint="eastAsia" w:hAnsi="宋体" w:cs="宋体"/>
          <w:color w:val="auto"/>
          <w:sz w:val="22"/>
          <w:szCs w:val="22"/>
          <w:highlight w:val="none"/>
        </w:rPr>
        <w:t>如有偏离，必须在偏离表中进行详细对比说明并注明正偏离（负偏离），如所有条款均无偏离，则只需在“投标文件对应规格”第一栏中填写“无偏离”即可。如不说明偏离情况，视为完全响应招标文件要求无偏离。</w:t>
      </w:r>
    </w:p>
    <w:p>
      <w:pPr>
        <w:rPr>
          <w:rFonts w:hint="eastAsia" w:ascii="宋体" w:hAnsi="宋体" w:cs="宋体"/>
          <w:color w:val="auto"/>
          <w:sz w:val="22"/>
          <w:szCs w:val="22"/>
          <w:highlight w:val="none"/>
        </w:rPr>
      </w:pPr>
    </w:p>
    <w:p>
      <w:pPr>
        <w:rPr>
          <w:rFonts w:hint="eastAsia" w:ascii="宋体" w:hAnsi="宋体" w:cs="宋体"/>
          <w:color w:val="auto"/>
          <w:sz w:val="22"/>
          <w:szCs w:val="22"/>
          <w:highlight w:val="none"/>
        </w:rPr>
      </w:pP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（盖章）：</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w:t>
      </w:r>
      <w:r>
        <w:rPr>
          <w:rFonts w:hint="eastAsia" w:ascii="宋体" w:hAnsi="宋体" w:cs="宋体"/>
          <w:color w:val="auto"/>
          <w:sz w:val="22"/>
          <w:szCs w:val="22"/>
          <w:highlight w:val="none"/>
        </w:rPr>
        <w:t>代表（签字）：</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109"/>
    <w:p>
      <w:pPr>
        <w:spacing w:line="440" w:lineRule="exact"/>
        <w:rPr>
          <w:rFonts w:hint="eastAsia" w:ascii="宋体" w:hAnsi="宋体" w:cs="宋体"/>
          <w:b/>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10" w:name="_Toc40888647"/>
      <w:bookmarkStart w:id="111" w:name="_Toc66274206"/>
      <w:bookmarkStart w:id="112" w:name="_Toc12245"/>
      <w:bookmarkStart w:id="113" w:name="_Toc32077"/>
      <w:r>
        <w:rPr>
          <w:rFonts w:hint="eastAsia" w:ascii="宋体" w:hAnsi="宋体" w:eastAsia="宋体" w:cs="宋体"/>
          <w:color w:val="auto"/>
          <w:sz w:val="22"/>
          <w:szCs w:val="22"/>
          <w:highlight w:val="none"/>
        </w:rPr>
        <w:t xml:space="preserve">附件六  </w:t>
      </w:r>
      <w:bookmarkEnd w:id="110"/>
      <w:bookmarkEnd w:id="111"/>
      <w:r>
        <w:rPr>
          <w:rFonts w:hint="eastAsia" w:ascii="宋体" w:hAnsi="宋体" w:eastAsia="宋体" w:cs="宋体"/>
          <w:color w:val="auto"/>
          <w:sz w:val="22"/>
          <w:szCs w:val="22"/>
          <w:highlight w:val="none"/>
        </w:rPr>
        <w:t>货物成套供货清单</w:t>
      </w:r>
      <w:bookmarkEnd w:id="112"/>
      <w:bookmarkEnd w:id="113"/>
    </w:p>
    <w:p>
      <w:pPr>
        <w:numPr>
          <w:ilvl w:val="0"/>
          <w:numId w:val="13"/>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126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名  称</w:t>
            </w:r>
          </w:p>
        </w:tc>
        <w:tc>
          <w:tcPr>
            <w:tcW w:w="198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72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单位</w:t>
            </w:r>
          </w:p>
        </w:tc>
        <w:tc>
          <w:tcPr>
            <w:tcW w:w="90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数量</w:t>
            </w:r>
          </w:p>
        </w:tc>
        <w:tc>
          <w:tcPr>
            <w:tcW w:w="144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原产地</w:t>
            </w:r>
          </w:p>
        </w:tc>
        <w:tc>
          <w:tcPr>
            <w:tcW w:w="144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制造商</w:t>
            </w:r>
          </w:p>
        </w:tc>
        <w:tc>
          <w:tcPr>
            <w:tcW w:w="1080" w:type="dxa"/>
            <w:shd w:val="clear" w:color="auto" w:fill="D9D9D9"/>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80" w:lineRule="exact"/>
              <w:jc w:val="center"/>
              <w:rPr>
                <w:rFonts w:hint="eastAsia" w:ascii="宋体" w:hAnsi="宋体"/>
                <w:b/>
                <w:bCs/>
                <w:color w:val="auto"/>
                <w:sz w:val="22"/>
                <w:szCs w:val="22"/>
                <w:highlight w:val="none"/>
              </w:rPr>
            </w:pPr>
          </w:p>
        </w:tc>
        <w:tc>
          <w:tcPr>
            <w:tcW w:w="1260" w:type="dxa"/>
            <w:noWrap w:val="0"/>
            <w:vAlign w:val="center"/>
          </w:tcPr>
          <w:p>
            <w:pPr>
              <w:spacing w:line="380" w:lineRule="exact"/>
              <w:jc w:val="center"/>
              <w:rPr>
                <w:rFonts w:hint="eastAsia" w:ascii="宋体" w:hAnsi="宋体"/>
                <w:b/>
                <w:bCs/>
                <w:color w:val="auto"/>
                <w:sz w:val="22"/>
                <w:szCs w:val="22"/>
                <w:highlight w:val="none"/>
              </w:rPr>
            </w:pPr>
          </w:p>
        </w:tc>
        <w:tc>
          <w:tcPr>
            <w:tcW w:w="1980" w:type="dxa"/>
            <w:noWrap w:val="0"/>
            <w:vAlign w:val="center"/>
          </w:tcPr>
          <w:p>
            <w:pPr>
              <w:spacing w:line="380" w:lineRule="exact"/>
              <w:jc w:val="center"/>
              <w:rPr>
                <w:rFonts w:hint="eastAsia" w:ascii="宋体" w:hAnsi="宋体"/>
                <w:b/>
                <w:bCs/>
                <w:color w:val="auto"/>
                <w:sz w:val="22"/>
                <w:szCs w:val="22"/>
                <w:highlight w:val="none"/>
              </w:rPr>
            </w:pPr>
          </w:p>
        </w:tc>
        <w:tc>
          <w:tcPr>
            <w:tcW w:w="720" w:type="dxa"/>
            <w:noWrap w:val="0"/>
            <w:vAlign w:val="center"/>
          </w:tcPr>
          <w:p>
            <w:pPr>
              <w:spacing w:line="380" w:lineRule="exact"/>
              <w:jc w:val="center"/>
              <w:rPr>
                <w:rFonts w:hint="eastAsia" w:ascii="宋体" w:hAnsi="宋体"/>
                <w:b/>
                <w:bCs/>
                <w:color w:val="auto"/>
                <w:sz w:val="22"/>
                <w:szCs w:val="22"/>
                <w:highlight w:val="none"/>
              </w:rPr>
            </w:pPr>
          </w:p>
        </w:tc>
        <w:tc>
          <w:tcPr>
            <w:tcW w:w="90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440" w:type="dxa"/>
            <w:noWrap w:val="0"/>
            <w:vAlign w:val="center"/>
          </w:tcPr>
          <w:p>
            <w:pPr>
              <w:spacing w:line="380" w:lineRule="exact"/>
              <w:jc w:val="center"/>
              <w:rPr>
                <w:rFonts w:hint="eastAsia" w:ascii="宋体" w:hAnsi="宋体"/>
                <w:b/>
                <w:bCs/>
                <w:color w:val="auto"/>
                <w:sz w:val="22"/>
                <w:szCs w:val="22"/>
                <w:highlight w:val="none"/>
              </w:rPr>
            </w:pPr>
          </w:p>
        </w:tc>
        <w:tc>
          <w:tcPr>
            <w:tcW w:w="1080" w:type="dxa"/>
            <w:noWrap w:val="0"/>
            <w:vAlign w:val="center"/>
          </w:tcPr>
          <w:p>
            <w:pPr>
              <w:spacing w:line="380" w:lineRule="exact"/>
              <w:jc w:val="center"/>
              <w:rPr>
                <w:rFonts w:hint="eastAsia" w:ascii="宋体" w:hAnsi="宋体"/>
                <w:b/>
                <w:bCs/>
                <w:color w:val="auto"/>
                <w:sz w:val="22"/>
                <w:szCs w:val="22"/>
                <w:highlight w:val="none"/>
              </w:rPr>
            </w:pPr>
          </w:p>
        </w:tc>
      </w:tr>
    </w:tbl>
    <w:p>
      <w:pPr>
        <w:spacing w:line="380" w:lineRule="exact"/>
        <w:ind w:firstLine="5963" w:firstLineChars="2700"/>
        <w:rPr>
          <w:rFonts w:hint="eastAsia" w:ascii="宋体" w:hAnsi="宋体"/>
          <w:b/>
          <w:bCs/>
          <w:color w:val="auto"/>
          <w:sz w:val="22"/>
          <w:szCs w:val="22"/>
          <w:highlight w:val="none"/>
        </w:rPr>
      </w:pPr>
    </w:p>
    <w:p>
      <w:p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2328"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名  称</w:t>
            </w:r>
          </w:p>
        </w:tc>
        <w:tc>
          <w:tcPr>
            <w:tcW w:w="1470"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型号规格</w:t>
            </w:r>
          </w:p>
        </w:tc>
        <w:tc>
          <w:tcPr>
            <w:tcW w:w="931"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数量</w:t>
            </w:r>
          </w:p>
        </w:tc>
        <w:tc>
          <w:tcPr>
            <w:tcW w:w="2340"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原产地/制造商</w:t>
            </w:r>
          </w:p>
        </w:tc>
        <w:tc>
          <w:tcPr>
            <w:tcW w:w="1570" w:type="dxa"/>
            <w:noWrap w:val="0"/>
            <w:vAlign w:val="center"/>
          </w:tcPr>
          <w:p>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宋体" w:hAnsi="宋体"/>
                <w:b/>
                <w:bCs/>
                <w:color w:val="auto"/>
                <w:sz w:val="22"/>
                <w:szCs w:val="22"/>
                <w:highlight w:val="none"/>
              </w:rPr>
            </w:pPr>
          </w:p>
        </w:tc>
        <w:tc>
          <w:tcPr>
            <w:tcW w:w="2328" w:type="dxa"/>
            <w:noWrap w:val="0"/>
            <w:vAlign w:val="center"/>
          </w:tcPr>
          <w:p>
            <w:pPr>
              <w:spacing w:line="380" w:lineRule="exact"/>
              <w:jc w:val="center"/>
              <w:rPr>
                <w:rFonts w:hint="eastAsia" w:ascii="宋体" w:hAnsi="宋体"/>
                <w:b/>
                <w:bCs/>
                <w:color w:val="auto"/>
                <w:sz w:val="22"/>
                <w:szCs w:val="22"/>
                <w:highlight w:val="none"/>
              </w:rPr>
            </w:pPr>
          </w:p>
        </w:tc>
        <w:tc>
          <w:tcPr>
            <w:tcW w:w="1470" w:type="dxa"/>
            <w:noWrap w:val="0"/>
            <w:vAlign w:val="center"/>
          </w:tcPr>
          <w:p>
            <w:pPr>
              <w:spacing w:line="380" w:lineRule="exact"/>
              <w:jc w:val="center"/>
              <w:rPr>
                <w:rFonts w:hint="eastAsia" w:ascii="宋体" w:hAnsi="宋体"/>
                <w:b/>
                <w:bCs/>
                <w:color w:val="auto"/>
                <w:sz w:val="22"/>
                <w:szCs w:val="22"/>
                <w:highlight w:val="none"/>
              </w:rPr>
            </w:pPr>
          </w:p>
        </w:tc>
        <w:tc>
          <w:tcPr>
            <w:tcW w:w="931" w:type="dxa"/>
            <w:noWrap w:val="0"/>
            <w:vAlign w:val="center"/>
          </w:tcPr>
          <w:p>
            <w:pPr>
              <w:spacing w:line="380" w:lineRule="exact"/>
              <w:jc w:val="center"/>
              <w:rPr>
                <w:rFonts w:hint="eastAsia" w:ascii="宋体" w:hAnsi="宋体"/>
                <w:b/>
                <w:bCs/>
                <w:color w:val="auto"/>
                <w:sz w:val="22"/>
                <w:szCs w:val="22"/>
                <w:highlight w:val="none"/>
              </w:rPr>
            </w:pPr>
          </w:p>
        </w:tc>
        <w:tc>
          <w:tcPr>
            <w:tcW w:w="2340" w:type="dxa"/>
            <w:noWrap w:val="0"/>
            <w:vAlign w:val="center"/>
          </w:tcPr>
          <w:p>
            <w:pPr>
              <w:spacing w:line="380" w:lineRule="exact"/>
              <w:jc w:val="center"/>
              <w:rPr>
                <w:rFonts w:hint="eastAsia" w:ascii="宋体" w:hAnsi="宋体"/>
                <w:b/>
                <w:bCs/>
                <w:color w:val="auto"/>
                <w:sz w:val="22"/>
                <w:szCs w:val="22"/>
                <w:highlight w:val="none"/>
              </w:rPr>
            </w:pPr>
          </w:p>
        </w:tc>
        <w:tc>
          <w:tcPr>
            <w:tcW w:w="1570" w:type="dxa"/>
            <w:noWrap w:val="0"/>
            <w:vAlign w:val="center"/>
          </w:tcPr>
          <w:p>
            <w:pPr>
              <w:spacing w:line="380" w:lineRule="exact"/>
              <w:jc w:val="center"/>
              <w:rPr>
                <w:rFonts w:hint="eastAsia" w:ascii="宋体" w:hAnsi="宋体"/>
                <w:b/>
                <w:bCs/>
                <w:color w:val="auto"/>
                <w:sz w:val="22"/>
                <w:szCs w:val="22"/>
                <w:highlight w:val="none"/>
              </w:rPr>
            </w:pPr>
          </w:p>
        </w:tc>
      </w:tr>
    </w:tbl>
    <w:p>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注：投标供应商可按以上表格形式进行复制、附在技术标内。</w:t>
      </w:r>
    </w:p>
    <w:p>
      <w:pPr>
        <w:spacing w:line="400" w:lineRule="exact"/>
        <w:rPr>
          <w:rFonts w:hint="eastAsia" w:ascii="宋体" w:hAnsi="宋体" w:cs="宋体"/>
          <w:color w:val="auto"/>
          <w:sz w:val="22"/>
          <w:highlight w:val="none"/>
        </w:rPr>
      </w:pP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投标供应商名称</w:t>
      </w:r>
      <w:r>
        <w:rPr>
          <w:rFonts w:hint="eastAsia" w:ascii="宋体" w:hAnsi="宋体" w:cs="宋体"/>
          <w:color w:val="auto"/>
          <w:sz w:val="22"/>
          <w:szCs w:val="22"/>
          <w:highlight w:val="none"/>
        </w:rPr>
        <w:t>（盖章）：</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highlight w:val="none"/>
        </w:rPr>
        <w:t>投标供应商</w:t>
      </w:r>
      <w:r>
        <w:rPr>
          <w:rFonts w:hint="eastAsia" w:ascii="宋体" w:hAnsi="宋体" w:cs="宋体"/>
          <w:color w:val="auto"/>
          <w:sz w:val="22"/>
          <w:szCs w:val="22"/>
          <w:highlight w:val="none"/>
        </w:rPr>
        <w:t>代表（签字）：</w:t>
      </w:r>
    </w:p>
    <w:p>
      <w:pPr>
        <w:spacing w:line="40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14" w:name="_Toc10017"/>
      <w:bookmarkStart w:id="115" w:name="_Toc8003"/>
      <w:r>
        <w:rPr>
          <w:rFonts w:hint="eastAsia" w:ascii="宋体" w:hAnsi="宋体" w:eastAsia="宋体" w:cs="宋体"/>
          <w:color w:val="auto"/>
          <w:sz w:val="22"/>
          <w:szCs w:val="22"/>
          <w:highlight w:val="none"/>
        </w:rPr>
        <w:t>附件七  供应商综合实力</w:t>
      </w:r>
      <w:bookmarkEnd w:id="114"/>
      <w:bookmarkEnd w:id="115"/>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供应商综合实力</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16" w:name="_Toc4809"/>
      <w:bookmarkStart w:id="117" w:name="_Toc22992"/>
      <w:r>
        <w:rPr>
          <w:rFonts w:hint="eastAsia" w:ascii="宋体" w:hAnsi="宋体" w:eastAsia="宋体" w:cs="宋体"/>
          <w:color w:val="auto"/>
          <w:sz w:val="22"/>
          <w:szCs w:val="22"/>
          <w:highlight w:val="none"/>
        </w:rPr>
        <w:t>附件八  项目需求理解</w:t>
      </w:r>
      <w:bookmarkEnd w:id="116"/>
      <w:bookmarkEnd w:id="117"/>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项目需求理解</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18" w:name="_Toc9654"/>
      <w:bookmarkStart w:id="119" w:name="_Toc26224"/>
      <w:r>
        <w:rPr>
          <w:rFonts w:hint="eastAsia" w:ascii="宋体" w:hAnsi="宋体" w:eastAsia="宋体" w:cs="宋体"/>
          <w:color w:val="auto"/>
          <w:sz w:val="22"/>
          <w:szCs w:val="22"/>
          <w:highlight w:val="none"/>
        </w:rPr>
        <w:t>附件九  功能及服务</w:t>
      </w:r>
      <w:bookmarkEnd w:id="118"/>
      <w:bookmarkEnd w:id="119"/>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功能及服务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pStyle w:val="4"/>
        <w:spacing w:line="400" w:lineRule="exact"/>
        <w:rPr>
          <w:rFonts w:ascii="宋体" w:hAnsi="宋体" w:eastAsia="宋体" w:cs="宋体"/>
          <w:b w:val="0"/>
          <w:color w:val="auto"/>
          <w:sz w:val="24"/>
          <w:szCs w:val="24"/>
          <w:highlight w:val="none"/>
        </w:rPr>
      </w:pPr>
      <w:bookmarkStart w:id="120" w:name="_Toc20755713"/>
      <w:bookmarkStart w:id="121" w:name="_Toc66274207"/>
      <w:bookmarkStart w:id="122" w:name="_Toc40888648"/>
      <w:bookmarkStart w:id="123" w:name="_Toc29432"/>
      <w:bookmarkStart w:id="124" w:name="_Toc19359"/>
      <w:r>
        <w:rPr>
          <w:rFonts w:hint="eastAsia" w:ascii="宋体" w:hAnsi="宋体" w:eastAsia="宋体" w:cs="宋体"/>
          <w:color w:val="auto"/>
          <w:sz w:val="22"/>
          <w:szCs w:val="22"/>
          <w:highlight w:val="none"/>
        </w:rPr>
        <w:t xml:space="preserve">附件十  </w:t>
      </w:r>
      <w:bookmarkEnd w:id="120"/>
      <w:bookmarkEnd w:id="121"/>
      <w:bookmarkEnd w:id="122"/>
      <w:r>
        <w:rPr>
          <w:rFonts w:hint="eastAsia" w:ascii="宋体" w:hAnsi="宋体" w:eastAsia="宋体" w:cs="宋体"/>
          <w:color w:val="auto"/>
          <w:sz w:val="22"/>
          <w:szCs w:val="22"/>
          <w:highlight w:val="none"/>
        </w:rPr>
        <w:t>人员投入</w:t>
      </w:r>
      <w:bookmarkEnd w:id="123"/>
      <w:bookmarkEnd w:id="124"/>
    </w:p>
    <w:p>
      <w:pPr>
        <w:pStyle w:val="19"/>
        <w:spacing w:line="400" w:lineRule="atLeast"/>
        <w:ind w:left="904" w:hanging="904" w:hangingChars="300"/>
        <w:jc w:val="center"/>
        <w:rPr>
          <w:rFonts w:hint="eastAsia" w:hAnsi="宋体" w:cs="宋体"/>
          <w:b/>
          <w:color w:val="auto"/>
          <w:kern w:val="2"/>
          <w:sz w:val="28"/>
          <w:szCs w:val="28"/>
          <w:highlight w:val="none"/>
        </w:rPr>
      </w:pPr>
      <w:r>
        <w:rPr>
          <w:rFonts w:hint="eastAsia" w:hAnsi="宋体" w:cs="宋体"/>
          <w:b/>
          <w:color w:val="auto"/>
          <w:sz w:val="30"/>
          <w:szCs w:val="30"/>
          <w:highlight w:val="none"/>
        </w:rPr>
        <w:t xml:space="preserve"> </w:t>
      </w:r>
      <w:r>
        <w:rPr>
          <w:rFonts w:hint="eastAsia" w:hAnsi="宋体" w:cs="宋体"/>
          <w:b/>
          <w:color w:val="auto"/>
          <w:kern w:val="2"/>
          <w:sz w:val="28"/>
          <w:szCs w:val="28"/>
          <w:highlight w:val="none"/>
        </w:rPr>
        <w:t>项目组人员一览表</w:t>
      </w:r>
    </w:p>
    <w:p>
      <w:pPr>
        <w:rPr>
          <w:rFonts w:hint="eastAsia" w:ascii="宋体" w:hAnsi="宋体" w:cs="宋体"/>
          <w:color w:val="auto"/>
          <w:highlight w:val="none"/>
        </w:rPr>
      </w:pPr>
    </w:p>
    <w:p>
      <w:pPr>
        <w:spacing w:line="360" w:lineRule="exact"/>
        <w:rPr>
          <w:rFonts w:hint="eastAsia" w:ascii="宋体" w:hAnsi="宋体" w:cs="宋体"/>
          <w:color w:val="auto"/>
          <w:highlight w:val="none"/>
        </w:rPr>
      </w:pPr>
      <w:r>
        <w:rPr>
          <w:rFonts w:hint="eastAsia" w:ascii="宋体" w:hAnsi="宋体" w:cs="宋体"/>
          <w:color w:val="auto"/>
          <w:sz w:val="22"/>
          <w:highlight w:val="none"/>
        </w:rPr>
        <w:t>项目名称：                                        项目编号：</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67"/>
        <w:gridCol w:w="967"/>
        <w:gridCol w:w="1278"/>
        <w:gridCol w:w="1255"/>
        <w:gridCol w:w="1327"/>
        <w:gridCol w:w="1369"/>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867" w:type="dxa"/>
            <w:tcBorders>
              <w:top w:val="single" w:color="auto" w:sz="12" w:space="0"/>
              <w:left w:val="single" w:color="auto" w:sz="12"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67"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967"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1278"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专业</w:t>
            </w:r>
          </w:p>
        </w:tc>
        <w:tc>
          <w:tcPr>
            <w:tcW w:w="1255"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职称/资质</w:t>
            </w:r>
          </w:p>
        </w:tc>
        <w:tc>
          <w:tcPr>
            <w:tcW w:w="1327"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highlight w:val="none"/>
              </w:rPr>
              <w:t>证书号</w:t>
            </w:r>
          </w:p>
        </w:tc>
        <w:tc>
          <w:tcPr>
            <w:tcW w:w="1369"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拟任何职</w:t>
            </w:r>
          </w:p>
        </w:tc>
        <w:tc>
          <w:tcPr>
            <w:tcW w:w="1369" w:type="dxa"/>
            <w:tcBorders>
              <w:top w:val="single" w:color="auto" w:sz="12" w:space="0"/>
              <w:left w:val="single" w:color="auto" w:sz="4" w:space="0"/>
              <w:bottom w:val="single" w:color="auto" w:sz="4" w:space="0"/>
              <w:right w:val="single" w:color="auto" w:sz="12" w:space="0"/>
            </w:tcBorders>
            <w:noWrap w:val="0"/>
            <w:vAlign w:val="center"/>
          </w:tcPr>
          <w:p>
            <w:pPr>
              <w:spacing w:line="300" w:lineRule="exact"/>
              <w:jc w:val="center"/>
              <w:rPr>
                <w:rFonts w:hint="eastAsia" w:ascii="宋体" w:hAnsi="宋体" w:cs="宋体"/>
                <w:color w:val="auto"/>
                <w:sz w:val="22"/>
                <w:highlight w:val="none"/>
              </w:rPr>
            </w:pPr>
            <w:r>
              <w:rPr>
                <w:rFonts w:hint="eastAsia" w:ascii="宋体" w:hAnsi="宋体" w:cs="宋体"/>
                <w:color w:val="auto"/>
                <w:sz w:val="22"/>
                <w:highlight w:val="none"/>
              </w:rPr>
              <w:t>是否为在温驻场人员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967"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78"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255"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cs="宋体"/>
                <w:color w:val="auto"/>
                <w:sz w:val="28"/>
                <w:highlight w:val="none"/>
              </w:rPr>
            </w:pPr>
          </w:p>
        </w:tc>
        <w:tc>
          <w:tcPr>
            <w:tcW w:w="1369" w:type="dxa"/>
            <w:tcBorders>
              <w:top w:val="single" w:color="auto" w:sz="4" w:space="0"/>
              <w:left w:val="single" w:color="auto" w:sz="4"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sz w:val="28"/>
                <w:highlight w:val="none"/>
              </w:rPr>
            </w:pPr>
          </w:p>
        </w:tc>
      </w:tr>
    </w:tbl>
    <w:p>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注：1、本表应附所列项目组成员相关证书、社保等证明复印件。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2、此表仅提供了表格形式，可按此表格复制。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3、请在本表中</w:t>
      </w:r>
      <w:r>
        <w:rPr>
          <w:rFonts w:hint="eastAsia" w:ascii="宋体" w:hAnsi="宋体" w:cs="宋体"/>
          <w:color w:val="auto"/>
          <w:kern w:val="0"/>
          <w:sz w:val="22"/>
          <w:szCs w:val="22"/>
          <w:highlight w:val="none"/>
        </w:rPr>
        <w:t>明确</w:t>
      </w:r>
      <w:r>
        <w:rPr>
          <w:rFonts w:hint="eastAsia" w:ascii="宋体" w:hAnsi="宋体" w:cs="宋体"/>
          <w:color w:val="auto"/>
          <w:sz w:val="22"/>
          <w:szCs w:val="22"/>
          <w:highlight w:val="none"/>
        </w:rPr>
        <w:t>在温驻场人员。</w:t>
      </w:r>
    </w:p>
    <w:p>
      <w:pPr>
        <w:pStyle w:val="19"/>
        <w:spacing w:line="400" w:lineRule="exact"/>
        <w:ind w:left="4605" w:leftChars="2193"/>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25" w:name="_Toc2116"/>
      <w:bookmarkStart w:id="126" w:name="_Toc5335"/>
      <w:r>
        <w:rPr>
          <w:rFonts w:hint="eastAsia" w:ascii="宋体" w:hAnsi="宋体" w:eastAsia="宋体" w:cs="宋体"/>
          <w:color w:val="auto"/>
          <w:sz w:val="22"/>
          <w:szCs w:val="22"/>
          <w:highlight w:val="none"/>
        </w:rPr>
        <w:t>附件十一  质量保证措施</w:t>
      </w:r>
      <w:bookmarkEnd w:id="125"/>
      <w:bookmarkEnd w:id="126"/>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质量保证措施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4"/>
        <w:spacing w:line="400" w:lineRule="exact"/>
        <w:rPr>
          <w:rFonts w:ascii="宋体" w:hAnsi="宋体" w:eastAsia="宋体" w:cs="宋体"/>
          <w:color w:val="auto"/>
          <w:sz w:val="22"/>
          <w:szCs w:val="22"/>
          <w:highlight w:val="none"/>
        </w:rPr>
      </w:pPr>
      <w:bookmarkStart w:id="127" w:name="_Toc31939"/>
      <w:r>
        <w:rPr>
          <w:rFonts w:hint="eastAsia" w:ascii="宋体" w:hAnsi="宋体" w:eastAsia="宋体" w:cs="宋体"/>
          <w:color w:val="auto"/>
          <w:sz w:val="22"/>
          <w:szCs w:val="22"/>
          <w:highlight w:val="none"/>
        </w:rPr>
        <w:t>附件十二  应急方案</w:t>
      </w:r>
      <w:bookmarkEnd w:id="127"/>
    </w:p>
    <w:p>
      <w:pPr>
        <w:spacing w:after="240"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应急方案</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28" w:name="_Toc12440"/>
      <w:r>
        <w:rPr>
          <w:rFonts w:hint="eastAsia" w:ascii="宋体" w:hAnsi="宋体" w:eastAsia="宋体" w:cs="宋体"/>
          <w:color w:val="auto"/>
          <w:sz w:val="22"/>
          <w:szCs w:val="22"/>
          <w:highlight w:val="none"/>
        </w:rPr>
        <w:t>附件十三  巡检计划</w:t>
      </w:r>
      <w:bookmarkEnd w:id="128"/>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巡检计划</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29" w:name="_Toc5564"/>
      <w:r>
        <w:rPr>
          <w:rFonts w:hint="eastAsia" w:ascii="宋体" w:hAnsi="宋体" w:eastAsia="宋体" w:cs="宋体"/>
          <w:color w:val="auto"/>
          <w:sz w:val="22"/>
          <w:szCs w:val="22"/>
          <w:highlight w:val="none"/>
        </w:rPr>
        <w:t>附件十四  培训计划</w:t>
      </w:r>
      <w:bookmarkEnd w:id="129"/>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培训计划</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2"/>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30" w:name="_Toc23066"/>
      <w:bookmarkStart w:id="131" w:name="_Toc8687"/>
      <w:r>
        <w:rPr>
          <w:rFonts w:hint="eastAsia" w:ascii="宋体" w:hAnsi="宋体" w:eastAsia="宋体" w:cs="宋体"/>
          <w:color w:val="auto"/>
          <w:sz w:val="22"/>
          <w:szCs w:val="22"/>
          <w:highlight w:val="none"/>
        </w:rPr>
        <w:t>附件十五  售后服务</w:t>
      </w:r>
      <w:bookmarkEnd w:id="130"/>
      <w:bookmarkEnd w:id="131"/>
    </w:p>
    <w:p>
      <w:pPr>
        <w:spacing w:after="240"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售后服务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5" w:hRule="atLeast"/>
          <w:jc w:val="center"/>
        </w:trPr>
        <w:tc>
          <w:tcPr>
            <w:tcW w:w="9648" w:type="dxa"/>
            <w:tcBorders>
              <w:top w:val="single" w:color="auto" w:sz="12" w:space="0"/>
              <w:left w:val="single" w:color="auto" w:sz="12" w:space="0"/>
              <w:bottom w:val="single" w:color="auto" w:sz="12" w:space="0"/>
              <w:right w:val="single" w:color="auto" w:sz="12" w:space="0"/>
            </w:tcBorders>
            <w:noWrap w:val="0"/>
            <w:vAlign w:val="center"/>
          </w:tcPr>
          <w:p>
            <w:pPr>
              <w:spacing w:line="360" w:lineRule="exact"/>
              <w:jc w:val="center"/>
              <w:rPr>
                <w:rFonts w:hint="eastAsia" w:ascii="宋体" w:hAnsi="宋体" w:cs="宋体"/>
                <w:color w:val="auto"/>
                <w:highlight w:val="none"/>
              </w:rPr>
            </w:pPr>
          </w:p>
        </w:tc>
      </w:tr>
    </w:tbl>
    <w:p>
      <w:pPr>
        <w:pStyle w:val="19"/>
        <w:spacing w:line="400" w:lineRule="atLeast"/>
        <w:ind w:left="4606" w:leftChars="203" w:hanging="4180" w:hangingChars="1900"/>
        <w:rPr>
          <w:rFonts w:hint="eastAsia" w:hAnsi="宋体" w:cs="宋体"/>
          <w:color w:val="auto"/>
          <w:sz w:val="22"/>
          <w:highlight w:val="none"/>
        </w:rPr>
      </w:pPr>
      <w:r>
        <w:rPr>
          <w:rFonts w:hint="eastAsia" w:hAnsi="宋体" w:cs="宋体"/>
          <w:color w:val="auto"/>
          <w:sz w:val="22"/>
          <w:highlight w:val="none"/>
        </w:rPr>
        <w:t xml:space="preserve"> </w:t>
      </w:r>
    </w:p>
    <w:p>
      <w:pPr>
        <w:pStyle w:val="19"/>
        <w:spacing w:line="400" w:lineRule="atLeast"/>
        <w:ind w:left="4618" w:leftChars="156" w:hanging="4290" w:hangingChars="1950"/>
        <w:rPr>
          <w:rFonts w:hint="eastAsia" w:hAnsi="宋体" w:cs="宋体"/>
          <w:color w:val="auto"/>
          <w:sz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rPr>
          <w:rFonts w:hint="eastAsia" w:ascii="宋体" w:hAnsi="宋体" w:cs="宋体"/>
          <w:color w:val="auto"/>
          <w:sz w:val="22"/>
          <w:highlight w:val="none"/>
        </w:rPr>
      </w:pPr>
    </w:p>
    <w:p>
      <w:pPr>
        <w:pStyle w:val="2"/>
        <w:rPr>
          <w:rFonts w:hint="eastAsia" w:ascii="宋体" w:hAnsi="宋体" w:cs="宋体"/>
          <w:color w:val="auto"/>
          <w:sz w:val="22"/>
          <w:highlight w:val="none"/>
        </w:rPr>
      </w:pPr>
    </w:p>
    <w:p>
      <w:pPr>
        <w:spacing w:line="400" w:lineRule="exact"/>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32" w:name="_Toc40888649"/>
      <w:bookmarkStart w:id="133" w:name="_Toc66274208"/>
      <w:bookmarkStart w:id="134" w:name="_Toc28531750"/>
      <w:bookmarkStart w:id="135" w:name="_Toc4238"/>
      <w:bookmarkStart w:id="136" w:name="_Toc22969"/>
      <w:r>
        <w:rPr>
          <w:rFonts w:hint="eastAsia" w:ascii="宋体" w:hAnsi="宋体" w:eastAsia="宋体" w:cs="宋体"/>
          <w:color w:val="auto"/>
          <w:sz w:val="22"/>
          <w:szCs w:val="22"/>
          <w:highlight w:val="none"/>
        </w:rPr>
        <w:t>附件十六  项目业绩</w:t>
      </w:r>
      <w:bookmarkEnd w:id="132"/>
      <w:bookmarkEnd w:id="133"/>
      <w:bookmarkEnd w:id="134"/>
      <w:bookmarkEnd w:id="135"/>
      <w:bookmarkEnd w:id="136"/>
    </w:p>
    <w:p>
      <w:pPr>
        <w:pStyle w:val="19"/>
        <w:spacing w:line="400" w:lineRule="atLeast"/>
        <w:ind w:left="843" w:hanging="843" w:hangingChars="300"/>
        <w:jc w:val="center"/>
        <w:rPr>
          <w:rFonts w:hint="eastAsia" w:hAnsi="宋体" w:cs="宋体"/>
          <w:b/>
          <w:color w:val="auto"/>
          <w:kern w:val="2"/>
          <w:sz w:val="28"/>
          <w:szCs w:val="28"/>
          <w:highlight w:val="none"/>
        </w:rPr>
      </w:pPr>
      <w:r>
        <w:rPr>
          <w:rFonts w:hint="eastAsia" w:hAnsi="宋体" w:cs="宋体"/>
          <w:b/>
          <w:color w:val="auto"/>
          <w:kern w:val="2"/>
          <w:sz w:val="28"/>
          <w:szCs w:val="28"/>
          <w:highlight w:val="none"/>
        </w:rPr>
        <w:t>项目业绩</w:t>
      </w:r>
    </w:p>
    <w:p>
      <w:pPr>
        <w:spacing w:line="460" w:lineRule="exact"/>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t>项目名称：                                              项目编号：</w:t>
      </w:r>
    </w:p>
    <w:tbl>
      <w:tblPr>
        <w:tblStyle w:val="3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29"/>
        <w:gridCol w:w="1898"/>
        <w:gridCol w:w="1285"/>
        <w:gridCol w:w="13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29"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项目内容</w:t>
            </w:r>
          </w:p>
        </w:tc>
        <w:tc>
          <w:tcPr>
            <w:tcW w:w="1898"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委托单位</w:t>
            </w:r>
          </w:p>
        </w:tc>
        <w:tc>
          <w:tcPr>
            <w:tcW w:w="1285"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color w:val="auto"/>
                <w:kern w:val="0"/>
                <w:sz w:val="22"/>
                <w:szCs w:val="22"/>
                <w:highlight w:val="none"/>
              </w:rPr>
              <w:t>合同金额</w:t>
            </w:r>
          </w:p>
        </w:tc>
        <w:tc>
          <w:tcPr>
            <w:tcW w:w="1387"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业绩</w:t>
            </w:r>
            <w:r>
              <w:rPr>
                <w:rFonts w:hint="eastAsia" w:ascii="宋体" w:hAnsi="宋体" w:cs="宋体"/>
                <w:b/>
                <w:color w:val="auto"/>
                <w:kern w:val="0"/>
                <w:sz w:val="22"/>
                <w:szCs w:val="22"/>
                <w:highlight w:val="none"/>
              </w:rPr>
              <w:t>时间</w:t>
            </w:r>
          </w:p>
        </w:tc>
        <w:tc>
          <w:tcPr>
            <w:tcW w:w="1984" w:type="dxa"/>
            <w:noWrap w:val="0"/>
            <w:vAlign w:val="center"/>
          </w:tcPr>
          <w:p>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pPr>
              <w:spacing w:line="380" w:lineRule="exact"/>
              <w:jc w:val="center"/>
              <w:rPr>
                <w:rFonts w:hint="eastAsia" w:ascii="宋体" w:hAnsi="宋体" w:cs="宋体"/>
                <w:b/>
                <w:bCs/>
                <w:color w:val="auto"/>
                <w:sz w:val="22"/>
                <w:szCs w:val="22"/>
                <w:highlight w:val="none"/>
              </w:rPr>
            </w:pPr>
          </w:p>
        </w:tc>
        <w:tc>
          <w:tcPr>
            <w:tcW w:w="2129" w:type="dxa"/>
            <w:noWrap w:val="0"/>
            <w:vAlign w:val="center"/>
          </w:tcPr>
          <w:p>
            <w:pPr>
              <w:spacing w:line="380" w:lineRule="exact"/>
              <w:jc w:val="center"/>
              <w:rPr>
                <w:rFonts w:hint="eastAsia" w:ascii="宋体" w:hAnsi="宋体" w:cs="宋体"/>
                <w:b/>
                <w:bCs/>
                <w:color w:val="auto"/>
                <w:sz w:val="22"/>
                <w:szCs w:val="22"/>
                <w:highlight w:val="none"/>
              </w:rPr>
            </w:pPr>
          </w:p>
        </w:tc>
        <w:tc>
          <w:tcPr>
            <w:tcW w:w="1898" w:type="dxa"/>
            <w:noWrap w:val="0"/>
            <w:vAlign w:val="center"/>
          </w:tcPr>
          <w:p>
            <w:pPr>
              <w:spacing w:line="380" w:lineRule="exact"/>
              <w:jc w:val="center"/>
              <w:rPr>
                <w:rFonts w:hint="eastAsia" w:ascii="宋体" w:hAnsi="宋体" w:cs="宋体"/>
                <w:b/>
                <w:bCs/>
                <w:color w:val="auto"/>
                <w:sz w:val="22"/>
                <w:szCs w:val="22"/>
                <w:highlight w:val="none"/>
              </w:rPr>
            </w:pPr>
          </w:p>
        </w:tc>
        <w:tc>
          <w:tcPr>
            <w:tcW w:w="1285" w:type="dxa"/>
            <w:noWrap w:val="0"/>
            <w:vAlign w:val="center"/>
          </w:tcPr>
          <w:p>
            <w:pPr>
              <w:spacing w:line="380" w:lineRule="exact"/>
              <w:jc w:val="center"/>
              <w:rPr>
                <w:rFonts w:hint="eastAsia" w:ascii="宋体" w:hAnsi="宋体" w:cs="宋体"/>
                <w:b/>
                <w:bCs/>
                <w:color w:val="auto"/>
                <w:sz w:val="22"/>
                <w:szCs w:val="22"/>
                <w:highlight w:val="none"/>
              </w:rPr>
            </w:pPr>
          </w:p>
        </w:tc>
        <w:tc>
          <w:tcPr>
            <w:tcW w:w="1387" w:type="dxa"/>
            <w:noWrap w:val="0"/>
            <w:vAlign w:val="center"/>
          </w:tcPr>
          <w:p>
            <w:pPr>
              <w:spacing w:line="380" w:lineRule="exact"/>
              <w:jc w:val="center"/>
              <w:rPr>
                <w:rFonts w:hint="eastAsia" w:ascii="宋体" w:hAnsi="宋体" w:cs="宋体"/>
                <w:b/>
                <w:bCs/>
                <w:color w:val="auto"/>
                <w:sz w:val="22"/>
                <w:szCs w:val="22"/>
                <w:highlight w:val="none"/>
              </w:rPr>
            </w:pPr>
          </w:p>
        </w:tc>
        <w:tc>
          <w:tcPr>
            <w:tcW w:w="1984" w:type="dxa"/>
            <w:noWrap w:val="0"/>
            <w:vAlign w:val="center"/>
          </w:tcPr>
          <w:p>
            <w:pPr>
              <w:spacing w:line="380" w:lineRule="exact"/>
              <w:jc w:val="center"/>
              <w:rPr>
                <w:rFonts w:hint="eastAsia" w:ascii="宋体" w:hAnsi="宋体" w:cs="宋体"/>
                <w:b/>
                <w:bCs/>
                <w:color w:val="auto"/>
                <w:sz w:val="22"/>
                <w:szCs w:val="22"/>
                <w:highlight w:val="none"/>
              </w:rPr>
            </w:pPr>
          </w:p>
        </w:tc>
      </w:tr>
    </w:tbl>
    <w:p>
      <w:pPr>
        <w:snapToGrid w:val="0"/>
        <w:spacing w:line="400" w:lineRule="exact"/>
        <w:ind w:left="686" w:hanging="686" w:hangingChars="31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w:t>
      </w:r>
    </w:p>
    <w:p>
      <w:pPr>
        <w:snapToGrid w:val="0"/>
        <w:spacing w:line="400" w:lineRule="exact"/>
        <w:ind w:left="688" w:leftChars="200" w:hanging="268" w:hangingChars="12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1、本表可在不改变格式的情况下根据具体需要自行增减。</w:t>
      </w:r>
    </w:p>
    <w:p>
      <w:pPr>
        <w:snapToGrid w:val="0"/>
        <w:spacing w:line="400" w:lineRule="exact"/>
        <w:ind w:left="688" w:leftChars="200" w:hanging="268" w:hangingChars="122"/>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2、本表所列业绩作为专家评分的首要依据，未列入本表的业绩将不予认可。</w:t>
      </w:r>
    </w:p>
    <w:p>
      <w:pPr>
        <w:spacing w:line="400" w:lineRule="exact"/>
        <w:ind w:firstLine="4400" w:firstLineChars="2000"/>
        <w:rPr>
          <w:rFonts w:hint="eastAsia" w:ascii="宋体" w:hAnsi="宋体" w:cs="宋体"/>
          <w:color w:val="auto"/>
          <w:sz w:val="22"/>
          <w:szCs w:val="22"/>
          <w:highlight w:val="none"/>
        </w:rPr>
      </w:pPr>
    </w:p>
    <w:p>
      <w:pPr>
        <w:pStyle w:val="19"/>
        <w:spacing w:line="400" w:lineRule="exact"/>
        <w:ind w:left="4605" w:leftChars="2193"/>
        <w:rPr>
          <w:rFonts w:hint="eastAsia" w:hAnsi="宋体" w:cs="宋体"/>
          <w:color w:val="auto"/>
          <w:sz w:val="22"/>
          <w:highlight w:val="none"/>
        </w:rPr>
      </w:pPr>
      <w:r>
        <w:rPr>
          <w:rFonts w:hint="eastAsia" w:hAnsi="宋体" w:cs="宋体"/>
          <w:color w:val="auto"/>
          <w:sz w:val="22"/>
          <w:highlight w:val="none"/>
        </w:rPr>
        <w:t>投标供应商名称（盖章）：</w:t>
      </w:r>
    </w:p>
    <w:p>
      <w:pPr>
        <w:pStyle w:val="19"/>
        <w:spacing w:line="400" w:lineRule="exact"/>
        <w:ind w:left="660" w:hanging="660" w:hangingChars="300"/>
        <w:rPr>
          <w:rFonts w:hint="eastAsia" w:hAnsi="宋体" w:cs="宋体"/>
          <w:color w:val="auto"/>
          <w:sz w:val="22"/>
          <w:highlight w:val="none"/>
        </w:rPr>
      </w:pPr>
      <w:r>
        <w:rPr>
          <w:rFonts w:hint="eastAsia" w:hAnsi="宋体" w:cs="宋体"/>
          <w:color w:val="auto"/>
          <w:sz w:val="22"/>
          <w:highlight w:val="none"/>
        </w:rPr>
        <w:t xml:space="preserve">                                          投标供应商代表（签字）：</w:t>
      </w:r>
    </w:p>
    <w:p>
      <w:pPr>
        <w:spacing w:line="400" w:lineRule="exact"/>
        <w:ind w:firstLine="4393" w:firstLineChars="1997"/>
        <w:rPr>
          <w:rFonts w:hint="eastAsia" w:ascii="宋体" w:hAnsi="宋体" w:cs="宋体"/>
          <w:color w:val="auto"/>
          <w:sz w:val="22"/>
          <w:highlight w:val="none"/>
        </w:rPr>
      </w:pPr>
      <w:r>
        <w:rPr>
          <w:rFonts w:hint="eastAsia" w:ascii="宋体" w:hAnsi="宋体" w:cs="宋体"/>
          <w:color w:val="auto"/>
          <w:sz w:val="22"/>
          <w:highlight w:val="none"/>
        </w:rPr>
        <w:t xml:space="preserve">  日    期：    年   月   日</w:t>
      </w:r>
    </w:p>
    <w:p>
      <w:pPr>
        <w:spacing w:line="400" w:lineRule="exact"/>
        <w:ind w:firstLine="4393" w:firstLineChars="1997"/>
        <w:rPr>
          <w:rFonts w:hint="eastAsia" w:ascii="宋体" w:hAnsi="宋体" w:cs="宋体"/>
          <w:color w:val="auto"/>
          <w:sz w:val="22"/>
          <w:highlight w:val="none"/>
        </w:rPr>
      </w:pPr>
    </w:p>
    <w:p>
      <w:pPr>
        <w:spacing w:line="400" w:lineRule="exact"/>
        <w:ind w:firstLine="4393" w:firstLineChars="1997"/>
        <w:rPr>
          <w:rFonts w:hint="eastAsia" w:ascii="宋体" w:hAnsi="宋体" w:cs="宋体"/>
          <w:color w:val="auto"/>
          <w:sz w:val="22"/>
          <w:highlight w:val="none"/>
        </w:rPr>
      </w:pPr>
    </w:p>
    <w:p>
      <w:pPr>
        <w:pStyle w:val="4"/>
        <w:spacing w:line="400" w:lineRule="exact"/>
        <w:rPr>
          <w:rFonts w:hint="eastAsia" w:ascii="宋体" w:hAnsi="宋体" w:eastAsia="宋体" w:cs="宋体"/>
          <w:color w:val="auto"/>
          <w:sz w:val="22"/>
          <w:szCs w:val="22"/>
          <w:highlight w:val="none"/>
        </w:rPr>
      </w:pPr>
      <w:bookmarkStart w:id="137" w:name="_Toc476318937"/>
      <w:bookmarkStart w:id="138" w:name="_Toc466407240"/>
      <w:bookmarkStart w:id="139" w:name="_Toc66274209"/>
      <w:bookmarkStart w:id="140" w:name="_Toc7425264"/>
      <w:bookmarkStart w:id="141" w:name="_Toc22670"/>
      <w:bookmarkStart w:id="142" w:name="_Toc7173488"/>
      <w:bookmarkStart w:id="143" w:name="_Toc1463"/>
      <w:bookmarkStart w:id="144" w:name="_Toc479946339"/>
      <w:r>
        <w:rPr>
          <w:rFonts w:hint="eastAsia" w:ascii="宋体" w:hAnsi="宋体" w:eastAsia="宋体" w:cs="宋体"/>
          <w:color w:val="auto"/>
          <w:sz w:val="22"/>
          <w:szCs w:val="22"/>
          <w:highlight w:val="none"/>
        </w:rPr>
        <w:t>附件十七  诚信投标承诺书</w:t>
      </w:r>
      <w:bookmarkEnd w:id="137"/>
      <w:bookmarkEnd w:id="138"/>
      <w:bookmarkEnd w:id="139"/>
      <w:bookmarkEnd w:id="140"/>
      <w:bookmarkEnd w:id="141"/>
      <w:bookmarkEnd w:id="142"/>
      <w:bookmarkEnd w:id="143"/>
      <w:bookmarkEnd w:id="144"/>
    </w:p>
    <w:p>
      <w:pPr>
        <w:ind w:left="147" w:leftChars="70"/>
        <w:jc w:val="center"/>
        <w:rPr>
          <w:rFonts w:hint="eastAsia" w:ascii="宋体" w:hAnsi="宋体" w:cs="宋体"/>
          <w:b/>
          <w:color w:val="auto"/>
          <w:sz w:val="28"/>
          <w:szCs w:val="28"/>
          <w:highlight w:val="none"/>
        </w:rPr>
      </w:pPr>
    </w:p>
    <w:p>
      <w:pPr>
        <w:ind w:left="147" w:leftChars="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诚信投标承诺书</w:t>
      </w:r>
    </w:p>
    <w:p>
      <w:pPr>
        <w:spacing w:line="360" w:lineRule="auto"/>
        <w:ind w:right="-153" w:rightChars="-73"/>
        <w:rPr>
          <w:rFonts w:hint="eastAsia" w:ascii="宋体" w:hAnsi="宋体" w:cs="宋体"/>
          <w:color w:val="auto"/>
          <w:sz w:val="24"/>
          <w:highlight w:val="none"/>
        </w:rPr>
      </w:pPr>
    </w:p>
    <w:p>
      <w:pPr>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温州市公安局交通管理局：</w:t>
      </w:r>
    </w:p>
    <w:p>
      <w:pPr>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浙江东瓯工程造价咨询有限公司：</w:t>
      </w:r>
    </w:p>
    <w:p>
      <w:pPr>
        <w:spacing w:line="360" w:lineRule="auto"/>
        <w:ind w:right="-153" w:rightChars="-73"/>
        <w:rPr>
          <w:rFonts w:hint="eastAsia" w:ascii="宋体" w:hAnsi="宋体" w:cs="宋体"/>
          <w:color w:val="auto"/>
          <w:sz w:val="22"/>
          <w:szCs w:val="22"/>
          <w:highlight w:val="none"/>
        </w:rPr>
      </w:pPr>
    </w:p>
    <w:p>
      <w:pPr>
        <w:spacing w:line="560" w:lineRule="exact"/>
        <w:ind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我公司参与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（采购项目名称、编号）投标，本公司郑重承诺：</w:t>
      </w:r>
    </w:p>
    <w:p>
      <w:pPr>
        <w:numPr>
          <w:ilvl w:val="0"/>
          <w:numId w:val="14"/>
        </w:numPr>
        <w:tabs>
          <w:tab w:val="left" w:pos="851"/>
        </w:tabs>
        <w:spacing w:line="360" w:lineRule="auto"/>
        <w:ind w:left="786"/>
        <w:rPr>
          <w:rFonts w:hint="eastAsia" w:ascii="宋体" w:hAnsi="宋体" w:cs="宋体"/>
          <w:color w:val="auto"/>
          <w:sz w:val="22"/>
          <w:szCs w:val="22"/>
          <w:highlight w:val="none"/>
        </w:rPr>
      </w:pPr>
      <w:r>
        <w:rPr>
          <w:rFonts w:hint="eastAsia" w:ascii="宋体" w:hAnsi="宋体" w:cs="宋体"/>
          <w:color w:val="auto"/>
          <w:sz w:val="22"/>
          <w:szCs w:val="22"/>
          <w:highlight w:val="none"/>
        </w:rPr>
        <w:t>自觉遵守《中华人民共和国政府采购法》等法律法规的规定；</w:t>
      </w:r>
    </w:p>
    <w:p>
      <w:pPr>
        <w:numPr>
          <w:ilvl w:val="0"/>
          <w:numId w:val="14"/>
        </w:numPr>
        <w:tabs>
          <w:tab w:val="left" w:pos="851"/>
        </w:tabs>
        <w:spacing w:line="360" w:lineRule="auto"/>
        <w:ind w:left="786"/>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投标文件中所提供的材料及技术参数真实有效，不存在虚假应标；</w:t>
      </w:r>
    </w:p>
    <w:p>
      <w:pPr>
        <w:numPr>
          <w:ilvl w:val="0"/>
          <w:numId w:val="14"/>
        </w:numPr>
        <w:tabs>
          <w:tab w:val="left" w:pos="851"/>
        </w:tabs>
        <w:spacing w:line="360" w:lineRule="auto"/>
        <w:ind w:left="786"/>
        <w:rPr>
          <w:rFonts w:hint="eastAsia" w:ascii="宋体" w:hAnsi="宋体" w:cs="宋体"/>
          <w:color w:val="auto"/>
          <w:sz w:val="22"/>
          <w:szCs w:val="22"/>
          <w:highlight w:val="none"/>
        </w:rPr>
      </w:pPr>
      <w:r>
        <w:rPr>
          <w:rFonts w:hint="eastAsia" w:ascii="宋体" w:hAnsi="宋体" w:cs="宋体"/>
          <w:color w:val="auto"/>
          <w:sz w:val="22"/>
          <w:szCs w:val="22"/>
          <w:highlight w:val="none"/>
        </w:rPr>
        <w:t>保证绝不采取不正当手段诋毁排挤其他投标供应商；</w:t>
      </w:r>
    </w:p>
    <w:p>
      <w:pPr>
        <w:numPr>
          <w:ilvl w:val="0"/>
          <w:numId w:val="14"/>
        </w:numPr>
        <w:tabs>
          <w:tab w:val="left" w:pos="851"/>
        </w:tabs>
        <w:spacing w:line="360" w:lineRule="auto"/>
        <w:ind w:left="786"/>
        <w:rPr>
          <w:rFonts w:hint="eastAsia" w:ascii="宋体" w:hAnsi="宋体" w:cs="宋体"/>
          <w:color w:val="auto"/>
          <w:sz w:val="22"/>
          <w:szCs w:val="22"/>
          <w:highlight w:val="none"/>
        </w:rPr>
      </w:pPr>
      <w:r>
        <w:rPr>
          <w:rFonts w:hint="eastAsia" w:ascii="宋体" w:hAnsi="宋体" w:cs="宋体"/>
          <w:color w:val="auto"/>
          <w:sz w:val="22"/>
          <w:szCs w:val="22"/>
          <w:highlight w:val="none"/>
        </w:rPr>
        <w:t>保证绝不向采购人、采购代理机构有关工作人员提供不正当利益,以影响采购结果的公正性。</w:t>
      </w:r>
    </w:p>
    <w:p>
      <w:pPr>
        <w:numPr>
          <w:ilvl w:val="0"/>
          <w:numId w:val="14"/>
        </w:numPr>
        <w:tabs>
          <w:tab w:val="left" w:pos="851"/>
        </w:tabs>
        <w:spacing w:line="360" w:lineRule="auto"/>
        <w:ind w:left="786"/>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如中标，将全面忠实的履行投标文件所有响应与承诺，在规定的时间内与采购人签订采购合同。</w:t>
      </w:r>
    </w:p>
    <w:p>
      <w:pPr>
        <w:snapToGrid w:val="0"/>
        <w:spacing w:line="360" w:lineRule="auto"/>
        <w:ind w:firstLine="440" w:firstLineChars="200"/>
        <w:rPr>
          <w:rFonts w:hint="eastAsia" w:ascii="宋体" w:hAnsi="宋体" w:cs="宋体"/>
          <w:color w:val="auto"/>
          <w:sz w:val="22"/>
          <w:szCs w:val="22"/>
          <w:highlight w:val="none"/>
        </w:rPr>
      </w:pPr>
    </w:p>
    <w:p>
      <w:pPr>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我公司若违反上述承诺，愿接受取消投标（中标）资格及其他任何形式的处理。</w:t>
      </w:r>
    </w:p>
    <w:p>
      <w:pPr>
        <w:snapToGrid w:val="0"/>
        <w:spacing w:line="360" w:lineRule="auto"/>
        <w:ind w:firstLine="440" w:firstLineChars="200"/>
        <w:rPr>
          <w:rFonts w:hint="eastAsia" w:ascii="宋体" w:hAnsi="宋体" w:cs="宋体"/>
          <w:color w:val="auto"/>
          <w:sz w:val="22"/>
          <w:szCs w:val="22"/>
          <w:highlight w:val="none"/>
        </w:rPr>
      </w:pPr>
    </w:p>
    <w:p>
      <w:pPr>
        <w:snapToGrid w:val="0"/>
        <w:spacing w:line="360" w:lineRule="auto"/>
        <w:ind w:firstLine="385" w:firstLineChars="175"/>
        <w:rPr>
          <w:rFonts w:hint="eastAsia" w:ascii="宋体" w:hAnsi="宋体" w:cs="宋体"/>
          <w:color w:val="auto"/>
          <w:sz w:val="22"/>
          <w:szCs w:val="22"/>
          <w:highlight w:val="none"/>
        </w:rPr>
      </w:pPr>
    </w:p>
    <w:p>
      <w:pPr>
        <w:spacing w:line="400" w:lineRule="exact"/>
        <w:ind w:firstLine="5143" w:firstLineChars="2338"/>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pPr>
        <w:spacing w:line="400" w:lineRule="exact"/>
        <w:ind w:firstLine="5170" w:firstLineChars="2350"/>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pPr>
        <w:spacing w:line="400" w:lineRule="exact"/>
        <w:ind w:firstLine="5170" w:firstLineChars="2350"/>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400" w:lineRule="exact"/>
        <w:ind w:firstLine="5170" w:firstLineChars="2350"/>
        <w:textAlignment w:val="baseline"/>
        <w:rPr>
          <w:rFonts w:hint="eastAsia" w:ascii="宋体" w:hAnsi="宋体" w:cs="宋体"/>
          <w:color w:val="auto"/>
          <w:sz w:val="22"/>
          <w:szCs w:val="22"/>
          <w:highlight w:val="none"/>
        </w:rPr>
      </w:pPr>
    </w:p>
    <w:p>
      <w:pPr>
        <w:spacing w:line="400" w:lineRule="exact"/>
        <w:ind w:firstLine="5170" w:firstLineChars="2350"/>
        <w:textAlignment w:val="baseline"/>
        <w:rPr>
          <w:rFonts w:hint="eastAsia" w:ascii="宋体" w:hAnsi="宋体" w:cs="宋体"/>
          <w:color w:val="auto"/>
          <w:sz w:val="22"/>
          <w:szCs w:val="22"/>
          <w:highlight w:val="none"/>
        </w:rPr>
      </w:pPr>
    </w:p>
    <w:p>
      <w:pPr>
        <w:spacing w:line="400" w:lineRule="exact"/>
        <w:textAlignment w:val="baseline"/>
        <w:rPr>
          <w:rFonts w:hint="eastAsia" w:ascii="宋体" w:hAnsi="宋体" w:cs="宋体"/>
          <w:bCs/>
          <w:color w:val="auto"/>
          <w:sz w:val="22"/>
          <w:szCs w:val="22"/>
          <w:highlight w:val="none"/>
        </w:rPr>
      </w:pPr>
    </w:p>
    <w:p>
      <w:pPr>
        <w:spacing w:line="400" w:lineRule="exact"/>
        <w:textAlignment w:val="baseline"/>
        <w:rPr>
          <w:rFonts w:hint="eastAsia" w:ascii="宋体" w:hAnsi="宋体" w:cs="宋体"/>
          <w:bCs/>
          <w:color w:val="auto"/>
          <w:sz w:val="22"/>
          <w:szCs w:val="22"/>
          <w:highlight w:val="none"/>
        </w:rPr>
      </w:pPr>
    </w:p>
    <w:p>
      <w:pPr>
        <w:spacing w:line="400" w:lineRule="exact"/>
        <w:textAlignment w:val="baseline"/>
        <w:rPr>
          <w:rFonts w:hint="eastAsia" w:ascii="宋体" w:hAnsi="宋体" w:cs="宋体"/>
          <w:bCs/>
          <w:color w:val="auto"/>
          <w:sz w:val="22"/>
          <w:szCs w:val="22"/>
          <w:highlight w:val="none"/>
        </w:rPr>
      </w:pPr>
    </w:p>
    <w:p>
      <w:pPr>
        <w:spacing w:line="400" w:lineRule="exact"/>
        <w:textAlignment w:val="baseline"/>
        <w:rPr>
          <w:rFonts w:hint="eastAsia" w:ascii="宋体" w:hAnsi="宋体" w:cs="宋体"/>
          <w:color w:val="auto"/>
          <w:sz w:val="22"/>
          <w:szCs w:val="22"/>
          <w:highlight w:val="none"/>
          <w:u w:val="single"/>
        </w:rPr>
      </w:pPr>
      <w:r>
        <w:rPr>
          <w:rFonts w:hint="eastAsia" w:ascii="宋体" w:hAnsi="宋体" w:cs="宋体"/>
          <w:bCs/>
          <w:color w:val="auto"/>
          <w:sz w:val="22"/>
          <w:szCs w:val="22"/>
          <w:highlight w:val="none"/>
        </w:rPr>
        <w:t>注</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▲不按要求提交本承诺书按无效标处理。</w:t>
      </w:r>
    </w:p>
    <w:p>
      <w:pPr>
        <w:spacing w:line="400" w:lineRule="exact"/>
        <w:textAlignment w:val="baseline"/>
        <w:rPr>
          <w:rFonts w:hint="eastAsia" w:ascii="宋体" w:hAnsi="宋体" w:cs="宋体"/>
          <w:color w:val="auto"/>
          <w:sz w:val="24"/>
          <w:highlight w:val="none"/>
          <w:u w:val="single"/>
        </w:rPr>
      </w:pPr>
    </w:p>
    <w:p>
      <w:pPr>
        <w:spacing w:line="400" w:lineRule="exact"/>
        <w:textAlignment w:val="baseline"/>
        <w:rPr>
          <w:rFonts w:hint="eastAsia" w:ascii="宋体" w:hAnsi="宋体" w:cs="宋体"/>
          <w:color w:val="auto"/>
          <w:sz w:val="24"/>
          <w:highlight w:val="none"/>
          <w:u w:val="single"/>
        </w:rPr>
      </w:pPr>
    </w:p>
    <w:p>
      <w:pPr>
        <w:spacing w:line="400" w:lineRule="exact"/>
        <w:textAlignment w:val="baseline"/>
        <w:rPr>
          <w:rFonts w:hint="eastAsia" w:ascii="宋体" w:hAnsi="宋体" w:cs="宋体"/>
          <w:color w:val="auto"/>
          <w:sz w:val="24"/>
          <w:highlight w:val="none"/>
          <w:u w:val="single"/>
        </w:rPr>
      </w:pPr>
    </w:p>
    <w:p>
      <w:pPr>
        <w:spacing w:line="400" w:lineRule="exact"/>
        <w:textAlignment w:val="baseline"/>
        <w:rPr>
          <w:rFonts w:hint="eastAsia" w:ascii="宋体" w:hAnsi="宋体" w:cs="宋体"/>
          <w:color w:val="auto"/>
          <w:sz w:val="24"/>
          <w:highlight w:val="none"/>
          <w:u w:val="single"/>
        </w:rPr>
      </w:pPr>
    </w:p>
    <w:p>
      <w:pPr>
        <w:spacing w:line="400" w:lineRule="exact"/>
        <w:textAlignment w:val="baseline"/>
        <w:rPr>
          <w:rFonts w:hint="eastAsia" w:ascii="宋体" w:hAnsi="宋体" w:cs="宋体"/>
          <w:color w:val="auto"/>
          <w:sz w:val="24"/>
          <w:highlight w:val="none"/>
          <w:u w:val="single"/>
        </w:rPr>
      </w:pPr>
    </w:p>
    <w:p>
      <w:pPr>
        <w:spacing w:line="400" w:lineRule="exact"/>
        <w:textAlignment w:val="baseline"/>
        <w:rPr>
          <w:rFonts w:hint="eastAsia" w:ascii="宋体" w:hAnsi="宋体" w:cs="宋体"/>
          <w:color w:val="auto"/>
          <w:sz w:val="24"/>
          <w:highlight w:val="none"/>
          <w:u w:val="single"/>
        </w:rPr>
      </w:pPr>
    </w:p>
    <w:p>
      <w:pPr>
        <w:pStyle w:val="3"/>
        <w:tabs>
          <w:tab w:val="clear" w:pos="840"/>
        </w:tabs>
        <w:adjustRightInd/>
        <w:snapToGrid/>
        <w:spacing w:before="120" w:after="120" w:line="440" w:lineRule="exact"/>
        <w:jc w:val="center"/>
        <w:rPr>
          <w:rFonts w:hint="eastAsia" w:hAnsi="宋体" w:cs="宋体"/>
          <w:bCs/>
          <w:color w:val="auto"/>
          <w:sz w:val="32"/>
          <w:szCs w:val="32"/>
          <w:highlight w:val="none"/>
        </w:rPr>
      </w:pPr>
      <w:bookmarkStart w:id="145" w:name="_Toc66274210"/>
      <w:bookmarkStart w:id="146" w:name="_Toc13090"/>
      <w:bookmarkStart w:id="147" w:name="_Toc16035"/>
      <w:r>
        <w:rPr>
          <w:rFonts w:hint="eastAsia" w:hAnsi="宋体" w:cs="宋体"/>
          <w:color w:val="auto"/>
          <w:sz w:val="32"/>
          <w:szCs w:val="32"/>
          <w:highlight w:val="none"/>
        </w:rPr>
        <w:t>第四部分  采购内容及要求</w:t>
      </w:r>
      <w:bookmarkEnd w:id="145"/>
      <w:bookmarkEnd w:id="146"/>
      <w:bookmarkEnd w:id="147"/>
      <w:bookmarkStart w:id="148" w:name="_Toc175826927"/>
      <w:bookmarkStart w:id="149" w:name="_Toc188355453"/>
      <w:bookmarkStart w:id="150" w:name="_Toc171189364"/>
    </w:p>
    <w:bookmarkEnd w:id="148"/>
    <w:bookmarkEnd w:id="149"/>
    <w:bookmarkEnd w:id="150"/>
    <w:p>
      <w:pPr>
        <w:pStyle w:val="4"/>
        <w:spacing w:line="360" w:lineRule="auto"/>
        <w:jc w:val="center"/>
        <w:rPr>
          <w:rFonts w:hint="eastAsia" w:ascii="宋体" w:hAnsi="宋体" w:eastAsia="宋体" w:cs="宋体"/>
          <w:color w:val="auto"/>
          <w:sz w:val="28"/>
          <w:szCs w:val="28"/>
          <w:highlight w:val="none"/>
        </w:rPr>
      </w:pPr>
      <w:bookmarkStart w:id="151" w:name="_Toc498696426"/>
      <w:bookmarkStart w:id="152" w:name="_Toc4370"/>
      <w:bookmarkStart w:id="153" w:name="_Toc22711"/>
      <w:bookmarkStart w:id="154" w:name="_Toc9493"/>
      <w:bookmarkStart w:id="155" w:name="_Toc16602"/>
      <w:bookmarkStart w:id="156" w:name="_Toc23272"/>
      <w:bookmarkStart w:id="157" w:name="_Toc465250134"/>
      <w:bookmarkStart w:id="158" w:name="_Toc18596888"/>
      <w:bookmarkStart w:id="159" w:name="_Toc512244787"/>
      <w:bookmarkStart w:id="160" w:name="_Toc465250132"/>
      <w:bookmarkStart w:id="161" w:name="_Toc66274212"/>
      <w:bookmarkStart w:id="162" w:name="_Toc18596886"/>
      <w:bookmarkStart w:id="163" w:name="_Toc512244785"/>
      <w:bookmarkStart w:id="164" w:name="_Toc528072590"/>
      <w:bookmarkStart w:id="165" w:name="_Toc40888667"/>
      <w:r>
        <w:rPr>
          <w:rFonts w:hint="eastAsia" w:ascii="宋体" w:hAnsi="宋体" w:eastAsia="宋体" w:cs="宋体"/>
          <w:color w:val="auto"/>
          <w:sz w:val="28"/>
          <w:szCs w:val="28"/>
          <w:highlight w:val="none"/>
        </w:rPr>
        <w:t>一、</w:t>
      </w:r>
      <w:bookmarkEnd w:id="151"/>
      <w:r>
        <w:rPr>
          <w:rFonts w:hint="eastAsia" w:ascii="宋体" w:hAnsi="宋体" w:eastAsia="宋体" w:cs="宋体"/>
          <w:color w:val="auto"/>
          <w:sz w:val="28"/>
          <w:szCs w:val="28"/>
          <w:highlight w:val="none"/>
        </w:rPr>
        <w:t xml:space="preserve"> </w:t>
      </w:r>
      <w:bookmarkEnd w:id="152"/>
      <w:bookmarkEnd w:id="153"/>
      <w:r>
        <w:rPr>
          <w:rFonts w:hint="eastAsia" w:ascii="宋体" w:hAnsi="宋体" w:eastAsia="宋体" w:cs="宋体"/>
          <w:color w:val="auto"/>
          <w:sz w:val="28"/>
          <w:szCs w:val="28"/>
          <w:highlight w:val="none"/>
        </w:rPr>
        <w:t>项目概况</w:t>
      </w:r>
      <w:bookmarkEnd w:id="154"/>
      <w:bookmarkEnd w:id="155"/>
    </w:p>
    <w:bookmarkEnd w:id="156"/>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1、项目背景</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温州市公安局交通管理局（以下简称“交管局”）按照公安部、省厅关于加强公安信息中心建设的意见，全面贯彻落实国家信息安全等级保护制度，并紧密结合公安工作的现实需求，进一步明确了信息中心的业务规划、建设目标和职责任务，不断创新管理体制和用人机制，大力推进各类技术系统建设，逐步形成了高效、统一、权威的信息系统管理体系和规范有力的运行管理机制和制度。在应对未知和已知的网络信息安全风险和隐患，在基础合规前提下，并针对性地进行安全加固，从终端、服务器端、应用端、中间件、数据库层、信息制度管理层等各个方面，构建相对完善的安全保障体系，使得网络成为一个可信的计算环境进一步完善公安信息系统安全管理和技术防护体系,增强信息安全保护意识,明确信息安全保障重点,落实信息安全责任,切实提高公安系统信息安全防护能力，通过本项目实施，查找漏洞，整改隐患，为全面提高信息系统稳定运行提供安全保障。</w:t>
      </w:r>
    </w:p>
    <w:p>
      <w:pPr>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color w:val="auto"/>
          <w:sz w:val="22"/>
          <w:szCs w:val="22"/>
          <w:highlight w:val="none"/>
        </w:rPr>
        <w:t>纵观现有交管局的公安信息网、视频专网、政务外网，它承载了各级公安机关打击犯罪、维护稳定、服务群众、管理队伍等各项主要工作，汇集的业务数据和各类信息越来越重要和敏感。同时，网络安全问题也日益凸显，信息系统存在安全风险，系统被攻击破坏的隐患较大；病毒木马防御手段不多，网络边界遭到外部持续不断的渗透攻击；安全技术保障措施各自为政、缺乏联动，安全防护、安全监测和应急处置能力亟待提高</w:t>
      </w:r>
      <w:r>
        <w:rPr>
          <w:rFonts w:hint="eastAsia" w:ascii="宋体" w:hAnsi="宋体" w:cs="宋体"/>
          <w:bCs/>
          <w:color w:val="auto"/>
          <w:sz w:val="22"/>
          <w:szCs w:val="22"/>
          <w:highlight w:val="none"/>
        </w:rPr>
        <w:t>。</w:t>
      </w:r>
    </w:p>
    <w:p>
      <w:pPr>
        <w:pStyle w:val="8"/>
        <w:numPr>
          <w:ilvl w:val="0"/>
          <w:numId w:val="15"/>
        </w:numPr>
        <w:ind w:firstLine="220"/>
        <w:rPr>
          <w:rFonts w:hint="eastAsia" w:ascii="宋体" w:hAnsi="宋体" w:cs="宋体"/>
          <w:bCs/>
          <w:color w:val="auto"/>
          <w:sz w:val="22"/>
          <w:szCs w:val="22"/>
          <w:highlight w:val="none"/>
        </w:rPr>
      </w:pPr>
      <w:r>
        <w:rPr>
          <w:rFonts w:hint="eastAsia" w:ascii="宋体" w:hAnsi="宋体" w:cs="宋体"/>
          <w:bCs/>
          <w:color w:val="auto"/>
          <w:sz w:val="22"/>
          <w:szCs w:val="22"/>
          <w:highlight w:val="none"/>
        </w:rPr>
        <w:t>建设依据</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本方案的设计过程中将按照国家的相关法律标准展开，在方案的设计过程中，既考虑满足合规要求，有符合单位的实际安全建设需求，主要依据的标准文件包含如下：</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《中华人民共和国网络安全法》（2017年6月1日）</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《网络安全等级保护管理条例》（征求意见稿）</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《网络安全等级保护定级指南》（GB/T 22240-20XX）</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《网络安全等级保护基本要求》（GB/T 22239-2019）</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《网络安全等级保护安全设计技术要求》（GB/T 25070-2019）</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《网络安全等级保护实施指南》（GB/T 25058-20XX）</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《信息安全风险评估规范》（GB/T 20984-2007）</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《电子信息系统机房设计规范》（GB/T 50174-2008）</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《计算机场地安全要求》（GB/T 9361-2006）</w:t>
      </w:r>
    </w:p>
    <w:p>
      <w:pPr>
        <w:pStyle w:val="2"/>
        <w:rPr>
          <w:rFonts w:hint="eastAsia"/>
          <w:color w:val="auto"/>
          <w:highlight w:val="none"/>
        </w:rPr>
      </w:pPr>
    </w:p>
    <w:p>
      <w:pPr>
        <w:pStyle w:val="4"/>
        <w:numPr>
          <w:ilvl w:val="0"/>
          <w:numId w:val="16"/>
        </w:num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166" w:name="_Toc24502"/>
      <w:r>
        <w:rPr>
          <w:rFonts w:hint="eastAsia" w:ascii="宋体" w:hAnsi="宋体" w:eastAsia="宋体" w:cs="宋体"/>
          <w:color w:val="auto"/>
          <w:sz w:val="28"/>
          <w:szCs w:val="28"/>
          <w:highlight w:val="none"/>
        </w:rPr>
        <w:t>安全现状</w:t>
      </w:r>
      <w:bookmarkEnd w:id="166"/>
    </w:p>
    <w:p>
      <w:pPr>
        <w:spacing w:line="360" w:lineRule="auto"/>
        <w:ind w:left="-2" w:leftChars="-1" w:firstLine="422"/>
        <w:rPr>
          <w:rFonts w:ascii="宋体" w:hAnsi="宋体"/>
          <w:color w:val="auto"/>
          <w:sz w:val="22"/>
          <w:szCs w:val="28"/>
          <w:highlight w:val="none"/>
          <w:lang w:val="zh-CN"/>
        </w:rPr>
      </w:pPr>
      <w:r>
        <w:rPr>
          <w:rFonts w:hint="eastAsia" w:ascii="宋体" w:hAnsi="宋体"/>
          <w:color w:val="auto"/>
          <w:sz w:val="22"/>
          <w:szCs w:val="28"/>
          <w:highlight w:val="none"/>
          <w:lang w:val="zh-CN"/>
        </w:rPr>
        <w:t>本次网络现状的分析涉及温州市公安局交通管理局（以下简称交管局）承载信息系统与业务系统的三张网络，分别为政务外网、公安网和视频专网。</w:t>
      </w:r>
    </w:p>
    <w:p>
      <w:pPr>
        <w:spacing w:line="360" w:lineRule="auto"/>
        <w:ind w:left="-2" w:leftChars="-1" w:firstLine="422"/>
        <w:rPr>
          <w:rFonts w:ascii="宋体" w:hAnsi="宋体"/>
          <w:color w:val="auto"/>
          <w:sz w:val="22"/>
          <w:szCs w:val="28"/>
          <w:highlight w:val="none"/>
          <w:lang w:val="zh-CN"/>
        </w:rPr>
      </w:pPr>
      <w:r>
        <w:rPr>
          <w:rFonts w:hint="eastAsia" w:ascii="宋体" w:hAnsi="宋体"/>
          <w:color w:val="auto"/>
          <w:sz w:val="22"/>
          <w:szCs w:val="28"/>
          <w:highlight w:val="none"/>
          <w:lang w:val="zh-CN"/>
        </w:rPr>
        <w:t>政务外网主要为交管局提供互联网、电子政务网网络环境，政务外网主要分为有线网络和无线网络，无线网络涉及多种终端设备，有线网络包括传统PC、信创PC、MAC主机、网络设备、空调系统、门禁系统等，无线网络包括手机、自助终端、智能屏、移动PC、平板等设备；</w:t>
      </w:r>
    </w:p>
    <w:p>
      <w:pPr>
        <w:spacing w:line="360" w:lineRule="auto"/>
        <w:ind w:left="-2" w:leftChars="-1" w:firstLine="422"/>
        <w:rPr>
          <w:rFonts w:ascii="宋体" w:hAnsi="宋体"/>
          <w:color w:val="auto"/>
          <w:sz w:val="22"/>
          <w:szCs w:val="28"/>
          <w:highlight w:val="none"/>
          <w:lang w:val="zh-CN"/>
        </w:rPr>
      </w:pPr>
      <w:r>
        <w:rPr>
          <w:rFonts w:hint="eastAsia" w:ascii="宋体" w:hAnsi="宋体"/>
          <w:color w:val="auto"/>
          <w:sz w:val="22"/>
          <w:szCs w:val="28"/>
          <w:highlight w:val="none"/>
          <w:lang w:val="zh-CN"/>
        </w:rPr>
        <w:t>视频专网与信号专网主要部署了视频网络系统与信号专网设备及与其相关的业务系统，交管局大部分视频类、信号类的调度管控工作依托于该网络进行开展。通过边界隔离交换系统，视频专网内部分业务系统数据会传输到公安网内对应应用中进行进一步的处理；</w:t>
      </w:r>
    </w:p>
    <w:p>
      <w:pPr>
        <w:spacing w:line="360" w:lineRule="auto"/>
        <w:ind w:left="-2" w:leftChars="-1" w:firstLine="422"/>
        <w:rPr>
          <w:rFonts w:ascii="宋体" w:hAnsi="宋体"/>
          <w:color w:val="auto"/>
          <w:sz w:val="22"/>
          <w:szCs w:val="28"/>
          <w:highlight w:val="none"/>
          <w:lang w:val="zh-CN"/>
        </w:rPr>
      </w:pPr>
      <w:r>
        <w:rPr>
          <w:rFonts w:hint="eastAsia" w:ascii="宋体" w:hAnsi="宋体"/>
          <w:color w:val="auto"/>
          <w:sz w:val="22"/>
          <w:szCs w:val="28"/>
          <w:highlight w:val="none"/>
          <w:lang w:val="zh-CN"/>
        </w:rPr>
        <w:t>公安网主要承载着交管局大部分支撑日常工作的**信息系统与数据业务系统，公安网除PC主机、服务器接入外，同时部署了虚拟化资源池，提供有效的信息资源支撑能力，辅助各类日常**工作顺利进行。</w:t>
      </w:r>
      <w:r>
        <w:rPr>
          <w:rFonts w:ascii="宋体" w:hAnsi="宋体"/>
          <w:color w:val="auto"/>
          <w:sz w:val="22"/>
          <w:szCs w:val="28"/>
          <w:highlight w:val="none"/>
          <w:lang w:val="zh-CN"/>
        </w:rPr>
        <w:t xml:space="preserve"> </w:t>
      </w:r>
    </w:p>
    <w:p>
      <w:pPr>
        <w:pStyle w:val="4"/>
        <w:numPr>
          <w:ilvl w:val="0"/>
          <w:numId w:val="16"/>
        </w:numPr>
        <w:spacing w:line="360" w:lineRule="auto"/>
        <w:jc w:val="center"/>
        <w:rPr>
          <w:rFonts w:hint="eastAsia" w:ascii="宋体" w:hAnsi="宋体" w:eastAsia="宋体" w:cs="宋体"/>
          <w:color w:val="auto"/>
          <w:sz w:val="28"/>
          <w:szCs w:val="28"/>
          <w:highlight w:val="none"/>
        </w:rPr>
      </w:pPr>
      <w:bookmarkStart w:id="167" w:name="_Toc25604"/>
      <w:bookmarkStart w:id="168" w:name="_Toc19786"/>
      <w:r>
        <w:rPr>
          <w:rFonts w:hint="eastAsia" w:ascii="宋体" w:hAnsi="宋体" w:eastAsia="宋体" w:cs="宋体"/>
          <w:color w:val="auto"/>
          <w:sz w:val="28"/>
          <w:szCs w:val="28"/>
          <w:highlight w:val="none"/>
        </w:rPr>
        <w:t>具体采购内容及技术要求</w:t>
      </w:r>
      <w:bookmarkEnd w:id="167"/>
      <w:bookmarkEnd w:id="168"/>
    </w:p>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1、公安网服务能力要求</w:t>
      </w:r>
    </w:p>
    <w:p>
      <w:pPr>
        <w:spacing w:line="360" w:lineRule="auto"/>
        <w:ind w:firstLine="420"/>
        <w:rPr>
          <w:rFonts w:ascii="宋体" w:hAnsi="宋体"/>
          <w:b/>
          <w:bCs/>
          <w:color w:val="auto"/>
          <w:sz w:val="22"/>
          <w:szCs w:val="28"/>
          <w:highlight w:val="none"/>
        </w:rPr>
      </w:pPr>
      <w:r>
        <w:rPr>
          <w:rFonts w:ascii="宋体" w:hAnsi="宋体"/>
          <w:b/>
          <w:bCs/>
          <w:color w:val="auto"/>
          <w:sz w:val="22"/>
          <w:szCs w:val="28"/>
          <w:highlight w:val="none"/>
        </w:rPr>
        <w:t xml:space="preserve">1.1 </w:t>
      </w:r>
      <w:r>
        <w:rPr>
          <w:rFonts w:hint="eastAsia" w:ascii="宋体" w:hAnsi="宋体"/>
          <w:b/>
          <w:bCs/>
          <w:color w:val="auto"/>
          <w:sz w:val="22"/>
          <w:szCs w:val="28"/>
          <w:highlight w:val="none"/>
        </w:rPr>
        <w:t>数据中心边界防护服务</w:t>
      </w:r>
    </w:p>
    <w:p>
      <w:pPr>
        <w:spacing w:line="360" w:lineRule="auto"/>
        <w:ind w:firstLine="420"/>
        <w:rPr>
          <w:rFonts w:ascii="宋体" w:hAnsi="宋体"/>
          <w:color w:val="auto"/>
          <w:highlight w:val="none"/>
        </w:rPr>
      </w:pPr>
      <w:r>
        <w:rPr>
          <w:rFonts w:hint="eastAsia" w:ascii="宋体" w:hAnsi="宋体"/>
          <w:color w:val="auto"/>
          <w:highlight w:val="none"/>
        </w:rPr>
        <w:t>服务通过在业务系统前端部署冗余的数据中心防火墙，提供边界防御、访问控制、入侵防御、防病毒等安全能力，对数据中心进行边界保护，对所有流经数据包按照严格的安全规则进行过滤，将所有不安全的或不符合安全规则的数据包屏蔽，防范各类攻击行为，杜绝越权访问，防止非法攻击。通过合理布局，形成多级的纵深防御体系。</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3"/>
        <w:gridCol w:w="6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shd w:val="clear" w:color="auto" w:fill="AEAAAA"/>
            <w:noWrap w:val="0"/>
            <w:vAlign w:val="center"/>
          </w:tcPr>
          <w:p>
            <w:pPr>
              <w:spacing w:line="360" w:lineRule="auto"/>
              <w:jc w:val="center"/>
              <w:rPr>
                <w:rFonts w:ascii="宋体" w:hAnsi="宋体" w:cs="仿宋"/>
                <w:b/>
                <w:bCs/>
                <w:color w:val="auto"/>
                <w:sz w:val="24"/>
                <w:szCs w:val="21"/>
                <w:highlight w:val="none"/>
              </w:rPr>
            </w:pPr>
            <w:r>
              <w:rPr>
                <w:rFonts w:hint="eastAsia" w:ascii="宋体" w:hAnsi="宋体" w:cs="仿宋"/>
                <w:b/>
                <w:bCs/>
                <w:color w:val="auto"/>
                <w:sz w:val="24"/>
                <w:szCs w:val="21"/>
                <w:highlight w:val="none"/>
              </w:rPr>
              <w:t>指标项</w:t>
            </w:r>
          </w:p>
        </w:tc>
        <w:tc>
          <w:tcPr>
            <w:tcW w:w="6787" w:type="dxa"/>
            <w:shd w:val="clear" w:color="auto" w:fill="AEAAAA"/>
            <w:noWrap w:val="0"/>
            <w:vAlign w:val="center"/>
          </w:tcPr>
          <w:p>
            <w:pPr>
              <w:spacing w:line="360" w:lineRule="auto"/>
              <w:jc w:val="center"/>
              <w:rPr>
                <w:rFonts w:ascii="宋体" w:hAnsi="宋体" w:cs="仿宋"/>
                <w:b/>
                <w:bCs/>
                <w:color w:val="auto"/>
                <w:sz w:val="24"/>
                <w:szCs w:val="21"/>
                <w:highlight w:val="none"/>
              </w:rPr>
            </w:pPr>
            <w:r>
              <w:rPr>
                <w:rFonts w:hint="eastAsia" w:ascii="宋体" w:hAnsi="宋体" w:cs="仿宋"/>
                <w:b/>
                <w:bCs/>
                <w:color w:val="auto"/>
                <w:sz w:val="24"/>
                <w:szCs w:val="21"/>
                <w:highlight w:val="none"/>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933" w:type="dxa"/>
            <w:vMerge w:val="restart"/>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服务工具基础要求</w:t>
            </w:r>
          </w:p>
        </w:tc>
        <w:tc>
          <w:tcPr>
            <w:tcW w:w="6787" w:type="dxa"/>
            <w:noWrap w:val="0"/>
            <w:vAlign w:val="top"/>
          </w:tcPr>
          <w:p>
            <w:pPr>
              <w:spacing w:line="360" w:lineRule="auto"/>
              <w:rPr>
                <w:rFonts w:ascii="宋体" w:hAnsi="宋体" w:cs="仿宋"/>
                <w:color w:val="auto"/>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933" w:type="dxa"/>
            <w:vMerge w:val="continue"/>
            <w:noWrap w:val="0"/>
            <w:vAlign w:val="center"/>
          </w:tcPr>
          <w:p>
            <w:pPr>
              <w:spacing w:line="360" w:lineRule="auto"/>
              <w:rPr>
                <w:rFonts w:ascii="宋体" w:hAnsi="宋体" w:cs="仿宋"/>
                <w:color w:val="auto"/>
                <w:highlight w:val="none"/>
              </w:rPr>
            </w:pPr>
          </w:p>
        </w:tc>
        <w:tc>
          <w:tcPr>
            <w:tcW w:w="6787" w:type="dxa"/>
            <w:noWrap w:val="0"/>
            <w:vAlign w:val="top"/>
          </w:tcPr>
          <w:p>
            <w:pPr>
              <w:spacing w:line="360" w:lineRule="auto"/>
              <w:rPr>
                <w:rFonts w:ascii="宋体" w:hAnsi="宋体" w:cs="仿宋"/>
                <w:color w:val="auto"/>
                <w:highlight w:val="none"/>
              </w:rPr>
            </w:pPr>
            <w:r>
              <w:rPr>
                <w:rFonts w:hint="eastAsia" w:ascii="宋体" w:hAnsi="宋体" w:cs="仿宋"/>
                <w:color w:val="auto"/>
                <w:highlight w:val="none"/>
              </w:rPr>
              <w:t>★具备中国信息安全认证中心颁发的《中国国家信息安全产品认证证书》。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933" w:type="dxa"/>
            <w:vMerge w:val="continue"/>
            <w:noWrap w:val="0"/>
            <w:vAlign w:val="center"/>
          </w:tcPr>
          <w:p>
            <w:pPr>
              <w:spacing w:line="360" w:lineRule="auto"/>
              <w:rPr>
                <w:rFonts w:ascii="宋体" w:hAnsi="宋体" w:cs="仿宋"/>
                <w:color w:val="auto"/>
                <w:highlight w:val="none"/>
              </w:rPr>
            </w:pPr>
          </w:p>
        </w:tc>
        <w:tc>
          <w:tcPr>
            <w:tcW w:w="6787" w:type="dxa"/>
            <w:noWrap w:val="0"/>
            <w:vAlign w:val="top"/>
          </w:tcPr>
          <w:p>
            <w:pPr>
              <w:spacing w:line="360" w:lineRule="auto"/>
              <w:rPr>
                <w:rFonts w:ascii="宋体" w:hAnsi="宋体" w:cs="仿宋"/>
                <w:color w:val="auto"/>
                <w:highlight w:val="none"/>
              </w:rPr>
            </w:pPr>
            <w:r>
              <w:rPr>
                <w:rFonts w:hint="eastAsia" w:ascii="宋体" w:hAnsi="宋体" w:cs="仿宋"/>
                <w:color w:val="auto"/>
                <w:highlight w:val="none"/>
              </w:rPr>
              <w:t>★具备中华人民共和国工业和信息化部颁发的《电信设备进网许可证》。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服务工具规格要求</w:t>
            </w:r>
          </w:p>
        </w:tc>
        <w:tc>
          <w:tcPr>
            <w:tcW w:w="6787" w:type="dxa"/>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标准</w:t>
            </w:r>
            <w:r>
              <w:rPr>
                <w:rFonts w:ascii="宋体" w:hAnsi="宋体" w:cs="仿宋"/>
                <w:color w:val="auto"/>
                <w:highlight w:val="none"/>
              </w:rPr>
              <w:t>2</w:t>
            </w:r>
            <w:r>
              <w:rPr>
                <w:rFonts w:hint="eastAsia" w:ascii="宋体" w:hAnsi="宋体" w:cs="仿宋"/>
                <w:color w:val="auto"/>
                <w:highlight w:val="none"/>
              </w:rPr>
              <w:t>U专用千兆硬件平台</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双交流电源</w:t>
            </w:r>
            <w:r>
              <w:rPr>
                <w:rFonts w:hint="eastAsia" w:ascii="宋体" w:hAnsi="宋体" w:cs="仿宋"/>
                <w:color w:val="auto"/>
                <w:highlight w:val="none"/>
              </w:rPr>
              <w:t>；</w:t>
            </w:r>
          </w:p>
          <w:p>
            <w:pPr>
              <w:spacing w:line="360" w:lineRule="auto"/>
              <w:rPr>
                <w:rFonts w:ascii="宋体" w:hAnsi="宋体" w:cs="仿宋"/>
                <w:color w:val="auto"/>
                <w:highlight w:val="none"/>
              </w:rPr>
            </w:pPr>
            <w:r>
              <w:rPr>
                <w:rFonts w:hint="eastAsia" w:ascii="宋体" w:hAnsi="宋体" w:cs="仿宋"/>
                <w:color w:val="auto"/>
                <w:highlight w:val="none"/>
              </w:rPr>
              <w:t>硬盘≥</w:t>
            </w:r>
            <w:r>
              <w:rPr>
                <w:rFonts w:ascii="宋体" w:hAnsi="宋体" w:cs="仿宋"/>
                <w:color w:val="auto"/>
                <w:highlight w:val="none"/>
              </w:rPr>
              <w:t>1T</w:t>
            </w:r>
            <w:r>
              <w:rPr>
                <w:rFonts w:hint="eastAsia" w:ascii="宋体" w:hAnsi="宋体" w:cs="仿宋"/>
                <w:color w:val="auto"/>
                <w:highlight w:val="none"/>
              </w:rPr>
              <w:t>；</w:t>
            </w:r>
          </w:p>
          <w:p>
            <w:pPr>
              <w:spacing w:line="360" w:lineRule="auto"/>
              <w:rPr>
                <w:rFonts w:hint="eastAsia" w:ascii="宋体" w:hAnsi="宋体" w:cs="仿宋"/>
                <w:color w:val="auto"/>
                <w:highlight w:val="none"/>
              </w:rPr>
            </w:pPr>
            <w:r>
              <w:rPr>
                <w:rFonts w:hint="eastAsia" w:ascii="宋体" w:hAnsi="宋体" w:cs="仿宋"/>
                <w:color w:val="auto"/>
                <w:highlight w:val="none"/>
              </w:rPr>
              <w:t>接口≥12*GE电口，≥12*SFP光口，≥4*SFP+光口；支持千兆接口总数≥24个，支持万兆接口总数≥4个</w:t>
            </w:r>
          </w:p>
          <w:p>
            <w:pPr>
              <w:spacing w:line="360" w:lineRule="auto"/>
              <w:rPr>
                <w:rFonts w:hint="eastAsia" w:ascii="宋体" w:hAnsi="宋体" w:cs="仿宋"/>
                <w:color w:val="auto"/>
                <w:highlight w:val="none"/>
              </w:rPr>
            </w:pPr>
            <w:r>
              <w:rPr>
                <w:rFonts w:hint="eastAsia" w:ascii="宋体" w:hAnsi="宋体" w:cs="仿宋"/>
                <w:color w:val="auto"/>
                <w:highlight w:val="none"/>
              </w:rPr>
              <w:t>基本网络防火墙功能，IPSEC VPN功能，攻击防护，访问控制功能，用户认证功能，链路负载均衡功能、流量控制功能；</w:t>
            </w:r>
          </w:p>
          <w:p>
            <w:pPr>
              <w:spacing w:line="360" w:lineRule="auto"/>
              <w:rPr>
                <w:rFonts w:ascii="宋体" w:hAnsi="宋体" w:cs="仿宋"/>
                <w:color w:val="auto"/>
                <w:highlight w:val="none"/>
              </w:rPr>
            </w:pPr>
            <w:r>
              <w:rPr>
                <w:rFonts w:hint="eastAsia" w:ascii="宋体" w:hAnsi="宋体" w:cs="仿宋"/>
                <w:color w:val="auto"/>
                <w:highlight w:val="none"/>
              </w:rPr>
              <w:t>配置防病毒、入侵检测与防御模块；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服务工具性能要求</w:t>
            </w:r>
          </w:p>
        </w:tc>
        <w:tc>
          <w:tcPr>
            <w:tcW w:w="6787" w:type="dxa"/>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设备最大吞吐量≥20 Gbps，HTTP吞吐量≥14 Gbps，IPS吞吐量≥10 Gbps，AV吞吐量≥10 Gbps，IPSec VPN性能≥3 Gbps，最大并发连接数≥500万，每秒新建连接数≥50万（默认SFP接口和SFP+接口都不带光模块），IPSec VPN隧道数≥1024，SSL VPN接入数≥3000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访问控制</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支持一体化安全策略：可基于设备接口/安全域、地址、服务、应用、用户、时间等属性，配置入侵防御、病毒防护、URL过滤、应用过滤、日志记录、会话老化时间、终端过滤等高级访问控制功能。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入侵防御</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系统定义超过8000+条主流攻击规则，包含用户提权、任意代码执行、木马、后门、挖矿、Web序列化、Webshell等主流防护类型。并支持在线升级和手动升级。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预置防护模板，可基于常见场景进行一键式的安全加固；支持基于常见协议进行异常检查，包括但不限于：HTTP、HTTPS、DNS、SMTP、POP3、FTP；检查内容支持自定义，包括但不限于：url长度、请求长度、目录长度、host字段、version字段、字符检测、文本长度、文件名长度、命令参数长度，支持针对每协议设置处置动作和事件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自定义IPS特征，至少支持IP、UDP、TCP、ICMP、HTTP、FTP、POP3、SMTP等协议自定义入侵攻击特征；可拓展协议字段，设置数据包中的匹配内容；支持选择包含、等于、不等于、大于、正则匹配等匹配方式；可选择多种匹配条件，支持设置“与”和“或”的匹配顺序；支持设置检测方向，包括双向、客户端方向和服务端方向；支持自定义选择重要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病毒防护</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支持HTTP，FTP，POP3，SMTP，IMAP协议的病毒查杀，支持查杀邮件正文/附件、网页及下载文件中包含的病毒，支持400万余种病毒的查杀，并支持在线升级和手动升级病毒库。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★支持对最多20级的压缩文件进行解压查杀。（须提供相关截图证明）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基础防护</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支持IPv4、IPv6双协议栈异常包攻击防御，攻击类型至少包含：Ping of Death、Land-Base、Tear Drop、TCP flag、Winnuke、Smurf、IP选项、IP Spoof、Jolt2等。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至少支持telnet、ftp、imap、pop3、smtp、rlogin、http、oracle、mysql、postgres等常见协议的防暴力破解功能，针对每种协议可自定义检测时长、阈值和阻断时长。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非法外联学习和防护特性，可有效保障服务器安全，可定义外联白名单地址和端口；支持通过流量自学习获得服务器合法的外联行为，检测流量中的异常访问流量，实现自动拦截；学习时长可选择1小时、12小时、一天、一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资产安全分析</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支持内网资产自动发现功能，开启后自动评估内网资产安全，无需人工干预。支持手动创建、导入导出资产信息。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支持展示内网资产的风险级别、IP、用户、部门、操作系统、重要程度、受攻击总数、来源等内容。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攻击链可视</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安全事件攻击链分析，以资产和攻击者两种角度关联所有安全事件，将攻击过程阶段化，分析和统计每个攻击阶段的攻击内容和攻击次数，支持针对每个攻击阶段进行数据下钻，支持分析攻击时间、攻击源、攻击目的、攻击事件、检测模块、攻击级别等信息，帮助管理员清晰了解APT攻击的攻击进度，及时在数据泄露前加固网络，针对已经数据泄露的情况，进行事件回溯，为后续网络加固提供数据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应用识别</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★应用特征不少于5000个，移动应用不少于450个。（须提供相关截图证明）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支持根据标签选择应用，预置标签分类至少包含安全风险、高带宽消耗、降低工作效率等10大类；支持给每个应用自定义标签；支持根据标签选择一类应用做控制。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支持应用智能识别，有效识别P2P和迅雷行为，识别模式可选择严格、适中、宽松，支持排除扫描端口。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流量管理</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基于线路和多层通道嵌套的带宽管理和流量控制功能，提供至少四层管道嵌套；支持基于地址、用户、服务、应用、时间等匹配条件进行流量控制；并支持配置保障带宽、最大带宽、每IP带宽、每用户带宽、带宽优先级等QoS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支持带宽动态调整技术，带宽繁忙通道支持动态借用空闲通道的带宽，避免带宽浪费。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流量限额功能，可基于用户、源IP、目的IP、时间、应用等维度，进行日流量总额、月流量总额、当日使用时长、当月使用时长等限额类型进行流量管理；针对达到限额阀值的用户进行弹窗提醒，限额阀值和弹窗提醒频率支持自定义；针对超过限额的用户，管理员可选择禁止上网或者加入至惩罚流控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防私接路由</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支持防网络共享行为，针对私接路由器和非法无线热点行为进行识别和阻断。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支持自定义配置终端数量、冻结时间和添加信任列表；支持例外排除功能，可针对终端类型分别设置阀值数量。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针对私接网络行为，惩罚方式包括但不限于无操作、阻断和限速，阻断和限速支持自定义惩罚时长。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restart"/>
            <w:tcBorders>
              <w:top w:val="nil"/>
              <w:left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认证</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支持本地认证、Portal认证、Radius认证、LDAP认证、POP3认证、AD域单点登录、短信认证。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支持通过解析Radius、http流量，获取用户名、IP和MAC信息，实现无认证实名上线。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双机热备</w:t>
            </w:r>
          </w:p>
        </w:tc>
        <w:tc>
          <w:tcPr>
            <w:tcW w:w="678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仿宋"/>
                <w:color w:val="auto"/>
                <w:highlight w:val="none"/>
              </w:rPr>
            </w:pPr>
            <w:r>
              <w:rPr>
                <w:rFonts w:hint="eastAsia" w:ascii="宋体" w:hAnsi="宋体" w:cs="仿宋"/>
                <w:color w:val="auto"/>
                <w:highlight w:val="none"/>
              </w:rPr>
              <w:t>支持双机热备，支持主主模式、主备模式，支持同步配置、会话、运行状态、VPN状态、特征库，支持配置抢占模式和抢占延时，支持配置HA监控接口。</w:t>
            </w:r>
          </w:p>
        </w:tc>
      </w:tr>
    </w:tbl>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w:t>
      </w:r>
      <w:r>
        <w:rPr>
          <w:rFonts w:ascii="宋体" w:hAnsi="宋体"/>
          <w:b/>
          <w:bCs/>
          <w:color w:val="auto"/>
          <w:sz w:val="22"/>
          <w:szCs w:val="28"/>
          <w:highlight w:val="none"/>
        </w:rPr>
        <w:t xml:space="preserve">.2 </w:t>
      </w:r>
      <w:r>
        <w:rPr>
          <w:rFonts w:hint="eastAsia" w:ascii="宋体" w:hAnsi="宋体"/>
          <w:b/>
          <w:bCs/>
          <w:color w:val="auto"/>
          <w:sz w:val="22"/>
          <w:szCs w:val="28"/>
          <w:highlight w:val="none"/>
        </w:rPr>
        <w:t>数据库防护服务</w:t>
      </w:r>
    </w:p>
    <w:p>
      <w:pPr>
        <w:spacing w:line="360" w:lineRule="auto"/>
        <w:ind w:firstLine="420"/>
        <w:rPr>
          <w:rFonts w:ascii="宋体" w:hAnsi="宋体"/>
          <w:color w:val="auto"/>
          <w:highlight w:val="none"/>
        </w:rPr>
      </w:pPr>
      <w:r>
        <w:rPr>
          <w:rFonts w:hint="eastAsia" w:ascii="宋体" w:hAnsi="宋体"/>
          <w:color w:val="auto"/>
          <w:highlight w:val="none"/>
        </w:rPr>
        <w:t>数据库防护服务通过部署数据库安全网关系统。服务工具支持AIX,WINDOWS,LINUX,UNIX等主流操作系统环境中的oracle、MySQL、PostgreSQL、DB2、MSSqlserver等数据库，针对数据库攻击行为进行拦截和防护，同时提供数据库层面的虚拟补丁技术，技术人员能够提供防护策略配置，攻击行为分析及虚拟补丁修复等服务。</w:t>
      </w:r>
    </w:p>
    <w:p>
      <w:pPr>
        <w:pStyle w:val="2"/>
        <w:rPr>
          <w:color w:val="auto"/>
          <w:highlight w:val="none"/>
        </w:rPr>
      </w:pPr>
      <w:r>
        <w:rPr>
          <w:color w:val="auto"/>
          <w:highlight w:val="none"/>
        </w:rPr>
        <w:tab/>
      </w:r>
      <w:r>
        <w:rPr>
          <w:rFonts w:hint="eastAsia"/>
          <w:color w:val="auto"/>
          <w:highlight w:val="none"/>
        </w:rPr>
        <w:t>服务工具技术指标要求如下：</w:t>
      </w:r>
    </w:p>
    <w:tbl>
      <w:tblPr>
        <w:tblStyle w:val="3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BFBFBF"/>
            <w:noWrap w:val="0"/>
            <w:vAlign w:val="center"/>
          </w:tcPr>
          <w:p>
            <w:pPr>
              <w:pStyle w:val="125"/>
              <w:jc w:val="center"/>
              <w:rPr>
                <w:rFonts w:ascii="宋体" w:hAnsi="宋体"/>
                <w:b/>
                <w:bCs/>
                <w:color w:val="auto"/>
                <w:szCs w:val="24"/>
                <w:highlight w:val="none"/>
              </w:rPr>
            </w:pPr>
            <w:r>
              <w:rPr>
                <w:rFonts w:ascii="宋体" w:hAnsi="宋体"/>
                <w:b/>
                <w:bCs/>
                <w:color w:val="auto"/>
                <w:szCs w:val="24"/>
                <w:highlight w:val="none"/>
              </w:rPr>
              <w:t>指标项</w:t>
            </w:r>
          </w:p>
        </w:tc>
        <w:tc>
          <w:tcPr>
            <w:tcW w:w="7088" w:type="dxa"/>
            <w:shd w:val="clear" w:color="auto" w:fill="BFBFBF"/>
            <w:noWrap w:val="0"/>
            <w:vAlign w:val="top"/>
          </w:tcPr>
          <w:p>
            <w:pPr>
              <w:pStyle w:val="125"/>
              <w:jc w:val="center"/>
              <w:rPr>
                <w:rFonts w:ascii="宋体" w:hAnsi="宋体"/>
                <w:b/>
                <w:bCs/>
                <w:color w:val="auto"/>
                <w:szCs w:val="24"/>
                <w:highlight w:val="none"/>
              </w:rPr>
            </w:pPr>
            <w:r>
              <w:rPr>
                <w:rFonts w:ascii="宋体" w:hAnsi="宋体"/>
                <w:b/>
                <w:bCs/>
                <w:color w:val="auto"/>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noWrap w:val="0"/>
            <w:vAlign w:val="center"/>
          </w:tcPr>
          <w:p>
            <w:pPr>
              <w:pStyle w:val="125"/>
              <w:rPr>
                <w:rFonts w:hint="eastAsia" w:ascii="宋体" w:hAnsi="宋体"/>
                <w:color w:val="auto"/>
                <w:sz w:val="21"/>
                <w:szCs w:val="21"/>
                <w:highlight w:val="none"/>
              </w:rPr>
            </w:pPr>
            <w:r>
              <w:rPr>
                <w:rFonts w:hint="eastAsia" w:ascii="宋体" w:hAnsi="宋体"/>
                <w:color w:val="auto"/>
                <w:sz w:val="21"/>
                <w:szCs w:val="21"/>
                <w:highlight w:val="none"/>
              </w:rPr>
              <w:t>服务工具基础要求</w:t>
            </w:r>
          </w:p>
        </w:tc>
        <w:tc>
          <w:tcPr>
            <w:tcW w:w="7088" w:type="dxa"/>
            <w:noWrap w:val="0"/>
            <w:vAlign w:val="center"/>
          </w:tcPr>
          <w:p>
            <w:pPr>
              <w:pStyle w:val="125"/>
              <w:rPr>
                <w:rFonts w:hint="eastAsia" w:ascii="宋体" w:hAnsi="宋体"/>
                <w:color w:val="auto"/>
                <w:sz w:val="21"/>
                <w:szCs w:val="21"/>
                <w:highlight w:val="none"/>
              </w:rPr>
            </w:pPr>
            <w:r>
              <w:rPr>
                <w:rFonts w:hint="eastAsia" w:ascii="宋体" w:hAnsi="宋体"/>
                <w:color w:val="auto"/>
                <w:sz w:val="21"/>
                <w:szCs w:val="21"/>
                <w:highlight w:val="none"/>
              </w:rPr>
              <w:t>通过公安部检测获得销售许可证书，提供证书复印件。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服务工具性能要求</w:t>
            </w:r>
          </w:p>
        </w:tc>
        <w:tc>
          <w:tcPr>
            <w:tcW w:w="7088" w:type="dxa"/>
            <w:noWrap w:val="0"/>
            <w:vAlign w:val="center"/>
          </w:tcPr>
          <w:p>
            <w:pPr>
              <w:pStyle w:val="125"/>
              <w:rPr>
                <w:rFonts w:hint="eastAsia" w:ascii="宋体" w:hAnsi="宋体"/>
                <w:color w:val="auto"/>
                <w:sz w:val="21"/>
                <w:szCs w:val="21"/>
                <w:highlight w:val="none"/>
              </w:rPr>
            </w:pPr>
            <w:r>
              <w:rPr>
                <w:rFonts w:hint="eastAsia" w:ascii="宋体" w:hAnsi="宋体"/>
                <w:color w:val="auto"/>
                <w:sz w:val="21"/>
                <w:szCs w:val="21"/>
                <w:highlight w:val="none"/>
              </w:rPr>
              <w:t>支持对不少于</w:t>
            </w:r>
            <w:r>
              <w:rPr>
                <w:rFonts w:ascii="宋体" w:hAnsi="宋体"/>
                <w:color w:val="auto"/>
                <w:sz w:val="21"/>
                <w:szCs w:val="21"/>
                <w:highlight w:val="none"/>
              </w:rPr>
              <w:t>16个数据库</w:t>
            </w:r>
            <w:r>
              <w:rPr>
                <w:rFonts w:hint="eastAsia" w:ascii="宋体" w:hAnsi="宋体"/>
                <w:color w:val="auto"/>
                <w:sz w:val="21"/>
                <w:szCs w:val="21"/>
                <w:highlight w:val="none"/>
              </w:rPr>
              <w:t>开展防护；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支持数据库</w:t>
            </w:r>
          </w:p>
        </w:tc>
        <w:tc>
          <w:tcPr>
            <w:tcW w:w="7088" w:type="dxa"/>
            <w:noWrap w:val="0"/>
            <w:vAlign w:val="center"/>
          </w:tcPr>
          <w:p>
            <w:pPr>
              <w:pStyle w:val="125"/>
              <w:rPr>
                <w:rFonts w:ascii="宋体" w:hAnsi="宋体"/>
                <w:color w:val="auto"/>
                <w:sz w:val="21"/>
                <w:szCs w:val="21"/>
                <w:highlight w:val="none"/>
              </w:rPr>
            </w:pPr>
            <w:r>
              <w:rPr>
                <w:rStyle w:val="99"/>
                <w:rFonts w:hint="default"/>
                <w:color w:val="auto"/>
                <w:sz w:val="21"/>
                <w:szCs w:val="21"/>
                <w:highlight w:val="none"/>
              </w:rPr>
              <w:t>支持oracle、MySQL、Mariadb、PostgreSQL、DB2、MSSqlserver、hive、hbase、kingbase、gbase8a、sybase、informix、MongoDB、达梦（DM）、人大金仓（KingBase）、</w:t>
            </w:r>
            <w:r>
              <w:rPr>
                <w:rStyle w:val="66"/>
                <w:rFonts w:hint="default"/>
                <w:color w:val="auto"/>
                <w:sz w:val="21"/>
                <w:szCs w:val="21"/>
                <w:highlight w:val="none"/>
              </w:rPr>
              <w:t>ODPS、vertica</w:t>
            </w:r>
            <w:r>
              <w:rPr>
                <w:rStyle w:val="99"/>
                <w:rFonts w:hint="default"/>
                <w:color w:val="auto"/>
                <w:sz w:val="21"/>
                <w:szCs w:val="21"/>
                <w:highlight w:val="none"/>
              </w:rPr>
              <w:t>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总览展示与告警</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展示各个资产的访问控制情况、攻击防护情况、数据脱敏情况、设备运行情况</w:t>
            </w:r>
          </w:p>
          <w:p>
            <w:pPr>
              <w:pStyle w:val="125"/>
              <w:rPr>
                <w:rFonts w:ascii="宋体" w:hAnsi="宋体"/>
                <w:color w:val="auto"/>
                <w:sz w:val="21"/>
                <w:szCs w:val="21"/>
                <w:highlight w:val="none"/>
              </w:rPr>
            </w:pPr>
            <w:r>
              <w:rPr>
                <w:rFonts w:hint="eastAsia" w:ascii="宋体" w:hAnsi="宋体"/>
                <w:color w:val="auto"/>
                <w:sz w:val="21"/>
                <w:szCs w:val="21"/>
                <w:highlight w:val="none"/>
              </w:rPr>
              <w:t>支持风险告警查询，且查询条件支持常见的账号、数据库名、客户端工具、操作系统用户名、客户端</w:t>
            </w:r>
            <w:r>
              <w:rPr>
                <w:rFonts w:ascii="宋体" w:hAnsi="宋体"/>
                <w:color w:val="auto"/>
                <w:sz w:val="21"/>
                <w:szCs w:val="21"/>
                <w:highlight w:val="none"/>
              </w:rPr>
              <w:t>IP、操作类型、SQL关键字、执行结果、影响行数、执行时长等字段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敏感数据扫描</w:t>
            </w:r>
          </w:p>
        </w:tc>
        <w:tc>
          <w:tcPr>
            <w:tcW w:w="7088" w:type="dxa"/>
            <w:noWrap w:val="0"/>
            <w:vAlign w:val="top"/>
          </w:tcPr>
          <w:p>
            <w:pPr>
              <w:pStyle w:val="125"/>
              <w:rPr>
                <w:rFonts w:ascii="宋体" w:hAnsi="宋体"/>
                <w:color w:val="auto"/>
                <w:sz w:val="21"/>
                <w:szCs w:val="21"/>
                <w:highlight w:val="none"/>
              </w:rPr>
            </w:pPr>
            <w:r>
              <w:rPr>
                <w:rStyle w:val="65"/>
                <w:rFonts w:hint="default"/>
                <w:color w:val="auto"/>
                <w:sz w:val="21"/>
                <w:szCs w:val="21"/>
                <w:highlight w:val="none"/>
              </w:rPr>
              <w:t>支持扫描发现14种敏感信息，包括身份证、银行卡、手机号、座机号、军官证、护照号、车牌号、MAC地址、日期、时间、港澳台通行证、台胞证、邮箱、中文姓名等，同时支持自定义敏感数据扫描规则。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审计功能</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支持数据库操作类、表、视图、索引、存储过程等各种对象的所有</w:t>
            </w:r>
            <w:r>
              <w:rPr>
                <w:rFonts w:ascii="宋体" w:hAnsi="宋体"/>
                <w:color w:val="auto"/>
                <w:sz w:val="21"/>
                <w:szCs w:val="21"/>
                <w:highlight w:val="none"/>
              </w:rPr>
              <w:t>SQL操作审计；</w:t>
            </w:r>
          </w:p>
          <w:p>
            <w:pPr>
              <w:pStyle w:val="125"/>
              <w:rPr>
                <w:rFonts w:ascii="宋体" w:hAnsi="宋体"/>
                <w:color w:val="auto"/>
                <w:sz w:val="21"/>
                <w:szCs w:val="21"/>
                <w:highlight w:val="none"/>
              </w:rPr>
            </w:pPr>
            <w:r>
              <w:rPr>
                <w:rFonts w:hint="eastAsia" w:ascii="宋体" w:hAnsi="宋体"/>
                <w:color w:val="auto"/>
                <w:sz w:val="21"/>
                <w:szCs w:val="21"/>
                <w:highlight w:val="none"/>
              </w:rPr>
              <w:t>支持访问数据全审计，支持审计数据导出报表，审计日志支持</w:t>
            </w:r>
            <w:r>
              <w:rPr>
                <w:rFonts w:ascii="宋体" w:hAnsi="宋体"/>
                <w:color w:val="auto"/>
                <w:sz w:val="21"/>
                <w:szCs w:val="21"/>
                <w:highlight w:val="none"/>
              </w:rPr>
              <w:t>syslog、kfaka外发。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访问控制</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支持多种数据来源筛选管控，包括</w:t>
            </w:r>
            <w:r>
              <w:rPr>
                <w:rFonts w:ascii="宋体" w:hAnsi="宋体"/>
                <w:color w:val="auto"/>
                <w:sz w:val="21"/>
                <w:szCs w:val="21"/>
                <w:highlight w:val="none"/>
              </w:rPr>
              <w:t>IP、客户端主机名、操作系统用户名、客户端工具名、数据库账号</w:t>
            </w:r>
          </w:p>
          <w:p>
            <w:pPr>
              <w:pStyle w:val="125"/>
              <w:rPr>
                <w:rFonts w:ascii="宋体" w:hAnsi="宋体"/>
                <w:color w:val="auto"/>
                <w:sz w:val="21"/>
                <w:szCs w:val="21"/>
                <w:highlight w:val="none"/>
              </w:rPr>
            </w:pPr>
            <w:r>
              <w:rPr>
                <w:rFonts w:hint="eastAsia" w:ascii="宋体" w:hAnsi="宋体"/>
                <w:color w:val="auto"/>
                <w:sz w:val="21"/>
                <w:szCs w:val="21"/>
                <w:highlight w:val="none"/>
              </w:rPr>
              <w:t>★对于越权的动作可以选择：阻断、脱敏、仅告警</w:t>
            </w:r>
            <w:r>
              <w:rPr>
                <w:rFonts w:ascii="宋体" w:hAnsi="宋体"/>
                <w:color w:val="auto"/>
                <w:sz w:val="21"/>
                <w:szCs w:val="21"/>
                <w:highlight w:val="none"/>
              </w:rPr>
              <w:t>（提供</w:t>
            </w:r>
            <w:r>
              <w:rPr>
                <w:rFonts w:hint="eastAsia" w:ascii="宋体" w:hAnsi="宋体"/>
                <w:color w:val="auto"/>
                <w:sz w:val="21"/>
                <w:szCs w:val="21"/>
                <w:highlight w:val="none"/>
              </w:rPr>
              <w:t>相关</w:t>
            </w:r>
            <w:r>
              <w:rPr>
                <w:rFonts w:ascii="宋体" w:hAnsi="宋体"/>
                <w:color w:val="auto"/>
                <w:sz w:val="21"/>
                <w:szCs w:val="21"/>
                <w:highlight w:val="none"/>
              </w:rPr>
              <w:t>截图</w:t>
            </w:r>
            <w:r>
              <w:rPr>
                <w:rFonts w:hint="eastAsia" w:ascii="宋体" w:hAnsi="宋体"/>
                <w:color w:val="auto"/>
                <w:sz w:val="21"/>
                <w:szCs w:val="21"/>
                <w:highlight w:val="none"/>
              </w:rPr>
              <w:t>证明</w:t>
            </w:r>
            <w:r>
              <w:rPr>
                <w:rFonts w:ascii="宋体" w:hAnsi="宋体"/>
                <w:color w:val="auto"/>
                <w:sz w:val="21"/>
                <w:szCs w:val="21"/>
                <w:highlight w:val="none"/>
              </w:rPr>
              <w:t>）</w:t>
            </w:r>
          </w:p>
          <w:p>
            <w:pPr>
              <w:pStyle w:val="125"/>
              <w:rPr>
                <w:rFonts w:ascii="宋体" w:hAnsi="宋体"/>
                <w:color w:val="auto"/>
                <w:sz w:val="21"/>
                <w:szCs w:val="21"/>
                <w:highlight w:val="none"/>
              </w:rPr>
            </w:pPr>
            <w:r>
              <w:rPr>
                <w:rFonts w:hint="eastAsia" w:ascii="宋体" w:hAnsi="宋体"/>
                <w:color w:val="auto"/>
                <w:sz w:val="21"/>
                <w:szCs w:val="21"/>
                <w:highlight w:val="none"/>
              </w:rPr>
              <w:t>支持与数据分级分类系统结合，实现基于身份认证和数据分级分类细粒度访问控制；</w:t>
            </w:r>
          </w:p>
          <w:p>
            <w:pPr>
              <w:pStyle w:val="125"/>
              <w:rPr>
                <w:rFonts w:ascii="宋体" w:hAnsi="宋体"/>
                <w:color w:val="auto"/>
                <w:sz w:val="21"/>
                <w:szCs w:val="21"/>
                <w:highlight w:val="none"/>
              </w:rPr>
            </w:pPr>
            <w:r>
              <w:rPr>
                <w:rFonts w:hint="eastAsia" w:ascii="宋体" w:hAnsi="宋体"/>
                <w:color w:val="auto"/>
                <w:sz w:val="21"/>
                <w:szCs w:val="21"/>
                <w:highlight w:val="none"/>
              </w:rPr>
              <w:t>支持分组管理进行分组管控；实现资产和访问控制、身份认证直接的对应。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安全防护能力</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★内置的特征策略包含缓冲区溢出、</w:t>
            </w:r>
            <w:r>
              <w:rPr>
                <w:rFonts w:ascii="宋体" w:hAnsi="宋体"/>
                <w:color w:val="auto"/>
                <w:sz w:val="21"/>
                <w:szCs w:val="21"/>
                <w:highlight w:val="none"/>
              </w:rPr>
              <w:t>SQL注入、提权、数据库内核入侵探测等常见攻击特征，内置多种数据库安全规则（需提供</w:t>
            </w:r>
            <w:r>
              <w:rPr>
                <w:rFonts w:hint="eastAsia" w:ascii="宋体" w:hAnsi="宋体"/>
                <w:color w:val="auto"/>
                <w:sz w:val="21"/>
                <w:szCs w:val="21"/>
                <w:highlight w:val="none"/>
              </w:rPr>
              <w:t>相关</w:t>
            </w:r>
            <w:r>
              <w:rPr>
                <w:rFonts w:ascii="宋体" w:hAnsi="宋体"/>
                <w:color w:val="auto"/>
                <w:sz w:val="21"/>
                <w:szCs w:val="21"/>
                <w:highlight w:val="none"/>
              </w:rPr>
              <w:t>截图</w:t>
            </w:r>
            <w:r>
              <w:rPr>
                <w:rFonts w:hint="eastAsia" w:ascii="宋体" w:hAnsi="宋体"/>
                <w:color w:val="auto"/>
                <w:sz w:val="21"/>
                <w:szCs w:val="21"/>
                <w:highlight w:val="none"/>
              </w:rPr>
              <w:t>证明</w:t>
            </w:r>
            <w:r>
              <w:rPr>
                <w:rFonts w:ascii="宋体" w:hAnsi="宋体"/>
                <w:color w:val="auto"/>
                <w:sz w:val="21"/>
                <w:szCs w:val="21"/>
                <w:highlight w:val="none"/>
              </w:rPr>
              <w:t>）</w:t>
            </w:r>
          </w:p>
          <w:p>
            <w:pPr>
              <w:pStyle w:val="125"/>
              <w:rPr>
                <w:rFonts w:ascii="宋体" w:hAnsi="宋体"/>
                <w:color w:val="auto"/>
                <w:sz w:val="21"/>
                <w:szCs w:val="21"/>
                <w:highlight w:val="none"/>
              </w:rPr>
            </w:pPr>
            <w:r>
              <w:rPr>
                <w:rFonts w:hint="eastAsia" w:ascii="宋体" w:hAnsi="宋体"/>
                <w:color w:val="auto"/>
                <w:sz w:val="21"/>
                <w:szCs w:val="21"/>
                <w:highlight w:val="none"/>
              </w:rPr>
              <w:t>自定义规则支持根据账号、数据库名、客户端工具、操作系统用户名、客户端</w:t>
            </w:r>
            <w:r>
              <w:rPr>
                <w:rFonts w:ascii="宋体" w:hAnsi="宋体"/>
                <w:color w:val="auto"/>
                <w:sz w:val="21"/>
                <w:szCs w:val="21"/>
                <w:highlight w:val="none"/>
              </w:rPr>
              <w:t>IP、操作类型、SQL关键字等制定防护策略</w:t>
            </w:r>
            <w:r>
              <w:rPr>
                <w:rFonts w:hint="eastAsia" w:ascii="宋体" w:hAnsi="宋体"/>
                <w:color w:val="auto"/>
                <w:sz w:val="21"/>
                <w:szCs w:val="21"/>
                <w:highlight w:val="none"/>
              </w:rPr>
              <w:t>。</w:t>
            </w:r>
          </w:p>
          <w:p>
            <w:pPr>
              <w:pStyle w:val="125"/>
              <w:rPr>
                <w:rFonts w:ascii="宋体" w:hAnsi="宋体"/>
                <w:color w:val="auto"/>
                <w:sz w:val="21"/>
                <w:szCs w:val="21"/>
                <w:highlight w:val="none"/>
              </w:rPr>
            </w:pPr>
            <w:r>
              <w:rPr>
                <w:rFonts w:hint="eastAsia" w:ascii="宋体" w:hAnsi="宋体"/>
                <w:color w:val="auto"/>
                <w:sz w:val="21"/>
                <w:szCs w:val="21"/>
                <w:highlight w:val="none"/>
              </w:rPr>
              <w:t>规则动作支持允许访问、命令阻断、会话阻断和动态脱敏；</w:t>
            </w:r>
          </w:p>
          <w:p>
            <w:pPr>
              <w:pStyle w:val="125"/>
              <w:rPr>
                <w:rFonts w:ascii="宋体" w:hAnsi="宋体"/>
                <w:color w:val="auto"/>
                <w:sz w:val="21"/>
                <w:szCs w:val="21"/>
                <w:highlight w:val="none"/>
              </w:rPr>
            </w:pPr>
            <w:r>
              <w:rPr>
                <w:rFonts w:hint="eastAsia" w:ascii="宋体" w:hAnsi="宋体"/>
                <w:color w:val="auto"/>
                <w:sz w:val="21"/>
                <w:szCs w:val="21"/>
                <w:highlight w:val="none"/>
              </w:rPr>
              <w:t>支持数据库防护虚拟补丁技术，防护未升级数据库，并可以更新维护；</w:t>
            </w:r>
          </w:p>
          <w:p>
            <w:pPr>
              <w:pStyle w:val="125"/>
              <w:rPr>
                <w:rFonts w:ascii="宋体" w:hAnsi="宋体"/>
                <w:color w:val="auto"/>
                <w:sz w:val="21"/>
                <w:szCs w:val="21"/>
                <w:highlight w:val="none"/>
              </w:rPr>
            </w:pPr>
            <w:r>
              <w:rPr>
                <w:rFonts w:hint="eastAsia" w:ascii="宋体" w:hAnsi="宋体"/>
                <w:color w:val="auto"/>
                <w:sz w:val="21"/>
                <w:szCs w:val="21"/>
                <w:highlight w:val="none"/>
              </w:rPr>
              <w:t>支持</w:t>
            </w:r>
            <w:r>
              <w:rPr>
                <w:rFonts w:ascii="宋体" w:hAnsi="宋体"/>
                <w:color w:val="auto"/>
                <w:sz w:val="21"/>
                <w:szCs w:val="21"/>
                <w:highlight w:val="none"/>
              </w:rPr>
              <w:t>IP组、操作系统用户名组、客户端主机名组、客户端工具名组、数据库账号组、时间组和对象组的分组管理</w:t>
            </w:r>
            <w:r>
              <w:rPr>
                <w:rFonts w:hint="eastAsia" w:ascii="宋体" w:hAnsi="宋体"/>
                <w:color w:val="auto"/>
                <w:sz w:val="21"/>
                <w:szCs w:val="21"/>
                <w:highlight w:val="none"/>
              </w:rPr>
              <w:t>；</w:t>
            </w:r>
          </w:p>
          <w:p>
            <w:pPr>
              <w:pStyle w:val="125"/>
              <w:rPr>
                <w:rFonts w:ascii="宋体" w:hAnsi="宋体"/>
                <w:color w:val="auto"/>
                <w:sz w:val="21"/>
                <w:szCs w:val="21"/>
                <w:highlight w:val="none"/>
              </w:rPr>
            </w:pPr>
            <w:r>
              <w:rPr>
                <w:rFonts w:hint="eastAsia" w:ascii="宋体" w:hAnsi="宋体"/>
                <w:color w:val="auto"/>
                <w:sz w:val="21"/>
                <w:szCs w:val="21"/>
                <w:highlight w:val="none"/>
              </w:rPr>
              <w:t>★拦截阻断功能</w:t>
            </w:r>
            <w:r>
              <w:rPr>
                <w:rFonts w:ascii="宋体" w:hAnsi="宋体"/>
                <w:color w:val="auto"/>
                <w:sz w:val="21"/>
                <w:szCs w:val="21"/>
                <w:highlight w:val="none"/>
              </w:rPr>
              <w:t>API化，可通过http请求供外部调用（需提供</w:t>
            </w:r>
            <w:r>
              <w:rPr>
                <w:rFonts w:hint="eastAsia" w:ascii="宋体" w:hAnsi="宋体"/>
                <w:color w:val="auto"/>
                <w:sz w:val="21"/>
                <w:szCs w:val="21"/>
                <w:highlight w:val="none"/>
              </w:rPr>
              <w:t>相关</w:t>
            </w:r>
            <w:r>
              <w:rPr>
                <w:rFonts w:ascii="宋体" w:hAnsi="宋体"/>
                <w:color w:val="auto"/>
                <w:sz w:val="21"/>
                <w:szCs w:val="21"/>
                <w:highlight w:val="none"/>
              </w:rPr>
              <w:t>截图</w:t>
            </w:r>
            <w:r>
              <w:rPr>
                <w:rFonts w:hint="eastAsia" w:ascii="宋体" w:hAnsi="宋体"/>
                <w:color w:val="auto"/>
                <w:sz w:val="21"/>
                <w:szCs w:val="21"/>
                <w:highlight w:val="none"/>
              </w:rPr>
              <w:t>证明</w:t>
            </w:r>
            <w:r>
              <w:rPr>
                <w:rFonts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系统管理</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支持数据自动清理功能，支持根据保留天数和占用百分比自动清理最早的数据。</w:t>
            </w:r>
          </w:p>
          <w:p>
            <w:pPr>
              <w:pStyle w:val="125"/>
              <w:rPr>
                <w:rFonts w:ascii="宋体" w:hAnsi="宋体"/>
                <w:color w:val="auto"/>
                <w:sz w:val="21"/>
                <w:szCs w:val="21"/>
                <w:highlight w:val="none"/>
              </w:rPr>
            </w:pPr>
            <w:r>
              <w:rPr>
                <w:rFonts w:hint="eastAsia" w:ascii="宋体" w:hAnsi="宋体"/>
                <w:color w:val="auto"/>
                <w:sz w:val="21"/>
                <w:szCs w:val="21"/>
                <w:highlight w:val="none"/>
              </w:rPr>
              <w:t>支持三权分立，除超级管理员外，内置系统管理员、安全管理员、审计员三种默认用户</w:t>
            </w:r>
          </w:p>
          <w:p>
            <w:pPr>
              <w:pStyle w:val="125"/>
              <w:rPr>
                <w:rFonts w:ascii="宋体" w:hAnsi="宋体"/>
                <w:color w:val="auto"/>
                <w:sz w:val="21"/>
                <w:szCs w:val="21"/>
                <w:highlight w:val="none"/>
              </w:rPr>
            </w:pPr>
            <w:r>
              <w:rPr>
                <w:rFonts w:hint="eastAsia" w:ascii="宋体" w:hAnsi="宋体"/>
                <w:color w:val="auto"/>
                <w:sz w:val="21"/>
                <w:szCs w:val="21"/>
                <w:highlight w:val="none"/>
              </w:rPr>
              <w:t>支持</w:t>
            </w:r>
            <w:r>
              <w:rPr>
                <w:rFonts w:ascii="宋体" w:hAnsi="宋体"/>
                <w:color w:val="auto"/>
                <w:sz w:val="21"/>
                <w:szCs w:val="21"/>
                <w:highlight w:val="none"/>
              </w:rPr>
              <w:t>SNMP获取设备信息，支持资源使用报表，支持调试工具：日志下载、连通性检测、tcpdump抓包</w:t>
            </w:r>
          </w:p>
          <w:p>
            <w:pPr>
              <w:pStyle w:val="125"/>
              <w:rPr>
                <w:rFonts w:ascii="宋体" w:hAnsi="宋体"/>
                <w:color w:val="auto"/>
                <w:sz w:val="21"/>
                <w:szCs w:val="21"/>
                <w:highlight w:val="none"/>
              </w:rPr>
            </w:pPr>
            <w:r>
              <w:rPr>
                <w:rFonts w:hint="eastAsia" w:ascii="宋体" w:hAnsi="宋体"/>
                <w:color w:val="auto"/>
                <w:sz w:val="21"/>
                <w:szCs w:val="21"/>
                <w:highlight w:val="none"/>
              </w:rPr>
              <w:t>内置调试工具，支持连通性检测、支持</w:t>
            </w:r>
            <w:r>
              <w:rPr>
                <w:rFonts w:ascii="宋体" w:hAnsi="宋体"/>
                <w:color w:val="auto"/>
                <w:sz w:val="21"/>
                <w:szCs w:val="21"/>
                <w:highlight w:val="none"/>
              </w:rPr>
              <w:t>TcpDump抓包工具，分析数据包情况。</w:t>
            </w:r>
          </w:p>
          <w:p>
            <w:pPr>
              <w:pStyle w:val="125"/>
              <w:rPr>
                <w:rFonts w:ascii="宋体" w:hAnsi="宋体"/>
                <w:color w:val="auto"/>
                <w:sz w:val="21"/>
                <w:szCs w:val="21"/>
                <w:highlight w:val="none"/>
              </w:rPr>
            </w:pPr>
            <w:r>
              <w:rPr>
                <w:rFonts w:hint="eastAsia" w:ascii="宋体" w:hAnsi="宋体"/>
                <w:color w:val="auto"/>
                <w:sz w:val="21"/>
                <w:szCs w:val="21"/>
                <w:highlight w:val="none"/>
              </w:rPr>
              <w:t>支持系统安全配置如会话锁定、超时退出、</w:t>
            </w:r>
            <w:r>
              <w:rPr>
                <w:rFonts w:ascii="宋体" w:hAnsi="宋体"/>
                <w:color w:val="auto"/>
                <w:sz w:val="21"/>
                <w:szCs w:val="21"/>
                <w:highlight w:val="none"/>
              </w:rPr>
              <w:t>IP访问控制、密码复杂性管理等安全措施</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pStyle w:val="125"/>
              <w:rPr>
                <w:rFonts w:ascii="宋体" w:hAnsi="宋体"/>
                <w:color w:val="auto"/>
                <w:sz w:val="21"/>
                <w:szCs w:val="21"/>
                <w:highlight w:val="none"/>
              </w:rPr>
            </w:pPr>
            <w:r>
              <w:rPr>
                <w:rFonts w:hint="eastAsia" w:ascii="宋体" w:hAnsi="宋体"/>
                <w:color w:val="auto"/>
                <w:sz w:val="21"/>
                <w:szCs w:val="21"/>
                <w:highlight w:val="none"/>
              </w:rPr>
              <w:t>操作日志</w:t>
            </w:r>
          </w:p>
        </w:tc>
        <w:tc>
          <w:tcPr>
            <w:tcW w:w="7088" w:type="dxa"/>
            <w:noWrap w:val="0"/>
            <w:vAlign w:val="top"/>
          </w:tcPr>
          <w:p>
            <w:pPr>
              <w:pStyle w:val="125"/>
              <w:rPr>
                <w:rFonts w:ascii="宋体" w:hAnsi="宋体"/>
                <w:color w:val="auto"/>
                <w:sz w:val="21"/>
                <w:szCs w:val="21"/>
                <w:highlight w:val="none"/>
              </w:rPr>
            </w:pPr>
            <w:r>
              <w:rPr>
                <w:rFonts w:hint="eastAsia" w:ascii="宋体" w:hAnsi="宋体"/>
                <w:color w:val="auto"/>
                <w:sz w:val="21"/>
                <w:szCs w:val="21"/>
                <w:highlight w:val="none"/>
              </w:rPr>
              <w:t>支持记录审计系统所有人员对设备的访问行为</w:t>
            </w:r>
          </w:p>
          <w:p>
            <w:pPr>
              <w:pStyle w:val="125"/>
              <w:rPr>
                <w:rFonts w:ascii="宋体" w:hAnsi="宋体"/>
                <w:color w:val="auto"/>
                <w:sz w:val="21"/>
                <w:szCs w:val="21"/>
                <w:highlight w:val="none"/>
              </w:rPr>
            </w:pPr>
            <w:r>
              <w:rPr>
                <w:rFonts w:hint="eastAsia" w:ascii="宋体" w:hAnsi="宋体"/>
                <w:color w:val="auto"/>
                <w:sz w:val="21"/>
                <w:szCs w:val="21"/>
                <w:highlight w:val="none"/>
              </w:rPr>
              <w:t>自审计日志包含时间、用户、来源</w:t>
            </w:r>
            <w:r>
              <w:rPr>
                <w:rFonts w:ascii="宋体" w:hAnsi="宋体"/>
                <w:color w:val="auto"/>
                <w:sz w:val="21"/>
                <w:szCs w:val="21"/>
                <w:highlight w:val="none"/>
              </w:rPr>
              <w:t>IP、操作名称、操作内容、操作结果等内容</w:t>
            </w:r>
          </w:p>
        </w:tc>
      </w:tr>
    </w:tbl>
    <w:p>
      <w:pPr>
        <w:spacing w:line="360" w:lineRule="auto"/>
        <w:ind w:firstLine="420"/>
        <w:rPr>
          <w:rFonts w:ascii="宋体" w:hAnsi="宋体"/>
          <w:b/>
          <w:bCs/>
          <w:color w:val="auto"/>
          <w:sz w:val="22"/>
          <w:szCs w:val="28"/>
          <w:highlight w:val="none"/>
        </w:rPr>
      </w:pPr>
    </w:p>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w:t>
      </w:r>
      <w:r>
        <w:rPr>
          <w:rFonts w:ascii="宋体" w:hAnsi="宋体"/>
          <w:b/>
          <w:bCs/>
          <w:color w:val="auto"/>
          <w:sz w:val="22"/>
          <w:szCs w:val="28"/>
          <w:highlight w:val="none"/>
        </w:rPr>
        <w:t xml:space="preserve">.3 </w:t>
      </w:r>
      <w:r>
        <w:rPr>
          <w:rFonts w:hint="eastAsia" w:ascii="宋体" w:hAnsi="宋体"/>
          <w:b/>
          <w:bCs/>
          <w:color w:val="auto"/>
          <w:sz w:val="22"/>
          <w:szCs w:val="28"/>
          <w:highlight w:val="none"/>
        </w:rPr>
        <w:t>服务器虚拟补丁服务</w:t>
      </w:r>
    </w:p>
    <w:p>
      <w:pPr>
        <w:spacing w:line="360" w:lineRule="auto"/>
        <w:ind w:firstLine="420"/>
        <w:rPr>
          <w:rFonts w:ascii="宋体" w:hAnsi="宋体"/>
          <w:color w:val="auto"/>
          <w:highlight w:val="none"/>
        </w:rPr>
      </w:pPr>
      <w:r>
        <w:rPr>
          <w:rFonts w:hint="eastAsia" w:ascii="宋体" w:hAnsi="宋体"/>
          <w:color w:val="auto"/>
          <w:highlight w:val="none"/>
        </w:rPr>
        <w:t>通过在公安网部署主机虚拟补丁系统，提供主机系统防护与加固、病毒查杀等能力。通过内核级东西向流量隔离技术，实现网络隔离与防护；拥有补丁修复、外设管控、文件审计等主机安全能力。</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gridSpan w:val="2"/>
            <w:shd w:val="clear" w:color="auto" w:fill="AEAAAA"/>
            <w:noWrap w:val="0"/>
            <w:vAlign w:val="top"/>
          </w:tcPr>
          <w:p>
            <w:pPr>
              <w:spacing w:line="360" w:lineRule="auto"/>
              <w:jc w:val="center"/>
              <w:rPr>
                <w:rFonts w:ascii="宋体" w:hAnsi="宋体" w:cs="仿宋"/>
                <w:b/>
                <w:bCs/>
                <w:color w:val="auto"/>
                <w:szCs w:val="21"/>
                <w:highlight w:val="none"/>
              </w:rPr>
            </w:pPr>
            <w:r>
              <w:rPr>
                <w:rFonts w:hint="eastAsia" w:ascii="宋体" w:hAnsi="宋体" w:cs="仿宋"/>
                <w:b/>
                <w:bCs/>
                <w:color w:val="auto"/>
                <w:szCs w:val="21"/>
                <w:highlight w:val="none"/>
              </w:rPr>
              <w:t>技术指标</w:t>
            </w:r>
          </w:p>
        </w:tc>
        <w:tc>
          <w:tcPr>
            <w:tcW w:w="7229" w:type="dxa"/>
            <w:shd w:val="clear" w:color="auto" w:fill="AEAAAA"/>
            <w:noWrap w:val="0"/>
            <w:vAlign w:val="center"/>
          </w:tcPr>
          <w:p>
            <w:pPr>
              <w:spacing w:line="360" w:lineRule="auto"/>
              <w:ind w:firstLine="482"/>
              <w:jc w:val="center"/>
              <w:rPr>
                <w:rFonts w:ascii="宋体" w:hAnsi="宋体" w:cs="仿宋"/>
                <w:b/>
                <w:bCs/>
                <w:color w:val="auto"/>
                <w:szCs w:val="21"/>
                <w:highlight w:val="none"/>
              </w:rPr>
            </w:pPr>
            <w:r>
              <w:rPr>
                <w:rFonts w:hint="eastAsia" w:ascii="宋体" w:hAnsi="宋体" w:cs="仿宋"/>
                <w:b/>
                <w:bCs/>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555" w:type="dxa"/>
            <w:gridSpan w:val="2"/>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服务工具基础要求</w:t>
            </w:r>
          </w:p>
        </w:tc>
        <w:tc>
          <w:tcPr>
            <w:tcW w:w="7229" w:type="dxa"/>
            <w:noWrap w:val="0"/>
            <w:vAlign w:val="center"/>
          </w:tcPr>
          <w:p>
            <w:pPr>
              <w:spacing w:line="360" w:lineRule="auto"/>
              <w:rPr>
                <w:rFonts w:ascii="宋体" w:hAnsi="宋体" w:cs="仿宋"/>
                <w:color w:val="auto"/>
                <w:szCs w:val="21"/>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gridSpan w:val="2"/>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服务工具规格要求</w:t>
            </w:r>
          </w:p>
        </w:tc>
        <w:tc>
          <w:tcPr>
            <w:tcW w:w="7229" w:type="dxa"/>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包含终端管理中心软件一套，含不少于300个类服务器防护节点</w:t>
            </w:r>
          </w:p>
          <w:p>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实现对终端的统一管理和策略下发</w:t>
            </w:r>
          </w:p>
          <w:p>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适用于各类型服务器防护</w:t>
            </w:r>
          </w:p>
          <w:p>
            <w:pPr>
              <w:spacing w:line="360" w:lineRule="auto"/>
              <w:rPr>
                <w:rFonts w:ascii="宋体" w:hAnsi="宋体" w:cs="仿宋"/>
                <w:color w:val="auto"/>
                <w:szCs w:val="21"/>
                <w:highlight w:val="none"/>
              </w:rPr>
            </w:pPr>
            <w:r>
              <w:rPr>
                <w:rFonts w:hint="eastAsia" w:ascii="宋体" w:hAnsi="宋体" w:cs="仿宋"/>
                <w:color w:val="auto"/>
                <w:szCs w:val="21"/>
                <w:highlight w:val="none"/>
              </w:rPr>
              <w:t>支持Windows server 2003、Windows server 2008、Windows server 2012、Windows server 2016、Centos 5.0 +、Redhat 5.0 + 、Suse11 +、 Ubuntu 14 +等操作系统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704"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防护功能</w:t>
            </w:r>
          </w:p>
        </w:tc>
        <w:tc>
          <w:tcPr>
            <w:tcW w:w="851"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系统性能监控</w:t>
            </w: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支持对CPU使用率监控、内存占用率监控、磁盘读写监控、上下行流量监控。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支持对CPU、内存、磁盘读写、网络上下行流量达到配置阈值时告警。支持对CPU、内存达到一定阈值时客户端进行熔断。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高级威胁防护模块</w:t>
            </w: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支持对本机的扩展行为（信息收集、权限提升）进行监测，防止提权行为和信息泄露。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识别渗透过程中的隧道代理（端口映射、端口转发、内网代理），可阻断隧道代理搭建行为。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对失陷后主机远控持久化行为进行检测（反弹shell、远程控制），可阻断远控。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对内网的恶意攻击行为进行识别（漏洞利用、横向移动），可阻断恶意探测行为。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★可对渗透的收尾阶段的数据清除行为进行识别和阻断。（须提供相关截图证明）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系统安全性模块</w:t>
            </w: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支持防端口扫描，锁定恶意的端口扫描，并记录告警。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支持系统/域控环境下的弱口令检测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支持扫描后对高危漏洞进行自动修复。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违规外联支持黑、白名单双模式，白名单模式可配置是否允许访问特定的网站和地址；黑名单模式可自定义恶意IP，支持黑名单告警和阻断。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支持网站漏洞防护，防护内容包括SQL注入、XSS、应用程序漏洞及自定义规则。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支持智能检测防御CC攻击，并可进行高、中、低三档设置。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内核级防火墙（业务间流量东西向隔离）功能，包括IP、端口、协议、流向等细粒度权限控制。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支持流量画像，支持全网流量可视化。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★支持登录防护，包括以系统账号为粒度的异常登录防护、支持五个任意维度（任意IP，任意域名，任意计算机名，任意时间）的系统登录访问策略设置。（须提供相关截图证明）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支持显示隐藏的系统账户。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具有系统漏洞扫描和修复功能，提供真实漏洞补丁：</w:t>
            </w:r>
          </w:p>
          <w:p>
            <w:pPr>
              <w:spacing w:line="360" w:lineRule="auto"/>
              <w:rPr>
                <w:rFonts w:ascii="宋体" w:hAnsi="宋体" w:cs="仿宋"/>
                <w:color w:val="auto"/>
                <w:szCs w:val="21"/>
                <w:highlight w:val="none"/>
              </w:rPr>
            </w:pPr>
            <w:r>
              <w:rPr>
                <w:rFonts w:hint="eastAsia" w:ascii="宋体" w:hAnsi="宋体" w:cs="仿宋"/>
                <w:color w:val="auto"/>
                <w:szCs w:val="21"/>
                <w:highlight w:val="none"/>
              </w:rPr>
              <w:t>1.在补丁依赖关系上支持重启验证机制（保证补丁安装的稳定性）。</w:t>
            </w:r>
          </w:p>
          <w:p>
            <w:pPr>
              <w:spacing w:line="360" w:lineRule="auto"/>
              <w:rPr>
                <w:rFonts w:ascii="宋体" w:hAnsi="宋体" w:cs="仿宋"/>
                <w:color w:val="auto"/>
                <w:szCs w:val="21"/>
                <w:highlight w:val="none"/>
              </w:rPr>
            </w:pPr>
            <w:r>
              <w:rPr>
                <w:rFonts w:hint="eastAsia" w:ascii="宋体" w:hAnsi="宋体" w:cs="仿宋"/>
                <w:color w:val="auto"/>
                <w:szCs w:val="21"/>
                <w:highlight w:val="none"/>
              </w:rPr>
              <w:t>2.管理中心可作为补丁服务器，支持管理中心可上网和不可上网两种情况。提供离线补丁下载器，按需智能获取内网所需补丁。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具备为用户提供Windows漏洞修复的热补丁列表能力。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支持扫描的漏洞类型包括但不限于操作系统漏洞（Windows、Linux、AIX等）、数据库漏洞（MySQL等）、Web容器漏洞（Tomcat、Apache、Ngnix等）及其他组件漏洞。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云端威胁鉴定</w:t>
            </w: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持对文件HASH、IP、域名、邮箱等IOC指标进行动静态鉴定，通过和云端威胁情报进行碰撞，实时返回威胁结果。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联动威胁情报，支持对外联IP、DNS解析、可疑文件进行实时情报鉴定，实现风险一站式实时监测。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restart"/>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防病毒模块</w:t>
            </w: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支持文件实时监控，在文件执行、文件修改、存储介质连接时自动触发。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支持多种扫描模式包括极速模式、低资源占用模式设置，且低资源占用模式可自定义CPU使用率。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支持多引擎设置，包括默认引擎、深度扫描引擎。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支持对压缩包扫描及深度进行设置，默认9层深度。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支持对文件扫描进行跳过，默认50M以上文件进行跳过。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支持自定义病毒处理方式，包括自动处理、记录、删除。优先对病毒文件进行修复，并将修复前的病毒文件进行备份。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支持对顽固流行病毒进行智能拦截。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针对Windows系统，提供内核级的数据防护能力，保护文件不被恶意修改、加密等，可自定义配置保护的文件及目录，支持设置例外进程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提供专门的勒索风险评估功能。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提供专门的针对已知勒索病毒的防御引擎，并提供功能开关项。对于已知勒索病毒确保进程无法启动。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提供专门的针对未知勒索病毒的防御引擎，并提供功能开关项。对于未知勒索病毒确保无法加密。同时支持白名单设置。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提供专门的挖矿风险评估工具。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vMerge w:val="continue"/>
            <w:noWrap w:val="0"/>
            <w:vAlign w:val="center"/>
          </w:tcPr>
          <w:p>
            <w:pPr>
              <w:spacing w:line="360" w:lineRule="auto"/>
              <w:rPr>
                <w:rFonts w:ascii="宋体" w:hAnsi="宋体" w:cs="仿宋"/>
                <w:color w:val="auto"/>
                <w:szCs w:val="21"/>
                <w:highlight w:val="none"/>
              </w:rPr>
            </w:pPr>
          </w:p>
        </w:tc>
        <w:tc>
          <w:tcPr>
            <w:tcW w:w="7229" w:type="dxa"/>
            <w:noWrap w:val="0"/>
            <w:vAlign w:val="top"/>
          </w:tcPr>
          <w:p>
            <w:pPr>
              <w:spacing w:line="360" w:lineRule="auto"/>
              <w:rPr>
                <w:rFonts w:ascii="宋体" w:hAnsi="宋体" w:cs="仿宋"/>
                <w:color w:val="auto"/>
                <w:szCs w:val="21"/>
                <w:highlight w:val="none"/>
              </w:rPr>
            </w:pPr>
            <w:r>
              <w:rPr>
                <w:rFonts w:hint="eastAsia" w:ascii="宋体" w:hAnsi="宋体" w:cs="仿宋"/>
                <w:color w:val="auto"/>
                <w:szCs w:val="21"/>
                <w:highlight w:val="none"/>
              </w:rPr>
              <w:t>提供专门的挖矿实时防御工具，并提供功能开关。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noWrap w:val="0"/>
            <w:vAlign w:val="top"/>
          </w:tcPr>
          <w:p>
            <w:pPr>
              <w:spacing w:line="360" w:lineRule="auto"/>
              <w:rPr>
                <w:rFonts w:ascii="宋体" w:hAnsi="宋体" w:cs="仿宋"/>
                <w:color w:val="auto"/>
                <w:szCs w:val="21"/>
                <w:highlight w:val="none"/>
              </w:rPr>
            </w:pPr>
          </w:p>
        </w:tc>
        <w:tc>
          <w:tcPr>
            <w:tcW w:w="851" w:type="dxa"/>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弹窗拦截</w:t>
            </w:r>
          </w:p>
        </w:tc>
        <w:tc>
          <w:tcPr>
            <w:tcW w:w="7229" w:type="dxa"/>
            <w:noWrap w:val="0"/>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支持在客户端自定义设置需要拦截的弹窗</w:t>
            </w:r>
          </w:p>
        </w:tc>
      </w:tr>
    </w:tbl>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w:t>
      </w:r>
      <w:r>
        <w:rPr>
          <w:rFonts w:ascii="宋体" w:hAnsi="宋体"/>
          <w:b/>
          <w:bCs/>
          <w:color w:val="auto"/>
          <w:sz w:val="22"/>
          <w:szCs w:val="28"/>
          <w:highlight w:val="none"/>
        </w:rPr>
        <w:t xml:space="preserve">.4 </w:t>
      </w:r>
      <w:r>
        <w:rPr>
          <w:rFonts w:hint="eastAsia" w:ascii="宋体" w:hAnsi="宋体"/>
          <w:b/>
          <w:bCs/>
          <w:color w:val="auto"/>
          <w:sz w:val="22"/>
          <w:szCs w:val="28"/>
          <w:highlight w:val="none"/>
        </w:rPr>
        <w:t>大数据智能分析服务</w:t>
      </w:r>
    </w:p>
    <w:p>
      <w:pPr>
        <w:spacing w:line="360" w:lineRule="auto"/>
        <w:ind w:firstLine="480"/>
        <w:rPr>
          <w:rFonts w:ascii="宋体" w:hAnsi="宋体"/>
          <w:color w:val="auto"/>
          <w:highlight w:val="none"/>
        </w:rPr>
      </w:pPr>
      <w:r>
        <w:rPr>
          <w:rFonts w:hint="eastAsia" w:ascii="宋体" w:hAnsi="宋体"/>
          <w:color w:val="auto"/>
          <w:highlight w:val="none"/>
        </w:rPr>
        <w:t>服务通过部署服务工具大数据分析平台，对全网的安全设备的安全数据进行收集，通过日志审计整合告警数据，通过网闸单向导入到公安网的大数据分析平台内，运用大数据分析建模及人工分析，为交管局用户发现潜在的入侵和高隐蔽性攻击，回溯攻击历史，对全网进行安全态势感知和展示，预测即将发生的安全事件，并通过该服务对公安网现网所有安全系统安全数据进行统一管理和感知，提升安全运维效率。</w:t>
      </w:r>
    </w:p>
    <w:p>
      <w:pPr>
        <w:spacing w:line="360" w:lineRule="auto"/>
        <w:ind w:firstLine="48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65"/>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shd w:val="clear" w:color="auto" w:fill="AEAAAA"/>
            <w:noWrap w:val="0"/>
            <w:vAlign w:val="center"/>
          </w:tcPr>
          <w:p>
            <w:pPr>
              <w:spacing w:line="360" w:lineRule="auto"/>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技术指标</w:t>
            </w:r>
          </w:p>
        </w:tc>
        <w:tc>
          <w:tcPr>
            <w:tcW w:w="6787" w:type="dxa"/>
            <w:shd w:val="clear" w:color="auto" w:fill="AEAAAA"/>
            <w:noWrap w:val="0"/>
            <w:vAlign w:val="center"/>
          </w:tcPr>
          <w:p>
            <w:pPr>
              <w:spacing w:line="360" w:lineRule="auto"/>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1963" w:type="dxa"/>
            <w:gridSpan w:val="2"/>
            <w:noWrap w:val="0"/>
            <w:vAlign w:val="center"/>
          </w:tcPr>
          <w:p>
            <w:pPr>
              <w:spacing w:line="360" w:lineRule="auto"/>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服务工具基础要求</w:t>
            </w:r>
          </w:p>
        </w:tc>
        <w:tc>
          <w:tcPr>
            <w:tcW w:w="6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
                <w:color w:val="auto"/>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服务工具规格要求</w:t>
            </w:r>
          </w:p>
        </w:tc>
        <w:tc>
          <w:tcPr>
            <w:tcW w:w="67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
                <w:color w:val="auto"/>
                <w:highlight w:val="none"/>
              </w:rPr>
            </w:pPr>
            <w:r>
              <w:rPr>
                <w:rFonts w:hint="eastAsia" w:ascii="宋体" w:hAnsi="宋体" w:cs="仿宋"/>
                <w:color w:val="auto"/>
                <w:highlight w:val="none"/>
                <w:lang w:val="en-US" w:eastAsia="zh-CN"/>
              </w:rPr>
              <w:t>规格：2U，2物理</w:t>
            </w:r>
            <w:r>
              <w:rPr>
                <w:rFonts w:hint="eastAsia" w:ascii="宋体" w:hAnsi="宋体" w:cs="仿宋"/>
                <w:color w:val="auto"/>
                <w:highlight w:val="none"/>
              </w:rPr>
              <w:t>CPU ≥24核，内存≥256GB，配置企业级存储磁盘总容量≥24TB（或磁盘可用容量≥20TB）</w:t>
            </w:r>
            <w:r>
              <w:rPr>
                <w:rFonts w:hint="eastAsia" w:ascii="宋体" w:hAnsi="宋体" w:cs="仿宋"/>
                <w:color w:val="auto"/>
                <w:highlight w:val="none"/>
                <w:lang w:eastAsia="zh-CN"/>
              </w:rPr>
              <w:t>，</w:t>
            </w:r>
            <w:r>
              <w:rPr>
                <w:rFonts w:hint="eastAsia" w:ascii="宋体" w:hAnsi="宋体" w:cs="仿宋"/>
                <w:color w:val="auto"/>
                <w:highlight w:val="none"/>
              </w:rPr>
              <w:t>≥</w:t>
            </w:r>
            <w:r>
              <w:rPr>
                <w:rFonts w:hint="eastAsia" w:ascii="宋体" w:hAnsi="宋体" w:cs="仿宋"/>
                <w:color w:val="auto"/>
                <w:highlight w:val="none"/>
                <w:lang w:eastAsia="zh-CN"/>
              </w:rPr>
              <w:t>2GB RAID卡，冗余1+1电源模块，</w:t>
            </w:r>
            <w:r>
              <w:rPr>
                <w:rFonts w:hint="eastAsia" w:ascii="宋体" w:hAnsi="宋体" w:cs="仿宋"/>
                <w:color w:val="auto"/>
                <w:highlight w:val="none"/>
              </w:rPr>
              <w:t>≥</w:t>
            </w:r>
            <w:r>
              <w:rPr>
                <w:rFonts w:hint="eastAsia" w:ascii="宋体" w:hAnsi="宋体" w:cs="仿宋"/>
                <w:color w:val="auto"/>
                <w:highlight w:val="none"/>
                <w:lang w:eastAsia="zh-CN"/>
              </w:rPr>
              <w:t>1G RJ45*4，滑轨</w:t>
            </w:r>
            <w:r>
              <w:rPr>
                <w:rFonts w:hint="eastAsia" w:ascii="宋体" w:hAnsi="宋体" w:cs="仿宋"/>
                <w:color w:val="auto"/>
                <w:highlight w:val="none"/>
              </w:rPr>
              <w:t>；</w:t>
            </w:r>
          </w:p>
          <w:p>
            <w:pPr>
              <w:spacing w:line="360" w:lineRule="auto"/>
              <w:rPr>
                <w:rFonts w:ascii="宋体" w:hAnsi="宋体" w:cs="仿宋"/>
                <w:color w:val="auto"/>
                <w:highlight w:val="none"/>
              </w:rPr>
            </w:pPr>
            <w:r>
              <w:rPr>
                <w:rFonts w:hint="eastAsia" w:ascii="宋体" w:hAnsi="宋体" w:cs="仿宋"/>
                <w:color w:val="auto"/>
                <w:highlight w:val="none"/>
              </w:rPr>
              <w:t>接口要求：千兆电口≥4个。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服务工具性能要求</w:t>
            </w:r>
          </w:p>
        </w:tc>
        <w:tc>
          <w:tcPr>
            <w:tcW w:w="67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
                <w:color w:val="auto"/>
                <w:highlight w:val="none"/>
              </w:rPr>
            </w:pPr>
            <w:r>
              <w:rPr>
                <w:rFonts w:hint="eastAsia" w:ascii="宋体" w:hAnsi="宋体" w:cs="仿宋"/>
                <w:color w:val="auto"/>
                <w:highlight w:val="none"/>
              </w:rPr>
              <w:t>数据采集和处理性能≥1</w:t>
            </w:r>
            <w:r>
              <w:rPr>
                <w:rFonts w:ascii="宋体" w:hAnsi="宋体" w:cs="仿宋"/>
                <w:color w:val="auto"/>
                <w:highlight w:val="none"/>
              </w:rPr>
              <w:t>2</w:t>
            </w:r>
            <w:r>
              <w:rPr>
                <w:rFonts w:hint="eastAsia" w:ascii="宋体" w:hAnsi="宋体" w:cs="仿宋"/>
                <w:color w:val="auto"/>
                <w:highlight w:val="none"/>
              </w:rPr>
              <w:t>00EPS，每条数据大小&gt;1KB；</w:t>
            </w:r>
          </w:p>
          <w:p>
            <w:pPr>
              <w:spacing w:line="360" w:lineRule="auto"/>
              <w:rPr>
                <w:rFonts w:hint="eastAsia" w:ascii="宋体" w:hAnsi="宋体" w:eastAsia="宋体" w:cs="仿宋"/>
                <w:color w:val="auto"/>
                <w:highlight w:val="none"/>
                <w:lang w:eastAsia="zh-CN"/>
              </w:rPr>
            </w:pPr>
            <w:r>
              <w:rPr>
                <w:rFonts w:hint="eastAsia" w:ascii="宋体" w:hAnsi="宋体" w:cs="仿宋"/>
                <w:color w:val="auto"/>
                <w:highlight w:val="none"/>
              </w:rPr>
              <w:t>可接收全流量吞吐量≥</w:t>
            </w:r>
            <w:r>
              <w:rPr>
                <w:rFonts w:ascii="宋体" w:hAnsi="宋体" w:cs="仿宋"/>
                <w:color w:val="auto"/>
                <w:highlight w:val="none"/>
              </w:rPr>
              <w:t>2</w:t>
            </w:r>
            <w:r>
              <w:rPr>
                <w:rFonts w:hint="eastAsia" w:ascii="宋体" w:hAnsi="宋体" w:cs="仿宋"/>
                <w:color w:val="auto"/>
                <w:highlight w:val="none"/>
              </w:rPr>
              <w:t>Gbps</w:t>
            </w:r>
            <w:r>
              <w:rPr>
                <w:rFonts w:hint="eastAsia" w:ascii="宋体" w:hAnsi="宋体" w:cs="仿宋"/>
                <w:color w:val="auto"/>
                <w:highlight w:val="none"/>
                <w:lang w:eastAsia="zh-CN"/>
              </w:rPr>
              <w:t>；</w:t>
            </w:r>
          </w:p>
          <w:p>
            <w:pPr>
              <w:spacing w:line="360" w:lineRule="auto"/>
              <w:rPr>
                <w:rFonts w:hint="eastAsia" w:ascii="宋体" w:hAnsi="宋体" w:eastAsia="宋体" w:cs="仿宋"/>
                <w:color w:val="auto"/>
                <w:highlight w:val="none"/>
                <w:lang w:eastAsia="zh-CN"/>
              </w:rPr>
            </w:pPr>
            <w:r>
              <w:rPr>
                <w:rFonts w:hint="eastAsia" w:ascii="宋体" w:hAnsi="宋体" w:cs="仿宋"/>
                <w:color w:val="auto"/>
                <w:highlight w:val="none"/>
              </w:rPr>
              <w:t>接入日志源不少于200个</w:t>
            </w:r>
            <w:r>
              <w:rPr>
                <w:rFonts w:hint="eastAsia" w:ascii="宋体" w:hAnsi="宋体" w:cs="仿宋"/>
                <w:color w:val="auto"/>
                <w:highlight w:val="none"/>
                <w:lang w:eastAsia="zh-CN"/>
              </w:rPr>
              <w:t>；</w:t>
            </w:r>
          </w:p>
          <w:p>
            <w:pPr>
              <w:spacing w:line="360" w:lineRule="auto"/>
              <w:rPr>
                <w:rFonts w:hint="eastAsia" w:ascii="宋体" w:hAnsi="宋体" w:eastAsia="宋体" w:cs="仿宋"/>
                <w:color w:val="auto"/>
                <w:highlight w:val="none"/>
                <w:lang w:eastAsia="zh-CN"/>
              </w:rPr>
            </w:pPr>
            <w:r>
              <w:rPr>
                <w:rFonts w:hint="eastAsia" w:ascii="宋体" w:hAnsi="宋体" w:cs="仿宋"/>
                <w:color w:val="auto"/>
                <w:highlight w:val="none"/>
              </w:rPr>
              <w:t>10亿数据关键字查询结果响应时间&lt;2秒</w:t>
            </w:r>
            <w:r>
              <w:rPr>
                <w:rFonts w:hint="eastAsia" w:ascii="宋体" w:hAnsi="宋体" w:cs="仿宋"/>
                <w:color w:val="auto"/>
                <w:highlight w:val="none"/>
                <w:lang w:eastAsia="zh-CN"/>
              </w:rPr>
              <w:t>；</w:t>
            </w:r>
          </w:p>
          <w:p>
            <w:pPr>
              <w:spacing w:line="360" w:lineRule="auto"/>
              <w:rPr>
                <w:rFonts w:hint="eastAsia" w:ascii="宋体" w:hAnsi="宋体" w:eastAsia="宋体" w:cs="仿宋"/>
                <w:color w:val="auto"/>
                <w:highlight w:val="none"/>
                <w:lang w:eastAsia="zh-CN"/>
              </w:rPr>
            </w:pPr>
            <w:r>
              <w:rPr>
                <w:rFonts w:hint="eastAsia" w:ascii="宋体" w:hAnsi="宋体" w:cs="仿宋"/>
                <w:color w:val="auto"/>
                <w:highlight w:val="none"/>
              </w:rPr>
              <w:t>支持≤ 2 GB的镜像流量</w:t>
            </w:r>
            <w:r>
              <w:rPr>
                <w:rFonts w:hint="eastAsia" w:ascii="宋体" w:hAnsi="宋体"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数据接入</w:t>
            </w:r>
          </w:p>
        </w:tc>
        <w:tc>
          <w:tcPr>
            <w:tcW w:w="6787" w:type="dxa"/>
            <w:noWrap w:val="0"/>
            <w:vAlign w:val="center"/>
          </w:tcPr>
          <w:p>
            <w:pPr>
              <w:pStyle w:val="110"/>
              <w:numPr>
                <w:ilvl w:val="0"/>
                <w:numId w:val="17"/>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支持通过多种类型的安全、泛安全类数据接入采集，应包括但不限于设备日志数据、流量数据、弱点漏洞数据、系统性能数据、威胁情报数据、资产人员数据；</w:t>
            </w:r>
          </w:p>
          <w:p>
            <w:pPr>
              <w:pStyle w:val="110"/>
              <w:numPr>
                <w:ilvl w:val="0"/>
                <w:numId w:val="17"/>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支持通过流量采集设备采集接入全流量数据，包含流量中的请求包和返回包等信息，并可在数据检索中体现包信息；</w:t>
            </w:r>
          </w:p>
          <w:p>
            <w:pPr>
              <w:pStyle w:val="110"/>
              <w:numPr>
                <w:ilvl w:val="0"/>
                <w:numId w:val="17"/>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支持接入文本格式、CVS等格式的文件数据，可通过模板文件的填写导入实现资产数据的导入和管理；</w:t>
            </w:r>
          </w:p>
          <w:p>
            <w:pPr>
              <w:pStyle w:val="110"/>
              <w:numPr>
                <w:ilvl w:val="0"/>
                <w:numId w:val="17"/>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支持通过云端对接、本地导入或手动编辑的方式，接入威胁情报数据。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098" w:type="dxa"/>
            <w:vMerge w:val="restart"/>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安全检测能力</w:t>
            </w:r>
          </w:p>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行为审计与</w:t>
            </w:r>
          </w:p>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可疑通信检测</w:t>
            </w:r>
          </w:p>
        </w:tc>
        <w:tc>
          <w:tcPr>
            <w:tcW w:w="6787" w:type="dxa"/>
            <w:noWrap w:val="0"/>
            <w:vAlign w:val="top"/>
          </w:tcPr>
          <w:p>
            <w:pPr>
              <w:pStyle w:val="110"/>
              <w:numPr>
                <w:ilvl w:val="0"/>
                <w:numId w:val="18"/>
              </w:numPr>
              <w:spacing w:line="360" w:lineRule="auto"/>
              <w:ind w:firstLineChars="0"/>
              <w:rPr>
                <w:rFonts w:ascii="宋体" w:hAnsi="宋体" w:cs="仿宋"/>
                <w:color w:val="auto"/>
                <w:kern w:val="0"/>
                <w:highlight w:val="none"/>
              </w:rPr>
            </w:pPr>
            <w:r>
              <w:rPr>
                <w:rFonts w:ascii="宋体" w:hAnsi="宋体" w:cs="仿宋"/>
                <w:color w:val="auto"/>
                <w:kern w:val="0"/>
                <w:highlight w:val="none"/>
              </w:rPr>
              <w:t>支持</w:t>
            </w:r>
            <w:r>
              <w:rPr>
                <w:rFonts w:hint="eastAsia" w:ascii="宋体" w:hAnsi="宋体" w:cs="仿宋"/>
                <w:color w:val="auto"/>
                <w:kern w:val="0"/>
                <w:highlight w:val="none"/>
              </w:rPr>
              <w:t>违规操作、违规访问、违规应用、违规外发等300种以上行为审计检测规则，可针对任意单条规则进行启用和禁用。</w:t>
            </w:r>
          </w:p>
          <w:p>
            <w:pPr>
              <w:pStyle w:val="110"/>
              <w:numPr>
                <w:ilvl w:val="0"/>
                <w:numId w:val="18"/>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支持隧道通信、可疑内容、恶意IP、恶意域名、恶意证书、远程控制等3000种以上可疑通信检测规则，可针对任意单条规则进行启用和禁用。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扫描探查检测</w:t>
            </w:r>
          </w:p>
        </w:tc>
        <w:tc>
          <w:tcPr>
            <w:tcW w:w="6787" w:type="dxa"/>
            <w:noWrap w:val="0"/>
            <w:vAlign w:val="top"/>
          </w:tcPr>
          <w:p>
            <w:pPr>
              <w:pStyle w:val="110"/>
              <w:numPr>
                <w:ilvl w:val="0"/>
                <w:numId w:val="19"/>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支持端口扫描、服务扫描、Web扫描、扫描器指纹检测等300种以上的扫描探查检测规则，可针对任意单条规则进行启用和禁用。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漏洞利用</w:t>
            </w:r>
            <w:r>
              <w:rPr>
                <w:rFonts w:ascii="宋体" w:hAnsi="宋体" w:cs="仿宋"/>
                <w:color w:val="auto"/>
                <w:kern w:val="0"/>
                <w:szCs w:val="21"/>
                <w:highlight w:val="none"/>
              </w:rPr>
              <w:t>检测</w:t>
            </w:r>
          </w:p>
        </w:tc>
        <w:tc>
          <w:tcPr>
            <w:tcW w:w="6787" w:type="dxa"/>
            <w:noWrap w:val="0"/>
            <w:vAlign w:val="top"/>
          </w:tcPr>
          <w:p>
            <w:pPr>
              <w:pStyle w:val="110"/>
              <w:numPr>
                <w:ilvl w:val="0"/>
                <w:numId w:val="20"/>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支持SMB漏洞、RDP漏洞、软件漏洞、设备漏洞、系统漏洞、拒绝服务漏洞、shellcode等</w:t>
            </w:r>
            <w:r>
              <w:rPr>
                <w:rFonts w:ascii="宋体" w:hAnsi="宋体" w:cs="仿宋"/>
                <w:color w:val="auto"/>
                <w:kern w:val="0"/>
                <w:highlight w:val="none"/>
              </w:rPr>
              <w:t>7000</w:t>
            </w:r>
            <w:r>
              <w:rPr>
                <w:rFonts w:hint="eastAsia" w:ascii="宋体" w:hAnsi="宋体" w:cs="仿宋"/>
                <w:color w:val="auto"/>
                <w:kern w:val="0"/>
                <w:highlight w:val="none"/>
              </w:rPr>
              <w:t>种以上漏洞利用检测规则，可针对任意单条规则进行启用和禁用。</w:t>
            </w:r>
            <w:r>
              <w:rPr>
                <w:rFonts w:ascii="宋体" w:hAnsi="宋体" w:cs="仿宋"/>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恶意文件检测</w:t>
            </w:r>
          </w:p>
        </w:tc>
        <w:tc>
          <w:tcPr>
            <w:tcW w:w="6787" w:type="dxa"/>
            <w:noWrap w:val="0"/>
            <w:vAlign w:val="top"/>
          </w:tcPr>
          <w:p>
            <w:pPr>
              <w:pStyle w:val="110"/>
              <w:numPr>
                <w:ilvl w:val="0"/>
                <w:numId w:val="21"/>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支持挖矿活动、流氓软件、可疑文件、勒索软件、僵木蠕、Webshell等25000种以上恶意程序检测规则，可针对任意单条规则进行启用和禁用。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配置风险检测</w:t>
            </w:r>
          </w:p>
        </w:tc>
        <w:tc>
          <w:tcPr>
            <w:tcW w:w="6787" w:type="dxa"/>
            <w:noWrap w:val="0"/>
            <w:vAlign w:val="top"/>
          </w:tcPr>
          <w:p>
            <w:pPr>
              <w:pStyle w:val="110"/>
              <w:numPr>
                <w:ilvl w:val="0"/>
                <w:numId w:val="22"/>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支持弱口令风险、明文传输风险、H</w:t>
            </w:r>
            <w:r>
              <w:rPr>
                <w:rFonts w:ascii="宋体" w:hAnsi="宋体" w:cs="仿宋"/>
                <w:color w:val="auto"/>
                <w:kern w:val="0"/>
                <w:highlight w:val="none"/>
              </w:rPr>
              <w:t>TTP</w:t>
            </w:r>
            <w:r>
              <w:rPr>
                <w:rFonts w:hint="eastAsia" w:ascii="宋体" w:hAnsi="宋体" w:cs="仿宋"/>
                <w:color w:val="auto"/>
                <w:kern w:val="0"/>
                <w:highlight w:val="none"/>
              </w:rPr>
              <w:t>配置风险、中间件配置风向、数据库配置风险、服务配置风险等100种以上配置风险检测规则。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主机和账号异常检测</w:t>
            </w:r>
          </w:p>
        </w:tc>
        <w:tc>
          <w:tcPr>
            <w:tcW w:w="6787" w:type="dxa"/>
            <w:noWrap w:val="0"/>
            <w:vAlign w:val="top"/>
          </w:tcPr>
          <w:p>
            <w:pPr>
              <w:pStyle w:val="110"/>
              <w:numPr>
                <w:ilvl w:val="0"/>
                <w:numId w:val="2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支持端口异常、主机对外扫描、主机对外攻击等主机异常检测能力，对任意单条检测规则支持启用和禁用。</w:t>
            </w:r>
          </w:p>
          <w:p>
            <w:pPr>
              <w:pStyle w:val="110"/>
              <w:numPr>
                <w:ilvl w:val="0"/>
                <w:numId w:val="2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支持登录异常、暴力破解、行为异常等账号异常检测能力，对任意单条检测规则支持启用和禁用。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Web攻击检测</w:t>
            </w:r>
          </w:p>
        </w:tc>
        <w:tc>
          <w:tcPr>
            <w:tcW w:w="6787" w:type="dxa"/>
            <w:noWrap w:val="0"/>
            <w:vAlign w:val="top"/>
          </w:tcPr>
          <w:p>
            <w:pPr>
              <w:pStyle w:val="110"/>
              <w:numPr>
                <w:ilvl w:val="0"/>
                <w:numId w:val="2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Webshell请求、XSS攻击、SQL注入、远程代码执行、命令注入、远程文件包含、本地文件包含、文件上传、路径遍历、信息泄露、越权访问、XXE注入、网页篡改等13类、6000种以上web攻击检测规则，对任意单条检测规则支持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098" w:type="dxa"/>
            <w:vMerge w:val="restart"/>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安全分析能力</w:t>
            </w: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安全分析模型</w:t>
            </w:r>
          </w:p>
        </w:tc>
        <w:tc>
          <w:tcPr>
            <w:tcW w:w="6787" w:type="dxa"/>
            <w:noWrap w:val="0"/>
            <w:vAlign w:val="top"/>
          </w:tcPr>
          <w:p>
            <w:pPr>
              <w:pStyle w:val="110"/>
              <w:numPr>
                <w:ilvl w:val="0"/>
                <w:numId w:val="25"/>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平台应内置包括规则模型、关联模型、统计模型、情报模型、离线模型等在内的≥</w:t>
            </w:r>
            <w:r>
              <w:rPr>
                <w:rFonts w:ascii="宋体" w:hAnsi="宋体" w:cs="仿宋"/>
                <w:color w:val="auto"/>
                <w:kern w:val="0"/>
                <w:highlight w:val="none"/>
              </w:rPr>
              <w:t>5</w:t>
            </w:r>
            <w:r>
              <w:rPr>
                <w:rFonts w:hint="eastAsia" w:ascii="宋体" w:hAnsi="宋体" w:cs="仿宋"/>
                <w:color w:val="auto"/>
                <w:kern w:val="0"/>
                <w:highlight w:val="none"/>
              </w:rPr>
              <w:t>大类安全分析模型。</w:t>
            </w:r>
          </w:p>
          <w:p>
            <w:pPr>
              <w:pStyle w:val="110"/>
              <w:numPr>
                <w:ilvl w:val="0"/>
                <w:numId w:val="25"/>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安全分析模型支持自定义创建，可通过字段映射、静态值、模板、表达式等多种方式自由定义分析模型的告警名称、威胁等级、告警类型、攻击链、可选字段、告警描述、处置建议等内容。</w:t>
            </w:r>
          </w:p>
          <w:p>
            <w:pPr>
              <w:pStyle w:val="110"/>
              <w:numPr>
                <w:ilvl w:val="0"/>
                <w:numId w:val="25"/>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对安全日志里200个以上字段，包括但不限于应用协议、目的IP、目的主机名、目的端口、目的用户名、数据流方向、情报IOC等进行任意形式的逻辑与或非形式组合建模，运算方式包括但不限于AND、OR、等于、不等于、大于、小于、属于、不属于、存在、不存在等，并能根据组合方式自动生成运算表达式。（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
                <w:color w:val="auto"/>
                <w:kern w:val="0"/>
                <w:szCs w:val="21"/>
                <w:highlight w:val="none"/>
              </w:rPr>
            </w:pPr>
            <w:r>
              <w:rPr>
                <w:rFonts w:hint="eastAsia" w:ascii="宋体" w:hAnsi="宋体" w:cs="等线"/>
                <w:color w:val="auto"/>
                <w:highlight w:val="none"/>
              </w:rPr>
              <w:t>安管协作</w:t>
            </w:r>
          </w:p>
        </w:tc>
        <w:tc>
          <w:tcPr>
            <w:tcW w:w="6787" w:type="dxa"/>
            <w:tcBorders>
              <w:top w:val="single" w:color="auto" w:sz="4" w:space="0"/>
              <w:left w:val="single" w:color="auto" w:sz="4" w:space="0"/>
              <w:bottom w:val="single" w:color="auto" w:sz="4" w:space="0"/>
              <w:right w:val="single" w:color="auto" w:sz="4" w:space="0"/>
            </w:tcBorders>
            <w:noWrap w:val="0"/>
            <w:vAlign w:val="center"/>
          </w:tcPr>
          <w:p>
            <w:pPr>
              <w:pStyle w:val="110"/>
              <w:numPr>
                <w:ilvl w:val="0"/>
                <w:numId w:val="2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★具有基于IP地址段为系统内资产划分安全域，可对每个安全域内的告警数和资产数进行实时统计，并支持安全域之间的横向互访关系在大屏中进行展示的功能。</w:t>
            </w:r>
            <w:bookmarkStart w:id="169" w:name="OLE_LINK28"/>
            <w:bookmarkStart w:id="170" w:name="OLE_LINK27"/>
            <w:r>
              <w:rPr>
                <w:rFonts w:hint="eastAsia" w:ascii="宋体" w:hAnsi="宋体" w:cs="仿宋"/>
                <w:color w:val="auto"/>
                <w:kern w:val="0"/>
                <w:highlight w:val="none"/>
              </w:rPr>
              <w:t>（提供第三方机构证明材料）</w:t>
            </w:r>
          </w:p>
          <w:bookmarkEnd w:id="169"/>
          <w:bookmarkEnd w:id="170"/>
          <w:p>
            <w:pPr>
              <w:pStyle w:val="110"/>
              <w:numPr>
                <w:ilvl w:val="0"/>
                <w:numId w:val="2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支持多级管理员间资产风险信息的隔离和共享，总部用户管理员可以分配下属组织架构的功能权限，支持按月和按周考核各组织架构的安管工作成果。</w:t>
            </w:r>
          </w:p>
          <w:p>
            <w:pPr>
              <w:pStyle w:val="110"/>
              <w:numPr>
                <w:ilvl w:val="0"/>
                <w:numId w:val="2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分部安全管理员只可以使用所属组织架构具备的功能，只能管理与分析所属组织架构的资产和数据，分部具备单独的态势感知大屏；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网络实体分析画像</w:t>
            </w:r>
          </w:p>
        </w:tc>
        <w:tc>
          <w:tcPr>
            <w:tcW w:w="6787" w:type="dxa"/>
            <w:noWrap w:val="0"/>
            <w:vAlign w:val="top"/>
          </w:tcPr>
          <w:p>
            <w:pPr>
              <w:pStyle w:val="110"/>
              <w:numPr>
                <w:ilvl w:val="0"/>
                <w:numId w:val="27"/>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实现实体间网络互访关系的多级钻取，支持通过端口、协议、异常访问类型过滤关联关系，支持通过一键溯源进行威胁关系的自动拓展。</w:t>
            </w:r>
          </w:p>
          <w:p>
            <w:pPr>
              <w:pStyle w:val="110"/>
              <w:numPr>
                <w:ilvl w:val="0"/>
                <w:numId w:val="27"/>
              </w:numPr>
              <w:spacing w:line="360" w:lineRule="auto"/>
              <w:ind w:firstLineChars="0"/>
              <w:rPr>
                <w:rFonts w:ascii="宋体" w:hAnsi="宋体" w:cs="仿宋"/>
                <w:color w:val="auto"/>
                <w:kern w:val="0"/>
                <w:highlight w:val="none"/>
              </w:rPr>
            </w:pPr>
            <w:r>
              <w:rPr>
                <w:rFonts w:ascii="宋体" w:hAnsi="宋体" w:cs="仿宋"/>
                <w:color w:val="auto"/>
                <w:kern w:val="0"/>
                <w:highlight w:val="none"/>
              </w:rPr>
              <w:t>支持与</w:t>
            </w:r>
            <w:r>
              <w:rPr>
                <w:rFonts w:hint="eastAsia" w:ascii="宋体" w:hAnsi="宋体" w:cs="仿宋"/>
                <w:color w:val="auto"/>
                <w:kern w:val="0"/>
                <w:highlight w:val="none"/>
              </w:rPr>
              <w:t>终端检测类</w:t>
            </w:r>
            <w:r>
              <w:rPr>
                <w:rFonts w:ascii="宋体" w:hAnsi="宋体" w:cs="仿宋"/>
                <w:color w:val="auto"/>
                <w:kern w:val="0"/>
                <w:highlight w:val="none"/>
              </w:rPr>
              <w:t>产品对接，查看主机进程、软件版本、漏洞</w:t>
            </w:r>
            <w:r>
              <w:rPr>
                <w:rFonts w:hint="eastAsia" w:ascii="宋体" w:hAnsi="宋体" w:cs="仿宋"/>
                <w:color w:val="auto"/>
                <w:kern w:val="0"/>
                <w:highlight w:val="none"/>
              </w:rPr>
              <w:t>病毒</w:t>
            </w:r>
            <w:r>
              <w:rPr>
                <w:rFonts w:ascii="宋体" w:hAnsi="宋体" w:cs="仿宋"/>
                <w:color w:val="auto"/>
                <w:kern w:val="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8" w:type="dxa"/>
            <w:vMerge w:val="restart"/>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调查取证</w:t>
            </w: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场景化分析</w:t>
            </w:r>
          </w:p>
        </w:tc>
        <w:tc>
          <w:tcPr>
            <w:tcW w:w="6787" w:type="dxa"/>
            <w:noWrap w:val="0"/>
            <w:vAlign w:val="top"/>
          </w:tcPr>
          <w:p>
            <w:pPr>
              <w:pStyle w:val="110"/>
              <w:numPr>
                <w:ilvl w:val="0"/>
                <w:numId w:val="28"/>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支持暴力破解、Web攻击、恶意程序、端口扫描等内置安全分析场景，基于场景特性进行默认条件的数据聚合分析，支持至少</w:t>
            </w:r>
            <w:r>
              <w:rPr>
                <w:rFonts w:ascii="宋体" w:hAnsi="宋体" w:cs="仿宋"/>
                <w:color w:val="auto"/>
                <w:kern w:val="0"/>
                <w:highlight w:val="none"/>
              </w:rPr>
              <w:t>3</w:t>
            </w:r>
            <w:r>
              <w:rPr>
                <w:rFonts w:hint="eastAsia" w:ascii="宋体" w:hAnsi="宋体" w:cs="仿宋"/>
                <w:color w:val="auto"/>
                <w:kern w:val="0"/>
                <w:highlight w:val="none"/>
              </w:rPr>
              <w:t>个任意字段的快速聚合分析，聚合后的所有数据均支持快速统计分析，展示统计排序信息，支持分析结果导出。</w:t>
            </w:r>
          </w:p>
          <w:p>
            <w:pPr>
              <w:pStyle w:val="110"/>
              <w:numPr>
                <w:ilvl w:val="0"/>
                <w:numId w:val="28"/>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支持自定义场景安全分析，可对安全告警的任意字段进行聚合分析，支持的聚合的字段不少于300个，支持分析结果导出。</w:t>
            </w:r>
          </w:p>
          <w:p>
            <w:pPr>
              <w:pStyle w:val="110"/>
              <w:numPr>
                <w:ilvl w:val="0"/>
                <w:numId w:val="28"/>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取证分析</w:t>
            </w:r>
          </w:p>
        </w:tc>
        <w:tc>
          <w:tcPr>
            <w:tcW w:w="6787" w:type="dxa"/>
            <w:noWrap w:val="0"/>
            <w:vAlign w:val="top"/>
          </w:tcPr>
          <w:p>
            <w:pPr>
              <w:pStyle w:val="110"/>
              <w:spacing w:line="360" w:lineRule="auto"/>
              <w:ind w:firstLine="0" w:firstLineChars="0"/>
              <w:rPr>
                <w:rFonts w:ascii="宋体" w:hAnsi="宋体" w:cs="仿宋"/>
                <w:color w:val="auto"/>
                <w:kern w:val="0"/>
                <w:highlight w:val="none"/>
              </w:rPr>
            </w:pPr>
            <w:r>
              <w:rPr>
                <w:rFonts w:hint="eastAsia" w:ascii="宋体" w:hAnsi="宋体" w:cs="仿宋"/>
                <w:color w:val="auto"/>
                <w:kern w:val="0"/>
                <w:highlight w:val="none"/>
              </w:rPr>
              <w:t>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98" w:type="dxa"/>
            <w:vMerge w:val="restart"/>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可视化安全分析</w:t>
            </w: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安全态势可视化</w:t>
            </w:r>
          </w:p>
        </w:tc>
        <w:tc>
          <w:tcPr>
            <w:tcW w:w="6787" w:type="dxa"/>
            <w:noWrap w:val="0"/>
            <w:vAlign w:val="top"/>
          </w:tcPr>
          <w:p>
            <w:pPr>
              <w:pStyle w:val="110"/>
              <w:numPr>
                <w:ilvl w:val="0"/>
                <w:numId w:val="29"/>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支持安全态势的可视化呈现，以大屏的方式从攻击事件、资产安全、追踪溯源、运行监测、重保方案等多个维度进行可视化展示，提供不少于</w:t>
            </w:r>
            <w:r>
              <w:rPr>
                <w:rFonts w:ascii="宋体" w:hAnsi="宋体" w:cs="仿宋"/>
                <w:color w:val="auto"/>
                <w:kern w:val="0"/>
                <w:highlight w:val="none"/>
              </w:rPr>
              <w:t>10</w:t>
            </w:r>
            <w:r>
              <w:rPr>
                <w:rFonts w:hint="eastAsia" w:ascii="宋体" w:hAnsi="宋体" w:cs="仿宋"/>
                <w:color w:val="auto"/>
                <w:kern w:val="0"/>
                <w:highlight w:val="none"/>
              </w:rPr>
              <w:t>块大屏展示界面</w:t>
            </w:r>
            <w:r>
              <w:rPr>
                <w:rFonts w:ascii="宋体" w:hAnsi="宋体" w:cs="仿宋"/>
                <w:color w:val="auto"/>
                <w:kern w:val="0"/>
                <w:highlight w:val="none"/>
              </w:rPr>
              <w:t xml:space="preserve"> </w:t>
            </w:r>
            <w:r>
              <w:rPr>
                <w:rFonts w:hint="eastAsia" w:ascii="宋体" w:hAnsi="宋体" w:cs="仿宋"/>
                <w:color w:val="auto"/>
                <w:kern w:val="0"/>
                <w:highlight w:val="none"/>
              </w:rPr>
              <w:t>。</w:t>
            </w:r>
          </w:p>
          <w:p>
            <w:pPr>
              <w:pStyle w:val="110"/>
              <w:numPr>
                <w:ilvl w:val="0"/>
                <w:numId w:val="29"/>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支持立体、平面、球面等多种维度的网络实体关系透视，可在大屏上展示不同实体的标签属性，包括但不限于DNS服务器、监管单位、邮件服务器、黑客组织、WEB服务器等。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数据字典管理</w:t>
            </w:r>
          </w:p>
        </w:tc>
        <w:tc>
          <w:tcPr>
            <w:tcW w:w="6787" w:type="dxa"/>
            <w:noWrap w:val="0"/>
            <w:vAlign w:val="top"/>
          </w:tcPr>
          <w:p>
            <w:pPr>
              <w:pStyle w:val="110"/>
              <w:numPr>
                <w:ilvl w:val="0"/>
                <w:numId w:val="30"/>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支持管理系统中原始日志、异常记录、安全告警的所有字段和取值，每个字段均有清晰的说明。</w:t>
            </w:r>
          </w:p>
          <w:p>
            <w:pPr>
              <w:pStyle w:val="110"/>
              <w:numPr>
                <w:ilvl w:val="0"/>
                <w:numId w:val="30"/>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支持数据标准管理，用户可以根据实际需求，对字典进行编辑，支持手动修改、增加或删除相应的字段。</w:t>
            </w:r>
          </w:p>
          <w:p>
            <w:pPr>
              <w:pStyle w:val="110"/>
              <w:numPr>
                <w:ilvl w:val="0"/>
                <w:numId w:val="30"/>
              </w:numPr>
              <w:spacing w:line="360" w:lineRule="auto"/>
              <w:ind w:firstLineChars="0"/>
              <w:rPr>
                <w:rFonts w:ascii="宋体" w:hAnsi="宋体" w:cs="仿宋"/>
                <w:color w:val="auto"/>
                <w:kern w:val="0"/>
                <w:highlight w:val="none"/>
              </w:rPr>
            </w:pPr>
            <w:r>
              <w:rPr>
                <w:rFonts w:ascii="宋体" w:hAnsi="宋体" w:cs="仿宋"/>
                <w:color w:val="auto"/>
                <w:kern w:val="0"/>
                <w:highlight w:val="none"/>
              </w:rPr>
              <w:t>数据字典支持管理系统中原始日志和告警数据中所有字段的类型、取值范围、字段说明，支持数值、字符串、枚举、ip等≥9种字段类型。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威胁情报</w:t>
            </w:r>
          </w:p>
        </w:tc>
        <w:tc>
          <w:tcPr>
            <w:tcW w:w="6787" w:type="dxa"/>
            <w:noWrap w:val="0"/>
            <w:vAlign w:val="top"/>
          </w:tcPr>
          <w:p>
            <w:pPr>
              <w:pStyle w:val="110"/>
              <w:numPr>
                <w:ilvl w:val="0"/>
                <w:numId w:val="31"/>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支持通过离线导入或手动编辑添加的方式，形成本地威胁情报，允许用户自建行业情报库，并实现情报库的增删改查、导入、导出功能。</w:t>
            </w:r>
          </w:p>
          <w:p>
            <w:pPr>
              <w:pStyle w:val="110"/>
              <w:numPr>
                <w:ilvl w:val="0"/>
                <w:numId w:val="31"/>
              </w:numPr>
              <w:spacing w:line="360" w:lineRule="auto"/>
              <w:ind w:firstLineChars="0"/>
              <w:rPr>
                <w:rFonts w:ascii="宋体" w:hAnsi="宋体" w:cs="仿宋"/>
                <w:color w:val="auto"/>
                <w:kern w:val="0"/>
                <w:highlight w:val="none"/>
              </w:rPr>
            </w:pPr>
            <w:r>
              <w:rPr>
                <w:rFonts w:ascii="宋体" w:hAnsi="宋体" w:cs="仿宋"/>
                <w:color w:val="auto"/>
                <w:kern w:val="0"/>
                <w:highlight w:val="none"/>
              </w:rPr>
              <w:t>情报记录包含情报置信度、标签、组织名称、地理位置、运营商等信息</w:t>
            </w:r>
            <w:r>
              <w:rPr>
                <w:rFonts w:hint="eastAsia" w:ascii="宋体" w:hAnsi="宋体" w:cs="仿宋"/>
                <w:color w:val="auto"/>
                <w:kern w:val="0"/>
                <w:highlight w:val="none"/>
              </w:rPr>
              <w:t>。</w:t>
            </w:r>
          </w:p>
          <w:p>
            <w:pPr>
              <w:pStyle w:val="110"/>
              <w:numPr>
                <w:ilvl w:val="0"/>
                <w:numId w:val="31"/>
              </w:numPr>
              <w:spacing w:line="360" w:lineRule="auto"/>
              <w:ind w:firstLineChars="0"/>
              <w:rPr>
                <w:rFonts w:ascii="宋体" w:hAnsi="宋体" w:cs="仿宋"/>
                <w:color w:val="auto"/>
                <w:kern w:val="0"/>
                <w:highlight w:val="none"/>
              </w:rPr>
            </w:pPr>
            <w:r>
              <w:rPr>
                <w:rFonts w:ascii="宋体" w:hAnsi="宋体" w:cs="仿宋"/>
                <w:color w:val="auto"/>
                <w:kern w:val="0"/>
                <w:highlight w:val="none"/>
              </w:rPr>
              <w:t>支持查看情报源中有效情报数量、最近更新时间、今日更新情报数量</w:t>
            </w:r>
            <w:r>
              <w:rPr>
                <w:rFonts w:hint="eastAsia" w:ascii="宋体" w:hAnsi="宋体" w:cs="仿宋"/>
                <w:color w:val="auto"/>
                <w:kern w:val="0"/>
                <w:highlight w:val="none"/>
              </w:rPr>
              <w:t>。</w:t>
            </w:r>
          </w:p>
          <w:p>
            <w:pPr>
              <w:pStyle w:val="110"/>
              <w:numPr>
                <w:ilvl w:val="0"/>
                <w:numId w:val="31"/>
              </w:numPr>
              <w:spacing w:line="360" w:lineRule="auto"/>
              <w:ind w:firstLineChars="0"/>
              <w:rPr>
                <w:rFonts w:ascii="宋体" w:hAnsi="宋体" w:cs="仿宋"/>
                <w:color w:val="auto"/>
                <w:kern w:val="0"/>
                <w:highlight w:val="none"/>
              </w:rPr>
            </w:pPr>
            <w:r>
              <w:rPr>
                <w:rFonts w:ascii="宋体" w:hAnsi="宋体" w:cs="仿宋"/>
                <w:color w:val="auto"/>
                <w:kern w:val="0"/>
                <w:highlight w:val="none"/>
              </w:rPr>
              <w:t>情报查询支持通过IOC同时跨越多个情报源查询，结果汇总展示</w:t>
            </w:r>
            <w:r>
              <w:rPr>
                <w:rFonts w:hint="eastAsia" w:ascii="宋体" w:hAnsi="宋体" w:cs="仿宋"/>
                <w:color w:val="auto"/>
                <w:kern w:val="0"/>
                <w:highlight w:val="none"/>
              </w:rPr>
              <w:t>。</w:t>
            </w:r>
          </w:p>
          <w:p>
            <w:pPr>
              <w:pStyle w:val="110"/>
              <w:numPr>
                <w:ilvl w:val="0"/>
                <w:numId w:val="31"/>
              </w:numPr>
              <w:spacing w:line="360" w:lineRule="auto"/>
              <w:ind w:firstLineChars="0"/>
              <w:rPr>
                <w:rFonts w:ascii="宋体" w:hAnsi="宋体" w:cs="仿宋"/>
                <w:color w:val="auto"/>
                <w:kern w:val="0"/>
                <w:highlight w:val="none"/>
              </w:rPr>
            </w:pPr>
            <w:r>
              <w:rPr>
                <w:rFonts w:ascii="宋体" w:hAnsi="宋体" w:cs="仿宋"/>
                <w:color w:val="auto"/>
                <w:kern w:val="0"/>
                <w:highlight w:val="none"/>
              </w:rPr>
              <w:t>碰撞情报IOC支持通过情报源、IOC类型、标签、置信度</w:t>
            </w:r>
            <w:r>
              <w:rPr>
                <w:rFonts w:hint="eastAsia" w:ascii="宋体" w:hAnsi="宋体" w:cs="仿宋"/>
                <w:color w:val="auto"/>
                <w:kern w:val="0"/>
                <w:highlight w:val="none"/>
              </w:rPr>
              <w:t>等多维度进行碰撞分析，内置威胁情报条数不少于400万条。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资产管理</w:t>
            </w:r>
          </w:p>
        </w:tc>
        <w:tc>
          <w:tcPr>
            <w:tcW w:w="6787" w:type="dxa"/>
            <w:noWrap w:val="0"/>
            <w:vAlign w:val="top"/>
          </w:tcPr>
          <w:p>
            <w:pPr>
              <w:pStyle w:val="110"/>
              <w:numPr>
                <w:ilvl w:val="0"/>
                <w:numId w:val="32"/>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支持通过流量无侵入式自动发现资产，支持发现终端、</w:t>
            </w:r>
            <w:r>
              <w:rPr>
                <w:rFonts w:ascii="宋体" w:hAnsi="宋体" w:cs="仿宋"/>
                <w:color w:val="auto"/>
                <w:kern w:val="0"/>
                <w:highlight w:val="none"/>
              </w:rPr>
              <w:t>Web</w:t>
            </w:r>
            <w:r>
              <w:rPr>
                <w:rFonts w:hint="eastAsia" w:ascii="宋体" w:hAnsi="宋体" w:cs="仿宋"/>
                <w:color w:val="auto"/>
                <w:kern w:val="0"/>
                <w:highlight w:val="none"/>
              </w:rPr>
              <w:t>服务器、</w:t>
            </w:r>
            <w:r>
              <w:rPr>
                <w:rFonts w:ascii="宋体" w:hAnsi="宋体" w:cs="仿宋"/>
                <w:color w:val="auto"/>
                <w:kern w:val="0"/>
                <w:highlight w:val="none"/>
              </w:rPr>
              <w:t>DNS</w:t>
            </w:r>
            <w:r>
              <w:rPr>
                <w:rFonts w:hint="eastAsia" w:ascii="宋体" w:hAnsi="宋体" w:cs="仿宋"/>
                <w:color w:val="auto"/>
                <w:kern w:val="0"/>
                <w:highlight w:val="none"/>
              </w:rPr>
              <w:t>服务器、邮件服务器、</w:t>
            </w:r>
            <w:r>
              <w:rPr>
                <w:rFonts w:ascii="宋体" w:hAnsi="宋体" w:cs="仿宋"/>
                <w:color w:val="auto"/>
                <w:kern w:val="0"/>
                <w:highlight w:val="none"/>
              </w:rPr>
              <w:t>FTP</w:t>
            </w:r>
            <w:r>
              <w:rPr>
                <w:rFonts w:hint="eastAsia" w:ascii="宋体" w:hAnsi="宋体" w:cs="仿宋"/>
                <w:color w:val="auto"/>
                <w:kern w:val="0"/>
                <w:highlight w:val="none"/>
              </w:rPr>
              <w:t>文件服务器等类型≥</w:t>
            </w:r>
            <w:r>
              <w:rPr>
                <w:rFonts w:ascii="宋体" w:hAnsi="宋体" w:cs="仿宋"/>
                <w:color w:val="auto"/>
                <w:kern w:val="0"/>
                <w:highlight w:val="none"/>
              </w:rPr>
              <w:t>5</w:t>
            </w:r>
            <w:r>
              <w:rPr>
                <w:rFonts w:hint="eastAsia" w:ascii="宋体" w:hAnsi="宋体" w:cs="仿宋"/>
                <w:color w:val="auto"/>
                <w:kern w:val="0"/>
                <w:highlight w:val="none"/>
              </w:rPr>
              <w:t>种，其中web服务器支持自动识别服务域名和服务站点名称。</w:t>
            </w:r>
          </w:p>
          <w:p>
            <w:pPr>
              <w:pStyle w:val="110"/>
              <w:numPr>
                <w:ilvl w:val="0"/>
                <w:numId w:val="32"/>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离线导入或手动编辑添加的方式，形成本地威胁情报，允许用户自建行业情报库，并实现情报库的增删改查、导入、导出功能，情报记录包含运营商、IOC类型、标签、置信度等，并支特统计情报源命中情报数量，针对单条无效情报可实现删除（提供第三方机构检测报告证明）。</w:t>
            </w:r>
          </w:p>
          <w:p>
            <w:pPr>
              <w:pStyle w:val="110"/>
              <w:numPr>
                <w:ilvl w:val="0"/>
                <w:numId w:val="32"/>
              </w:numPr>
              <w:spacing w:line="360" w:lineRule="auto"/>
              <w:ind w:firstLineChars="0"/>
              <w:rPr>
                <w:rFonts w:ascii="宋体" w:hAnsi="宋体" w:cs="仿宋"/>
                <w:color w:val="auto"/>
                <w:kern w:val="0"/>
                <w:highlight w:val="none"/>
              </w:rPr>
            </w:pPr>
            <w:r>
              <w:rPr>
                <w:rFonts w:ascii="宋体" w:hAnsi="宋体" w:cs="仿宋"/>
                <w:color w:val="auto"/>
                <w:kern w:val="0"/>
                <w:highlight w:val="none"/>
              </w:rPr>
              <w:t>支持一键访问安全设备的管理界面、监控大屏、设备日志、处置联动记录</w:t>
            </w:r>
            <w:r>
              <w:rPr>
                <w:rFonts w:hint="eastAsia" w:ascii="宋体" w:hAnsi="宋体" w:cs="仿宋"/>
                <w:color w:val="auto"/>
                <w:kern w:val="0"/>
                <w:highlight w:val="none"/>
              </w:rPr>
              <w:t>。</w:t>
            </w:r>
          </w:p>
          <w:p>
            <w:pPr>
              <w:pStyle w:val="110"/>
              <w:numPr>
                <w:ilvl w:val="0"/>
                <w:numId w:val="32"/>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支持以</w:t>
            </w:r>
            <w:r>
              <w:rPr>
                <w:rFonts w:ascii="宋体" w:hAnsi="宋体" w:cs="仿宋"/>
                <w:color w:val="auto"/>
                <w:kern w:val="0"/>
                <w:highlight w:val="none"/>
              </w:rPr>
              <w:t>单个IP地址、IP区间、子网掩码</w:t>
            </w:r>
            <w:r>
              <w:rPr>
                <w:rFonts w:hint="eastAsia" w:ascii="宋体" w:hAnsi="宋体" w:cs="仿宋"/>
                <w:color w:val="auto"/>
                <w:kern w:val="0"/>
                <w:highlight w:val="none"/>
              </w:rPr>
              <w:t>等</w:t>
            </w:r>
            <w:r>
              <w:rPr>
                <w:rFonts w:ascii="宋体" w:hAnsi="宋体" w:cs="仿宋"/>
                <w:color w:val="auto"/>
                <w:kern w:val="0"/>
                <w:highlight w:val="none"/>
              </w:rPr>
              <w:t>3种模式录入安全域</w:t>
            </w:r>
            <w:r>
              <w:rPr>
                <w:rFonts w:hint="eastAsia" w:ascii="宋体" w:hAnsi="宋体" w:cs="仿宋"/>
                <w:color w:val="auto"/>
                <w:kern w:val="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安全运营</w:t>
            </w:r>
          </w:p>
        </w:tc>
        <w:tc>
          <w:tcPr>
            <w:tcW w:w="6787" w:type="dxa"/>
            <w:noWrap w:val="0"/>
            <w:vAlign w:val="top"/>
          </w:tcPr>
          <w:p>
            <w:pPr>
              <w:pStyle w:val="110"/>
              <w:numPr>
                <w:ilvl w:val="0"/>
                <w:numId w:val="3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支持统一的安全运营工作台，在工作台可以集中查看当前用户的待办工单、最新通报预警状态。</w:t>
            </w:r>
          </w:p>
          <w:p>
            <w:pPr>
              <w:pStyle w:val="110"/>
              <w:numPr>
                <w:ilvl w:val="0"/>
                <w:numId w:val="3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工单详情与备注支持多种内容格式，包括但不限于文字、图片、超链接、表格、代码片段、附件等类型。</w:t>
            </w:r>
          </w:p>
          <w:p>
            <w:pPr>
              <w:pStyle w:val="110"/>
              <w:numPr>
                <w:ilvl w:val="0"/>
                <w:numId w:val="3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支持工单举证信息一键溯源，工单处置人员可以直接定位到工单关联的原始信息进行查看。</w:t>
            </w:r>
          </w:p>
          <w:p>
            <w:pPr>
              <w:pStyle w:val="110"/>
              <w:numPr>
                <w:ilvl w:val="0"/>
                <w:numId w:val="3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支持通过安全告警自动派发工单到对应的安全管理员，支持自定义编辑预警信息内容。</w:t>
            </w:r>
          </w:p>
          <w:p>
            <w:pPr>
              <w:pStyle w:val="110"/>
              <w:numPr>
                <w:ilvl w:val="0"/>
                <w:numId w:val="33"/>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支持将预警信息直接转为内部通报，支持将通报内容作为工单定向指派。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8" w:type="dxa"/>
            <w:vMerge w:val="restart"/>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系统管理</w:t>
            </w: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一站式运维</w:t>
            </w:r>
          </w:p>
        </w:tc>
        <w:tc>
          <w:tcPr>
            <w:tcW w:w="6787" w:type="dxa"/>
            <w:noWrap w:val="0"/>
            <w:vAlign w:val="top"/>
          </w:tcPr>
          <w:p>
            <w:pPr>
              <w:pStyle w:val="110"/>
              <w:numPr>
                <w:ilvl w:val="0"/>
                <w:numId w:val="3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支持大数据平台本身</w:t>
            </w:r>
            <w:r>
              <w:rPr>
                <w:rFonts w:ascii="宋体" w:hAnsi="宋体" w:cs="仿宋"/>
                <w:color w:val="auto"/>
                <w:kern w:val="0"/>
                <w:highlight w:val="none"/>
              </w:rPr>
              <w:t>的</w:t>
            </w:r>
            <w:r>
              <w:rPr>
                <w:rFonts w:hint="eastAsia" w:ascii="宋体" w:hAnsi="宋体" w:cs="仿宋"/>
                <w:color w:val="auto"/>
                <w:kern w:val="0"/>
                <w:highlight w:val="none"/>
              </w:rPr>
              <w:t>计算、存储</w:t>
            </w:r>
            <w:r>
              <w:rPr>
                <w:rFonts w:ascii="宋体" w:hAnsi="宋体" w:cs="仿宋"/>
                <w:color w:val="auto"/>
                <w:kern w:val="0"/>
                <w:highlight w:val="none"/>
              </w:rPr>
              <w:t>资源利用率监控</w:t>
            </w:r>
            <w:r>
              <w:rPr>
                <w:rFonts w:hint="eastAsia" w:ascii="宋体" w:hAnsi="宋体" w:cs="仿宋"/>
                <w:color w:val="auto"/>
                <w:kern w:val="0"/>
                <w:highlight w:val="none"/>
              </w:rPr>
              <w:t>。</w:t>
            </w:r>
          </w:p>
          <w:p>
            <w:pPr>
              <w:pStyle w:val="110"/>
              <w:numPr>
                <w:ilvl w:val="0"/>
                <w:numId w:val="3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支持数据集与数据索引健康度监控。</w:t>
            </w:r>
          </w:p>
          <w:p>
            <w:pPr>
              <w:pStyle w:val="110"/>
              <w:numPr>
                <w:ilvl w:val="0"/>
                <w:numId w:val="3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支持对平台各组件运行健康状态的集中监控。</w:t>
            </w:r>
          </w:p>
          <w:p>
            <w:pPr>
              <w:pStyle w:val="110"/>
              <w:numPr>
                <w:ilvl w:val="0"/>
                <w:numId w:val="3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支持平台运行状态告警，运行监测引擎可独立于安全分析引擎工作，展示运维告警趋势、分布等。</w:t>
            </w:r>
          </w:p>
          <w:p>
            <w:pPr>
              <w:pStyle w:val="110"/>
              <w:numPr>
                <w:ilvl w:val="0"/>
                <w:numId w:val="34"/>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w:t>
            </w:r>
            <w:r>
              <w:rPr>
                <w:rFonts w:ascii="宋体" w:hAnsi="宋体" w:cs="仿宋"/>
                <w:color w:val="auto"/>
                <w:kern w:val="0"/>
                <w:highlight w:val="none"/>
              </w:rPr>
              <w:t>支持</w:t>
            </w:r>
            <w:r>
              <w:rPr>
                <w:rFonts w:hint="eastAsia" w:ascii="宋体" w:hAnsi="宋体" w:cs="仿宋"/>
                <w:color w:val="auto"/>
                <w:kern w:val="0"/>
                <w:highlight w:val="none"/>
              </w:rPr>
              <w:t>大数据平台</w:t>
            </w:r>
            <w:r>
              <w:rPr>
                <w:rFonts w:ascii="宋体" w:hAnsi="宋体" w:cs="仿宋"/>
                <w:color w:val="auto"/>
                <w:kern w:val="0"/>
                <w:highlight w:val="none"/>
              </w:rPr>
              <w:t>一键</w:t>
            </w:r>
            <w:r>
              <w:rPr>
                <w:rFonts w:hint="eastAsia" w:ascii="宋体" w:hAnsi="宋体" w:cs="仿宋"/>
                <w:color w:val="auto"/>
                <w:kern w:val="0"/>
                <w:highlight w:val="none"/>
              </w:rPr>
              <w:t>巡检，一键检查项包含但不限于数据健康、探针健康检查、大数据集群健康、E</w:t>
            </w:r>
            <w:r>
              <w:rPr>
                <w:rFonts w:ascii="宋体" w:hAnsi="宋体" w:cs="仿宋"/>
                <w:color w:val="auto"/>
                <w:kern w:val="0"/>
                <w:highlight w:val="none"/>
              </w:rPr>
              <w:t>lasticsearch</w:t>
            </w:r>
            <w:r>
              <w:rPr>
                <w:rFonts w:hint="eastAsia" w:ascii="宋体" w:hAnsi="宋体" w:cs="仿宋"/>
                <w:color w:val="auto"/>
                <w:kern w:val="0"/>
                <w:highlight w:val="none"/>
              </w:rPr>
              <w:t>健康、实时流计算引擎健康、管理服务健康、服务器节点健康等多种维度检查，并能提供处置建议，一键导出各类服务的故障日志，包括但不限于Elasticsearch、Logstash、Ka**a、实时计算引擎、操作系统等。（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用户管理</w:t>
            </w:r>
          </w:p>
        </w:tc>
        <w:tc>
          <w:tcPr>
            <w:tcW w:w="6787" w:type="dxa"/>
            <w:noWrap w:val="0"/>
            <w:vAlign w:val="top"/>
          </w:tcPr>
          <w:p>
            <w:pPr>
              <w:pStyle w:val="110"/>
              <w:numPr>
                <w:ilvl w:val="0"/>
                <w:numId w:val="35"/>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8" w:type="dxa"/>
            <w:vMerge w:val="continue"/>
            <w:noWrap w:val="0"/>
            <w:vAlign w:val="center"/>
          </w:tcPr>
          <w:p>
            <w:pPr>
              <w:spacing w:line="360" w:lineRule="auto"/>
              <w:jc w:val="center"/>
              <w:rPr>
                <w:rFonts w:ascii="宋体" w:hAnsi="宋体" w:cs="仿宋"/>
                <w:color w:val="auto"/>
                <w:kern w:val="0"/>
                <w:szCs w:val="21"/>
                <w:highlight w:val="none"/>
              </w:rPr>
            </w:pPr>
          </w:p>
        </w:tc>
        <w:tc>
          <w:tcPr>
            <w:tcW w:w="865" w:type="dxa"/>
            <w:noWrap w:val="0"/>
            <w:vAlign w:val="center"/>
          </w:tcPr>
          <w:p>
            <w:pPr>
              <w:spacing w:line="360" w:lineRule="auto"/>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开放接口</w:t>
            </w:r>
          </w:p>
        </w:tc>
        <w:tc>
          <w:tcPr>
            <w:tcW w:w="6787" w:type="dxa"/>
            <w:noWrap w:val="0"/>
            <w:vAlign w:val="top"/>
          </w:tcPr>
          <w:p>
            <w:pPr>
              <w:pStyle w:val="110"/>
              <w:spacing w:line="360" w:lineRule="auto"/>
              <w:ind w:firstLine="0" w:firstLineChars="0"/>
              <w:rPr>
                <w:rFonts w:hint="eastAsia" w:ascii="宋体" w:hAnsi="宋体" w:cs="仿宋"/>
                <w:color w:val="auto"/>
                <w:kern w:val="0"/>
                <w:highlight w:val="none"/>
              </w:rPr>
            </w:pPr>
            <w:r>
              <w:rPr>
                <w:rFonts w:hint="eastAsia" w:ascii="宋体" w:hAnsi="宋体" w:cs="仿宋"/>
                <w:color w:val="auto"/>
                <w:kern w:val="0"/>
                <w:highlight w:val="none"/>
              </w:rPr>
              <w:t>平台开放API接口，第三方平台可通过OpenAPI获取平台的关闭规则、资产信息、联动策略等接口信息进行对接。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98" w:type="dxa"/>
            <w:noWrap w:val="0"/>
            <w:vAlign w:val="center"/>
          </w:tcPr>
          <w:p>
            <w:pPr>
              <w:spacing w:line="360" w:lineRule="auto"/>
              <w:jc w:val="center"/>
              <w:rPr>
                <w:rFonts w:ascii="宋体" w:hAnsi="宋体" w:cs="仿宋"/>
                <w:color w:val="auto"/>
                <w:kern w:val="0"/>
                <w:szCs w:val="21"/>
                <w:highlight w:val="none"/>
              </w:rPr>
            </w:pPr>
            <w:r>
              <w:rPr>
                <w:rFonts w:ascii="宋体" w:hAnsi="宋体" w:cs="仿宋"/>
                <w:color w:val="auto"/>
                <w:kern w:val="0"/>
                <w:szCs w:val="21"/>
                <w:highlight w:val="none"/>
              </w:rPr>
              <w:t>采集模块</w:t>
            </w:r>
          </w:p>
        </w:tc>
        <w:tc>
          <w:tcPr>
            <w:tcW w:w="865"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日志采集解析</w:t>
            </w:r>
          </w:p>
        </w:tc>
        <w:tc>
          <w:tcPr>
            <w:tcW w:w="6787" w:type="dxa"/>
            <w:noWrap w:val="0"/>
            <w:vAlign w:val="top"/>
          </w:tcPr>
          <w:p>
            <w:pPr>
              <w:pStyle w:val="110"/>
              <w:numPr>
                <w:ilvl w:val="0"/>
                <w:numId w:val="3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日志采集方式应支持但不仅限于</w:t>
            </w:r>
            <w:r>
              <w:rPr>
                <w:rFonts w:ascii="宋体" w:hAnsi="宋体" w:cs="仿宋"/>
                <w:color w:val="auto"/>
                <w:kern w:val="0"/>
                <w:highlight w:val="none"/>
              </w:rPr>
              <w:t>Syslog、ka**a、ftp、部署代理</w:t>
            </w:r>
            <w:r>
              <w:rPr>
                <w:rFonts w:hint="eastAsia" w:ascii="宋体" w:hAnsi="宋体" w:cs="仿宋"/>
                <w:color w:val="auto"/>
                <w:kern w:val="0"/>
                <w:highlight w:val="none"/>
              </w:rPr>
              <w:t>等4种方式。</w:t>
            </w:r>
          </w:p>
          <w:p>
            <w:pPr>
              <w:pStyle w:val="110"/>
              <w:numPr>
                <w:ilvl w:val="0"/>
                <w:numId w:val="3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支持采集异构设备的日志数据，实现包括但不限于安全类、网络类、应用服务器类、操作系统类等至少4大类、5</w:t>
            </w:r>
            <w:r>
              <w:rPr>
                <w:rFonts w:ascii="宋体" w:hAnsi="宋体" w:cs="仿宋"/>
                <w:color w:val="auto"/>
                <w:kern w:val="0"/>
                <w:highlight w:val="none"/>
              </w:rPr>
              <w:t>0</w:t>
            </w:r>
            <w:r>
              <w:rPr>
                <w:rFonts w:hint="eastAsia" w:ascii="宋体" w:hAnsi="宋体" w:cs="仿宋"/>
                <w:color w:val="auto"/>
                <w:kern w:val="0"/>
                <w:highlight w:val="none"/>
              </w:rPr>
              <w:t>种设备的日志接入采集。</w:t>
            </w:r>
            <w:r>
              <w:rPr>
                <w:rFonts w:ascii="宋体" w:hAnsi="宋体" w:cs="仿宋"/>
                <w:color w:val="auto"/>
                <w:kern w:val="0"/>
                <w:highlight w:val="none"/>
              </w:rPr>
              <w:fldChar w:fldCharType="begin"/>
            </w:r>
            <w:r>
              <w:rPr>
                <w:rFonts w:ascii="宋体" w:hAnsi="宋体" w:cs="仿宋"/>
                <w:color w:val="auto"/>
                <w:kern w:val="0"/>
                <w:highlight w:val="none"/>
              </w:rPr>
              <w:instrText xml:space="preserve">HYPERLINK  \l "_证明材料39"</w:instrText>
            </w:r>
            <w:r>
              <w:rPr>
                <w:rFonts w:ascii="宋体" w:hAnsi="宋体" w:cs="仿宋"/>
                <w:color w:val="auto"/>
                <w:kern w:val="0"/>
                <w:highlight w:val="none"/>
              </w:rPr>
              <w:fldChar w:fldCharType="separate"/>
            </w:r>
          </w:p>
          <w:p>
            <w:pPr>
              <w:pStyle w:val="110"/>
              <w:numPr>
                <w:ilvl w:val="0"/>
                <w:numId w:val="36"/>
              </w:numPr>
              <w:spacing w:line="360" w:lineRule="auto"/>
              <w:ind w:firstLineChars="0"/>
              <w:rPr>
                <w:rFonts w:ascii="宋体" w:hAnsi="宋体"/>
                <w:color w:val="auto"/>
                <w:kern w:val="0"/>
                <w:highlight w:val="none"/>
              </w:rPr>
            </w:pPr>
            <w:r>
              <w:rPr>
                <w:rFonts w:ascii="宋体" w:hAnsi="宋体"/>
                <w:color w:val="auto"/>
                <w:kern w:val="0"/>
                <w:highlight w:val="none"/>
              </w:rPr>
              <w:fldChar w:fldCharType="end"/>
            </w:r>
            <w:r>
              <w:rPr>
                <w:rFonts w:hint="eastAsia" w:ascii="宋体" w:hAnsi="宋体"/>
                <w:color w:val="auto"/>
                <w:kern w:val="0"/>
                <w:highlight w:val="none"/>
              </w:rPr>
              <w:t>支持接入应用服务器的性能类数据，包括但不限于</w:t>
            </w:r>
            <w:r>
              <w:rPr>
                <w:rFonts w:ascii="宋体" w:hAnsi="宋体"/>
                <w:color w:val="auto"/>
                <w:kern w:val="0"/>
                <w:highlight w:val="none"/>
              </w:rPr>
              <w:t>CPU</w:t>
            </w:r>
            <w:r>
              <w:rPr>
                <w:rFonts w:hint="eastAsia" w:ascii="宋体" w:hAnsi="宋体"/>
                <w:color w:val="auto"/>
                <w:kern w:val="0"/>
                <w:highlight w:val="none"/>
              </w:rPr>
              <w:t>、内存和磁盘的性能告警数据。</w:t>
            </w:r>
          </w:p>
          <w:p>
            <w:pPr>
              <w:pStyle w:val="110"/>
              <w:numPr>
                <w:ilvl w:val="0"/>
                <w:numId w:val="36"/>
              </w:numPr>
              <w:spacing w:line="360" w:lineRule="auto"/>
              <w:ind w:firstLineChars="0"/>
              <w:rPr>
                <w:rFonts w:ascii="宋体" w:hAnsi="宋体" w:cs="仿宋"/>
                <w:color w:val="auto"/>
                <w:kern w:val="0"/>
                <w:highlight w:val="none"/>
              </w:rPr>
            </w:pPr>
            <w:r>
              <w:rPr>
                <w:rFonts w:ascii="宋体" w:hAnsi="宋体" w:cs="仿宋"/>
                <w:color w:val="auto"/>
                <w:kern w:val="0"/>
                <w:highlight w:val="none"/>
              </w:rPr>
              <w:t>内置解析规则支持厂商&gt;100家，支持</w:t>
            </w:r>
            <w:r>
              <w:rPr>
                <w:rFonts w:hint="eastAsia" w:ascii="宋体" w:hAnsi="宋体" w:cs="仿宋"/>
                <w:color w:val="auto"/>
                <w:kern w:val="0"/>
                <w:highlight w:val="none"/>
              </w:rPr>
              <w:t>解析</w:t>
            </w:r>
            <w:r>
              <w:rPr>
                <w:rFonts w:ascii="宋体" w:hAnsi="宋体" w:cs="仿宋"/>
                <w:color w:val="auto"/>
                <w:kern w:val="0"/>
                <w:highlight w:val="none"/>
              </w:rPr>
              <w:t>日志</w:t>
            </w:r>
            <w:r>
              <w:rPr>
                <w:rFonts w:hint="eastAsia" w:ascii="宋体" w:hAnsi="宋体" w:cs="仿宋"/>
                <w:color w:val="auto"/>
                <w:kern w:val="0"/>
                <w:highlight w:val="none"/>
              </w:rPr>
              <w:t>设备型号</w:t>
            </w:r>
            <w:r>
              <w:rPr>
                <w:rFonts w:ascii="宋体" w:hAnsi="宋体" w:cs="仿宋"/>
                <w:color w:val="auto"/>
                <w:kern w:val="0"/>
                <w:highlight w:val="none"/>
              </w:rPr>
              <w:t>&gt;2000种</w:t>
            </w:r>
            <w:r>
              <w:rPr>
                <w:rFonts w:hint="eastAsia" w:ascii="宋体" w:hAnsi="宋体" w:cs="仿宋"/>
                <w:color w:val="auto"/>
                <w:kern w:val="0"/>
                <w:highlight w:val="none"/>
              </w:rPr>
              <w:t>。</w:t>
            </w:r>
          </w:p>
          <w:p>
            <w:pPr>
              <w:pStyle w:val="110"/>
              <w:numPr>
                <w:ilvl w:val="0"/>
                <w:numId w:val="36"/>
              </w:numPr>
              <w:spacing w:line="360" w:lineRule="auto"/>
              <w:ind w:firstLineChars="0"/>
              <w:rPr>
                <w:rFonts w:ascii="宋体" w:hAnsi="宋体" w:cs="仿宋"/>
                <w:color w:val="auto"/>
                <w:kern w:val="0"/>
                <w:highlight w:val="none"/>
              </w:rPr>
            </w:pPr>
            <w:r>
              <w:rPr>
                <w:rFonts w:ascii="宋体" w:hAnsi="宋体" w:cs="仿宋"/>
                <w:color w:val="auto"/>
                <w:kern w:val="0"/>
                <w:highlight w:val="none"/>
              </w:rPr>
              <w:t>无需配置解析规则与设备日志对应关系，自动</w:t>
            </w:r>
            <w:r>
              <w:rPr>
                <w:rFonts w:hint="eastAsia" w:ascii="宋体" w:hAnsi="宋体" w:cs="仿宋"/>
                <w:color w:val="auto"/>
                <w:kern w:val="0"/>
                <w:highlight w:val="none"/>
              </w:rPr>
              <w:t>完成</w:t>
            </w:r>
            <w:r>
              <w:rPr>
                <w:rFonts w:ascii="宋体" w:hAnsi="宋体" w:cs="仿宋"/>
                <w:color w:val="auto"/>
                <w:kern w:val="0"/>
                <w:highlight w:val="none"/>
              </w:rPr>
              <w:t>解析</w:t>
            </w:r>
            <w:r>
              <w:rPr>
                <w:rFonts w:hint="eastAsia" w:ascii="宋体" w:hAnsi="宋体" w:cs="仿宋"/>
                <w:color w:val="auto"/>
                <w:kern w:val="0"/>
                <w:highlight w:val="none"/>
              </w:rPr>
              <w:t>。</w:t>
            </w:r>
          </w:p>
          <w:p>
            <w:pPr>
              <w:pStyle w:val="110"/>
              <w:numPr>
                <w:ilvl w:val="0"/>
                <w:numId w:val="36"/>
              </w:numPr>
              <w:spacing w:line="360" w:lineRule="auto"/>
              <w:ind w:firstLineChars="0"/>
              <w:rPr>
                <w:rFonts w:ascii="宋体" w:hAnsi="宋体" w:cs="仿宋"/>
                <w:color w:val="auto"/>
                <w:kern w:val="0"/>
                <w:highlight w:val="none"/>
              </w:rPr>
            </w:pPr>
            <w:r>
              <w:rPr>
                <w:rFonts w:hint="eastAsia" w:ascii="宋体" w:hAnsi="宋体" w:cs="仿宋"/>
                <w:color w:val="auto"/>
                <w:kern w:val="0"/>
                <w:highlight w:val="none"/>
              </w:rPr>
              <w:t>支持日志源≥</w:t>
            </w:r>
            <w:r>
              <w:rPr>
                <w:rFonts w:ascii="宋体" w:hAnsi="宋体" w:cs="仿宋"/>
                <w:color w:val="auto"/>
                <w:kern w:val="0"/>
                <w:highlight w:val="none"/>
              </w:rPr>
              <w:t>2</w:t>
            </w:r>
            <w:r>
              <w:rPr>
                <w:rFonts w:hint="eastAsia" w:ascii="宋体" w:hAnsi="宋体" w:cs="仿宋"/>
                <w:color w:val="auto"/>
                <w:kern w:val="0"/>
                <w:highlight w:val="none"/>
              </w:rPr>
              <w:t>00个。</w:t>
            </w:r>
          </w:p>
          <w:p>
            <w:pPr>
              <w:pStyle w:val="110"/>
              <w:numPr>
                <w:ilvl w:val="0"/>
                <w:numId w:val="36"/>
              </w:numPr>
              <w:spacing w:line="360" w:lineRule="auto"/>
              <w:ind w:firstLineChars="0"/>
              <w:rPr>
                <w:rFonts w:ascii="宋体" w:hAnsi="宋体" w:cs="仿宋"/>
                <w:color w:val="auto"/>
                <w:kern w:val="0"/>
                <w:highlight w:val="none"/>
              </w:rPr>
            </w:pPr>
            <w:r>
              <w:rPr>
                <w:rFonts w:ascii="宋体" w:hAnsi="宋体" w:cs="仿宋"/>
                <w:color w:val="auto"/>
                <w:kern w:val="0"/>
                <w:highlight w:val="none"/>
              </w:rPr>
              <w:t>可对日志进行细粒度解析，解析后的日志根据具体日志包含但不限于：日期、发生时间、接收时间、设备类型、日志类型、日志来源、源地址、目的地址、事件类型、时间范围、操作主体、操作对象、行为方式、技术动作、技术效果、攻击类型、特征类型、协议、地理信息，≥30个字段</w:t>
            </w:r>
            <w:r>
              <w:rPr>
                <w:rFonts w:hint="eastAsia" w:ascii="宋体" w:hAnsi="宋体" w:cs="仿宋"/>
                <w:color w:val="auto"/>
                <w:kern w:val="0"/>
                <w:highlight w:val="none"/>
              </w:rPr>
              <w:t>。</w:t>
            </w:r>
          </w:p>
          <w:p>
            <w:pPr>
              <w:pStyle w:val="110"/>
              <w:numPr>
                <w:ilvl w:val="0"/>
                <w:numId w:val="36"/>
              </w:numPr>
              <w:spacing w:line="360" w:lineRule="auto"/>
              <w:ind w:firstLineChars="0"/>
              <w:rPr>
                <w:rFonts w:ascii="宋体" w:hAnsi="宋体" w:cs="仿宋"/>
                <w:color w:val="auto"/>
                <w:kern w:val="0"/>
                <w:highlight w:val="none"/>
              </w:rPr>
            </w:pPr>
            <w:r>
              <w:rPr>
                <w:rFonts w:ascii="宋体" w:hAnsi="宋体" w:cs="仿宋"/>
                <w:color w:val="auto"/>
                <w:kern w:val="0"/>
                <w:highlight w:val="none"/>
              </w:rPr>
              <w:t>具备同时保存事件原始日志数据和标准化后日志数据的能力</w:t>
            </w:r>
            <w:r>
              <w:rPr>
                <w:rFonts w:hint="eastAsia" w:ascii="宋体" w:hAnsi="宋体" w:cs="仿宋"/>
                <w:color w:val="auto"/>
                <w:kern w:val="0"/>
                <w:highlight w:val="none"/>
              </w:rPr>
              <w:t>。</w:t>
            </w:r>
          </w:p>
        </w:tc>
      </w:tr>
    </w:tbl>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w:t>
      </w:r>
      <w:r>
        <w:rPr>
          <w:rFonts w:ascii="宋体" w:hAnsi="宋体"/>
          <w:b/>
          <w:bCs/>
          <w:color w:val="auto"/>
          <w:sz w:val="22"/>
          <w:szCs w:val="28"/>
          <w:highlight w:val="none"/>
        </w:rPr>
        <w:t xml:space="preserve">.5 </w:t>
      </w:r>
      <w:r>
        <w:rPr>
          <w:rFonts w:hint="eastAsia" w:ascii="宋体" w:hAnsi="宋体"/>
          <w:b/>
          <w:bCs/>
          <w:color w:val="auto"/>
          <w:sz w:val="22"/>
          <w:szCs w:val="28"/>
          <w:highlight w:val="none"/>
        </w:rPr>
        <w:t>流量检测服务</w:t>
      </w:r>
    </w:p>
    <w:p>
      <w:pPr>
        <w:spacing w:line="360" w:lineRule="auto"/>
        <w:ind w:firstLine="420"/>
        <w:rPr>
          <w:rFonts w:ascii="宋体" w:hAnsi="宋体"/>
          <w:color w:val="auto"/>
          <w:highlight w:val="none"/>
        </w:rPr>
      </w:pPr>
      <w:r>
        <w:rPr>
          <w:rFonts w:hint="eastAsia" w:ascii="宋体" w:hAnsi="宋体"/>
          <w:color w:val="auto"/>
          <w:highlight w:val="none"/>
        </w:rPr>
        <w:t>流量检测服务通过在公安网部署的检测探针，实时发现由外到内和由内到外的网络攻击行为。服务将实时发现网络中发生的各种已知威胁和未知威胁。技术人员将定期对入侵行为进行分析，发现公安网内威胁源头并输出报告。</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6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shd w:val="clear" w:color="auto" w:fill="AEAAAA"/>
            <w:noWrap w:val="0"/>
            <w:vAlign w:val="center"/>
          </w:tcPr>
          <w:p>
            <w:pPr>
              <w:spacing w:line="360" w:lineRule="auto"/>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技术指标</w:t>
            </w:r>
          </w:p>
        </w:tc>
        <w:tc>
          <w:tcPr>
            <w:tcW w:w="6787" w:type="dxa"/>
            <w:shd w:val="clear" w:color="auto" w:fill="AEAAAA"/>
            <w:noWrap w:val="0"/>
            <w:vAlign w:val="center"/>
          </w:tcPr>
          <w:p>
            <w:pPr>
              <w:spacing w:line="360" w:lineRule="auto"/>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服务工具规格要求</w:t>
            </w:r>
          </w:p>
        </w:tc>
        <w:tc>
          <w:tcPr>
            <w:tcW w:w="6787"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软硬一体化</w:t>
            </w:r>
            <w:r>
              <w:rPr>
                <w:rFonts w:ascii="宋体" w:hAnsi="宋体"/>
                <w:color w:val="auto"/>
                <w:szCs w:val="21"/>
                <w:highlight w:val="none"/>
              </w:rPr>
              <w:t>2U标准机架式设备；</w:t>
            </w:r>
          </w:p>
          <w:p>
            <w:pPr>
              <w:spacing w:line="360" w:lineRule="auto"/>
              <w:rPr>
                <w:rFonts w:ascii="宋体" w:hAnsi="宋体"/>
                <w:color w:val="auto"/>
                <w:szCs w:val="21"/>
                <w:highlight w:val="none"/>
              </w:rPr>
            </w:pPr>
            <w:r>
              <w:rPr>
                <w:rFonts w:ascii="宋体" w:hAnsi="宋体"/>
                <w:color w:val="auto"/>
                <w:szCs w:val="21"/>
                <w:highlight w:val="none"/>
              </w:rPr>
              <w:t xml:space="preserve">1+1冗余电源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内存</w:t>
            </w:r>
            <w:r>
              <w:rPr>
                <w:rFonts w:hint="eastAsia" w:ascii="宋体" w:hAnsi="宋体"/>
                <w:color w:val="auto"/>
                <w:szCs w:val="21"/>
                <w:highlight w:val="none"/>
              </w:rPr>
              <w:t>≥</w:t>
            </w:r>
            <w:r>
              <w:rPr>
                <w:rFonts w:ascii="宋体" w:hAnsi="宋体"/>
                <w:color w:val="auto"/>
                <w:szCs w:val="21"/>
                <w:highlight w:val="none"/>
              </w:rPr>
              <w:t xml:space="preserve">16G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硬盘容量≥</w:t>
            </w:r>
            <w:r>
              <w:rPr>
                <w:rFonts w:ascii="宋体" w:hAnsi="宋体"/>
                <w:color w:val="auto"/>
                <w:szCs w:val="21"/>
                <w:highlight w:val="none"/>
              </w:rPr>
              <w:t>2T</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接口数量不少于</w:t>
            </w:r>
            <w:r>
              <w:rPr>
                <w:rFonts w:ascii="宋体" w:hAnsi="宋体"/>
                <w:color w:val="auto"/>
                <w:szCs w:val="21"/>
                <w:highlight w:val="none"/>
              </w:rPr>
              <w:t xml:space="preserve"> 6个</w:t>
            </w:r>
            <w:r>
              <w:rPr>
                <w:rFonts w:hint="eastAsia" w:ascii="宋体" w:hAnsi="宋体"/>
                <w:color w:val="auto"/>
                <w:szCs w:val="21"/>
                <w:highlight w:val="none"/>
              </w:rPr>
              <w:t>；</w:t>
            </w:r>
          </w:p>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rPr>
              <w:t>接口类型：千兆RJ45网口</w:t>
            </w:r>
            <w:r>
              <w:rPr>
                <w:rFonts w:hint="eastAsia" w:ascii="宋体" w:hAnsi="宋体"/>
                <w:color w:val="auto"/>
                <w:szCs w:val="21"/>
                <w:highlight w:val="none"/>
                <w:lang w:val="en-US" w:eastAsia="zh-CN"/>
              </w:rPr>
              <w:t>不少于</w:t>
            </w:r>
            <w:r>
              <w:rPr>
                <w:rFonts w:hint="eastAsia" w:ascii="宋体" w:hAnsi="宋体"/>
                <w:color w:val="auto"/>
                <w:szCs w:val="21"/>
                <w:highlight w:val="none"/>
              </w:rPr>
              <w:t>2</w:t>
            </w:r>
            <w:r>
              <w:rPr>
                <w:rFonts w:hint="eastAsia" w:ascii="宋体" w:hAnsi="宋体"/>
                <w:color w:val="auto"/>
                <w:szCs w:val="21"/>
                <w:highlight w:val="none"/>
                <w:lang w:val="en-US" w:eastAsia="zh-CN"/>
              </w:rPr>
              <w:t>个</w:t>
            </w:r>
            <w:r>
              <w:rPr>
                <w:rFonts w:hint="eastAsia" w:ascii="宋体" w:hAnsi="宋体"/>
                <w:color w:val="auto"/>
                <w:szCs w:val="21"/>
                <w:highlight w:val="none"/>
              </w:rPr>
              <w:t>(管理口</w:t>
            </w:r>
            <w:r>
              <w:rPr>
                <w:rFonts w:hint="eastAsia" w:ascii="宋体" w:hAnsi="宋体"/>
                <w:color w:val="auto"/>
                <w:szCs w:val="21"/>
                <w:highlight w:val="none"/>
                <w:lang w:val="en-US" w:eastAsia="zh-CN"/>
              </w:rPr>
              <w:t>不少于</w:t>
            </w:r>
            <w:r>
              <w:rPr>
                <w:rFonts w:hint="eastAsia" w:ascii="宋体" w:hAnsi="宋体"/>
                <w:color w:val="auto"/>
                <w:szCs w:val="21"/>
                <w:highlight w:val="none"/>
              </w:rPr>
              <w:t>2</w:t>
            </w:r>
            <w:r>
              <w:rPr>
                <w:rFonts w:hint="eastAsia" w:ascii="宋体" w:hAnsi="宋体"/>
                <w:color w:val="auto"/>
                <w:szCs w:val="21"/>
                <w:highlight w:val="none"/>
                <w:lang w:val="en-US" w:eastAsia="zh-CN"/>
              </w:rPr>
              <w:t>个</w:t>
            </w:r>
            <w:r>
              <w:rPr>
                <w:rFonts w:hint="eastAsia" w:ascii="宋体" w:hAnsi="宋体"/>
                <w:color w:val="auto"/>
                <w:szCs w:val="21"/>
                <w:highlight w:val="none"/>
              </w:rPr>
              <w:t>)、千兆RJ45网口</w:t>
            </w:r>
            <w:r>
              <w:rPr>
                <w:rFonts w:hint="eastAsia" w:ascii="宋体" w:hAnsi="宋体"/>
                <w:color w:val="auto"/>
                <w:szCs w:val="21"/>
                <w:highlight w:val="none"/>
                <w:lang w:val="en-US" w:eastAsia="zh-CN"/>
              </w:rPr>
              <w:t>不少于</w:t>
            </w:r>
            <w:r>
              <w:rPr>
                <w:rFonts w:hint="eastAsia" w:ascii="宋体" w:hAnsi="宋体"/>
                <w:color w:val="auto"/>
                <w:szCs w:val="21"/>
                <w:highlight w:val="none"/>
              </w:rPr>
              <w:t>4</w:t>
            </w:r>
            <w:r>
              <w:rPr>
                <w:rFonts w:hint="eastAsia" w:ascii="宋体" w:hAnsi="宋体"/>
                <w:color w:val="auto"/>
                <w:szCs w:val="21"/>
                <w:highlight w:val="none"/>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服务工具性能要求</w:t>
            </w:r>
          </w:p>
        </w:tc>
        <w:tc>
          <w:tcPr>
            <w:tcW w:w="6787" w:type="dxa"/>
            <w:noWrap w:val="0"/>
            <w:vAlign w:val="top"/>
          </w:tcPr>
          <w:p>
            <w:pPr>
              <w:spacing w:line="360" w:lineRule="auto"/>
              <w:rPr>
                <w:rFonts w:ascii="宋体" w:hAnsi="宋体"/>
                <w:color w:val="auto"/>
                <w:szCs w:val="21"/>
                <w:highlight w:val="none"/>
              </w:rPr>
            </w:pPr>
            <w:r>
              <w:rPr>
                <w:rFonts w:ascii="宋体" w:hAnsi="宋体"/>
                <w:color w:val="auto"/>
                <w:szCs w:val="21"/>
                <w:highlight w:val="none"/>
              </w:rPr>
              <w:t>MTBF 大于65000小时</w:t>
            </w:r>
            <w:r>
              <w:rPr>
                <w:rFonts w:hint="eastAsia" w:ascii="宋体" w:hAnsi="宋体"/>
                <w:color w:val="auto"/>
                <w:szCs w:val="21"/>
                <w:highlight w:val="none"/>
              </w:rPr>
              <w:t>；</w:t>
            </w:r>
          </w:p>
          <w:p>
            <w:pPr>
              <w:spacing w:line="360" w:lineRule="auto"/>
              <w:rPr>
                <w:rFonts w:ascii="宋体" w:hAnsi="宋体" w:cs="仿宋"/>
                <w:color w:val="auto"/>
                <w:kern w:val="0"/>
                <w:szCs w:val="21"/>
                <w:highlight w:val="none"/>
              </w:rPr>
            </w:pPr>
            <w:r>
              <w:rPr>
                <w:rFonts w:hint="eastAsia" w:ascii="宋体" w:hAnsi="宋体"/>
                <w:color w:val="auto"/>
                <w:szCs w:val="21"/>
                <w:highlight w:val="none"/>
              </w:rPr>
              <w:t>吞吐率≥</w:t>
            </w:r>
            <w:r>
              <w:rPr>
                <w:rFonts w:ascii="宋体" w:hAnsi="宋体"/>
                <w:color w:val="auto"/>
                <w:szCs w:val="21"/>
                <w:highlight w:val="none"/>
              </w:rPr>
              <w:t>1Gbps</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高可用性</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部署方式：旁路镜像模式部署，不影响服务器处理性能和网络架构。</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运行监控：</w:t>
            </w:r>
            <w:r>
              <w:rPr>
                <w:rFonts w:ascii="宋体" w:hAnsi="宋体" w:cs="仿宋"/>
                <w:color w:val="auto"/>
                <w:kern w:val="0"/>
                <w:szCs w:val="21"/>
                <w:highlight w:val="none"/>
              </w:rPr>
              <w:t xml:space="preserve"> </w:t>
            </w:r>
            <w:r>
              <w:rPr>
                <w:rFonts w:hint="eastAsia" w:ascii="宋体" w:hAnsi="宋体" w:cs="仿宋"/>
                <w:color w:val="auto"/>
                <w:kern w:val="0"/>
                <w:szCs w:val="21"/>
                <w:highlight w:val="none"/>
              </w:rPr>
              <w:t>可监控系统</w:t>
            </w:r>
            <w:r>
              <w:rPr>
                <w:rFonts w:ascii="宋体" w:hAnsi="宋体" w:cs="仿宋"/>
                <w:color w:val="auto"/>
                <w:kern w:val="0"/>
                <w:szCs w:val="21"/>
                <w:highlight w:val="none"/>
              </w:rPr>
              <w:t>CPU、内存、磁盘使用情况</w:t>
            </w:r>
            <w:r>
              <w:rPr>
                <w:rFonts w:hint="eastAsia" w:ascii="宋体" w:hAnsi="宋体" w:cs="仿宋"/>
                <w:color w:val="auto"/>
                <w:kern w:val="0"/>
                <w:szCs w:val="21"/>
                <w:highlight w:val="none"/>
              </w:rPr>
              <w:t>、</w:t>
            </w:r>
            <w:r>
              <w:rPr>
                <w:rFonts w:ascii="宋体" w:hAnsi="宋体" w:cs="仿宋"/>
                <w:color w:val="auto"/>
                <w:kern w:val="0"/>
                <w:szCs w:val="21"/>
                <w:highlight w:val="none"/>
              </w:rPr>
              <w:t>网口状态、网口流量、网口丢包情况</w:t>
            </w:r>
            <w:r>
              <w:rPr>
                <w:rFonts w:hint="eastAsia" w:ascii="宋体" w:hAnsi="宋体" w:cs="仿宋"/>
                <w:color w:val="auto"/>
                <w:kern w:val="0"/>
                <w:szCs w:val="21"/>
                <w:highlight w:val="none"/>
              </w:rPr>
              <w:t>及</w:t>
            </w:r>
            <w:r>
              <w:rPr>
                <w:rFonts w:ascii="宋体" w:hAnsi="宋体" w:cs="仿宋"/>
                <w:color w:val="auto"/>
                <w:kern w:val="0"/>
                <w:szCs w:val="21"/>
                <w:highlight w:val="none"/>
              </w:rPr>
              <w:t>数据外送量大小情况</w:t>
            </w:r>
            <w:r>
              <w:rPr>
                <w:rFonts w:hint="eastAsia" w:ascii="宋体" w:hAnsi="宋体" w:cs="仿宋"/>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数据同步</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支持通过KA**A接口向态势感知平台报送流量审计数据与风险告警信息。</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自定义配置：可在前端页面自定义配置探针与大数据平台之间的数据传输类型、各类型数据均支持任意字段的发送配置。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行为审计与</w:t>
            </w:r>
          </w:p>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可疑通信检测</w:t>
            </w:r>
          </w:p>
        </w:tc>
        <w:tc>
          <w:tcPr>
            <w:tcW w:w="6787" w:type="dxa"/>
            <w:noWrap w:val="0"/>
            <w:vAlign w:val="top"/>
          </w:tcPr>
          <w:p>
            <w:pPr>
              <w:spacing w:line="360" w:lineRule="auto"/>
              <w:rPr>
                <w:rFonts w:ascii="宋体" w:hAnsi="宋体" w:cs="仿宋"/>
                <w:color w:val="auto"/>
                <w:kern w:val="0"/>
                <w:szCs w:val="21"/>
                <w:highlight w:val="none"/>
              </w:rPr>
            </w:pPr>
            <w:r>
              <w:rPr>
                <w:rFonts w:ascii="宋体" w:hAnsi="宋体" w:cs="仿宋"/>
                <w:color w:val="auto"/>
                <w:kern w:val="0"/>
                <w:szCs w:val="21"/>
                <w:highlight w:val="none"/>
              </w:rPr>
              <w:t>支持</w:t>
            </w:r>
            <w:r>
              <w:rPr>
                <w:rFonts w:hint="eastAsia" w:ascii="宋体" w:hAnsi="宋体" w:cs="仿宋"/>
                <w:color w:val="auto"/>
                <w:kern w:val="0"/>
                <w:szCs w:val="21"/>
                <w:highlight w:val="none"/>
              </w:rPr>
              <w:t>违规操作、违规访问、违规应用、违规外发等300种以上行为审计检测规则，可针对任意单条规则进行启用和禁用。</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支持隧道通信、可疑内容、恶意IP、恶意域名、恶意证书、远程控制等3000种以上可疑通信检测规则，可针对任意单条规则进行启用和禁用。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扫描探查检测</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支持端口扫描、服务扫描、Web扫描、扫描器指纹检测等300种以上的扫描探查检测规则，可针对任意单条规则进行启用和禁用。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漏洞利用</w:t>
            </w:r>
            <w:r>
              <w:rPr>
                <w:rFonts w:ascii="宋体" w:hAnsi="宋体" w:cs="仿宋"/>
                <w:color w:val="auto"/>
                <w:kern w:val="0"/>
                <w:szCs w:val="21"/>
                <w:highlight w:val="none"/>
              </w:rPr>
              <w:t>检测</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支持SMB漏洞、RDP漏洞、软件漏洞、设备漏洞、系统漏洞、拒绝服务漏洞、shellcode等</w:t>
            </w:r>
            <w:r>
              <w:rPr>
                <w:rFonts w:ascii="宋体" w:hAnsi="宋体" w:cs="仿宋"/>
                <w:color w:val="auto"/>
                <w:kern w:val="0"/>
                <w:szCs w:val="21"/>
                <w:highlight w:val="none"/>
              </w:rPr>
              <w:t>7000</w:t>
            </w:r>
            <w:r>
              <w:rPr>
                <w:rFonts w:hint="eastAsia" w:ascii="宋体" w:hAnsi="宋体" w:cs="仿宋"/>
                <w:color w:val="auto"/>
                <w:kern w:val="0"/>
                <w:szCs w:val="21"/>
                <w:highlight w:val="none"/>
              </w:rPr>
              <w:t>种以上漏洞利用检测规则，可针对任意单条规则进行启用和禁用。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恶意文件检测</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★具备挖矿活动、流氓软件、可疑文件、勒索软件、僵木蠕、</w:t>
            </w:r>
            <w:r>
              <w:rPr>
                <w:rFonts w:ascii="宋体" w:hAnsi="宋体" w:cs="仿宋"/>
                <w:color w:val="auto"/>
                <w:kern w:val="0"/>
                <w:szCs w:val="21"/>
                <w:highlight w:val="none"/>
              </w:rPr>
              <w:t>Webshell、恶意邮件等17000种以上恶意程序检测规则，可针对任意单条规则进行启用和禁用</w:t>
            </w:r>
            <w:r>
              <w:rPr>
                <w:rFonts w:hint="eastAsia" w:ascii="宋体" w:hAnsi="宋体" w:cs="仿宋"/>
                <w:color w:val="auto"/>
                <w:kern w:val="0"/>
                <w:szCs w:val="21"/>
                <w:highlight w:val="none"/>
              </w:rPr>
              <w:t>。（须提供相关截图证明）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配置风险检测</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支持弱口令风险、明文传输风险、H</w:t>
            </w:r>
            <w:r>
              <w:rPr>
                <w:rFonts w:ascii="宋体" w:hAnsi="宋体" w:cs="仿宋"/>
                <w:color w:val="auto"/>
                <w:kern w:val="0"/>
                <w:szCs w:val="21"/>
                <w:highlight w:val="none"/>
              </w:rPr>
              <w:t>TTP</w:t>
            </w:r>
            <w:r>
              <w:rPr>
                <w:rFonts w:hint="eastAsia" w:ascii="宋体" w:hAnsi="宋体" w:cs="仿宋"/>
                <w:color w:val="auto"/>
                <w:kern w:val="0"/>
                <w:szCs w:val="21"/>
                <w:highlight w:val="none"/>
              </w:rPr>
              <w:t>配置风险、中间件配置风向、数据库配置风险、服务配置风险等100种以上配置风险检测规则。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主机和账号异常检测</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支持端口异常、主机对外扫描、主机对外攻击等主机异常检测能力，对任意单条检测规则支持启用和禁用。</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支持登录异常、暴力破解、行为异常等账号异常检测能力，对任意单条检测规则支持启用和禁用。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Web攻击检测</w:t>
            </w:r>
          </w:p>
        </w:tc>
        <w:tc>
          <w:tcPr>
            <w:tcW w:w="6787" w:type="dxa"/>
            <w:noWrap w:val="0"/>
            <w:vAlign w:val="top"/>
          </w:tcPr>
          <w:p>
            <w:pPr>
              <w:spacing w:line="360" w:lineRule="auto"/>
              <w:rPr>
                <w:rFonts w:ascii="宋体" w:hAnsi="宋体" w:cs="仿宋"/>
                <w:color w:val="auto"/>
                <w:kern w:val="0"/>
                <w:szCs w:val="21"/>
                <w:highlight w:val="none"/>
              </w:rPr>
            </w:pPr>
            <w:r>
              <w:rPr>
                <w:rFonts w:ascii="宋体" w:hAnsi="宋体" w:cs="仿宋"/>
                <w:color w:val="auto"/>
                <w:kern w:val="0"/>
                <w:szCs w:val="21"/>
                <w:highlight w:val="none"/>
              </w:rPr>
              <w:t>★</w:t>
            </w:r>
            <w:r>
              <w:rPr>
                <w:rFonts w:hint="eastAsia" w:ascii="宋体" w:hAnsi="宋体" w:cs="宋体"/>
                <w:bCs/>
                <w:color w:val="auto"/>
                <w:kern w:val="0"/>
                <w:szCs w:val="21"/>
                <w:highlight w:val="none"/>
              </w:rPr>
              <w:t>支持Webshell请求、XSS攻击、SQL注入、远程代码执行、命令注入、远程文件包含、本地文件包含、文件上传、路径遍历、信息泄露、越权访问、XXE注入、网页篡改、SSRF攻击等1</w:t>
            </w:r>
            <w:r>
              <w:rPr>
                <w:rFonts w:ascii="宋体" w:hAnsi="宋体" w:cs="宋体"/>
                <w:bCs/>
                <w:color w:val="auto"/>
                <w:kern w:val="0"/>
                <w:szCs w:val="21"/>
                <w:highlight w:val="none"/>
              </w:rPr>
              <w:t>6</w:t>
            </w:r>
            <w:r>
              <w:rPr>
                <w:rFonts w:hint="eastAsia" w:ascii="宋体" w:hAnsi="宋体" w:cs="宋体"/>
                <w:bCs/>
                <w:color w:val="auto"/>
                <w:kern w:val="0"/>
                <w:szCs w:val="21"/>
                <w:highlight w:val="none"/>
              </w:rPr>
              <w:t>类Web攻击检测，具备</w:t>
            </w:r>
            <w:r>
              <w:rPr>
                <w:rFonts w:ascii="宋体" w:hAnsi="宋体" w:cs="宋体"/>
                <w:bCs/>
                <w:color w:val="auto"/>
                <w:kern w:val="0"/>
                <w:szCs w:val="21"/>
                <w:highlight w:val="none"/>
              </w:rPr>
              <w:t>9</w:t>
            </w:r>
            <w:r>
              <w:rPr>
                <w:rFonts w:hint="eastAsia" w:ascii="宋体" w:hAnsi="宋体" w:cs="宋体"/>
                <w:bCs/>
                <w:color w:val="auto"/>
                <w:kern w:val="0"/>
                <w:szCs w:val="21"/>
                <w:highlight w:val="none"/>
              </w:rPr>
              <w:t>000种以上Web攻击检测规则，对任意单条检测规则支持启用和禁用。支持基于语义分析的SQL注入精准检测。</w:t>
            </w:r>
            <w:r>
              <w:rPr>
                <w:rFonts w:hint="eastAsia" w:ascii="宋体" w:hAnsi="宋体" w:cs="仿宋"/>
                <w:color w:val="auto"/>
                <w:kern w:val="0"/>
                <w:szCs w:val="21"/>
                <w:highlight w:val="none"/>
              </w:rPr>
              <w:t>（须提供相关截图证明）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规则库管理</w:t>
            </w:r>
          </w:p>
        </w:tc>
        <w:tc>
          <w:tcPr>
            <w:tcW w:w="6787" w:type="dxa"/>
            <w:noWrap w:val="0"/>
            <w:vAlign w:val="top"/>
          </w:tcPr>
          <w:p>
            <w:pPr>
              <w:spacing w:line="360" w:lineRule="auto"/>
              <w:rPr>
                <w:rFonts w:ascii="宋体" w:hAnsi="宋体" w:cs="仿宋"/>
                <w:color w:val="auto"/>
                <w:kern w:val="0"/>
                <w:szCs w:val="21"/>
                <w:highlight w:val="none"/>
              </w:rPr>
            </w:pPr>
            <w:r>
              <w:rPr>
                <w:rFonts w:ascii="宋体" w:hAnsi="宋体" w:cs="仿宋"/>
                <w:color w:val="auto"/>
                <w:kern w:val="0"/>
                <w:szCs w:val="21"/>
                <w:highlight w:val="none"/>
              </w:rPr>
              <w:t>威胁检测规则支持页面查看，具备中文相关介绍，包括但不限于漏洞名称，危险等级，影响系统，对应CVE编号</w:t>
            </w:r>
            <w:r>
              <w:rPr>
                <w:rFonts w:hint="eastAsia" w:ascii="宋体" w:hAnsi="宋体" w:cs="仿宋"/>
                <w:color w:val="auto"/>
                <w:kern w:val="0"/>
                <w:szCs w:val="21"/>
                <w:highlight w:val="none"/>
              </w:rPr>
              <w:t>。</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支持基于规则ID、规则名称、CVE编号、规则等级、规则类型、规则状态、应用协议等不同条件进行规则快速检索。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策略管理</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w:t>
            </w:r>
            <w:r>
              <w:rPr>
                <w:rFonts w:ascii="宋体" w:hAnsi="宋体" w:cs="仿宋"/>
                <w:color w:val="auto"/>
                <w:kern w:val="0"/>
                <w:szCs w:val="21"/>
                <w:highlight w:val="none"/>
              </w:rPr>
              <w:t>IP与地理信息映射，用户可新增指定IP或IP段的地理信息，支持IP或IP段地理信息导入导出，确保输出数据地理信息准确</w:t>
            </w:r>
            <w:r>
              <w:rPr>
                <w:rFonts w:hint="eastAsia" w:ascii="宋体" w:hAnsi="宋体" w:cs="仿宋"/>
                <w:color w:val="auto"/>
                <w:kern w:val="0"/>
                <w:szCs w:val="21"/>
                <w:highlight w:val="none"/>
              </w:rPr>
              <w:t>。</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支持IP</w:t>
            </w:r>
            <w:r>
              <w:rPr>
                <w:rFonts w:ascii="宋体" w:hAnsi="宋体" w:cs="仿宋"/>
                <w:color w:val="auto"/>
                <w:kern w:val="0"/>
                <w:szCs w:val="21"/>
                <w:highlight w:val="none"/>
              </w:rPr>
              <w:t xml:space="preserve"> NAT</w:t>
            </w:r>
            <w:r>
              <w:rPr>
                <w:rFonts w:hint="eastAsia" w:ascii="宋体" w:hAnsi="宋体" w:cs="仿宋"/>
                <w:color w:val="auto"/>
                <w:kern w:val="0"/>
                <w:szCs w:val="21"/>
                <w:highlight w:val="none"/>
              </w:rPr>
              <w:t>配置管理、flow数据清洗管理。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30" w:type="dxa"/>
            <w:noWrap w:val="0"/>
            <w:vAlign w:val="center"/>
          </w:tcPr>
          <w:p>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系统管理</w:t>
            </w:r>
          </w:p>
        </w:tc>
        <w:tc>
          <w:tcPr>
            <w:tcW w:w="6787" w:type="dxa"/>
            <w:noWrap w:val="0"/>
            <w:vAlign w:val="top"/>
          </w:tcPr>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支持与态势感知平台进行数据同步，同步信息包括安全域、内IP等。</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支持前端可视化配置管理接口、监听接口，包括修改IP地址、启用禁用监听接口等。</w:t>
            </w:r>
          </w:p>
          <w:p>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支持前端可视化进行设备运维操作，包括重启设备、关机重启服务、开关SSH服务等，可一键下载探针运行日志，方便运维人员日常运维工作。</w:t>
            </w:r>
          </w:p>
        </w:tc>
      </w:tr>
    </w:tbl>
    <w:p>
      <w:pPr>
        <w:spacing w:line="360" w:lineRule="auto"/>
        <w:ind w:firstLine="420"/>
        <w:rPr>
          <w:rFonts w:ascii="宋体" w:hAnsi="宋体"/>
          <w:b/>
          <w:bCs/>
          <w:color w:val="auto"/>
          <w:sz w:val="22"/>
          <w:szCs w:val="28"/>
          <w:highlight w:val="none"/>
        </w:rPr>
      </w:pPr>
      <w:r>
        <w:rPr>
          <w:rFonts w:hint="eastAsia" w:ascii="宋体" w:hAnsi="宋体"/>
          <w:b/>
          <w:bCs/>
          <w:color w:val="auto"/>
          <w:sz w:val="22"/>
          <w:szCs w:val="28"/>
          <w:highlight w:val="none"/>
        </w:rPr>
        <w:t>1</w:t>
      </w:r>
      <w:r>
        <w:rPr>
          <w:rFonts w:ascii="宋体" w:hAnsi="宋体"/>
          <w:b/>
          <w:bCs/>
          <w:color w:val="auto"/>
          <w:sz w:val="22"/>
          <w:szCs w:val="28"/>
          <w:highlight w:val="none"/>
        </w:rPr>
        <w:t xml:space="preserve">.6 </w:t>
      </w:r>
      <w:r>
        <w:rPr>
          <w:rFonts w:hint="eastAsia" w:ascii="宋体" w:hAnsi="宋体"/>
          <w:b/>
          <w:bCs/>
          <w:color w:val="auto"/>
          <w:sz w:val="22"/>
          <w:szCs w:val="28"/>
          <w:highlight w:val="none"/>
        </w:rPr>
        <w:t>日志分析服务</w:t>
      </w:r>
    </w:p>
    <w:p>
      <w:pPr>
        <w:spacing w:line="360" w:lineRule="auto"/>
        <w:ind w:firstLine="420"/>
        <w:rPr>
          <w:rFonts w:ascii="宋体" w:hAnsi="宋体"/>
          <w:color w:val="auto"/>
          <w:highlight w:val="none"/>
        </w:rPr>
      </w:pPr>
      <w:r>
        <w:rPr>
          <w:rFonts w:hint="eastAsia" w:ascii="宋体" w:hAnsi="宋体"/>
          <w:color w:val="auto"/>
          <w:highlight w:val="none"/>
        </w:rPr>
        <w:t>日志分析服务通过在公安网部署的日志审计系统和复用大数据分析平台的日志审计能力进行日志的存储和分析，服务通过归集网络中各类设备及应用日志信息，进行日志记录的统一收集、存储、分析、查询、审计和报表输出，并将归集后的日志和告警信息同步给安全运营中心做进一步的通报和展示。</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6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3" w:type="dxa"/>
            <w:shd w:val="clear" w:color="auto" w:fill="AEAAAA"/>
            <w:noWrap w:val="0"/>
            <w:vAlign w:val="center"/>
          </w:tcPr>
          <w:p>
            <w:pPr>
              <w:spacing w:line="360" w:lineRule="auto"/>
              <w:jc w:val="center"/>
              <w:rPr>
                <w:rFonts w:ascii="宋体" w:hAnsi="宋体" w:cs="仿宋"/>
                <w:b/>
                <w:bCs/>
                <w:color w:val="auto"/>
                <w:kern w:val="0"/>
                <w:sz w:val="28"/>
                <w:highlight w:val="none"/>
              </w:rPr>
            </w:pPr>
            <w:r>
              <w:rPr>
                <w:rFonts w:hint="eastAsia" w:ascii="宋体" w:hAnsi="宋体" w:cs="仿宋"/>
                <w:b/>
                <w:bCs/>
                <w:color w:val="auto"/>
                <w:kern w:val="0"/>
                <w:sz w:val="28"/>
                <w:highlight w:val="none"/>
              </w:rPr>
              <w:t>技术指标</w:t>
            </w:r>
          </w:p>
        </w:tc>
        <w:tc>
          <w:tcPr>
            <w:tcW w:w="6787" w:type="dxa"/>
            <w:shd w:val="clear" w:color="auto" w:fill="AEAAAA"/>
            <w:noWrap w:val="0"/>
            <w:vAlign w:val="center"/>
          </w:tcPr>
          <w:p>
            <w:pPr>
              <w:spacing w:line="360" w:lineRule="auto"/>
              <w:jc w:val="center"/>
              <w:rPr>
                <w:rFonts w:ascii="宋体" w:hAnsi="宋体" w:cs="仿宋"/>
                <w:b/>
                <w:bCs/>
                <w:color w:val="auto"/>
                <w:kern w:val="0"/>
                <w:sz w:val="28"/>
                <w:highlight w:val="none"/>
              </w:rPr>
            </w:pPr>
            <w:r>
              <w:rPr>
                <w:rFonts w:hint="eastAsia" w:ascii="宋体" w:hAnsi="宋体" w:cs="仿宋"/>
                <w:b/>
                <w:bCs/>
                <w:color w:val="auto"/>
                <w:kern w:val="0"/>
                <w:sz w:val="28"/>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993"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服务工具基础要求</w:t>
            </w: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3"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服务工具规格要求</w:t>
            </w: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标准</w:t>
            </w:r>
            <w:r>
              <w:rPr>
                <w:rFonts w:ascii="宋体" w:hAnsi="宋体" w:cs="仿宋"/>
                <w:color w:val="auto"/>
                <w:kern w:val="0"/>
                <w:highlight w:val="none"/>
              </w:rPr>
              <w:t>1</w:t>
            </w:r>
            <w:r>
              <w:rPr>
                <w:rFonts w:hint="eastAsia" w:ascii="宋体" w:hAnsi="宋体" w:cs="仿宋"/>
                <w:color w:val="auto"/>
                <w:kern w:val="0"/>
                <w:highlight w:val="none"/>
              </w:rPr>
              <w:t>U硬件，</w:t>
            </w:r>
            <w:r>
              <w:rPr>
                <w:rFonts w:hint="eastAsia" w:ascii="宋体" w:hAnsi="宋体" w:cs="仿宋"/>
                <w:color w:val="auto"/>
                <w:kern w:val="0"/>
                <w:highlight w:val="none"/>
                <w:lang w:val="en-US" w:eastAsia="zh-CN"/>
              </w:rPr>
              <w:t>不少于</w:t>
            </w:r>
            <w:r>
              <w:rPr>
                <w:rFonts w:hint="eastAsia" w:ascii="宋体" w:hAnsi="宋体" w:cs="仿宋"/>
                <w:color w:val="auto"/>
                <w:kern w:val="0"/>
                <w:highlight w:val="none"/>
              </w:rPr>
              <w:t>1个console口；</w:t>
            </w:r>
          </w:p>
          <w:p>
            <w:pPr>
              <w:spacing w:line="360" w:lineRule="auto"/>
              <w:rPr>
                <w:rFonts w:ascii="宋体" w:hAnsi="宋体" w:cs="仿宋"/>
                <w:color w:val="auto"/>
                <w:kern w:val="0"/>
                <w:highlight w:val="none"/>
              </w:rPr>
            </w:pPr>
            <w:r>
              <w:rPr>
                <w:rFonts w:hint="eastAsia" w:ascii="宋体" w:hAnsi="宋体" w:cs="仿宋"/>
                <w:color w:val="auto"/>
                <w:kern w:val="0"/>
                <w:highlight w:val="none"/>
              </w:rPr>
              <w:t>内存≥8GB，硬盘≥2TB（2T*1）；</w:t>
            </w:r>
          </w:p>
          <w:p>
            <w:pPr>
              <w:spacing w:line="360" w:lineRule="auto"/>
              <w:rPr>
                <w:rFonts w:hint="eastAsia" w:ascii="宋体" w:hAnsi="宋体" w:cs="仿宋"/>
                <w:color w:val="auto"/>
                <w:kern w:val="0"/>
                <w:highlight w:val="none"/>
              </w:rPr>
            </w:pPr>
            <w:r>
              <w:rPr>
                <w:rFonts w:hint="eastAsia" w:ascii="宋体" w:hAnsi="宋体" w:cs="仿宋"/>
                <w:color w:val="auto"/>
                <w:kern w:val="0"/>
                <w:highlight w:val="none"/>
              </w:rPr>
              <w:t>网口类别：</w:t>
            </w:r>
            <w:r>
              <w:rPr>
                <w:rFonts w:hint="eastAsia" w:ascii="宋体" w:hAnsi="宋体" w:cs="仿宋"/>
                <w:color w:val="auto"/>
                <w:kern w:val="0"/>
                <w:highlight w:val="none"/>
                <w:lang w:val="en-US" w:eastAsia="zh-CN"/>
              </w:rPr>
              <w:t>不少于</w:t>
            </w:r>
            <w:r>
              <w:rPr>
                <w:rFonts w:hint="eastAsia" w:ascii="宋体" w:hAnsi="宋体" w:cs="仿宋"/>
                <w:color w:val="auto"/>
                <w:kern w:val="0"/>
                <w:highlight w:val="none"/>
              </w:rPr>
              <w:t>6个千兆工作管理口(1管理口+1HA口+4审计口)</w:t>
            </w:r>
          </w:p>
          <w:p>
            <w:pPr>
              <w:spacing w:line="360" w:lineRule="auto"/>
              <w:rPr>
                <w:rFonts w:ascii="宋体" w:hAnsi="宋体" w:cs="仿宋"/>
                <w:color w:val="auto"/>
                <w:kern w:val="0"/>
                <w:highlight w:val="none"/>
              </w:rPr>
            </w:pPr>
            <w:r>
              <w:rPr>
                <w:rFonts w:hint="eastAsia" w:ascii="宋体" w:hAnsi="宋体" w:cs="仿宋"/>
                <w:color w:val="auto"/>
                <w:kern w:val="0"/>
                <w:highlight w:val="none"/>
              </w:rPr>
              <w:t>网络端口：配备至少2个千兆电口管理口；</w:t>
            </w:r>
          </w:p>
          <w:p>
            <w:pPr>
              <w:spacing w:line="360" w:lineRule="auto"/>
              <w:rPr>
                <w:rFonts w:ascii="宋体" w:hAnsi="宋体" w:cs="仿宋"/>
                <w:color w:val="auto"/>
                <w:kern w:val="0"/>
                <w:highlight w:val="none"/>
              </w:rPr>
            </w:pPr>
            <w:r>
              <w:rPr>
                <w:rFonts w:hint="eastAsia" w:ascii="宋体" w:hAnsi="宋体" w:cs="仿宋"/>
                <w:color w:val="auto"/>
                <w:kern w:val="0"/>
                <w:highlight w:val="none"/>
              </w:rPr>
              <w:t>支持千兆网络环境下的监听能力，标配至少4个千兆电口。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3"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服务工具性能要求</w:t>
            </w: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审计性能：支持审计不少于</w:t>
            </w:r>
            <w:r>
              <w:rPr>
                <w:rFonts w:ascii="宋体" w:hAnsi="宋体" w:cs="仿宋"/>
                <w:color w:val="auto"/>
                <w:kern w:val="0"/>
                <w:highlight w:val="none"/>
              </w:rPr>
              <w:t>25</w:t>
            </w:r>
            <w:r>
              <w:rPr>
                <w:rFonts w:hint="eastAsia" w:ascii="宋体" w:hAnsi="宋体" w:cs="仿宋"/>
                <w:color w:val="auto"/>
                <w:kern w:val="0"/>
                <w:highlight w:val="none"/>
              </w:rPr>
              <w:t>个日志源；</w:t>
            </w:r>
          </w:p>
          <w:p>
            <w:pPr>
              <w:spacing w:line="360" w:lineRule="auto"/>
              <w:rPr>
                <w:rFonts w:ascii="宋体" w:hAnsi="宋体" w:cs="仿宋"/>
                <w:color w:val="auto"/>
                <w:kern w:val="0"/>
                <w:highlight w:val="none"/>
              </w:rPr>
            </w:pPr>
            <w:r>
              <w:rPr>
                <w:rFonts w:hint="eastAsia" w:ascii="宋体" w:hAnsi="宋体" w:cs="仿宋"/>
                <w:color w:val="auto"/>
                <w:kern w:val="0"/>
                <w:highlight w:val="none"/>
              </w:rPr>
              <w:t>日志处理能力EPS≥4000/秒，峰值处理能力≥5000/秒。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日志收集</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支持Syslog、SNMP Trap、</w:t>
            </w:r>
            <w:r>
              <w:rPr>
                <w:rFonts w:ascii="宋体" w:hAnsi="宋体" w:cs="仿宋"/>
                <w:color w:val="auto"/>
                <w:kern w:val="0"/>
                <w:highlight w:val="none"/>
              </w:rPr>
              <w:t>HTTP</w:t>
            </w:r>
            <w:r>
              <w:rPr>
                <w:rFonts w:hint="eastAsia" w:ascii="宋体" w:hAnsi="宋体" w:cs="仿宋"/>
                <w:color w:val="auto"/>
                <w:kern w:val="0"/>
                <w:highlight w:val="none"/>
              </w:rPr>
              <w:t>、</w:t>
            </w:r>
            <w:r>
              <w:rPr>
                <w:rFonts w:ascii="宋体" w:hAnsi="宋体" w:cs="仿宋"/>
                <w:color w:val="auto"/>
                <w:kern w:val="0"/>
                <w:highlight w:val="none"/>
              </w:rPr>
              <w:t>ODBC/JDBC、WMI、</w:t>
            </w:r>
            <w:r>
              <w:rPr>
                <w:rFonts w:hint="eastAsia" w:ascii="宋体" w:hAnsi="宋体" w:cs="仿宋"/>
                <w:color w:val="auto"/>
                <w:kern w:val="0"/>
                <w:highlight w:val="none"/>
              </w:rPr>
              <w:t>FTP</w:t>
            </w:r>
            <w:r>
              <w:rPr>
                <w:rFonts w:ascii="宋体" w:hAnsi="宋体" w:cs="仿宋"/>
                <w:color w:val="auto"/>
                <w:kern w:val="0"/>
                <w:highlight w:val="none"/>
              </w:rPr>
              <w:t>、SFTP</w:t>
            </w:r>
            <w:r>
              <w:rPr>
                <w:rFonts w:hint="eastAsia" w:ascii="宋体" w:hAnsi="宋体" w:cs="仿宋"/>
                <w:color w:val="auto"/>
                <w:kern w:val="0"/>
                <w:highlight w:val="none"/>
              </w:rPr>
              <w:t>协议日志收集；支持阿里云SLS日志的采集。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可通过接收协议限制日志接收速率，包括Http接收、syslog接收、SNMPtrap接收、TCP接收、WMI接收、aliyun接收。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支持使用代理(Agent)方式提取日志并收集；安装包支持界面下载，且安装支持可视化向导。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支持对Agent进行统一管控，包括卸载、升级、启动及停止操作，支持将日志收集策略统一分发。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支持目前主流的网络安全设备、交换设备、路由设备、操作系统、应用系统等；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支持常见的虚拟机环境日志收集，包括Xen、VMWare、Hyper-V等。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日志分析</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可以基于日志等级进行过滤。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可以通过自定义配置过滤掉用户不关心的日志。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支持对收集到的重复日志进行自动聚合归并，减少日志量。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支持可由用户定义和修改的日志聚合归并逻辑规则。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支持将收集到的日志转发，当原始日志设备无法设置多个日志服务器时，可以通过本系统的日志转发功能将日志转发到其他日志存储设备。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日志支持文本方式输出给第三方平台，进行数据共享。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内置</w:t>
            </w:r>
            <w:r>
              <w:rPr>
                <w:rFonts w:ascii="宋体" w:hAnsi="宋体" w:cs="仿宋"/>
                <w:color w:val="auto"/>
                <w:kern w:val="0"/>
                <w:highlight w:val="none"/>
              </w:rPr>
              <w:t>5000+</w:t>
            </w:r>
            <w:r>
              <w:rPr>
                <w:rFonts w:hint="eastAsia" w:ascii="宋体" w:hAnsi="宋体" w:cs="仿宋"/>
                <w:color w:val="auto"/>
                <w:kern w:val="0"/>
                <w:highlight w:val="none"/>
              </w:rPr>
              <w:t>解析规则，支持对收集的</w:t>
            </w:r>
            <w:r>
              <w:rPr>
                <w:rFonts w:ascii="宋体" w:hAnsi="宋体" w:cs="仿宋"/>
                <w:color w:val="auto"/>
                <w:kern w:val="0"/>
                <w:highlight w:val="none"/>
              </w:rPr>
              <w:t>5000+</w:t>
            </w:r>
            <w:r>
              <w:rPr>
                <w:rFonts w:hint="eastAsia" w:ascii="宋体" w:hAnsi="宋体" w:cs="仿宋"/>
                <w:color w:val="auto"/>
                <w:kern w:val="0"/>
                <w:highlight w:val="none"/>
              </w:rPr>
              <w:t>设备类型日志进行解析（标准化、归一化），解析维度多达</w:t>
            </w:r>
            <w:r>
              <w:rPr>
                <w:rFonts w:ascii="宋体" w:hAnsi="宋体" w:cs="仿宋"/>
                <w:color w:val="auto"/>
                <w:kern w:val="0"/>
                <w:highlight w:val="none"/>
              </w:rPr>
              <w:t>200+</w:t>
            </w:r>
            <w:r>
              <w:rPr>
                <w:rFonts w:hint="eastAsia" w:ascii="宋体" w:hAnsi="宋体" w:cs="仿宋"/>
                <w:color w:val="auto"/>
                <w:kern w:val="0"/>
                <w:highlight w:val="none"/>
              </w:rPr>
              <w:t>，解析规则可以根据客户要求定制扩展。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支持基于跨设备的多事件关联分析。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内置设备异常、漏洞利用、横向渗透、权限提升、命令执行、可疑行为</w:t>
            </w:r>
            <w:r>
              <w:rPr>
                <w:rFonts w:ascii="宋体" w:hAnsi="宋体" w:cs="仿宋"/>
                <w:color w:val="auto"/>
                <w:kern w:val="0"/>
                <w:highlight w:val="none"/>
              </w:rPr>
              <w:t>6</w:t>
            </w:r>
            <w:r>
              <w:rPr>
                <w:rFonts w:hint="eastAsia" w:ascii="宋体" w:hAnsi="宋体" w:cs="仿宋"/>
                <w:color w:val="auto"/>
                <w:kern w:val="0"/>
                <w:highlight w:val="none"/>
              </w:rPr>
              <w:t>大类5</w:t>
            </w:r>
            <w:r>
              <w:rPr>
                <w:rFonts w:ascii="宋体" w:hAnsi="宋体" w:cs="仿宋"/>
                <w:color w:val="auto"/>
                <w:kern w:val="0"/>
                <w:highlight w:val="none"/>
              </w:rPr>
              <w:t>0+</w:t>
            </w:r>
            <w:r>
              <w:rPr>
                <w:rFonts w:hint="eastAsia" w:ascii="宋体" w:hAnsi="宋体" w:cs="仿宋"/>
                <w:color w:val="auto"/>
                <w:kern w:val="0"/>
                <w:highlight w:val="none"/>
              </w:rPr>
              <w:t>子类的安全分析场景。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进行关联分析的规则可定制。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★三维关联分析；支持通过资产、安全知识库、弱点库三个维度分析事件是否存在威胁，并形成关联事件。（须提供相关截图和第三方</w:t>
            </w:r>
            <w:r>
              <w:rPr>
                <w:rFonts w:ascii="宋体" w:hAnsi="宋体" w:cs="仿宋"/>
                <w:color w:val="auto"/>
                <w:kern w:val="0"/>
                <w:highlight w:val="none"/>
              </w:rPr>
              <w:t>检测机构检测报告</w:t>
            </w:r>
            <w:r>
              <w:rPr>
                <w:rFonts w:hint="eastAsia" w:ascii="宋体" w:hAnsi="宋体" w:cs="仿宋"/>
                <w:color w:val="auto"/>
                <w:kern w:val="0"/>
                <w:highlight w:val="none"/>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日志备份</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可设置日志存储备份策略。包括系统日志保存期（天）、磁盘使用率百分比</w:t>
            </w:r>
            <w:r>
              <w:rPr>
                <w:rFonts w:ascii="宋体" w:hAnsi="宋体" w:cs="仿宋"/>
                <w:color w:val="auto"/>
                <w:kern w:val="0"/>
                <w:highlight w:val="none"/>
              </w:rPr>
              <w:t>等策略</w:t>
            </w:r>
            <w:r>
              <w:rPr>
                <w:rFonts w:hint="eastAsia" w:ascii="宋体" w:hAnsi="宋体" w:cs="仿宋"/>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ascii="宋体" w:hAnsi="宋体" w:cs="仿宋"/>
                <w:color w:val="auto"/>
                <w:kern w:val="0"/>
                <w:highlight w:val="none"/>
              </w:rPr>
              <w:t>支持日志本地备份及恢复</w:t>
            </w:r>
            <w:r>
              <w:rPr>
                <w:rFonts w:hint="eastAsia" w:ascii="宋体" w:hAnsi="宋体" w:cs="仿宋"/>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支持日志备份自动传送到远程服务器。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ascii="宋体" w:hAnsi="宋体" w:cs="仿宋"/>
                <w:color w:val="auto"/>
                <w:kern w:val="0"/>
                <w:highlight w:val="none"/>
              </w:rPr>
              <w:t>支持从远程仓库恢复数据</w:t>
            </w:r>
            <w:r>
              <w:rPr>
                <w:rFonts w:hint="eastAsia" w:ascii="宋体" w:hAnsi="宋体" w:cs="仿宋"/>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ascii="宋体" w:hAnsi="宋体" w:cs="仿宋"/>
                <w:color w:val="auto"/>
                <w:kern w:val="0"/>
                <w:highlight w:val="none"/>
              </w:rPr>
              <w:t>支持FTP、SAMBA、NFS和FILE，4种方式的远程服务器</w:t>
            </w:r>
            <w:r>
              <w:rPr>
                <w:rFonts w:hint="eastAsia" w:ascii="宋体" w:hAnsi="宋体" w:cs="仿宋"/>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应用性能监控</w:t>
            </w:r>
          </w:p>
          <w:p>
            <w:pPr>
              <w:spacing w:line="360" w:lineRule="auto"/>
              <w:rPr>
                <w:rFonts w:ascii="宋体" w:hAnsi="宋体" w:cs="仿宋"/>
                <w:color w:val="auto"/>
                <w:kern w:val="0"/>
                <w:highlight w:val="none"/>
              </w:rPr>
            </w:pPr>
            <w:r>
              <w:rPr>
                <w:rFonts w:hint="eastAsia" w:ascii="宋体" w:hAnsi="宋体" w:cs="仿宋"/>
                <w:color w:val="auto"/>
                <w:kern w:val="0"/>
                <w:highlight w:val="none"/>
              </w:rPr>
              <w:t>（APM）</w:t>
            </w: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支持监控设备自身CPU、内存、磁盘等工作运行状况。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★通过在目标主机上安装Agent程序，支持监测目标主机的CPU利用率、内存使用率、磁盘使用率、磁盘使用情况、流量等信息。（须提供相关截图和第三方</w:t>
            </w:r>
            <w:r>
              <w:rPr>
                <w:rFonts w:ascii="宋体" w:hAnsi="宋体" w:cs="仿宋"/>
                <w:color w:val="auto"/>
                <w:kern w:val="0"/>
                <w:highlight w:val="none"/>
              </w:rPr>
              <w:t>检测机构检测报告</w:t>
            </w:r>
            <w:r>
              <w:rPr>
                <w:rFonts w:hint="eastAsia" w:ascii="宋体" w:hAnsi="宋体" w:cs="仿宋"/>
                <w:color w:val="auto"/>
                <w:kern w:val="0"/>
                <w:highlight w:val="none"/>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支持以下对象的性能监控：</w:t>
            </w:r>
          </w:p>
          <w:p>
            <w:pPr>
              <w:spacing w:line="360" w:lineRule="auto"/>
              <w:rPr>
                <w:rFonts w:ascii="宋体" w:hAnsi="宋体" w:cs="仿宋"/>
                <w:color w:val="auto"/>
                <w:kern w:val="0"/>
                <w:highlight w:val="none"/>
              </w:rPr>
            </w:pPr>
            <w:r>
              <w:rPr>
                <w:rFonts w:hint="eastAsia" w:ascii="宋体" w:hAnsi="宋体" w:cs="仿宋"/>
                <w:color w:val="auto"/>
                <w:kern w:val="0"/>
                <w:highlight w:val="none"/>
              </w:rPr>
              <w:t>操作系统 - Windows、Linux、Aix、FeeBSD、HP-UX/Tru64、Max OS、Sun Solaris</w:t>
            </w:r>
          </w:p>
          <w:p>
            <w:pPr>
              <w:spacing w:line="360" w:lineRule="auto"/>
              <w:rPr>
                <w:rFonts w:ascii="宋体" w:hAnsi="宋体" w:cs="仿宋"/>
                <w:color w:val="auto"/>
                <w:kern w:val="0"/>
                <w:highlight w:val="none"/>
              </w:rPr>
            </w:pPr>
            <w:r>
              <w:rPr>
                <w:rFonts w:hint="eastAsia" w:ascii="宋体" w:hAnsi="宋体" w:cs="仿宋"/>
                <w:color w:val="auto"/>
                <w:kern w:val="0"/>
                <w:highlight w:val="none"/>
              </w:rPr>
              <w:t>数据库 - MySQL、Oracle</w:t>
            </w:r>
          </w:p>
          <w:p>
            <w:pPr>
              <w:spacing w:line="360" w:lineRule="auto"/>
              <w:rPr>
                <w:rFonts w:ascii="宋体" w:hAnsi="宋体" w:cs="仿宋"/>
                <w:color w:val="auto"/>
                <w:kern w:val="0"/>
                <w:highlight w:val="none"/>
              </w:rPr>
            </w:pPr>
            <w:r>
              <w:rPr>
                <w:rFonts w:hint="eastAsia" w:ascii="宋体" w:hAnsi="宋体" w:cs="仿宋"/>
                <w:color w:val="auto"/>
                <w:kern w:val="0"/>
                <w:highlight w:val="none"/>
              </w:rPr>
              <w:t>应用服务器 - Weblogic、Tomcat</w:t>
            </w:r>
          </w:p>
          <w:p>
            <w:pPr>
              <w:spacing w:line="360" w:lineRule="auto"/>
              <w:rPr>
                <w:rFonts w:ascii="宋体" w:hAnsi="宋体" w:cs="仿宋"/>
                <w:color w:val="auto"/>
                <w:kern w:val="0"/>
                <w:highlight w:val="none"/>
              </w:rPr>
            </w:pPr>
            <w:r>
              <w:rPr>
                <w:rFonts w:hint="eastAsia" w:ascii="宋体" w:hAnsi="宋体" w:cs="仿宋"/>
                <w:color w:val="auto"/>
                <w:kern w:val="0"/>
                <w:highlight w:val="none"/>
              </w:rPr>
              <w:t>Web服务器 - Apache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支持应用性能历史详情回溯查看。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告警功能</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可预设置安全告警策略。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支持数据阀值设置，超过阀值将产生告警。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可以通过邮件、短信和屏幕显示进行告警。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自动防止在短时间内大量发送报警信息(告警抑制)。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具备报警合并和在一个时间段内抑制报警次数的能力。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用户管理</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系统自带自身管理日志。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用户支持双因子认证登录，双因子认证令牌支持绑定至具体用户。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提供一键式故障排除功能。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提供自助式的升级接口，支持升级、规则升级。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3" w:type="dxa"/>
            <w:vMerge w:val="restart"/>
            <w:noWrap w:val="0"/>
            <w:vAlign w:val="center"/>
          </w:tcPr>
          <w:p>
            <w:pPr>
              <w:spacing w:line="360" w:lineRule="auto"/>
              <w:rPr>
                <w:rFonts w:ascii="宋体" w:hAnsi="宋体" w:cs="仿宋"/>
                <w:color w:val="auto"/>
                <w:kern w:val="0"/>
                <w:highlight w:val="none"/>
              </w:rPr>
            </w:pPr>
            <w:r>
              <w:rPr>
                <w:rFonts w:hint="eastAsia" w:ascii="宋体" w:hAnsi="宋体" w:cs="仿宋"/>
                <w:color w:val="auto"/>
                <w:kern w:val="0"/>
                <w:highlight w:val="none"/>
              </w:rPr>
              <w:t>资产管理</w:t>
            </w: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注册用户资产时，提供自动发现识别能力。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3" w:type="dxa"/>
            <w:vMerge w:val="continue"/>
            <w:noWrap w:val="0"/>
            <w:vAlign w:val="center"/>
          </w:tcPr>
          <w:p>
            <w:pPr>
              <w:spacing w:line="360" w:lineRule="auto"/>
              <w:rPr>
                <w:rFonts w:ascii="宋体" w:hAnsi="宋体" w:cs="仿宋"/>
                <w:color w:val="auto"/>
                <w:kern w:val="0"/>
                <w:highlight w:val="none"/>
              </w:rPr>
            </w:pPr>
          </w:p>
        </w:tc>
        <w:tc>
          <w:tcPr>
            <w:tcW w:w="6787" w:type="dxa"/>
            <w:noWrap w:val="0"/>
            <w:vAlign w:val="top"/>
          </w:tcPr>
          <w:p>
            <w:pPr>
              <w:spacing w:line="360" w:lineRule="auto"/>
              <w:rPr>
                <w:rFonts w:ascii="宋体" w:hAnsi="宋体" w:cs="仿宋"/>
                <w:color w:val="auto"/>
                <w:kern w:val="0"/>
                <w:highlight w:val="none"/>
              </w:rPr>
            </w:pPr>
            <w:r>
              <w:rPr>
                <w:rFonts w:hint="eastAsia" w:ascii="宋体" w:hAnsi="宋体" w:cs="仿宋"/>
                <w:color w:val="auto"/>
                <w:kern w:val="0"/>
                <w:highlight w:val="none"/>
              </w:rPr>
              <w:t>★资产拓扑支持按照实际的用户环境进行编辑发布并可以和资产进行绑定，拓扑可以显示资产采集的事件数量被采集资产的状态等信息。（须提供相关截图和第三方</w:t>
            </w:r>
            <w:r>
              <w:rPr>
                <w:rFonts w:ascii="宋体" w:hAnsi="宋体" w:cs="仿宋"/>
                <w:color w:val="auto"/>
                <w:kern w:val="0"/>
                <w:highlight w:val="none"/>
              </w:rPr>
              <w:t>检测机构检测报告</w:t>
            </w:r>
            <w:r>
              <w:rPr>
                <w:rFonts w:hint="eastAsia" w:ascii="宋体" w:hAnsi="宋体" w:cs="仿宋"/>
                <w:color w:val="auto"/>
                <w:kern w:val="0"/>
                <w:highlight w:val="none"/>
              </w:rPr>
              <w:t>证明）</w:t>
            </w:r>
          </w:p>
        </w:tc>
      </w:tr>
    </w:tbl>
    <w:p>
      <w:pPr>
        <w:spacing w:line="360" w:lineRule="auto"/>
        <w:ind w:firstLine="420"/>
        <w:rPr>
          <w:rFonts w:ascii="宋体" w:hAnsi="宋体"/>
          <w:b/>
          <w:bCs/>
          <w:color w:val="auto"/>
          <w:highlight w:val="none"/>
        </w:rPr>
      </w:pPr>
      <w:r>
        <w:rPr>
          <w:rFonts w:hint="eastAsia" w:ascii="宋体" w:hAnsi="宋体"/>
          <w:b/>
          <w:bCs/>
          <w:color w:val="auto"/>
          <w:highlight w:val="none"/>
        </w:rPr>
        <w:t>2、视频专网服务能力要求</w:t>
      </w:r>
    </w:p>
    <w:p>
      <w:pPr>
        <w:spacing w:line="360" w:lineRule="auto"/>
        <w:ind w:firstLine="42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 xml:space="preserve">.1 </w:t>
      </w:r>
      <w:r>
        <w:rPr>
          <w:rFonts w:hint="eastAsia" w:ascii="宋体" w:hAnsi="宋体"/>
          <w:b/>
          <w:bCs/>
          <w:color w:val="auto"/>
          <w:highlight w:val="none"/>
        </w:rPr>
        <w:t>日志分析服务</w:t>
      </w:r>
    </w:p>
    <w:p>
      <w:pPr>
        <w:spacing w:line="360" w:lineRule="auto"/>
        <w:ind w:firstLine="420"/>
        <w:rPr>
          <w:rFonts w:ascii="宋体" w:hAnsi="宋体"/>
          <w:color w:val="auto"/>
          <w:highlight w:val="none"/>
        </w:rPr>
      </w:pPr>
      <w:r>
        <w:rPr>
          <w:rFonts w:hint="eastAsia" w:ascii="宋体" w:hAnsi="宋体"/>
          <w:color w:val="auto"/>
          <w:highlight w:val="none"/>
        </w:rPr>
        <w:t>日志分析服务通过在视频专网部署日志采集探针，归集网络中各类设备及应用日志信息，进行日志记录的统一收集、存储、分析、查询、审计和报表输出，并将归集后的日志和告警信息同步给安全运营中心做进一步的通报和展示。</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3"/>
        <w:gridCol w:w="6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3" w:type="dxa"/>
            <w:shd w:val="clear" w:color="auto" w:fill="AEAAAA"/>
            <w:noWrap w:val="0"/>
            <w:vAlign w:val="center"/>
          </w:tcPr>
          <w:p>
            <w:pPr>
              <w:spacing w:line="360" w:lineRule="auto"/>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技术指标</w:t>
            </w:r>
          </w:p>
        </w:tc>
        <w:tc>
          <w:tcPr>
            <w:tcW w:w="6787" w:type="dxa"/>
            <w:shd w:val="clear" w:color="auto" w:fill="AEAAAA"/>
            <w:noWrap w:val="0"/>
            <w:vAlign w:val="center"/>
          </w:tcPr>
          <w:p>
            <w:pPr>
              <w:spacing w:line="360" w:lineRule="auto"/>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023"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服务工具基础要求</w:t>
            </w: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3"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服务工具规格要求</w:t>
            </w: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标准2U硬件；</w:t>
            </w:r>
          </w:p>
          <w:p>
            <w:pPr>
              <w:spacing w:line="360" w:lineRule="auto"/>
              <w:rPr>
                <w:rFonts w:hint="eastAsia" w:ascii="宋体" w:hAnsi="宋体" w:cs="仿宋"/>
                <w:color w:val="auto"/>
                <w:kern w:val="0"/>
                <w:sz w:val="22"/>
                <w:szCs w:val="22"/>
                <w:highlight w:val="none"/>
              </w:rPr>
            </w:pPr>
            <w:r>
              <w:rPr>
                <w:rFonts w:hint="eastAsia" w:ascii="宋体" w:hAnsi="宋体" w:cs="仿宋"/>
                <w:color w:val="auto"/>
                <w:kern w:val="0"/>
                <w:sz w:val="22"/>
                <w:szCs w:val="22"/>
                <w:highlight w:val="none"/>
              </w:rPr>
              <w:t>内存≥8GB，硬盘≥2TB（2T*1）；</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网口：</w:t>
            </w:r>
            <w:r>
              <w:rPr>
                <w:rFonts w:hint="eastAsia" w:ascii="宋体" w:hAnsi="宋体" w:cs="仿宋"/>
                <w:color w:val="auto"/>
                <w:kern w:val="0"/>
                <w:sz w:val="22"/>
                <w:szCs w:val="22"/>
                <w:highlight w:val="none"/>
                <w:lang w:val="en-US" w:eastAsia="zh-CN"/>
              </w:rPr>
              <w:t>不少于</w:t>
            </w:r>
            <w:r>
              <w:rPr>
                <w:rFonts w:hint="eastAsia" w:ascii="宋体" w:hAnsi="宋体" w:cs="仿宋"/>
                <w:color w:val="auto"/>
                <w:kern w:val="0"/>
                <w:sz w:val="22"/>
                <w:szCs w:val="22"/>
                <w:highlight w:val="none"/>
              </w:rPr>
              <w:t>6个千兆工作管理口（1管理口+1HA口+4审计口)，</w:t>
            </w:r>
            <w:r>
              <w:rPr>
                <w:rFonts w:hint="eastAsia" w:ascii="宋体" w:hAnsi="宋体" w:cs="仿宋"/>
                <w:color w:val="auto"/>
                <w:kern w:val="0"/>
                <w:sz w:val="22"/>
                <w:szCs w:val="22"/>
                <w:highlight w:val="none"/>
                <w:lang w:val="en-US" w:eastAsia="zh-CN"/>
              </w:rPr>
              <w:t>不少于</w:t>
            </w:r>
            <w:r>
              <w:rPr>
                <w:rFonts w:hint="eastAsia" w:ascii="宋体" w:hAnsi="宋体" w:cs="仿宋"/>
                <w:color w:val="auto"/>
                <w:kern w:val="0"/>
                <w:sz w:val="22"/>
                <w:szCs w:val="22"/>
                <w:highlight w:val="none"/>
              </w:rPr>
              <w:t>1个console口</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网络端口：配备至少2个千兆电口管理口；</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支持千兆网络环境下的监听能力，标配至少4个千兆电口。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3"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服务工具性能要求</w:t>
            </w: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审计性能：支持审计不少于1</w:t>
            </w:r>
            <w:r>
              <w:rPr>
                <w:rFonts w:ascii="宋体" w:hAnsi="宋体" w:cs="仿宋"/>
                <w:color w:val="auto"/>
                <w:kern w:val="0"/>
                <w:sz w:val="22"/>
                <w:szCs w:val="22"/>
                <w:highlight w:val="none"/>
              </w:rPr>
              <w:t>0</w:t>
            </w:r>
            <w:r>
              <w:rPr>
                <w:rFonts w:hint="eastAsia" w:ascii="宋体" w:hAnsi="宋体" w:cs="仿宋"/>
                <w:color w:val="auto"/>
                <w:kern w:val="0"/>
                <w:sz w:val="22"/>
                <w:szCs w:val="22"/>
                <w:highlight w:val="none"/>
              </w:rPr>
              <w:t>0个日志源；</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日志处理能力EPS≥4000/秒，峰值处理能力≥5000/秒。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日志收集</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支持Syslog、SNMP Trap、</w:t>
            </w:r>
            <w:r>
              <w:rPr>
                <w:rFonts w:ascii="宋体" w:hAnsi="宋体" w:cs="仿宋"/>
                <w:color w:val="auto"/>
                <w:kern w:val="0"/>
                <w:sz w:val="22"/>
                <w:szCs w:val="22"/>
                <w:highlight w:val="none"/>
              </w:rPr>
              <w:t>HTTP</w:t>
            </w:r>
            <w:r>
              <w:rPr>
                <w:rFonts w:hint="eastAsia" w:ascii="宋体" w:hAnsi="宋体" w:cs="仿宋"/>
                <w:color w:val="auto"/>
                <w:kern w:val="0"/>
                <w:sz w:val="22"/>
                <w:szCs w:val="22"/>
                <w:highlight w:val="none"/>
              </w:rPr>
              <w:t>、</w:t>
            </w:r>
            <w:r>
              <w:rPr>
                <w:rFonts w:ascii="宋体" w:hAnsi="宋体" w:cs="仿宋"/>
                <w:color w:val="auto"/>
                <w:kern w:val="0"/>
                <w:sz w:val="22"/>
                <w:szCs w:val="22"/>
                <w:highlight w:val="none"/>
              </w:rPr>
              <w:t>ODBC/JDBC、WMI、</w:t>
            </w:r>
            <w:r>
              <w:rPr>
                <w:rFonts w:hint="eastAsia" w:ascii="宋体" w:hAnsi="宋体" w:cs="仿宋"/>
                <w:color w:val="auto"/>
                <w:kern w:val="0"/>
                <w:sz w:val="22"/>
                <w:szCs w:val="22"/>
                <w:highlight w:val="none"/>
              </w:rPr>
              <w:t>FTP</w:t>
            </w:r>
            <w:r>
              <w:rPr>
                <w:rFonts w:ascii="宋体" w:hAnsi="宋体" w:cs="仿宋"/>
                <w:color w:val="auto"/>
                <w:kern w:val="0"/>
                <w:sz w:val="22"/>
                <w:szCs w:val="22"/>
                <w:highlight w:val="none"/>
              </w:rPr>
              <w:t>、SFTP</w:t>
            </w:r>
            <w:r>
              <w:rPr>
                <w:rFonts w:hint="eastAsia" w:ascii="宋体" w:hAnsi="宋体" w:cs="仿宋"/>
                <w:color w:val="auto"/>
                <w:kern w:val="0"/>
                <w:sz w:val="22"/>
                <w:szCs w:val="22"/>
                <w:highlight w:val="none"/>
              </w:rPr>
              <w:t>协议日志收集；支持阿里云SLS日志的采集。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可通过接收协议限制日志接收速率，包括Http接收、syslog接收、SNMPtrap接收、TCP接收、WMI接收、aliyun接收。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支持使用代理(Agent)方式提取日志并收集；安装包支持界面下载，且安装支持可视化向导。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支持对Agent进行统一管控，包括卸载、升级、启动及停止操作，支持将日志收集策略统一分发。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支持目前主流的网络安全设备、交换设备、路由设备、操作系统、应用系统等；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支持常见的虚拟机环境日志收集，包括Xen、VMWare、Hyper-V等。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日志分析</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可以基于日志等级进行过滤。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可以通过自定义配置过滤掉用户不关心的日志。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支持对收集到的重复日志进行自动聚合归并，减少日志量。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支持可由用户定义和修改的日志聚合归并逻辑规则。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支持将收集到的日志转发，当原始日志设备无法设置多个日志服务器时，可以通过本系统的日志转发功能将日志转发到其他日志存储设备。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日志支持文本方式输出给第三方平台，进行数据共享。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内置</w:t>
            </w:r>
            <w:r>
              <w:rPr>
                <w:rFonts w:ascii="宋体" w:hAnsi="宋体" w:cs="仿宋"/>
                <w:color w:val="auto"/>
                <w:kern w:val="0"/>
                <w:sz w:val="22"/>
                <w:szCs w:val="22"/>
                <w:highlight w:val="none"/>
              </w:rPr>
              <w:t>5000+</w:t>
            </w:r>
            <w:r>
              <w:rPr>
                <w:rFonts w:hint="eastAsia" w:ascii="宋体" w:hAnsi="宋体" w:cs="仿宋"/>
                <w:color w:val="auto"/>
                <w:kern w:val="0"/>
                <w:sz w:val="22"/>
                <w:szCs w:val="22"/>
                <w:highlight w:val="none"/>
              </w:rPr>
              <w:t>解析规则，支持对收集的</w:t>
            </w:r>
            <w:r>
              <w:rPr>
                <w:rFonts w:ascii="宋体" w:hAnsi="宋体" w:cs="仿宋"/>
                <w:color w:val="auto"/>
                <w:kern w:val="0"/>
                <w:sz w:val="22"/>
                <w:szCs w:val="22"/>
                <w:highlight w:val="none"/>
              </w:rPr>
              <w:t>5000+</w:t>
            </w:r>
            <w:r>
              <w:rPr>
                <w:rFonts w:hint="eastAsia" w:ascii="宋体" w:hAnsi="宋体" w:cs="仿宋"/>
                <w:color w:val="auto"/>
                <w:kern w:val="0"/>
                <w:sz w:val="22"/>
                <w:szCs w:val="22"/>
                <w:highlight w:val="none"/>
              </w:rPr>
              <w:t>设备类型日志进行解析（标准化、归一化），解析维度多达</w:t>
            </w:r>
            <w:r>
              <w:rPr>
                <w:rFonts w:ascii="宋体" w:hAnsi="宋体" w:cs="仿宋"/>
                <w:color w:val="auto"/>
                <w:kern w:val="0"/>
                <w:sz w:val="22"/>
                <w:szCs w:val="22"/>
                <w:highlight w:val="none"/>
              </w:rPr>
              <w:t>200+</w:t>
            </w:r>
            <w:r>
              <w:rPr>
                <w:rFonts w:hint="eastAsia" w:ascii="宋体" w:hAnsi="宋体" w:cs="仿宋"/>
                <w:color w:val="auto"/>
                <w:kern w:val="0"/>
                <w:sz w:val="22"/>
                <w:szCs w:val="22"/>
                <w:highlight w:val="none"/>
              </w:rPr>
              <w:t>，解析规则可以根据客户要求定制扩展。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内置设备异常、漏洞利用、横向渗透、权限提升、命令执行、可疑行为</w:t>
            </w:r>
            <w:r>
              <w:rPr>
                <w:rFonts w:ascii="宋体" w:hAnsi="宋体" w:cs="仿宋"/>
                <w:color w:val="auto"/>
                <w:kern w:val="0"/>
                <w:sz w:val="22"/>
                <w:szCs w:val="22"/>
                <w:highlight w:val="none"/>
              </w:rPr>
              <w:t>6</w:t>
            </w:r>
            <w:r>
              <w:rPr>
                <w:rFonts w:hint="eastAsia" w:ascii="宋体" w:hAnsi="宋体" w:cs="仿宋"/>
                <w:color w:val="auto"/>
                <w:kern w:val="0"/>
                <w:sz w:val="22"/>
                <w:szCs w:val="22"/>
                <w:highlight w:val="none"/>
              </w:rPr>
              <w:t>大类5</w:t>
            </w:r>
            <w:r>
              <w:rPr>
                <w:rFonts w:ascii="宋体" w:hAnsi="宋体" w:cs="仿宋"/>
                <w:color w:val="auto"/>
                <w:kern w:val="0"/>
                <w:sz w:val="22"/>
                <w:szCs w:val="22"/>
                <w:highlight w:val="none"/>
              </w:rPr>
              <w:t>0+</w:t>
            </w:r>
            <w:r>
              <w:rPr>
                <w:rFonts w:hint="eastAsia" w:ascii="宋体" w:hAnsi="宋体" w:cs="仿宋"/>
                <w:color w:val="auto"/>
                <w:kern w:val="0"/>
                <w:sz w:val="22"/>
                <w:szCs w:val="22"/>
                <w:highlight w:val="none"/>
              </w:rPr>
              <w:t>子类的安全分析场景。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进行关联分析的规则可定制。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★三维关联分析；支持通过资产、安全知识库、弱点库三个维度分析事件是否存在威胁，并形成关联事件。（须提供相关截图和第三方</w:t>
            </w:r>
            <w:r>
              <w:rPr>
                <w:rFonts w:ascii="宋体" w:hAnsi="宋体" w:cs="仿宋"/>
                <w:color w:val="auto"/>
                <w:kern w:val="0"/>
                <w:sz w:val="22"/>
                <w:szCs w:val="22"/>
                <w:highlight w:val="none"/>
              </w:rPr>
              <w:t>检测机构检测报告</w:t>
            </w:r>
            <w:r>
              <w:rPr>
                <w:rFonts w:hint="eastAsia" w:ascii="宋体" w:hAnsi="宋体" w:cs="仿宋"/>
                <w:color w:val="auto"/>
                <w:kern w:val="0"/>
                <w:sz w:val="22"/>
                <w:szCs w:val="22"/>
                <w:highlight w:val="none"/>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日志备份</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可设置日志存储备份策略。包括系统日志保存期（天）、磁盘使用率百分比</w:t>
            </w:r>
            <w:r>
              <w:rPr>
                <w:rFonts w:ascii="宋体" w:hAnsi="宋体" w:cs="仿宋"/>
                <w:color w:val="auto"/>
                <w:kern w:val="0"/>
                <w:sz w:val="22"/>
                <w:szCs w:val="22"/>
                <w:highlight w:val="none"/>
              </w:rPr>
              <w:t>等策略</w:t>
            </w:r>
            <w:r>
              <w:rPr>
                <w:rFonts w:hint="eastAsia" w:ascii="宋体" w:hAnsi="宋体" w:cs="仿宋"/>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ascii="宋体" w:hAnsi="宋体" w:cs="仿宋"/>
                <w:color w:val="auto"/>
                <w:kern w:val="0"/>
                <w:sz w:val="22"/>
                <w:szCs w:val="22"/>
                <w:highlight w:val="none"/>
              </w:rPr>
              <w:t>支持日志本地备份及恢复</w:t>
            </w:r>
            <w:r>
              <w:rPr>
                <w:rFonts w:hint="eastAsia" w:ascii="宋体" w:hAnsi="宋体" w:cs="仿宋"/>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支持日志备份自动传送到远程服务器。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ascii="宋体" w:hAnsi="宋体" w:cs="仿宋"/>
                <w:color w:val="auto"/>
                <w:kern w:val="0"/>
                <w:sz w:val="22"/>
                <w:szCs w:val="22"/>
                <w:highlight w:val="none"/>
              </w:rPr>
              <w:t>支持从远程仓库恢复数据</w:t>
            </w:r>
            <w:r>
              <w:rPr>
                <w:rFonts w:hint="eastAsia" w:ascii="宋体" w:hAnsi="宋体" w:cs="仿宋"/>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ascii="宋体" w:hAnsi="宋体" w:cs="仿宋"/>
                <w:color w:val="auto"/>
                <w:kern w:val="0"/>
                <w:sz w:val="22"/>
                <w:szCs w:val="22"/>
                <w:highlight w:val="none"/>
              </w:rPr>
              <w:t>支持FTP、SAMBA、NFS和FILE，4种方式的远程服务器</w:t>
            </w:r>
            <w:r>
              <w:rPr>
                <w:rFonts w:hint="eastAsia" w:ascii="宋体" w:hAnsi="宋体" w:cs="仿宋"/>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应用性能监控</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（APM）</w:t>
            </w: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支持监控设备自身CPU、内存、磁盘等工作运行状况。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★通过在目标主机上安装Agent程序，支持监测目标主机的CPU利用率、内存使用率、磁盘使用率、磁盘使用情况、流量等信息。（须提供相关截图和第三方</w:t>
            </w:r>
            <w:r>
              <w:rPr>
                <w:rFonts w:ascii="宋体" w:hAnsi="宋体" w:cs="仿宋"/>
                <w:color w:val="auto"/>
                <w:kern w:val="0"/>
                <w:sz w:val="22"/>
                <w:szCs w:val="22"/>
                <w:highlight w:val="none"/>
              </w:rPr>
              <w:t>检测机构检测报告</w:t>
            </w:r>
            <w:r>
              <w:rPr>
                <w:rFonts w:hint="eastAsia" w:ascii="宋体" w:hAnsi="宋体" w:cs="仿宋"/>
                <w:color w:val="auto"/>
                <w:kern w:val="0"/>
                <w:sz w:val="22"/>
                <w:szCs w:val="22"/>
                <w:highlight w:val="none"/>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支持以下对象的性能监控：</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操作系统 - Windows、Linux、Aix、FeeBSD、HP-UX/Tru64、Max OS、Sun Solaris</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数据库 - MySQL、Oracle</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应用服务器 - Weblogic、Tomcat</w:t>
            </w:r>
          </w:p>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Web服务器 - Apache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支持应用性能历史详情回溯查看。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告警功能</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可预设置安全告警策略。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自动防止在短时间内大量发送报警信息(告警抑制)。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具备报警合并和在一个时间段内抑制报警次数的能力。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用户管理</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系统自带自身管理日志。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用户支持双因子认证登录，双因子认证令牌支持绑定至具体用户。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提供一键式故障排除功能。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提供自助式的升级接口，支持升级、规则升级。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3" w:type="dxa"/>
            <w:vMerge w:val="restart"/>
            <w:noWrap w:val="0"/>
            <w:vAlign w:val="center"/>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资产管理</w:t>
            </w: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注册用户资产时，提供自动发现识别能力。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3" w:type="dxa"/>
            <w:vMerge w:val="continue"/>
            <w:noWrap w:val="0"/>
            <w:vAlign w:val="center"/>
          </w:tcPr>
          <w:p>
            <w:pPr>
              <w:spacing w:line="360" w:lineRule="auto"/>
              <w:rPr>
                <w:rFonts w:ascii="宋体" w:hAnsi="宋体" w:cs="仿宋"/>
                <w:color w:val="auto"/>
                <w:kern w:val="0"/>
                <w:sz w:val="22"/>
                <w:szCs w:val="22"/>
                <w:highlight w:val="none"/>
              </w:rPr>
            </w:pPr>
          </w:p>
        </w:tc>
        <w:tc>
          <w:tcPr>
            <w:tcW w:w="6787" w:type="dxa"/>
            <w:noWrap w:val="0"/>
            <w:vAlign w:val="top"/>
          </w:tcPr>
          <w:p>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rPr>
              <w:t>★资产拓扑支持按照实际的用户环境进行编辑发布并可以和资产进行绑定，拓扑可以显示资产采集的事件数量被采集资产的状态等信息。（须提供相关截图和第三方</w:t>
            </w:r>
            <w:r>
              <w:rPr>
                <w:rFonts w:ascii="宋体" w:hAnsi="宋体" w:cs="仿宋"/>
                <w:color w:val="auto"/>
                <w:kern w:val="0"/>
                <w:sz w:val="22"/>
                <w:szCs w:val="22"/>
                <w:highlight w:val="none"/>
              </w:rPr>
              <w:t>检测机构检测报告</w:t>
            </w:r>
            <w:r>
              <w:rPr>
                <w:rFonts w:hint="eastAsia" w:ascii="宋体" w:hAnsi="宋体" w:cs="仿宋"/>
                <w:color w:val="auto"/>
                <w:kern w:val="0"/>
                <w:sz w:val="22"/>
                <w:szCs w:val="22"/>
                <w:highlight w:val="none"/>
              </w:rPr>
              <w:t>证明）</w:t>
            </w:r>
          </w:p>
        </w:tc>
      </w:tr>
    </w:tbl>
    <w:p>
      <w:pPr>
        <w:spacing w:line="360" w:lineRule="auto"/>
        <w:ind w:firstLine="420"/>
        <w:rPr>
          <w:rFonts w:ascii="宋体" w:hAnsi="宋体"/>
          <w:b/>
          <w:bCs/>
          <w:color w:val="auto"/>
          <w:highlight w:val="none"/>
        </w:rPr>
      </w:pPr>
      <w:r>
        <w:rPr>
          <w:rFonts w:ascii="宋体" w:hAnsi="宋体"/>
          <w:b/>
          <w:bCs/>
          <w:color w:val="auto"/>
          <w:highlight w:val="none"/>
        </w:rPr>
        <w:t xml:space="preserve">2.2 </w:t>
      </w:r>
      <w:r>
        <w:rPr>
          <w:rFonts w:hint="eastAsia" w:ascii="宋体" w:hAnsi="宋体"/>
          <w:b/>
          <w:bCs/>
          <w:color w:val="auto"/>
          <w:highlight w:val="none"/>
        </w:rPr>
        <w:t>流量检测服务</w:t>
      </w:r>
    </w:p>
    <w:p>
      <w:pPr>
        <w:spacing w:line="360" w:lineRule="auto"/>
        <w:ind w:firstLine="420"/>
        <w:rPr>
          <w:rFonts w:ascii="宋体" w:hAnsi="宋体"/>
          <w:color w:val="auto"/>
          <w:highlight w:val="none"/>
        </w:rPr>
      </w:pPr>
      <w:r>
        <w:rPr>
          <w:rFonts w:hint="eastAsia" w:ascii="宋体" w:hAnsi="宋体"/>
          <w:color w:val="auto"/>
          <w:highlight w:val="none"/>
        </w:rPr>
        <w:t>流量检测服务通过在视频专网部署的流量分析探针，实时发现由外到内和由内到外的网络攻击行为。服务基于丰富的特征库实时发现网络中发生的各种已知威胁和未知威胁。技术人员将定期对入侵行为进行分析，发现公安网内威胁源头并输出报告。</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026"/>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dxa"/>
            <w:gridSpan w:val="2"/>
            <w:shd w:val="clear" w:color="auto" w:fill="AEAAAA"/>
            <w:noWrap w:val="0"/>
            <w:vAlign w:val="center"/>
          </w:tcPr>
          <w:p>
            <w:pPr>
              <w:spacing w:line="360" w:lineRule="auto"/>
              <w:jc w:val="center"/>
              <w:rPr>
                <w:rFonts w:ascii="宋体" w:hAnsi="宋体"/>
                <w:b/>
                <w:bCs/>
                <w:color w:val="auto"/>
                <w:sz w:val="22"/>
                <w:szCs w:val="22"/>
                <w:highlight w:val="none"/>
              </w:rPr>
            </w:pPr>
            <w:r>
              <w:rPr>
                <w:rFonts w:hint="eastAsia" w:ascii="宋体" w:hAnsi="宋体" w:cs="仿宋"/>
                <w:b/>
                <w:bCs/>
                <w:color w:val="auto"/>
                <w:sz w:val="22"/>
                <w:szCs w:val="22"/>
                <w:highlight w:val="none"/>
              </w:rPr>
              <w:t>技术指标</w:t>
            </w:r>
          </w:p>
        </w:tc>
        <w:tc>
          <w:tcPr>
            <w:tcW w:w="6645" w:type="dxa"/>
            <w:shd w:val="clear" w:color="auto" w:fill="AEAAAA"/>
            <w:noWrap w:val="0"/>
            <w:vAlign w:val="center"/>
          </w:tcPr>
          <w:p>
            <w:pPr>
              <w:spacing w:line="360" w:lineRule="auto"/>
              <w:jc w:val="center"/>
              <w:rPr>
                <w:rFonts w:ascii="宋体" w:hAnsi="宋体"/>
                <w:b/>
                <w:bCs/>
                <w:color w:val="auto"/>
                <w:sz w:val="22"/>
                <w:szCs w:val="22"/>
                <w:highlight w:val="none"/>
              </w:rPr>
            </w:pPr>
            <w:r>
              <w:rPr>
                <w:rFonts w:hint="eastAsia" w:ascii="宋体" w:hAnsi="宋体" w:cs="仿宋"/>
                <w:b/>
                <w:bCs/>
                <w:color w:val="auto"/>
                <w:sz w:val="22"/>
                <w:szCs w:val="2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150"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服务工具基础要求</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服务工具规格要求</w:t>
            </w:r>
          </w:p>
        </w:tc>
        <w:tc>
          <w:tcPr>
            <w:tcW w:w="6645" w:type="dxa"/>
            <w:noWrap w:val="0"/>
            <w:vAlign w:val="center"/>
          </w:tcPr>
          <w:p>
            <w:pPr>
              <w:spacing w:line="360" w:lineRule="auto"/>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软硬一体化1U标准机架式设备</w:t>
            </w:r>
          </w:p>
          <w:p>
            <w:pPr>
              <w:spacing w:line="360" w:lineRule="auto"/>
              <w:rPr>
                <w:rFonts w:hint="default" w:ascii="宋体" w:hAnsi="宋体" w:eastAsia="宋体" w:cs="仿宋"/>
                <w:color w:val="auto"/>
                <w:sz w:val="22"/>
                <w:szCs w:val="22"/>
                <w:highlight w:val="none"/>
                <w:lang w:val="en-US" w:eastAsia="zh-CN"/>
              </w:rPr>
            </w:pPr>
            <w:r>
              <w:rPr>
                <w:rFonts w:hint="eastAsia" w:ascii="宋体" w:hAnsi="宋体" w:eastAsia="宋体" w:cs="仿宋"/>
                <w:color w:val="auto"/>
                <w:sz w:val="22"/>
                <w:szCs w:val="22"/>
                <w:highlight w:val="none"/>
                <w:lang w:val="en-US" w:eastAsia="zh-CN"/>
              </w:rPr>
              <w:t>电源：单电源</w:t>
            </w:r>
          </w:p>
          <w:p>
            <w:pPr>
              <w:spacing w:line="360" w:lineRule="auto"/>
              <w:rPr>
                <w:rFonts w:hint="default" w:ascii="宋体" w:hAnsi="宋体" w:eastAsia="宋体" w:cs="仿宋"/>
                <w:color w:val="auto"/>
                <w:sz w:val="22"/>
                <w:szCs w:val="22"/>
                <w:highlight w:val="none"/>
                <w:lang w:val="en-US" w:eastAsia="zh-CN"/>
              </w:rPr>
            </w:pPr>
            <w:r>
              <w:rPr>
                <w:rFonts w:hint="eastAsia" w:ascii="宋体" w:hAnsi="宋体" w:eastAsia="宋体" w:cs="仿宋"/>
                <w:color w:val="auto"/>
                <w:sz w:val="22"/>
                <w:szCs w:val="22"/>
                <w:highlight w:val="none"/>
                <w:lang w:val="en-US" w:eastAsia="zh-CN"/>
              </w:rPr>
              <w:t>CPU≥2核4线程</w:t>
            </w:r>
          </w:p>
          <w:p>
            <w:pPr>
              <w:spacing w:line="360" w:lineRule="auto"/>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硬盘容量≥1T</w:t>
            </w:r>
          </w:p>
          <w:p>
            <w:pPr>
              <w:spacing w:line="360" w:lineRule="auto"/>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内存≥8G</w:t>
            </w:r>
          </w:p>
          <w:p>
            <w:pPr>
              <w:spacing w:line="360" w:lineRule="auto"/>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接口数量：</w:t>
            </w:r>
            <w:r>
              <w:rPr>
                <w:rFonts w:hint="eastAsia" w:ascii="宋体" w:hAnsi="宋体" w:eastAsia="宋体" w:cs="仿宋"/>
                <w:color w:val="auto"/>
                <w:sz w:val="22"/>
                <w:szCs w:val="22"/>
                <w:highlight w:val="none"/>
                <w:lang w:val="en-US" w:eastAsia="zh-CN"/>
              </w:rPr>
              <w:t>不少于</w:t>
            </w:r>
            <w:r>
              <w:rPr>
                <w:rFonts w:hint="eastAsia" w:ascii="宋体" w:hAnsi="宋体" w:eastAsia="宋体" w:cs="仿宋"/>
                <w:color w:val="auto"/>
                <w:sz w:val="22"/>
                <w:szCs w:val="22"/>
                <w:highlight w:val="none"/>
              </w:rPr>
              <w:t>6个</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管理口：千兆RJ45网口</w:t>
            </w:r>
            <w:r>
              <w:rPr>
                <w:rFonts w:hint="eastAsia" w:ascii="宋体" w:hAnsi="宋体" w:cs="仿宋"/>
                <w:color w:val="auto"/>
                <w:highlight w:val="none"/>
              </w:rPr>
              <w:t>≥</w:t>
            </w:r>
            <w:r>
              <w:rPr>
                <w:rFonts w:hint="eastAsia" w:ascii="宋体" w:hAnsi="宋体" w:cs="仿宋"/>
                <w:color w:val="auto"/>
                <w:sz w:val="22"/>
                <w:szCs w:val="22"/>
                <w:highlight w:val="none"/>
              </w:rPr>
              <w:t>2个</w:t>
            </w:r>
          </w:p>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业务口：千兆RJ45网口</w:t>
            </w:r>
            <w:r>
              <w:rPr>
                <w:rFonts w:hint="eastAsia" w:ascii="宋体" w:hAnsi="宋体" w:cs="仿宋"/>
                <w:color w:val="auto"/>
                <w:highlight w:val="none"/>
              </w:rPr>
              <w:t>≥</w:t>
            </w:r>
            <w:r>
              <w:rPr>
                <w:rFonts w:hint="eastAsia" w:ascii="宋体" w:hAnsi="宋体" w:cs="仿宋"/>
                <w:color w:val="auto"/>
                <w:sz w:val="22"/>
                <w:szCs w:val="22"/>
                <w:highlight w:val="none"/>
              </w:rPr>
              <w:t>4个</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MTBF大于65000小时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服务工具性能要求</w:t>
            </w:r>
          </w:p>
        </w:tc>
        <w:tc>
          <w:tcPr>
            <w:tcW w:w="6645" w:type="dxa"/>
            <w:noWrap w:val="0"/>
            <w:vAlign w:val="center"/>
          </w:tcPr>
          <w:p>
            <w:pPr>
              <w:spacing w:line="360" w:lineRule="auto"/>
              <w:rPr>
                <w:rFonts w:hint="eastAsia" w:ascii="宋体" w:hAnsi="宋体" w:cs="仿宋"/>
                <w:color w:val="auto"/>
                <w:sz w:val="22"/>
                <w:szCs w:val="22"/>
                <w:highlight w:val="none"/>
              </w:rPr>
            </w:pPr>
            <w:r>
              <w:rPr>
                <w:rFonts w:hint="eastAsia" w:ascii="宋体" w:hAnsi="宋体" w:cs="仿宋"/>
                <w:color w:val="auto"/>
                <w:sz w:val="22"/>
                <w:szCs w:val="22"/>
                <w:highlight w:val="none"/>
              </w:rPr>
              <w:t>吞吐率：网络层</w:t>
            </w:r>
            <w:r>
              <w:rPr>
                <w:rFonts w:hint="eastAsia" w:ascii="宋体" w:hAnsi="宋体" w:cs="仿宋"/>
                <w:color w:val="auto"/>
                <w:highlight w:val="none"/>
              </w:rPr>
              <w:t>≥</w:t>
            </w:r>
            <w:r>
              <w:rPr>
                <w:rFonts w:ascii="宋体" w:hAnsi="宋体" w:cs="仿宋"/>
                <w:color w:val="auto"/>
                <w:sz w:val="22"/>
                <w:szCs w:val="22"/>
                <w:highlight w:val="none"/>
              </w:rPr>
              <w:t>500M</w:t>
            </w:r>
            <w:r>
              <w:rPr>
                <w:rFonts w:hint="eastAsia" w:ascii="宋体" w:hAnsi="宋体" w:cs="仿宋"/>
                <w:color w:val="auto"/>
                <w:sz w:val="22"/>
                <w:szCs w:val="22"/>
                <w:highlight w:val="none"/>
              </w:rPr>
              <w:t>b</w:t>
            </w:r>
            <w:r>
              <w:rPr>
                <w:rFonts w:ascii="宋体" w:hAnsi="宋体" w:cs="仿宋"/>
                <w:color w:val="auto"/>
                <w:sz w:val="22"/>
                <w:szCs w:val="22"/>
                <w:highlight w:val="none"/>
              </w:rPr>
              <w:t>ps</w:t>
            </w:r>
            <w:r>
              <w:rPr>
                <w:rFonts w:hint="eastAsia" w:ascii="宋体" w:hAnsi="宋体" w:cs="仿宋"/>
                <w:color w:val="auto"/>
                <w:sz w:val="22"/>
                <w:szCs w:val="22"/>
                <w:highlight w:val="none"/>
              </w:rPr>
              <w:t>、应用层</w:t>
            </w:r>
            <w:r>
              <w:rPr>
                <w:rFonts w:hint="eastAsia" w:ascii="宋体" w:hAnsi="宋体" w:cs="仿宋"/>
                <w:color w:val="auto"/>
                <w:highlight w:val="none"/>
              </w:rPr>
              <w:t>≥</w:t>
            </w:r>
            <w:r>
              <w:rPr>
                <w:rFonts w:ascii="宋体" w:hAnsi="宋体" w:cs="仿宋"/>
                <w:color w:val="auto"/>
                <w:sz w:val="22"/>
                <w:szCs w:val="22"/>
                <w:highlight w:val="none"/>
              </w:rPr>
              <w:t>100M</w:t>
            </w:r>
            <w:r>
              <w:rPr>
                <w:rFonts w:hint="eastAsia" w:ascii="宋体" w:hAnsi="宋体" w:cs="仿宋"/>
                <w:color w:val="auto"/>
                <w:sz w:val="22"/>
                <w:szCs w:val="22"/>
                <w:highlight w:val="none"/>
              </w:rPr>
              <w:t>bps</w:t>
            </w:r>
          </w:p>
          <w:p>
            <w:pPr>
              <w:spacing w:line="360" w:lineRule="auto"/>
              <w:rPr>
                <w:rFonts w:hint="eastAsia" w:ascii="宋体" w:hAnsi="宋体" w:cs="仿宋"/>
                <w:color w:val="auto"/>
                <w:sz w:val="22"/>
                <w:szCs w:val="22"/>
                <w:highlight w:val="none"/>
              </w:rPr>
            </w:pPr>
            <w:r>
              <w:rPr>
                <w:rFonts w:hint="eastAsia" w:ascii="宋体" w:hAnsi="宋体" w:cs="仿宋"/>
                <w:color w:val="auto"/>
                <w:sz w:val="22"/>
                <w:szCs w:val="22"/>
                <w:highlight w:val="none"/>
              </w:rPr>
              <w:t>WEB检测：HTTP最大并发数1万/秒</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 xml:space="preserve">邮件检测：邮件处理数: </w:t>
            </w:r>
            <w:r>
              <w:rPr>
                <w:rFonts w:hint="eastAsia" w:ascii="宋体" w:hAnsi="宋体" w:cs="仿宋"/>
                <w:color w:val="auto"/>
                <w:highlight w:val="none"/>
              </w:rPr>
              <w:t>≥</w:t>
            </w:r>
            <w:r>
              <w:rPr>
                <w:rFonts w:hint="eastAsia" w:ascii="宋体" w:hAnsi="宋体" w:cs="仿宋"/>
                <w:color w:val="auto"/>
                <w:sz w:val="22"/>
                <w:szCs w:val="22"/>
                <w:highlight w:val="none"/>
              </w:rPr>
              <w:t>50万封/24小时</w:t>
            </w:r>
          </w:p>
          <w:p>
            <w:pPr>
              <w:spacing w:line="360" w:lineRule="auto"/>
              <w:rPr>
                <w:rFonts w:hint="eastAsia" w:ascii="宋体" w:hAnsi="宋体" w:cs="仿宋"/>
                <w:color w:val="auto"/>
                <w:sz w:val="22"/>
                <w:szCs w:val="22"/>
                <w:highlight w:val="none"/>
              </w:rPr>
            </w:pPr>
            <w:r>
              <w:rPr>
                <w:rFonts w:hint="eastAsia" w:ascii="宋体" w:hAnsi="宋体" w:cs="仿宋"/>
                <w:color w:val="auto"/>
                <w:sz w:val="22"/>
                <w:szCs w:val="22"/>
                <w:highlight w:val="none"/>
              </w:rPr>
              <w:t>支持管理节点</w:t>
            </w:r>
            <w:r>
              <w:rPr>
                <w:rFonts w:hint="eastAsia" w:ascii="宋体" w:hAnsi="宋体" w:cs="仿宋"/>
                <w:color w:val="auto"/>
                <w:highlight w:val="none"/>
              </w:rPr>
              <w:t>≥</w:t>
            </w:r>
            <w:r>
              <w:rPr>
                <w:rFonts w:hint="eastAsia" w:ascii="宋体" w:hAnsi="宋体" w:cs="仿宋"/>
                <w:color w:val="auto"/>
                <w:sz w:val="22"/>
                <w:szCs w:val="22"/>
                <w:highlight w:val="none"/>
              </w:rPr>
              <w:t>5个</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文件检测</w:t>
            </w:r>
            <w:r>
              <w:rPr>
                <w:rFonts w:hint="eastAsia" w:ascii="宋体" w:hAnsi="宋体" w:cs="仿宋"/>
                <w:color w:val="auto"/>
                <w:highlight w:val="none"/>
              </w:rPr>
              <w:t>≥</w:t>
            </w:r>
            <w:r>
              <w:rPr>
                <w:rFonts w:ascii="宋体" w:hAnsi="宋体" w:cs="仿宋"/>
                <w:color w:val="auto"/>
                <w:sz w:val="22"/>
                <w:szCs w:val="22"/>
                <w:highlight w:val="none"/>
              </w:rPr>
              <w:t>1</w:t>
            </w:r>
            <w:r>
              <w:rPr>
                <w:rFonts w:hint="eastAsia" w:ascii="宋体" w:hAnsi="宋体" w:cs="仿宋"/>
                <w:color w:val="auto"/>
                <w:sz w:val="22"/>
                <w:szCs w:val="22"/>
                <w:highlight w:val="none"/>
              </w:rPr>
              <w:t>万个/24小时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124"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综合功能</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全流量检测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支持全流量检测，可根据需求打开或关闭全流量检测功能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风险数据包保存</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支持风险数据包保存功能，可存留会话的请求和相应数据包，帮助用户还原攻击过程，进行取证和关联分析；并支持系统内置wireshark组件在线预览风险数据包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数据包去重</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支持数据包去重功能，在原始流量存在重复包的情况下能够自动剔除重复的数据包，确保分析结果的准确性，数据包去重功能不影响设备的处理性能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审计协议</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支持解析HTTP、FTP、SMTP、POP3、SMB、IMAP、DNS、HTTPS、SMTPS、POP3S、IMAPS、RADIUS、KRB5、SNMP、NETFLOW V9等协议报文（HTTPS、SMTPS、POP3S、IMAPS加密协议解析需要导入服务器私钥证书），并提供审计协议类型的端口号配置，可根据需要变更端口号；</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支持识别QQ、WEB、LDAP、FTP、TELNET、邮件、SMB、RADMIN、ORACLE、MSSQL、SYBASE、MYSQL、DB2、postgreSQL、REDIS等登录行为；</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支持多层 VLAN、VXLAN、MPLS、GRE、VN-Tag等网络流量的解析检测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检测风险类别</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检测WEB攻击、恶意文件攻击、远程控制、WEB后门访问、行为分析、DGA域名请求、SMB远程溢出攻击、弱口令、拒绝服务攻击、隧道通信、暴力破解、挖矿、恶意工具利用、扫描行为、漏洞利用、邮件社工攻击、ARP欺骗、密码明文形式传输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告警黑白名单过滤</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支持文件白名单、发件人邮箱白名单、发件人域名白名单、黑域名白名单、黑IP白名单、域名白名单、客户端IP白名单、服务端IP白名单、WEB特征风险白名单、IDS规则白名单的配置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弱口令风险检测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支持对HTTP、IMAP、SMTP、POP3、Redis、Telnet、FTP等协议的弱口令检测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WEB登录</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支持自定义HTTP登录行为的用户名获取来源，包括但不限于请求头、URL、Cookie、POST-body；支持自定义配置状态码、返回内容与登陆成功/失败状态的绑定关系。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暴力破解检测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支持自定义启用/禁用暴力破解模型；并支持自定义配置模型统计周期、登录次数、聚合维度、检测机制等参数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拒绝服务攻击检测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★支持自定义启用/禁用拒绝服务攻击模型；并支持自定义配置模型统计周期、单包长度阈值、统计周期内包数量阈值等参数（</w:t>
            </w:r>
            <w:r>
              <w:rPr>
                <w:rFonts w:hint="eastAsia" w:ascii="宋体" w:hAnsi="宋体" w:cs="仿宋"/>
                <w:color w:val="auto"/>
                <w:sz w:val="22"/>
                <w:szCs w:val="22"/>
                <w:highlight w:val="none"/>
                <w:lang w:eastAsia="zh-Hans"/>
              </w:rPr>
              <w:t>须</w:t>
            </w:r>
            <w:r>
              <w:rPr>
                <w:rFonts w:hint="eastAsia" w:ascii="宋体" w:hAnsi="宋体" w:cs="仿宋"/>
                <w:color w:val="auto"/>
                <w:sz w:val="22"/>
                <w:szCs w:val="22"/>
                <w:highlight w:val="none"/>
              </w:rPr>
              <w:t>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ARP欺骗检测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支持根据MAC与IP地址的绑定关系，分析网络中的ARP流量，判断ARP应答包中的IP和MAC地址是否匹配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24"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文件攻击检测</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解析协议</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 HTTP、FTP、SMB、SMTP、POP3、IMAP、NFS、TFTP、HTTPS、SMTPS、POP3S、IMAPS（加密协议需要导入服务器私钥证书）等协议传输文件检测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动态沙箱检测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对存在恶意行为的文件输出完整的二进制动态分析报告</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动态执行可疑文件，分析代码的注册表、进程、网络、文件等行为，分析其安全风险</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可展示具体文件的行为，包括所有的注册表行为、进程行为、互斥量、返回结果、返回值等信息</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可显示文件运行过程中企图访问的IP、域名，以及域名及对应的IP</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★支持沙箱逃逸检测，当恶意文件进行逃逸尝试，在沙箱报告中进行体现（</w:t>
            </w:r>
            <w:r>
              <w:rPr>
                <w:rFonts w:hint="eastAsia" w:ascii="宋体" w:hAnsi="宋体" w:cs="仿宋"/>
                <w:color w:val="auto"/>
                <w:sz w:val="22"/>
                <w:szCs w:val="22"/>
                <w:highlight w:val="none"/>
                <w:lang w:eastAsia="zh-Hans"/>
              </w:rPr>
              <w:t>须</w:t>
            </w:r>
            <w:r>
              <w:rPr>
                <w:rFonts w:hint="eastAsia" w:ascii="宋体" w:hAnsi="宋体" w:cs="仿宋"/>
                <w:color w:val="auto"/>
                <w:sz w:val="22"/>
                <w:szCs w:val="22"/>
                <w:highlight w:val="none"/>
              </w:rPr>
              <w:t>提供相关截图和第三方机构证明）</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采用多并发沙箱检测技术，集成主流的操作系统winXP、win7、win10、linux等多种检测环境，拥有多项自主研发技术和专利。结合平台内置反病毒引擎和静态分析技术对恶意特征文件、文件漏洞、未知威胁等深度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自定义YARA规则设置</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支持导入自定义YARA规则，可从静态文件和运行内存中检测文件威胁。</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支持单个规则或多个规则累加告警</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支持从规则状态、类型、等级、描述等方面进行自定义配置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24"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失陷主机检测</w:t>
            </w:r>
          </w:p>
        </w:tc>
        <w:tc>
          <w:tcPr>
            <w:tcW w:w="1026" w:type="dxa"/>
            <w:tcBorders>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远程控制检测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支持根据威胁情报、DGA域名请求、IDS规则、用户配置数据，发现被远程控制的内部主机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DGA域名请求检测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具备DNS协议解析功能，发现发起DGA域名请求的失陷主机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挖矿行为检测</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可发现利用失陷主机挖矿的行为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失陷主机分析</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支持以失陷主机维度进行分析，分析内容包括失陷主机IP、MAC地址、攻击类型、访问次数、攻击开始时间、攻击结束时间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24"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管理功能</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资产识别和管理</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流量中的IP地址、端口等进行统计，快速识别未登记资产。可基于特定应用或服务对内部资产进行梳理（系统类型、IP、域名、端口等），查看资产端口暴露情况，特别是以非标端口提供的服务情况；可深入识别运行在资产上的设备类型、应用、服务信息详细情况（类型、版本、服务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NAT地址解析</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支持自定义NAT转换前的IP字段名和字段位置，最多支持5个，并支持对字段名进行优先级排序；可配置不会被NAT转换的代理服务器资产IP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一键登录排错</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★支持一键登录排错平台，对系统进行深度配置和排错，支持一键检测故障、配置核对、表分区检查、表检测、信息收集等功能。（</w:t>
            </w:r>
            <w:r>
              <w:rPr>
                <w:rFonts w:hint="eastAsia" w:ascii="宋体" w:hAnsi="宋体" w:cs="仿宋"/>
                <w:color w:val="auto"/>
                <w:sz w:val="22"/>
                <w:szCs w:val="22"/>
                <w:highlight w:val="none"/>
                <w:lang w:eastAsia="zh-Hans"/>
              </w:rPr>
              <w:t>须</w:t>
            </w:r>
            <w:r>
              <w:rPr>
                <w:rFonts w:hint="eastAsia" w:ascii="宋体" w:hAnsi="宋体" w:cs="仿宋"/>
                <w:color w:val="auto"/>
                <w:sz w:val="22"/>
                <w:szCs w:val="22"/>
                <w:highlight w:val="none"/>
              </w:rPr>
              <w:t>提供相关截图证明）</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支持在页面实时查看物理内存、共享内存、硬盘分区、硬盘I/O、监听端口、内存占用TOP10进程、CPU占用TOP10进程，无需登录后台，提高设备安全性</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支持自定义时间查询和导出设备内存、CPU、磁盘空间的使用状态日志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24" w:type="dxa"/>
            <w:vMerge w:val="continue"/>
            <w:noWrap w:val="0"/>
            <w:vAlign w:val="center"/>
          </w:tcPr>
          <w:p>
            <w:pPr>
              <w:spacing w:line="360" w:lineRule="auto"/>
              <w:rPr>
                <w:rFonts w:ascii="宋体" w:hAnsi="宋体"/>
                <w:color w:val="auto"/>
                <w:sz w:val="22"/>
                <w:szCs w:val="22"/>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可视化展示</w:t>
            </w:r>
          </w:p>
        </w:tc>
        <w:tc>
          <w:tcPr>
            <w:tcW w:w="6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失陷主机：支持大屏展示失陷主机风险态势，包括失陷主机视角/横向攻击视角、失陷主机/黑客组织TOP5、风险类别排名、回连区域排名、失陷主机事件统计柱状图、最新事件、失陷主机数，支持实时数据自动刷新</w:t>
            </w:r>
          </w:p>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攻击溯源：支持大屏展示风险较为严重的事件，并进行攻击溯源，包括攻击主机个数最多的情报事件TOP10、威胁情报告警类型分布、3D攻击关系图、威胁活动（弱点探测、渗透入侵、获取权限、命令与控制、数据盗取）；支持按IP搜索关联的攻击事件，包括攻击拓扑图、攻击者基本信息、被攻击者信息、攻击过程（攻击过程列表内容包括时间、攻击者、被攻击者、攻击链阶段、风险标签、攻击次数）</w:t>
            </w:r>
          </w:p>
        </w:tc>
      </w:tr>
    </w:tbl>
    <w:p>
      <w:pPr>
        <w:pStyle w:val="2"/>
        <w:spacing w:line="360" w:lineRule="auto"/>
        <w:rPr>
          <w:rFonts w:ascii="宋体" w:hAnsi="宋体"/>
          <w:b/>
          <w:bCs/>
          <w:color w:val="auto"/>
          <w:highlight w:val="none"/>
        </w:rPr>
      </w:pPr>
      <w:r>
        <w:rPr>
          <w:rFonts w:ascii="宋体" w:hAnsi="宋体"/>
          <w:color w:val="auto"/>
          <w:highlight w:val="none"/>
        </w:rPr>
        <w:tab/>
      </w:r>
      <w:r>
        <w:rPr>
          <w:rFonts w:ascii="宋体" w:hAnsi="宋体"/>
          <w:b/>
          <w:bCs/>
          <w:color w:val="auto"/>
          <w:highlight w:val="none"/>
        </w:rPr>
        <w:t xml:space="preserve">2.3 </w:t>
      </w:r>
      <w:r>
        <w:rPr>
          <w:rFonts w:hint="eastAsia" w:ascii="宋体" w:hAnsi="宋体"/>
          <w:b/>
          <w:bCs/>
          <w:color w:val="auto"/>
          <w:highlight w:val="none"/>
        </w:rPr>
        <w:t>运维审计服务</w:t>
      </w:r>
    </w:p>
    <w:p>
      <w:pPr>
        <w:spacing w:line="360" w:lineRule="auto"/>
        <w:rPr>
          <w:color w:val="auto"/>
          <w:highlight w:val="none"/>
        </w:rPr>
      </w:pPr>
      <w:r>
        <w:rPr>
          <w:color w:val="auto"/>
          <w:highlight w:val="none"/>
        </w:rPr>
        <w:tab/>
      </w:r>
      <w:r>
        <w:rPr>
          <w:rFonts w:hint="eastAsia"/>
          <w:color w:val="auto"/>
          <w:highlight w:val="none"/>
        </w:rPr>
        <w:t>运维审计服务通过部署堡垒机在视频专网，对运维人员的运维操作进行统一审计和权限控制。在运维人员访问设备进行安全运维前，需通过访问控制使操作人员统一先访问堡垒机，再通过堡垒机登录目标主机，起到运维审计的效果。</w:t>
      </w:r>
    </w:p>
    <w:p>
      <w:pPr>
        <w:spacing w:line="360" w:lineRule="auto"/>
        <w:ind w:firstLine="420"/>
        <w:rPr>
          <w:color w:val="auto"/>
          <w:highlight w:val="none"/>
        </w:rPr>
      </w:pPr>
      <w:r>
        <w:rPr>
          <w:rFonts w:hint="eastAsia"/>
          <w:color w:val="auto"/>
          <w:highlight w:val="none"/>
        </w:rPr>
        <w:t>服务工具技术指标要求如下：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85"/>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gridSpan w:val="2"/>
            <w:shd w:val="clear" w:color="auto" w:fill="AEAAAA"/>
            <w:noWrap w:val="0"/>
            <w:vAlign w:val="center"/>
          </w:tcPr>
          <w:p>
            <w:pPr>
              <w:spacing w:line="360" w:lineRule="auto"/>
              <w:jc w:val="center"/>
              <w:rPr>
                <w:rFonts w:ascii="宋体" w:hAnsi="宋体"/>
                <w:b/>
                <w:bCs/>
                <w:color w:val="auto"/>
                <w:sz w:val="22"/>
                <w:szCs w:val="22"/>
                <w:highlight w:val="none"/>
              </w:rPr>
            </w:pPr>
            <w:r>
              <w:rPr>
                <w:rFonts w:ascii="宋体" w:hAnsi="宋体"/>
                <w:b/>
                <w:bCs/>
                <w:color w:val="auto"/>
                <w:sz w:val="22"/>
                <w:szCs w:val="22"/>
                <w:highlight w:val="none"/>
              </w:rPr>
              <w:tab/>
            </w:r>
            <w:r>
              <w:rPr>
                <w:rFonts w:hint="eastAsia" w:ascii="宋体" w:hAnsi="宋体" w:cs="仿宋"/>
                <w:b/>
                <w:bCs/>
                <w:color w:val="auto"/>
                <w:sz w:val="22"/>
                <w:szCs w:val="22"/>
                <w:highlight w:val="none"/>
              </w:rPr>
              <w:t>技术指标</w:t>
            </w:r>
          </w:p>
        </w:tc>
        <w:tc>
          <w:tcPr>
            <w:tcW w:w="6667" w:type="dxa"/>
            <w:shd w:val="clear" w:color="auto" w:fill="AEAAAA"/>
            <w:noWrap w:val="0"/>
            <w:vAlign w:val="center"/>
          </w:tcPr>
          <w:p>
            <w:pPr>
              <w:spacing w:line="360" w:lineRule="auto"/>
              <w:jc w:val="center"/>
              <w:rPr>
                <w:rFonts w:ascii="宋体" w:hAnsi="宋体"/>
                <w:b/>
                <w:bCs/>
                <w:color w:val="auto"/>
                <w:sz w:val="22"/>
                <w:szCs w:val="22"/>
                <w:highlight w:val="none"/>
              </w:rPr>
            </w:pPr>
            <w:r>
              <w:rPr>
                <w:rFonts w:hint="eastAsia" w:ascii="宋体" w:hAnsi="宋体" w:cs="仿宋"/>
                <w:b/>
                <w:bCs/>
                <w:color w:val="auto"/>
                <w:sz w:val="22"/>
                <w:szCs w:val="2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173"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服务工具基础要求</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服务工具规格要求</w:t>
            </w:r>
          </w:p>
        </w:tc>
        <w:tc>
          <w:tcPr>
            <w:tcW w:w="6667" w:type="dxa"/>
            <w:noWrap w:val="0"/>
            <w:vAlign w:val="center"/>
          </w:tcPr>
          <w:p>
            <w:pPr>
              <w:spacing w:line="360" w:lineRule="auto"/>
              <w:jc w:val="left"/>
              <w:rPr>
                <w:rFonts w:hAnsi="宋体"/>
                <w:color w:val="auto"/>
                <w:kern w:val="0"/>
                <w:sz w:val="22"/>
                <w:szCs w:val="22"/>
                <w:highlight w:val="none"/>
              </w:rPr>
            </w:pPr>
            <w:r>
              <w:rPr>
                <w:rFonts w:hint="eastAsia" w:hAnsi="宋体"/>
                <w:color w:val="auto"/>
                <w:kern w:val="0"/>
                <w:sz w:val="22"/>
                <w:szCs w:val="22"/>
                <w:highlight w:val="none"/>
              </w:rPr>
              <w:t>授权资产</w:t>
            </w:r>
            <w:r>
              <w:rPr>
                <w:rFonts w:hint="eastAsia" w:ascii="宋体" w:hAnsi="宋体" w:cs="仿宋"/>
                <w:color w:val="auto"/>
                <w:highlight w:val="none"/>
              </w:rPr>
              <w:t>不少于</w:t>
            </w:r>
            <w:r>
              <w:rPr>
                <w:rFonts w:hint="eastAsia" w:hAnsi="宋体"/>
                <w:color w:val="auto"/>
                <w:kern w:val="0"/>
                <w:sz w:val="22"/>
                <w:szCs w:val="22"/>
                <w:highlight w:val="none"/>
              </w:rPr>
              <w:t>100个</w:t>
            </w:r>
          </w:p>
          <w:p>
            <w:pPr>
              <w:spacing w:line="360" w:lineRule="auto"/>
              <w:jc w:val="left"/>
              <w:rPr>
                <w:rFonts w:hint="eastAsia" w:hAnsi="宋体"/>
                <w:color w:val="auto"/>
                <w:kern w:val="0"/>
                <w:sz w:val="22"/>
                <w:szCs w:val="22"/>
                <w:highlight w:val="none"/>
              </w:rPr>
            </w:pPr>
            <w:r>
              <w:rPr>
                <w:rFonts w:hint="eastAsia" w:hAnsi="宋体"/>
                <w:color w:val="auto"/>
                <w:kern w:val="0"/>
                <w:sz w:val="22"/>
                <w:szCs w:val="22"/>
                <w:highlight w:val="none"/>
              </w:rPr>
              <w:t>硬件性能：并发字符连接最大100个</w:t>
            </w:r>
          </w:p>
          <w:p>
            <w:pPr>
              <w:spacing w:line="360" w:lineRule="auto"/>
              <w:rPr>
                <w:rFonts w:hint="eastAsia" w:hAnsi="宋体"/>
                <w:color w:val="auto"/>
                <w:kern w:val="0"/>
                <w:sz w:val="22"/>
                <w:szCs w:val="22"/>
                <w:highlight w:val="none"/>
              </w:rPr>
            </w:pPr>
            <w:r>
              <w:rPr>
                <w:rFonts w:hint="eastAsia" w:hAnsi="宋体"/>
                <w:color w:val="auto"/>
                <w:kern w:val="0"/>
                <w:sz w:val="22"/>
                <w:szCs w:val="22"/>
                <w:highlight w:val="none"/>
              </w:rPr>
              <w:t xml:space="preserve">      </w:t>
            </w:r>
            <w:r>
              <w:rPr>
                <w:rFonts w:hAnsi="宋体"/>
                <w:color w:val="auto"/>
                <w:kern w:val="0"/>
                <w:sz w:val="22"/>
                <w:szCs w:val="22"/>
                <w:highlight w:val="none"/>
              </w:rPr>
              <w:t xml:space="preserve">    </w:t>
            </w:r>
            <w:r>
              <w:rPr>
                <w:rFonts w:hint="eastAsia" w:hAnsi="宋体"/>
                <w:color w:val="auto"/>
                <w:kern w:val="0"/>
                <w:sz w:val="22"/>
                <w:szCs w:val="22"/>
                <w:highlight w:val="none"/>
              </w:rPr>
              <w:t>并发图形连接最大20个</w:t>
            </w:r>
          </w:p>
          <w:p>
            <w:pPr>
              <w:spacing w:line="360" w:lineRule="auto"/>
              <w:rPr>
                <w:rFonts w:ascii="宋体" w:hAnsi="宋体"/>
                <w:color w:val="auto"/>
                <w:sz w:val="22"/>
                <w:szCs w:val="22"/>
                <w:highlight w:val="none"/>
              </w:rPr>
            </w:pPr>
            <w:r>
              <w:rPr>
                <w:rFonts w:hint="eastAsia" w:hAnsi="宋体"/>
                <w:color w:val="auto"/>
                <w:kern w:val="0"/>
                <w:sz w:val="22"/>
                <w:szCs w:val="22"/>
                <w:highlight w:val="none"/>
              </w:rPr>
              <w:t>软件功能：功能无限制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gridSpan w:val="2"/>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服务工具性能要求</w:t>
            </w:r>
          </w:p>
        </w:tc>
        <w:tc>
          <w:tcPr>
            <w:tcW w:w="6667" w:type="dxa"/>
            <w:noWrap w:val="0"/>
            <w:vAlign w:val="center"/>
          </w:tcPr>
          <w:p>
            <w:pPr>
              <w:spacing w:line="360" w:lineRule="auto"/>
              <w:jc w:val="left"/>
              <w:rPr>
                <w:rFonts w:hint="eastAsia" w:hAnsi="宋体"/>
                <w:bCs/>
                <w:color w:val="auto"/>
                <w:kern w:val="0"/>
                <w:sz w:val="22"/>
                <w:szCs w:val="22"/>
                <w:highlight w:val="none"/>
              </w:rPr>
            </w:pPr>
            <w:r>
              <w:rPr>
                <w:rFonts w:hint="eastAsia" w:hAnsi="宋体"/>
                <w:bCs/>
                <w:color w:val="auto"/>
                <w:kern w:val="0"/>
                <w:sz w:val="22"/>
                <w:szCs w:val="22"/>
                <w:highlight w:val="none"/>
              </w:rPr>
              <w:t>机箱高度：1U</w:t>
            </w:r>
          </w:p>
          <w:p>
            <w:pPr>
              <w:spacing w:line="360" w:lineRule="auto"/>
              <w:jc w:val="left"/>
              <w:rPr>
                <w:rFonts w:hint="eastAsia" w:hAnsi="宋体"/>
                <w:bCs/>
                <w:color w:val="auto"/>
                <w:kern w:val="0"/>
                <w:sz w:val="22"/>
                <w:szCs w:val="22"/>
                <w:highlight w:val="none"/>
              </w:rPr>
            </w:pPr>
            <w:r>
              <w:rPr>
                <w:rFonts w:hint="eastAsia" w:hAnsi="宋体"/>
                <w:bCs/>
                <w:color w:val="auto"/>
                <w:kern w:val="0"/>
                <w:sz w:val="22"/>
                <w:szCs w:val="22"/>
                <w:highlight w:val="none"/>
              </w:rPr>
              <w:t>标配网口：</w:t>
            </w:r>
            <w:r>
              <w:rPr>
                <w:rFonts w:hint="eastAsia" w:ascii="宋体" w:hAnsi="宋体" w:cs="仿宋"/>
                <w:color w:val="auto"/>
                <w:highlight w:val="none"/>
              </w:rPr>
              <w:t>≥</w:t>
            </w:r>
            <w:r>
              <w:rPr>
                <w:rFonts w:hint="eastAsia" w:hAnsi="宋体"/>
                <w:bCs/>
                <w:color w:val="auto"/>
                <w:kern w:val="0"/>
                <w:sz w:val="22"/>
                <w:szCs w:val="22"/>
                <w:highlight w:val="none"/>
              </w:rPr>
              <w:t>2*GE电管理口，</w:t>
            </w:r>
            <w:r>
              <w:rPr>
                <w:rFonts w:hint="eastAsia" w:ascii="宋体" w:hAnsi="宋体" w:cs="仿宋"/>
                <w:color w:val="auto"/>
                <w:highlight w:val="none"/>
              </w:rPr>
              <w:t>≥</w:t>
            </w:r>
            <w:r>
              <w:rPr>
                <w:rFonts w:hint="eastAsia" w:hAnsi="宋体"/>
                <w:bCs/>
                <w:color w:val="auto"/>
                <w:kern w:val="0"/>
                <w:sz w:val="22"/>
                <w:szCs w:val="22"/>
                <w:highlight w:val="none"/>
              </w:rPr>
              <w:t>4*GE电业务口</w:t>
            </w:r>
          </w:p>
          <w:p>
            <w:pPr>
              <w:spacing w:line="360" w:lineRule="auto"/>
              <w:jc w:val="left"/>
              <w:rPr>
                <w:rFonts w:hint="eastAsia" w:hAnsi="宋体"/>
                <w:bCs/>
                <w:color w:val="auto"/>
                <w:kern w:val="0"/>
                <w:sz w:val="22"/>
                <w:szCs w:val="22"/>
                <w:highlight w:val="none"/>
              </w:rPr>
            </w:pPr>
            <w:r>
              <w:rPr>
                <w:rFonts w:hint="eastAsia" w:hAnsi="宋体"/>
                <w:bCs/>
                <w:color w:val="auto"/>
                <w:kern w:val="0"/>
                <w:sz w:val="22"/>
                <w:szCs w:val="22"/>
                <w:highlight w:val="none"/>
                <w:lang w:val="en-US" w:eastAsia="zh-CN"/>
              </w:rPr>
              <w:t>单硬盘，</w:t>
            </w:r>
            <w:r>
              <w:rPr>
                <w:rFonts w:hint="eastAsia" w:hAnsi="宋体"/>
                <w:bCs/>
                <w:color w:val="auto"/>
                <w:kern w:val="0"/>
                <w:sz w:val="22"/>
                <w:szCs w:val="22"/>
                <w:highlight w:val="none"/>
              </w:rPr>
              <w:t>硬盘容量</w:t>
            </w:r>
            <w:r>
              <w:rPr>
                <w:rFonts w:hint="eastAsia" w:ascii="宋体" w:hAnsi="宋体" w:cs="仿宋"/>
                <w:color w:val="auto"/>
                <w:highlight w:val="none"/>
              </w:rPr>
              <w:t>≥</w:t>
            </w:r>
            <w:r>
              <w:rPr>
                <w:rFonts w:hint="eastAsia" w:hAnsi="宋体"/>
                <w:bCs/>
                <w:color w:val="auto"/>
                <w:kern w:val="0"/>
                <w:sz w:val="22"/>
                <w:szCs w:val="22"/>
                <w:highlight w:val="none"/>
              </w:rPr>
              <w:t>2T</w:t>
            </w:r>
          </w:p>
          <w:p>
            <w:pPr>
              <w:spacing w:line="360" w:lineRule="auto"/>
              <w:jc w:val="left"/>
              <w:rPr>
                <w:rFonts w:hAnsi="宋体"/>
                <w:bCs/>
                <w:color w:val="auto"/>
                <w:kern w:val="0"/>
                <w:sz w:val="22"/>
                <w:szCs w:val="22"/>
                <w:highlight w:val="none"/>
              </w:rPr>
            </w:pPr>
            <w:r>
              <w:rPr>
                <w:rFonts w:hint="eastAsia" w:ascii="宋体" w:hAnsi="宋体" w:cs="仿宋"/>
                <w:color w:val="auto"/>
                <w:highlight w:val="none"/>
              </w:rPr>
              <w:t>≥</w:t>
            </w:r>
            <w:r>
              <w:rPr>
                <w:rFonts w:hint="eastAsia" w:ascii="宋体" w:hAnsi="宋体" w:cs="仿宋"/>
                <w:color w:val="auto"/>
                <w:highlight w:val="none"/>
                <w:lang w:val="en-US" w:eastAsia="zh-CN"/>
              </w:rPr>
              <w:t>1个</w:t>
            </w:r>
            <w:r>
              <w:rPr>
                <w:rFonts w:hint="eastAsia" w:hAnsi="宋体"/>
                <w:bCs/>
                <w:color w:val="auto"/>
                <w:kern w:val="0"/>
                <w:sz w:val="22"/>
                <w:szCs w:val="22"/>
                <w:highlight w:val="none"/>
              </w:rPr>
              <w:t>RJ45串口，单电源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用户管理要求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用户角色</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支持用户多角色划分功能，如系统管理员、部门管理员、运维员、审计管理员、密码管理员等，对各类角色需要进行细粒度的权限管理。支持自定义用户权限。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身份认证方式</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支持手机APP动态口令认证方式登录堡垒机，新用户首次登录后需强制绑定APP动态口令；支持AD、LDAP、RADIUS、吉大正元、北京CA认证系统联动登录堡垒机，支持自动同步AD/LDAP用户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单点登录认证</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支持标准化对接CAS、JWT单点登录认证，且支持配置是否自动创建堡垒机中不存在用户。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多用户双因子认证</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基于不同的用户设置不同的双因子认证模式，如user1用动态令牌、user2用USBkey、user3手机APP动态口令认证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多种认证组合使用</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支持域认证与双因子认证结合使用，如同时使用AD/LDAP用户名+AD/LDAP密码+手机APP动态口令登录堡垒机、同时使用AD/LDAP用户名+AD/LDAP密码+短信口令登录堡垒机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用户密码</w:t>
            </w:r>
            <w:r>
              <w:rPr>
                <w:rFonts w:hint="eastAsia" w:ascii="宋体" w:hAnsi="宋体" w:cs="仿宋"/>
                <w:color w:val="auto"/>
                <w:sz w:val="22"/>
                <w:szCs w:val="22"/>
                <w:highlight w:val="none"/>
                <w:lang w:eastAsia="zh-Hans"/>
              </w:rPr>
              <w:t>及登录</w:t>
            </w:r>
            <w:r>
              <w:rPr>
                <w:rFonts w:hint="eastAsia" w:ascii="宋体" w:hAnsi="宋体" w:cs="仿宋"/>
                <w:color w:val="auto"/>
                <w:sz w:val="22"/>
                <w:szCs w:val="22"/>
                <w:highlight w:val="none"/>
              </w:rPr>
              <w:t>策略设置</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可以设置用户密码的长度、复杂度、相关度，其中相关度可以设置密码与用户名的关系，可以选择是否检查历史密码。并可支持密码过期前告警；可设置用户密码错误达到一定次数后的锁定时长及登录失败次数的重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设备管理要求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支持的协议和应用</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支持常用的运维协议：SSH、TELNET、RDP、VNC、FTP、SFTP、rlogin；可通过应用发布的方式进行协议扩展，如数据库Oracle、MSSQL、MySQL、VMware vSphere Client、浏览器等客户端工具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IE/谷歌浏览器代填</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★IE/Chrom代填应用发布：HTTP/HTTPS协议的web设备，且可以直接代填账号和密码（须提供第三方机构证明）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URL访问管控</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支持对http/https类资产进行URL黑白名单限制，禁止在未授权情况下，通过手动输入URL跳转至其它web网站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自动收集和自动授权</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★支持自动收集设备IP、运维协议、端口号、账号、密码、与用户的权限关系，可自动完成授权（须提供第三方机构证明）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数据库管理</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数据库兼容性</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标准支持DB2、oracle、mysql、sqlserver、PG、人大金仓、达梦数据库的协议运维代理，可实现自动登录，自动登录可直接调用本地windows系统的数据库客户端工具（包括ssms、sqlwb、workbench、mysql、DbVisualizer、plsql、sqlplus、toad、dbcmd、Quest Central、pgadmin3、psql、ksql、Isql、DIsql、DMmanger等），无需应用发布前置机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数据库命令管控</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数据库支持命令阻断功能，精确到数据库，表、字段级别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数据库双重审计</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支持同时对数据库会话记录图形审计及命令提取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数据库双向审计</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支持对数据库运维会话的上行和下行命令进行审计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自动改密要求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主机自动改密</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支持定期自动修改windows服务器、网络设备、linux/unix等目标设备密码功能，且自动改密不借助于Agent，无需开放445、135、139等高危端口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完善的</w:t>
            </w:r>
            <w:r>
              <w:rPr>
                <w:rFonts w:hint="eastAsia" w:ascii="宋体" w:hAnsi="宋体" w:cs="仿宋"/>
                <w:color w:val="auto"/>
                <w:sz w:val="22"/>
                <w:szCs w:val="22"/>
                <w:highlight w:val="none"/>
              </w:rPr>
              <w:t>改密机制</w:t>
            </w:r>
          </w:p>
        </w:tc>
        <w:tc>
          <w:tcPr>
            <w:tcW w:w="6667" w:type="dxa"/>
            <w:noWrap w:val="0"/>
            <w:vAlign w:val="center"/>
          </w:tcPr>
          <w:p>
            <w:pPr>
              <w:spacing w:line="360" w:lineRule="auto"/>
              <w:rPr>
                <w:rFonts w:hint="eastAsia" w:ascii="宋体" w:hAnsi="宋体"/>
                <w:color w:val="auto"/>
                <w:sz w:val="22"/>
                <w:szCs w:val="22"/>
                <w:highlight w:val="none"/>
              </w:rPr>
            </w:pPr>
            <w:r>
              <w:rPr>
                <w:rFonts w:hint="eastAsia" w:ascii="宋体" w:hAnsi="宋体" w:cs="仿宋"/>
                <w:color w:val="auto"/>
                <w:sz w:val="22"/>
                <w:szCs w:val="22"/>
                <w:highlight w:val="none"/>
              </w:rPr>
              <w:t>支持完善的自动改密安全保护机制，包括：改密前备份、备份失败不改密、密码恢复、手工验证密码、调试改密等;支持邮件、FTP、SFTP等发送方式，改密后的密码可支持加密分段发送；支持对进行中任务实时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运维方式要求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运维管理</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支持B/S架构进行堡垒机运维管理，至少支持使用IE、谷歌、火狐、Microsoft Edge等浏览器打开堡垒机的Web页面直接调用mstsc、VNC、Xshell、SecureCRT、Putty、winscp、flashFXP、FileZilla、SecureFX等本地运维客户端工具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专用客户端运维</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支持Windows/Mac操作系统下C/S架构的堡垒机专用客户端，可通过此专用客户端登录堡垒机，对堡垒机进行简单的管理及运维资产操作。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continue"/>
            <w:noWrap w:val="0"/>
            <w:vAlign w:val="center"/>
          </w:tcPr>
          <w:p>
            <w:pPr>
              <w:spacing w:line="360" w:lineRule="auto"/>
              <w:rPr>
                <w:rFonts w:ascii="宋体" w:hAnsi="宋体"/>
                <w:color w:val="auto"/>
                <w:sz w:val="22"/>
                <w:szCs w:val="22"/>
                <w:highlight w:val="none"/>
              </w:rPr>
            </w:pP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运维客户端自带运维工具，可不依赖 xshell/Securecrt/mstsc等工具进行运维操作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continue"/>
            <w:noWrap w:val="0"/>
            <w:vAlign w:val="center"/>
          </w:tcPr>
          <w:p>
            <w:pPr>
              <w:spacing w:line="360" w:lineRule="auto"/>
              <w:rPr>
                <w:rFonts w:ascii="宋体" w:hAnsi="宋体"/>
                <w:color w:val="auto"/>
                <w:sz w:val="22"/>
                <w:szCs w:val="22"/>
                <w:highlight w:val="none"/>
              </w:rPr>
            </w:pP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客户端还至少需支持资产分组、资产连通性检测，批量运维、资产运维审批、命令审批、二次运维审批等能力。其中资产分组操作支持个性化设置，即每个运维人员可单独设置分组，相互之间独立。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continue"/>
            <w:noWrap w:val="0"/>
            <w:vAlign w:val="center"/>
          </w:tcPr>
          <w:p>
            <w:pPr>
              <w:spacing w:line="360" w:lineRule="auto"/>
              <w:rPr>
                <w:rFonts w:ascii="宋体" w:hAnsi="宋体"/>
                <w:color w:val="auto"/>
                <w:sz w:val="22"/>
                <w:szCs w:val="22"/>
                <w:highlight w:val="none"/>
              </w:rPr>
            </w:pP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客户端支持VPN登录功能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H5运维</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H5运维方式：支持ssh、telnet、rlogin、rdp、vnc协议的H5运维，无需本地运维客户端工具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continue"/>
            <w:noWrap w:val="0"/>
            <w:vAlign w:val="center"/>
          </w:tcPr>
          <w:p>
            <w:pPr>
              <w:spacing w:line="360" w:lineRule="auto"/>
              <w:rPr>
                <w:rFonts w:ascii="宋体" w:hAnsi="宋体"/>
                <w:color w:val="auto"/>
                <w:sz w:val="22"/>
                <w:szCs w:val="22"/>
                <w:highlight w:val="none"/>
              </w:rPr>
            </w:pP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H5运维方式支持在线会话协同，即运维人员可自行邀请堡垒机用户共同运维同一会话，邀请人数不限，但单个邀请链接仅能邀请一人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vMerge w:val="continue"/>
            <w:noWrap w:val="0"/>
            <w:vAlign w:val="center"/>
          </w:tcPr>
          <w:p>
            <w:pPr>
              <w:spacing w:line="360" w:lineRule="auto"/>
              <w:rPr>
                <w:rFonts w:ascii="宋体" w:hAnsi="宋体"/>
                <w:color w:val="auto"/>
                <w:sz w:val="22"/>
                <w:szCs w:val="22"/>
                <w:highlight w:val="none"/>
              </w:rPr>
            </w:pP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H5运维方式下，可支持RDP/SSH在线文件传输，无需借助第三方客户端工具，通过web页面即可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客户端工具登录</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客户端访问方式：支持使用本地的mstsc/Xshell/SecureCRT/Putty/winscp/Xftp等客户端工具登录堡垒机访问图形、字符或SFTP、FTP设备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SSH网关代理直连</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支持使用本地的SecurCRT/Xshell/OpenSSH工具通过SSH网关代理方式直接登录字符设备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审计日志要求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运维审计日志</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运维操作会话的在线监控、实时阻断；支持录像回放、支持记录起止时间、来源用户、来源IP、目标设备、协议/应用类型、命令记录、操作内容（如对文件的上传、下载、删除、修改等操作等）的详细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禁审功能</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支持提供禁止审计功能，可对部分设定策略的会话不审计录像，防止机密信息二次泄漏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RDP文字记录</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支持对RDP屏幕文字内容、标题窗口、键盘输入的记录和搜索定位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SQL记录</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支持审计主流数据库（如DB2、oracle、mysql、sql server、PG、人大金仓、达梦）运维中的SQL语句，可进行关键信息定位查询，并可过滤数据库客户端自动发起的语句，方便查询真实人为的数据库操作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restart"/>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安全策略要求</w:t>
            </w: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运维规则策略</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支持通过基于时间、IP/IP段、用户/用户组、主机组、主机账号、命令控制策略等组合访问控制策略，授权用户可访问的目标设备。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运维二次审批</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对重要设备启用登录审核功能，运维人员须向管理员申请登录，管理员允许之后才可登录；并且管理员在审批时可以设置审批有效期，及在有效期内是否不限制登录次数。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命令审批</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支持对重要命令进行审核：运维人员执行命令后，需等到管理员审批通过后才可执行成功。可选择性设置自定义时间内未审批，对命令自动放行。执行命令的运维人员在运维待审批命令时，可选择终止此命令。（须提供第三方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188" w:type="dxa"/>
            <w:vMerge w:val="continue"/>
            <w:noWrap w:val="0"/>
            <w:vAlign w:val="center"/>
          </w:tcPr>
          <w:p>
            <w:pPr>
              <w:spacing w:line="360" w:lineRule="auto"/>
              <w:rPr>
                <w:rFonts w:ascii="宋体" w:hAnsi="宋体"/>
                <w:color w:val="auto"/>
                <w:sz w:val="22"/>
                <w:szCs w:val="22"/>
                <w:highlight w:val="none"/>
              </w:rPr>
            </w:pPr>
          </w:p>
        </w:tc>
        <w:tc>
          <w:tcPr>
            <w:tcW w:w="985"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lang w:eastAsia="zh-Hans"/>
              </w:rPr>
              <w:t>水印功能</w:t>
            </w:r>
          </w:p>
        </w:tc>
        <w:tc>
          <w:tcPr>
            <w:tcW w:w="6667" w:type="dxa"/>
            <w:noWrap w:val="0"/>
            <w:vAlign w:val="center"/>
          </w:tcPr>
          <w:p>
            <w:pPr>
              <w:spacing w:line="360" w:lineRule="auto"/>
              <w:rPr>
                <w:rFonts w:ascii="宋体" w:hAnsi="宋体"/>
                <w:color w:val="auto"/>
                <w:sz w:val="22"/>
                <w:szCs w:val="22"/>
                <w:highlight w:val="none"/>
              </w:rPr>
            </w:pPr>
            <w:r>
              <w:rPr>
                <w:rFonts w:hint="eastAsia" w:ascii="宋体" w:hAnsi="宋体" w:cs="仿宋"/>
                <w:color w:val="auto"/>
                <w:sz w:val="22"/>
                <w:szCs w:val="22"/>
                <w:highlight w:val="none"/>
              </w:rPr>
              <w:t>H5运维及查看录像全程支持水印功能</w:t>
            </w:r>
          </w:p>
        </w:tc>
      </w:tr>
    </w:tbl>
    <w:p>
      <w:pPr>
        <w:spacing w:line="360" w:lineRule="auto"/>
        <w:ind w:firstLine="420"/>
        <w:rPr>
          <w:rFonts w:ascii="宋体" w:hAnsi="宋体"/>
          <w:b/>
          <w:bCs/>
          <w:color w:val="auto"/>
          <w:highlight w:val="none"/>
        </w:rPr>
      </w:pPr>
      <w:r>
        <w:rPr>
          <w:rFonts w:ascii="宋体" w:hAnsi="宋体"/>
          <w:b/>
          <w:bCs/>
          <w:color w:val="auto"/>
          <w:highlight w:val="none"/>
        </w:rPr>
        <w:t xml:space="preserve">2.4 </w:t>
      </w:r>
      <w:r>
        <w:rPr>
          <w:rFonts w:hint="eastAsia" w:ascii="宋体" w:hAnsi="宋体"/>
          <w:b/>
          <w:bCs/>
          <w:color w:val="auto"/>
          <w:highlight w:val="none"/>
        </w:rPr>
        <w:t>服务器虚拟补丁服务</w:t>
      </w:r>
    </w:p>
    <w:p>
      <w:pPr>
        <w:spacing w:line="360" w:lineRule="auto"/>
        <w:ind w:firstLine="420"/>
        <w:rPr>
          <w:rFonts w:ascii="宋体" w:hAnsi="宋体"/>
          <w:color w:val="auto"/>
          <w:highlight w:val="none"/>
        </w:rPr>
      </w:pPr>
      <w:r>
        <w:rPr>
          <w:rFonts w:hint="eastAsia" w:ascii="宋体" w:hAnsi="宋体"/>
          <w:color w:val="auto"/>
          <w:highlight w:val="none"/>
        </w:rPr>
        <w:t>通过在公安网部署主机虚拟补丁系统，提供主机系统防护与加固、病毒查杀等能力。通过内核级东西向流量隔离技术，实现网络隔离与防护；拥有补丁修复、外设管控、文件审计等主机安全能力。</w:t>
      </w:r>
    </w:p>
    <w:p>
      <w:pPr>
        <w:spacing w:line="360" w:lineRule="auto"/>
        <w:ind w:firstLine="420"/>
        <w:rPr>
          <w:rFonts w:ascii="宋体" w:hAnsi="宋体"/>
          <w:color w:val="auto"/>
          <w:highlight w:val="none"/>
        </w:rPr>
      </w:pPr>
      <w:r>
        <w:rPr>
          <w:rFonts w:hint="eastAsia" w:ascii="宋体" w:hAnsi="宋体"/>
          <w:color w:val="auto"/>
          <w:highlight w:val="none"/>
        </w:rPr>
        <w:t>服务工具技术指标要求如下：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851"/>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5" w:type="dxa"/>
            <w:gridSpan w:val="2"/>
            <w:shd w:val="clear" w:color="auto" w:fill="AEAAAA"/>
            <w:noWrap w:val="0"/>
            <w:vAlign w:val="top"/>
          </w:tcPr>
          <w:p>
            <w:pPr>
              <w:spacing w:line="360" w:lineRule="auto"/>
              <w:jc w:val="center"/>
              <w:rPr>
                <w:rFonts w:ascii="宋体" w:hAnsi="宋体" w:cs="仿宋"/>
                <w:b/>
                <w:bCs/>
                <w:color w:val="auto"/>
                <w:sz w:val="22"/>
                <w:szCs w:val="22"/>
                <w:highlight w:val="none"/>
              </w:rPr>
            </w:pPr>
            <w:r>
              <w:rPr>
                <w:rFonts w:hint="eastAsia" w:ascii="宋体" w:hAnsi="宋体" w:cs="仿宋"/>
                <w:b/>
                <w:bCs/>
                <w:color w:val="auto"/>
                <w:sz w:val="22"/>
                <w:szCs w:val="22"/>
                <w:highlight w:val="none"/>
              </w:rPr>
              <w:t>技术指标</w:t>
            </w:r>
          </w:p>
        </w:tc>
        <w:tc>
          <w:tcPr>
            <w:tcW w:w="7229" w:type="dxa"/>
            <w:shd w:val="clear" w:color="auto" w:fill="AEAAAA"/>
            <w:noWrap w:val="0"/>
            <w:vAlign w:val="center"/>
          </w:tcPr>
          <w:p>
            <w:pPr>
              <w:spacing w:line="360" w:lineRule="auto"/>
              <w:ind w:firstLine="482"/>
              <w:jc w:val="center"/>
              <w:rPr>
                <w:rFonts w:ascii="宋体" w:hAnsi="宋体" w:cs="仿宋"/>
                <w:b/>
                <w:bCs/>
                <w:color w:val="auto"/>
                <w:sz w:val="22"/>
                <w:szCs w:val="22"/>
                <w:highlight w:val="none"/>
              </w:rPr>
            </w:pPr>
            <w:r>
              <w:rPr>
                <w:rFonts w:hint="eastAsia" w:ascii="宋体" w:hAnsi="宋体" w:cs="仿宋"/>
                <w:b/>
                <w:bCs/>
                <w:color w:val="auto"/>
                <w:sz w:val="22"/>
                <w:szCs w:val="22"/>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015" w:type="dxa"/>
            <w:gridSpan w:val="2"/>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服务工具基础要求</w:t>
            </w:r>
          </w:p>
        </w:tc>
        <w:tc>
          <w:tcPr>
            <w:tcW w:w="7229" w:type="dxa"/>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highlight w:val="none"/>
              </w:rPr>
              <w:t>★</w:t>
            </w:r>
            <w:r>
              <w:rPr>
                <w:rFonts w:hint="eastAsia" w:ascii="宋体" w:hAnsi="宋体" w:cs="仿宋"/>
                <w:color w:val="auto"/>
                <w:szCs w:val="21"/>
                <w:highlight w:val="none"/>
              </w:rPr>
              <w:t>通过公安部检测获得销售许可证书</w:t>
            </w:r>
            <w:r>
              <w:rPr>
                <w:rFonts w:hint="eastAsia" w:ascii="宋体" w:hAnsi="宋体" w:cs="仿宋"/>
                <w:color w:val="auto"/>
                <w:szCs w:val="21"/>
                <w:highlight w:val="none"/>
                <w:lang w:eastAsia="zh-Hans"/>
              </w:rPr>
              <w:t>，</w:t>
            </w:r>
            <w:r>
              <w:rPr>
                <w:rFonts w:hint="eastAsia" w:ascii="宋体" w:hAnsi="宋体" w:cs="仿宋"/>
                <w:color w:val="auto"/>
                <w:szCs w:val="21"/>
                <w:highlight w:val="none"/>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5" w:type="dxa"/>
            <w:gridSpan w:val="2"/>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服务工具规格要求</w:t>
            </w:r>
          </w:p>
        </w:tc>
        <w:tc>
          <w:tcPr>
            <w:tcW w:w="7229" w:type="dxa"/>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包含终端管理中心软件一套，含</w:t>
            </w:r>
            <w:r>
              <w:rPr>
                <w:rFonts w:ascii="宋体" w:hAnsi="宋体" w:cs="仿宋"/>
                <w:color w:val="auto"/>
                <w:sz w:val="22"/>
                <w:szCs w:val="22"/>
                <w:highlight w:val="none"/>
              </w:rPr>
              <w:t>124</w:t>
            </w:r>
            <w:r>
              <w:rPr>
                <w:rFonts w:hint="eastAsia" w:ascii="宋体" w:hAnsi="宋体" w:cs="仿宋"/>
                <w:color w:val="auto"/>
                <w:sz w:val="22"/>
                <w:szCs w:val="22"/>
                <w:highlight w:val="none"/>
              </w:rPr>
              <w:t>个类服务器防护节点</w:t>
            </w:r>
          </w:p>
          <w:p>
            <w:pPr>
              <w:spacing w:line="360" w:lineRule="auto"/>
              <w:rPr>
                <w:rFonts w:hint="eastAsia" w:ascii="宋体" w:hAnsi="宋体" w:cs="仿宋"/>
                <w:color w:val="auto"/>
                <w:sz w:val="22"/>
                <w:szCs w:val="22"/>
                <w:highlight w:val="none"/>
              </w:rPr>
            </w:pPr>
            <w:r>
              <w:rPr>
                <w:rFonts w:hint="eastAsia" w:ascii="宋体" w:hAnsi="宋体" w:cs="仿宋"/>
                <w:color w:val="auto"/>
                <w:sz w:val="22"/>
                <w:szCs w:val="22"/>
                <w:highlight w:val="none"/>
              </w:rPr>
              <w:t>实现对终端的统一管理和策略下发</w:t>
            </w:r>
          </w:p>
          <w:p>
            <w:pPr>
              <w:spacing w:line="360" w:lineRule="auto"/>
              <w:rPr>
                <w:rFonts w:hint="eastAsia" w:ascii="宋体" w:hAnsi="宋体" w:cs="仿宋"/>
                <w:color w:val="auto"/>
                <w:sz w:val="22"/>
                <w:szCs w:val="22"/>
                <w:highlight w:val="none"/>
              </w:rPr>
            </w:pPr>
            <w:r>
              <w:rPr>
                <w:rFonts w:hint="eastAsia" w:ascii="宋体" w:hAnsi="宋体" w:cs="仿宋"/>
                <w:color w:val="auto"/>
                <w:sz w:val="22"/>
                <w:szCs w:val="22"/>
                <w:highlight w:val="none"/>
              </w:rPr>
              <w:t>适用于各类型服务器防护</w:t>
            </w:r>
          </w:p>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支持Windows server 2003、Windows server 2008、Windows server 2012、Windows server 2016、Centos 5.0 +、Redhat 5.0 + 、Suse11 +、 Ubuntu 14 +等操作系统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1164"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防护功能</w:t>
            </w:r>
          </w:p>
        </w:tc>
        <w:tc>
          <w:tcPr>
            <w:tcW w:w="851"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系统性能监控</w:t>
            </w: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支持对CPU使用率监控、内存占用率监控、磁盘读写监控、上下行流量监控。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支持对CPU、内存、磁盘读写、网络上下行流量达到配置阈值时告警。支持对CPU、内存达到一定阈值时客户端进行熔断。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高级威胁防护模块</w:t>
            </w: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★支持对本机的扩展行为（信息收集、权限提升）进行监测，防止提权行为和信息泄露。（须提供相关截图证明）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识别渗透过程中的隧道代理（端口映射、端口转发、内网代理），可阻断隧道代理搭建行为。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对失陷后主机远控持久化行为进行检测（反弹shell、远程控制），可阻断远控。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对内网的恶意攻击行为进行识别（漏洞利用、横向移动），可阻断恶意探测行为。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★可对渗透的收尾阶段的数据清除行为进行识别和阻断。（须提供相关截图证明）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系统安全性模块</w:t>
            </w: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支持防端口扫描，锁定恶意的端口扫描，并记录告警。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支持系统/域控环境下的弱口令检测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支持扫描后对高危漏洞进行自动修复。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支持网站漏洞防护，防护内容包括SQL注入、XSS、应用程序漏洞及自定义规则。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支持智能检测防御CC攻击，并可进行高、中、低三档设置。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内核级防火墙（业务间流量东西向隔离）功能，包括IP、端口、协议、流向等细粒度权限控制。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支持流量画像，支持全网流量可视化。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支持登录防护，包括以系统账号为粒度的异常登录防护、支持五个任意维度（任意IP，任意域名，任意计算机名，任意时间）的系统登录访问策略设置。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支持显示隐藏的系统账户。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具有系统漏洞扫描和修复功能，提供真实漏洞补丁：</w:t>
            </w:r>
          </w:p>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1.在补丁依赖关系上支持重启验证机制（保证补丁安装的稳定性）。</w:t>
            </w:r>
          </w:p>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2.管理中心可作为补丁服务器，支持管理中心可上网和不可上网两种情况。提供离线补丁下载器，按需智能获取内网所需补丁。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具备为用户提供Windows漏洞修复的热补丁列表能力。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支持扫描的漏洞类型包括但不限于操作系统漏洞（Windows、Linux等）、数据库漏洞（MySQL等）、Web容器漏洞（Tomcat、Apache、Ngnix等）及其他组件漏洞。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云端威胁鉴定</w:t>
            </w: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★持对文件HASH、IP、域名、邮箱等IOC指标进行动静态鉴定，通过和云端威胁情报进行碰撞，实时返回威胁结果。（须提供相关截图证明）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联动威胁情报，支持对外联IP、DNS解析、可疑文件进行实时情报鉴定，实现风险一站式实时监测。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restart"/>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防病毒模块</w:t>
            </w: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支持文件实时监控，在文件执行、文件修改、存储介质连接时自动触发。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支持多种扫描模式包括极速模式、低资源占用模式设置，且低资源占用模式可自定义CPU使用率。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支持多引擎设置，包括默认引擎、深度扫描引擎。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支持对压缩包扫描及深度进行设置，默认9层深度。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针对Windows系统，提供内核级的数据防护能力，保护文件不被恶意修改、加密等，可自定义配置保护的文件及目录，支持设置例外进程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提供专门的勒索风险评估功能。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提供专门的针对已知勒索病毒的防御引擎，并提供功能开关项。对于已知勒索病毒确保进程无法启动。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提供专门的针对未知勒索病毒的防御引擎，并提供功能开关项。对于未知勒索病毒确保无法加密。同时支持白名单设置。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提供专门的挖矿风险评估工具。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 w:hRule="atLeast"/>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vMerge w:val="continue"/>
            <w:noWrap w:val="0"/>
            <w:vAlign w:val="center"/>
          </w:tcPr>
          <w:p>
            <w:pPr>
              <w:spacing w:line="360" w:lineRule="auto"/>
              <w:rPr>
                <w:rFonts w:ascii="宋体" w:hAnsi="宋体" w:cs="仿宋"/>
                <w:color w:val="auto"/>
                <w:sz w:val="22"/>
                <w:szCs w:val="22"/>
                <w:highlight w:val="none"/>
              </w:rPr>
            </w:pPr>
          </w:p>
        </w:tc>
        <w:tc>
          <w:tcPr>
            <w:tcW w:w="7229" w:type="dxa"/>
            <w:noWrap w:val="0"/>
            <w:vAlign w:val="top"/>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提供专门的挖矿实时防御工具，并提供功能开关。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4" w:type="dxa"/>
            <w:vMerge w:val="continue"/>
            <w:noWrap w:val="0"/>
            <w:vAlign w:val="top"/>
          </w:tcPr>
          <w:p>
            <w:pPr>
              <w:spacing w:line="360" w:lineRule="auto"/>
              <w:rPr>
                <w:rFonts w:ascii="宋体" w:hAnsi="宋体" w:cs="仿宋"/>
                <w:color w:val="auto"/>
                <w:sz w:val="22"/>
                <w:szCs w:val="22"/>
                <w:highlight w:val="none"/>
              </w:rPr>
            </w:pPr>
          </w:p>
        </w:tc>
        <w:tc>
          <w:tcPr>
            <w:tcW w:w="851" w:type="dxa"/>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弹窗拦截</w:t>
            </w:r>
          </w:p>
        </w:tc>
        <w:tc>
          <w:tcPr>
            <w:tcW w:w="7229" w:type="dxa"/>
            <w:noWrap w:val="0"/>
            <w:vAlign w:val="center"/>
          </w:tcPr>
          <w:p>
            <w:pPr>
              <w:spacing w:line="360" w:lineRule="auto"/>
              <w:rPr>
                <w:rFonts w:ascii="宋体" w:hAnsi="宋体" w:cs="仿宋"/>
                <w:color w:val="auto"/>
                <w:sz w:val="22"/>
                <w:szCs w:val="22"/>
                <w:highlight w:val="none"/>
              </w:rPr>
            </w:pPr>
            <w:r>
              <w:rPr>
                <w:rFonts w:hint="eastAsia" w:ascii="宋体" w:hAnsi="宋体" w:cs="仿宋"/>
                <w:color w:val="auto"/>
                <w:sz w:val="22"/>
                <w:szCs w:val="22"/>
                <w:highlight w:val="none"/>
              </w:rPr>
              <w:t>支持在客户端自定义设置需要拦截的弹窗</w:t>
            </w:r>
          </w:p>
        </w:tc>
      </w:tr>
    </w:tbl>
    <w:p>
      <w:pPr>
        <w:pStyle w:val="2"/>
        <w:spacing w:line="360" w:lineRule="auto"/>
        <w:rPr>
          <w:rFonts w:ascii="宋体" w:hAnsi="宋体"/>
          <w:b/>
          <w:bCs/>
          <w:color w:val="auto"/>
          <w:highlight w:val="none"/>
        </w:rPr>
      </w:pPr>
      <w:r>
        <w:rPr>
          <w:rFonts w:ascii="宋体" w:hAnsi="宋体"/>
          <w:b/>
          <w:bCs/>
          <w:color w:val="auto"/>
          <w:highlight w:val="none"/>
        </w:rPr>
        <w:t>3</w:t>
      </w:r>
      <w:r>
        <w:rPr>
          <w:rFonts w:hint="eastAsia" w:ascii="宋体" w:hAnsi="宋体"/>
          <w:b/>
          <w:bCs/>
          <w:color w:val="auto"/>
          <w:highlight w:val="none"/>
        </w:rPr>
        <w:t xml:space="preserve"> 政务外网安全服务能力要求</w:t>
      </w:r>
    </w:p>
    <w:p>
      <w:pPr>
        <w:pStyle w:val="2"/>
        <w:spacing w:line="360" w:lineRule="auto"/>
        <w:rPr>
          <w:rFonts w:hint="eastAsia" w:ascii="宋体" w:hAnsi="宋体" w:cs="宋体"/>
          <w:b/>
          <w:bCs/>
          <w:color w:val="auto"/>
          <w:highlight w:val="none"/>
        </w:rPr>
      </w:pPr>
      <w:r>
        <w:rPr>
          <w:rFonts w:hint="eastAsia" w:ascii="宋体" w:hAnsi="宋体"/>
          <w:b/>
          <w:bCs/>
          <w:color w:val="auto"/>
          <w:highlight w:val="none"/>
        </w:rPr>
        <w:t>3</w:t>
      </w:r>
      <w:r>
        <w:rPr>
          <w:rFonts w:ascii="宋体" w:hAnsi="宋体"/>
          <w:b/>
          <w:bCs/>
          <w:color w:val="auto"/>
          <w:highlight w:val="none"/>
        </w:rPr>
        <w:t xml:space="preserve">.1 </w:t>
      </w:r>
      <w:bookmarkStart w:id="171" w:name="_Toc24303"/>
      <w:r>
        <w:rPr>
          <w:rFonts w:hint="eastAsia" w:ascii="宋体" w:hAnsi="宋体" w:cs="宋体"/>
          <w:b/>
          <w:bCs/>
          <w:color w:val="auto"/>
          <w:highlight w:val="none"/>
        </w:rPr>
        <w:t>日志审计</w:t>
      </w:r>
      <w:bookmarkEnd w:id="171"/>
      <w:r>
        <w:rPr>
          <w:rFonts w:hint="eastAsia" w:ascii="宋体" w:hAnsi="宋体" w:cs="宋体"/>
          <w:b/>
          <w:bCs/>
          <w:color w:val="auto"/>
          <w:highlight w:val="none"/>
        </w:rPr>
        <w:t>服务</w:t>
      </w:r>
    </w:p>
    <w:p>
      <w:pPr>
        <w:spacing w:line="360" w:lineRule="auto"/>
        <w:ind w:firstLine="420"/>
        <w:rPr>
          <w:rFonts w:ascii="宋体" w:hAnsi="宋体"/>
          <w:color w:val="auto"/>
          <w:sz w:val="22"/>
          <w:szCs w:val="28"/>
          <w:highlight w:val="none"/>
        </w:rPr>
      </w:pPr>
      <w:r>
        <w:rPr>
          <w:rFonts w:hint="eastAsia" w:ascii="宋体" w:hAnsi="宋体"/>
          <w:color w:val="auto"/>
          <w:sz w:val="22"/>
          <w:szCs w:val="28"/>
          <w:highlight w:val="none"/>
        </w:rPr>
        <w:t>通过在政务外网部署日志审计系统，提供政务外网内网络设备的日志收集、审计能力，提供日志的保留、分析及相关安全服务。</w:t>
      </w:r>
    </w:p>
    <w:p>
      <w:pPr>
        <w:spacing w:line="360" w:lineRule="auto"/>
        <w:ind w:firstLine="420"/>
        <w:rPr>
          <w:rFonts w:ascii="宋体" w:hAnsi="宋体"/>
          <w:color w:val="auto"/>
          <w:sz w:val="22"/>
          <w:szCs w:val="28"/>
          <w:highlight w:val="none"/>
        </w:rPr>
      </w:pPr>
      <w:r>
        <w:rPr>
          <w:rFonts w:hint="eastAsia" w:ascii="宋体" w:hAnsi="宋体"/>
          <w:color w:val="auto"/>
          <w:sz w:val="22"/>
          <w:szCs w:val="28"/>
          <w:highlight w:val="none"/>
        </w:rPr>
        <w:t>服务工具技术指标要求如下：</w:t>
      </w:r>
    </w:p>
    <w:tbl>
      <w:tblPr>
        <w:tblStyle w:val="37"/>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7" w:type="dxa"/>
            <w:shd w:val="clear" w:color="000000" w:fill="FFFFFF"/>
            <w:noWrap w:val="0"/>
            <w:vAlign w:val="center"/>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指标项</w:t>
            </w:r>
          </w:p>
        </w:tc>
        <w:tc>
          <w:tcPr>
            <w:tcW w:w="7212" w:type="dxa"/>
            <w:shd w:val="clear" w:color="000000" w:fill="FFFFFF"/>
            <w:noWrap w:val="0"/>
            <w:vAlign w:val="center"/>
          </w:tcPr>
          <w:p>
            <w:pPr>
              <w:spacing w:line="360" w:lineRule="auto"/>
              <w:jc w:val="center"/>
              <w:rPr>
                <w:rFonts w:hint="eastAsia" w:ascii="宋体" w:hAnsi="宋体" w:eastAsia="PMingLiU"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7" w:type="dxa"/>
            <w:shd w:val="clear" w:color="000000" w:fill="auto"/>
            <w:noWrap w:val="0"/>
            <w:vAlign w:val="center"/>
          </w:tcPr>
          <w:p>
            <w:pPr>
              <w:widowControl/>
              <w:spacing w:line="360" w:lineRule="auto"/>
              <w:jc w:val="center"/>
              <w:rPr>
                <w:rFonts w:ascii="宋体" w:hAnsi="宋体" w:cs="宋体"/>
                <w:color w:val="auto"/>
                <w:kern w:val="0"/>
                <w:sz w:val="22"/>
                <w:szCs w:val="22"/>
                <w:highlight w:val="none"/>
                <w:lang w:eastAsia="zh-Hans"/>
              </w:rPr>
            </w:pPr>
            <w:r>
              <w:rPr>
                <w:rFonts w:hint="eastAsia" w:ascii="宋体" w:hAnsi="宋体" w:cs="宋体"/>
                <w:color w:val="auto"/>
                <w:kern w:val="0"/>
                <w:sz w:val="22"/>
                <w:szCs w:val="22"/>
                <w:highlight w:val="none"/>
                <w:lang w:eastAsia="zh-Hans"/>
              </w:rPr>
              <w:t>性能要求</w:t>
            </w:r>
          </w:p>
        </w:tc>
        <w:tc>
          <w:tcPr>
            <w:tcW w:w="7212" w:type="dxa"/>
            <w:shd w:val="clear" w:color="000000" w:fill="auto"/>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性能参数：默认包含主机审计许可证书数量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rPr>
              <w:t>50，最大可扩展审计主机许可数≥150，可用存储量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rPr>
              <w:t>2TB（RAID1 模式），平均每秒处理日志数（eps）最大性能</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rPr>
              <w:t>1200。</w:t>
            </w:r>
          </w:p>
          <w:p>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硬件参数：规格：2U，内存大小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rPr>
              <w:t>16G，硬盘容量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rPr>
              <w:t>64G minisata+2T SATA*2，电源：单电源，接口：支持不低于6千兆电口+2万兆光口SFP+。</w:t>
            </w:r>
          </w:p>
          <w:p>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含：日志审计分析管理系统软件V3.0(*1套);</w:t>
            </w:r>
          </w:p>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万兆多模-850-300m-双纤(*2个);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vMerge w:val="restart"/>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日志采集</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支持主动、被动相结合的数据采集方式，支持通过Agent采集日志数据，支持通过syslog、SNMP Trap、JDBC、WMI、webservice、FTP、文件\文件夹读取、Ka**a等多种方式完成日志收集；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vMerge w:val="continue"/>
            <w:noWrap w:val="0"/>
            <w:vAlign w:val="center"/>
          </w:tcPr>
          <w:p>
            <w:pPr>
              <w:widowControl/>
              <w:spacing w:line="360" w:lineRule="auto"/>
              <w:jc w:val="center"/>
              <w:rPr>
                <w:rFonts w:ascii="宋体" w:hAnsi="宋体" w:cs="宋体"/>
                <w:color w:val="auto"/>
                <w:kern w:val="0"/>
                <w:sz w:val="22"/>
                <w:szCs w:val="22"/>
                <w:highlight w:val="none"/>
              </w:rPr>
            </w:pP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支持接入TLS加密方式的日志，支持对日志传输状态、最近同步时间进行监控，可统计每个日志源的今日传输量和传输总量。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日志标准化</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支持通过正则、分隔符、json、xml的可视方式进行自定义规则解析，支持对解析结果字段的新增、合并、映射。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日志过滤</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★支持对每个日志源设置过滤条件规则，自动过滤无用日志，满足根据实际业务需求减少采集对象发送到核心服务器的安全事件数，减少对网络带宽和数据库存储空间的占用。（需提供产品功能截图证明）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日志转发</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支持对单个/多个日志源批量转发，支持定时转发，可通过syslog和ka**a方式转发到第三方平台，并且支持转发原始日志和已解析日志的两种日志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57" w:type="dxa"/>
            <w:vMerge w:val="restart"/>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全文检索</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vMerge w:val="continue"/>
            <w:noWrap w:val="0"/>
            <w:vAlign w:val="center"/>
          </w:tcPr>
          <w:p>
            <w:pPr>
              <w:widowControl/>
              <w:spacing w:line="360" w:lineRule="auto"/>
              <w:jc w:val="center"/>
              <w:rPr>
                <w:rFonts w:ascii="宋体" w:hAnsi="宋体" w:cs="宋体"/>
                <w:color w:val="auto"/>
                <w:kern w:val="0"/>
                <w:sz w:val="22"/>
                <w:szCs w:val="22"/>
                <w:highlight w:val="none"/>
              </w:rPr>
            </w:pPr>
          </w:p>
        </w:tc>
        <w:tc>
          <w:tcPr>
            <w:tcW w:w="7212" w:type="dxa"/>
            <w:noWrap w:val="0"/>
            <w:vAlign w:val="center"/>
          </w:tcPr>
          <w:p>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支持解码小工具，按照不同的解码方式解码成不同的目标内容，编码格式包括base64、Unicode、GBK、HEX、UTF-8等。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7" w:type="dxa"/>
            <w:vMerge w:val="continue"/>
            <w:noWrap w:val="0"/>
            <w:vAlign w:val="center"/>
          </w:tcPr>
          <w:p>
            <w:pPr>
              <w:widowControl/>
              <w:spacing w:line="360" w:lineRule="auto"/>
              <w:jc w:val="center"/>
              <w:rPr>
                <w:rFonts w:ascii="宋体" w:hAnsi="宋体" w:cs="宋体"/>
                <w:color w:val="auto"/>
                <w:kern w:val="0"/>
                <w:sz w:val="22"/>
                <w:szCs w:val="22"/>
                <w:highlight w:val="none"/>
              </w:rPr>
            </w:pP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支持单条事件进行展开，显示事件详细信息和事件原始信息，支持事件详情中任意字段作为查询条件无限制进行二次检索分析。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日志分析</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自定义审计规则与关联规则，支持网站攻击、漏洞利用、C&amp;C通信、暴力破解、拒绝服务、主机脆弱性、主机异常、恶意软件、账号异常、权限异常、侦查探测等内置关联分析规则，内置关联分析规则数量达到350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7" w:type="dxa"/>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资产管理</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支持对IPv4/ipv6对象的自动发现功能，对自动发现的设备可以修改、删除或转为资产。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7" w:type="dxa"/>
            <w:vMerge w:val="restart"/>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日志告警</w:t>
            </w: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支持告警事件归并、告警确认和告警归档，支持基于频率、频次、时间的设定条件。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7" w:type="dxa"/>
            <w:vMerge w:val="continue"/>
            <w:noWrap w:val="0"/>
            <w:vAlign w:val="center"/>
          </w:tcPr>
          <w:p>
            <w:pPr>
              <w:widowControl/>
              <w:spacing w:line="360" w:lineRule="auto"/>
              <w:jc w:val="center"/>
              <w:rPr>
                <w:rFonts w:ascii="宋体" w:hAnsi="宋体" w:cs="宋体"/>
                <w:color w:val="auto"/>
                <w:kern w:val="0"/>
                <w:sz w:val="22"/>
                <w:szCs w:val="22"/>
                <w:highlight w:val="none"/>
              </w:rPr>
            </w:pPr>
          </w:p>
        </w:tc>
        <w:tc>
          <w:tcPr>
            <w:tcW w:w="7212" w:type="dxa"/>
            <w:noWrap w:val="0"/>
            <w:vAlign w:val="center"/>
          </w:tcPr>
          <w:p>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日志进行归一化操作后，对日志等级进行映射，根据不同日志源统计不同等级下的日志数量。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557" w:type="dxa"/>
            <w:vMerge w:val="restart"/>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系统管理</w:t>
            </w:r>
          </w:p>
        </w:tc>
        <w:tc>
          <w:tcPr>
            <w:tcW w:w="7212" w:type="dxa"/>
            <w:noWrap w:val="0"/>
            <w:vAlign w:val="center"/>
          </w:tcPr>
          <w:p>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7" w:type="dxa"/>
            <w:vMerge w:val="continue"/>
            <w:noWrap w:val="0"/>
            <w:vAlign w:val="center"/>
          </w:tcPr>
          <w:p>
            <w:pPr>
              <w:widowControl/>
              <w:spacing w:line="360" w:lineRule="auto"/>
              <w:jc w:val="center"/>
              <w:rPr>
                <w:rFonts w:ascii="宋体" w:hAnsi="宋体" w:cs="宋体"/>
                <w:color w:val="auto"/>
                <w:kern w:val="0"/>
                <w:sz w:val="22"/>
                <w:szCs w:val="22"/>
                <w:highlight w:val="none"/>
              </w:rPr>
            </w:pPr>
          </w:p>
        </w:tc>
        <w:tc>
          <w:tcPr>
            <w:tcW w:w="7212" w:type="dxa"/>
            <w:noWrap w:val="0"/>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支持个性化定制，支持全系统更换logo与系统名称，支持一键恢复默认。</w:t>
            </w:r>
          </w:p>
        </w:tc>
      </w:tr>
    </w:tbl>
    <w:p>
      <w:pPr>
        <w:spacing w:line="360" w:lineRule="auto"/>
        <w:rPr>
          <w:b/>
          <w:bCs/>
          <w:color w:val="auto"/>
          <w:highlight w:val="none"/>
        </w:rPr>
      </w:pPr>
      <w:bookmarkStart w:id="172" w:name="_Toc27675"/>
    </w:p>
    <w:p>
      <w:pPr>
        <w:spacing w:line="360" w:lineRule="auto"/>
        <w:rPr>
          <w:rFonts w:hint="eastAsia"/>
          <w:b/>
          <w:bCs/>
          <w:color w:val="auto"/>
          <w:highlight w:val="none"/>
        </w:rPr>
      </w:pPr>
      <w:r>
        <w:rPr>
          <w:rFonts w:hint="eastAsia"/>
          <w:b/>
          <w:bCs/>
          <w:color w:val="auto"/>
          <w:highlight w:val="none"/>
        </w:rPr>
        <w:t>3</w:t>
      </w:r>
      <w:r>
        <w:rPr>
          <w:b/>
          <w:bCs/>
          <w:color w:val="auto"/>
          <w:highlight w:val="none"/>
        </w:rPr>
        <w:t xml:space="preserve">.2 </w:t>
      </w:r>
      <w:r>
        <w:rPr>
          <w:rFonts w:hint="eastAsia"/>
          <w:b/>
          <w:bCs/>
          <w:color w:val="auto"/>
          <w:highlight w:val="none"/>
        </w:rPr>
        <w:t>政务外网流量采集服务</w:t>
      </w:r>
      <w:bookmarkEnd w:id="172"/>
    </w:p>
    <w:p>
      <w:pPr>
        <w:spacing w:line="360" w:lineRule="auto"/>
        <w:ind w:firstLine="420"/>
        <w:rPr>
          <w:rFonts w:hint="eastAsia" w:ascii="宋体" w:hAnsi="宋体"/>
          <w:color w:val="auto"/>
          <w:sz w:val="22"/>
          <w:szCs w:val="28"/>
          <w:highlight w:val="none"/>
        </w:rPr>
      </w:pPr>
      <w:r>
        <w:rPr>
          <w:rFonts w:hint="eastAsia" w:ascii="宋体" w:hAnsi="宋体"/>
          <w:color w:val="auto"/>
          <w:sz w:val="22"/>
          <w:szCs w:val="28"/>
          <w:highlight w:val="none"/>
        </w:rPr>
        <w:t>通过在政务外网部署流量采集工具，采集网络流量，支持已有态势感知分析平台，提供相关安全服务。</w:t>
      </w:r>
    </w:p>
    <w:p>
      <w:pPr>
        <w:spacing w:line="360" w:lineRule="auto"/>
        <w:ind w:firstLine="440" w:firstLineChars="200"/>
        <w:rPr>
          <w:color w:val="auto"/>
          <w:sz w:val="22"/>
          <w:szCs w:val="22"/>
          <w:highlight w:val="none"/>
        </w:rPr>
      </w:pPr>
      <w:r>
        <w:rPr>
          <w:rFonts w:hint="eastAsia" w:ascii="宋体" w:hAnsi="宋体"/>
          <w:color w:val="auto"/>
          <w:sz w:val="22"/>
          <w:szCs w:val="22"/>
          <w:highlight w:val="none"/>
        </w:rPr>
        <w:t>服务工具技术指标要求如下：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功能项</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性能指标</w:t>
            </w:r>
          </w:p>
        </w:tc>
        <w:tc>
          <w:tcPr>
            <w:tcW w:w="781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性能参数：吞吐性能</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TW" w:eastAsia="zh-TW"/>
              </w:rPr>
              <w:t>00Mbps。</w:t>
            </w:r>
          </w:p>
          <w:p>
            <w:pPr>
              <w:spacing w:line="360" w:lineRule="auto"/>
              <w:rPr>
                <w:rFonts w:hint="eastAsia"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硬件参数：规格：1U，内存大小≥16G，硬盘容量≥128G MSATA+4T SATA，电源：单电源，接口：</w:t>
            </w:r>
            <w:r>
              <w:rPr>
                <w:rFonts w:hint="eastAsia" w:ascii="宋体" w:hAnsi="宋体" w:cs="宋体"/>
                <w:color w:val="auto"/>
                <w:kern w:val="0"/>
                <w:sz w:val="22"/>
                <w:szCs w:val="22"/>
                <w:highlight w:val="none"/>
              </w:rPr>
              <w:t>支持不低于</w:t>
            </w:r>
            <w:r>
              <w:rPr>
                <w:rFonts w:hint="eastAsia" w:ascii="宋体" w:hAnsi="宋体" w:cs="宋体"/>
                <w:color w:val="auto"/>
                <w:kern w:val="0"/>
                <w:sz w:val="22"/>
                <w:szCs w:val="22"/>
                <w:highlight w:val="none"/>
                <w:lang w:val="zh-TW" w:eastAsia="zh-TW"/>
              </w:rPr>
              <w:t>6千兆电口+2万兆光口SFP+。</w:t>
            </w:r>
          </w:p>
          <w:p>
            <w:pPr>
              <w:spacing w:line="360" w:lineRule="auto"/>
              <w:rPr>
                <w:rFonts w:hint="eastAsia"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功能描述：安全感知管理平台SIP一体机以网络流量监测为核心，结合威胁情报、机器学习、失陷主机检测、NTA流量分析、可视化等技术，对全网安全进行可视，帮助用户看清业务、看到威胁、看懂风险，并辅助用户进行决策，让更多中小客户实现业务风险全局可视化，满足等保合规。</w:t>
            </w:r>
          </w:p>
          <w:p>
            <w:pPr>
              <w:spacing w:line="360" w:lineRule="auto"/>
              <w:rPr>
                <w:rFonts w:hint="eastAsia"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含：安全感知管理平台软件V3.0(*1套);</w:t>
            </w:r>
          </w:p>
          <w:p>
            <w:pPr>
              <w:spacing w:line="360" w:lineRule="auto"/>
              <w:rPr>
                <w:rFonts w:hint="eastAsia"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安全感知系统平台特征库软件 V2.0(*2套);</w:t>
            </w:r>
          </w:p>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万兆多模-850-300m-双纤(*2个);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81"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大屏可视</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2"/>
                <w:szCs w:val="22"/>
                <w:highlight w:val="none"/>
              </w:rPr>
            </w:pPr>
            <w:r>
              <w:rPr>
                <w:rFonts w:hint="eastAsia" w:ascii="宋体" w:hAnsi="宋体" w:cs="宋体"/>
                <w:color w:val="auto"/>
                <w:kern w:val="0"/>
                <w:sz w:val="22"/>
                <w:szCs w:val="22"/>
                <w:highlight w:val="none"/>
                <w:lang w:val="zh-TW" w:eastAsia="zh-TW"/>
              </w:rPr>
              <w:t>支持不同安全视角展示16个独立的大屏展示功能，包括全网安全态势感知大屏、分支安全态势、安全事件态势、通报预警态势、资产态势大屏等，同时能满足多种场景的监控，比如日常运维、护网场景。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auto"/>
              <w:rPr>
                <w:rFonts w:hint="eastAsia" w:ascii="宋体" w:hAnsi="宋体" w:cs="宋体"/>
                <w:color w:val="auto"/>
                <w:kern w:val="0"/>
                <w:sz w:val="22"/>
                <w:szCs w:val="22"/>
                <w:highlight w:val="none"/>
                <w:lang w:val="zh-TW"/>
              </w:rPr>
            </w:pPr>
            <w:r>
              <w:rPr>
                <w:rFonts w:hint="eastAsia" w:ascii="宋体" w:hAnsi="宋体" w:cs="宋体"/>
                <w:color w:val="auto"/>
                <w:kern w:val="0"/>
                <w:sz w:val="22"/>
                <w:szCs w:val="22"/>
                <w:highlight w:val="none"/>
                <w:lang w:val="zh-TW" w:eastAsia="zh-TW"/>
              </w:rPr>
              <w:t>支持大屏轮播，支持不同视角展示全网安全态势，包括综合安全态势、分支安全态势、安全事件态势、网络攻击态势、外连风险态势、横向威胁态势、脆弱性态势、资产态势等态势</w:t>
            </w:r>
            <w:r>
              <w:rPr>
                <w:rFonts w:hint="eastAsia" w:ascii="宋体" w:hAnsi="宋体" w:cs="宋体"/>
                <w:color w:val="auto"/>
                <w:kern w:val="0"/>
                <w:sz w:val="22"/>
                <w:szCs w:val="22"/>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81"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脆弱性感知</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密码检测技术基于UEBA学习技术（无监督自我学习）提取登陆成功的特征，通过UEBA技术对响应体内容和登录跳转路径进行持续学习训练登录成功特征，包括响应体内容Json、响应体关键字Keyword、响应体MD5值、响应体长度Length、登录跳转路径Location，可实时自动生成学习到的登陆成功规则。</w:t>
            </w:r>
            <w:r>
              <w:rPr>
                <w:rFonts w:hint="eastAsia" w:ascii="宋体" w:hAnsi="宋体" w:cs="宋体"/>
                <w:color w:val="auto"/>
                <w:kern w:val="0"/>
                <w:sz w:val="22"/>
                <w:szCs w:val="22"/>
                <w:highlight w:val="none"/>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流量实时识别漏洞分析，漏洞分析类型包含配置错误漏洞、OpenSSH漏洞、OpenLDAP等操作系统、数据库、Web应用等，页面上支持展示业务脆弱性风险分布、漏洞类型分析、漏洞态势与危害和处置建议，并支持导出脆弱性感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处置中心</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支持安全域维度展示安全风险，包含安全域列表、安全域评分、事件类型TOP5、IP地址、IP类型、风险等级、关键风险、状态等信息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TW" w:eastAsia="zh-TW"/>
              </w:rPr>
              <w:t>挖矿</w:t>
            </w:r>
            <w:r>
              <w:rPr>
                <w:rFonts w:hint="eastAsia" w:ascii="宋体" w:hAnsi="宋体" w:cs="宋体"/>
                <w:color w:val="auto"/>
                <w:kern w:val="0"/>
                <w:sz w:val="22"/>
                <w:szCs w:val="22"/>
                <w:highlight w:val="none"/>
              </w:rPr>
              <w:t>检测</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★平台内置挖矿安全知识库，对常见的挖矿如：Bluehero挖矿蠕虫变种、虚拟货币挖矿、EnMiner挖矿病毒、PowerGhost挖矿病毒、DDG挖矿病毒、Docker挖矿、DDG挖矿变种、GroksterMiner挖矿病毒、Linux 挖矿木马、ZombieBoy挖矿木马等提供详细的背景介绍、感染现象、详细分析、相关IOC（MD5、C2、URL）、解决方案。</w:t>
            </w:r>
            <w:r>
              <w:rPr>
                <w:rFonts w:hint="eastAsia" w:ascii="宋体" w:hAnsi="宋体" w:cs="宋体"/>
                <w:color w:val="auto"/>
                <w:sz w:val="22"/>
                <w:szCs w:val="22"/>
                <w:highlight w:val="none"/>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81"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分析中心</w:t>
            </w:r>
          </w:p>
          <w:p>
            <w:pPr>
              <w:spacing w:line="360" w:lineRule="auto"/>
              <w:jc w:val="center"/>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支持DNS服务器日志导入，可以接入DNS服务器的日志，安全分析引擎将结合DNS服务器的日志，定位出DNS服务器代理风险外连场景下真实源IP，从而有效地进行风险处置闭环。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安全检测日志、审计日志、第三方日志存储；日志类型包括漏洞利用攻击、网站攻击、僵尸网络、业务弱点、DOS攻击、邮件安全、文件安全、网络流量、DNS、HTTP、用户、数据库、文件审计、POP3、SMTP、IMAP、LDAP、FTP、Telne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★备基于AI的webshell通信流量检测，可检出加密（如冰蝎）的通信流量。，具备650+webshell规则检测，且覆盖webshell整个攻击阶段检测，包括webshell上传点探测、webshell上传下载、webshell通信。</w:t>
            </w:r>
            <w:r>
              <w:rPr>
                <w:rFonts w:hint="eastAsia" w:ascii="宋体" w:hAnsi="宋体" w:cs="宋体"/>
                <w:color w:val="auto"/>
                <w:sz w:val="22"/>
                <w:szCs w:val="22"/>
                <w:highlight w:val="none"/>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文件威胁分析支持平台内置的静态文件检测引擎、AI智能引擎、SAVE查杀引擎、webshellkiller引擎，利用LSA,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支持SIEM日志关联分析结果的可视化展示。并且内置关联规则对日志进行二次分析，分析结果可视化展示。包括数据分布、安全事件趋势图、关联规则告警趋势图、接入设备概况等。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针对政企邮件混淆宏病毒威胁检测，可通过不断下钻的特征向量提取和聚类算法有效检出邮件威胁。支持对smtp、imap、pop3、webmail等邮件协议审计，提取邮件正文和附件中的流量，并对邮件附件、正文链接、邮件行为、发件人等多维度进行规则和机器学习检测，从而识别出钓鱼邮件、病毒邮件、垃圾邮件、鱼叉式钓鱼等恶意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81"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报告中心</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支持综合安全风险、主机安全风险、脆弱性感知、外部感知、工单、摘要、处置报告多种方式呈现，也支持自定义时间导出PPT报告。</w:t>
            </w:r>
          </w:p>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可快速生成月度、季度、年度PPT报表，摘要报告支持PPT格式导出；包含网络安全整体解读、网络安全风险详情、告警及事件响应盘点等，帮助用户高效汇报，体现安全工作价值。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支持短信/邮件/微信/实时告警推送。告警条件、推送频率、推送时间等可自定义；</w:t>
            </w:r>
          </w:p>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短信邮件告警支持策略部编辑，可将不同告警内容发送至不同的责任人；</w:t>
            </w:r>
          </w:p>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邮件告警支持报表通知事件举证清晰，支持邮件标记已处置，简化处置运维。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81"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重保中心</w:t>
            </w:r>
          </w:p>
        </w:tc>
        <w:tc>
          <w:tcPr>
            <w:tcW w:w="781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具备实战化攻防中心，支持备战阶段的对外服务器外网暴露面分析、内网服务器暴露面梳理暴。实战阶段的实时攻击分析，实时展受害者IP、攻击者IP、XFF、攻击结果、攻击次数、事件类型、威胁等级、联动响应、状态码、确定性等级等20个以上类型。实战阶段的全过程可视溯源分析、总结阶段的值守报告等全过程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81"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2"/>
                <w:szCs w:val="22"/>
                <w:highlight w:val="none"/>
                <w:lang w:val="zh-TW" w:eastAsia="zh-TW"/>
              </w:rPr>
            </w:pPr>
          </w:p>
        </w:tc>
        <w:tc>
          <w:tcPr>
            <w:tcW w:w="781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kern w:val="0"/>
                <w:sz w:val="22"/>
                <w:szCs w:val="22"/>
                <w:highlight w:val="none"/>
                <w:lang w:val="zh-TW" w:eastAsia="zh-TW"/>
              </w:rPr>
            </w:pPr>
            <w:r>
              <w:rPr>
                <w:rFonts w:hint="eastAsia" w:ascii="宋体" w:hAnsi="宋体" w:cs="宋体"/>
                <w:color w:val="auto"/>
                <w:sz w:val="22"/>
                <w:szCs w:val="22"/>
                <w:highlight w:val="none"/>
                <w:lang w:val="zh-TW" w:eastAsia="zh-TW"/>
              </w:rPr>
              <w:t>★</w:t>
            </w:r>
            <w:r>
              <w:rPr>
                <w:rFonts w:hint="eastAsia" w:ascii="宋体" w:hAnsi="宋体" w:cs="宋体"/>
                <w:color w:val="auto"/>
                <w:kern w:val="0"/>
                <w:sz w:val="22"/>
                <w:szCs w:val="22"/>
                <w:highlight w:val="none"/>
                <w:lang w:val="zh-TW" w:eastAsia="zh-TW"/>
              </w:rPr>
              <w:t>支持云端与本地威胁情报共享，实时收集同步攻击者IP，并详细展示情报列表，包括IOC、区域、来源、更新时间、剩余封锁时间、状态、操作等，并可对本地威胁情报及云端威胁情报联动同品牌防火墙实现自动封锁。</w:t>
            </w:r>
            <w:r>
              <w:rPr>
                <w:rFonts w:hint="eastAsia" w:ascii="宋体" w:hAnsi="宋体" w:cs="宋体"/>
                <w:color w:val="auto"/>
                <w:sz w:val="22"/>
                <w:szCs w:val="22"/>
                <w:highlight w:val="none"/>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kern w:val="0"/>
                <w:sz w:val="22"/>
                <w:szCs w:val="22"/>
                <w:highlight w:val="none"/>
                <w:lang w:val="zh-TW" w:eastAsia="zh-TW"/>
              </w:rPr>
            </w:pPr>
            <w:r>
              <w:rPr>
                <w:rFonts w:hint="eastAsia" w:ascii="宋体" w:hAnsi="宋体" w:cs="宋体"/>
                <w:color w:val="auto"/>
                <w:kern w:val="0"/>
                <w:sz w:val="22"/>
                <w:szCs w:val="22"/>
                <w:highlight w:val="none"/>
                <w:lang w:val="zh-TW" w:eastAsia="zh-TW"/>
              </w:rPr>
              <w:t>设备管理</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tabs>
                <w:tab w:val="left" w:pos="915"/>
              </w:tabs>
              <w:spacing w:line="360" w:lineRule="auto"/>
              <w:rPr>
                <w:rFonts w:hint="eastAsia" w:ascii="宋体" w:hAnsi="宋体" w:cs="宋体"/>
                <w:color w:val="auto"/>
                <w:kern w:val="0"/>
                <w:sz w:val="22"/>
                <w:szCs w:val="22"/>
                <w:highlight w:val="none"/>
                <w:lang w:val="zh-TW"/>
              </w:rPr>
            </w:pPr>
            <w:r>
              <w:rPr>
                <w:rFonts w:hint="eastAsia" w:ascii="宋体" w:hAnsi="宋体" w:cs="宋体"/>
                <w:color w:val="auto"/>
                <w:kern w:val="0"/>
                <w:sz w:val="22"/>
                <w:szCs w:val="22"/>
                <w:highlight w:val="none"/>
                <w:lang w:val="zh-TW" w:eastAsia="zh-TW"/>
              </w:rPr>
              <w:t>具备安全日志分析引擎、DnsFlow行为分析引擎、HttpFLow分析引擎、NetFLow分析引擎、MailFLow分析引擎、SmbFLow分析引擎、威胁情报分析关联引擎、第三方安全检测引擎、文件威胁检测引擎等、异常账号行为分析引擎、恶意脚本行为分析引擎、文件智能分析引擎等；支持自动升级或离线手动升级</w:t>
            </w:r>
            <w:r>
              <w:rPr>
                <w:rFonts w:hint="eastAsia" w:ascii="宋体" w:hAnsi="宋体" w:cs="宋体"/>
                <w:color w:val="auto"/>
                <w:kern w:val="0"/>
                <w:sz w:val="22"/>
                <w:szCs w:val="22"/>
                <w:highlight w:val="none"/>
                <w:lang w:val="zh-TW"/>
              </w:rPr>
              <w:t>。</w:t>
            </w:r>
          </w:p>
        </w:tc>
      </w:tr>
    </w:tbl>
    <w:p>
      <w:pPr>
        <w:pStyle w:val="2"/>
        <w:spacing w:line="360" w:lineRule="auto"/>
        <w:ind w:left="360"/>
        <w:rPr>
          <w:rFonts w:ascii="宋体" w:hAnsi="宋体"/>
          <w:b/>
          <w:bCs/>
          <w:color w:val="auto"/>
          <w:highlight w:val="none"/>
        </w:rPr>
      </w:pPr>
      <w:r>
        <w:rPr>
          <w:rFonts w:hint="eastAsia" w:ascii="宋体" w:hAnsi="宋体"/>
          <w:b/>
          <w:bCs/>
          <w:color w:val="auto"/>
          <w:highlight w:val="none"/>
        </w:rPr>
        <w:t>4、</w:t>
      </w:r>
      <w:r>
        <w:rPr>
          <w:rFonts w:ascii="宋体" w:hAnsi="宋体"/>
          <w:b/>
          <w:bCs/>
          <w:color w:val="auto"/>
          <w:highlight w:val="none"/>
        </w:rPr>
        <w:t>安全保障服务</w:t>
      </w:r>
    </w:p>
    <w:p>
      <w:pPr>
        <w:pStyle w:val="2"/>
        <w:spacing w:line="360" w:lineRule="auto"/>
        <w:rPr>
          <w:rFonts w:ascii="宋体" w:hAnsi="宋体"/>
          <w:b/>
          <w:bCs/>
          <w:color w:val="auto"/>
          <w:highlight w:val="none"/>
        </w:rPr>
      </w:pPr>
      <w:r>
        <w:rPr>
          <w:rFonts w:hint="eastAsia" w:ascii="宋体" w:hAnsi="宋体"/>
          <w:b/>
          <w:bCs/>
          <w:color w:val="auto"/>
          <w:highlight w:val="none"/>
        </w:rPr>
        <w:t>4</w:t>
      </w:r>
      <w:r>
        <w:rPr>
          <w:rFonts w:ascii="宋体" w:hAnsi="宋体"/>
          <w:b/>
          <w:bCs/>
          <w:color w:val="auto"/>
          <w:highlight w:val="none"/>
        </w:rPr>
        <w:t>.1 风险评估服务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71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测试系统数量：10个</w:t>
            </w:r>
          </w:p>
          <w:p>
            <w:pPr>
              <w:spacing w:line="360" w:lineRule="auto"/>
              <w:rPr>
                <w:rFonts w:ascii="宋体" w:hAnsi="宋体"/>
                <w:color w:val="auto"/>
                <w:sz w:val="22"/>
                <w:szCs w:val="28"/>
                <w:highlight w:val="none"/>
              </w:rPr>
            </w:pPr>
            <w:r>
              <w:rPr>
                <w:rFonts w:hint="eastAsia" w:ascii="宋体" w:hAnsi="宋体"/>
                <w:color w:val="auto"/>
                <w:sz w:val="22"/>
                <w:szCs w:val="28"/>
                <w:highlight w:val="none"/>
              </w:rPr>
              <w:t>服务频率：一年2次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参照风险评估标准和管理规范，针对温州市公安局交通管理局信息系统的威胁性和脆弱性进行风险评估，从系统及其处理、传输和存储的数据信息的保密性、完整性和可用性等安全属性进行科学评估识别信息系统中关键资产及对信息系统中的风险与威胁进行分析汇总，梳理现有安全建设各方面的不足之处，提出安全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每次风险评估服务实施完成后48小时内，提交服务交付成果，《系统风险评估报告》</w:t>
            </w:r>
          </w:p>
        </w:tc>
      </w:tr>
    </w:tbl>
    <w:p>
      <w:pPr>
        <w:pStyle w:val="2"/>
        <w:spacing w:line="360" w:lineRule="auto"/>
        <w:rPr>
          <w:rFonts w:hint="eastAsia" w:ascii="宋体" w:hAnsi="宋体"/>
          <w:b/>
          <w:bCs/>
          <w:color w:val="auto"/>
          <w:highlight w:val="none"/>
        </w:rPr>
      </w:pPr>
      <w:r>
        <w:rPr>
          <w:rFonts w:hint="eastAsia" w:ascii="宋体" w:hAnsi="宋体"/>
          <w:b/>
          <w:bCs/>
          <w:color w:val="auto"/>
          <w:highlight w:val="none"/>
        </w:rPr>
        <w:t>4</w:t>
      </w:r>
      <w:r>
        <w:rPr>
          <w:rFonts w:ascii="宋体" w:hAnsi="宋体"/>
          <w:b/>
          <w:bCs/>
          <w:color w:val="auto"/>
          <w:highlight w:val="none"/>
        </w:rPr>
        <w:t>.2渗透测试服务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69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测试系统数量：10个</w:t>
            </w:r>
          </w:p>
          <w:p>
            <w:pPr>
              <w:spacing w:line="360" w:lineRule="auto"/>
              <w:rPr>
                <w:rFonts w:ascii="宋体" w:hAnsi="宋体"/>
                <w:color w:val="auto"/>
                <w:sz w:val="22"/>
                <w:szCs w:val="28"/>
                <w:highlight w:val="none"/>
              </w:rPr>
            </w:pPr>
            <w:r>
              <w:rPr>
                <w:rFonts w:hint="eastAsia" w:ascii="宋体" w:hAnsi="宋体"/>
                <w:color w:val="auto"/>
                <w:sz w:val="22"/>
                <w:szCs w:val="28"/>
                <w:highlight w:val="none"/>
              </w:rPr>
              <w:t>服务频率：一年2次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针对温州市公安局交通管理局各公安业务网业务系统，通过真实模拟黑客使用的工具、分析方法来对业务系统进行模拟攻击，并结合智能工具扫描结果，由高级工程师进行深入的手工测试和分析，识别工具扫描无法发现的问题，按需提供渗透测试，提供3年服务。有效解决温州市公安局交通管理局公安网对内暴露且可能被利用的安全风险，进一步提升公安网内网数据中心的安全防护能力。并根据渗透结果输出相应报告，同时配合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ascii="宋体" w:hAnsi="宋体"/>
                <w:color w:val="auto"/>
                <w:sz w:val="22"/>
                <w:szCs w:val="28"/>
                <w:highlight w:val="none"/>
              </w:rPr>
              <w:t>测试完成后</w:t>
            </w:r>
            <w:r>
              <w:rPr>
                <w:rFonts w:hint="eastAsia" w:ascii="宋体" w:hAnsi="宋体"/>
                <w:color w:val="auto"/>
                <w:sz w:val="22"/>
                <w:szCs w:val="28"/>
                <w:highlight w:val="none"/>
              </w:rPr>
              <w:t>出具《渗透测试报告》，报告需包含测试安全漏洞情况及整改加固建议，根据报告进行网络安全漏洞整改加固工作，并待加固完成后进行复测，检查安全漏洞整改落实情况，出具《渗透测试复测报告》</w:t>
            </w:r>
          </w:p>
        </w:tc>
      </w:tr>
    </w:tbl>
    <w:p>
      <w:pPr>
        <w:spacing w:line="360" w:lineRule="auto"/>
        <w:rPr>
          <w:b/>
          <w:bCs/>
          <w:color w:val="auto"/>
          <w:highlight w:val="none"/>
        </w:rPr>
      </w:pPr>
      <w:r>
        <w:rPr>
          <w:rFonts w:hint="eastAsia"/>
          <w:b/>
          <w:bCs/>
          <w:color w:val="auto"/>
          <w:highlight w:val="none"/>
        </w:rPr>
        <w:t>4</w:t>
      </w:r>
      <w:r>
        <w:rPr>
          <w:b/>
          <w:bCs/>
          <w:color w:val="auto"/>
          <w:highlight w:val="none"/>
        </w:rPr>
        <w:t>.3</w:t>
      </w:r>
      <w:r>
        <w:rPr>
          <w:rFonts w:hint="eastAsia"/>
          <w:b/>
          <w:bCs/>
          <w:color w:val="auto"/>
          <w:highlight w:val="none"/>
        </w:rPr>
        <w:t>制度体系建设服务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69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2"/>
                <w:szCs w:val="28"/>
                <w:highlight w:val="none"/>
              </w:rPr>
            </w:pPr>
            <w:r>
              <w:rPr>
                <w:rFonts w:ascii="宋体" w:hAnsi="宋体"/>
                <w:color w:val="auto"/>
                <w:sz w:val="22"/>
                <w:szCs w:val="28"/>
                <w:highlight w:val="none"/>
              </w:rPr>
              <w:t>4</w:t>
            </w:r>
            <w:r>
              <w:rPr>
                <w:rFonts w:hint="eastAsia" w:ascii="宋体" w:hAnsi="宋体"/>
                <w:color w:val="auto"/>
                <w:sz w:val="22"/>
                <w:szCs w:val="2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根据交管局网络安全管理的现状、差距以及风险评估和安全测试结果为依据，按照最新等级保护标准要求，协助交管局制定网络安全管理制度体系，明确管理方针、策略，以及相应的规定、操作规程、业务流程和记录表单，从贴合实际用户业务流程的原则出发，按照交管局管理标准，编写管理制度文件，并进行沟通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4套网络安全制度</w:t>
            </w:r>
          </w:p>
        </w:tc>
      </w:tr>
    </w:tbl>
    <w:p>
      <w:pPr>
        <w:spacing w:line="360" w:lineRule="auto"/>
        <w:rPr>
          <w:b/>
          <w:bCs/>
          <w:color w:val="auto"/>
          <w:highlight w:val="none"/>
        </w:rPr>
      </w:pPr>
      <w:r>
        <w:rPr>
          <w:rFonts w:hint="eastAsia"/>
          <w:b/>
          <w:bCs/>
          <w:color w:val="auto"/>
          <w:highlight w:val="none"/>
        </w:rPr>
        <w:t>4</w:t>
      </w:r>
      <w:r>
        <w:rPr>
          <w:b/>
          <w:bCs/>
          <w:color w:val="auto"/>
          <w:highlight w:val="none"/>
        </w:rPr>
        <w:t>.4</w:t>
      </w:r>
      <w:r>
        <w:rPr>
          <w:rFonts w:hint="eastAsia"/>
          <w:b/>
          <w:bCs/>
          <w:color w:val="auto"/>
          <w:highlight w:val="none"/>
        </w:rPr>
        <w:t>基线检查</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71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每年提供2次基线检查服务。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针对温州市公安局交通管理局各公安业务网业务系统，结合各行业安全规范和标准，参照安全配置基线和规范对配置进行优化。包括网络设备（包含但不限于交换机、路由器、防火墙等）、操作系统（包含但不限于各windows、Linux、Unix版本）和数据库系统（包含但不限于Oracal、SQL Server、DB2、Mysql等主流数据库）的安全配置基线。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每次基线检查服务实施完成后48小时内，提交服务交付成果，《基线检查报告》</w:t>
            </w:r>
          </w:p>
        </w:tc>
      </w:tr>
    </w:tbl>
    <w:p>
      <w:pPr>
        <w:pStyle w:val="2"/>
        <w:rPr>
          <w:b/>
          <w:bCs/>
          <w:color w:val="auto"/>
          <w:highlight w:val="none"/>
        </w:rPr>
      </w:pPr>
      <w:r>
        <w:rPr>
          <w:rFonts w:hint="eastAsia"/>
          <w:b/>
          <w:bCs/>
          <w:color w:val="auto"/>
          <w:highlight w:val="none"/>
        </w:rPr>
        <w:t>4</w:t>
      </w:r>
      <w:r>
        <w:rPr>
          <w:b/>
          <w:bCs/>
          <w:color w:val="auto"/>
          <w:highlight w:val="none"/>
        </w:rPr>
        <w:t>.5</w:t>
      </w:r>
      <w:r>
        <w:rPr>
          <w:rFonts w:hint="eastAsia"/>
          <w:b/>
          <w:bCs/>
          <w:color w:val="auto"/>
          <w:highlight w:val="none"/>
        </w:rPr>
        <w:t>安全培训</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71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每年提供</w:t>
            </w:r>
            <w:r>
              <w:rPr>
                <w:rFonts w:ascii="宋体" w:hAnsi="宋体"/>
                <w:color w:val="auto"/>
                <w:sz w:val="22"/>
                <w:szCs w:val="28"/>
                <w:highlight w:val="none"/>
              </w:rPr>
              <w:t>1</w:t>
            </w:r>
            <w:r>
              <w:rPr>
                <w:rFonts w:hint="eastAsia" w:ascii="宋体" w:hAnsi="宋体"/>
                <w:color w:val="auto"/>
                <w:sz w:val="22"/>
                <w:szCs w:val="28"/>
                <w:highlight w:val="none"/>
              </w:rPr>
              <w:t>次安全培训服务。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结合温州市公安局交通管理局各公安业务网业务系统现状，根据不同的用户类型安排有针对性的培训内容。</w:t>
            </w:r>
          </w:p>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管理人员主要包括：高层管理、业务专家等。</w:t>
            </w:r>
          </w:p>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对管理人员的培训，目的是使他们了解国家相关部门对系统信息安全管理和建设的相关标准，同时建立起一套具有针对性和适用性的安全管理办法。</w:t>
            </w:r>
          </w:p>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对技术人员的培训，目的是使他们了解信息系统所面临的严峻安全威胁和挑战，以及如何进行全面有效的安全防护措施。</w:t>
            </w:r>
          </w:p>
          <w:p>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全员培训主要包括：安全意识培训等。</w:t>
            </w:r>
          </w:p>
          <w:p>
            <w:pPr>
              <w:spacing w:line="360" w:lineRule="auto"/>
              <w:rPr>
                <w:rFonts w:ascii="宋体" w:hAnsi="宋体"/>
                <w:color w:val="auto"/>
                <w:sz w:val="22"/>
                <w:szCs w:val="28"/>
                <w:highlight w:val="none"/>
              </w:rPr>
            </w:pPr>
            <w:r>
              <w:rPr>
                <w:rFonts w:hint="eastAsia" w:ascii="宋体" w:hAnsi="宋体"/>
                <w:color w:val="auto"/>
                <w:sz w:val="22"/>
                <w:szCs w:val="28"/>
                <w:highlight w:val="none"/>
              </w:rPr>
              <w:t>全体成员的培训，目的是让大家对信息安全的有初步的认识和逐步提高安全意识，让安全事故可以得到有效的避免。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每次安全培训完成后48小时内，提供本次培训使用的课件。</w:t>
            </w:r>
          </w:p>
        </w:tc>
      </w:tr>
    </w:tbl>
    <w:p>
      <w:pPr>
        <w:spacing w:line="360" w:lineRule="auto"/>
        <w:rPr>
          <w:b/>
          <w:bCs/>
          <w:color w:val="auto"/>
          <w:highlight w:val="none"/>
        </w:rPr>
      </w:pPr>
      <w:r>
        <w:rPr>
          <w:rFonts w:hint="eastAsia"/>
          <w:b/>
          <w:bCs/>
          <w:color w:val="auto"/>
          <w:highlight w:val="none"/>
        </w:rPr>
        <w:t>4</w:t>
      </w:r>
      <w:r>
        <w:rPr>
          <w:b/>
          <w:bCs/>
          <w:color w:val="auto"/>
          <w:highlight w:val="none"/>
        </w:rPr>
        <w:t>.6安</w:t>
      </w:r>
      <w:r>
        <w:rPr>
          <w:rFonts w:hint="eastAsia"/>
          <w:b/>
          <w:bCs/>
          <w:color w:val="auto"/>
          <w:highlight w:val="none"/>
        </w:rPr>
        <w:t>全运营服务</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技术指标</w:t>
            </w:r>
          </w:p>
        </w:tc>
        <w:tc>
          <w:tcPr>
            <w:tcW w:w="766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bCs/>
                <w:color w:val="auto"/>
                <w:sz w:val="22"/>
                <w:szCs w:val="28"/>
                <w:highlight w:val="none"/>
              </w:rPr>
            </w:pPr>
            <w:r>
              <w:rPr>
                <w:rFonts w:hint="eastAsia" w:ascii="宋体" w:hAnsi="宋体"/>
                <w:b/>
                <w:bCs/>
                <w:color w:val="auto"/>
                <w:sz w:val="22"/>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服务范围</w:t>
            </w:r>
          </w:p>
        </w:tc>
        <w:tc>
          <w:tcPr>
            <w:tcW w:w="76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温州市公安局交通管理局。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服务期限及频率</w:t>
            </w:r>
          </w:p>
        </w:tc>
        <w:tc>
          <w:tcPr>
            <w:tcW w:w="76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ascii="宋体" w:hAnsi="宋体"/>
                <w:color w:val="auto"/>
                <w:sz w:val="22"/>
                <w:szCs w:val="28"/>
                <w:highlight w:val="none"/>
              </w:rPr>
              <w:t>3</w:t>
            </w:r>
            <w:r>
              <w:rPr>
                <w:rFonts w:hint="eastAsia" w:ascii="宋体" w:hAnsi="宋体"/>
                <w:color w:val="auto"/>
                <w:sz w:val="22"/>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kern w:val="0"/>
                <w:sz w:val="22"/>
                <w:szCs w:val="28"/>
                <w:highlight w:val="none"/>
              </w:rPr>
            </w:pPr>
            <w:r>
              <w:rPr>
                <w:rFonts w:hint="eastAsia" w:ascii="宋体" w:hAnsi="宋体"/>
                <w:color w:val="auto"/>
                <w:sz w:val="22"/>
                <w:szCs w:val="28"/>
                <w:highlight w:val="none"/>
              </w:rPr>
              <w:t>服务内容</w:t>
            </w:r>
          </w:p>
        </w:tc>
        <w:tc>
          <w:tcPr>
            <w:tcW w:w="7667" w:type="dxa"/>
            <w:tcBorders>
              <w:top w:val="single" w:color="auto" w:sz="4" w:space="0"/>
              <w:left w:val="single" w:color="auto" w:sz="4" w:space="0"/>
              <w:bottom w:val="single" w:color="auto" w:sz="4" w:space="0"/>
              <w:right w:val="single" w:color="auto" w:sz="4" w:space="0"/>
            </w:tcBorders>
            <w:noWrap w:val="0"/>
            <w:vAlign w:val="center"/>
          </w:tcPr>
          <w:p>
            <w:pPr>
              <w:pStyle w:val="110"/>
              <w:numPr>
                <w:ilvl w:val="0"/>
                <w:numId w:val="37"/>
              </w:numPr>
              <w:spacing w:line="360" w:lineRule="auto"/>
              <w:ind w:firstLineChars="0"/>
              <w:rPr>
                <w:rFonts w:ascii="宋体" w:hAnsi="宋体"/>
                <w:color w:val="auto"/>
                <w:sz w:val="22"/>
                <w:szCs w:val="24"/>
                <w:highlight w:val="none"/>
              </w:rPr>
            </w:pPr>
            <w:r>
              <w:rPr>
                <w:rFonts w:hint="eastAsia" w:ascii="宋体" w:hAnsi="宋体"/>
                <w:color w:val="auto"/>
                <w:sz w:val="22"/>
                <w:szCs w:val="24"/>
                <w:highlight w:val="none"/>
              </w:rPr>
              <w:t>安全加固服务</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根据实际需求，针对风险评估以及信息系统日常运维过程中发现的安全漏洞和隐患，按需提供安全加固服务。</w:t>
            </w:r>
          </w:p>
          <w:p>
            <w:pPr>
              <w:pStyle w:val="110"/>
              <w:numPr>
                <w:ilvl w:val="0"/>
                <w:numId w:val="37"/>
              </w:numPr>
              <w:spacing w:line="360" w:lineRule="auto"/>
              <w:ind w:firstLineChars="0"/>
              <w:rPr>
                <w:rFonts w:ascii="宋体" w:hAnsi="宋体"/>
                <w:color w:val="auto"/>
                <w:sz w:val="22"/>
                <w:szCs w:val="24"/>
                <w:highlight w:val="none"/>
              </w:rPr>
            </w:pPr>
            <w:r>
              <w:rPr>
                <w:rFonts w:hint="eastAsia" w:ascii="宋体" w:hAnsi="宋体"/>
                <w:color w:val="auto"/>
                <w:sz w:val="22"/>
                <w:szCs w:val="24"/>
                <w:highlight w:val="none"/>
              </w:rPr>
              <w:t>安全运维</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针对交管局整体信息系统开展日常安全运维服务工作，服务内容包括但不限于：设备运行安全监测、安全事件告警监控、配置及备份更新，并提供安全设备系统升级、协助安全设备故障处理、安全设备防护告警监测、负责日常网络安全事件以及协助进行重大网络安全事故的应急响应工作。</w:t>
            </w:r>
          </w:p>
          <w:p>
            <w:pPr>
              <w:pStyle w:val="110"/>
              <w:numPr>
                <w:ilvl w:val="0"/>
                <w:numId w:val="37"/>
              </w:numPr>
              <w:spacing w:line="360" w:lineRule="auto"/>
              <w:ind w:firstLineChars="0"/>
              <w:rPr>
                <w:rFonts w:ascii="宋体" w:hAnsi="宋体"/>
                <w:color w:val="auto"/>
                <w:sz w:val="22"/>
                <w:szCs w:val="24"/>
                <w:highlight w:val="none"/>
              </w:rPr>
            </w:pPr>
            <w:r>
              <w:rPr>
                <w:rFonts w:hint="eastAsia" w:ascii="宋体" w:hAnsi="宋体"/>
                <w:color w:val="auto"/>
                <w:sz w:val="22"/>
                <w:szCs w:val="24"/>
                <w:highlight w:val="none"/>
              </w:rPr>
              <w:t>重保安全值守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按需提供重保值守服务，次数由重大活动为基准。在重点时期（包括：国庆、亚运、二十大等）前对现有网络运行的服务器、终端、网络设备、安全设备、网站及应用系统等开展安全检查，从而发现硬件、软件、协议的实现或系统安全策略上的缺陷问题，对发现的问题提供对应安全整改建议，在重点时期做好安全加固及防护，并提供1名安全技术人员重要时段安全保障值守服务，保障安全稳定运行。</w:t>
            </w:r>
          </w:p>
          <w:p>
            <w:pPr>
              <w:pStyle w:val="110"/>
              <w:numPr>
                <w:ilvl w:val="0"/>
                <w:numId w:val="37"/>
              </w:numPr>
              <w:spacing w:line="360" w:lineRule="auto"/>
              <w:ind w:firstLineChars="0"/>
              <w:rPr>
                <w:rFonts w:ascii="宋体" w:hAnsi="宋体"/>
                <w:color w:val="auto"/>
                <w:sz w:val="22"/>
                <w:szCs w:val="24"/>
                <w:highlight w:val="none"/>
              </w:rPr>
            </w:pPr>
            <w:r>
              <w:rPr>
                <w:rFonts w:hint="eastAsia" w:ascii="宋体" w:hAnsi="宋体"/>
                <w:color w:val="auto"/>
                <w:sz w:val="22"/>
                <w:szCs w:val="24"/>
                <w:highlight w:val="none"/>
              </w:rPr>
              <w:t>安全应急响应处置</w:t>
            </w:r>
          </w:p>
          <w:p>
            <w:pPr>
              <w:spacing w:line="360" w:lineRule="auto"/>
              <w:ind w:firstLine="440" w:firstLineChars="200"/>
              <w:rPr>
                <w:rFonts w:ascii="宋体" w:hAnsi="宋体"/>
                <w:color w:val="auto"/>
                <w:sz w:val="22"/>
                <w:szCs w:val="28"/>
                <w:highlight w:val="none"/>
              </w:rPr>
            </w:pPr>
            <w:r>
              <w:rPr>
                <w:rFonts w:hint="eastAsia" w:ascii="宋体" w:hAnsi="宋体"/>
                <w:color w:val="auto"/>
                <w:sz w:val="22"/>
                <w:szCs w:val="22"/>
                <w:highlight w:val="none"/>
              </w:rPr>
              <w:t>根据交管局安全事件情况，按需提供应急响应处置服务，基于温州市公安局交通管理局公安具体的安全事件开展应急响应，安全事件检测、安全事件抑制、安全事件根除、安全事件恢复、安全事件总结，最终形成协调联动机制，增强应急技术能力，健全应急响应机制。安全事件处置完成，系统得到恢复。找到安全事件发生原因并提供安全解决方案。提供交付物安全事件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交付物</w:t>
            </w:r>
          </w:p>
        </w:tc>
        <w:tc>
          <w:tcPr>
            <w:tcW w:w="76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2"/>
                <w:szCs w:val="28"/>
                <w:highlight w:val="none"/>
              </w:rPr>
            </w:pPr>
            <w:r>
              <w:rPr>
                <w:rFonts w:hint="eastAsia" w:ascii="宋体" w:hAnsi="宋体"/>
                <w:color w:val="auto"/>
                <w:sz w:val="22"/>
                <w:szCs w:val="28"/>
                <w:highlight w:val="none"/>
              </w:rPr>
              <w:t>《网络安全运维月报》、《安全加固报告》、《应急响应报告》、《重大活动保障方案》、《重大活动保障报告》</w:t>
            </w:r>
          </w:p>
        </w:tc>
      </w:tr>
    </w:tbl>
    <w:p>
      <w:pPr>
        <w:pStyle w:val="4"/>
        <w:spacing w:line="360" w:lineRule="auto"/>
        <w:jc w:val="center"/>
        <w:rPr>
          <w:rFonts w:ascii="宋体" w:hAnsi="宋体" w:eastAsia="宋体"/>
          <w:color w:val="auto"/>
          <w:sz w:val="28"/>
          <w:szCs w:val="28"/>
          <w:highlight w:val="none"/>
        </w:rPr>
      </w:pPr>
      <w:bookmarkStart w:id="173" w:name="_Toc32647"/>
      <w:bookmarkStart w:id="174" w:name="_Toc28430"/>
      <w:r>
        <w:rPr>
          <w:rFonts w:hint="eastAsia" w:ascii="宋体" w:hAnsi="宋体" w:eastAsia="宋体"/>
          <w:color w:val="auto"/>
          <w:sz w:val="28"/>
          <w:szCs w:val="28"/>
          <w:highlight w:val="none"/>
        </w:rPr>
        <w:t>四、 其他要求</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1.  交付或者实施的时间和地点要求：</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1.1  交付或者实施的时间：</w:t>
      </w:r>
    </w:p>
    <w:p>
      <w:pPr>
        <w:snapToGrid w:val="0"/>
        <w:spacing w:line="360" w:lineRule="auto"/>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合同签订后2个月内完成所有软硬件安装并上线试运行，试运行时间为不少于1个月。</w:t>
      </w:r>
    </w:p>
    <w:p>
      <w:pPr>
        <w:snapToGrid w:val="0"/>
        <w:spacing w:line="360" w:lineRule="auto"/>
        <w:ind w:firstLine="442" w:firstLineChars="200"/>
        <w:rPr>
          <w:rFonts w:ascii="宋体" w:hAnsi="宋体"/>
          <w:color w:val="auto"/>
          <w:sz w:val="22"/>
          <w:szCs w:val="22"/>
          <w:highlight w:val="none"/>
        </w:rPr>
      </w:pPr>
      <w:r>
        <w:rPr>
          <w:rFonts w:hint="eastAsia" w:ascii="宋体" w:hAnsi="宋体"/>
          <w:b/>
          <w:bCs/>
          <w:color w:val="auto"/>
          <w:sz w:val="22"/>
          <w:szCs w:val="22"/>
          <w:highlight w:val="none"/>
        </w:rPr>
        <w:t>1.2  交付地点：</w:t>
      </w:r>
      <w:r>
        <w:rPr>
          <w:rFonts w:hint="eastAsia" w:ascii="宋体" w:hAnsi="宋体"/>
          <w:color w:val="auto"/>
          <w:sz w:val="22"/>
          <w:szCs w:val="22"/>
          <w:highlight w:val="none"/>
        </w:rPr>
        <w:t>采购人指定地点。</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2.  售后服务：</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2.1  技术支持：</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免费运维服务期内，须提供每周7天，每天8小时的售后服务，在接到用户故障报告后响应时间不超过30分钟；如不影响网络和信息系统正常运行的，应在60分钟处置完成；如对网络和信息系统正常运行造成影响的，应在30分钟处置完成，期间如不能修复，必须提供应急措施，保证系统的正常运行。</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免费运维服务期内，供应商需免费为采购人进行版本升级、软件维护、数据维护、使用培训、数据迁移（如有）、安全漏洞和隐患的消除等上门服务。</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2.2  维保期限：</w:t>
      </w:r>
    </w:p>
    <w:p>
      <w:pPr>
        <w:snapToGrid w:val="0"/>
        <w:spacing w:line="360" w:lineRule="auto"/>
        <w:ind w:firstLine="442" w:firstLineChars="200"/>
        <w:rPr>
          <w:rFonts w:ascii="宋体" w:hAnsi="宋体"/>
          <w:color w:val="auto"/>
          <w:sz w:val="24"/>
          <w:highlight w:val="none"/>
          <w:u w:val="single"/>
        </w:rPr>
      </w:pPr>
      <w:r>
        <w:rPr>
          <w:rFonts w:hint="eastAsia" w:ascii="宋体" w:hAnsi="宋体"/>
          <w:b/>
          <w:bCs/>
          <w:color w:val="auto"/>
          <w:sz w:val="22"/>
          <w:szCs w:val="22"/>
          <w:highlight w:val="none"/>
          <w:u w:val="single"/>
        </w:rPr>
        <w:t>▲须提供不少于三年（36个月）服务，服务期满服务工具的所有权转移给采购人</w:t>
      </w:r>
      <w:r>
        <w:rPr>
          <w:rFonts w:hint="eastAsia" w:ascii="宋体" w:hAnsi="宋体"/>
          <w:b/>
          <w:bCs/>
          <w:color w:val="auto"/>
          <w:sz w:val="24"/>
          <w:highlight w:val="none"/>
          <w:u w:val="single"/>
        </w:rPr>
        <w:t>。</w:t>
      </w:r>
    </w:p>
    <w:p>
      <w:pPr>
        <w:snapToGrid w:val="0"/>
        <w:spacing w:line="360" w:lineRule="auto"/>
        <w:ind w:firstLine="442" w:firstLineChars="200"/>
        <w:rPr>
          <w:rFonts w:ascii="宋体" w:hAnsi="宋体"/>
          <w:color w:val="auto"/>
          <w:kern w:val="0"/>
          <w:sz w:val="24"/>
          <w:highlight w:val="none"/>
        </w:rPr>
      </w:pPr>
      <w:r>
        <w:rPr>
          <w:rFonts w:hint="eastAsia" w:ascii="宋体" w:hAnsi="宋体"/>
          <w:b/>
          <w:bCs/>
          <w:color w:val="auto"/>
          <w:sz w:val="22"/>
          <w:szCs w:val="22"/>
          <w:highlight w:val="none"/>
        </w:rPr>
        <w:t>3.  系统培训：</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实际操作培训：根据采购人要求，对使用人员集中进行设备操作应用培训，场次、人数不限。</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现场培训：根据采购人要求，对相关技术人员集中进行设备安装集成培训，场次不少于3场，人数不限。</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系统培训：进行基础操作培训，包括最新技术、设备使用、维护以及运行管理等内容，场次不少于3场，人数不少于10人。</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系统管理培训：中标人应向采购人免费提供系统管理维护的技术培训，包括必要的有关系统软件、应用软件和后台管理软件的操作培训课程。系统培训场地、教学资料、环境等由建设方提供。培训课程及时间安排由中标人提供并经采购人认可，培训讲师不少于2人，且培训时间不少于5个工作日。</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系统应用培训：面向采购人的操作使用培训、以及常见软硬件系统故障恢复。系统培训方式和场地由采购人决定，培训材料、课程安排由中标人提供并经采购人认可，培训讲师不少于2人，且培训场次不少于3轮。</w:t>
      </w:r>
    </w:p>
    <w:p>
      <w:pPr>
        <w:numPr>
          <w:ilvl w:val="0"/>
          <w:numId w:val="38"/>
        </w:numPr>
        <w:snapToGrid w:val="0"/>
        <w:spacing w:line="360" w:lineRule="auto"/>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 xml:space="preserve"> 付款方式见第二部分“合同主要条款”。</w:t>
      </w:r>
    </w:p>
    <w:p>
      <w:pPr>
        <w:widowControl/>
        <w:numPr>
          <w:ilvl w:val="0"/>
          <w:numId w:val="38"/>
        </w:numPr>
        <w:spacing w:line="360" w:lineRule="auto"/>
        <w:ind w:right="60" w:firstLine="442" w:firstLineChars="200"/>
        <w:jc w:val="left"/>
        <w:rPr>
          <w:rFonts w:ascii="宋体" w:hAnsi="宋体"/>
          <w:b/>
          <w:color w:val="auto"/>
          <w:sz w:val="22"/>
          <w:szCs w:val="22"/>
          <w:highlight w:val="none"/>
          <w:u w:val="single"/>
        </w:rPr>
      </w:pPr>
      <w:r>
        <w:rPr>
          <w:rFonts w:hint="eastAsia" w:ascii="宋体" w:hAnsi="宋体"/>
          <w:b/>
          <w:color w:val="auto"/>
          <w:sz w:val="22"/>
          <w:szCs w:val="22"/>
          <w:highlight w:val="none"/>
        </w:rPr>
        <w:t>▲</w:t>
      </w:r>
      <w:r>
        <w:rPr>
          <w:rFonts w:hint="eastAsia" w:ascii="宋体" w:hAnsi="宋体"/>
          <w:b/>
          <w:color w:val="auto"/>
          <w:sz w:val="22"/>
          <w:szCs w:val="22"/>
          <w:highlight w:val="none"/>
          <w:u w:val="single"/>
        </w:rPr>
        <w:t>本项目采购预算为</w:t>
      </w:r>
      <w:r>
        <w:rPr>
          <w:rFonts w:hint="eastAsia" w:ascii="宋体" w:hAnsi="宋体"/>
          <w:b/>
          <w:color w:val="auto"/>
          <w:sz w:val="22"/>
          <w:szCs w:val="22"/>
          <w:highlight w:val="none"/>
          <w:u w:val="single"/>
          <w:lang w:eastAsia="zh-CN"/>
        </w:rPr>
        <w:t>126.2</w:t>
      </w:r>
      <w:r>
        <w:rPr>
          <w:rFonts w:hint="eastAsia" w:ascii="宋体" w:hAnsi="宋体"/>
          <w:b/>
          <w:color w:val="auto"/>
          <w:sz w:val="22"/>
          <w:szCs w:val="22"/>
          <w:highlight w:val="none"/>
          <w:u w:val="single"/>
        </w:rPr>
        <w:t>万元，</w:t>
      </w:r>
      <w:r>
        <w:rPr>
          <w:rFonts w:hint="eastAsia" w:ascii="宋体" w:hAnsi="宋体"/>
          <w:b/>
          <w:color w:val="auto"/>
          <w:sz w:val="22"/>
          <w:szCs w:val="22"/>
          <w:highlight w:val="none"/>
          <w:u w:val="single"/>
          <w:lang w:val="en-US" w:eastAsia="zh-CN"/>
        </w:rPr>
        <w:t>最高限价为126.2万元</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投标供应商的投标报价不得超过采购预算</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或最高限价</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，否则其投标文件作无效标处理。</w:t>
      </w:r>
      <w:r>
        <w:rPr>
          <w:rFonts w:hint="eastAsia" w:ascii="宋体" w:hAnsi="宋体"/>
          <w:b/>
          <w:bCs/>
          <w:color w:val="auto"/>
          <w:sz w:val="22"/>
          <w:szCs w:val="22"/>
          <w:highlight w:val="none"/>
          <w:u w:val="single"/>
        </w:rPr>
        <w:t>投标报价是指</w:t>
      </w:r>
      <w:r>
        <w:rPr>
          <w:rFonts w:hint="eastAsia" w:ascii="宋体" w:hAnsi="宋体"/>
          <w:b/>
          <w:color w:val="auto"/>
          <w:sz w:val="22"/>
          <w:szCs w:val="22"/>
          <w:highlight w:val="none"/>
          <w:u w:val="single"/>
        </w:rPr>
        <w:t>本供应商为完成本次采购要求及完成技术标中所载明的设备费、软件费、系统集成、运输、安装、调试、人工费、利润、验收费、采购代理服务费、税金等完成合同所需的一切本身和不可或缺的所有工作开支、政策性文件规定及合同包含的所有风险、责任等各项全部费用，投标供应商应根据上述因素自行考虑含入投标报价。</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6.项目实施和运维要求</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6.1 中标方在项目实施及运维过程中，保证所投入的硬件、软件，固件升级、代码库更新，规则变更等所有人员操作和维护动作，不会对交管局现有网络与安全带来故障和风险。任何软硬件和动作实施，如果会带来网络和安全扰动的，必须事先提出，与交管局负责人员做好沟通、制定细致操作策略，双方确认后再实施。如有违反本条描述之要求，造成交管局网络、服务、安全、系统等异常，影响正常工作的，每发生一起扣款千分之一的合同金额，扣款金额上限为合同金额的百分之十，计算扣款，扣款金额上限为合同金额的百分之十，扣款超过百分之十的，甲方有权可解除合同。</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6.2 中标方对本次项目投入的软硬件设备性能指标，固件代码库更新频度，监测规则等，都应符合信息系统等保三级要求，如不符，中标方必须无条件更换符合要求软硬件设备，如未落实，每一项，按照合同金额的百分之一实施扣款，扣款金额上限为合同金额的百分之十，超过百分之十的，甲方有权可解除合同。</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6.3 本次项目的实施，是为确保交管局网络信息整体安全可控，建立安全防护屏障，随时发现潜在安全威胁风险，及时处置消除隐患。如在运维期间，交管局如发生因网络安全、病毒攻击、漏洞攻陷等网络安全事件，被上级机关通报整改扣分，造成影响的，每发生一起，按照合同金额的百分之二实施扣款，如在重大安保期间，交管局发生被上级通报扣分的网络安全事件，每发生一起，按照合同金额的百分之五实施扣款，扣款金额上限为合同金额的百分之十，超过百分之十的，甲方有权可解除合同。</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6.4 本项目运维期间，如发生本项目的任何产品的运行、设置、维护等故障，中标方有30分钟故障处置时间，超过5分钟，如对网络和信息系统正常运行造成影响的，每30分钟按照合同金额的千分之一实时扣款，扣款金额上限为合同金额的百分之十，超过百分之十的，甲方有权可解除合同。如不影响网络和信息系统正常运行的，应在60分钟处置完成，超过60分钟的，每次按照合同金额的万分之一实施扣款。是否影响网络和信息系统正常运行，由甲方判定。</w:t>
      </w:r>
    </w:p>
    <w:p>
      <w:pPr>
        <w:pStyle w:val="2"/>
        <w:ind w:left="426"/>
        <w:rPr>
          <w:rFonts w:ascii="宋体" w:hAnsi="宋体"/>
          <w:b/>
          <w:color w:val="auto"/>
          <w:sz w:val="22"/>
          <w:szCs w:val="22"/>
          <w:highlight w:val="none"/>
          <w:u w:val="single"/>
        </w:rPr>
      </w:pPr>
      <w:r>
        <w:rPr>
          <w:rFonts w:hint="eastAsia" w:ascii="宋体" w:hAnsi="宋体"/>
          <w:b/>
          <w:color w:val="auto"/>
          <w:sz w:val="22"/>
          <w:szCs w:val="22"/>
          <w:highlight w:val="none"/>
          <w:u w:val="single"/>
        </w:rPr>
        <w:t>6.5 在运维期，甲方会组织实施项目运维工作是否到边到位的随机抽检。如发现中标方未按照标书和合同要求，实施各项规定的运维工作，如没有及时处置安全设备的威胁告警，没有按照要求设定最小必要安全访问策略等等行为的，每发现一起，按照合同金额的百分之一实施扣款，扣款金额上限为合同金额的百分之十，超过百分之十的，甲方有权可解除合同。</w:t>
      </w:r>
    </w:p>
    <w:bookmarkEnd w:id="157"/>
    <w:bookmarkEnd w:id="158"/>
    <w:bookmarkEnd w:id="159"/>
    <w:bookmarkEnd w:id="160"/>
    <w:bookmarkEnd w:id="161"/>
    <w:bookmarkEnd w:id="162"/>
    <w:bookmarkEnd w:id="163"/>
    <w:bookmarkEnd w:id="173"/>
    <w:bookmarkEnd w:id="174"/>
    <w:p>
      <w:pPr>
        <w:pStyle w:val="2"/>
        <w:ind w:left="426"/>
        <w:rPr>
          <w:rFonts w:ascii="宋体" w:hAnsi="宋体" w:cs="宋体"/>
          <w:b/>
          <w:color w:val="auto"/>
          <w:sz w:val="22"/>
          <w:szCs w:val="22"/>
          <w:highlight w:val="none"/>
          <w:u w:val="single"/>
        </w:rPr>
      </w:pPr>
    </w:p>
    <w:p>
      <w:pPr>
        <w:pStyle w:val="2"/>
        <w:ind w:left="426"/>
        <w:rPr>
          <w:rFonts w:ascii="宋体" w:hAnsi="宋体" w:cs="宋体"/>
          <w:b/>
          <w:color w:val="auto"/>
          <w:sz w:val="22"/>
          <w:szCs w:val="22"/>
          <w:highlight w:val="none"/>
          <w:u w:val="single"/>
        </w:rPr>
      </w:pPr>
    </w:p>
    <w:p>
      <w:pPr>
        <w:widowControl/>
        <w:tabs>
          <w:tab w:val="left" w:pos="0"/>
        </w:tabs>
        <w:spacing w:line="360" w:lineRule="auto"/>
        <w:ind w:right="60"/>
        <w:jc w:val="left"/>
        <w:rPr>
          <w:rFonts w:hint="eastAsia" w:ascii="宋体" w:hAnsi="宋体" w:cs="宋体"/>
          <w:b/>
          <w:color w:val="auto"/>
          <w:sz w:val="22"/>
          <w:szCs w:val="22"/>
          <w:highlight w:val="none"/>
          <w:u w:val="single"/>
        </w:rPr>
      </w:pPr>
    </w:p>
    <w:p>
      <w:pPr>
        <w:widowControl/>
        <w:tabs>
          <w:tab w:val="left" w:pos="0"/>
        </w:tabs>
        <w:spacing w:line="360" w:lineRule="auto"/>
        <w:ind w:right="60"/>
        <w:jc w:val="left"/>
        <w:rPr>
          <w:rFonts w:hint="eastAsia" w:ascii="宋体" w:hAnsi="宋体" w:cs="宋体"/>
          <w:b/>
          <w:color w:val="auto"/>
          <w:sz w:val="22"/>
          <w:szCs w:val="22"/>
          <w:highlight w:val="none"/>
          <w:u w:val="single"/>
        </w:rPr>
      </w:pPr>
    </w:p>
    <w:p>
      <w:pPr>
        <w:widowControl/>
        <w:tabs>
          <w:tab w:val="left" w:pos="0"/>
        </w:tabs>
        <w:spacing w:line="360" w:lineRule="auto"/>
        <w:ind w:right="60"/>
        <w:jc w:val="left"/>
        <w:rPr>
          <w:rFonts w:hint="eastAsia" w:ascii="宋体" w:hAnsi="宋体" w:cs="宋体"/>
          <w:b/>
          <w:color w:val="auto"/>
          <w:sz w:val="22"/>
          <w:szCs w:val="22"/>
          <w:highlight w:val="none"/>
          <w:u w:val="single"/>
        </w:rPr>
      </w:pPr>
    </w:p>
    <w:bookmarkEnd w:id="164"/>
    <w:bookmarkEnd w:id="165"/>
    <w:p>
      <w:pPr>
        <w:pStyle w:val="3"/>
        <w:tabs>
          <w:tab w:val="clear" w:pos="840"/>
        </w:tabs>
        <w:adjustRightInd/>
        <w:snapToGrid/>
        <w:spacing w:before="120" w:after="120" w:line="500" w:lineRule="exact"/>
        <w:jc w:val="center"/>
        <w:rPr>
          <w:rFonts w:hint="eastAsia" w:hAnsi="宋体" w:cs="宋体"/>
          <w:bCs/>
          <w:color w:val="auto"/>
          <w:sz w:val="32"/>
          <w:szCs w:val="32"/>
          <w:highlight w:val="none"/>
        </w:rPr>
      </w:pPr>
      <w:bookmarkStart w:id="175" w:name="_Toc66274219"/>
      <w:bookmarkStart w:id="176" w:name="_Toc19298"/>
      <w:bookmarkStart w:id="177" w:name="_Toc11157"/>
      <w:r>
        <w:rPr>
          <w:rFonts w:hint="eastAsia" w:hAnsi="宋体" w:cs="宋体"/>
          <w:bCs/>
          <w:color w:val="auto"/>
          <w:sz w:val="32"/>
          <w:szCs w:val="32"/>
          <w:highlight w:val="none"/>
        </w:rPr>
        <w:br w:type="page"/>
      </w:r>
      <w:r>
        <w:rPr>
          <w:rFonts w:hint="eastAsia" w:hAnsi="宋体" w:cs="宋体"/>
          <w:bCs/>
          <w:color w:val="auto"/>
          <w:sz w:val="32"/>
          <w:szCs w:val="32"/>
          <w:highlight w:val="none"/>
        </w:rPr>
        <w:t>第五部分  评标原则及方法</w:t>
      </w:r>
      <w:bookmarkEnd w:id="175"/>
      <w:bookmarkEnd w:id="176"/>
      <w:bookmarkEnd w:id="177"/>
    </w:p>
    <w:p>
      <w:pPr>
        <w:widowControl/>
        <w:snapToGrid w:val="0"/>
        <w:spacing w:line="360" w:lineRule="auto"/>
        <w:ind w:left="538"/>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根据《中华人民共和国政府采购法》等相关法律、法规特制定以下评标办法。</w:t>
      </w:r>
    </w:p>
    <w:p>
      <w:pPr>
        <w:widowControl/>
        <w:snapToGrid w:val="0"/>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 总  则</w:t>
      </w:r>
    </w:p>
    <w:p>
      <w:pPr>
        <w:widowControl/>
        <w:spacing w:line="360" w:lineRule="auto"/>
        <w:ind w:left="548"/>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工作应遵循公开、公平、公正、科学、择优原则，科学、严谨的态度，认真进行评标，推进技术进步，确保项目质量，最大限度的保护当事人权益。严格按照招标文件的商务、技术要求，对投标文件进行综合评定，编写评标报告。对落标单位，评委会不作任何落标解释。投标供应商不得以任何方式干扰招投标工作的正常秩序，一经发现其投标文件将被拒绝。</w:t>
      </w:r>
    </w:p>
    <w:p>
      <w:pPr>
        <w:widowControl/>
        <w:snapToGrid w:val="0"/>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 评标组织</w:t>
      </w:r>
    </w:p>
    <w:p>
      <w:pPr>
        <w:widowControl/>
        <w:spacing w:line="360" w:lineRule="auto"/>
        <w:ind w:left="548"/>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评标工作由招标采购单位依法组建的评标委员会负责。</w:t>
      </w:r>
    </w:p>
    <w:p>
      <w:pPr>
        <w:spacing w:line="360" w:lineRule="auto"/>
        <w:rPr>
          <w:rFonts w:hint="eastAsia" w:ascii="宋体" w:hAnsi="宋体" w:cs="宋体"/>
          <w:color w:val="auto"/>
          <w:sz w:val="22"/>
          <w:szCs w:val="22"/>
          <w:highlight w:val="none"/>
        </w:rPr>
      </w:pPr>
      <w:r>
        <w:rPr>
          <w:rFonts w:hint="eastAsia" w:ascii="宋体" w:hAnsi="宋体" w:cs="宋体"/>
          <w:b/>
          <w:color w:val="auto"/>
          <w:sz w:val="22"/>
          <w:szCs w:val="22"/>
          <w:highlight w:val="none"/>
        </w:rPr>
        <w:t>三、 评标程序</w:t>
      </w:r>
    </w:p>
    <w:p>
      <w:pPr>
        <w:spacing w:line="360" w:lineRule="auto"/>
        <w:ind w:left="567" w:leftChars="262" w:hanging="17" w:hangingChars="8"/>
        <w:rPr>
          <w:rFonts w:hint="eastAsia" w:ascii="宋体" w:hAnsi="宋体" w:cs="宋体"/>
          <w:color w:val="auto"/>
          <w:sz w:val="22"/>
          <w:szCs w:val="22"/>
          <w:highlight w:val="none"/>
        </w:rPr>
      </w:pPr>
      <w:r>
        <w:rPr>
          <w:rFonts w:hint="eastAsia" w:ascii="宋体" w:hAnsi="宋体" w:cs="宋体"/>
          <w:color w:val="auto"/>
          <w:sz w:val="22"/>
          <w:szCs w:val="22"/>
          <w:highlight w:val="none"/>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pPr>
        <w:pStyle w:val="7"/>
        <w:adjustRightInd w:val="0"/>
        <w:snapToGrid w:val="0"/>
        <w:spacing w:after="0"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pPr>
        <w:pStyle w:val="15"/>
        <w:spacing w:line="360" w:lineRule="auto"/>
        <w:ind w:left="579" w:hanging="578" w:hangingChars="263"/>
        <w:rPr>
          <w:rFonts w:hint="eastAsia" w:ascii="宋体" w:hAnsi="宋体" w:cs="宋体"/>
          <w:b/>
          <w:color w:val="auto"/>
          <w:sz w:val="22"/>
          <w:szCs w:val="22"/>
          <w:highlight w:val="none"/>
          <w:u w:val="single"/>
        </w:rPr>
      </w:pPr>
      <w:r>
        <w:rPr>
          <w:rFonts w:hint="eastAsia" w:ascii="宋体" w:hAnsi="宋体" w:cs="宋体"/>
          <w:bCs/>
          <w:color w:val="auto"/>
          <w:kern w:val="28"/>
          <w:sz w:val="22"/>
          <w:szCs w:val="22"/>
          <w:highlight w:val="none"/>
        </w:rPr>
        <w:t xml:space="preserve">1、  </w:t>
      </w:r>
      <w:r>
        <w:rPr>
          <w:rFonts w:hint="eastAsia" w:ascii="宋体" w:hAnsi="宋体" w:cs="宋体"/>
          <w:b/>
          <w:color w:val="auto"/>
          <w:sz w:val="22"/>
          <w:highlight w:val="none"/>
        </w:rPr>
        <w:t>本项目评标办法采取百分制综合评分法</w:t>
      </w:r>
      <w:r>
        <w:rPr>
          <w:rFonts w:hint="eastAsia" w:ascii="宋体" w:hAnsi="宋体" w:cs="宋体"/>
          <w:color w:val="auto"/>
          <w:sz w:val="22"/>
          <w:highlight w:val="none"/>
        </w:rPr>
        <w:t>，</w:t>
      </w:r>
      <w:r>
        <w:rPr>
          <w:rFonts w:hint="eastAsia" w:ascii="宋体" w:hAnsi="宋体" w:cs="宋体"/>
          <w:b/>
          <w:color w:val="auto"/>
          <w:sz w:val="22"/>
          <w:highlight w:val="none"/>
        </w:rPr>
        <w:t>其中商务技术分70分，价格分30分。</w:t>
      </w:r>
      <w:r>
        <w:rPr>
          <w:rFonts w:hint="eastAsia" w:ascii="宋体" w:hAnsi="宋体" w:cs="宋体"/>
          <w:color w:val="auto"/>
          <w:sz w:val="22"/>
          <w:szCs w:val="22"/>
          <w:highlight w:val="none"/>
        </w:rPr>
        <w:t>即最大限度地满足招标文件实质性要求前提下，按照招标文件中规定的各项评分内容进行综合评审。以最终得分（即商务技术分与价格分之和）高低进行排序，得分前二名的投标供应商依次确定为第一和第二中标候选供应商（得分相同投标报价低的排序第一；得分且投标报价相同的，中标候选供应商并列，并确定技术部分得分高的为中标供应商）。</w:t>
      </w:r>
    </w:p>
    <w:p>
      <w:pPr>
        <w:spacing w:line="360" w:lineRule="auto"/>
        <w:ind w:left="550" w:hanging="550" w:hangingChars="250"/>
        <w:rPr>
          <w:rFonts w:hint="eastAsia" w:ascii="宋体" w:hAnsi="宋体" w:cs="宋体"/>
          <w:color w:val="auto"/>
          <w:sz w:val="22"/>
          <w:highlight w:val="none"/>
        </w:rPr>
      </w:pPr>
      <w:r>
        <w:rPr>
          <w:rFonts w:hint="eastAsia" w:ascii="宋体" w:hAnsi="宋体" w:cs="宋体"/>
          <w:color w:val="auto"/>
          <w:sz w:val="22"/>
          <w:szCs w:val="22"/>
          <w:highlight w:val="none"/>
        </w:rPr>
        <w:t xml:space="preserve">2、  </w:t>
      </w:r>
      <w:r>
        <w:rPr>
          <w:rFonts w:hint="eastAsia" w:ascii="宋体" w:hAnsi="宋体" w:cs="宋体"/>
          <w:color w:val="auto"/>
          <w:sz w:val="22"/>
          <w:highlight w:val="none"/>
        </w:rPr>
        <w:t>评标过程中遇到特殊情况，由评标委员会遵循公平、公正原则，采取记名投票方式按照少数服从多数原则决定。</w:t>
      </w:r>
    </w:p>
    <w:p>
      <w:pPr>
        <w:spacing w:line="360" w:lineRule="auto"/>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3、  投标截止时间止及评审期间，如出现有效供应商＜3家时，该项目废标，并重新组织采购。</w:t>
      </w:r>
    </w:p>
    <w:p>
      <w:pPr>
        <w:pStyle w:val="7"/>
        <w:adjustRightInd w:val="0"/>
        <w:snapToGrid w:val="0"/>
        <w:spacing w:after="0" w:line="4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pPr>
        <w:spacing w:line="400" w:lineRule="exact"/>
        <w:ind w:firstLine="110" w:firstLineChars="50"/>
        <w:rPr>
          <w:rFonts w:ascii="宋体" w:hAnsi="宋体" w:cs="宋体"/>
          <w:b/>
          <w:color w:val="auto"/>
          <w:sz w:val="22"/>
          <w:szCs w:val="22"/>
          <w:highlight w:val="none"/>
        </w:rPr>
      </w:pPr>
      <w:r>
        <w:rPr>
          <w:rFonts w:hint="eastAsia" w:ascii="宋体" w:hAnsi="宋体" w:cs="宋体"/>
          <w:b/>
          <w:color w:val="auto"/>
          <w:sz w:val="22"/>
          <w:szCs w:val="22"/>
          <w:highlight w:val="none"/>
        </w:rPr>
        <w:t>1、</w:t>
      </w:r>
      <w:r>
        <w:rPr>
          <w:rFonts w:hint="eastAsia" w:ascii="宋体" w:hAnsi="宋体" w:cs="宋体"/>
          <w:b/>
          <w:color w:val="auto"/>
          <w:sz w:val="22"/>
          <w:highlight w:val="none"/>
        </w:rPr>
        <w:t>商务技术分</w:t>
      </w:r>
      <w:r>
        <w:rPr>
          <w:rFonts w:hint="eastAsia" w:ascii="宋体" w:hAnsi="宋体" w:cs="宋体"/>
          <w:b/>
          <w:color w:val="auto"/>
          <w:sz w:val="22"/>
          <w:szCs w:val="22"/>
          <w:highlight w:val="none"/>
        </w:rPr>
        <w:t>的评定（</w:t>
      </w:r>
      <w:r>
        <w:rPr>
          <w:rFonts w:hint="eastAsia" w:ascii="宋体" w:hAnsi="宋体" w:cs="宋体"/>
          <w:b/>
          <w:color w:val="auto"/>
          <w:sz w:val="22"/>
          <w:szCs w:val="22"/>
          <w:highlight w:val="none"/>
          <w:u w:val="single"/>
        </w:rPr>
        <w:t>70</w:t>
      </w:r>
      <w:r>
        <w:rPr>
          <w:rFonts w:hint="eastAsia" w:ascii="宋体" w:hAnsi="宋体" w:cs="宋体"/>
          <w:b/>
          <w:color w:val="auto"/>
          <w:sz w:val="22"/>
          <w:szCs w:val="22"/>
          <w:highlight w:val="none"/>
        </w:rPr>
        <w:t>分）</w:t>
      </w:r>
    </w:p>
    <w:tbl>
      <w:tblPr>
        <w:tblStyle w:val="37"/>
        <w:tblW w:w="0" w:type="auto"/>
        <w:tblInd w:w="108" w:type="dxa"/>
        <w:tblLayout w:type="fixed"/>
        <w:tblCellMar>
          <w:top w:w="0" w:type="dxa"/>
          <w:left w:w="108" w:type="dxa"/>
          <w:bottom w:w="0" w:type="dxa"/>
          <w:right w:w="108" w:type="dxa"/>
        </w:tblCellMar>
      </w:tblPr>
      <w:tblGrid>
        <w:gridCol w:w="833"/>
        <w:gridCol w:w="1586"/>
        <w:gridCol w:w="802"/>
        <w:gridCol w:w="6317"/>
      </w:tblGrid>
      <w:tr>
        <w:tblPrEx>
          <w:tblCellMar>
            <w:top w:w="0" w:type="dxa"/>
            <w:left w:w="108" w:type="dxa"/>
            <w:bottom w:w="0" w:type="dxa"/>
            <w:right w:w="108" w:type="dxa"/>
          </w:tblCellMar>
        </w:tblPrEx>
        <w:trPr>
          <w:trHeight w:val="612"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评审项目</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评分标准</w:t>
            </w:r>
          </w:p>
        </w:tc>
      </w:tr>
      <w:tr>
        <w:tblPrEx>
          <w:tblCellMar>
            <w:top w:w="0" w:type="dxa"/>
            <w:left w:w="108" w:type="dxa"/>
            <w:bottom w:w="0" w:type="dxa"/>
            <w:right w:w="108" w:type="dxa"/>
          </w:tblCellMar>
        </w:tblPrEx>
        <w:trPr>
          <w:trHeight w:val="483"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供应商综合实力</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1、具有ISO9001质量管理体系认证证书，有得2分，没有不得分。</w:t>
            </w:r>
          </w:p>
          <w:p>
            <w:pPr>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2、具有</w:t>
            </w:r>
            <w:r>
              <w:rPr>
                <w:rFonts w:hint="eastAsia" w:ascii="宋体" w:hAnsi="宋体"/>
                <w:color w:val="auto"/>
                <w:szCs w:val="21"/>
                <w:highlight w:val="none"/>
              </w:rPr>
              <w:t>ISO20000信息技术服务管理体系</w:t>
            </w:r>
            <w:r>
              <w:rPr>
                <w:rFonts w:hint="eastAsia" w:ascii="宋体" w:hAnsi="宋体" w:cs="宋体"/>
                <w:color w:val="auto"/>
                <w:spacing w:val="-6"/>
                <w:szCs w:val="21"/>
                <w:highlight w:val="none"/>
              </w:rPr>
              <w:t>认证证书，有得2分，没有不得分。</w:t>
            </w:r>
          </w:p>
          <w:p>
            <w:pPr>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3、具有</w:t>
            </w:r>
            <w:r>
              <w:rPr>
                <w:rFonts w:hint="eastAsia" w:ascii="宋体" w:hAnsi="宋体"/>
                <w:color w:val="auto"/>
                <w:szCs w:val="21"/>
                <w:highlight w:val="none"/>
              </w:rPr>
              <w:t>ISO27001信息安全管理体系认证证书</w:t>
            </w:r>
            <w:r>
              <w:rPr>
                <w:rFonts w:hint="eastAsia" w:ascii="宋体" w:hAnsi="宋体" w:cs="宋体"/>
                <w:color w:val="auto"/>
                <w:spacing w:val="-6"/>
                <w:szCs w:val="21"/>
                <w:highlight w:val="none"/>
              </w:rPr>
              <w:t>，有得2分，没有不得分。</w:t>
            </w:r>
          </w:p>
          <w:p>
            <w:pPr>
              <w:spacing w:line="360" w:lineRule="auto"/>
              <w:rPr>
                <w:rFonts w:hint="eastAsia" w:ascii="宋体" w:hAnsi="宋体" w:cs="宋体"/>
                <w:color w:val="auto"/>
                <w:kern w:val="0"/>
                <w:sz w:val="22"/>
                <w:szCs w:val="22"/>
                <w:highlight w:val="none"/>
              </w:rPr>
            </w:pPr>
            <w:r>
              <w:rPr>
                <w:rFonts w:hint="eastAsia" w:ascii="宋体" w:hAnsi="宋体" w:cs="宋体"/>
                <w:color w:val="auto"/>
                <w:spacing w:val="-6"/>
                <w:szCs w:val="21"/>
                <w:highlight w:val="none"/>
              </w:rPr>
              <w:t>（</w:t>
            </w:r>
            <w:r>
              <w:rPr>
                <w:rFonts w:hint="eastAsia" w:ascii="宋体" w:hAnsi="宋体" w:cs="宋体"/>
                <w:color w:val="auto"/>
                <w:szCs w:val="21"/>
                <w:highlight w:val="none"/>
              </w:rPr>
              <w:t>提供有效期内的证书复印件，否则不得分</w:t>
            </w:r>
            <w:r>
              <w:rPr>
                <w:rFonts w:hint="eastAsia" w:ascii="宋体" w:hAnsi="宋体" w:cs="宋体"/>
                <w:color w:val="auto"/>
                <w:spacing w:val="-6"/>
                <w:szCs w:val="21"/>
                <w:highlight w:val="none"/>
              </w:rPr>
              <w:t>）</w:t>
            </w:r>
          </w:p>
        </w:tc>
      </w:tr>
      <w:tr>
        <w:tblPrEx>
          <w:tblCellMar>
            <w:top w:w="0" w:type="dxa"/>
            <w:left w:w="108" w:type="dxa"/>
            <w:bottom w:w="0" w:type="dxa"/>
            <w:right w:w="108" w:type="dxa"/>
          </w:tblCellMar>
        </w:tblPrEx>
        <w:trPr>
          <w:trHeight w:val="987"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2</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产品技术响应情况</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投标供应商对服务支撑工具的技术参数响应指标负偏离每一项扣减1分，星号</w:t>
            </w:r>
            <w:r>
              <w:rPr>
                <w:rFonts w:hint="eastAsia" w:ascii="宋体" w:hAnsi="宋体" w:cs="宋体"/>
                <w:color w:val="auto"/>
                <w:sz w:val="22"/>
                <w:szCs w:val="22"/>
                <w:highlight w:val="none"/>
                <w:lang w:val="zh-TW" w:eastAsia="zh-TW"/>
              </w:rPr>
              <w:t>★</w:t>
            </w:r>
            <w:r>
              <w:rPr>
                <w:rFonts w:hint="eastAsia" w:ascii="宋体" w:hAnsi="宋体" w:cs="宋体"/>
                <w:color w:val="auto"/>
                <w:highlight w:val="none"/>
              </w:rPr>
              <w:t>参数每负偏离一项扣2分，扣完为止。</w:t>
            </w:r>
          </w:p>
        </w:tc>
      </w:tr>
      <w:tr>
        <w:tblPrEx>
          <w:tblCellMar>
            <w:top w:w="0" w:type="dxa"/>
            <w:left w:w="108" w:type="dxa"/>
            <w:bottom w:w="0" w:type="dxa"/>
            <w:right w:w="108" w:type="dxa"/>
          </w:tblCellMar>
        </w:tblPrEx>
        <w:trPr>
          <w:trHeight w:val="1279"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3</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szCs w:val="21"/>
                <w:highlight w:val="none"/>
              </w:rPr>
              <w:t>项目需求理解</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基于对项目背景、总体情况、建设思路、系统需求、建设内容的理解和熟悉程度，投标文件内容的完整、合理及原有安全产品基本功能、现状的了解程度、提供详细描述。评审专家综合评分。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（1）了解程度全面，针对性强的，得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（2）了解程度较全面，针对性较强的，得</w:t>
            </w:r>
            <w:r>
              <w:rPr>
                <w:rFonts w:ascii="宋体" w:hAnsi="宋体" w:cs="宋体"/>
                <w:color w:val="auto"/>
                <w:szCs w:val="21"/>
                <w:highlight w:val="none"/>
              </w:rPr>
              <w:t>2</w:t>
            </w:r>
            <w:r>
              <w:rPr>
                <w:rFonts w:hint="eastAsia" w:ascii="宋体" w:hAnsi="宋体" w:cs="宋体"/>
                <w:color w:val="auto"/>
                <w:szCs w:val="21"/>
                <w:highlight w:val="none"/>
              </w:rPr>
              <w:t>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（3）了解程度、针对性一般的，得1分；</w:t>
            </w:r>
          </w:p>
          <w:p>
            <w:pPr>
              <w:spacing w:line="360" w:lineRule="auto"/>
              <w:rPr>
                <w:rFonts w:ascii="宋体" w:hAnsi="宋体" w:cs="宋体"/>
                <w:color w:val="auto"/>
                <w:highlight w:val="none"/>
              </w:rPr>
            </w:pPr>
            <w:r>
              <w:rPr>
                <w:rFonts w:hint="eastAsia" w:ascii="宋体" w:hAnsi="宋体" w:cs="宋体"/>
                <w:color w:val="auto"/>
                <w:szCs w:val="21"/>
                <w:highlight w:val="none"/>
              </w:rPr>
              <w:t>（4）不提供不得分。</w:t>
            </w:r>
          </w:p>
        </w:tc>
      </w:tr>
      <w:tr>
        <w:tblPrEx>
          <w:tblCellMar>
            <w:top w:w="0" w:type="dxa"/>
            <w:left w:w="108" w:type="dxa"/>
            <w:bottom w:w="0" w:type="dxa"/>
            <w:right w:w="108" w:type="dxa"/>
          </w:tblCellMar>
        </w:tblPrEx>
        <w:trPr>
          <w:trHeight w:val="483"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szCs w:val="21"/>
                <w:highlight w:val="none"/>
              </w:rPr>
              <w:t>功能及服务</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方案整体架构与功能点的可行性、合理性、规范性，与用户现有系统的兼容性，包括总体设计及服务涉及，由评审专家综合评分。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（1）方案能贴合采购人需求，合理可行的得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（2）方案能比较贴合采购人需求，较合理可行的得</w:t>
            </w:r>
            <w:r>
              <w:rPr>
                <w:rFonts w:ascii="宋体" w:hAnsi="宋体" w:cs="宋体"/>
                <w:color w:val="auto"/>
                <w:szCs w:val="21"/>
                <w:highlight w:val="none"/>
              </w:rPr>
              <w:t>2</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（3）方案能基本贴合采购人需求，合理性、可行性一般的得1分；</w:t>
            </w:r>
          </w:p>
          <w:p>
            <w:pPr>
              <w:spacing w:line="360" w:lineRule="exact"/>
              <w:rPr>
                <w:rFonts w:hint="eastAsia" w:ascii="宋体" w:hAnsi="宋体" w:cs="宋体"/>
                <w:color w:val="auto"/>
                <w:highlight w:val="none"/>
              </w:rPr>
            </w:pPr>
            <w:r>
              <w:rPr>
                <w:rFonts w:hint="eastAsia" w:ascii="宋体" w:hAnsi="宋体" w:cs="宋体"/>
                <w:color w:val="auto"/>
                <w:szCs w:val="21"/>
                <w:highlight w:val="none"/>
              </w:rPr>
              <w:t>（4）不提供不得分。</w:t>
            </w:r>
          </w:p>
        </w:tc>
      </w:tr>
      <w:tr>
        <w:tblPrEx>
          <w:tblCellMar>
            <w:top w:w="0" w:type="dxa"/>
            <w:left w:w="108" w:type="dxa"/>
            <w:bottom w:w="0" w:type="dxa"/>
            <w:right w:w="108" w:type="dxa"/>
          </w:tblCellMar>
        </w:tblPrEx>
        <w:trPr>
          <w:trHeight w:val="483"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投标供应商人员投入</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ascii="宋体" w:hAnsi="宋体" w:cs="宋体"/>
                <w:color w:val="auto"/>
                <w:kern w:val="0"/>
                <w:sz w:val="22"/>
                <w:szCs w:val="22"/>
                <w:highlight w:val="none"/>
              </w:rPr>
              <w:t>5</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1、项目负责人同时具有网络工程师、信息安全工程师、CISP、CCRC（网络安全应急响应工程师）及V</w:t>
            </w:r>
            <w:r>
              <w:rPr>
                <w:rFonts w:ascii="宋体" w:hAnsi="宋体" w:cs="宋体"/>
                <w:color w:val="auto"/>
                <w:szCs w:val="21"/>
                <w:highlight w:val="none"/>
              </w:rPr>
              <w:t>CP</w:t>
            </w:r>
            <w:r>
              <w:rPr>
                <w:rFonts w:hint="eastAsia" w:ascii="宋体" w:hAnsi="宋体" w:cs="宋体"/>
                <w:color w:val="auto"/>
                <w:szCs w:val="21"/>
                <w:highlight w:val="none"/>
              </w:rPr>
              <w:t>认证证书的得5分，少一项扣1分，扣完为止，本项最高得5分。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2、项目团队拥有</w:t>
            </w:r>
            <w:r>
              <w:rPr>
                <w:rFonts w:ascii="宋体" w:hAnsi="宋体" w:cs="宋体"/>
                <w:color w:val="auto"/>
                <w:szCs w:val="21"/>
                <w:highlight w:val="none"/>
              </w:rPr>
              <w:t>1</w:t>
            </w:r>
            <w:r>
              <w:rPr>
                <w:rFonts w:hint="eastAsia" w:ascii="宋体" w:hAnsi="宋体" w:cs="宋体"/>
                <w:color w:val="auto"/>
                <w:szCs w:val="21"/>
                <w:highlight w:val="none"/>
              </w:rPr>
              <w:t>名CISP-CSE安全工程师(云安全工程师）的得</w:t>
            </w:r>
            <w:r>
              <w:rPr>
                <w:rFonts w:ascii="宋体" w:hAnsi="宋体" w:cs="宋体"/>
                <w:color w:val="auto"/>
                <w:szCs w:val="21"/>
                <w:highlight w:val="none"/>
              </w:rPr>
              <w:t>2</w:t>
            </w:r>
            <w:r>
              <w:rPr>
                <w:rFonts w:hint="eastAsia" w:ascii="宋体" w:hAnsi="宋体" w:cs="宋体"/>
                <w:color w:val="auto"/>
                <w:szCs w:val="21"/>
                <w:highlight w:val="none"/>
              </w:rPr>
              <w:t>分 ，否则不得分。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3、项目团队拥有</w:t>
            </w:r>
            <w:r>
              <w:rPr>
                <w:rFonts w:ascii="宋体" w:hAnsi="宋体" w:cs="宋体"/>
                <w:color w:val="auto"/>
                <w:szCs w:val="21"/>
                <w:highlight w:val="none"/>
              </w:rPr>
              <w:t>1</w:t>
            </w:r>
            <w:r>
              <w:rPr>
                <w:rFonts w:hint="eastAsia" w:ascii="宋体" w:hAnsi="宋体" w:cs="宋体"/>
                <w:color w:val="auto"/>
                <w:szCs w:val="21"/>
                <w:highlight w:val="none"/>
              </w:rPr>
              <w:t>名CISP-BDSA安全工程师（</w:t>
            </w:r>
            <w:r>
              <w:rPr>
                <w:rFonts w:ascii="宋体" w:hAnsi="宋体" w:cs="宋体"/>
                <w:color w:val="auto"/>
                <w:szCs w:val="21"/>
                <w:highlight w:val="none"/>
              </w:rPr>
              <w:t>大数据安全分析师</w:t>
            </w:r>
            <w:r>
              <w:rPr>
                <w:rFonts w:hint="eastAsia" w:ascii="宋体" w:hAnsi="宋体" w:cs="宋体"/>
                <w:color w:val="auto"/>
                <w:szCs w:val="21"/>
                <w:highlight w:val="none"/>
              </w:rPr>
              <w:t>）的得</w:t>
            </w:r>
            <w:r>
              <w:rPr>
                <w:rFonts w:ascii="宋体" w:hAnsi="宋体" w:cs="宋体"/>
                <w:color w:val="auto"/>
                <w:szCs w:val="21"/>
                <w:highlight w:val="none"/>
              </w:rPr>
              <w:t>2</w:t>
            </w:r>
            <w:r>
              <w:rPr>
                <w:rFonts w:hint="eastAsia" w:ascii="宋体" w:hAnsi="宋体" w:cs="宋体"/>
                <w:color w:val="auto"/>
                <w:szCs w:val="21"/>
                <w:highlight w:val="none"/>
              </w:rPr>
              <w:t>分，否则不得分。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4、项目团队拥有</w:t>
            </w:r>
            <w:r>
              <w:rPr>
                <w:rFonts w:ascii="宋体" w:hAnsi="宋体" w:cs="宋体"/>
                <w:color w:val="auto"/>
                <w:szCs w:val="21"/>
                <w:highlight w:val="none"/>
              </w:rPr>
              <w:t>1</w:t>
            </w:r>
            <w:r>
              <w:rPr>
                <w:rFonts w:hint="eastAsia" w:ascii="宋体" w:hAnsi="宋体" w:cs="宋体"/>
                <w:color w:val="auto"/>
                <w:szCs w:val="21"/>
                <w:highlight w:val="none"/>
              </w:rPr>
              <w:t>名ITSS IT服务项目经理的得2分，否则不得分。</w:t>
            </w:r>
          </w:p>
          <w:p>
            <w:pPr>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、项目团队拥有</w:t>
            </w:r>
            <w:r>
              <w:rPr>
                <w:rFonts w:ascii="宋体" w:hAnsi="宋体" w:cs="宋体"/>
                <w:color w:val="auto"/>
                <w:szCs w:val="21"/>
                <w:highlight w:val="none"/>
              </w:rPr>
              <w:t>1</w:t>
            </w:r>
            <w:r>
              <w:rPr>
                <w:rFonts w:hint="eastAsia" w:ascii="宋体" w:hAnsi="宋体" w:cs="宋体"/>
                <w:color w:val="auto"/>
                <w:szCs w:val="21"/>
                <w:highlight w:val="none"/>
              </w:rPr>
              <w:t>名</w:t>
            </w:r>
            <w:r>
              <w:rPr>
                <w:rFonts w:hint="eastAsia" w:ascii="宋体" w:hAnsi="宋体" w:cs="宋体"/>
                <w:color w:val="auto"/>
                <w:szCs w:val="21"/>
                <w:highlight w:val="none"/>
                <w:lang w:val="en-US" w:eastAsia="zh-CN"/>
              </w:rPr>
              <w:t>操作系统专业认证</w:t>
            </w:r>
            <w:r>
              <w:rPr>
                <w:rFonts w:hint="eastAsia" w:ascii="宋体" w:hAnsi="宋体" w:cs="宋体"/>
                <w:color w:val="auto"/>
                <w:szCs w:val="21"/>
                <w:highlight w:val="none"/>
              </w:rPr>
              <w:t>工程师的得2分，否则不得分。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6、项目团队拥有</w:t>
            </w:r>
            <w:r>
              <w:rPr>
                <w:rFonts w:ascii="宋体" w:hAnsi="宋体" w:cs="宋体"/>
                <w:color w:val="auto"/>
                <w:szCs w:val="21"/>
                <w:highlight w:val="none"/>
              </w:rPr>
              <w:t>1</w:t>
            </w:r>
            <w:r>
              <w:rPr>
                <w:rFonts w:hint="eastAsia" w:ascii="宋体" w:hAnsi="宋体" w:cs="宋体"/>
                <w:color w:val="auto"/>
                <w:szCs w:val="21"/>
                <w:highlight w:val="none"/>
              </w:rPr>
              <w:t>名</w:t>
            </w:r>
            <w:r>
              <w:rPr>
                <w:rFonts w:hint="eastAsia" w:ascii="宋体" w:hAnsi="宋体"/>
                <w:color w:val="auto"/>
                <w:szCs w:val="21"/>
                <w:highlight w:val="none"/>
                <w:lang w:val="en-US" w:eastAsia="zh-CN"/>
              </w:rPr>
              <w:t>数据库专业认证</w:t>
            </w:r>
            <w:r>
              <w:rPr>
                <w:rFonts w:hint="eastAsia" w:ascii="宋体" w:hAnsi="宋体"/>
                <w:color w:val="auto"/>
                <w:szCs w:val="21"/>
                <w:highlight w:val="none"/>
              </w:rPr>
              <w:t>工程师</w:t>
            </w:r>
            <w:r>
              <w:rPr>
                <w:rFonts w:hint="eastAsia" w:ascii="宋体" w:hAnsi="宋体" w:cs="宋体"/>
                <w:color w:val="auto"/>
                <w:szCs w:val="21"/>
                <w:highlight w:val="none"/>
              </w:rPr>
              <w:t>的得2分，否则不得分。</w:t>
            </w:r>
          </w:p>
          <w:p>
            <w:pPr>
              <w:spacing w:line="360" w:lineRule="auto"/>
              <w:rPr>
                <w:rFonts w:hint="eastAsia" w:ascii="宋体" w:hAnsi="宋体" w:cs="宋体"/>
                <w:color w:val="auto"/>
                <w:highlight w:val="none"/>
              </w:rPr>
            </w:pPr>
            <w:r>
              <w:rPr>
                <w:rFonts w:hint="eastAsia" w:ascii="宋体" w:hAnsi="宋体" w:cs="宋体"/>
                <w:color w:val="auto"/>
                <w:szCs w:val="21"/>
                <w:highlight w:val="none"/>
              </w:rPr>
              <w:t>证明材料：提供相关人员相应证书的复印件和社保证明资料，否则不得分。</w:t>
            </w:r>
          </w:p>
        </w:tc>
      </w:tr>
      <w:tr>
        <w:tblPrEx>
          <w:tblCellMar>
            <w:top w:w="0" w:type="dxa"/>
            <w:left w:w="108" w:type="dxa"/>
            <w:bottom w:w="0" w:type="dxa"/>
            <w:right w:w="108" w:type="dxa"/>
          </w:tblCellMar>
        </w:tblPrEx>
        <w:trPr>
          <w:trHeight w:val="483"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质量保证措施</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维保服务质量保证计划措施，投标供应商是否有明确的质量保证目标，质量保证措施和体系合理先进及详细的实施内容等，由评审专家综合评分。</w:t>
            </w:r>
          </w:p>
          <w:p>
            <w:pPr>
              <w:numPr>
                <w:ilvl w:val="0"/>
                <w:numId w:val="39"/>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质量保证体系内容完整、描述清晰，质量保障措施完备周全、科学合理、可行，能充分保障项目质量及有效满足采购需求的得3分；</w:t>
            </w:r>
          </w:p>
          <w:p>
            <w:pPr>
              <w:numPr>
                <w:ilvl w:val="0"/>
                <w:numId w:val="39"/>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保障体系及保障措施基本完整、可行的得2分；</w:t>
            </w:r>
          </w:p>
          <w:p>
            <w:pPr>
              <w:numPr>
                <w:ilvl w:val="0"/>
                <w:numId w:val="39"/>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保障体系及保障措施简单，明显欠缺不足的得1分；</w:t>
            </w:r>
          </w:p>
          <w:p>
            <w:pPr>
              <w:numPr>
                <w:ilvl w:val="0"/>
                <w:numId w:val="39"/>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未提供不得分。</w:t>
            </w:r>
          </w:p>
        </w:tc>
      </w:tr>
      <w:tr>
        <w:tblPrEx>
          <w:tblCellMar>
            <w:top w:w="0" w:type="dxa"/>
            <w:left w:w="108" w:type="dxa"/>
            <w:bottom w:w="0" w:type="dxa"/>
            <w:right w:w="108" w:type="dxa"/>
          </w:tblCellMar>
        </w:tblPrEx>
        <w:trPr>
          <w:trHeight w:val="1071"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Cs w:val="21"/>
                <w:highlight w:val="none"/>
              </w:rPr>
              <w:t>应急方案</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提供详细应急服务方案，在突发事件与特殊时段，如节假日或深夜，如何提供应急服务，应急服务方案考虑周到性，切实可行性，针对性，由评审专家综合评分。</w:t>
            </w:r>
          </w:p>
          <w:p>
            <w:pPr>
              <w:numPr>
                <w:ilvl w:val="0"/>
                <w:numId w:val="40"/>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方案内容完整具体、条理清晰、合理可行，针对性强，满足采购要求，有利于项目实施的得3分；</w:t>
            </w:r>
          </w:p>
          <w:p>
            <w:pPr>
              <w:numPr>
                <w:ilvl w:val="0"/>
                <w:numId w:val="40"/>
              </w:numPr>
              <w:spacing w:line="360" w:lineRule="auto"/>
              <w:rPr>
                <w:rFonts w:hint="eastAsia" w:ascii="宋体" w:hAnsi="宋体" w:cs="宋体"/>
                <w:color w:val="auto"/>
                <w:highlight w:val="none"/>
              </w:rPr>
            </w:pPr>
            <w:r>
              <w:rPr>
                <w:rFonts w:hint="eastAsia" w:ascii="宋体" w:hAnsi="宋体" w:cs="宋体"/>
                <w:color w:val="auto"/>
                <w:szCs w:val="21"/>
                <w:highlight w:val="none"/>
              </w:rPr>
              <w:t>方案基本完整、可行，内容稍有欠缺的得2分；</w:t>
            </w:r>
          </w:p>
          <w:p>
            <w:pPr>
              <w:numPr>
                <w:ilvl w:val="0"/>
                <w:numId w:val="40"/>
              </w:numPr>
              <w:spacing w:line="360" w:lineRule="auto"/>
              <w:rPr>
                <w:rFonts w:hint="eastAsia" w:ascii="宋体" w:hAnsi="宋体" w:cs="宋体"/>
                <w:color w:val="auto"/>
                <w:highlight w:val="none"/>
              </w:rPr>
            </w:pPr>
            <w:r>
              <w:rPr>
                <w:rFonts w:hint="eastAsia" w:ascii="宋体" w:hAnsi="宋体" w:cs="宋体"/>
                <w:color w:val="auto"/>
                <w:szCs w:val="21"/>
                <w:highlight w:val="none"/>
              </w:rPr>
              <w:t>方案简单，可行性较差，内容明显欠缺不足的得1分，</w:t>
            </w:r>
          </w:p>
          <w:p>
            <w:pPr>
              <w:numPr>
                <w:ilvl w:val="0"/>
                <w:numId w:val="40"/>
              </w:numPr>
              <w:spacing w:line="360" w:lineRule="auto"/>
              <w:rPr>
                <w:rFonts w:hint="eastAsia" w:ascii="宋体" w:hAnsi="宋体" w:cs="宋体"/>
                <w:color w:val="auto"/>
                <w:highlight w:val="none"/>
              </w:rPr>
            </w:pPr>
            <w:r>
              <w:rPr>
                <w:rFonts w:hint="eastAsia" w:ascii="宋体" w:hAnsi="宋体" w:cs="宋体"/>
                <w:color w:val="auto"/>
                <w:szCs w:val="21"/>
                <w:highlight w:val="none"/>
              </w:rPr>
              <w:t>未提供不得分。</w:t>
            </w:r>
          </w:p>
        </w:tc>
      </w:tr>
      <w:tr>
        <w:tblPrEx>
          <w:tblCellMar>
            <w:top w:w="0" w:type="dxa"/>
            <w:left w:w="108" w:type="dxa"/>
            <w:bottom w:w="0" w:type="dxa"/>
            <w:right w:w="108" w:type="dxa"/>
          </w:tblCellMar>
        </w:tblPrEx>
        <w:trPr>
          <w:trHeight w:val="483"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szCs w:val="21"/>
                <w:highlight w:val="none"/>
              </w:rPr>
              <w:t>巡检计划</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根据投标供应商拟定的项目维护计划（驻点人员安排，定期巡检等情况）的有效性等，由评审专家综合评分。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(1)计划合理、可行性强、完全满足采购需求的得3分；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(2)计划较合理可行、针对性较强的得2分；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(3)计划基本贴合采购人需求，合理性、可行性、针对性一般的得1分；</w:t>
            </w:r>
          </w:p>
          <w:p>
            <w:pPr>
              <w:spacing w:line="360" w:lineRule="auto"/>
              <w:rPr>
                <w:rFonts w:hint="eastAsia" w:ascii="宋体" w:hAnsi="宋体" w:cs="宋体"/>
                <w:color w:val="auto"/>
                <w:highlight w:val="none"/>
              </w:rPr>
            </w:pPr>
            <w:r>
              <w:rPr>
                <w:rFonts w:hint="eastAsia" w:ascii="宋体" w:hAnsi="宋体" w:cs="宋体"/>
                <w:color w:val="auto"/>
                <w:szCs w:val="21"/>
                <w:highlight w:val="none"/>
              </w:rPr>
              <w:t>(4)不提供不得分。</w:t>
            </w:r>
          </w:p>
        </w:tc>
      </w:tr>
      <w:tr>
        <w:tblPrEx>
          <w:tblCellMar>
            <w:top w:w="0" w:type="dxa"/>
            <w:left w:w="108" w:type="dxa"/>
            <w:bottom w:w="0" w:type="dxa"/>
            <w:right w:w="108" w:type="dxa"/>
          </w:tblCellMar>
        </w:tblPrEx>
        <w:trPr>
          <w:trHeight w:val="857"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Cs w:val="21"/>
                <w:highlight w:val="none"/>
              </w:rPr>
              <w:t>培训计划</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sz w:val="22"/>
                <w:szCs w:val="22"/>
                <w:highlight w:val="none"/>
              </w:rPr>
            </w:pPr>
            <w:r>
              <w:rPr>
                <w:rFonts w:ascii="宋体" w:hAnsi="宋体" w:cs="宋体"/>
                <w:color w:val="auto"/>
                <w:sz w:val="22"/>
                <w:szCs w:val="22"/>
                <w:highlight w:val="none"/>
              </w:rPr>
              <w:t>2</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根据投标供应商拟定的培训方案、计划的可行性及合理性，由评审专家综合评分。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（1）方案内容完整具体、条理清晰、合理可行，针对性强的，得2分；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）方案简单，可行性较差的得</w:t>
            </w:r>
            <w:r>
              <w:rPr>
                <w:rFonts w:ascii="宋体" w:hAnsi="宋体" w:cs="宋体"/>
                <w:color w:val="auto"/>
                <w:szCs w:val="21"/>
                <w:highlight w:val="none"/>
              </w:rPr>
              <w:t>1</w:t>
            </w:r>
            <w:r>
              <w:rPr>
                <w:rFonts w:hint="eastAsia" w:ascii="宋体" w:hAnsi="宋体" w:cs="宋体"/>
                <w:color w:val="auto"/>
                <w:szCs w:val="21"/>
                <w:highlight w:val="none"/>
              </w:rPr>
              <w:t>分，</w:t>
            </w:r>
          </w:p>
          <w:p>
            <w:pPr>
              <w:spacing w:line="360" w:lineRule="auto"/>
              <w:rPr>
                <w:rFonts w:hint="eastAsia" w:ascii="宋体" w:hAnsi="宋体" w:cs="宋体"/>
                <w:b/>
                <w:color w:val="auto"/>
                <w:kern w:val="0"/>
                <w:szCs w:val="22"/>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）未提供不得分。</w:t>
            </w:r>
          </w:p>
        </w:tc>
      </w:tr>
      <w:tr>
        <w:tblPrEx>
          <w:tblCellMar>
            <w:top w:w="0" w:type="dxa"/>
            <w:left w:w="108" w:type="dxa"/>
            <w:bottom w:w="0" w:type="dxa"/>
            <w:right w:w="108" w:type="dxa"/>
          </w:tblCellMar>
        </w:tblPrEx>
        <w:trPr>
          <w:trHeight w:val="692"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color w:val="auto"/>
                <w:kern w:val="0"/>
                <w:sz w:val="22"/>
                <w:szCs w:val="22"/>
                <w:highlight w:val="none"/>
              </w:rPr>
              <w:t>售后服务</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根据投标供应商拟定的售后服务的响应情况（对用户故障响应、处理等），由评审专家综合评分。</w:t>
            </w:r>
          </w:p>
          <w:p>
            <w:pPr>
              <w:numPr>
                <w:ilvl w:val="0"/>
                <w:numId w:val="41"/>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能提供快速便捷、及时安全的服务响应能力的，得3分；</w:t>
            </w:r>
          </w:p>
          <w:p>
            <w:pPr>
              <w:numPr>
                <w:ilvl w:val="0"/>
                <w:numId w:val="41"/>
              </w:numPr>
              <w:spacing w:line="360" w:lineRule="auto"/>
              <w:rPr>
                <w:rFonts w:hint="eastAsia" w:ascii="宋体" w:hAnsi="宋体" w:cs="宋体"/>
                <w:color w:val="auto"/>
                <w:sz w:val="22"/>
                <w:szCs w:val="22"/>
                <w:highlight w:val="none"/>
              </w:rPr>
            </w:pPr>
            <w:r>
              <w:rPr>
                <w:rFonts w:hint="eastAsia" w:ascii="宋体" w:hAnsi="宋体" w:cs="宋体"/>
                <w:color w:val="auto"/>
                <w:szCs w:val="21"/>
                <w:highlight w:val="none"/>
              </w:rPr>
              <w:t>服务响应能力一般的，得2分，</w:t>
            </w:r>
          </w:p>
          <w:p>
            <w:pPr>
              <w:numPr>
                <w:ilvl w:val="0"/>
                <w:numId w:val="41"/>
              </w:numPr>
              <w:spacing w:line="360" w:lineRule="auto"/>
              <w:rPr>
                <w:rFonts w:hint="eastAsia" w:ascii="宋体" w:hAnsi="宋体" w:cs="宋体"/>
                <w:color w:val="auto"/>
                <w:sz w:val="22"/>
                <w:szCs w:val="22"/>
                <w:highlight w:val="none"/>
              </w:rPr>
            </w:pPr>
            <w:r>
              <w:rPr>
                <w:rFonts w:hint="eastAsia" w:ascii="宋体" w:hAnsi="宋体" w:cs="宋体"/>
                <w:color w:val="auto"/>
                <w:szCs w:val="21"/>
                <w:highlight w:val="none"/>
              </w:rPr>
              <w:t>服务响应能力的，得1分。</w:t>
            </w:r>
          </w:p>
          <w:p>
            <w:pPr>
              <w:numPr>
                <w:ilvl w:val="0"/>
                <w:numId w:val="41"/>
              </w:numPr>
              <w:spacing w:line="360" w:lineRule="auto"/>
              <w:rPr>
                <w:rFonts w:hint="eastAsia" w:ascii="宋体" w:hAnsi="宋体" w:cs="宋体"/>
                <w:color w:val="auto"/>
                <w:sz w:val="22"/>
                <w:szCs w:val="22"/>
                <w:highlight w:val="none"/>
              </w:rPr>
            </w:pPr>
            <w:r>
              <w:rPr>
                <w:rFonts w:hint="eastAsia" w:ascii="宋体" w:hAnsi="宋体" w:cs="宋体"/>
                <w:color w:val="auto"/>
                <w:szCs w:val="21"/>
                <w:highlight w:val="none"/>
              </w:rPr>
              <w:t>未提供不得分。</w:t>
            </w:r>
          </w:p>
        </w:tc>
      </w:tr>
      <w:tr>
        <w:tblPrEx>
          <w:tblCellMar>
            <w:top w:w="0" w:type="dxa"/>
            <w:left w:w="108" w:type="dxa"/>
            <w:bottom w:w="0" w:type="dxa"/>
            <w:right w:w="108" w:type="dxa"/>
          </w:tblCellMar>
        </w:tblPrEx>
        <w:trPr>
          <w:trHeight w:val="1441" w:hRule="atLeast"/>
        </w:trPr>
        <w:tc>
          <w:tcPr>
            <w:tcW w:w="83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86"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同类项目业绩</w:t>
            </w:r>
          </w:p>
        </w:tc>
        <w:tc>
          <w:tcPr>
            <w:tcW w:w="802"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317" w:type="dxa"/>
            <w:tcBorders>
              <w:top w:val="single" w:color="auto" w:sz="8" w:space="0"/>
              <w:left w:val="nil"/>
              <w:bottom w:val="single" w:color="auto" w:sz="8" w:space="0"/>
              <w:right w:val="single" w:color="auto" w:sz="8" w:space="0"/>
            </w:tcBorders>
            <w:shd w:val="clear" w:color="000000" w:fill="FFFFFF"/>
            <w:noWrap w:val="0"/>
            <w:vAlign w:val="center"/>
          </w:tcPr>
          <w:p>
            <w:pPr>
              <w:spacing w:line="360" w:lineRule="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投标供应商2019年1月1日（以合同签署时间为准）以来承接的类似项目案例。有一个得1分，最高2分，否则不得分。</w:t>
            </w:r>
          </w:p>
          <w:p>
            <w:pPr>
              <w:spacing w:line="360" w:lineRule="auto"/>
              <w:rPr>
                <w:rFonts w:hint="eastAsia" w:ascii="宋体" w:hAnsi="宋体" w:cs="宋体"/>
                <w:b/>
                <w:color w:val="auto"/>
                <w:kern w:val="0"/>
                <w:sz w:val="22"/>
                <w:szCs w:val="22"/>
                <w:highlight w:val="none"/>
              </w:rPr>
            </w:pPr>
            <w:r>
              <w:rPr>
                <w:rFonts w:hint="eastAsia" w:ascii="宋体" w:hAnsi="宋体" w:cs="宋体"/>
                <w:bCs/>
                <w:color w:val="auto"/>
                <w:kern w:val="0"/>
                <w:sz w:val="22"/>
                <w:szCs w:val="22"/>
                <w:highlight w:val="none"/>
              </w:rPr>
              <w:t>证明材料：提供合同（包括首页、合同内容描述页、合同盖章页）复印件并加盖投标供应商公章，否则此项业绩不得分。</w:t>
            </w:r>
          </w:p>
        </w:tc>
      </w:tr>
    </w:tbl>
    <w:p>
      <w:pPr>
        <w:spacing w:line="360" w:lineRule="auto"/>
        <w:rPr>
          <w:rFonts w:hint="eastAsia" w:ascii="宋体" w:hAnsi="宋体" w:cs="宋体"/>
          <w:color w:val="auto"/>
          <w:sz w:val="22"/>
          <w:szCs w:val="22"/>
          <w:highlight w:val="none"/>
        </w:rPr>
      </w:pPr>
      <w:r>
        <w:rPr>
          <w:rFonts w:hint="eastAsia" w:ascii="宋体" w:hAnsi="宋体" w:cs="宋体"/>
          <w:b/>
          <w:color w:val="auto"/>
          <w:sz w:val="22"/>
          <w:highlight w:val="none"/>
        </w:rPr>
        <w:t>注 ：每个评委根据上述评分内容和分值独立打分，然后将各评委汇总分的算术平均值作为该投标供应商的商务技术最后有效得分。</w:t>
      </w:r>
      <w:r>
        <w:rPr>
          <w:rFonts w:hint="eastAsia" w:ascii="宋体" w:hAnsi="宋体" w:cs="宋体"/>
          <w:b/>
          <w:bCs/>
          <w:color w:val="auto"/>
          <w:sz w:val="22"/>
          <w:highlight w:val="none"/>
        </w:rPr>
        <w:t>（计算分值四舍五入，精确到小数点后二位）</w:t>
      </w:r>
    </w:p>
    <w:p>
      <w:pPr>
        <w:spacing w:line="360" w:lineRule="auto"/>
        <w:rPr>
          <w:rFonts w:hint="eastAsia" w:ascii="宋体" w:hAnsi="宋体" w:cs="宋体"/>
          <w:color w:val="auto"/>
          <w:sz w:val="22"/>
          <w:szCs w:val="22"/>
          <w:highlight w:val="none"/>
        </w:rPr>
      </w:pPr>
      <w:r>
        <w:rPr>
          <w:rFonts w:hint="eastAsia" w:ascii="宋体" w:hAnsi="宋体" w:cs="宋体"/>
          <w:b/>
          <w:color w:val="auto"/>
          <w:sz w:val="22"/>
          <w:szCs w:val="22"/>
          <w:highlight w:val="none"/>
        </w:rPr>
        <w:t>2、价格评分（</w:t>
      </w:r>
      <w:r>
        <w:rPr>
          <w:rFonts w:hint="eastAsia" w:ascii="宋体" w:hAnsi="宋体" w:cs="宋体"/>
          <w:b/>
          <w:color w:val="auto"/>
          <w:sz w:val="22"/>
          <w:szCs w:val="22"/>
          <w:highlight w:val="none"/>
          <w:u w:val="single"/>
        </w:rPr>
        <w:t>30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（1）满足招标文件要求且投标价格最低的投标报价为评标基准价。</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（2）投标供应商的投标报价等于评标基准价时其价格分为满分；</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（3）其他投标供应商的价格分按以下公式计算：</w:t>
      </w:r>
    </w:p>
    <w:p>
      <w:pPr>
        <w:spacing w:line="360" w:lineRule="auto"/>
        <w:ind w:left="538" w:leftChars="256"/>
        <w:rPr>
          <w:rFonts w:hint="eastAsia" w:ascii="宋体" w:hAnsi="宋体" w:cs="宋体"/>
          <w:color w:val="auto"/>
          <w:sz w:val="22"/>
          <w:szCs w:val="22"/>
          <w:highlight w:val="none"/>
        </w:rPr>
      </w:pPr>
      <w:r>
        <w:rPr>
          <w:rFonts w:hint="eastAsia" w:ascii="宋体" w:hAnsi="宋体" w:cs="宋体"/>
          <w:color w:val="auto"/>
          <w:sz w:val="22"/>
          <w:szCs w:val="22"/>
          <w:highlight w:val="none"/>
        </w:rPr>
        <w:t>价格分=（评标基准价/投标供应商投标价）×30（四舍五入，保留小数点后2位）</w:t>
      </w:r>
    </w:p>
    <w:p>
      <w:pPr>
        <w:spacing w:line="360" w:lineRule="auto"/>
        <w:rPr>
          <w:rFonts w:hint="eastAsia" w:ascii="宋体" w:hAnsi="宋体" w:cs="宋体"/>
          <w:color w:val="auto"/>
          <w:highlight w:val="none"/>
          <w:lang w:val="zh-CN"/>
        </w:rPr>
      </w:pPr>
      <w:r>
        <w:rPr>
          <w:rFonts w:hint="eastAsia" w:ascii="宋体" w:hAnsi="宋体" w:cs="宋体"/>
          <w:b/>
          <w:color w:val="auto"/>
          <w:sz w:val="22"/>
          <w:szCs w:val="22"/>
          <w:highlight w:val="none"/>
        </w:rPr>
        <w:t>（4）▲</w:t>
      </w:r>
      <w:r>
        <w:rPr>
          <w:rFonts w:hint="eastAsia" w:ascii="宋体" w:hAnsi="宋体" w:cs="宋体"/>
          <w:b/>
          <w:color w:val="auto"/>
          <w:sz w:val="22"/>
          <w:highlight w:val="none"/>
          <w:u w:val="single"/>
        </w:rPr>
        <w:t>投标供应商的投标报价超过采购预算</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或最高限价</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rPr>
        <w:t>的，作无效标处理。</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  有效投标供应商的综合得分为技术资信分和商务（价格）分的总和。</w:t>
      </w:r>
    </w:p>
    <w:p>
      <w:pPr>
        <w:widowControl/>
        <w:spacing w:line="360" w:lineRule="auto"/>
        <w:ind w:left="550" w:hanging="55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sz w:val="22"/>
          <w:szCs w:val="22"/>
          <w:highlight w:val="none"/>
        </w:rPr>
        <w:t xml:space="preserve">  评标委员会按各有效投标供应商综合得分高低顺序排列，综合得分前两名的投标供应商依次作为第一中标候选供应商和第二中标候选供应商向采购人推荐，并提交评标报告。</w:t>
      </w:r>
    </w:p>
    <w:p>
      <w:pPr>
        <w:widowControl/>
        <w:snapToGrid w:val="0"/>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xml:space="preserve">六、 定标办法 </w:t>
      </w:r>
    </w:p>
    <w:p>
      <w:pPr>
        <w:widowControl/>
        <w:spacing w:line="360" w:lineRule="auto"/>
        <w:ind w:left="548"/>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本次招标由评标委员会确定2名中标候选供应商并向采购人推荐，采购人根据评标委员会的推荐结果按排名顺序确定中标供应商。</w:t>
      </w:r>
    </w:p>
    <w:p>
      <w:pPr>
        <w:widowControl/>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七、 中标结果公告</w:t>
      </w:r>
    </w:p>
    <w:p>
      <w:pPr>
        <w:widowControl/>
        <w:spacing w:line="360" w:lineRule="auto"/>
        <w:ind w:left="548"/>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中标供应商确定后，中标公告在浙江政府采购网上发布，在发布中标公告的同时，采购人将向中标供应商发出中标通知书。中标通知书对采购人和中标供应商具有同等法律效力。</w:t>
      </w:r>
    </w:p>
    <w:p>
      <w:pPr>
        <w:widowControl/>
        <w:snapToGrid w:val="0"/>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八、 投标供应商义务</w:t>
      </w:r>
    </w:p>
    <w:p>
      <w:pPr>
        <w:spacing w:line="360" w:lineRule="auto"/>
        <w:ind w:left="548" w:leftChars="261"/>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投标供应商应随时接受评标委员会的询标，解答包括有关的商务、技术等问题。评标结束，所有评标资料归档备查。</w:t>
      </w: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p>
      <w:pPr>
        <w:widowControl/>
        <w:snapToGrid w:val="0"/>
        <w:spacing w:before="120" w:after="120" w:line="500" w:lineRule="atLeast"/>
        <w:jc w:val="center"/>
        <w:outlineLvl w:val="0"/>
        <w:rPr>
          <w:rFonts w:hint="eastAsia" w:ascii="宋体" w:hAnsi="宋体" w:cs="宋体"/>
          <w:b/>
          <w:color w:val="auto"/>
          <w:sz w:val="32"/>
          <w:szCs w:val="32"/>
          <w:highlight w:val="none"/>
        </w:rPr>
      </w:pPr>
      <w:bookmarkStart w:id="178" w:name="_Toc37941589"/>
      <w:bookmarkStart w:id="179" w:name="_Toc1036"/>
      <w:bookmarkStart w:id="180" w:name="_Toc16853"/>
      <w:bookmarkStart w:id="181" w:name="_Toc66274220"/>
      <w:bookmarkStart w:id="182" w:name="_Toc15614"/>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政府采购活动现场确认声明书</w:t>
      </w:r>
      <w:bookmarkEnd w:id="178"/>
      <w:bookmarkEnd w:id="179"/>
      <w:bookmarkEnd w:id="180"/>
      <w:bookmarkEnd w:id="181"/>
      <w:bookmarkEnd w:id="182"/>
    </w:p>
    <w:p>
      <w:pPr>
        <w:jc w:val="center"/>
        <w:rPr>
          <w:rFonts w:hint="eastAsia" w:ascii="宋体" w:hAnsi="宋体" w:cs="宋体"/>
          <w:b/>
          <w:color w:val="auto"/>
          <w:sz w:val="36"/>
          <w:szCs w:val="36"/>
          <w:highlight w:val="none"/>
        </w:rPr>
      </w:pP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浙江东瓯工程造价咨询有限公司：</w:t>
      </w:r>
    </w:p>
    <w:p>
      <w:pPr>
        <w:spacing w:line="440" w:lineRule="exact"/>
        <w:ind w:firstLine="440" w:firstLineChars="200"/>
        <w:rPr>
          <w:rFonts w:hint="eastAsia" w:ascii="宋体" w:hAnsi="宋体" w:cs="宋体"/>
          <w:color w:val="auto"/>
          <w:sz w:val="22"/>
          <w:szCs w:val="22"/>
          <w:highlight w:val="none"/>
        </w:rPr>
      </w:pP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本人经由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（姓名）合法授权参加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项目（编号：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）政府采购活动，经与本单位法人代表（负责人）联系确认，现就有关公平竞争事项郑重声明如下：</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（一）现已清楚知道参加本项目采购活动的其他所有供应商名称，本单位 </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□与其他所有供应商之间均不存在利害关系 </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□与</w:t>
      </w:r>
      <w:r>
        <w:rPr>
          <w:rFonts w:hint="eastAsia" w:ascii="宋体" w:hAnsi="宋体" w:cs="宋体"/>
          <w:color w:val="auto"/>
          <w:sz w:val="22"/>
          <w:szCs w:val="22"/>
          <w:highlight w:val="none"/>
          <w:u w:val="single"/>
        </w:rPr>
        <w:t xml:space="preserve">           （供应商名称）</w:t>
      </w:r>
      <w:r>
        <w:rPr>
          <w:rFonts w:hint="eastAsia" w:ascii="宋体" w:hAnsi="宋体" w:cs="宋体"/>
          <w:color w:val="auto"/>
          <w:sz w:val="22"/>
          <w:szCs w:val="22"/>
          <w:highlight w:val="none"/>
        </w:rPr>
        <w:t>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I.其他利害关系情况。</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（二）现已清楚知道并严格遵守政府采购法律法规和现场纪律</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pPr>
        <w:spacing w:line="440" w:lineRule="exact"/>
        <w:rPr>
          <w:rFonts w:hint="eastAsia" w:ascii="宋体" w:hAnsi="宋体" w:cs="宋体"/>
          <w:color w:val="auto"/>
          <w:sz w:val="22"/>
          <w:szCs w:val="22"/>
          <w:highlight w:val="none"/>
        </w:rPr>
      </w:pPr>
    </w:p>
    <w:p>
      <w:pPr>
        <w:spacing w:line="440" w:lineRule="exact"/>
        <w:ind w:firstLine="4840" w:firstLineChars="2200"/>
        <w:rPr>
          <w:rFonts w:hint="eastAsia" w:ascii="宋体" w:hAnsi="宋体" w:cs="宋体"/>
          <w:color w:val="auto"/>
          <w:sz w:val="22"/>
          <w:szCs w:val="22"/>
          <w:highlight w:val="none"/>
        </w:rPr>
      </w:pPr>
    </w:p>
    <w:p>
      <w:pPr>
        <w:spacing w:line="44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投标供应商代表签名：</w:t>
      </w:r>
    </w:p>
    <w:p>
      <w:pPr>
        <w:tabs>
          <w:tab w:val="left" w:pos="4962"/>
          <w:tab w:val="left" w:pos="5103"/>
        </w:tabs>
        <w:spacing w:line="440" w:lineRule="exact"/>
        <w:ind w:right="1200"/>
        <w:jc w:val="right"/>
        <w:rPr>
          <w:rFonts w:hint="eastAsia" w:ascii="宋体" w:hAnsi="宋体" w:cs="宋体"/>
          <w:color w:val="auto"/>
          <w:sz w:val="22"/>
          <w:szCs w:val="22"/>
          <w:highlight w:val="none"/>
        </w:rPr>
      </w:pPr>
    </w:p>
    <w:p>
      <w:pPr>
        <w:spacing w:line="44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2"/>
        <w:rPr>
          <w:rFonts w:hint="eastAsia" w:ascii="宋体" w:hAnsi="宋体"/>
          <w:color w:val="auto"/>
          <w:highlight w:val="none"/>
        </w:rPr>
      </w:pPr>
    </w:p>
    <w:p>
      <w:pPr>
        <w:spacing w:line="400" w:lineRule="exact"/>
        <w:ind w:left="548" w:leftChars="261"/>
        <w:rPr>
          <w:rFonts w:hint="eastAsia" w:ascii="宋体" w:hAnsi="宋体" w:cs="宋体"/>
          <w:color w:val="auto"/>
          <w:sz w:val="22"/>
          <w:szCs w:val="22"/>
          <w:highlight w:val="none"/>
        </w:rPr>
      </w:pPr>
    </w:p>
    <w:p>
      <w:pPr>
        <w:pStyle w:val="2"/>
        <w:rPr>
          <w:rFonts w:hint="eastAsia" w:ascii="宋体" w:hAnsi="宋体" w:cs="宋体"/>
          <w:color w:val="auto"/>
          <w:kern w:val="0"/>
          <w:sz w:val="22"/>
          <w:szCs w:val="22"/>
          <w:highlight w:val="none"/>
        </w:rPr>
      </w:pPr>
    </w:p>
    <w:sectPr>
      <w:footerReference r:id="rId8" w:type="first"/>
      <w:footerReference r:id="rId7" w:type="default"/>
      <w:pgSz w:w="11906" w:h="16838"/>
      <w:pgMar w:top="1134" w:right="1134" w:bottom="1134" w:left="1134" w:header="851" w:footer="992" w:gutter="284"/>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elvetica Neue">
    <w:altName w:val="Arial"/>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3"/>
      </w:rPr>
    </w:pPr>
    <w:r>
      <w:fldChar w:fldCharType="begin"/>
    </w:r>
    <w:r>
      <w:rPr>
        <w:rStyle w:val="43"/>
      </w:rPr>
      <w:instrText xml:space="preserve">PAGE  </w:instrText>
    </w:r>
    <w:r>
      <w:fldChar w:fldCharType="separate"/>
    </w:r>
    <w:r>
      <w:rPr>
        <w:rStyle w:val="43"/>
      </w:rPr>
      <w:t>2</w:t>
    </w:r>
    <w: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3"/>
      </w:rPr>
    </w:pPr>
    <w:r>
      <w:fldChar w:fldCharType="begin"/>
    </w:r>
    <w:r>
      <w:rPr>
        <w:rStyle w:val="43"/>
      </w:rPr>
      <w:instrText xml:space="preserve">PAGE  </w:instrTex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Style w:val="43"/>
                            </w:rPr>
                          </w:pPr>
                          <w:r>
                            <w:fldChar w:fldCharType="begin"/>
                          </w:r>
                          <w:r>
                            <w:rPr>
                              <w:rStyle w:val="43"/>
                            </w:rPr>
                            <w:instrText xml:space="preserve">PAGE  </w:instrText>
                          </w:r>
                          <w:r>
                            <w:fldChar w:fldCharType="separate"/>
                          </w:r>
                          <w:r>
                            <w:rPr>
                              <w:rStyle w:val="43"/>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ycTzQAQAAowMAAA4AAABkcnMvZTJvRG9jLnhtbK1TS27bMBDd F8gdCO5ryQbSCoLloIWRoEDRFkhzAJoiLQL8gUNb8gXaG3TVTfc9l8/RISU5QbLJohtqfnwz73G0 vhmMJkcRQDnb0OWipERY7lpl9w19+H77tqIEIrMt086Khp4E0JvN1Zt172uxcp3TrQgEQSzUvW9o F6OviwJ4JwyDhfPCYlK6YFhEN+yLNrAe0Y0uVmX5ruhdaH1wXABgdDsm6YQYXgPopFRcbB0/GGHj iBqEZhEpQac80E2eVkrB41cpQUSiG4pMYz6xCdq7dBabNav3gflO8WkE9poRnnEyTFlseoHassjI IagXUEbx4MDJuODOFCORrAiyWJbPtLnvmBeZC0oN/iI6/D9Y/uX4LRDV4iZQYpnBBz//+nn+/ff8 5wdZJnl6DzVW3Xusi8NHN6TSKQ4YTKwHGUz6Ih+CeRT3dBFXDJHwdKlaVVWJKY652UGc4vG6DxDv hDMkGQ0N+HpZVHb8DHEsnUtSN+tuldYYZ7W2pEfU6+r9db5xSSG6ttgksRinTVYcdsNEYefaEzLr cQUaanHjKdGfLCqctmU2wmzsZuPgg9p3eZ1Sf/AfDhHHyVOmDiPs1BjfLvOc9iwtx1M/Vz3+W5t/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GBycTzQAQAAowMAAA4AAAAAAAAAAQAgAAAAIgEA AGRycy9lMm9Eb2MueG1sUEsFBgAAAAAGAAYAWQEAAGQFAAAAAA== ">
              <v:fill on="f" focussize="0,0"/>
              <v:stroke on="f" weight="1.25pt"/>
              <v:imagedata o:title=""/>
              <o:lock v:ext="edit" aspectratio="f"/>
              <v:textbox inset="0mm,0mm,0mm,0mm" style="mso-fit-shape-to-text:t;">
                <w:txbxContent>
                  <w:p>
                    <w:pPr>
                      <w:pStyle w:val="24"/>
                      <w:rPr>
                        <w:rStyle w:val="43"/>
                      </w:rPr>
                    </w:pPr>
                    <w:r>
                      <w:fldChar w:fldCharType="begin"/>
                    </w:r>
                    <w:r>
                      <w:rPr>
                        <w:rStyle w:val="43"/>
                      </w:rPr>
                      <w:instrText xml:space="preserve">PAGE  </w:instrText>
                    </w:r>
                    <w:r>
                      <w:fldChar w:fldCharType="separate"/>
                    </w:r>
                    <w:r>
                      <w:rPr>
                        <w:rStyle w:val="43"/>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4lRnTRAQAAowMAAA4AAABkcnMvZTJvRG9jLnhtbK1TzY7TMBC+ I/EOlu802UgLUdR0tahahIQAadkHcB27seQ/edwmfQF4A05cuPNcfQ7GTtJFy2UPe3FmPONv5vtm sr4ZjSZHEUA529KrVUmJsNx1yu5b+vDt7k1NCURmO6adFS09CaA3m9ev1oNvROV6pzsRCIJYaAbf 0j5G3xQF8F4YBivnhcWgdMGwiG7YF11gA6IbXVRl+bYYXOh8cFwA4O12CtIZMTwH0EmpuNg6fjDC xgk1CM0iUoJeeaCb3K2UgscvUoKIRLcUmcZ8YhG0d+ksNmvW7APzveJzC+w5LTzhZJiyWPQCtWWR kUNQ/0EZxYMDJ+OKO1NMRLIiyOKqfKLNfc+8yFxQavAX0eHlYPnn49dAVNfSihLLDA78/PPH+def 8+/vpEryDB4azLr3mBfH927EpVnuAS8T61EGk77Ih2AcxT1dxBVjJDw9qqu6LjHEMbY4iF88PvcB 4gfhDElGSwNOL4vKjp8gTqlLSqpm3Z3SOk9QWzIg6nX97jq/uIQQXVssklhM3SYrjrtxprZz3QmZ DbgCLbW48ZTojxYVTtuyGGExdotx8EHt+7xOqRXwt4eI7eQuU4UJdi6Ms8s85z1Ly/Gvn7Me/63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eJUZ00QEAAKMDAAAOAAAAAAAAAAEAIAAAACIB AABkcnMvZTJvRG9jLnhtbFBLBQYAAAAABgAGAFkBAABlBQAAAAA= ">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365"/>
      </w:tabs>
      <w:ind w:right="942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A1428"/>
    <w:multiLevelType w:val="singleLevel"/>
    <w:tmpl w:val="98DA1428"/>
    <w:lvl w:ilvl="0" w:tentative="0">
      <w:start w:val="8"/>
      <w:numFmt w:val="decimal"/>
      <w:suff w:val="space"/>
      <w:lvlText w:val="%1."/>
      <w:lvlJc w:val="left"/>
    </w:lvl>
  </w:abstractNum>
  <w:abstractNum w:abstractNumId="1">
    <w:nsid w:val="A15DD5DD"/>
    <w:multiLevelType w:val="singleLevel"/>
    <w:tmpl w:val="A15DD5DD"/>
    <w:lvl w:ilvl="0" w:tentative="0">
      <w:start w:val="1"/>
      <w:numFmt w:val="decimal"/>
      <w:lvlText w:val="(%1)"/>
      <w:lvlJc w:val="left"/>
      <w:pPr>
        <w:ind w:left="425" w:hanging="425"/>
      </w:pPr>
      <w:rPr>
        <w:rFonts w:hint="default"/>
      </w:rPr>
    </w:lvl>
  </w:abstractNum>
  <w:abstractNum w:abstractNumId="2">
    <w:nsid w:val="ACE3330D"/>
    <w:multiLevelType w:val="singleLevel"/>
    <w:tmpl w:val="ACE3330D"/>
    <w:lvl w:ilvl="0" w:tentative="0">
      <w:start w:val="1"/>
      <w:numFmt w:val="decimal"/>
      <w:suff w:val="nothing"/>
      <w:lvlText w:val="（%1）"/>
      <w:lvlJc w:val="left"/>
    </w:lvl>
  </w:abstractNum>
  <w:abstractNum w:abstractNumId="3">
    <w:nsid w:val="FD3BA439"/>
    <w:multiLevelType w:val="singleLevel"/>
    <w:tmpl w:val="FD3BA439"/>
    <w:lvl w:ilvl="0" w:tentative="0">
      <w:start w:val="1"/>
      <w:numFmt w:val="decimal"/>
      <w:suff w:val="nothing"/>
      <w:lvlText w:val="（%1）"/>
      <w:lvlJc w:val="left"/>
    </w:lvl>
  </w:abstractNum>
  <w:abstractNum w:abstractNumId="4">
    <w:nsid w:val="00000001"/>
    <w:multiLevelType w:val="singleLevel"/>
    <w:tmpl w:val="00000001"/>
    <w:lvl w:ilvl="0" w:tentative="0">
      <w:start w:val="1"/>
      <w:numFmt w:val="japaneseCounting"/>
      <w:lvlText w:val="第%1条"/>
      <w:lvlJc w:val="left"/>
      <w:pPr>
        <w:tabs>
          <w:tab w:val="left" w:pos="1920"/>
        </w:tabs>
        <w:ind w:left="1920" w:hanging="1290"/>
      </w:pPr>
      <w:rPr>
        <w:rFonts w:hint="eastAsia"/>
      </w:rPr>
    </w:lvl>
  </w:abstractNum>
  <w:abstractNum w:abstractNumId="5">
    <w:nsid w:val="05222BFB"/>
    <w:multiLevelType w:val="multilevel"/>
    <w:tmpl w:val="05222BFB"/>
    <w:lvl w:ilvl="0" w:tentative="0">
      <w:start w:val="1"/>
      <w:numFmt w:val="chineseCountingThousand"/>
      <w:pStyle w:val="96"/>
      <w:lvlText w:val="%1、"/>
      <w:lvlJc w:val="left"/>
      <w:pPr>
        <w:tabs>
          <w:tab w:val="left" w:pos="420"/>
        </w:tabs>
        <w:ind w:left="420" w:hanging="420"/>
      </w:pPr>
      <w:rPr>
        <w:lang w:val="en-US"/>
      </w:rPr>
    </w:lvl>
    <w:lvl w:ilvl="1" w:tentative="0">
      <w:start w:val="1"/>
      <w:numFmt w:val="decimal"/>
      <w:lvlText w:val="%2、"/>
      <w:lvlJc w:val="left"/>
      <w:pPr>
        <w:tabs>
          <w:tab w:val="left" w:pos="562"/>
        </w:tabs>
        <w:ind w:left="562"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600"/>
        </w:tabs>
        <w:ind w:left="600" w:hanging="420"/>
      </w:pPr>
      <w:rPr>
        <w:rFonts w:hint="eastAsia"/>
      </w:rPr>
    </w:lvl>
    <w:lvl w:ilvl="5" w:tentative="0">
      <w:start w:val="1"/>
      <w:numFmt w:val="bullet"/>
      <w:lvlText w:val=""/>
      <w:lvlJc w:val="left"/>
      <w:pPr>
        <w:tabs>
          <w:tab w:val="left" w:pos="780"/>
        </w:tabs>
        <w:ind w:left="780" w:hanging="420"/>
      </w:pPr>
      <w:rPr>
        <w:rFonts w:hint="default" w:ascii="Wingdings" w:hAnsi="Wingdings"/>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5C8674D"/>
    <w:multiLevelType w:val="multilevel"/>
    <w:tmpl w:val="05C867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E13AF5"/>
    <w:multiLevelType w:val="multilevel"/>
    <w:tmpl w:val="05E13A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3B0E5C"/>
    <w:multiLevelType w:val="multilevel"/>
    <w:tmpl w:val="073B0E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B95E52"/>
    <w:multiLevelType w:val="singleLevel"/>
    <w:tmpl w:val="0EB95E52"/>
    <w:lvl w:ilvl="0" w:tentative="0">
      <w:start w:val="1"/>
      <w:numFmt w:val="decimal"/>
      <w:suff w:val="nothing"/>
      <w:lvlText w:val="（%1）"/>
      <w:lvlJc w:val="left"/>
    </w:lvl>
  </w:abstractNum>
  <w:abstractNum w:abstractNumId="10">
    <w:nsid w:val="0F9B55BB"/>
    <w:multiLevelType w:val="multilevel"/>
    <w:tmpl w:val="0F9B55BB"/>
    <w:lvl w:ilvl="0" w:tentative="0">
      <w:start w:val="1"/>
      <w:numFmt w:val="decimal"/>
      <w:pStyle w:val="75"/>
      <w:lvlText w:val="%1、"/>
      <w:lvlJc w:val="left"/>
      <w:pPr>
        <w:ind w:left="360" w:hanging="360"/>
      </w:pPr>
      <w:rPr>
        <w:rFonts w:hint="eastAsia" w:ascii="宋体" w:hAnsi="宋体" w:eastAsia="宋体"/>
      </w:rPr>
    </w:lvl>
    <w:lvl w:ilvl="1" w:tentative="0">
      <w:start w:val="1"/>
      <w:numFmt w:val="lowerLetter"/>
      <w:lvlText w:val="%2)"/>
      <w:lvlJc w:val="left"/>
      <w:pPr>
        <w:ind w:left="960" w:hanging="480"/>
      </w:pPr>
      <w:rPr>
        <w:rFonts w:hint="default" w:ascii="Times New Roman" w:hAnsi="Times New Roman" w:cs="Times New Roman"/>
      </w:rPr>
    </w:lvl>
    <w:lvl w:ilvl="2" w:tentative="0">
      <w:start w:val="1"/>
      <w:numFmt w:val="lowerRoman"/>
      <w:lvlText w:val="%3."/>
      <w:lvlJc w:val="right"/>
      <w:pPr>
        <w:ind w:left="1440" w:hanging="480"/>
      </w:pPr>
      <w:rPr>
        <w:rFonts w:hint="default" w:ascii="Times New Roman" w:hAnsi="Times New Roman" w:cs="Times New Roman"/>
      </w:rPr>
    </w:lvl>
    <w:lvl w:ilvl="3" w:tentative="0">
      <w:start w:val="1"/>
      <w:numFmt w:val="decimal"/>
      <w:lvlText w:val="%4."/>
      <w:lvlJc w:val="left"/>
      <w:pPr>
        <w:ind w:left="1920" w:hanging="480"/>
      </w:pPr>
      <w:rPr>
        <w:rFonts w:hint="default" w:ascii="Times New Roman" w:hAnsi="Times New Roman" w:cs="Times New Roman"/>
      </w:rPr>
    </w:lvl>
    <w:lvl w:ilvl="4" w:tentative="0">
      <w:start w:val="1"/>
      <w:numFmt w:val="lowerLetter"/>
      <w:lvlText w:val="%5)"/>
      <w:lvlJc w:val="left"/>
      <w:pPr>
        <w:ind w:left="2400" w:hanging="480"/>
      </w:pPr>
      <w:rPr>
        <w:rFonts w:hint="default" w:ascii="Times New Roman" w:hAnsi="Times New Roman" w:cs="Times New Roman"/>
      </w:rPr>
    </w:lvl>
    <w:lvl w:ilvl="5" w:tentative="0">
      <w:start w:val="1"/>
      <w:numFmt w:val="lowerRoman"/>
      <w:lvlText w:val="%6."/>
      <w:lvlJc w:val="right"/>
      <w:pPr>
        <w:ind w:left="2880" w:hanging="480"/>
      </w:pPr>
      <w:rPr>
        <w:rFonts w:hint="default" w:ascii="Times New Roman" w:hAnsi="Times New Roman" w:cs="Times New Roman"/>
      </w:rPr>
    </w:lvl>
    <w:lvl w:ilvl="6" w:tentative="0">
      <w:start w:val="1"/>
      <w:numFmt w:val="decimal"/>
      <w:lvlText w:val="%7."/>
      <w:lvlJc w:val="left"/>
      <w:pPr>
        <w:ind w:left="3360" w:hanging="480"/>
      </w:pPr>
      <w:rPr>
        <w:rFonts w:hint="default" w:ascii="Times New Roman" w:hAnsi="Times New Roman" w:cs="Times New Roman"/>
      </w:rPr>
    </w:lvl>
    <w:lvl w:ilvl="7" w:tentative="0">
      <w:start w:val="1"/>
      <w:numFmt w:val="lowerLetter"/>
      <w:lvlText w:val="%8)"/>
      <w:lvlJc w:val="left"/>
      <w:pPr>
        <w:ind w:left="3840" w:hanging="480"/>
      </w:pPr>
      <w:rPr>
        <w:rFonts w:hint="default" w:ascii="Times New Roman" w:hAnsi="Times New Roman" w:cs="Times New Roman"/>
      </w:rPr>
    </w:lvl>
    <w:lvl w:ilvl="8" w:tentative="0">
      <w:start w:val="1"/>
      <w:numFmt w:val="lowerRoman"/>
      <w:lvlText w:val="%9."/>
      <w:lvlJc w:val="right"/>
      <w:pPr>
        <w:ind w:left="4320" w:hanging="480"/>
      </w:pPr>
      <w:rPr>
        <w:rFonts w:hint="default" w:ascii="Times New Roman" w:hAnsi="Times New Roman" w:cs="Times New Roman"/>
      </w:rPr>
    </w:lvl>
  </w:abstractNum>
  <w:abstractNum w:abstractNumId="11">
    <w:nsid w:val="0FBE2A3E"/>
    <w:multiLevelType w:val="multilevel"/>
    <w:tmpl w:val="0FBE2A3E"/>
    <w:lvl w:ilvl="0" w:tentative="0">
      <w:start w:val="1"/>
      <w:numFmt w:val="decimal"/>
      <w:lvlText w:val="(%1)"/>
      <w:lvlJc w:val="left"/>
      <w:pPr>
        <w:ind w:left="1290" w:hanging="435"/>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12">
    <w:nsid w:val="0FE50A09"/>
    <w:multiLevelType w:val="multilevel"/>
    <w:tmpl w:val="0FE50A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DF2CED"/>
    <w:multiLevelType w:val="multilevel"/>
    <w:tmpl w:val="16DF2C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C95AA5"/>
    <w:multiLevelType w:val="multilevel"/>
    <w:tmpl w:val="19C95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6A2587"/>
    <w:multiLevelType w:val="multilevel"/>
    <w:tmpl w:val="1D6A25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73772D"/>
    <w:multiLevelType w:val="multilevel"/>
    <w:tmpl w:val="1D7377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A466849"/>
    <w:multiLevelType w:val="multilevel"/>
    <w:tmpl w:val="2A466849"/>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2EC0264A"/>
    <w:multiLevelType w:val="multilevel"/>
    <w:tmpl w:val="2EC026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40E3F1A"/>
    <w:multiLevelType w:val="multilevel"/>
    <w:tmpl w:val="340E3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4CF1534"/>
    <w:multiLevelType w:val="multilevel"/>
    <w:tmpl w:val="34CF15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BFBA909"/>
    <w:multiLevelType w:val="singleLevel"/>
    <w:tmpl w:val="3BFBA909"/>
    <w:lvl w:ilvl="0" w:tentative="0">
      <w:start w:val="2"/>
      <w:numFmt w:val="chineseCounting"/>
      <w:suff w:val="space"/>
      <w:lvlText w:val="%1、"/>
      <w:lvlJc w:val="left"/>
      <w:rPr>
        <w:rFonts w:hint="eastAsia"/>
      </w:rPr>
    </w:lvl>
  </w:abstractNum>
  <w:abstractNum w:abstractNumId="23">
    <w:nsid w:val="3E5EE4AD"/>
    <w:multiLevelType w:val="singleLevel"/>
    <w:tmpl w:val="3E5EE4AD"/>
    <w:lvl w:ilvl="0" w:tentative="0">
      <w:start w:val="2"/>
      <w:numFmt w:val="decimal"/>
      <w:suff w:val="nothing"/>
      <w:lvlText w:val="%1、"/>
      <w:lvlJc w:val="left"/>
    </w:lvl>
  </w:abstractNum>
  <w:abstractNum w:abstractNumId="24">
    <w:nsid w:val="3E9C251A"/>
    <w:multiLevelType w:val="multilevel"/>
    <w:tmpl w:val="3E9C25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20E61E9"/>
    <w:multiLevelType w:val="multilevel"/>
    <w:tmpl w:val="420E6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34605D9"/>
    <w:multiLevelType w:val="multilevel"/>
    <w:tmpl w:val="434605D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7">
    <w:nsid w:val="45EB0D16"/>
    <w:multiLevelType w:val="multilevel"/>
    <w:tmpl w:val="45EB0D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C6C0066"/>
    <w:multiLevelType w:val="multilevel"/>
    <w:tmpl w:val="4C6C0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2D474D"/>
    <w:multiLevelType w:val="multilevel"/>
    <w:tmpl w:val="4E2D474D"/>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0FF1A1F"/>
    <w:multiLevelType w:val="multilevel"/>
    <w:tmpl w:val="50FF1A1F"/>
    <w:lvl w:ilvl="0" w:tentative="0">
      <w:start w:val="1"/>
      <w:numFmt w:val="chineseCountingThousand"/>
      <w:pStyle w:val="68"/>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53064E0"/>
    <w:multiLevelType w:val="multilevel"/>
    <w:tmpl w:val="553064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6826E59"/>
    <w:multiLevelType w:val="multilevel"/>
    <w:tmpl w:val="56826E5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5D943B08"/>
    <w:multiLevelType w:val="multilevel"/>
    <w:tmpl w:val="5D943B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EC61C8C"/>
    <w:multiLevelType w:val="multilevel"/>
    <w:tmpl w:val="5EC61C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39A5FD5"/>
    <w:multiLevelType w:val="multilevel"/>
    <w:tmpl w:val="639A5F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D644D7"/>
    <w:multiLevelType w:val="multilevel"/>
    <w:tmpl w:val="63D644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77C4D0C"/>
    <w:multiLevelType w:val="multilevel"/>
    <w:tmpl w:val="677C4D0C"/>
    <w:lvl w:ilvl="0" w:tentative="0">
      <w:start w:val="1"/>
      <w:numFmt w:val="chineseCountingThousand"/>
      <w:pStyle w:val="140"/>
      <w:lvlText w:val="%1、"/>
      <w:lvlJc w:val="left"/>
      <w:pPr>
        <w:ind w:left="0" w:firstLine="0"/>
      </w:pPr>
      <w:rPr>
        <w:rFonts w:hint="eastAsia"/>
      </w:rPr>
    </w:lvl>
    <w:lvl w:ilvl="1" w:tentative="0">
      <w:start w:val="1"/>
      <w:numFmt w:val="decimal"/>
      <w:pStyle w:val="150"/>
      <w:isLgl/>
      <w:lvlText w:val="%1.%2"/>
      <w:lvlJc w:val="left"/>
      <w:pPr>
        <w:ind w:left="0" w:firstLine="0"/>
      </w:pPr>
      <w:rPr>
        <w:rFonts w:hint="eastAsia"/>
      </w:rPr>
    </w:lvl>
    <w:lvl w:ilvl="2" w:tentative="0">
      <w:start w:val="1"/>
      <w:numFmt w:val="decimal"/>
      <w:pStyle w:val="139"/>
      <w:isLgl/>
      <w:lvlText w:val="%1.%2.%3"/>
      <w:lvlJc w:val="left"/>
      <w:pPr>
        <w:ind w:left="0" w:firstLine="0"/>
      </w:pPr>
      <w:rPr>
        <w:rFonts w:hint="eastAsia"/>
      </w:rPr>
    </w:lvl>
    <w:lvl w:ilvl="3" w:tentative="0">
      <w:start w:val="1"/>
      <w:numFmt w:val="decimal"/>
      <w:pStyle w:val="128"/>
      <w:isLgl/>
      <w:lvlText w:val="%1.%2.%3.%4"/>
      <w:lvlJc w:val="left"/>
      <w:pPr>
        <w:ind w:left="284"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38">
    <w:nsid w:val="68A258D7"/>
    <w:multiLevelType w:val="multilevel"/>
    <w:tmpl w:val="68A258D7"/>
    <w:lvl w:ilvl="0" w:tentative="0">
      <w:start w:val="1"/>
      <w:numFmt w:val="decimal"/>
      <w:lvlText w:val="%1、"/>
      <w:lvlJc w:val="left"/>
      <w:pPr>
        <w:ind w:left="495" w:hanging="375"/>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9">
    <w:nsid w:val="6B7B223E"/>
    <w:multiLevelType w:val="multilevel"/>
    <w:tmpl w:val="6B7B223E"/>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4105E32"/>
    <w:multiLevelType w:val="multilevel"/>
    <w:tmpl w:val="74105E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7"/>
  </w:num>
  <w:num w:numId="5">
    <w:abstractNumId w:val="0"/>
  </w:num>
  <w:num w:numId="6">
    <w:abstractNumId w:val="4"/>
  </w:num>
  <w:num w:numId="7">
    <w:abstractNumId w:val="11"/>
  </w:num>
  <w:num w:numId="8">
    <w:abstractNumId w:val="1"/>
  </w:num>
  <w:num w:numId="9">
    <w:abstractNumId w:val="38"/>
  </w:num>
  <w:num w:numId="10">
    <w:abstractNumId w:val="29"/>
  </w:num>
  <w:num w:numId="11">
    <w:abstractNumId w:val="39"/>
  </w:num>
  <w:num w:numId="12">
    <w:abstractNumId w:val="26"/>
  </w:num>
  <w:num w:numId="13">
    <w:abstractNumId w:val="17"/>
  </w:num>
  <w:num w:numId="14">
    <w:abstractNumId w:val="32"/>
  </w:num>
  <w:num w:numId="15">
    <w:abstractNumId w:val="23"/>
  </w:num>
  <w:num w:numId="16">
    <w:abstractNumId w:val="22"/>
  </w:num>
  <w:num w:numId="17">
    <w:abstractNumId w:val="28"/>
  </w:num>
  <w:num w:numId="18">
    <w:abstractNumId w:val="12"/>
  </w:num>
  <w:num w:numId="19">
    <w:abstractNumId w:val="8"/>
  </w:num>
  <w:num w:numId="20">
    <w:abstractNumId w:val="40"/>
  </w:num>
  <w:num w:numId="21">
    <w:abstractNumId w:val="13"/>
  </w:num>
  <w:num w:numId="22">
    <w:abstractNumId w:val="20"/>
  </w:num>
  <w:num w:numId="23">
    <w:abstractNumId w:val="31"/>
  </w:num>
  <w:num w:numId="24">
    <w:abstractNumId w:val="33"/>
  </w:num>
  <w:num w:numId="25">
    <w:abstractNumId w:val="14"/>
  </w:num>
  <w:num w:numId="26">
    <w:abstractNumId w:val="27"/>
  </w:num>
  <w:num w:numId="27">
    <w:abstractNumId w:val="34"/>
  </w:num>
  <w:num w:numId="28">
    <w:abstractNumId w:val="16"/>
  </w:num>
  <w:num w:numId="29">
    <w:abstractNumId w:val="36"/>
  </w:num>
  <w:num w:numId="30">
    <w:abstractNumId w:val="35"/>
  </w:num>
  <w:num w:numId="31">
    <w:abstractNumId w:val="24"/>
  </w:num>
  <w:num w:numId="32">
    <w:abstractNumId w:val="19"/>
  </w:num>
  <w:num w:numId="33">
    <w:abstractNumId w:val="6"/>
  </w:num>
  <w:num w:numId="34">
    <w:abstractNumId w:val="7"/>
  </w:num>
  <w:num w:numId="35">
    <w:abstractNumId w:val="25"/>
  </w:num>
  <w:num w:numId="36">
    <w:abstractNumId w:val="21"/>
  </w:num>
  <w:num w:numId="37">
    <w:abstractNumId w:val="15"/>
  </w:num>
  <w:num w:numId="3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WU1NDMxNTAwMTJiMjE4OWVkYTkyNzhmZTQwMWIifQ=="/>
  </w:docVars>
  <w:rsids>
    <w:rsidRoot w:val="0028485F"/>
    <w:rsid w:val="0000013B"/>
    <w:rsid w:val="000006B3"/>
    <w:rsid w:val="00000835"/>
    <w:rsid w:val="00000854"/>
    <w:rsid w:val="000009AA"/>
    <w:rsid w:val="00001104"/>
    <w:rsid w:val="000014B9"/>
    <w:rsid w:val="00001BF9"/>
    <w:rsid w:val="00002469"/>
    <w:rsid w:val="00002C11"/>
    <w:rsid w:val="00002DF4"/>
    <w:rsid w:val="00003E9D"/>
    <w:rsid w:val="00003F58"/>
    <w:rsid w:val="000041BE"/>
    <w:rsid w:val="0000431D"/>
    <w:rsid w:val="0000458E"/>
    <w:rsid w:val="00004B4A"/>
    <w:rsid w:val="00005069"/>
    <w:rsid w:val="0000537F"/>
    <w:rsid w:val="0000583F"/>
    <w:rsid w:val="00005906"/>
    <w:rsid w:val="00005D08"/>
    <w:rsid w:val="00005E01"/>
    <w:rsid w:val="000061AC"/>
    <w:rsid w:val="00006230"/>
    <w:rsid w:val="0000686D"/>
    <w:rsid w:val="00006E1B"/>
    <w:rsid w:val="00006E2D"/>
    <w:rsid w:val="00006EED"/>
    <w:rsid w:val="000070ED"/>
    <w:rsid w:val="00007180"/>
    <w:rsid w:val="000075EE"/>
    <w:rsid w:val="000077F9"/>
    <w:rsid w:val="00007DD9"/>
    <w:rsid w:val="0001038E"/>
    <w:rsid w:val="000104E9"/>
    <w:rsid w:val="00010ACC"/>
    <w:rsid w:val="00010EF2"/>
    <w:rsid w:val="000110B8"/>
    <w:rsid w:val="000114AE"/>
    <w:rsid w:val="00011568"/>
    <w:rsid w:val="00011867"/>
    <w:rsid w:val="00011B3C"/>
    <w:rsid w:val="00012213"/>
    <w:rsid w:val="0001237A"/>
    <w:rsid w:val="000126C4"/>
    <w:rsid w:val="00012701"/>
    <w:rsid w:val="00012B19"/>
    <w:rsid w:val="000130FC"/>
    <w:rsid w:val="000134BE"/>
    <w:rsid w:val="00013735"/>
    <w:rsid w:val="00013FC7"/>
    <w:rsid w:val="00014228"/>
    <w:rsid w:val="0001437F"/>
    <w:rsid w:val="00015613"/>
    <w:rsid w:val="00015AFC"/>
    <w:rsid w:val="00015B32"/>
    <w:rsid w:val="00015BD2"/>
    <w:rsid w:val="00015DEC"/>
    <w:rsid w:val="000161C1"/>
    <w:rsid w:val="00016A6A"/>
    <w:rsid w:val="00017137"/>
    <w:rsid w:val="00020026"/>
    <w:rsid w:val="00020314"/>
    <w:rsid w:val="000210B1"/>
    <w:rsid w:val="00021229"/>
    <w:rsid w:val="000212C8"/>
    <w:rsid w:val="000216D2"/>
    <w:rsid w:val="000216DC"/>
    <w:rsid w:val="000225AD"/>
    <w:rsid w:val="0002280B"/>
    <w:rsid w:val="00022E4B"/>
    <w:rsid w:val="00023740"/>
    <w:rsid w:val="00023803"/>
    <w:rsid w:val="00023C40"/>
    <w:rsid w:val="00023C42"/>
    <w:rsid w:val="00023FF4"/>
    <w:rsid w:val="0002471E"/>
    <w:rsid w:val="00024947"/>
    <w:rsid w:val="00024B13"/>
    <w:rsid w:val="00024B3A"/>
    <w:rsid w:val="00024B5B"/>
    <w:rsid w:val="00024BEE"/>
    <w:rsid w:val="00024F09"/>
    <w:rsid w:val="0002500B"/>
    <w:rsid w:val="00025063"/>
    <w:rsid w:val="00025A42"/>
    <w:rsid w:val="00025E1A"/>
    <w:rsid w:val="00025F40"/>
    <w:rsid w:val="00025F72"/>
    <w:rsid w:val="00026463"/>
    <w:rsid w:val="00026681"/>
    <w:rsid w:val="00026800"/>
    <w:rsid w:val="00026A4D"/>
    <w:rsid w:val="00026E0F"/>
    <w:rsid w:val="00026E67"/>
    <w:rsid w:val="000276A3"/>
    <w:rsid w:val="00027F19"/>
    <w:rsid w:val="000309B6"/>
    <w:rsid w:val="00031181"/>
    <w:rsid w:val="000314B5"/>
    <w:rsid w:val="00031E31"/>
    <w:rsid w:val="00032797"/>
    <w:rsid w:val="00032A07"/>
    <w:rsid w:val="00032D68"/>
    <w:rsid w:val="000338BD"/>
    <w:rsid w:val="00033C57"/>
    <w:rsid w:val="00033D2A"/>
    <w:rsid w:val="00034513"/>
    <w:rsid w:val="00034A02"/>
    <w:rsid w:val="00035067"/>
    <w:rsid w:val="000354E1"/>
    <w:rsid w:val="00035569"/>
    <w:rsid w:val="00035687"/>
    <w:rsid w:val="0003573F"/>
    <w:rsid w:val="00035FAE"/>
    <w:rsid w:val="000362BE"/>
    <w:rsid w:val="000364C2"/>
    <w:rsid w:val="000369A9"/>
    <w:rsid w:val="00036AF4"/>
    <w:rsid w:val="00037454"/>
    <w:rsid w:val="000375E2"/>
    <w:rsid w:val="00037774"/>
    <w:rsid w:val="00037ACB"/>
    <w:rsid w:val="00037D29"/>
    <w:rsid w:val="00037FA7"/>
    <w:rsid w:val="000405ED"/>
    <w:rsid w:val="00040A77"/>
    <w:rsid w:val="00040FA7"/>
    <w:rsid w:val="0004167D"/>
    <w:rsid w:val="000417F6"/>
    <w:rsid w:val="00041DE8"/>
    <w:rsid w:val="00041E2A"/>
    <w:rsid w:val="0004215F"/>
    <w:rsid w:val="00042892"/>
    <w:rsid w:val="00043197"/>
    <w:rsid w:val="00043387"/>
    <w:rsid w:val="0004396D"/>
    <w:rsid w:val="00043F90"/>
    <w:rsid w:val="00043FAE"/>
    <w:rsid w:val="00044247"/>
    <w:rsid w:val="00044746"/>
    <w:rsid w:val="000447D2"/>
    <w:rsid w:val="00044B4D"/>
    <w:rsid w:val="000457AF"/>
    <w:rsid w:val="00045919"/>
    <w:rsid w:val="00045C72"/>
    <w:rsid w:val="00046438"/>
    <w:rsid w:val="0004677D"/>
    <w:rsid w:val="0004694E"/>
    <w:rsid w:val="000474C2"/>
    <w:rsid w:val="00047620"/>
    <w:rsid w:val="00047689"/>
    <w:rsid w:val="00050657"/>
    <w:rsid w:val="00051110"/>
    <w:rsid w:val="0005147A"/>
    <w:rsid w:val="000515B7"/>
    <w:rsid w:val="00052CB8"/>
    <w:rsid w:val="00053339"/>
    <w:rsid w:val="00053846"/>
    <w:rsid w:val="00055405"/>
    <w:rsid w:val="000556EE"/>
    <w:rsid w:val="00055942"/>
    <w:rsid w:val="00055B80"/>
    <w:rsid w:val="00055D16"/>
    <w:rsid w:val="00055FB8"/>
    <w:rsid w:val="00055FBA"/>
    <w:rsid w:val="00056380"/>
    <w:rsid w:val="00056473"/>
    <w:rsid w:val="00056900"/>
    <w:rsid w:val="00056B23"/>
    <w:rsid w:val="00057569"/>
    <w:rsid w:val="00057CD9"/>
    <w:rsid w:val="0006045A"/>
    <w:rsid w:val="000610E0"/>
    <w:rsid w:val="0006126C"/>
    <w:rsid w:val="0006147F"/>
    <w:rsid w:val="000615DB"/>
    <w:rsid w:val="0006190B"/>
    <w:rsid w:val="00061932"/>
    <w:rsid w:val="00062669"/>
    <w:rsid w:val="00062C29"/>
    <w:rsid w:val="00062C76"/>
    <w:rsid w:val="00063B54"/>
    <w:rsid w:val="0006429B"/>
    <w:rsid w:val="000642F2"/>
    <w:rsid w:val="00064305"/>
    <w:rsid w:val="000649D7"/>
    <w:rsid w:val="00064B67"/>
    <w:rsid w:val="00064D18"/>
    <w:rsid w:val="00064EC1"/>
    <w:rsid w:val="0006514E"/>
    <w:rsid w:val="000662B8"/>
    <w:rsid w:val="00066328"/>
    <w:rsid w:val="00066343"/>
    <w:rsid w:val="00066550"/>
    <w:rsid w:val="0006693C"/>
    <w:rsid w:val="00066CF7"/>
    <w:rsid w:val="0006758E"/>
    <w:rsid w:val="0006761A"/>
    <w:rsid w:val="0006770D"/>
    <w:rsid w:val="0006777F"/>
    <w:rsid w:val="000678B8"/>
    <w:rsid w:val="00067CA2"/>
    <w:rsid w:val="0007127B"/>
    <w:rsid w:val="0007133C"/>
    <w:rsid w:val="00071495"/>
    <w:rsid w:val="00072088"/>
    <w:rsid w:val="000720C3"/>
    <w:rsid w:val="0007295F"/>
    <w:rsid w:val="00072AA6"/>
    <w:rsid w:val="00072D4C"/>
    <w:rsid w:val="000730C9"/>
    <w:rsid w:val="00073382"/>
    <w:rsid w:val="000738DE"/>
    <w:rsid w:val="000739BC"/>
    <w:rsid w:val="000739E5"/>
    <w:rsid w:val="00073AAB"/>
    <w:rsid w:val="00073F06"/>
    <w:rsid w:val="00073FBB"/>
    <w:rsid w:val="000740CC"/>
    <w:rsid w:val="00074A4E"/>
    <w:rsid w:val="00074DFF"/>
    <w:rsid w:val="0007512E"/>
    <w:rsid w:val="00075DA4"/>
    <w:rsid w:val="00076057"/>
    <w:rsid w:val="0007617C"/>
    <w:rsid w:val="000764F2"/>
    <w:rsid w:val="0007729C"/>
    <w:rsid w:val="000774C6"/>
    <w:rsid w:val="0007770F"/>
    <w:rsid w:val="00077BC2"/>
    <w:rsid w:val="00077D17"/>
    <w:rsid w:val="00077E10"/>
    <w:rsid w:val="00077E2A"/>
    <w:rsid w:val="00080113"/>
    <w:rsid w:val="00080925"/>
    <w:rsid w:val="00080BA5"/>
    <w:rsid w:val="00080BD0"/>
    <w:rsid w:val="00081135"/>
    <w:rsid w:val="00081302"/>
    <w:rsid w:val="0008135D"/>
    <w:rsid w:val="00081A23"/>
    <w:rsid w:val="00081DCC"/>
    <w:rsid w:val="000827D9"/>
    <w:rsid w:val="000829D3"/>
    <w:rsid w:val="000834B0"/>
    <w:rsid w:val="00083DA6"/>
    <w:rsid w:val="00084076"/>
    <w:rsid w:val="00085103"/>
    <w:rsid w:val="000855B3"/>
    <w:rsid w:val="00085644"/>
    <w:rsid w:val="00085907"/>
    <w:rsid w:val="00085909"/>
    <w:rsid w:val="00085970"/>
    <w:rsid w:val="00085D0F"/>
    <w:rsid w:val="000863C5"/>
    <w:rsid w:val="00086B9C"/>
    <w:rsid w:val="00086D9C"/>
    <w:rsid w:val="00086ECD"/>
    <w:rsid w:val="0009033E"/>
    <w:rsid w:val="0009054E"/>
    <w:rsid w:val="000906F4"/>
    <w:rsid w:val="00090F3A"/>
    <w:rsid w:val="00091293"/>
    <w:rsid w:val="00091B21"/>
    <w:rsid w:val="00091ED2"/>
    <w:rsid w:val="000922F7"/>
    <w:rsid w:val="00092912"/>
    <w:rsid w:val="00093698"/>
    <w:rsid w:val="0009379B"/>
    <w:rsid w:val="00093960"/>
    <w:rsid w:val="00093DEF"/>
    <w:rsid w:val="00094417"/>
    <w:rsid w:val="00094439"/>
    <w:rsid w:val="00094D48"/>
    <w:rsid w:val="000951B4"/>
    <w:rsid w:val="00095D2D"/>
    <w:rsid w:val="00095F41"/>
    <w:rsid w:val="00096006"/>
    <w:rsid w:val="0009680A"/>
    <w:rsid w:val="000A00ED"/>
    <w:rsid w:val="000A0166"/>
    <w:rsid w:val="000A08E7"/>
    <w:rsid w:val="000A0F48"/>
    <w:rsid w:val="000A0F78"/>
    <w:rsid w:val="000A1027"/>
    <w:rsid w:val="000A111C"/>
    <w:rsid w:val="000A15E7"/>
    <w:rsid w:val="000A18FE"/>
    <w:rsid w:val="000A1ABA"/>
    <w:rsid w:val="000A29F2"/>
    <w:rsid w:val="000A2B40"/>
    <w:rsid w:val="000A325D"/>
    <w:rsid w:val="000A33B1"/>
    <w:rsid w:val="000A342A"/>
    <w:rsid w:val="000A3AC4"/>
    <w:rsid w:val="000A3F74"/>
    <w:rsid w:val="000A3FD8"/>
    <w:rsid w:val="000A400F"/>
    <w:rsid w:val="000A41F3"/>
    <w:rsid w:val="000A4598"/>
    <w:rsid w:val="000A4D8F"/>
    <w:rsid w:val="000A4FC7"/>
    <w:rsid w:val="000A518D"/>
    <w:rsid w:val="000A54C0"/>
    <w:rsid w:val="000A5871"/>
    <w:rsid w:val="000A5BAD"/>
    <w:rsid w:val="000A6AA5"/>
    <w:rsid w:val="000A762A"/>
    <w:rsid w:val="000A7A5F"/>
    <w:rsid w:val="000A7E43"/>
    <w:rsid w:val="000B0589"/>
    <w:rsid w:val="000B0696"/>
    <w:rsid w:val="000B0C0C"/>
    <w:rsid w:val="000B10F0"/>
    <w:rsid w:val="000B118D"/>
    <w:rsid w:val="000B141B"/>
    <w:rsid w:val="000B1466"/>
    <w:rsid w:val="000B15BE"/>
    <w:rsid w:val="000B1E1A"/>
    <w:rsid w:val="000B2282"/>
    <w:rsid w:val="000B263D"/>
    <w:rsid w:val="000B263F"/>
    <w:rsid w:val="000B2AE7"/>
    <w:rsid w:val="000B3BBA"/>
    <w:rsid w:val="000B4252"/>
    <w:rsid w:val="000B43B6"/>
    <w:rsid w:val="000B445D"/>
    <w:rsid w:val="000B4E8B"/>
    <w:rsid w:val="000B4F0F"/>
    <w:rsid w:val="000B4F34"/>
    <w:rsid w:val="000B594C"/>
    <w:rsid w:val="000B6298"/>
    <w:rsid w:val="000B6397"/>
    <w:rsid w:val="000B6F0D"/>
    <w:rsid w:val="000B7245"/>
    <w:rsid w:val="000B7B8B"/>
    <w:rsid w:val="000C0076"/>
    <w:rsid w:val="000C00C4"/>
    <w:rsid w:val="000C00E4"/>
    <w:rsid w:val="000C09DC"/>
    <w:rsid w:val="000C0A56"/>
    <w:rsid w:val="000C0DD5"/>
    <w:rsid w:val="000C12E1"/>
    <w:rsid w:val="000C221C"/>
    <w:rsid w:val="000C24E7"/>
    <w:rsid w:val="000C271A"/>
    <w:rsid w:val="000C37A8"/>
    <w:rsid w:val="000C38F0"/>
    <w:rsid w:val="000C39BF"/>
    <w:rsid w:val="000C4130"/>
    <w:rsid w:val="000C47A2"/>
    <w:rsid w:val="000C47DA"/>
    <w:rsid w:val="000C48FF"/>
    <w:rsid w:val="000C5646"/>
    <w:rsid w:val="000C5846"/>
    <w:rsid w:val="000C602C"/>
    <w:rsid w:val="000C6663"/>
    <w:rsid w:val="000C6773"/>
    <w:rsid w:val="000C67CC"/>
    <w:rsid w:val="000C6862"/>
    <w:rsid w:val="000C68AD"/>
    <w:rsid w:val="000C6BF1"/>
    <w:rsid w:val="000C6D5F"/>
    <w:rsid w:val="000C7292"/>
    <w:rsid w:val="000C75C3"/>
    <w:rsid w:val="000C765F"/>
    <w:rsid w:val="000D06C9"/>
    <w:rsid w:val="000D0786"/>
    <w:rsid w:val="000D091C"/>
    <w:rsid w:val="000D0A10"/>
    <w:rsid w:val="000D0B27"/>
    <w:rsid w:val="000D0BBF"/>
    <w:rsid w:val="000D1953"/>
    <w:rsid w:val="000D1DFD"/>
    <w:rsid w:val="000D1F1C"/>
    <w:rsid w:val="000D1F7E"/>
    <w:rsid w:val="000D21C3"/>
    <w:rsid w:val="000D22A7"/>
    <w:rsid w:val="000D2366"/>
    <w:rsid w:val="000D28B7"/>
    <w:rsid w:val="000D2D23"/>
    <w:rsid w:val="000D2F07"/>
    <w:rsid w:val="000D3FFE"/>
    <w:rsid w:val="000D422C"/>
    <w:rsid w:val="000D4291"/>
    <w:rsid w:val="000D42C2"/>
    <w:rsid w:val="000D4A71"/>
    <w:rsid w:val="000D4BBE"/>
    <w:rsid w:val="000D4E99"/>
    <w:rsid w:val="000D4F83"/>
    <w:rsid w:val="000D54D1"/>
    <w:rsid w:val="000D5D05"/>
    <w:rsid w:val="000D61E3"/>
    <w:rsid w:val="000D7AB3"/>
    <w:rsid w:val="000D7DF2"/>
    <w:rsid w:val="000E04D3"/>
    <w:rsid w:val="000E069F"/>
    <w:rsid w:val="000E071D"/>
    <w:rsid w:val="000E0B0B"/>
    <w:rsid w:val="000E0ECA"/>
    <w:rsid w:val="000E1011"/>
    <w:rsid w:val="000E1907"/>
    <w:rsid w:val="000E20B6"/>
    <w:rsid w:val="000E2661"/>
    <w:rsid w:val="000E26D7"/>
    <w:rsid w:val="000E2C2B"/>
    <w:rsid w:val="000E2CD1"/>
    <w:rsid w:val="000E37EF"/>
    <w:rsid w:val="000E390D"/>
    <w:rsid w:val="000E3EE3"/>
    <w:rsid w:val="000E4098"/>
    <w:rsid w:val="000E4385"/>
    <w:rsid w:val="000E45CB"/>
    <w:rsid w:val="000E45D5"/>
    <w:rsid w:val="000E4DB4"/>
    <w:rsid w:val="000E58F5"/>
    <w:rsid w:val="000E6404"/>
    <w:rsid w:val="000E6510"/>
    <w:rsid w:val="000E70FD"/>
    <w:rsid w:val="000E7658"/>
    <w:rsid w:val="000E7957"/>
    <w:rsid w:val="000E7A3E"/>
    <w:rsid w:val="000E7E33"/>
    <w:rsid w:val="000E7E37"/>
    <w:rsid w:val="000E7EDF"/>
    <w:rsid w:val="000F02A2"/>
    <w:rsid w:val="000F0639"/>
    <w:rsid w:val="000F1011"/>
    <w:rsid w:val="000F1323"/>
    <w:rsid w:val="000F1C79"/>
    <w:rsid w:val="000F1F54"/>
    <w:rsid w:val="000F240F"/>
    <w:rsid w:val="000F2471"/>
    <w:rsid w:val="000F2C10"/>
    <w:rsid w:val="000F32D7"/>
    <w:rsid w:val="000F4000"/>
    <w:rsid w:val="000F4144"/>
    <w:rsid w:val="000F44C2"/>
    <w:rsid w:val="000F45AC"/>
    <w:rsid w:val="000F4AD5"/>
    <w:rsid w:val="000F4B43"/>
    <w:rsid w:val="000F4E7A"/>
    <w:rsid w:val="000F58E1"/>
    <w:rsid w:val="000F5B50"/>
    <w:rsid w:val="000F5C79"/>
    <w:rsid w:val="000F5EF7"/>
    <w:rsid w:val="000F5FEB"/>
    <w:rsid w:val="000F6859"/>
    <w:rsid w:val="000F68B2"/>
    <w:rsid w:val="000F703F"/>
    <w:rsid w:val="000F704F"/>
    <w:rsid w:val="000F73C6"/>
    <w:rsid w:val="000F77C2"/>
    <w:rsid w:val="000F78FB"/>
    <w:rsid w:val="00100340"/>
    <w:rsid w:val="0010063A"/>
    <w:rsid w:val="0010064E"/>
    <w:rsid w:val="00100651"/>
    <w:rsid w:val="0010090D"/>
    <w:rsid w:val="00101007"/>
    <w:rsid w:val="00101982"/>
    <w:rsid w:val="00101AE9"/>
    <w:rsid w:val="00101C85"/>
    <w:rsid w:val="00101C9B"/>
    <w:rsid w:val="00101CBF"/>
    <w:rsid w:val="00102058"/>
    <w:rsid w:val="001020F5"/>
    <w:rsid w:val="00102203"/>
    <w:rsid w:val="001024B3"/>
    <w:rsid w:val="001024D6"/>
    <w:rsid w:val="00102A1B"/>
    <w:rsid w:val="001030A7"/>
    <w:rsid w:val="0010323C"/>
    <w:rsid w:val="001033AB"/>
    <w:rsid w:val="00103A52"/>
    <w:rsid w:val="00103CAF"/>
    <w:rsid w:val="00104733"/>
    <w:rsid w:val="00104B38"/>
    <w:rsid w:val="00104E8B"/>
    <w:rsid w:val="00104F40"/>
    <w:rsid w:val="00105113"/>
    <w:rsid w:val="0010594F"/>
    <w:rsid w:val="001061E2"/>
    <w:rsid w:val="00106330"/>
    <w:rsid w:val="00106475"/>
    <w:rsid w:val="00106638"/>
    <w:rsid w:val="00106D0F"/>
    <w:rsid w:val="00107692"/>
    <w:rsid w:val="001078B3"/>
    <w:rsid w:val="00107911"/>
    <w:rsid w:val="0011016D"/>
    <w:rsid w:val="0011082A"/>
    <w:rsid w:val="001109A9"/>
    <w:rsid w:val="00110A98"/>
    <w:rsid w:val="001111D7"/>
    <w:rsid w:val="00111D6E"/>
    <w:rsid w:val="001129F8"/>
    <w:rsid w:val="00112EDE"/>
    <w:rsid w:val="001131DD"/>
    <w:rsid w:val="00113CDE"/>
    <w:rsid w:val="00114159"/>
    <w:rsid w:val="001144A8"/>
    <w:rsid w:val="00114FA0"/>
    <w:rsid w:val="001152EC"/>
    <w:rsid w:val="0011587E"/>
    <w:rsid w:val="00115E65"/>
    <w:rsid w:val="00115F5C"/>
    <w:rsid w:val="00115F95"/>
    <w:rsid w:val="00116019"/>
    <w:rsid w:val="00116AC0"/>
    <w:rsid w:val="00116B3D"/>
    <w:rsid w:val="001174B9"/>
    <w:rsid w:val="00117564"/>
    <w:rsid w:val="00120076"/>
    <w:rsid w:val="0012034D"/>
    <w:rsid w:val="00120E9A"/>
    <w:rsid w:val="0012111E"/>
    <w:rsid w:val="00121DEF"/>
    <w:rsid w:val="00121FF1"/>
    <w:rsid w:val="001230AF"/>
    <w:rsid w:val="0012328B"/>
    <w:rsid w:val="0012364D"/>
    <w:rsid w:val="00123BF2"/>
    <w:rsid w:val="00123E1F"/>
    <w:rsid w:val="00123E57"/>
    <w:rsid w:val="00123F41"/>
    <w:rsid w:val="00123F42"/>
    <w:rsid w:val="001240F7"/>
    <w:rsid w:val="0012442F"/>
    <w:rsid w:val="001244B1"/>
    <w:rsid w:val="00125272"/>
    <w:rsid w:val="00125AC6"/>
    <w:rsid w:val="00125C07"/>
    <w:rsid w:val="00125EA3"/>
    <w:rsid w:val="00127122"/>
    <w:rsid w:val="0012753B"/>
    <w:rsid w:val="0012776B"/>
    <w:rsid w:val="0013071E"/>
    <w:rsid w:val="001309AB"/>
    <w:rsid w:val="00131981"/>
    <w:rsid w:val="00131EFB"/>
    <w:rsid w:val="00132A9C"/>
    <w:rsid w:val="001330FB"/>
    <w:rsid w:val="00133196"/>
    <w:rsid w:val="0013364C"/>
    <w:rsid w:val="00133CD5"/>
    <w:rsid w:val="0013404A"/>
    <w:rsid w:val="001345E3"/>
    <w:rsid w:val="00134883"/>
    <w:rsid w:val="00134ABD"/>
    <w:rsid w:val="00134C0A"/>
    <w:rsid w:val="00134EC1"/>
    <w:rsid w:val="00135090"/>
    <w:rsid w:val="00135EB5"/>
    <w:rsid w:val="0013640E"/>
    <w:rsid w:val="0013650F"/>
    <w:rsid w:val="00136858"/>
    <w:rsid w:val="001369B3"/>
    <w:rsid w:val="00136B9F"/>
    <w:rsid w:val="00136C4D"/>
    <w:rsid w:val="00136CBC"/>
    <w:rsid w:val="00136E8C"/>
    <w:rsid w:val="001372E1"/>
    <w:rsid w:val="00137D9D"/>
    <w:rsid w:val="00140037"/>
    <w:rsid w:val="001400B6"/>
    <w:rsid w:val="00140B8D"/>
    <w:rsid w:val="00140D08"/>
    <w:rsid w:val="00141CA5"/>
    <w:rsid w:val="00141D3F"/>
    <w:rsid w:val="00142876"/>
    <w:rsid w:val="00142A79"/>
    <w:rsid w:val="00142AC3"/>
    <w:rsid w:val="0014333B"/>
    <w:rsid w:val="001435A5"/>
    <w:rsid w:val="00143F68"/>
    <w:rsid w:val="00144E90"/>
    <w:rsid w:val="0014501F"/>
    <w:rsid w:val="001453A0"/>
    <w:rsid w:val="00145438"/>
    <w:rsid w:val="0014559B"/>
    <w:rsid w:val="001458AE"/>
    <w:rsid w:val="00145E48"/>
    <w:rsid w:val="00145FC6"/>
    <w:rsid w:val="00146231"/>
    <w:rsid w:val="00146ACD"/>
    <w:rsid w:val="00146D48"/>
    <w:rsid w:val="00146FFD"/>
    <w:rsid w:val="0014724F"/>
    <w:rsid w:val="00147CDF"/>
    <w:rsid w:val="00147D83"/>
    <w:rsid w:val="00147EDF"/>
    <w:rsid w:val="00147F1B"/>
    <w:rsid w:val="0015060C"/>
    <w:rsid w:val="001506B3"/>
    <w:rsid w:val="001506E8"/>
    <w:rsid w:val="00150891"/>
    <w:rsid w:val="0015122D"/>
    <w:rsid w:val="001512DB"/>
    <w:rsid w:val="001514F5"/>
    <w:rsid w:val="001515D9"/>
    <w:rsid w:val="001517DF"/>
    <w:rsid w:val="00151D68"/>
    <w:rsid w:val="00151E5C"/>
    <w:rsid w:val="0015256E"/>
    <w:rsid w:val="001528BD"/>
    <w:rsid w:val="00152FC6"/>
    <w:rsid w:val="00153F51"/>
    <w:rsid w:val="00154300"/>
    <w:rsid w:val="001545CE"/>
    <w:rsid w:val="0015495F"/>
    <w:rsid w:val="00154C75"/>
    <w:rsid w:val="00155195"/>
    <w:rsid w:val="001553B7"/>
    <w:rsid w:val="0015579B"/>
    <w:rsid w:val="001568A9"/>
    <w:rsid w:val="0015721F"/>
    <w:rsid w:val="0015750B"/>
    <w:rsid w:val="001601A4"/>
    <w:rsid w:val="00160618"/>
    <w:rsid w:val="0016079E"/>
    <w:rsid w:val="00160DFD"/>
    <w:rsid w:val="00160EF3"/>
    <w:rsid w:val="001614A9"/>
    <w:rsid w:val="00161682"/>
    <w:rsid w:val="00162749"/>
    <w:rsid w:val="00162ACE"/>
    <w:rsid w:val="0016364C"/>
    <w:rsid w:val="0016368B"/>
    <w:rsid w:val="001636AB"/>
    <w:rsid w:val="001638F9"/>
    <w:rsid w:val="00163C83"/>
    <w:rsid w:val="001646CE"/>
    <w:rsid w:val="001655E7"/>
    <w:rsid w:val="001656AE"/>
    <w:rsid w:val="001659CD"/>
    <w:rsid w:val="00165DA9"/>
    <w:rsid w:val="00166823"/>
    <w:rsid w:val="00166837"/>
    <w:rsid w:val="001668DD"/>
    <w:rsid w:val="0016719D"/>
    <w:rsid w:val="00167836"/>
    <w:rsid w:val="00167BC1"/>
    <w:rsid w:val="00170370"/>
    <w:rsid w:val="00171556"/>
    <w:rsid w:val="00171823"/>
    <w:rsid w:val="00171A47"/>
    <w:rsid w:val="00171AE0"/>
    <w:rsid w:val="00171DC2"/>
    <w:rsid w:val="00171E8D"/>
    <w:rsid w:val="00172431"/>
    <w:rsid w:val="00172C1D"/>
    <w:rsid w:val="0017365A"/>
    <w:rsid w:val="00173CBD"/>
    <w:rsid w:val="00174016"/>
    <w:rsid w:val="00174217"/>
    <w:rsid w:val="00174525"/>
    <w:rsid w:val="001748E8"/>
    <w:rsid w:val="00174F50"/>
    <w:rsid w:val="00175729"/>
    <w:rsid w:val="0017588D"/>
    <w:rsid w:val="00175B9A"/>
    <w:rsid w:val="00176167"/>
    <w:rsid w:val="001761A2"/>
    <w:rsid w:val="0017637E"/>
    <w:rsid w:val="0017677A"/>
    <w:rsid w:val="0017713F"/>
    <w:rsid w:val="001772CC"/>
    <w:rsid w:val="001777B6"/>
    <w:rsid w:val="00177D47"/>
    <w:rsid w:val="00180314"/>
    <w:rsid w:val="001804C1"/>
    <w:rsid w:val="0018062A"/>
    <w:rsid w:val="00180AFA"/>
    <w:rsid w:val="00180B93"/>
    <w:rsid w:val="00180D76"/>
    <w:rsid w:val="00180F6C"/>
    <w:rsid w:val="001818D0"/>
    <w:rsid w:val="00181E9E"/>
    <w:rsid w:val="001822E0"/>
    <w:rsid w:val="0018254B"/>
    <w:rsid w:val="00182D3C"/>
    <w:rsid w:val="00182D44"/>
    <w:rsid w:val="00182D9B"/>
    <w:rsid w:val="001830A2"/>
    <w:rsid w:val="00183442"/>
    <w:rsid w:val="00183CCB"/>
    <w:rsid w:val="0018435A"/>
    <w:rsid w:val="001844F1"/>
    <w:rsid w:val="001845AC"/>
    <w:rsid w:val="001846F6"/>
    <w:rsid w:val="00184A6F"/>
    <w:rsid w:val="00184C84"/>
    <w:rsid w:val="00184CBF"/>
    <w:rsid w:val="0018583F"/>
    <w:rsid w:val="00185908"/>
    <w:rsid w:val="00186BE3"/>
    <w:rsid w:val="00186BEE"/>
    <w:rsid w:val="0018724F"/>
    <w:rsid w:val="00187E7B"/>
    <w:rsid w:val="00190258"/>
    <w:rsid w:val="00190FB4"/>
    <w:rsid w:val="001914FE"/>
    <w:rsid w:val="001919FF"/>
    <w:rsid w:val="00191A77"/>
    <w:rsid w:val="0019249A"/>
    <w:rsid w:val="001924D6"/>
    <w:rsid w:val="00192594"/>
    <w:rsid w:val="00192DB1"/>
    <w:rsid w:val="0019392F"/>
    <w:rsid w:val="00193998"/>
    <w:rsid w:val="001939F8"/>
    <w:rsid w:val="00193B13"/>
    <w:rsid w:val="00193D44"/>
    <w:rsid w:val="0019435C"/>
    <w:rsid w:val="001945B7"/>
    <w:rsid w:val="001949A0"/>
    <w:rsid w:val="00194ECC"/>
    <w:rsid w:val="0019502C"/>
    <w:rsid w:val="001951B7"/>
    <w:rsid w:val="00195204"/>
    <w:rsid w:val="0019582A"/>
    <w:rsid w:val="00195E71"/>
    <w:rsid w:val="00196001"/>
    <w:rsid w:val="0019610F"/>
    <w:rsid w:val="00196179"/>
    <w:rsid w:val="001964C7"/>
    <w:rsid w:val="00196591"/>
    <w:rsid w:val="00196B9E"/>
    <w:rsid w:val="00197EA1"/>
    <w:rsid w:val="001A069E"/>
    <w:rsid w:val="001A07CA"/>
    <w:rsid w:val="001A0AAC"/>
    <w:rsid w:val="001A10F2"/>
    <w:rsid w:val="001A142C"/>
    <w:rsid w:val="001A1871"/>
    <w:rsid w:val="001A20AD"/>
    <w:rsid w:val="001A221F"/>
    <w:rsid w:val="001A340B"/>
    <w:rsid w:val="001A3570"/>
    <w:rsid w:val="001A3C86"/>
    <w:rsid w:val="001A3E28"/>
    <w:rsid w:val="001A475B"/>
    <w:rsid w:val="001A4A6D"/>
    <w:rsid w:val="001A4D46"/>
    <w:rsid w:val="001A5766"/>
    <w:rsid w:val="001A579D"/>
    <w:rsid w:val="001A5AA4"/>
    <w:rsid w:val="001A6240"/>
    <w:rsid w:val="001A6688"/>
    <w:rsid w:val="001A67E9"/>
    <w:rsid w:val="001A6AE9"/>
    <w:rsid w:val="001A6BC4"/>
    <w:rsid w:val="001A73BE"/>
    <w:rsid w:val="001A7894"/>
    <w:rsid w:val="001B00D5"/>
    <w:rsid w:val="001B0E69"/>
    <w:rsid w:val="001B0EEB"/>
    <w:rsid w:val="001B191F"/>
    <w:rsid w:val="001B192B"/>
    <w:rsid w:val="001B1D9A"/>
    <w:rsid w:val="001B248D"/>
    <w:rsid w:val="001B28C9"/>
    <w:rsid w:val="001B2A28"/>
    <w:rsid w:val="001B2A5B"/>
    <w:rsid w:val="001B2EE5"/>
    <w:rsid w:val="001B321A"/>
    <w:rsid w:val="001B338D"/>
    <w:rsid w:val="001B36C5"/>
    <w:rsid w:val="001B46C3"/>
    <w:rsid w:val="001B4AAF"/>
    <w:rsid w:val="001B4BFA"/>
    <w:rsid w:val="001B5339"/>
    <w:rsid w:val="001B5B94"/>
    <w:rsid w:val="001B5DD4"/>
    <w:rsid w:val="001B5F77"/>
    <w:rsid w:val="001B5FE0"/>
    <w:rsid w:val="001B622E"/>
    <w:rsid w:val="001B660F"/>
    <w:rsid w:val="001B6CAA"/>
    <w:rsid w:val="001B70ED"/>
    <w:rsid w:val="001B79B9"/>
    <w:rsid w:val="001B7AC8"/>
    <w:rsid w:val="001B7AFB"/>
    <w:rsid w:val="001B7B26"/>
    <w:rsid w:val="001B7C2D"/>
    <w:rsid w:val="001C0043"/>
    <w:rsid w:val="001C0A63"/>
    <w:rsid w:val="001C13B2"/>
    <w:rsid w:val="001C1549"/>
    <w:rsid w:val="001C1764"/>
    <w:rsid w:val="001C1B44"/>
    <w:rsid w:val="001C1C71"/>
    <w:rsid w:val="001C204A"/>
    <w:rsid w:val="001C211A"/>
    <w:rsid w:val="001C26AC"/>
    <w:rsid w:val="001C2950"/>
    <w:rsid w:val="001C2CAF"/>
    <w:rsid w:val="001C2F3D"/>
    <w:rsid w:val="001C3988"/>
    <w:rsid w:val="001C4385"/>
    <w:rsid w:val="001C43C0"/>
    <w:rsid w:val="001C453A"/>
    <w:rsid w:val="001C4667"/>
    <w:rsid w:val="001C4D22"/>
    <w:rsid w:val="001C5583"/>
    <w:rsid w:val="001C56CD"/>
    <w:rsid w:val="001C589C"/>
    <w:rsid w:val="001C5BAB"/>
    <w:rsid w:val="001C5DE3"/>
    <w:rsid w:val="001C6679"/>
    <w:rsid w:val="001C6A71"/>
    <w:rsid w:val="001C6F8F"/>
    <w:rsid w:val="001C72C6"/>
    <w:rsid w:val="001C7DF9"/>
    <w:rsid w:val="001D02B6"/>
    <w:rsid w:val="001D084B"/>
    <w:rsid w:val="001D1B82"/>
    <w:rsid w:val="001D24E8"/>
    <w:rsid w:val="001D24F0"/>
    <w:rsid w:val="001D25BF"/>
    <w:rsid w:val="001D28A0"/>
    <w:rsid w:val="001D30BE"/>
    <w:rsid w:val="001D3BAD"/>
    <w:rsid w:val="001D40B7"/>
    <w:rsid w:val="001D4B3C"/>
    <w:rsid w:val="001D4E76"/>
    <w:rsid w:val="001D4EC5"/>
    <w:rsid w:val="001D5954"/>
    <w:rsid w:val="001D5BBF"/>
    <w:rsid w:val="001D5DE0"/>
    <w:rsid w:val="001D6D46"/>
    <w:rsid w:val="001D71AC"/>
    <w:rsid w:val="001D7785"/>
    <w:rsid w:val="001D7993"/>
    <w:rsid w:val="001D7B5D"/>
    <w:rsid w:val="001D7C83"/>
    <w:rsid w:val="001D7FDC"/>
    <w:rsid w:val="001E0246"/>
    <w:rsid w:val="001E060C"/>
    <w:rsid w:val="001E0650"/>
    <w:rsid w:val="001E102C"/>
    <w:rsid w:val="001E12AC"/>
    <w:rsid w:val="001E1329"/>
    <w:rsid w:val="001E161C"/>
    <w:rsid w:val="001E1741"/>
    <w:rsid w:val="001E2845"/>
    <w:rsid w:val="001E3540"/>
    <w:rsid w:val="001E3E20"/>
    <w:rsid w:val="001E41B7"/>
    <w:rsid w:val="001E41F6"/>
    <w:rsid w:val="001E452F"/>
    <w:rsid w:val="001E4867"/>
    <w:rsid w:val="001E4A06"/>
    <w:rsid w:val="001E4A99"/>
    <w:rsid w:val="001E4BBD"/>
    <w:rsid w:val="001E5060"/>
    <w:rsid w:val="001E6465"/>
    <w:rsid w:val="001E6572"/>
    <w:rsid w:val="001E6716"/>
    <w:rsid w:val="001E6DA5"/>
    <w:rsid w:val="001E76EA"/>
    <w:rsid w:val="001E79D4"/>
    <w:rsid w:val="001E7EF0"/>
    <w:rsid w:val="001F1186"/>
    <w:rsid w:val="001F119B"/>
    <w:rsid w:val="001F14CF"/>
    <w:rsid w:val="001F2282"/>
    <w:rsid w:val="001F29DA"/>
    <w:rsid w:val="001F2C98"/>
    <w:rsid w:val="001F32DC"/>
    <w:rsid w:val="001F39D9"/>
    <w:rsid w:val="001F3CA8"/>
    <w:rsid w:val="001F4151"/>
    <w:rsid w:val="001F4BE5"/>
    <w:rsid w:val="001F4D1A"/>
    <w:rsid w:val="001F4D67"/>
    <w:rsid w:val="001F5364"/>
    <w:rsid w:val="001F5390"/>
    <w:rsid w:val="001F5BF2"/>
    <w:rsid w:val="001F5DFE"/>
    <w:rsid w:val="001F5E0F"/>
    <w:rsid w:val="001F620C"/>
    <w:rsid w:val="001F6830"/>
    <w:rsid w:val="001F6901"/>
    <w:rsid w:val="001F6A5D"/>
    <w:rsid w:val="001F7E27"/>
    <w:rsid w:val="001F7EC4"/>
    <w:rsid w:val="001F7F1F"/>
    <w:rsid w:val="00200245"/>
    <w:rsid w:val="00200576"/>
    <w:rsid w:val="002006DF"/>
    <w:rsid w:val="00200771"/>
    <w:rsid w:val="00200C8A"/>
    <w:rsid w:val="00200D29"/>
    <w:rsid w:val="002013CF"/>
    <w:rsid w:val="00201790"/>
    <w:rsid w:val="002017D9"/>
    <w:rsid w:val="00201C4F"/>
    <w:rsid w:val="0020216B"/>
    <w:rsid w:val="00202F79"/>
    <w:rsid w:val="00203804"/>
    <w:rsid w:val="00203C13"/>
    <w:rsid w:val="00203CF2"/>
    <w:rsid w:val="00203F07"/>
    <w:rsid w:val="002040F1"/>
    <w:rsid w:val="00204174"/>
    <w:rsid w:val="00204521"/>
    <w:rsid w:val="00204694"/>
    <w:rsid w:val="0020477D"/>
    <w:rsid w:val="00204983"/>
    <w:rsid w:val="00204CF4"/>
    <w:rsid w:val="002052C6"/>
    <w:rsid w:val="00205756"/>
    <w:rsid w:val="00205CD0"/>
    <w:rsid w:val="00205D71"/>
    <w:rsid w:val="00206708"/>
    <w:rsid w:val="00207D96"/>
    <w:rsid w:val="00210E26"/>
    <w:rsid w:val="002111D4"/>
    <w:rsid w:val="00211FB4"/>
    <w:rsid w:val="00212955"/>
    <w:rsid w:val="002131D4"/>
    <w:rsid w:val="002138C6"/>
    <w:rsid w:val="00213E12"/>
    <w:rsid w:val="0021464B"/>
    <w:rsid w:val="002153F2"/>
    <w:rsid w:val="00215BC1"/>
    <w:rsid w:val="00216003"/>
    <w:rsid w:val="0021643A"/>
    <w:rsid w:val="00216870"/>
    <w:rsid w:val="00216896"/>
    <w:rsid w:val="00216930"/>
    <w:rsid w:val="00216A7A"/>
    <w:rsid w:val="00216A8A"/>
    <w:rsid w:val="00216B96"/>
    <w:rsid w:val="00216BCA"/>
    <w:rsid w:val="00216BDE"/>
    <w:rsid w:val="00216F79"/>
    <w:rsid w:val="00216F8D"/>
    <w:rsid w:val="00216FD3"/>
    <w:rsid w:val="002178D7"/>
    <w:rsid w:val="00217B81"/>
    <w:rsid w:val="002203E8"/>
    <w:rsid w:val="00220DEB"/>
    <w:rsid w:val="00220E2B"/>
    <w:rsid w:val="002212B6"/>
    <w:rsid w:val="00221BD6"/>
    <w:rsid w:val="00221E47"/>
    <w:rsid w:val="00222590"/>
    <w:rsid w:val="002226C9"/>
    <w:rsid w:val="002229A7"/>
    <w:rsid w:val="00222D2A"/>
    <w:rsid w:val="0022388A"/>
    <w:rsid w:val="00223B06"/>
    <w:rsid w:val="00223D1D"/>
    <w:rsid w:val="00223F83"/>
    <w:rsid w:val="0022429E"/>
    <w:rsid w:val="002249FD"/>
    <w:rsid w:val="00224D60"/>
    <w:rsid w:val="0022512F"/>
    <w:rsid w:val="002252CA"/>
    <w:rsid w:val="00225487"/>
    <w:rsid w:val="0022610C"/>
    <w:rsid w:val="002262FC"/>
    <w:rsid w:val="00226376"/>
    <w:rsid w:val="002267F3"/>
    <w:rsid w:val="00226E87"/>
    <w:rsid w:val="002276A5"/>
    <w:rsid w:val="0023025C"/>
    <w:rsid w:val="00230314"/>
    <w:rsid w:val="0023034C"/>
    <w:rsid w:val="00230963"/>
    <w:rsid w:val="00230C40"/>
    <w:rsid w:val="00231769"/>
    <w:rsid w:val="00231984"/>
    <w:rsid w:val="0023249E"/>
    <w:rsid w:val="002328C0"/>
    <w:rsid w:val="00232AA7"/>
    <w:rsid w:val="00232DF1"/>
    <w:rsid w:val="00232F52"/>
    <w:rsid w:val="00233418"/>
    <w:rsid w:val="00233A29"/>
    <w:rsid w:val="00233A6E"/>
    <w:rsid w:val="00233B70"/>
    <w:rsid w:val="00233BE5"/>
    <w:rsid w:val="00234876"/>
    <w:rsid w:val="002355E1"/>
    <w:rsid w:val="002356D5"/>
    <w:rsid w:val="00235AA2"/>
    <w:rsid w:val="00235D0A"/>
    <w:rsid w:val="002372A5"/>
    <w:rsid w:val="002378CE"/>
    <w:rsid w:val="002400CC"/>
    <w:rsid w:val="002406AC"/>
    <w:rsid w:val="00240A54"/>
    <w:rsid w:val="00240B72"/>
    <w:rsid w:val="00240D2E"/>
    <w:rsid w:val="00240E77"/>
    <w:rsid w:val="002410C1"/>
    <w:rsid w:val="002429E2"/>
    <w:rsid w:val="00243478"/>
    <w:rsid w:val="002434D6"/>
    <w:rsid w:val="002437DE"/>
    <w:rsid w:val="0024388D"/>
    <w:rsid w:val="00243DBA"/>
    <w:rsid w:val="002441FC"/>
    <w:rsid w:val="0024451D"/>
    <w:rsid w:val="002447A7"/>
    <w:rsid w:val="0024544F"/>
    <w:rsid w:val="0024553A"/>
    <w:rsid w:val="0024557D"/>
    <w:rsid w:val="002456A3"/>
    <w:rsid w:val="0024587B"/>
    <w:rsid w:val="00245946"/>
    <w:rsid w:val="00245DED"/>
    <w:rsid w:val="0024611D"/>
    <w:rsid w:val="00246709"/>
    <w:rsid w:val="00246A8F"/>
    <w:rsid w:val="0024743C"/>
    <w:rsid w:val="0024751C"/>
    <w:rsid w:val="002505B1"/>
    <w:rsid w:val="0025079E"/>
    <w:rsid w:val="00250820"/>
    <w:rsid w:val="00250DDF"/>
    <w:rsid w:val="00250F80"/>
    <w:rsid w:val="0025136A"/>
    <w:rsid w:val="0025157D"/>
    <w:rsid w:val="00251639"/>
    <w:rsid w:val="002518FF"/>
    <w:rsid w:val="00251F1A"/>
    <w:rsid w:val="0025302F"/>
    <w:rsid w:val="00253E08"/>
    <w:rsid w:val="00254B54"/>
    <w:rsid w:val="00254DFB"/>
    <w:rsid w:val="0025506C"/>
    <w:rsid w:val="0025509C"/>
    <w:rsid w:val="002552AB"/>
    <w:rsid w:val="00255820"/>
    <w:rsid w:val="00255B31"/>
    <w:rsid w:val="00255B64"/>
    <w:rsid w:val="00255F88"/>
    <w:rsid w:val="00256776"/>
    <w:rsid w:val="00256AB5"/>
    <w:rsid w:val="002571F9"/>
    <w:rsid w:val="0026004E"/>
    <w:rsid w:val="00260B03"/>
    <w:rsid w:val="00260DFB"/>
    <w:rsid w:val="00260F41"/>
    <w:rsid w:val="00261104"/>
    <w:rsid w:val="002616DF"/>
    <w:rsid w:val="00261A05"/>
    <w:rsid w:val="002623D5"/>
    <w:rsid w:val="00262AA1"/>
    <w:rsid w:val="002632FB"/>
    <w:rsid w:val="0026330E"/>
    <w:rsid w:val="00263553"/>
    <w:rsid w:val="00263874"/>
    <w:rsid w:val="00263B5D"/>
    <w:rsid w:val="00263C9B"/>
    <w:rsid w:val="00263DF9"/>
    <w:rsid w:val="00264C51"/>
    <w:rsid w:val="00264CF4"/>
    <w:rsid w:val="00264D58"/>
    <w:rsid w:val="002655A3"/>
    <w:rsid w:val="00265B57"/>
    <w:rsid w:val="00266097"/>
    <w:rsid w:val="002660EF"/>
    <w:rsid w:val="00266173"/>
    <w:rsid w:val="002661E7"/>
    <w:rsid w:val="0026686D"/>
    <w:rsid w:val="00266EEA"/>
    <w:rsid w:val="002670FE"/>
    <w:rsid w:val="0026755B"/>
    <w:rsid w:val="00267A1B"/>
    <w:rsid w:val="00267CD1"/>
    <w:rsid w:val="0027026E"/>
    <w:rsid w:val="0027091A"/>
    <w:rsid w:val="002709DD"/>
    <w:rsid w:val="00270BFC"/>
    <w:rsid w:val="002710AA"/>
    <w:rsid w:val="0027141E"/>
    <w:rsid w:val="002717ED"/>
    <w:rsid w:val="002719FB"/>
    <w:rsid w:val="00272F6B"/>
    <w:rsid w:val="00273106"/>
    <w:rsid w:val="0027372D"/>
    <w:rsid w:val="00274296"/>
    <w:rsid w:val="0027470B"/>
    <w:rsid w:val="0027483A"/>
    <w:rsid w:val="00274B97"/>
    <w:rsid w:val="00274E56"/>
    <w:rsid w:val="00274F7D"/>
    <w:rsid w:val="00275040"/>
    <w:rsid w:val="002751FC"/>
    <w:rsid w:val="0027567A"/>
    <w:rsid w:val="00275B35"/>
    <w:rsid w:val="00275B41"/>
    <w:rsid w:val="00275EBD"/>
    <w:rsid w:val="00276869"/>
    <w:rsid w:val="00276D5A"/>
    <w:rsid w:val="00276FEE"/>
    <w:rsid w:val="0027732D"/>
    <w:rsid w:val="00277AEC"/>
    <w:rsid w:val="00277BE9"/>
    <w:rsid w:val="00280107"/>
    <w:rsid w:val="0028080E"/>
    <w:rsid w:val="00280860"/>
    <w:rsid w:val="002808CC"/>
    <w:rsid w:val="00280E20"/>
    <w:rsid w:val="002811F8"/>
    <w:rsid w:val="00281BE3"/>
    <w:rsid w:val="00281DAB"/>
    <w:rsid w:val="00281FCD"/>
    <w:rsid w:val="0028232A"/>
    <w:rsid w:val="002826CF"/>
    <w:rsid w:val="002833E5"/>
    <w:rsid w:val="00283A64"/>
    <w:rsid w:val="00283D8B"/>
    <w:rsid w:val="0028485F"/>
    <w:rsid w:val="002848ED"/>
    <w:rsid w:val="00284DE8"/>
    <w:rsid w:val="00284EE7"/>
    <w:rsid w:val="002853E1"/>
    <w:rsid w:val="00285A23"/>
    <w:rsid w:val="00285C78"/>
    <w:rsid w:val="002860E1"/>
    <w:rsid w:val="002863A6"/>
    <w:rsid w:val="002865C8"/>
    <w:rsid w:val="00286F16"/>
    <w:rsid w:val="00287323"/>
    <w:rsid w:val="00287741"/>
    <w:rsid w:val="00287FA8"/>
    <w:rsid w:val="002906A8"/>
    <w:rsid w:val="0029088C"/>
    <w:rsid w:val="00290B2C"/>
    <w:rsid w:val="00291C24"/>
    <w:rsid w:val="002930DA"/>
    <w:rsid w:val="00293514"/>
    <w:rsid w:val="002938C3"/>
    <w:rsid w:val="002947F8"/>
    <w:rsid w:val="00295CCD"/>
    <w:rsid w:val="00296302"/>
    <w:rsid w:val="00296470"/>
    <w:rsid w:val="0029673E"/>
    <w:rsid w:val="00296981"/>
    <w:rsid w:val="00296CBD"/>
    <w:rsid w:val="00296E87"/>
    <w:rsid w:val="0029729C"/>
    <w:rsid w:val="00297ACA"/>
    <w:rsid w:val="00297D80"/>
    <w:rsid w:val="00297EFB"/>
    <w:rsid w:val="00297FE6"/>
    <w:rsid w:val="002A028B"/>
    <w:rsid w:val="002A0E8A"/>
    <w:rsid w:val="002A158D"/>
    <w:rsid w:val="002A15BB"/>
    <w:rsid w:val="002A1777"/>
    <w:rsid w:val="002A1D72"/>
    <w:rsid w:val="002A23A8"/>
    <w:rsid w:val="002A27AE"/>
    <w:rsid w:val="002A2B4F"/>
    <w:rsid w:val="002A30B6"/>
    <w:rsid w:val="002A3102"/>
    <w:rsid w:val="002A31C2"/>
    <w:rsid w:val="002A355F"/>
    <w:rsid w:val="002A4163"/>
    <w:rsid w:val="002A41FA"/>
    <w:rsid w:val="002A43E8"/>
    <w:rsid w:val="002A4479"/>
    <w:rsid w:val="002A4A03"/>
    <w:rsid w:val="002A4F5E"/>
    <w:rsid w:val="002A5302"/>
    <w:rsid w:val="002A58F7"/>
    <w:rsid w:val="002A6BBB"/>
    <w:rsid w:val="002A7C2C"/>
    <w:rsid w:val="002A7DC6"/>
    <w:rsid w:val="002A7E36"/>
    <w:rsid w:val="002A7FCF"/>
    <w:rsid w:val="002B01D5"/>
    <w:rsid w:val="002B1278"/>
    <w:rsid w:val="002B1627"/>
    <w:rsid w:val="002B188C"/>
    <w:rsid w:val="002B1C06"/>
    <w:rsid w:val="002B1EA5"/>
    <w:rsid w:val="002B2A80"/>
    <w:rsid w:val="002B2FCE"/>
    <w:rsid w:val="002B3A0A"/>
    <w:rsid w:val="002B3A95"/>
    <w:rsid w:val="002B3D90"/>
    <w:rsid w:val="002B4EAC"/>
    <w:rsid w:val="002B5529"/>
    <w:rsid w:val="002B58DA"/>
    <w:rsid w:val="002B5B67"/>
    <w:rsid w:val="002B5EB3"/>
    <w:rsid w:val="002B666B"/>
    <w:rsid w:val="002B67E1"/>
    <w:rsid w:val="002B6860"/>
    <w:rsid w:val="002B6D01"/>
    <w:rsid w:val="002B6F28"/>
    <w:rsid w:val="002B70DB"/>
    <w:rsid w:val="002B75BA"/>
    <w:rsid w:val="002C020A"/>
    <w:rsid w:val="002C080F"/>
    <w:rsid w:val="002C09DE"/>
    <w:rsid w:val="002C2035"/>
    <w:rsid w:val="002C2406"/>
    <w:rsid w:val="002C26F4"/>
    <w:rsid w:val="002C2800"/>
    <w:rsid w:val="002C2887"/>
    <w:rsid w:val="002C3160"/>
    <w:rsid w:val="002C31BE"/>
    <w:rsid w:val="002C372A"/>
    <w:rsid w:val="002C3A07"/>
    <w:rsid w:val="002C3A25"/>
    <w:rsid w:val="002C3DA6"/>
    <w:rsid w:val="002C3FF8"/>
    <w:rsid w:val="002C448D"/>
    <w:rsid w:val="002C4C1E"/>
    <w:rsid w:val="002C4D65"/>
    <w:rsid w:val="002C5123"/>
    <w:rsid w:val="002C58FA"/>
    <w:rsid w:val="002C5966"/>
    <w:rsid w:val="002C5AE8"/>
    <w:rsid w:val="002C5CB8"/>
    <w:rsid w:val="002C5EB9"/>
    <w:rsid w:val="002C5FCC"/>
    <w:rsid w:val="002C6066"/>
    <w:rsid w:val="002C65E4"/>
    <w:rsid w:val="002C6ACE"/>
    <w:rsid w:val="002C6FFE"/>
    <w:rsid w:val="002C72BD"/>
    <w:rsid w:val="002D0701"/>
    <w:rsid w:val="002D0D51"/>
    <w:rsid w:val="002D1077"/>
    <w:rsid w:val="002D150B"/>
    <w:rsid w:val="002D18BE"/>
    <w:rsid w:val="002D197F"/>
    <w:rsid w:val="002D25A9"/>
    <w:rsid w:val="002D2767"/>
    <w:rsid w:val="002D2CA5"/>
    <w:rsid w:val="002D3431"/>
    <w:rsid w:val="002D37ED"/>
    <w:rsid w:val="002D380F"/>
    <w:rsid w:val="002D413E"/>
    <w:rsid w:val="002D4665"/>
    <w:rsid w:val="002D47CC"/>
    <w:rsid w:val="002D47EC"/>
    <w:rsid w:val="002D4833"/>
    <w:rsid w:val="002D576D"/>
    <w:rsid w:val="002D5938"/>
    <w:rsid w:val="002D5F27"/>
    <w:rsid w:val="002D60FD"/>
    <w:rsid w:val="002D6613"/>
    <w:rsid w:val="002D6A4D"/>
    <w:rsid w:val="002D6E3A"/>
    <w:rsid w:val="002D6E5F"/>
    <w:rsid w:val="002D725A"/>
    <w:rsid w:val="002D7740"/>
    <w:rsid w:val="002D7BEA"/>
    <w:rsid w:val="002D7CE0"/>
    <w:rsid w:val="002D7E08"/>
    <w:rsid w:val="002E02E6"/>
    <w:rsid w:val="002E04BD"/>
    <w:rsid w:val="002E195C"/>
    <w:rsid w:val="002E1A2B"/>
    <w:rsid w:val="002E1D44"/>
    <w:rsid w:val="002E2378"/>
    <w:rsid w:val="002E2EA0"/>
    <w:rsid w:val="002E30D7"/>
    <w:rsid w:val="002E3722"/>
    <w:rsid w:val="002E3888"/>
    <w:rsid w:val="002E3AE7"/>
    <w:rsid w:val="002E4695"/>
    <w:rsid w:val="002E4D0E"/>
    <w:rsid w:val="002E4D32"/>
    <w:rsid w:val="002E5327"/>
    <w:rsid w:val="002E5377"/>
    <w:rsid w:val="002E6388"/>
    <w:rsid w:val="002E65F9"/>
    <w:rsid w:val="002E6BC6"/>
    <w:rsid w:val="002E76F0"/>
    <w:rsid w:val="002E79C0"/>
    <w:rsid w:val="002F065D"/>
    <w:rsid w:val="002F0E14"/>
    <w:rsid w:val="002F0E47"/>
    <w:rsid w:val="002F1003"/>
    <w:rsid w:val="002F1421"/>
    <w:rsid w:val="002F15B9"/>
    <w:rsid w:val="002F1EDF"/>
    <w:rsid w:val="002F2219"/>
    <w:rsid w:val="002F2E52"/>
    <w:rsid w:val="002F3215"/>
    <w:rsid w:val="002F3944"/>
    <w:rsid w:val="002F3DCC"/>
    <w:rsid w:val="002F40B1"/>
    <w:rsid w:val="002F42D9"/>
    <w:rsid w:val="002F447C"/>
    <w:rsid w:val="002F4648"/>
    <w:rsid w:val="002F4FAE"/>
    <w:rsid w:val="002F50E5"/>
    <w:rsid w:val="002F5335"/>
    <w:rsid w:val="002F67C4"/>
    <w:rsid w:val="002F7320"/>
    <w:rsid w:val="002F7640"/>
    <w:rsid w:val="002F7FA2"/>
    <w:rsid w:val="00300DA5"/>
    <w:rsid w:val="003014A6"/>
    <w:rsid w:val="00301599"/>
    <w:rsid w:val="00301B9F"/>
    <w:rsid w:val="0030253B"/>
    <w:rsid w:val="00302601"/>
    <w:rsid w:val="003034D8"/>
    <w:rsid w:val="00303A06"/>
    <w:rsid w:val="00303B27"/>
    <w:rsid w:val="00304151"/>
    <w:rsid w:val="003066A8"/>
    <w:rsid w:val="00306A97"/>
    <w:rsid w:val="00307208"/>
    <w:rsid w:val="00307AA9"/>
    <w:rsid w:val="00307CC1"/>
    <w:rsid w:val="00307D16"/>
    <w:rsid w:val="00310202"/>
    <w:rsid w:val="0031034F"/>
    <w:rsid w:val="00310366"/>
    <w:rsid w:val="0031069E"/>
    <w:rsid w:val="003106A2"/>
    <w:rsid w:val="003107CD"/>
    <w:rsid w:val="003107E1"/>
    <w:rsid w:val="00310A3A"/>
    <w:rsid w:val="00310A98"/>
    <w:rsid w:val="00310DFF"/>
    <w:rsid w:val="0031155C"/>
    <w:rsid w:val="003120BB"/>
    <w:rsid w:val="00312D69"/>
    <w:rsid w:val="00313239"/>
    <w:rsid w:val="00313666"/>
    <w:rsid w:val="0031377C"/>
    <w:rsid w:val="00313877"/>
    <w:rsid w:val="003139FF"/>
    <w:rsid w:val="00313B3E"/>
    <w:rsid w:val="00313E4C"/>
    <w:rsid w:val="00313E75"/>
    <w:rsid w:val="00314371"/>
    <w:rsid w:val="003144EE"/>
    <w:rsid w:val="003152B3"/>
    <w:rsid w:val="003154CE"/>
    <w:rsid w:val="00315756"/>
    <w:rsid w:val="0031624B"/>
    <w:rsid w:val="00316B0A"/>
    <w:rsid w:val="00317225"/>
    <w:rsid w:val="0031731F"/>
    <w:rsid w:val="0032009E"/>
    <w:rsid w:val="00320796"/>
    <w:rsid w:val="0032124C"/>
    <w:rsid w:val="003213F6"/>
    <w:rsid w:val="00321439"/>
    <w:rsid w:val="00321860"/>
    <w:rsid w:val="00321BAE"/>
    <w:rsid w:val="00321E01"/>
    <w:rsid w:val="0032226E"/>
    <w:rsid w:val="00322492"/>
    <w:rsid w:val="00322537"/>
    <w:rsid w:val="003225DD"/>
    <w:rsid w:val="00322B23"/>
    <w:rsid w:val="00322E99"/>
    <w:rsid w:val="00323202"/>
    <w:rsid w:val="003239D2"/>
    <w:rsid w:val="00323BB0"/>
    <w:rsid w:val="00323F1B"/>
    <w:rsid w:val="00325432"/>
    <w:rsid w:val="00325853"/>
    <w:rsid w:val="003259D9"/>
    <w:rsid w:val="00325BD4"/>
    <w:rsid w:val="00326179"/>
    <w:rsid w:val="0032630E"/>
    <w:rsid w:val="00326B99"/>
    <w:rsid w:val="003273CC"/>
    <w:rsid w:val="00327AB2"/>
    <w:rsid w:val="00327CB7"/>
    <w:rsid w:val="003307E0"/>
    <w:rsid w:val="00330E27"/>
    <w:rsid w:val="0033147A"/>
    <w:rsid w:val="003318D0"/>
    <w:rsid w:val="00331A3C"/>
    <w:rsid w:val="00331B74"/>
    <w:rsid w:val="00331F7A"/>
    <w:rsid w:val="003323B1"/>
    <w:rsid w:val="0033272A"/>
    <w:rsid w:val="00333599"/>
    <w:rsid w:val="0033399A"/>
    <w:rsid w:val="00333AF8"/>
    <w:rsid w:val="0033441E"/>
    <w:rsid w:val="00334B70"/>
    <w:rsid w:val="00334C5A"/>
    <w:rsid w:val="0033502E"/>
    <w:rsid w:val="00335096"/>
    <w:rsid w:val="00335A46"/>
    <w:rsid w:val="00335DD6"/>
    <w:rsid w:val="00336D8A"/>
    <w:rsid w:val="003371AB"/>
    <w:rsid w:val="00337897"/>
    <w:rsid w:val="00337EA4"/>
    <w:rsid w:val="0034029C"/>
    <w:rsid w:val="00341085"/>
    <w:rsid w:val="003413EA"/>
    <w:rsid w:val="003415A5"/>
    <w:rsid w:val="00342155"/>
    <w:rsid w:val="00342227"/>
    <w:rsid w:val="0034232E"/>
    <w:rsid w:val="00342385"/>
    <w:rsid w:val="00342387"/>
    <w:rsid w:val="003423CB"/>
    <w:rsid w:val="003423F9"/>
    <w:rsid w:val="00342928"/>
    <w:rsid w:val="00342B32"/>
    <w:rsid w:val="00342F59"/>
    <w:rsid w:val="00342FB6"/>
    <w:rsid w:val="0034423F"/>
    <w:rsid w:val="003442C7"/>
    <w:rsid w:val="00344FAD"/>
    <w:rsid w:val="00345799"/>
    <w:rsid w:val="00345BD4"/>
    <w:rsid w:val="00345E47"/>
    <w:rsid w:val="0034618A"/>
    <w:rsid w:val="003469DE"/>
    <w:rsid w:val="00347091"/>
    <w:rsid w:val="003471B1"/>
    <w:rsid w:val="00347333"/>
    <w:rsid w:val="003475AF"/>
    <w:rsid w:val="003475B5"/>
    <w:rsid w:val="00350048"/>
    <w:rsid w:val="0035024D"/>
    <w:rsid w:val="0035032B"/>
    <w:rsid w:val="003507E5"/>
    <w:rsid w:val="00350941"/>
    <w:rsid w:val="0035109D"/>
    <w:rsid w:val="00351F87"/>
    <w:rsid w:val="00352503"/>
    <w:rsid w:val="003526A3"/>
    <w:rsid w:val="00352739"/>
    <w:rsid w:val="00352C18"/>
    <w:rsid w:val="0035334A"/>
    <w:rsid w:val="00353703"/>
    <w:rsid w:val="00353B80"/>
    <w:rsid w:val="00353F57"/>
    <w:rsid w:val="0035452A"/>
    <w:rsid w:val="00354B5F"/>
    <w:rsid w:val="00354CE9"/>
    <w:rsid w:val="00355947"/>
    <w:rsid w:val="00355CD8"/>
    <w:rsid w:val="00356DB1"/>
    <w:rsid w:val="00356ECA"/>
    <w:rsid w:val="00356F1C"/>
    <w:rsid w:val="003572F0"/>
    <w:rsid w:val="00357877"/>
    <w:rsid w:val="0035795F"/>
    <w:rsid w:val="00360B06"/>
    <w:rsid w:val="00360B87"/>
    <w:rsid w:val="00360E4F"/>
    <w:rsid w:val="00361222"/>
    <w:rsid w:val="0036156E"/>
    <w:rsid w:val="003615CA"/>
    <w:rsid w:val="00361E69"/>
    <w:rsid w:val="00361E82"/>
    <w:rsid w:val="0036204D"/>
    <w:rsid w:val="003633B6"/>
    <w:rsid w:val="00363529"/>
    <w:rsid w:val="00363594"/>
    <w:rsid w:val="00363A52"/>
    <w:rsid w:val="00363B6B"/>
    <w:rsid w:val="0036435D"/>
    <w:rsid w:val="00364820"/>
    <w:rsid w:val="00364D5B"/>
    <w:rsid w:val="00364F37"/>
    <w:rsid w:val="0036501B"/>
    <w:rsid w:val="00365441"/>
    <w:rsid w:val="0036591B"/>
    <w:rsid w:val="00365F60"/>
    <w:rsid w:val="0036640F"/>
    <w:rsid w:val="0036646C"/>
    <w:rsid w:val="00366DDA"/>
    <w:rsid w:val="00370127"/>
    <w:rsid w:val="003703EB"/>
    <w:rsid w:val="00370470"/>
    <w:rsid w:val="00370872"/>
    <w:rsid w:val="003709CA"/>
    <w:rsid w:val="00370C0F"/>
    <w:rsid w:val="00370D0E"/>
    <w:rsid w:val="00370E5A"/>
    <w:rsid w:val="00371584"/>
    <w:rsid w:val="003715AE"/>
    <w:rsid w:val="00371C88"/>
    <w:rsid w:val="0037238D"/>
    <w:rsid w:val="00372FC5"/>
    <w:rsid w:val="00374226"/>
    <w:rsid w:val="00374297"/>
    <w:rsid w:val="00374A1E"/>
    <w:rsid w:val="00374D9C"/>
    <w:rsid w:val="003750D6"/>
    <w:rsid w:val="00375242"/>
    <w:rsid w:val="003754A4"/>
    <w:rsid w:val="0037565C"/>
    <w:rsid w:val="00375A53"/>
    <w:rsid w:val="00375CB4"/>
    <w:rsid w:val="00377422"/>
    <w:rsid w:val="003775E9"/>
    <w:rsid w:val="00377AAA"/>
    <w:rsid w:val="0038076D"/>
    <w:rsid w:val="003815ED"/>
    <w:rsid w:val="00381D97"/>
    <w:rsid w:val="00381DBA"/>
    <w:rsid w:val="00382136"/>
    <w:rsid w:val="003829E2"/>
    <w:rsid w:val="00382C07"/>
    <w:rsid w:val="00382E87"/>
    <w:rsid w:val="00383288"/>
    <w:rsid w:val="00383341"/>
    <w:rsid w:val="00383554"/>
    <w:rsid w:val="00383A26"/>
    <w:rsid w:val="00383A42"/>
    <w:rsid w:val="00383B86"/>
    <w:rsid w:val="00383F61"/>
    <w:rsid w:val="00383FB9"/>
    <w:rsid w:val="00384179"/>
    <w:rsid w:val="00384BD6"/>
    <w:rsid w:val="003851F6"/>
    <w:rsid w:val="003858BC"/>
    <w:rsid w:val="0038609B"/>
    <w:rsid w:val="003861E8"/>
    <w:rsid w:val="00387B7C"/>
    <w:rsid w:val="00387C39"/>
    <w:rsid w:val="00390554"/>
    <w:rsid w:val="00391AAD"/>
    <w:rsid w:val="00391BE8"/>
    <w:rsid w:val="0039219E"/>
    <w:rsid w:val="00392275"/>
    <w:rsid w:val="00392399"/>
    <w:rsid w:val="0039256D"/>
    <w:rsid w:val="0039266E"/>
    <w:rsid w:val="00392B15"/>
    <w:rsid w:val="00393789"/>
    <w:rsid w:val="00393B0F"/>
    <w:rsid w:val="003949CC"/>
    <w:rsid w:val="00394ACD"/>
    <w:rsid w:val="00394B17"/>
    <w:rsid w:val="00394E30"/>
    <w:rsid w:val="0039537B"/>
    <w:rsid w:val="00395CC1"/>
    <w:rsid w:val="003963A3"/>
    <w:rsid w:val="00396722"/>
    <w:rsid w:val="00396D78"/>
    <w:rsid w:val="003970E5"/>
    <w:rsid w:val="003970EE"/>
    <w:rsid w:val="003A081A"/>
    <w:rsid w:val="003A13CA"/>
    <w:rsid w:val="003A1493"/>
    <w:rsid w:val="003A1FAB"/>
    <w:rsid w:val="003A1FFA"/>
    <w:rsid w:val="003A21CF"/>
    <w:rsid w:val="003A239C"/>
    <w:rsid w:val="003A2477"/>
    <w:rsid w:val="003A2631"/>
    <w:rsid w:val="003A26F9"/>
    <w:rsid w:val="003A2812"/>
    <w:rsid w:val="003A3865"/>
    <w:rsid w:val="003A399A"/>
    <w:rsid w:val="003A3D0E"/>
    <w:rsid w:val="003A3D21"/>
    <w:rsid w:val="003A3E88"/>
    <w:rsid w:val="003A49CB"/>
    <w:rsid w:val="003A4BAB"/>
    <w:rsid w:val="003A5605"/>
    <w:rsid w:val="003A5825"/>
    <w:rsid w:val="003A5913"/>
    <w:rsid w:val="003A5E48"/>
    <w:rsid w:val="003A64DD"/>
    <w:rsid w:val="003A66AC"/>
    <w:rsid w:val="003A71DA"/>
    <w:rsid w:val="003A7D73"/>
    <w:rsid w:val="003A7FA5"/>
    <w:rsid w:val="003B0900"/>
    <w:rsid w:val="003B09DE"/>
    <w:rsid w:val="003B0A96"/>
    <w:rsid w:val="003B0BA1"/>
    <w:rsid w:val="003B0C49"/>
    <w:rsid w:val="003B0DD5"/>
    <w:rsid w:val="003B0E4B"/>
    <w:rsid w:val="003B0F1C"/>
    <w:rsid w:val="003B10A6"/>
    <w:rsid w:val="003B1BE3"/>
    <w:rsid w:val="003B1CE8"/>
    <w:rsid w:val="003B2227"/>
    <w:rsid w:val="003B2543"/>
    <w:rsid w:val="003B2CA3"/>
    <w:rsid w:val="003B2D92"/>
    <w:rsid w:val="003B3C33"/>
    <w:rsid w:val="003B44FF"/>
    <w:rsid w:val="003B4D9B"/>
    <w:rsid w:val="003B4E11"/>
    <w:rsid w:val="003B4FFC"/>
    <w:rsid w:val="003B522B"/>
    <w:rsid w:val="003B5E15"/>
    <w:rsid w:val="003B6185"/>
    <w:rsid w:val="003B6843"/>
    <w:rsid w:val="003B6D0C"/>
    <w:rsid w:val="003B6E18"/>
    <w:rsid w:val="003B74F9"/>
    <w:rsid w:val="003B7572"/>
    <w:rsid w:val="003B76F6"/>
    <w:rsid w:val="003B7869"/>
    <w:rsid w:val="003C0504"/>
    <w:rsid w:val="003C09A0"/>
    <w:rsid w:val="003C101F"/>
    <w:rsid w:val="003C1103"/>
    <w:rsid w:val="003C176A"/>
    <w:rsid w:val="003C188D"/>
    <w:rsid w:val="003C1E1D"/>
    <w:rsid w:val="003C1EA6"/>
    <w:rsid w:val="003C236A"/>
    <w:rsid w:val="003C2947"/>
    <w:rsid w:val="003C2974"/>
    <w:rsid w:val="003C2EA5"/>
    <w:rsid w:val="003C346F"/>
    <w:rsid w:val="003C45B1"/>
    <w:rsid w:val="003C51A8"/>
    <w:rsid w:val="003C56E2"/>
    <w:rsid w:val="003C5BBA"/>
    <w:rsid w:val="003C6527"/>
    <w:rsid w:val="003C6AD6"/>
    <w:rsid w:val="003C7287"/>
    <w:rsid w:val="003C7616"/>
    <w:rsid w:val="003C7B58"/>
    <w:rsid w:val="003C7C7E"/>
    <w:rsid w:val="003C7F46"/>
    <w:rsid w:val="003D0004"/>
    <w:rsid w:val="003D032B"/>
    <w:rsid w:val="003D042C"/>
    <w:rsid w:val="003D0447"/>
    <w:rsid w:val="003D0991"/>
    <w:rsid w:val="003D0EEF"/>
    <w:rsid w:val="003D11EC"/>
    <w:rsid w:val="003D11FD"/>
    <w:rsid w:val="003D131C"/>
    <w:rsid w:val="003D1622"/>
    <w:rsid w:val="003D179B"/>
    <w:rsid w:val="003D226F"/>
    <w:rsid w:val="003D276B"/>
    <w:rsid w:val="003D2B28"/>
    <w:rsid w:val="003D3499"/>
    <w:rsid w:val="003D3839"/>
    <w:rsid w:val="003D39B0"/>
    <w:rsid w:val="003D3C33"/>
    <w:rsid w:val="003D3F17"/>
    <w:rsid w:val="003D4E57"/>
    <w:rsid w:val="003D5279"/>
    <w:rsid w:val="003D5AA2"/>
    <w:rsid w:val="003D626C"/>
    <w:rsid w:val="003D639C"/>
    <w:rsid w:val="003D63A7"/>
    <w:rsid w:val="003D64F3"/>
    <w:rsid w:val="003D7786"/>
    <w:rsid w:val="003D7986"/>
    <w:rsid w:val="003D798B"/>
    <w:rsid w:val="003D7E9D"/>
    <w:rsid w:val="003E0314"/>
    <w:rsid w:val="003E0436"/>
    <w:rsid w:val="003E06BA"/>
    <w:rsid w:val="003E1331"/>
    <w:rsid w:val="003E208B"/>
    <w:rsid w:val="003E21F8"/>
    <w:rsid w:val="003E2230"/>
    <w:rsid w:val="003E23DB"/>
    <w:rsid w:val="003E2902"/>
    <w:rsid w:val="003E2C78"/>
    <w:rsid w:val="003E3C1C"/>
    <w:rsid w:val="003E44A6"/>
    <w:rsid w:val="003E4AE7"/>
    <w:rsid w:val="003E4DA8"/>
    <w:rsid w:val="003E4DC7"/>
    <w:rsid w:val="003E51D2"/>
    <w:rsid w:val="003E5432"/>
    <w:rsid w:val="003E59B6"/>
    <w:rsid w:val="003E5D92"/>
    <w:rsid w:val="003E7101"/>
    <w:rsid w:val="003E7209"/>
    <w:rsid w:val="003E79A0"/>
    <w:rsid w:val="003E7E56"/>
    <w:rsid w:val="003E7E6F"/>
    <w:rsid w:val="003F078C"/>
    <w:rsid w:val="003F0E89"/>
    <w:rsid w:val="003F1621"/>
    <w:rsid w:val="003F1DBF"/>
    <w:rsid w:val="003F1E04"/>
    <w:rsid w:val="003F208A"/>
    <w:rsid w:val="003F2213"/>
    <w:rsid w:val="003F2686"/>
    <w:rsid w:val="003F2E97"/>
    <w:rsid w:val="003F33AC"/>
    <w:rsid w:val="003F384C"/>
    <w:rsid w:val="003F3859"/>
    <w:rsid w:val="003F3AE6"/>
    <w:rsid w:val="003F3D68"/>
    <w:rsid w:val="003F3F0D"/>
    <w:rsid w:val="003F4663"/>
    <w:rsid w:val="003F4E20"/>
    <w:rsid w:val="003F4E89"/>
    <w:rsid w:val="003F53C2"/>
    <w:rsid w:val="003F54C0"/>
    <w:rsid w:val="003F54EB"/>
    <w:rsid w:val="003F598B"/>
    <w:rsid w:val="003F5C53"/>
    <w:rsid w:val="003F5EBD"/>
    <w:rsid w:val="003F607F"/>
    <w:rsid w:val="003F71B6"/>
    <w:rsid w:val="003F7C12"/>
    <w:rsid w:val="00400326"/>
    <w:rsid w:val="0040060C"/>
    <w:rsid w:val="0040093D"/>
    <w:rsid w:val="00400DED"/>
    <w:rsid w:val="00400EB6"/>
    <w:rsid w:val="00401162"/>
    <w:rsid w:val="004015EC"/>
    <w:rsid w:val="00401646"/>
    <w:rsid w:val="0040192D"/>
    <w:rsid w:val="00401E56"/>
    <w:rsid w:val="00402262"/>
    <w:rsid w:val="00402409"/>
    <w:rsid w:val="0040296F"/>
    <w:rsid w:val="00402AC8"/>
    <w:rsid w:val="00402B60"/>
    <w:rsid w:val="00403117"/>
    <w:rsid w:val="00403548"/>
    <w:rsid w:val="0040392E"/>
    <w:rsid w:val="00405052"/>
    <w:rsid w:val="004053AB"/>
    <w:rsid w:val="00405574"/>
    <w:rsid w:val="00406A71"/>
    <w:rsid w:val="00406E37"/>
    <w:rsid w:val="00407292"/>
    <w:rsid w:val="0040744E"/>
    <w:rsid w:val="00407456"/>
    <w:rsid w:val="00407504"/>
    <w:rsid w:val="00407C4F"/>
    <w:rsid w:val="00407D94"/>
    <w:rsid w:val="00407FD6"/>
    <w:rsid w:val="0041047A"/>
    <w:rsid w:val="00410846"/>
    <w:rsid w:val="00410AF0"/>
    <w:rsid w:val="00410BE8"/>
    <w:rsid w:val="00411B4C"/>
    <w:rsid w:val="00411E6B"/>
    <w:rsid w:val="00411F54"/>
    <w:rsid w:val="00412589"/>
    <w:rsid w:val="0041267A"/>
    <w:rsid w:val="00412797"/>
    <w:rsid w:val="00412DF9"/>
    <w:rsid w:val="00412F38"/>
    <w:rsid w:val="00413005"/>
    <w:rsid w:val="00413293"/>
    <w:rsid w:val="004136DC"/>
    <w:rsid w:val="0041390E"/>
    <w:rsid w:val="00413A77"/>
    <w:rsid w:val="00413C9C"/>
    <w:rsid w:val="00414540"/>
    <w:rsid w:val="0041466B"/>
    <w:rsid w:val="00414A3E"/>
    <w:rsid w:val="00414F26"/>
    <w:rsid w:val="004151BA"/>
    <w:rsid w:val="0041555D"/>
    <w:rsid w:val="004158F9"/>
    <w:rsid w:val="00415C80"/>
    <w:rsid w:val="00416086"/>
    <w:rsid w:val="00416369"/>
    <w:rsid w:val="004163CB"/>
    <w:rsid w:val="004166C6"/>
    <w:rsid w:val="00416ADB"/>
    <w:rsid w:val="00416FB7"/>
    <w:rsid w:val="004170D6"/>
    <w:rsid w:val="004173E2"/>
    <w:rsid w:val="004174EF"/>
    <w:rsid w:val="004178D0"/>
    <w:rsid w:val="00420762"/>
    <w:rsid w:val="004208CF"/>
    <w:rsid w:val="0042100A"/>
    <w:rsid w:val="004211F6"/>
    <w:rsid w:val="0042140E"/>
    <w:rsid w:val="00421612"/>
    <w:rsid w:val="0042166C"/>
    <w:rsid w:val="004218AA"/>
    <w:rsid w:val="00421C21"/>
    <w:rsid w:val="004225BB"/>
    <w:rsid w:val="00422C17"/>
    <w:rsid w:val="00423144"/>
    <w:rsid w:val="004236EF"/>
    <w:rsid w:val="004238B7"/>
    <w:rsid w:val="00423E80"/>
    <w:rsid w:val="004240BA"/>
    <w:rsid w:val="004240DF"/>
    <w:rsid w:val="004245F9"/>
    <w:rsid w:val="00424E65"/>
    <w:rsid w:val="00424F1D"/>
    <w:rsid w:val="0042570A"/>
    <w:rsid w:val="0042585D"/>
    <w:rsid w:val="00425BD9"/>
    <w:rsid w:val="00425D68"/>
    <w:rsid w:val="00426997"/>
    <w:rsid w:val="00426E5C"/>
    <w:rsid w:val="0042708E"/>
    <w:rsid w:val="004277B7"/>
    <w:rsid w:val="00427A61"/>
    <w:rsid w:val="004305E1"/>
    <w:rsid w:val="0043085D"/>
    <w:rsid w:val="00430A85"/>
    <w:rsid w:val="00431106"/>
    <w:rsid w:val="00431AB3"/>
    <w:rsid w:val="00431CD8"/>
    <w:rsid w:val="00432DDE"/>
    <w:rsid w:val="00433431"/>
    <w:rsid w:val="00433441"/>
    <w:rsid w:val="00433CB0"/>
    <w:rsid w:val="00434196"/>
    <w:rsid w:val="00434506"/>
    <w:rsid w:val="00434977"/>
    <w:rsid w:val="00434B00"/>
    <w:rsid w:val="00434F78"/>
    <w:rsid w:val="00434FD7"/>
    <w:rsid w:val="0043547D"/>
    <w:rsid w:val="0043572E"/>
    <w:rsid w:val="00435AEC"/>
    <w:rsid w:val="00435D76"/>
    <w:rsid w:val="00436175"/>
    <w:rsid w:val="00436989"/>
    <w:rsid w:val="00436E0C"/>
    <w:rsid w:val="00437189"/>
    <w:rsid w:val="00437248"/>
    <w:rsid w:val="0043749F"/>
    <w:rsid w:val="00437986"/>
    <w:rsid w:val="004406EF"/>
    <w:rsid w:val="0044090C"/>
    <w:rsid w:val="00440AC3"/>
    <w:rsid w:val="0044113E"/>
    <w:rsid w:val="004413BF"/>
    <w:rsid w:val="004421D6"/>
    <w:rsid w:val="00442290"/>
    <w:rsid w:val="00442B93"/>
    <w:rsid w:val="0044393A"/>
    <w:rsid w:val="00443963"/>
    <w:rsid w:val="00443AD3"/>
    <w:rsid w:val="00443C96"/>
    <w:rsid w:val="004444C9"/>
    <w:rsid w:val="00444598"/>
    <w:rsid w:val="00444A17"/>
    <w:rsid w:val="00444ED1"/>
    <w:rsid w:val="00445D02"/>
    <w:rsid w:val="00445D66"/>
    <w:rsid w:val="00446ABA"/>
    <w:rsid w:val="00446AE3"/>
    <w:rsid w:val="00446C0E"/>
    <w:rsid w:val="00446DD5"/>
    <w:rsid w:val="004472B0"/>
    <w:rsid w:val="004473E4"/>
    <w:rsid w:val="00447876"/>
    <w:rsid w:val="00447F70"/>
    <w:rsid w:val="00450156"/>
    <w:rsid w:val="00450192"/>
    <w:rsid w:val="00450531"/>
    <w:rsid w:val="00450729"/>
    <w:rsid w:val="00450AF9"/>
    <w:rsid w:val="00451599"/>
    <w:rsid w:val="00452629"/>
    <w:rsid w:val="00452767"/>
    <w:rsid w:val="00452D1A"/>
    <w:rsid w:val="004534B8"/>
    <w:rsid w:val="004538E0"/>
    <w:rsid w:val="0045404A"/>
    <w:rsid w:val="00454131"/>
    <w:rsid w:val="004544E7"/>
    <w:rsid w:val="00455362"/>
    <w:rsid w:val="004557D9"/>
    <w:rsid w:val="00455804"/>
    <w:rsid w:val="0045580D"/>
    <w:rsid w:val="00455A6D"/>
    <w:rsid w:val="00455AB9"/>
    <w:rsid w:val="0045686E"/>
    <w:rsid w:val="00456D8A"/>
    <w:rsid w:val="00456ED7"/>
    <w:rsid w:val="0045730A"/>
    <w:rsid w:val="004576D1"/>
    <w:rsid w:val="00457A1F"/>
    <w:rsid w:val="004609BD"/>
    <w:rsid w:val="00460A6B"/>
    <w:rsid w:val="0046144A"/>
    <w:rsid w:val="0046291B"/>
    <w:rsid w:val="0046393A"/>
    <w:rsid w:val="00463EB8"/>
    <w:rsid w:val="0046412C"/>
    <w:rsid w:val="00464965"/>
    <w:rsid w:val="0046552D"/>
    <w:rsid w:val="00465679"/>
    <w:rsid w:val="0046630F"/>
    <w:rsid w:val="00466449"/>
    <w:rsid w:val="00466464"/>
    <w:rsid w:val="004667E6"/>
    <w:rsid w:val="00466827"/>
    <w:rsid w:val="00467324"/>
    <w:rsid w:val="0046777A"/>
    <w:rsid w:val="0046778F"/>
    <w:rsid w:val="00467972"/>
    <w:rsid w:val="00467B43"/>
    <w:rsid w:val="00470D79"/>
    <w:rsid w:val="00470DCC"/>
    <w:rsid w:val="00470EA2"/>
    <w:rsid w:val="00471317"/>
    <w:rsid w:val="00471800"/>
    <w:rsid w:val="004718A9"/>
    <w:rsid w:val="004721F2"/>
    <w:rsid w:val="00472677"/>
    <w:rsid w:val="00472779"/>
    <w:rsid w:val="0047281B"/>
    <w:rsid w:val="004728F7"/>
    <w:rsid w:val="00472991"/>
    <w:rsid w:val="00472A87"/>
    <w:rsid w:val="00472A9D"/>
    <w:rsid w:val="004731CA"/>
    <w:rsid w:val="00473217"/>
    <w:rsid w:val="0047415F"/>
    <w:rsid w:val="00474207"/>
    <w:rsid w:val="00474AEA"/>
    <w:rsid w:val="00474D70"/>
    <w:rsid w:val="00475090"/>
    <w:rsid w:val="004757B4"/>
    <w:rsid w:val="00475CBE"/>
    <w:rsid w:val="00476326"/>
    <w:rsid w:val="00476DDC"/>
    <w:rsid w:val="00476F0F"/>
    <w:rsid w:val="00476F43"/>
    <w:rsid w:val="004772A7"/>
    <w:rsid w:val="00477301"/>
    <w:rsid w:val="0047782D"/>
    <w:rsid w:val="004778C9"/>
    <w:rsid w:val="004779CC"/>
    <w:rsid w:val="00477D10"/>
    <w:rsid w:val="004801C8"/>
    <w:rsid w:val="0048080C"/>
    <w:rsid w:val="00481438"/>
    <w:rsid w:val="00481C80"/>
    <w:rsid w:val="0048228F"/>
    <w:rsid w:val="00482490"/>
    <w:rsid w:val="0048271D"/>
    <w:rsid w:val="00483978"/>
    <w:rsid w:val="00483A5F"/>
    <w:rsid w:val="00483F93"/>
    <w:rsid w:val="00484062"/>
    <w:rsid w:val="00484226"/>
    <w:rsid w:val="00484A77"/>
    <w:rsid w:val="00485009"/>
    <w:rsid w:val="00485012"/>
    <w:rsid w:val="004850FA"/>
    <w:rsid w:val="00485C12"/>
    <w:rsid w:val="00485D9B"/>
    <w:rsid w:val="00485FDF"/>
    <w:rsid w:val="004861EA"/>
    <w:rsid w:val="004865DD"/>
    <w:rsid w:val="004869D5"/>
    <w:rsid w:val="00487496"/>
    <w:rsid w:val="004875EF"/>
    <w:rsid w:val="00487893"/>
    <w:rsid w:val="004879E0"/>
    <w:rsid w:val="004906FA"/>
    <w:rsid w:val="00490701"/>
    <w:rsid w:val="00490E4D"/>
    <w:rsid w:val="00491239"/>
    <w:rsid w:val="00491994"/>
    <w:rsid w:val="00491D7E"/>
    <w:rsid w:val="00491F7E"/>
    <w:rsid w:val="004923E4"/>
    <w:rsid w:val="004925E0"/>
    <w:rsid w:val="004928D3"/>
    <w:rsid w:val="004935CB"/>
    <w:rsid w:val="00493AE7"/>
    <w:rsid w:val="00493CB3"/>
    <w:rsid w:val="004948C2"/>
    <w:rsid w:val="00494B74"/>
    <w:rsid w:val="00494D9A"/>
    <w:rsid w:val="00494FE5"/>
    <w:rsid w:val="00495382"/>
    <w:rsid w:val="00495430"/>
    <w:rsid w:val="004959E0"/>
    <w:rsid w:val="0049605E"/>
    <w:rsid w:val="004967D7"/>
    <w:rsid w:val="00496A49"/>
    <w:rsid w:val="00496FD4"/>
    <w:rsid w:val="00497423"/>
    <w:rsid w:val="004978B0"/>
    <w:rsid w:val="00497D61"/>
    <w:rsid w:val="00497E7C"/>
    <w:rsid w:val="00497FE1"/>
    <w:rsid w:val="004A07B1"/>
    <w:rsid w:val="004A0827"/>
    <w:rsid w:val="004A0D1B"/>
    <w:rsid w:val="004A1DFB"/>
    <w:rsid w:val="004A1FE3"/>
    <w:rsid w:val="004A2277"/>
    <w:rsid w:val="004A2397"/>
    <w:rsid w:val="004A2CE4"/>
    <w:rsid w:val="004A352E"/>
    <w:rsid w:val="004A4097"/>
    <w:rsid w:val="004A45EC"/>
    <w:rsid w:val="004A5308"/>
    <w:rsid w:val="004A55E8"/>
    <w:rsid w:val="004A5A3A"/>
    <w:rsid w:val="004A5D85"/>
    <w:rsid w:val="004A68E1"/>
    <w:rsid w:val="004A6D70"/>
    <w:rsid w:val="004A707D"/>
    <w:rsid w:val="004A73E3"/>
    <w:rsid w:val="004A77BB"/>
    <w:rsid w:val="004A7A4D"/>
    <w:rsid w:val="004A7A85"/>
    <w:rsid w:val="004A7AED"/>
    <w:rsid w:val="004B0346"/>
    <w:rsid w:val="004B04CE"/>
    <w:rsid w:val="004B06E2"/>
    <w:rsid w:val="004B074D"/>
    <w:rsid w:val="004B183E"/>
    <w:rsid w:val="004B1A39"/>
    <w:rsid w:val="004B1AB6"/>
    <w:rsid w:val="004B1DD3"/>
    <w:rsid w:val="004B29CE"/>
    <w:rsid w:val="004B2A33"/>
    <w:rsid w:val="004B2CA1"/>
    <w:rsid w:val="004B2F46"/>
    <w:rsid w:val="004B31A6"/>
    <w:rsid w:val="004B3284"/>
    <w:rsid w:val="004B4CD0"/>
    <w:rsid w:val="004B5242"/>
    <w:rsid w:val="004B537F"/>
    <w:rsid w:val="004B5695"/>
    <w:rsid w:val="004B58CE"/>
    <w:rsid w:val="004B5A06"/>
    <w:rsid w:val="004B6333"/>
    <w:rsid w:val="004B6865"/>
    <w:rsid w:val="004B73BC"/>
    <w:rsid w:val="004B7BD6"/>
    <w:rsid w:val="004C018A"/>
    <w:rsid w:val="004C051B"/>
    <w:rsid w:val="004C0829"/>
    <w:rsid w:val="004C1DB5"/>
    <w:rsid w:val="004C1E0A"/>
    <w:rsid w:val="004C276D"/>
    <w:rsid w:val="004C2822"/>
    <w:rsid w:val="004C319C"/>
    <w:rsid w:val="004C3620"/>
    <w:rsid w:val="004C3642"/>
    <w:rsid w:val="004C3885"/>
    <w:rsid w:val="004C3D97"/>
    <w:rsid w:val="004C3FD5"/>
    <w:rsid w:val="004C4624"/>
    <w:rsid w:val="004C462C"/>
    <w:rsid w:val="004C46B6"/>
    <w:rsid w:val="004C46C2"/>
    <w:rsid w:val="004C4864"/>
    <w:rsid w:val="004C4C32"/>
    <w:rsid w:val="004C5895"/>
    <w:rsid w:val="004C6B59"/>
    <w:rsid w:val="004C6B9B"/>
    <w:rsid w:val="004C7385"/>
    <w:rsid w:val="004C73EE"/>
    <w:rsid w:val="004C764F"/>
    <w:rsid w:val="004C7C0B"/>
    <w:rsid w:val="004C7E57"/>
    <w:rsid w:val="004D0510"/>
    <w:rsid w:val="004D068C"/>
    <w:rsid w:val="004D0E96"/>
    <w:rsid w:val="004D0F69"/>
    <w:rsid w:val="004D1684"/>
    <w:rsid w:val="004D1AD2"/>
    <w:rsid w:val="004D1CE0"/>
    <w:rsid w:val="004D2047"/>
    <w:rsid w:val="004D22D6"/>
    <w:rsid w:val="004D2B3F"/>
    <w:rsid w:val="004D2E18"/>
    <w:rsid w:val="004D3083"/>
    <w:rsid w:val="004D34F7"/>
    <w:rsid w:val="004D45E7"/>
    <w:rsid w:val="004D5FAA"/>
    <w:rsid w:val="004D5FF0"/>
    <w:rsid w:val="004D6261"/>
    <w:rsid w:val="004D630D"/>
    <w:rsid w:val="004D6481"/>
    <w:rsid w:val="004D6A38"/>
    <w:rsid w:val="004D6AFF"/>
    <w:rsid w:val="004D6ECC"/>
    <w:rsid w:val="004D722A"/>
    <w:rsid w:val="004D74C1"/>
    <w:rsid w:val="004E09B9"/>
    <w:rsid w:val="004E10B4"/>
    <w:rsid w:val="004E1180"/>
    <w:rsid w:val="004E15DA"/>
    <w:rsid w:val="004E1AE8"/>
    <w:rsid w:val="004E1CF5"/>
    <w:rsid w:val="004E254C"/>
    <w:rsid w:val="004E2709"/>
    <w:rsid w:val="004E28C3"/>
    <w:rsid w:val="004E2A6D"/>
    <w:rsid w:val="004E2B52"/>
    <w:rsid w:val="004E2C3B"/>
    <w:rsid w:val="004E2F50"/>
    <w:rsid w:val="004E30B2"/>
    <w:rsid w:val="004E30C1"/>
    <w:rsid w:val="004E3570"/>
    <w:rsid w:val="004E359C"/>
    <w:rsid w:val="004E38B1"/>
    <w:rsid w:val="004E497B"/>
    <w:rsid w:val="004E5390"/>
    <w:rsid w:val="004E5906"/>
    <w:rsid w:val="004E5FAF"/>
    <w:rsid w:val="004E611C"/>
    <w:rsid w:val="004E67FA"/>
    <w:rsid w:val="004E6D87"/>
    <w:rsid w:val="004E7306"/>
    <w:rsid w:val="004E7353"/>
    <w:rsid w:val="004E7814"/>
    <w:rsid w:val="004E7898"/>
    <w:rsid w:val="004E79F2"/>
    <w:rsid w:val="004E7A49"/>
    <w:rsid w:val="004E7C77"/>
    <w:rsid w:val="004E7DEC"/>
    <w:rsid w:val="004E7E3E"/>
    <w:rsid w:val="004F050E"/>
    <w:rsid w:val="004F05D8"/>
    <w:rsid w:val="004F0C31"/>
    <w:rsid w:val="004F1234"/>
    <w:rsid w:val="004F12D2"/>
    <w:rsid w:val="004F12FC"/>
    <w:rsid w:val="004F13D2"/>
    <w:rsid w:val="004F14AE"/>
    <w:rsid w:val="004F14FD"/>
    <w:rsid w:val="004F1B05"/>
    <w:rsid w:val="004F1EE0"/>
    <w:rsid w:val="004F2049"/>
    <w:rsid w:val="004F25E5"/>
    <w:rsid w:val="004F2898"/>
    <w:rsid w:val="004F298A"/>
    <w:rsid w:val="004F2A1D"/>
    <w:rsid w:val="004F2A37"/>
    <w:rsid w:val="004F2C01"/>
    <w:rsid w:val="004F4507"/>
    <w:rsid w:val="004F453C"/>
    <w:rsid w:val="004F4714"/>
    <w:rsid w:val="004F4D9C"/>
    <w:rsid w:val="004F5065"/>
    <w:rsid w:val="004F5593"/>
    <w:rsid w:val="004F5712"/>
    <w:rsid w:val="004F57C2"/>
    <w:rsid w:val="004F587A"/>
    <w:rsid w:val="004F5AB6"/>
    <w:rsid w:val="004F5C98"/>
    <w:rsid w:val="004F66D9"/>
    <w:rsid w:val="004F67BB"/>
    <w:rsid w:val="004F6C64"/>
    <w:rsid w:val="004F7055"/>
    <w:rsid w:val="004F71A6"/>
    <w:rsid w:val="004F72F8"/>
    <w:rsid w:val="004F749C"/>
    <w:rsid w:val="004F7716"/>
    <w:rsid w:val="004F7DD8"/>
    <w:rsid w:val="004F7F32"/>
    <w:rsid w:val="00500086"/>
    <w:rsid w:val="00500A07"/>
    <w:rsid w:val="0050128A"/>
    <w:rsid w:val="0050185C"/>
    <w:rsid w:val="00501CB7"/>
    <w:rsid w:val="00501D41"/>
    <w:rsid w:val="00502039"/>
    <w:rsid w:val="00502436"/>
    <w:rsid w:val="0050247D"/>
    <w:rsid w:val="0050265B"/>
    <w:rsid w:val="005027B4"/>
    <w:rsid w:val="00502AFD"/>
    <w:rsid w:val="00502CDC"/>
    <w:rsid w:val="005033C6"/>
    <w:rsid w:val="00503742"/>
    <w:rsid w:val="00503FCC"/>
    <w:rsid w:val="00504EED"/>
    <w:rsid w:val="00506177"/>
    <w:rsid w:val="0050683E"/>
    <w:rsid w:val="00507612"/>
    <w:rsid w:val="00507670"/>
    <w:rsid w:val="00507AB7"/>
    <w:rsid w:val="00507C60"/>
    <w:rsid w:val="005109F6"/>
    <w:rsid w:val="00510C61"/>
    <w:rsid w:val="005113B9"/>
    <w:rsid w:val="0051183F"/>
    <w:rsid w:val="00511E85"/>
    <w:rsid w:val="00512451"/>
    <w:rsid w:val="0051274F"/>
    <w:rsid w:val="00512F48"/>
    <w:rsid w:val="005131CE"/>
    <w:rsid w:val="00513574"/>
    <w:rsid w:val="0051430C"/>
    <w:rsid w:val="00514399"/>
    <w:rsid w:val="00514509"/>
    <w:rsid w:val="0051485F"/>
    <w:rsid w:val="00514ECB"/>
    <w:rsid w:val="0051524F"/>
    <w:rsid w:val="005152AC"/>
    <w:rsid w:val="00515A7B"/>
    <w:rsid w:val="00515C0B"/>
    <w:rsid w:val="005160D6"/>
    <w:rsid w:val="0051618A"/>
    <w:rsid w:val="005162B4"/>
    <w:rsid w:val="0051696E"/>
    <w:rsid w:val="00516AEA"/>
    <w:rsid w:val="005170D7"/>
    <w:rsid w:val="005176AA"/>
    <w:rsid w:val="005178ED"/>
    <w:rsid w:val="0051799F"/>
    <w:rsid w:val="005179FF"/>
    <w:rsid w:val="00517B65"/>
    <w:rsid w:val="00517C9B"/>
    <w:rsid w:val="00517D88"/>
    <w:rsid w:val="00520236"/>
    <w:rsid w:val="005202B8"/>
    <w:rsid w:val="005206C5"/>
    <w:rsid w:val="005208DF"/>
    <w:rsid w:val="00521BB5"/>
    <w:rsid w:val="005222CA"/>
    <w:rsid w:val="00522794"/>
    <w:rsid w:val="00522F6C"/>
    <w:rsid w:val="00523799"/>
    <w:rsid w:val="005238F7"/>
    <w:rsid w:val="00524DB5"/>
    <w:rsid w:val="00524E75"/>
    <w:rsid w:val="00524ECA"/>
    <w:rsid w:val="00524EEE"/>
    <w:rsid w:val="00524F2A"/>
    <w:rsid w:val="00525D40"/>
    <w:rsid w:val="00525D44"/>
    <w:rsid w:val="00525DEB"/>
    <w:rsid w:val="00526420"/>
    <w:rsid w:val="0052656E"/>
    <w:rsid w:val="00526B02"/>
    <w:rsid w:val="00527826"/>
    <w:rsid w:val="00527AE1"/>
    <w:rsid w:val="00527AFF"/>
    <w:rsid w:val="005304E7"/>
    <w:rsid w:val="00530671"/>
    <w:rsid w:val="00530CE2"/>
    <w:rsid w:val="00530EBC"/>
    <w:rsid w:val="00530EF6"/>
    <w:rsid w:val="005310E8"/>
    <w:rsid w:val="005310EB"/>
    <w:rsid w:val="0053175E"/>
    <w:rsid w:val="00531974"/>
    <w:rsid w:val="0053217D"/>
    <w:rsid w:val="00532958"/>
    <w:rsid w:val="00532BEA"/>
    <w:rsid w:val="005330FB"/>
    <w:rsid w:val="00533134"/>
    <w:rsid w:val="005334E8"/>
    <w:rsid w:val="0053357E"/>
    <w:rsid w:val="00533D02"/>
    <w:rsid w:val="005340A1"/>
    <w:rsid w:val="00534366"/>
    <w:rsid w:val="00534D8E"/>
    <w:rsid w:val="00535887"/>
    <w:rsid w:val="0053588E"/>
    <w:rsid w:val="00535AD7"/>
    <w:rsid w:val="00535D13"/>
    <w:rsid w:val="00535EBB"/>
    <w:rsid w:val="00536547"/>
    <w:rsid w:val="00536DC1"/>
    <w:rsid w:val="005370E6"/>
    <w:rsid w:val="005371F2"/>
    <w:rsid w:val="0053724B"/>
    <w:rsid w:val="00537530"/>
    <w:rsid w:val="00537B57"/>
    <w:rsid w:val="00537CD6"/>
    <w:rsid w:val="00537F37"/>
    <w:rsid w:val="005402EC"/>
    <w:rsid w:val="00540CBB"/>
    <w:rsid w:val="00540D4A"/>
    <w:rsid w:val="00540ED7"/>
    <w:rsid w:val="00541048"/>
    <w:rsid w:val="00541317"/>
    <w:rsid w:val="0054194A"/>
    <w:rsid w:val="00541AA1"/>
    <w:rsid w:val="00541AB2"/>
    <w:rsid w:val="00541DD3"/>
    <w:rsid w:val="005420FD"/>
    <w:rsid w:val="00542330"/>
    <w:rsid w:val="0054302D"/>
    <w:rsid w:val="00543155"/>
    <w:rsid w:val="00543C9A"/>
    <w:rsid w:val="00543D83"/>
    <w:rsid w:val="00544446"/>
    <w:rsid w:val="005444AC"/>
    <w:rsid w:val="00545117"/>
    <w:rsid w:val="005454E5"/>
    <w:rsid w:val="00545603"/>
    <w:rsid w:val="00545B7F"/>
    <w:rsid w:val="0054636D"/>
    <w:rsid w:val="005468AD"/>
    <w:rsid w:val="0054692F"/>
    <w:rsid w:val="00547482"/>
    <w:rsid w:val="0054765B"/>
    <w:rsid w:val="00547678"/>
    <w:rsid w:val="00547C57"/>
    <w:rsid w:val="005513C1"/>
    <w:rsid w:val="00551923"/>
    <w:rsid w:val="00552593"/>
    <w:rsid w:val="0055269E"/>
    <w:rsid w:val="005536A9"/>
    <w:rsid w:val="00553A33"/>
    <w:rsid w:val="005541A6"/>
    <w:rsid w:val="0055477A"/>
    <w:rsid w:val="00554E0B"/>
    <w:rsid w:val="00554F90"/>
    <w:rsid w:val="005551CE"/>
    <w:rsid w:val="00555220"/>
    <w:rsid w:val="00555533"/>
    <w:rsid w:val="005558D4"/>
    <w:rsid w:val="00555DF8"/>
    <w:rsid w:val="00555E5A"/>
    <w:rsid w:val="00556110"/>
    <w:rsid w:val="0055626C"/>
    <w:rsid w:val="00556340"/>
    <w:rsid w:val="005563B3"/>
    <w:rsid w:val="0055652F"/>
    <w:rsid w:val="005567A8"/>
    <w:rsid w:val="005567B9"/>
    <w:rsid w:val="0055768B"/>
    <w:rsid w:val="00557980"/>
    <w:rsid w:val="00557AAF"/>
    <w:rsid w:val="00557CAB"/>
    <w:rsid w:val="00557CAC"/>
    <w:rsid w:val="00557DC5"/>
    <w:rsid w:val="00557FFE"/>
    <w:rsid w:val="00560378"/>
    <w:rsid w:val="0056072B"/>
    <w:rsid w:val="005608EA"/>
    <w:rsid w:val="00560A3A"/>
    <w:rsid w:val="00560FF0"/>
    <w:rsid w:val="0056135D"/>
    <w:rsid w:val="005616FB"/>
    <w:rsid w:val="00562032"/>
    <w:rsid w:val="00562214"/>
    <w:rsid w:val="005624F5"/>
    <w:rsid w:val="005626A5"/>
    <w:rsid w:val="00562E7F"/>
    <w:rsid w:val="0056302C"/>
    <w:rsid w:val="0056341A"/>
    <w:rsid w:val="00563DC6"/>
    <w:rsid w:val="00563E10"/>
    <w:rsid w:val="00563F60"/>
    <w:rsid w:val="005640F3"/>
    <w:rsid w:val="00564237"/>
    <w:rsid w:val="00564287"/>
    <w:rsid w:val="00564504"/>
    <w:rsid w:val="0056494F"/>
    <w:rsid w:val="00564DF0"/>
    <w:rsid w:val="00564F0D"/>
    <w:rsid w:val="00564F54"/>
    <w:rsid w:val="00565538"/>
    <w:rsid w:val="00565702"/>
    <w:rsid w:val="00565896"/>
    <w:rsid w:val="00565AC3"/>
    <w:rsid w:val="00566700"/>
    <w:rsid w:val="00566767"/>
    <w:rsid w:val="0056688C"/>
    <w:rsid w:val="005668ED"/>
    <w:rsid w:val="00566C8E"/>
    <w:rsid w:val="00566F66"/>
    <w:rsid w:val="005670C6"/>
    <w:rsid w:val="00567392"/>
    <w:rsid w:val="005677AA"/>
    <w:rsid w:val="00567B4F"/>
    <w:rsid w:val="00567BFA"/>
    <w:rsid w:val="00567E63"/>
    <w:rsid w:val="00570456"/>
    <w:rsid w:val="00570BD4"/>
    <w:rsid w:val="00571020"/>
    <w:rsid w:val="0057123B"/>
    <w:rsid w:val="00572F60"/>
    <w:rsid w:val="005735D4"/>
    <w:rsid w:val="00573F47"/>
    <w:rsid w:val="0057488D"/>
    <w:rsid w:val="00574941"/>
    <w:rsid w:val="00574A8A"/>
    <w:rsid w:val="00574F72"/>
    <w:rsid w:val="00575573"/>
    <w:rsid w:val="005756AD"/>
    <w:rsid w:val="00575824"/>
    <w:rsid w:val="005759BD"/>
    <w:rsid w:val="00575B7C"/>
    <w:rsid w:val="00575ED1"/>
    <w:rsid w:val="00576B94"/>
    <w:rsid w:val="00577243"/>
    <w:rsid w:val="00577B30"/>
    <w:rsid w:val="00577FC5"/>
    <w:rsid w:val="005805B1"/>
    <w:rsid w:val="00580E1F"/>
    <w:rsid w:val="0058126B"/>
    <w:rsid w:val="0058142A"/>
    <w:rsid w:val="0058174A"/>
    <w:rsid w:val="005818AF"/>
    <w:rsid w:val="00581B39"/>
    <w:rsid w:val="00581C5B"/>
    <w:rsid w:val="00581CF1"/>
    <w:rsid w:val="0058202C"/>
    <w:rsid w:val="00582A01"/>
    <w:rsid w:val="00582A25"/>
    <w:rsid w:val="00582D01"/>
    <w:rsid w:val="00582DA1"/>
    <w:rsid w:val="00582E2C"/>
    <w:rsid w:val="0058352A"/>
    <w:rsid w:val="0058368C"/>
    <w:rsid w:val="0058378F"/>
    <w:rsid w:val="00583B58"/>
    <w:rsid w:val="005840B0"/>
    <w:rsid w:val="0058533B"/>
    <w:rsid w:val="005853DC"/>
    <w:rsid w:val="0058573E"/>
    <w:rsid w:val="00585892"/>
    <w:rsid w:val="00585DE1"/>
    <w:rsid w:val="00586183"/>
    <w:rsid w:val="00586780"/>
    <w:rsid w:val="00586B12"/>
    <w:rsid w:val="00586C73"/>
    <w:rsid w:val="00587602"/>
    <w:rsid w:val="005879B2"/>
    <w:rsid w:val="0059042D"/>
    <w:rsid w:val="005908DC"/>
    <w:rsid w:val="00590C2F"/>
    <w:rsid w:val="0059146B"/>
    <w:rsid w:val="00592652"/>
    <w:rsid w:val="00592AF3"/>
    <w:rsid w:val="00592B73"/>
    <w:rsid w:val="005930AB"/>
    <w:rsid w:val="00593AC1"/>
    <w:rsid w:val="00593F18"/>
    <w:rsid w:val="00594207"/>
    <w:rsid w:val="00594262"/>
    <w:rsid w:val="005942E1"/>
    <w:rsid w:val="00594339"/>
    <w:rsid w:val="0059465A"/>
    <w:rsid w:val="005948DA"/>
    <w:rsid w:val="00595101"/>
    <w:rsid w:val="005954BB"/>
    <w:rsid w:val="00595E35"/>
    <w:rsid w:val="00596A99"/>
    <w:rsid w:val="00596F82"/>
    <w:rsid w:val="00596F96"/>
    <w:rsid w:val="00596FCA"/>
    <w:rsid w:val="005976B7"/>
    <w:rsid w:val="00597903"/>
    <w:rsid w:val="005A0A0F"/>
    <w:rsid w:val="005A0E68"/>
    <w:rsid w:val="005A1369"/>
    <w:rsid w:val="005A196A"/>
    <w:rsid w:val="005A1AE3"/>
    <w:rsid w:val="005A2144"/>
    <w:rsid w:val="005A269C"/>
    <w:rsid w:val="005A271E"/>
    <w:rsid w:val="005A2A06"/>
    <w:rsid w:val="005A2B42"/>
    <w:rsid w:val="005A3A05"/>
    <w:rsid w:val="005A3CEF"/>
    <w:rsid w:val="005A4340"/>
    <w:rsid w:val="005A43DA"/>
    <w:rsid w:val="005A48FD"/>
    <w:rsid w:val="005A586D"/>
    <w:rsid w:val="005A6183"/>
    <w:rsid w:val="005A62D6"/>
    <w:rsid w:val="005A68FF"/>
    <w:rsid w:val="005A6D2A"/>
    <w:rsid w:val="005A7BD3"/>
    <w:rsid w:val="005B017D"/>
    <w:rsid w:val="005B0A48"/>
    <w:rsid w:val="005B0A55"/>
    <w:rsid w:val="005B0D09"/>
    <w:rsid w:val="005B0E69"/>
    <w:rsid w:val="005B12EA"/>
    <w:rsid w:val="005B1662"/>
    <w:rsid w:val="005B186D"/>
    <w:rsid w:val="005B1A25"/>
    <w:rsid w:val="005B1B52"/>
    <w:rsid w:val="005B1C57"/>
    <w:rsid w:val="005B1D50"/>
    <w:rsid w:val="005B1FBC"/>
    <w:rsid w:val="005B206D"/>
    <w:rsid w:val="005B268C"/>
    <w:rsid w:val="005B2B29"/>
    <w:rsid w:val="005B2CDE"/>
    <w:rsid w:val="005B2E91"/>
    <w:rsid w:val="005B3BA5"/>
    <w:rsid w:val="005B49AE"/>
    <w:rsid w:val="005B4F05"/>
    <w:rsid w:val="005B5108"/>
    <w:rsid w:val="005B564B"/>
    <w:rsid w:val="005B5CC3"/>
    <w:rsid w:val="005B5D92"/>
    <w:rsid w:val="005B6567"/>
    <w:rsid w:val="005B68C9"/>
    <w:rsid w:val="005B6A66"/>
    <w:rsid w:val="005B6AAF"/>
    <w:rsid w:val="005C02F8"/>
    <w:rsid w:val="005C0316"/>
    <w:rsid w:val="005C03EF"/>
    <w:rsid w:val="005C15CD"/>
    <w:rsid w:val="005C18CC"/>
    <w:rsid w:val="005C1F1D"/>
    <w:rsid w:val="005C3995"/>
    <w:rsid w:val="005C3BDC"/>
    <w:rsid w:val="005C3E5B"/>
    <w:rsid w:val="005C3F88"/>
    <w:rsid w:val="005C419D"/>
    <w:rsid w:val="005C4360"/>
    <w:rsid w:val="005C43EC"/>
    <w:rsid w:val="005C459F"/>
    <w:rsid w:val="005C4B24"/>
    <w:rsid w:val="005C4D76"/>
    <w:rsid w:val="005C5316"/>
    <w:rsid w:val="005C5382"/>
    <w:rsid w:val="005C5F8D"/>
    <w:rsid w:val="005C633E"/>
    <w:rsid w:val="005C64E8"/>
    <w:rsid w:val="005C6637"/>
    <w:rsid w:val="005C66D8"/>
    <w:rsid w:val="005C7DAC"/>
    <w:rsid w:val="005D0906"/>
    <w:rsid w:val="005D0A62"/>
    <w:rsid w:val="005D0BB2"/>
    <w:rsid w:val="005D0E60"/>
    <w:rsid w:val="005D1659"/>
    <w:rsid w:val="005D1709"/>
    <w:rsid w:val="005D1945"/>
    <w:rsid w:val="005D1CC6"/>
    <w:rsid w:val="005D28DD"/>
    <w:rsid w:val="005D2A85"/>
    <w:rsid w:val="005D3185"/>
    <w:rsid w:val="005D35A6"/>
    <w:rsid w:val="005D3975"/>
    <w:rsid w:val="005D3EF6"/>
    <w:rsid w:val="005D44A2"/>
    <w:rsid w:val="005D4561"/>
    <w:rsid w:val="005D4957"/>
    <w:rsid w:val="005D4D18"/>
    <w:rsid w:val="005D50E7"/>
    <w:rsid w:val="005D5149"/>
    <w:rsid w:val="005D58B7"/>
    <w:rsid w:val="005D5C47"/>
    <w:rsid w:val="005D5EDF"/>
    <w:rsid w:val="005D6DC0"/>
    <w:rsid w:val="005D72C9"/>
    <w:rsid w:val="005D73BD"/>
    <w:rsid w:val="005D7FF5"/>
    <w:rsid w:val="005E0047"/>
    <w:rsid w:val="005E0737"/>
    <w:rsid w:val="005E0811"/>
    <w:rsid w:val="005E09F1"/>
    <w:rsid w:val="005E0C84"/>
    <w:rsid w:val="005E1B51"/>
    <w:rsid w:val="005E1E10"/>
    <w:rsid w:val="005E1F46"/>
    <w:rsid w:val="005E2B48"/>
    <w:rsid w:val="005E3352"/>
    <w:rsid w:val="005E3502"/>
    <w:rsid w:val="005E3754"/>
    <w:rsid w:val="005E38CD"/>
    <w:rsid w:val="005E409C"/>
    <w:rsid w:val="005E42B5"/>
    <w:rsid w:val="005E45A7"/>
    <w:rsid w:val="005E4E72"/>
    <w:rsid w:val="005E51D9"/>
    <w:rsid w:val="005E5266"/>
    <w:rsid w:val="005E5283"/>
    <w:rsid w:val="005E5308"/>
    <w:rsid w:val="005E5883"/>
    <w:rsid w:val="005E64C9"/>
    <w:rsid w:val="005E681F"/>
    <w:rsid w:val="005E69E5"/>
    <w:rsid w:val="005E6AB8"/>
    <w:rsid w:val="005E6B72"/>
    <w:rsid w:val="005E6F03"/>
    <w:rsid w:val="005E7489"/>
    <w:rsid w:val="005E750C"/>
    <w:rsid w:val="005E752A"/>
    <w:rsid w:val="005E7895"/>
    <w:rsid w:val="005F0043"/>
    <w:rsid w:val="005F0664"/>
    <w:rsid w:val="005F0B5E"/>
    <w:rsid w:val="005F0FB4"/>
    <w:rsid w:val="005F1164"/>
    <w:rsid w:val="005F1216"/>
    <w:rsid w:val="005F160F"/>
    <w:rsid w:val="005F1A02"/>
    <w:rsid w:val="005F21C7"/>
    <w:rsid w:val="005F2972"/>
    <w:rsid w:val="005F2CCA"/>
    <w:rsid w:val="005F3030"/>
    <w:rsid w:val="005F3318"/>
    <w:rsid w:val="005F332A"/>
    <w:rsid w:val="005F3B99"/>
    <w:rsid w:val="005F3CC0"/>
    <w:rsid w:val="005F4AC4"/>
    <w:rsid w:val="005F4E1A"/>
    <w:rsid w:val="005F69D4"/>
    <w:rsid w:val="005F6C6D"/>
    <w:rsid w:val="005F7737"/>
    <w:rsid w:val="005F7D9F"/>
    <w:rsid w:val="00600907"/>
    <w:rsid w:val="00601E9E"/>
    <w:rsid w:val="006023B4"/>
    <w:rsid w:val="00602C49"/>
    <w:rsid w:val="006035B3"/>
    <w:rsid w:val="006039C8"/>
    <w:rsid w:val="00603CAC"/>
    <w:rsid w:val="00604185"/>
    <w:rsid w:val="006044D6"/>
    <w:rsid w:val="00604742"/>
    <w:rsid w:val="00604AB5"/>
    <w:rsid w:val="00604B02"/>
    <w:rsid w:val="00604CD8"/>
    <w:rsid w:val="00604E3E"/>
    <w:rsid w:val="00605012"/>
    <w:rsid w:val="0060501B"/>
    <w:rsid w:val="0060519C"/>
    <w:rsid w:val="006055B9"/>
    <w:rsid w:val="006056F1"/>
    <w:rsid w:val="00605D7A"/>
    <w:rsid w:val="00605DB8"/>
    <w:rsid w:val="00606D38"/>
    <w:rsid w:val="006073DF"/>
    <w:rsid w:val="00610122"/>
    <w:rsid w:val="006104E6"/>
    <w:rsid w:val="0061067A"/>
    <w:rsid w:val="0061091A"/>
    <w:rsid w:val="00610FA0"/>
    <w:rsid w:val="0061164D"/>
    <w:rsid w:val="00611E8A"/>
    <w:rsid w:val="00611FAE"/>
    <w:rsid w:val="006123F9"/>
    <w:rsid w:val="0061258D"/>
    <w:rsid w:val="0061284A"/>
    <w:rsid w:val="00612D52"/>
    <w:rsid w:val="006130D3"/>
    <w:rsid w:val="0061321C"/>
    <w:rsid w:val="00613C24"/>
    <w:rsid w:val="00614006"/>
    <w:rsid w:val="0061413A"/>
    <w:rsid w:val="0061467A"/>
    <w:rsid w:val="00614BB6"/>
    <w:rsid w:val="00616165"/>
    <w:rsid w:val="00616568"/>
    <w:rsid w:val="00616660"/>
    <w:rsid w:val="0061688D"/>
    <w:rsid w:val="00617238"/>
    <w:rsid w:val="00617243"/>
    <w:rsid w:val="006178F2"/>
    <w:rsid w:val="00617BF6"/>
    <w:rsid w:val="00617DC8"/>
    <w:rsid w:val="006201EB"/>
    <w:rsid w:val="00620D13"/>
    <w:rsid w:val="00620F3A"/>
    <w:rsid w:val="00621460"/>
    <w:rsid w:val="0062172A"/>
    <w:rsid w:val="006218F9"/>
    <w:rsid w:val="00621D8D"/>
    <w:rsid w:val="00622976"/>
    <w:rsid w:val="00623629"/>
    <w:rsid w:val="006237D0"/>
    <w:rsid w:val="006238E8"/>
    <w:rsid w:val="00623A7D"/>
    <w:rsid w:val="00624014"/>
    <w:rsid w:val="006241F1"/>
    <w:rsid w:val="00624310"/>
    <w:rsid w:val="0062436E"/>
    <w:rsid w:val="006248D0"/>
    <w:rsid w:val="00624934"/>
    <w:rsid w:val="006252E1"/>
    <w:rsid w:val="00625369"/>
    <w:rsid w:val="006257BC"/>
    <w:rsid w:val="006257D1"/>
    <w:rsid w:val="00625AD3"/>
    <w:rsid w:val="00626C18"/>
    <w:rsid w:val="006270A6"/>
    <w:rsid w:val="00627203"/>
    <w:rsid w:val="006273BB"/>
    <w:rsid w:val="00631593"/>
    <w:rsid w:val="006325F5"/>
    <w:rsid w:val="00632635"/>
    <w:rsid w:val="006326FB"/>
    <w:rsid w:val="00632917"/>
    <w:rsid w:val="00632BB6"/>
    <w:rsid w:val="00632F98"/>
    <w:rsid w:val="0063323F"/>
    <w:rsid w:val="006336DE"/>
    <w:rsid w:val="00633866"/>
    <w:rsid w:val="00633BF2"/>
    <w:rsid w:val="00634105"/>
    <w:rsid w:val="00634643"/>
    <w:rsid w:val="00634BA6"/>
    <w:rsid w:val="006355ED"/>
    <w:rsid w:val="00635A33"/>
    <w:rsid w:val="00636653"/>
    <w:rsid w:val="0063665F"/>
    <w:rsid w:val="00636671"/>
    <w:rsid w:val="0063693E"/>
    <w:rsid w:val="00636A2C"/>
    <w:rsid w:val="00636C22"/>
    <w:rsid w:val="00636D6F"/>
    <w:rsid w:val="0063772D"/>
    <w:rsid w:val="006377EE"/>
    <w:rsid w:val="00637EA0"/>
    <w:rsid w:val="006406A7"/>
    <w:rsid w:val="00640F2E"/>
    <w:rsid w:val="006410DA"/>
    <w:rsid w:val="00641814"/>
    <w:rsid w:val="00641978"/>
    <w:rsid w:val="00641B38"/>
    <w:rsid w:val="00641C9A"/>
    <w:rsid w:val="006422AD"/>
    <w:rsid w:val="0064321C"/>
    <w:rsid w:val="006439A4"/>
    <w:rsid w:val="006439E8"/>
    <w:rsid w:val="006442CB"/>
    <w:rsid w:val="00644A11"/>
    <w:rsid w:val="00645230"/>
    <w:rsid w:val="006457AE"/>
    <w:rsid w:val="00645859"/>
    <w:rsid w:val="00646191"/>
    <w:rsid w:val="00646A40"/>
    <w:rsid w:val="00646CAC"/>
    <w:rsid w:val="00646EE6"/>
    <w:rsid w:val="00647311"/>
    <w:rsid w:val="006473F0"/>
    <w:rsid w:val="00650149"/>
    <w:rsid w:val="0065054E"/>
    <w:rsid w:val="00650F3F"/>
    <w:rsid w:val="00651348"/>
    <w:rsid w:val="006516A5"/>
    <w:rsid w:val="00651920"/>
    <w:rsid w:val="00651A75"/>
    <w:rsid w:val="00651DA4"/>
    <w:rsid w:val="00652215"/>
    <w:rsid w:val="00652734"/>
    <w:rsid w:val="00652A48"/>
    <w:rsid w:val="00652B9F"/>
    <w:rsid w:val="00652EA5"/>
    <w:rsid w:val="006535C5"/>
    <w:rsid w:val="0065363C"/>
    <w:rsid w:val="00653CF1"/>
    <w:rsid w:val="00654A1F"/>
    <w:rsid w:val="00655AF3"/>
    <w:rsid w:val="00655B1B"/>
    <w:rsid w:val="00655F25"/>
    <w:rsid w:val="0065629D"/>
    <w:rsid w:val="00656696"/>
    <w:rsid w:val="006567FE"/>
    <w:rsid w:val="0065702A"/>
    <w:rsid w:val="00657318"/>
    <w:rsid w:val="00657B4E"/>
    <w:rsid w:val="00657B89"/>
    <w:rsid w:val="006601E8"/>
    <w:rsid w:val="0066021A"/>
    <w:rsid w:val="0066036F"/>
    <w:rsid w:val="006608E2"/>
    <w:rsid w:val="00660B41"/>
    <w:rsid w:val="00660DEA"/>
    <w:rsid w:val="006613A1"/>
    <w:rsid w:val="00661DCB"/>
    <w:rsid w:val="00662094"/>
    <w:rsid w:val="00662ABA"/>
    <w:rsid w:val="0066313F"/>
    <w:rsid w:val="006631FE"/>
    <w:rsid w:val="0066345D"/>
    <w:rsid w:val="00663C06"/>
    <w:rsid w:val="00664295"/>
    <w:rsid w:val="00664F38"/>
    <w:rsid w:val="006650BE"/>
    <w:rsid w:val="00665249"/>
    <w:rsid w:val="0066568B"/>
    <w:rsid w:val="006656D9"/>
    <w:rsid w:val="006659FC"/>
    <w:rsid w:val="00665AF7"/>
    <w:rsid w:val="00665E40"/>
    <w:rsid w:val="00666C91"/>
    <w:rsid w:val="00666FE3"/>
    <w:rsid w:val="00667E46"/>
    <w:rsid w:val="00667EF5"/>
    <w:rsid w:val="006704DA"/>
    <w:rsid w:val="00670F8D"/>
    <w:rsid w:val="006711A8"/>
    <w:rsid w:val="0067131C"/>
    <w:rsid w:val="00671DA2"/>
    <w:rsid w:val="00671DAD"/>
    <w:rsid w:val="00671EE8"/>
    <w:rsid w:val="00672ABD"/>
    <w:rsid w:val="0067331B"/>
    <w:rsid w:val="00673327"/>
    <w:rsid w:val="006741A6"/>
    <w:rsid w:val="00674697"/>
    <w:rsid w:val="00674F1F"/>
    <w:rsid w:val="00674F5A"/>
    <w:rsid w:val="00675198"/>
    <w:rsid w:val="0067530B"/>
    <w:rsid w:val="006755C7"/>
    <w:rsid w:val="00675F63"/>
    <w:rsid w:val="00676A4A"/>
    <w:rsid w:val="00676C42"/>
    <w:rsid w:val="00676DDD"/>
    <w:rsid w:val="00676F71"/>
    <w:rsid w:val="00677106"/>
    <w:rsid w:val="0067785D"/>
    <w:rsid w:val="00677FC2"/>
    <w:rsid w:val="0068026D"/>
    <w:rsid w:val="00680905"/>
    <w:rsid w:val="00681148"/>
    <w:rsid w:val="00681324"/>
    <w:rsid w:val="006817BA"/>
    <w:rsid w:val="00681A0F"/>
    <w:rsid w:val="00681B4C"/>
    <w:rsid w:val="0068259E"/>
    <w:rsid w:val="006828D7"/>
    <w:rsid w:val="00683017"/>
    <w:rsid w:val="006837C7"/>
    <w:rsid w:val="00683B89"/>
    <w:rsid w:val="006842A2"/>
    <w:rsid w:val="0068456C"/>
    <w:rsid w:val="006845D5"/>
    <w:rsid w:val="00684957"/>
    <w:rsid w:val="00684F99"/>
    <w:rsid w:val="00685230"/>
    <w:rsid w:val="00685895"/>
    <w:rsid w:val="00685E9E"/>
    <w:rsid w:val="00686527"/>
    <w:rsid w:val="006866FA"/>
    <w:rsid w:val="00686F5B"/>
    <w:rsid w:val="006876BA"/>
    <w:rsid w:val="00687CA3"/>
    <w:rsid w:val="00691472"/>
    <w:rsid w:val="00691B48"/>
    <w:rsid w:val="00692952"/>
    <w:rsid w:val="00692BC3"/>
    <w:rsid w:val="00692CD0"/>
    <w:rsid w:val="00693029"/>
    <w:rsid w:val="00693081"/>
    <w:rsid w:val="006931C1"/>
    <w:rsid w:val="006933B7"/>
    <w:rsid w:val="00693BF0"/>
    <w:rsid w:val="00693EA6"/>
    <w:rsid w:val="00694342"/>
    <w:rsid w:val="00695F55"/>
    <w:rsid w:val="00696196"/>
    <w:rsid w:val="0069678D"/>
    <w:rsid w:val="00696BB6"/>
    <w:rsid w:val="00696D51"/>
    <w:rsid w:val="00696D8E"/>
    <w:rsid w:val="00697801"/>
    <w:rsid w:val="006A0033"/>
    <w:rsid w:val="006A0B79"/>
    <w:rsid w:val="006A0FED"/>
    <w:rsid w:val="006A17A5"/>
    <w:rsid w:val="006A183C"/>
    <w:rsid w:val="006A19B4"/>
    <w:rsid w:val="006A1EFF"/>
    <w:rsid w:val="006A220A"/>
    <w:rsid w:val="006A2479"/>
    <w:rsid w:val="006A2DE4"/>
    <w:rsid w:val="006A2F22"/>
    <w:rsid w:val="006A327C"/>
    <w:rsid w:val="006A39CC"/>
    <w:rsid w:val="006A3F00"/>
    <w:rsid w:val="006A4122"/>
    <w:rsid w:val="006A41E2"/>
    <w:rsid w:val="006A4497"/>
    <w:rsid w:val="006A44E6"/>
    <w:rsid w:val="006A457C"/>
    <w:rsid w:val="006A45C2"/>
    <w:rsid w:val="006A4EA6"/>
    <w:rsid w:val="006A4F2A"/>
    <w:rsid w:val="006A50B5"/>
    <w:rsid w:val="006A5570"/>
    <w:rsid w:val="006A59D3"/>
    <w:rsid w:val="006A5C05"/>
    <w:rsid w:val="006A5C34"/>
    <w:rsid w:val="006A5FB4"/>
    <w:rsid w:val="006A672D"/>
    <w:rsid w:val="006A6B53"/>
    <w:rsid w:val="006A6C1E"/>
    <w:rsid w:val="006A70B1"/>
    <w:rsid w:val="006A712F"/>
    <w:rsid w:val="006A76D4"/>
    <w:rsid w:val="006A7955"/>
    <w:rsid w:val="006A7CE5"/>
    <w:rsid w:val="006B0093"/>
    <w:rsid w:val="006B0455"/>
    <w:rsid w:val="006B068C"/>
    <w:rsid w:val="006B07E0"/>
    <w:rsid w:val="006B07F6"/>
    <w:rsid w:val="006B0CCA"/>
    <w:rsid w:val="006B15CC"/>
    <w:rsid w:val="006B1C44"/>
    <w:rsid w:val="006B1EC9"/>
    <w:rsid w:val="006B2C29"/>
    <w:rsid w:val="006B35B5"/>
    <w:rsid w:val="006B3601"/>
    <w:rsid w:val="006B399E"/>
    <w:rsid w:val="006B4007"/>
    <w:rsid w:val="006B4306"/>
    <w:rsid w:val="006B4547"/>
    <w:rsid w:val="006B4943"/>
    <w:rsid w:val="006B4FCE"/>
    <w:rsid w:val="006B51A5"/>
    <w:rsid w:val="006B5872"/>
    <w:rsid w:val="006B5E40"/>
    <w:rsid w:val="006B6F66"/>
    <w:rsid w:val="006B726F"/>
    <w:rsid w:val="006B741A"/>
    <w:rsid w:val="006C02CF"/>
    <w:rsid w:val="006C0368"/>
    <w:rsid w:val="006C0D7C"/>
    <w:rsid w:val="006C1168"/>
    <w:rsid w:val="006C1193"/>
    <w:rsid w:val="006C17B9"/>
    <w:rsid w:val="006C29A9"/>
    <w:rsid w:val="006C3732"/>
    <w:rsid w:val="006C3A5F"/>
    <w:rsid w:val="006C3CFE"/>
    <w:rsid w:val="006C486A"/>
    <w:rsid w:val="006C49E2"/>
    <w:rsid w:val="006C4CD0"/>
    <w:rsid w:val="006C4EE8"/>
    <w:rsid w:val="006C54F4"/>
    <w:rsid w:val="006C55FF"/>
    <w:rsid w:val="006C56DB"/>
    <w:rsid w:val="006C5D5D"/>
    <w:rsid w:val="006C5DF5"/>
    <w:rsid w:val="006C6257"/>
    <w:rsid w:val="006C67A5"/>
    <w:rsid w:val="006C67CF"/>
    <w:rsid w:val="006C6F8B"/>
    <w:rsid w:val="006C7847"/>
    <w:rsid w:val="006C7A6F"/>
    <w:rsid w:val="006C7B88"/>
    <w:rsid w:val="006C7B93"/>
    <w:rsid w:val="006C7CFA"/>
    <w:rsid w:val="006C7F54"/>
    <w:rsid w:val="006D07F1"/>
    <w:rsid w:val="006D0A0B"/>
    <w:rsid w:val="006D13AE"/>
    <w:rsid w:val="006D1A6B"/>
    <w:rsid w:val="006D2918"/>
    <w:rsid w:val="006D2D00"/>
    <w:rsid w:val="006D37EA"/>
    <w:rsid w:val="006D4216"/>
    <w:rsid w:val="006D426E"/>
    <w:rsid w:val="006D455F"/>
    <w:rsid w:val="006D49D6"/>
    <w:rsid w:val="006D4B70"/>
    <w:rsid w:val="006D4CEE"/>
    <w:rsid w:val="006D4E69"/>
    <w:rsid w:val="006D4F24"/>
    <w:rsid w:val="006D50C5"/>
    <w:rsid w:val="006D54AB"/>
    <w:rsid w:val="006D5543"/>
    <w:rsid w:val="006D5977"/>
    <w:rsid w:val="006D5A74"/>
    <w:rsid w:val="006D5B47"/>
    <w:rsid w:val="006D5D8F"/>
    <w:rsid w:val="006D68AE"/>
    <w:rsid w:val="006D6D3F"/>
    <w:rsid w:val="006E0607"/>
    <w:rsid w:val="006E0C19"/>
    <w:rsid w:val="006E22C1"/>
    <w:rsid w:val="006E2372"/>
    <w:rsid w:val="006E2D55"/>
    <w:rsid w:val="006E2E35"/>
    <w:rsid w:val="006E31DD"/>
    <w:rsid w:val="006E3C8A"/>
    <w:rsid w:val="006E3D5E"/>
    <w:rsid w:val="006E4231"/>
    <w:rsid w:val="006E42B5"/>
    <w:rsid w:val="006E4D87"/>
    <w:rsid w:val="006E521F"/>
    <w:rsid w:val="006E5EFC"/>
    <w:rsid w:val="006E6065"/>
    <w:rsid w:val="006E61FE"/>
    <w:rsid w:val="006E636D"/>
    <w:rsid w:val="006E6512"/>
    <w:rsid w:val="006E66DA"/>
    <w:rsid w:val="006E6851"/>
    <w:rsid w:val="006E6F80"/>
    <w:rsid w:val="006E6FD9"/>
    <w:rsid w:val="006E7070"/>
    <w:rsid w:val="006E7689"/>
    <w:rsid w:val="006E774F"/>
    <w:rsid w:val="006E79D9"/>
    <w:rsid w:val="006E7A01"/>
    <w:rsid w:val="006E7CC9"/>
    <w:rsid w:val="006E7E51"/>
    <w:rsid w:val="006F00EF"/>
    <w:rsid w:val="006F04BA"/>
    <w:rsid w:val="006F076D"/>
    <w:rsid w:val="006F0809"/>
    <w:rsid w:val="006F0C4C"/>
    <w:rsid w:val="006F0D78"/>
    <w:rsid w:val="006F1568"/>
    <w:rsid w:val="006F15CD"/>
    <w:rsid w:val="006F1A3A"/>
    <w:rsid w:val="006F264A"/>
    <w:rsid w:val="006F270A"/>
    <w:rsid w:val="006F2D8E"/>
    <w:rsid w:val="006F39D2"/>
    <w:rsid w:val="006F42C2"/>
    <w:rsid w:val="006F4371"/>
    <w:rsid w:val="006F46FA"/>
    <w:rsid w:val="006F4E4A"/>
    <w:rsid w:val="006F503C"/>
    <w:rsid w:val="006F504F"/>
    <w:rsid w:val="006F53FE"/>
    <w:rsid w:val="006F558A"/>
    <w:rsid w:val="006F5951"/>
    <w:rsid w:val="006F6B98"/>
    <w:rsid w:val="006F759D"/>
    <w:rsid w:val="006F7CB8"/>
    <w:rsid w:val="006F7D3A"/>
    <w:rsid w:val="0070022A"/>
    <w:rsid w:val="00700369"/>
    <w:rsid w:val="0070094B"/>
    <w:rsid w:val="00700AB2"/>
    <w:rsid w:val="00700B7C"/>
    <w:rsid w:val="007011E8"/>
    <w:rsid w:val="0070123A"/>
    <w:rsid w:val="00701DD3"/>
    <w:rsid w:val="00702138"/>
    <w:rsid w:val="00702A1E"/>
    <w:rsid w:val="007031F6"/>
    <w:rsid w:val="00703820"/>
    <w:rsid w:val="00703EA3"/>
    <w:rsid w:val="007048EE"/>
    <w:rsid w:val="0070508E"/>
    <w:rsid w:val="00705593"/>
    <w:rsid w:val="007057D7"/>
    <w:rsid w:val="00705AF3"/>
    <w:rsid w:val="00705F4E"/>
    <w:rsid w:val="0070605C"/>
    <w:rsid w:val="007066F4"/>
    <w:rsid w:val="00706708"/>
    <w:rsid w:val="00706D05"/>
    <w:rsid w:val="0070794C"/>
    <w:rsid w:val="007103AC"/>
    <w:rsid w:val="007104E2"/>
    <w:rsid w:val="007107DF"/>
    <w:rsid w:val="00710E47"/>
    <w:rsid w:val="00711409"/>
    <w:rsid w:val="0071164A"/>
    <w:rsid w:val="00711A6D"/>
    <w:rsid w:val="00711FE9"/>
    <w:rsid w:val="0071248B"/>
    <w:rsid w:val="00712F96"/>
    <w:rsid w:val="0071328A"/>
    <w:rsid w:val="007135D4"/>
    <w:rsid w:val="00713650"/>
    <w:rsid w:val="007137BF"/>
    <w:rsid w:val="007138D2"/>
    <w:rsid w:val="00713957"/>
    <w:rsid w:val="0071408F"/>
    <w:rsid w:val="00714BE3"/>
    <w:rsid w:val="00714E2B"/>
    <w:rsid w:val="00715020"/>
    <w:rsid w:val="00715034"/>
    <w:rsid w:val="00715CF8"/>
    <w:rsid w:val="007163BC"/>
    <w:rsid w:val="0071679C"/>
    <w:rsid w:val="00716AF5"/>
    <w:rsid w:val="00717CD6"/>
    <w:rsid w:val="00717DAF"/>
    <w:rsid w:val="00717EB8"/>
    <w:rsid w:val="00717F16"/>
    <w:rsid w:val="007200E2"/>
    <w:rsid w:val="00720159"/>
    <w:rsid w:val="007204B2"/>
    <w:rsid w:val="0072094D"/>
    <w:rsid w:val="00720BBD"/>
    <w:rsid w:val="00720E58"/>
    <w:rsid w:val="007215CF"/>
    <w:rsid w:val="00721E55"/>
    <w:rsid w:val="00721F5A"/>
    <w:rsid w:val="00721F81"/>
    <w:rsid w:val="007220DC"/>
    <w:rsid w:val="007229EE"/>
    <w:rsid w:val="007238B9"/>
    <w:rsid w:val="0072396C"/>
    <w:rsid w:val="00724902"/>
    <w:rsid w:val="0072577B"/>
    <w:rsid w:val="007260E4"/>
    <w:rsid w:val="0072624E"/>
    <w:rsid w:val="00726404"/>
    <w:rsid w:val="007264BB"/>
    <w:rsid w:val="007267E8"/>
    <w:rsid w:val="00726828"/>
    <w:rsid w:val="00726EA9"/>
    <w:rsid w:val="00727218"/>
    <w:rsid w:val="00727757"/>
    <w:rsid w:val="007278FE"/>
    <w:rsid w:val="00730098"/>
    <w:rsid w:val="00730365"/>
    <w:rsid w:val="00730581"/>
    <w:rsid w:val="007309CA"/>
    <w:rsid w:val="00730A4F"/>
    <w:rsid w:val="00730B0C"/>
    <w:rsid w:val="00730FC3"/>
    <w:rsid w:val="00731206"/>
    <w:rsid w:val="007320C3"/>
    <w:rsid w:val="00732628"/>
    <w:rsid w:val="00732D8E"/>
    <w:rsid w:val="00733B2B"/>
    <w:rsid w:val="00734A3F"/>
    <w:rsid w:val="00734CDB"/>
    <w:rsid w:val="00735773"/>
    <w:rsid w:val="00735CB9"/>
    <w:rsid w:val="00735EDC"/>
    <w:rsid w:val="007361C2"/>
    <w:rsid w:val="007367CB"/>
    <w:rsid w:val="00736B49"/>
    <w:rsid w:val="00737015"/>
    <w:rsid w:val="0073735E"/>
    <w:rsid w:val="007373C5"/>
    <w:rsid w:val="007376B4"/>
    <w:rsid w:val="00737975"/>
    <w:rsid w:val="00737B9F"/>
    <w:rsid w:val="00737C3E"/>
    <w:rsid w:val="00737DBE"/>
    <w:rsid w:val="00740128"/>
    <w:rsid w:val="00740866"/>
    <w:rsid w:val="00740F83"/>
    <w:rsid w:val="0074166C"/>
    <w:rsid w:val="00741B5A"/>
    <w:rsid w:val="00742295"/>
    <w:rsid w:val="007423DC"/>
    <w:rsid w:val="0074264C"/>
    <w:rsid w:val="00742846"/>
    <w:rsid w:val="00742E1E"/>
    <w:rsid w:val="00742EA7"/>
    <w:rsid w:val="00742FCC"/>
    <w:rsid w:val="00743729"/>
    <w:rsid w:val="00743B65"/>
    <w:rsid w:val="00744277"/>
    <w:rsid w:val="007449D8"/>
    <w:rsid w:val="00744F23"/>
    <w:rsid w:val="0074539A"/>
    <w:rsid w:val="007454B2"/>
    <w:rsid w:val="0074562F"/>
    <w:rsid w:val="00745C2B"/>
    <w:rsid w:val="00745E90"/>
    <w:rsid w:val="00746001"/>
    <w:rsid w:val="00746546"/>
    <w:rsid w:val="00746584"/>
    <w:rsid w:val="00746A52"/>
    <w:rsid w:val="00746DCE"/>
    <w:rsid w:val="007470B2"/>
    <w:rsid w:val="00747223"/>
    <w:rsid w:val="00747B94"/>
    <w:rsid w:val="00747BE9"/>
    <w:rsid w:val="00747E7F"/>
    <w:rsid w:val="007503D1"/>
    <w:rsid w:val="00750AA6"/>
    <w:rsid w:val="00750C1E"/>
    <w:rsid w:val="0075116D"/>
    <w:rsid w:val="007512C4"/>
    <w:rsid w:val="00751629"/>
    <w:rsid w:val="007518D4"/>
    <w:rsid w:val="007518F6"/>
    <w:rsid w:val="007519E5"/>
    <w:rsid w:val="00751B8E"/>
    <w:rsid w:val="007521DD"/>
    <w:rsid w:val="0075224C"/>
    <w:rsid w:val="00752330"/>
    <w:rsid w:val="0075292B"/>
    <w:rsid w:val="00752961"/>
    <w:rsid w:val="00752E8E"/>
    <w:rsid w:val="00753167"/>
    <w:rsid w:val="00753552"/>
    <w:rsid w:val="00753799"/>
    <w:rsid w:val="00753DE8"/>
    <w:rsid w:val="00754B60"/>
    <w:rsid w:val="00754BB2"/>
    <w:rsid w:val="00755471"/>
    <w:rsid w:val="0075554A"/>
    <w:rsid w:val="0075720A"/>
    <w:rsid w:val="00757335"/>
    <w:rsid w:val="00757C47"/>
    <w:rsid w:val="0076061E"/>
    <w:rsid w:val="007607F2"/>
    <w:rsid w:val="007611C7"/>
    <w:rsid w:val="00761C5B"/>
    <w:rsid w:val="00761ED8"/>
    <w:rsid w:val="0076270A"/>
    <w:rsid w:val="00763085"/>
    <w:rsid w:val="0076359F"/>
    <w:rsid w:val="00763A82"/>
    <w:rsid w:val="00763EE1"/>
    <w:rsid w:val="00763F7A"/>
    <w:rsid w:val="00763FFC"/>
    <w:rsid w:val="00764377"/>
    <w:rsid w:val="007644A3"/>
    <w:rsid w:val="007647F0"/>
    <w:rsid w:val="00764870"/>
    <w:rsid w:val="00765154"/>
    <w:rsid w:val="00765A19"/>
    <w:rsid w:val="00765AF2"/>
    <w:rsid w:val="00765BF7"/>
    <w:rsid w:val="0076624C"/>
    <w:rsid w:val="00766314"/>
    <w:rsid w:val="007663B7"/>
    <w:rsid w:val="00766743"/>
    <w:rsid w:val="00766EFF"/>
    <w:rsid w:val="00767797"/>
    <w:rsid w:val="00767A4B"/>
    <w:rsid w:val="0077089A"/>
    <w:rsid w:val="00770C25"/>
    <w:rsid w:val="00770D41"/>
    <w:rsid w:val="007711EF"/>
    <w:rsid w:val="00771499"/>
    <w:rsid w:val="007717A4"/>
    <w:rsid w:val="00772620"/>
    <w:rsid w:val="0077333F"/>
    <w:rsid w:val="007734DE"/>
    <w:rsid w:val="007737FB"/>
    <w:rsid w:val="00773854"/>
    <w:rsid w:val="007741C4"/>
    <w:rsid w:val="007744D2"/>
    <w:rsid w:val="0077496D"/>
    <w:rsid w:val="00774B51"/>
    <w:rsid w:val="00774DF3"/>
    <w:rsid w:val="00775549"/>
    <w:rsid w:val="00775A74"/>
    <w:rsid w:val="00775CA6"/>
    <w:rsid w:val="00775CB7"/>
    <w:rsid w:val="00776990"/>
    <w:rsid w:val="00777088"/>
    <w:rsid w:val="007771B0"/>
    <w:rsid w:val="0077737C"/>
    <w:rsid w:val="00777807"/>
    <w:rsid w:val="007801E3"/>
    <w:rsid w:val="0078084F"/>
    <w:rsid w:val="007814A2"/>
    <w:rsid w:val="00782131"/>
    <w:rsid w:val="00782A48"/>
    <w:rsid w:val="00782C1C"/>
    <w:rsid w:val="00782C40"/>
    <w:rsid w:val="00782D10"/>
    <w:rsid w:val="00783775"/>
    <w:rsid w:val="007838BD"/>
    <w:rsid w:val="00783D5A"/>
    <w:rsid w:val="00784029"/>
    <w:rsid w:val="00784B72"/>
    <w:rsid w:val="00785DE9"/>
    <w:rsid w:val="00786137"/>
    <w:rsid w:val="00786ACA"/>
    <w:rsid w:val="00786C62"/>
    <w:rsid w:val="00786EEF"/>
    <w:rsid w:val="00787FDE"/>
    <w:rsid w:val="00790439"/>
    <w:rsid w:val="007905F5"/>
    <w:rsid w:val="007910E7"/>
    <w:rsid w:val="007915BB"/>
    <w:rsid w:val="007915F1"/>
    <w:rsid w:val="00791D66"/>
    <w:rsid w:val="0079241E"/>
    <w:rsid w:val="00792747"/>
    <w:rsid w:val="00792EF9"/>
    <w:rsid w:val="00793085"/>
    <w:rsid w:val="00793BB7"/>
    <w:rsid w:val="0079421C"/>
    <w:rsid w:val="00794AC9"/>
    <w:rsid w:val="00794E42"/>
    <w:rsid w:val="007951C2"/>
    <w:rsid w:val="0079596F"/>
    <w:rsid w:val="00795EF1"/>
    <w:rsid w:val="00795FEE"/>
    <w:rsid w:val="00796206"/>
    <w:rsid w:val="00796320"/>
    <w:rsid w:val="0079633C"/>
    <w:rsid w:val="00796344"/>
    <w:rsid w:val="00796AE8"/>
    <w:rsid w:val="00796D81"/>
    <w:rsid w:val="0079750A"/>
    <w:rsid w:val="007975B5"/>
    <w:rsid w:val="00797D19"/>
    <w:rsid w:val="007A0A5E"/>
    <w:rsid w:val="007A0E53"/>
    <w:rsid w:val="007A1DF1"/>
    <w:rsid w:val="007A1FD3"/>
    <w:rsid w:val="007A2090"/>
    <w:rsid w:val="007A249C"/>
    <w:rsid w:val="007A25CC"/>
    <w:rsid w:val="007A2A2C"/>
    <w:rsid w:val="007A2D0B"/>
    <w:rsid w:val="007A3B34"/>
    <w:rsid w:val="007A3BB2"/>
    <w:rsid w:val="007A426A"/>
    <w:rsid w:val="007A43C3"/>
    <w:rsid w:val="007A46FC"/>
    <w:rsid w:val="007A4933"/>
    <w:rsid w:val="007A4C51"/>
    <w:rsid w:val="007A4C83"/>
    <w:rsid w:val="007A4CEF"/>
    <w:rsid w:val="007A58A1"/>
    <w:rsid w:val="007A6388"/>
    <w:rsid w:val="007A64D2"/>
    <w:rsid w:val="007A69EA"/>
    <w:rsid w:val="007A72ED"/>
    <w:rsid w:val="007A7722"/>
    <w:rsid w:val="007A7BB3"/>
    <w:rsid w:val="007B0058"/>
    <w:rsid w:val="007B0338"/>
    <w:rsid w:val="007B06B4"/>
    <w:rsid w:val="007B0809"/>
    <w:rsid w:val="007B0816"/>
    <w:rsid w:val="007B09A3"/>
    <w:rsid w:val="007B0AFA"/>
    <w:rsid w:val="007B0B54"/>
    <w:rsid w:val="007B1086"/>
    <w:rsid w:val="007B113D"/>
    <w:rsid w:val="007B115D"/>
    <w:rsid w:val="007B181C"/>
    <w:rsid w:val="007B18DC"/>
    <w:rsid w:val="007B1924"/>
    <w:rsid w:val="007B1A1E"/>
    <w:rsid w:val="007B1BC5"/>
    <w:rsid w:val="007B2371"/>
    <w:rsid w:val="007B2646"/>
    <w:rsid w:val="007B2720"/>
    <w:rsid w:val="007B2782"/>
    <w:rsid w:val="007B279D"/>
    <w:rsid w:val="007B299C"/>
    <w:rsid w:val="007B36C9"/>
    <w:rsid w:val="007B3843"/>
    <w:rsid w:val="007B3E8D"/>
    <w:rsid w:val="007B4020"/>
    <w:rsid w:val="007B40FC"/>
    <w:rsid w:val="007B41AB"/>
    <w:rsid w:val="007B4312"/>
    <w:rsid w:val="007B4CA3"/>
    <w:rsid w:val="007B5481"/>
    <w:rsid w:val="007B578E"/>
    <w:rsid w:val="007B5C2D"/>
    <w:rsid w:val="007B6084"/>
    <w:rsid w:val="007B660B"/>
    <w:rsid w:val="007B6789"/>
    <w:rsid w:val="007B6C2A"/>
    <w:rsid w:val="007B6EED"/>
    <w:rsid w:val="007B70B8"/>
    <w:rsid w:val="007B7117"/>
    <w:rsid w:val="007B71FE"/>
    <w:rsid w:val="007B7E8A"/>
    <w:rsid w:val="007C01F4"/>
    <w:rsid w:val="007C040B"/>
    <w:rsid w:val="007C0E68"/>
    <w:rsid w:val="007C0E7B"/>
    <w:rsid w:val="007C0F7B"/>
    <w:rsid w:val="007C164A"/>
    <w:rsid w:val="007C1D2D"/>
    <w:rsid w:val="007C1F4D"/>
    <w:rsid w:val="007C20C1"/>
    <w:rsid w:val="007C21D8"/>
    <w:rsid w:val="007C2394"/>
    <w:rsid w:val="007C2A80"/>
    <w:rsid w:val="007C2DED"/>
    <w:rsid w:val="007C2E5E"/>
    <w:rsid w:val="007C3145"/>
    <w:rsid w:val="007C3273"/>
    <w:rsid w:val="007C327B"/>
    <w:rsid w:val="007C3606"/>
    <w:rsid w:val="007C3697"/>
    <w:rsid w:val="007C3CBA"/>
    <w:rsid w:val="007C3D96"/>
    <w:rsid w:val="007C40BF"/>
    <w:rsid w:val="007C4124"/>
    <w:rsid w:val="007C48DE"/>
    <w:rsid w:val="007C4F01"/>
    <w:rsid w:val="007C5019"/>
    <w:rsid w:val="007C5DE9"/>
    <w:rsid w:val="007C5F21"/>
    <w:rsid w:val="007C5F9A"/>
    <w:rsid w:val="007C62F8"/>
    <w:rsid w:val="007C6753"/>
    <w:rsid w:val="007C7238"/>
    <w:rsid w:val="007C7F7A"/>
    <w:rsid w:val="007C7FEC"/>
    <w:rsid w:val="007D0008"/>
    <w:rsid w:val="007D01B0"/>
    <w:rsid w:val="007D048E"/>
    <w:rsid w:val="007D0844"/>
    <w:rsid w:val="007D0D60"/>
    <w:rsid w:val="007D107E"/>
    <w:rsid w:val="007D1901"/>
    <w:rsid w:val="007D1F37"/>
    <w:rsid w:val="007D2958"/>
    <w:rsid w:val="007D2C87"/>
    <w:rsid w:val="007D2FC6"/>
    <w:rsid w:val="007D353C"/>
    <w:rsid w:val="007D3704"/>
    <w:rsid w:val="007D37A9"/>
    <w:rsid w:val="007D39CE"/>
    <w:rsid w:val="007D3FDC"/>
    <w:rsid w:val="007D410B"/>
    <w:rsid w:val="007D4183"/>
    <w:rsid w:val="007D443A"/>
    <w:rsid w:val="007D4695"/>
    <w:rsid w:val="007D4A57"/>
    <w:rsid w:val="007D57AE"/>
    <w:rsid w:val="007D5AA9"/>
    <w:rsid w:val="007D6202"/>
    <w:rsid w:val="007D69A8"/>
    <w:rsid w:val="007D71A4"/>
    <w:rsid w:val="007D7E94"/>
    <w:rsid w:val="007D7F3E"/>
    <w:rsid w:val="007E004F"/>
    <w:rsid w:val="007E0179"/>
    <w:rsid w:val="007E01D5"/>
    <w:rsid w:val="007E022D"/>
    <w:rsid w:val="007E050A"/>
    <w:rsid w:val="007E0BF5"/>
    <w:rsid w:val="007E0D2E"/>
    <w:rsid w:val="007E0E6D"/>
    <w:rsid w:val="007E1126"/>
    <w:rsid w:val="007E1472"/>
    <w:rsid w:val="007E1605"/>
    <w:rsid w:val="007E18B3"/>
    <w:rsid w:val="007E1B11"/>
    <w:rsid w:val="007E223F"/>
    <w:rsid w:val="007E2363"/>
    <w:rsid w:val="007E2410"/>
    <w:rsid w:val="007E261F"/>
    <w:rsid w:val="007E2B78"/>
    <w:rsid w:val="007E2DDF"/>
    <w:rsid w:val="007E345B"/>
    <w:rsid w:val="007E3D3E"/>
    <w:rsid w:val="007E3D71"/>
    <w:rsid w:val="007E4258"/>
    <w:rsid w:val="007E497B"/>
    <w:rsid w:val="007E5691"/>
    <w:rsid w:val="007E61B4"/>
    <w:rsid w:val="007E6630"/>
    <w:rsid w:val="007E7E33"/>
    <w:rsid w:val="007E7E80"/>
    <w:rsid w:val="007F001E"/>
    <w:rsid w:val="007F047B"/>
    <w:rsid w:val="007F0564"/>
    <w:rsid w:val="007F05E7"/>
    <w:rsid w:val="007F0B11"/>
    <w:rsid w:val="007F0C37"/>
    <w:rsid w:val="007F0D5F"/>
    <w:rsid w:val="007F1723"/>
    <w:rsid w:val="007F1EBF"/>
    <w:rsid w:val="007F20C2"/>
    <w:rsid w:val="007F2A9E"/>
    <w:rsid w:val="007F3089"/>
    <w:rsid w:val="007F340D"/>
    <w:rsid w:val="007F35D8"/>
    <w:rsid w:val="007F3999"/>
    <w:rsid w:val="007F47DD"/>
    <w:rsid w:val="007F5ECD"/>
    <w:rsid w:val="007F6B6A"/>
    <w:rsid w:val="007F6D8A"/>
    <w:rsid w:val="007F71C1"/>
    <w:rsid w:val="007F78F1"/>
    <w:rsid w:val="007F7A77"/>
    <w:rsid w:val="007F7A88"/>
    <w:rsid w:val="00800950"/>
    <w:rsid w:val="00800B05"/>
    <w:rsid w:val="008014BC"/>
    <w:rsid w:val="00801691"/>
    <w:rsid w:val="00801758"/>
    <w:rsid w:val="00802110"/>
    <w:rsid w:val="00803BA4"/>
    <w:rsid w:val="00804346"/>
    <w:rsid w:val="00804C26"/>
    <w:rsid w:val="00805344"/>
    <w:rsid w:val="008055FC"/>
    <w:rsid w:val="00805A9D"/>
    <w:rsid w:val="00805C29"/>
    <w:rsid w:val="008060D2"/>
    <w:rsid w:val="0080645A"/>
    <w:rsid w:val="0080650C"/>
    <w:rsid w:val="00806828"/>
    <w:rsid w:val="00806DC6"/>
    <w:rsid w:val="00807082"/>
    <w:rsid w:val="00807ECA"/>
    <w:rsid w:val="00810471"/>
    <w:rsid w:val="00810A64"/>
    <w:rsid w:val="00810A76"/>
    <w:rsid w:val="00811765"/>
    <w:rsid w:val="00811B22"/>
    <w:rsid w:val="00811DFC"/>
    <w:rsid w:val="00811F43"/>
    <w:rsid w:val="008121B8"/>
    <w:rsid w:val="008123C8"/>
    <w:rsid w:val="008124CF"/>
    <w:rsid w:val="00812831"/>
    <w:rsid w:val="008128A1"/>
    <w:rsid w:val="0081329B"/>
    <w:rsid w:val="00813D82"/>
    <w:rsid w:val="00813D87"/>
    <w:rsid w:val="00814343"/>
    <w:rsid w:val="0081486B"/>
    <w:rsid w:val="008154DA"/>
    <w:rsid w:val="00815608"/>
    <w:rsid w:val="008159CF"/>
    <w:rsid w:val="00815CCB"/>
    <w:rsid w:val="00816245"/>
    <w:rsid w:val="0081674F"/>
    <w:rsid w:val="00817690"/>
    <w:rsid w:val="00817F63"/>
    <w:rsid w:val="00820134"/>
    <w:rsid w:val="00820705"/>
    <w:rsid w:val="00820BAA"/>
    <w:rsid w:val="00820D5B"/>
    <w:rsid w:val="0082111C"/>
    <w:rsid w:val="0082157F"/>
    <w:rsid w:val="00822008"/>
    <w:rsid w:val="00822088"/>
    <w:rsid w:val="008224AA"/>
    <w:rsid w:val="00822700"/>
    <w:rsid w:val="00822CFD"/>
    <w:rsid w:val="00822D37"/>
    <w:rsid w:val="00822F98"/>
    <w:rsid w:val="008230FF"/>
    <w:rsid w:val="00823320"/>
    <w:rsid w:val="0082366F"/>
    <w:rsid w:val="008236CC"/>
    <w:rsid w:val="00823A7C"/>
    <w:rsid w:val="00823B68"/>
    <w:rsid w:val="00825098"/>
    <w:rsid w:val="0082579F"/>
    <w:rsid w:val="0082615D"/>
    <w:rsid w:val="008262E0"/>
    <w:rsid w:val="00827185"/>
    <w:rsid w:val="008271E4"/>
    <w:rsid w:val="00827AA4"/>
    <w:rsid w:val="00827E64"/>
    <w:rsid w:val="0083036D"/>
    <w:rsid w:val="008306A4"/>
    <w:rsid w:val="008312E9"/>
    <w:rsid w:val="00831C13"/>
    <w:rsid w:val="00831E85"/>
    <w:rsid w:val="00832153"/>
    <w:rsid w:val="00832D6C"/>
    <w:rsid w:val="0083327E"/>
    <w:rsid w:val="00833291"/>
    <w:rsid w:val="00833798"/>
    <w:rsid w:val="008338B6"/>
    <w:rsid w:val="00833F8B"/>
    <w:rsid w:val="00834016"/>
    <w:rsid w:val="0083425E"/>
    <w:rsid w:val="008342C2"/>
    <w:rsid w:val="00834327"/>
    <w:rsid w:val="00834E9B"/>
    <w:rsid w:val="00835E21"/>
    <w:rsid w:val="00835E3B"/>
    <w:rsid w:val="00836034"/>
    <w:rsid w:val="008360A1"/>
    <w:rsid w:val="00836FA7"/>
    <w:rsid w:val="0083728F"/>
    <w:rsid w:val="008420B4"/>
    <w:rsid w:val="00842214"/>
    <w:rsid w:val="008425F5"/>
    <w:rsid w:val="00842A5F"/>
    <w:rsid w:val="0084302F"/>
    <w:rsid w:val="00843518"/>
    <w:rsid w:val="0084363A"/>
    <w:rsid w:val="00843A86"/>
    <w:rsid w:val="00843DAF"/>
    <w:rsid w:val="00843F25"/>
    <w:rsid w:val="0084414A"/>
    <w:rsid w:val="00844706"/>
    <w:rsid w:val="00844C82"/>
    <w:rsid w:val="00844FB9"/>
    <w:rsid w:val="00845737"/>
    <w:rsid w:val="00845A44"/>
    <w:rsid w:val="00845E72"/>
    <w:rsid w:val="008463EC"/>
    <w:rsid w:val="00846455"/>
    <w:rsid w:val="008465BA"/>
    <w:rsid w:val="00846A8D"/>
    <w:rsid w:val="00846A9B"/>
    <w:rsid w:val="00847349"/>
    <w:rsid w:val="008473DC"/>
    <w:rsid w:val="008477C8"/>
    <w:rsid w:val="00850543"/>
    <w:rsid w:val="00850627"/>
    <w:rsid w:val="00850998"/>
    <w:rsid w:val="00850DAF"/>
    <w:rsid w:val="008511CA"/>
    <w:rsid w:val="0085132B"/>
    <w:rsid w:val="0085134A"/>
    <w:rsid w:val="0085159B"/>
    <w:rsid w:val="008518DA"/>
    <w:rsid w:val="00851FC1"/>
    <w:rsid w:val="008521A3"/>
    <w:rsid w:val="00852293"/>
    <w:rsid w:val="00852AE2"/>
    <w:rsid w:val="00852BFC"/>
    <w:rsid w:val="008532D2"/>
    <w:rsid w:val="00853FC9"/>
    <w:rsid w:val="008547CC"/>
    <w:rsid w:val="008548E6"/>
    <w:rsid w:val="00854CC5"/>
    <w:rsid w:val="00855158"/>
    <w:rsid w:val="00855609"/>
    <w:rsid w:val="00855C66"/>
    <w:rsid w:val="00855FDD"/>
    <w:rsid w:val="008565CC"/>
    <w:rsid w:val="008567FD"/>
    <w:rsid w:val="00856AED"/>
    <w:rsid w:val="00856FAC"/>
    <w:rsid w:val="00857AB6"/>
    <w:rsid w:val="00857C09"/>
    <w:rsid w:val="00857C5C"/>
    <w:rsid w:val="00857D6A"/>
    <w:rsid w:val="00860A52"/>
    <w:rsid w:val="00860FA4"/>
    <w:rsid w:val="0086126E"/>
    <w:rsid w:val="008612DF"/>
    <w:rsid w:val="0086153C"/>
    <w:rsid w:val="008619B6"/>
    <w:rsid w:val="00861D4C"/>
    <w:rsid w:val="00862091"/>
    <w:rsid w:val="00862097"/>
    <w:rsid w:val="008620CF"/>
    <w:rsid w:val="0086212C"/>
    <w:rsid w:val="0086238D"/>
    <w:rsid w:val="00862B87"/>
    <w:rsid w:val="00862CB1"/>
    <w:rsid w:val="00862D98"/>
    <w:rsid w:val="00862EF3"/>
    <w:rsid w:val="00863096"/>
    <w:rsid w:val="00863363"/>
    <w:rsid w:val="00863829"/>
    <w:rsid w:val="00863934"/>
    <w:rsid w:val="00863C20"/>
    <w:rsid w:val="00863F4A"/>
    <w:rsid w:val="008641BB"/>
    <w:rsid w:val="0086424B"/>
    <w:rsid w:val="0086427A"/>
    <w:rsid w:val="0086457C"/>
    <w:rsid w:val="00864BF7"/>
    <w:rsid w:val="008653D4"/>
    <w:rsid w:val="008654DC"/>
    <w:rsid w:val="008655F6"/>
    <w:rsid w:val="00865A17"/>
    <w:rsid w:val="00865B36"/>
    <w:rsid w:val="00866DC1"/>
    <w:rsid w:val="00866EEE"/>
    <w:rsid w:val="00867958"/>
    <w:rsid w:val="00867EC0"/>
    <w:rsid w:val="0087004F"/>
    <w:rsid w:val="00870295"/>
    <w:rsid w:val="00870914"/>
    <w:rsid w:val="00870D8C"/>
    <w:rsid w:val="00870FC4"/>
    <w:rsid w:val="00871223"/>
    <w:rsid w:val="00871454"/>
    <w:rsid w:val="00871A8B"/>
    <w:rsid w:val="00871D37"/>
    <w:rsid w:val="008721E1"/>
    <w:rsid w:val="00872218"/>
    <w:rsid w:val="00872894"/>
    <w:rsid w:val="0087306B"/>
    <w:rsid w:val="008732C8"/>
    <w:rsid w:val="0087405E"/>
    <w:rsid w:val="00874107"/>
    <w:rsid w:val="00874249"/>
    <w:rsid w:val="008755C3"/>
    <w:rsid w:val="00875A1C"/>
    <w:rsid w:val="00875DE9"/>
    <w:rsid w:val="00876251"/>
    <w:rsid w:val="008775D3"/>
    <w:rsid w:val="00877891"/>
    <w:rsid w:val="00877E6A"/>
    <w:rsid w:val="00877FBC"/>
    <w:rsid w:val="00880121"/>
    <w:rsid w:val="0088028F"/>
    <w:rsid w:val="00880640"/>
    <w:rsid w:val="00880966"/>
    <w:rsid w:val="00880A26"/>
    <w:rsid w:val="00880C40"/>
    <w:rsid w:val="00880E2A"/>
    <w:rsid w:val="00880F50"/>
    <w:rsid w:val="0088168B"/>
    <w:rsid w:val="008831E1"/>
    <w:rsid w:val="0088374D"/>
    <w:rsid w:val="0088396C"/>
    <w:rsid w:val="00883B35"/>
    <w:rsid w:val="00883B43"/>
    <w:rsid w:val="0088429C"/>
    <w:rsid w:val="00884567"/>
    <w:rsid w:val="00884760"/>
    <w:rsid w:val="008849FB"/>
    <w:rsid w:val="00884ACE"/>
    <w:rsid w:val="008851AB"/>
    <w:rsid w:val="00885A85"/>
    <w:rsid w:val="00885C12"/>
    <w:rsid w:val="00885CDA"/>
    <w:rsid w:val="00885CDD"/>
    <w:rsid w:val="00885D88"/>
    <w:rsid w:val="008866F1"/>
    <w:rsid w:val="00886B28"/>
    <w:rsid w:val="00886D8E"/>
    <w:rsid w:val="0088733C"/>
    <w:rsid w:val="00887446"/>
    <w:rsid w:val="0088750C"/>
    <w:rsid w:val="00887624"/>
    <w:rsid w:val="008876F3"/>
    <w:rsid w:val="00887706"/>
    <w:rsid w:val="008878EE"/>
    <w:rsid w:val="00890113"/>
    <w:rsid w:val="00890579"/>
    <w:rsid w:val="008911C6"/>
    <w:rsid w:val="0089191B"/>
    <w:rsid w:val="00891E2D"/>
    <w:rsid w:val="008926C5"/>
    <w:rsid w:val="00892878"/>
    <w:rsid w:val="00892B2A"/>
    <w:rsid w:val="00892CF6"/>
    <w:rsid w:val="0089333C"/>
    <w:rsid w:val="00893372"/>
    <w:rsid w:val="008933A6"/>
    <w:rsid w:val="00893644"/>
    <w:rsid w:val="008936B9"/>
    <w:rsid w:val="00893C1D"/>
    <w:rsid w:val="00894016"/>
    <w:rsid w:val="008943DF"/>
    <w:rsid w:val="00894418"/>
    <w:rsid w:val="008948D5"/>
    <w:rsid w:val="00894946"/>
    <w:rsid w:val="00894AF3"/>
    <w:rsid w:val="00894C40"/>
    <w:rsid w:val="0089587A"/>
    <w:rsid w:val="008959B6"/>
    <w:rsid w:val="00895A0B"/>
    <w:rsid w:val="0089604C"/>
    <w:rsid w:val="0089619D"/>
    <w:rsid w:val="008963D0"/>
    <w:rsid w:val="00896AD2"/>
    <w:rsid w:val="00896E01"/>
    <w:rsid w:val="00897420"/>
    <w:rsid w:val="00897545"/>
    <w:rsid w:val="0089791E"/>
    <w:rsid w:val="0089792D"/>
    <w:rsid w:val="00897A24"/>
    <w:rsid w:val="008A0808"/>
    <w:rsid w:val="008A0E9A"/>
    <w:rsid w:val="008A0F28"/>
    <w:rsid w:val="008A16E2"/>
    <w:rsid w:val="008A1B4D"/>
    <w:rsid w:val="008A1C9E"/>
    <w:rsid w:val="008A1E0F"/>
    <w:rsid w:val="008A2171"/>
    <w:rsid w:val="008A21A2"/>
    <w:rsid w:val="008A364C"/>
    <w:rsid w:val="008A3EAD"/>
    <w:rsid w:val="008A3ECE"/>
    <w:rsid w:val="008A472E"/>
    <w:rsid w:val="008A4F3B"/>
    <w:rsid w:val="008A5554"/>
    <w:rsid w:val="008A558E"/>
    <w:rsid w:val="008A59BC"/>
    <w:rsid w:val="008A5BD6"/>
    <w:rsid w:val="008A5CDA"/>
    <w:rsid w:val="008A5ECD"/>
    <w:rsid w:val="008A6381"/>
    <w:rsid w:val="008A65F7"/>
    <w:rsid w:val="008A6E38"/>
    <w:rsid w:val="008A6E72"/>
    <w:rsid w:val="008A7066"/>
    <w:rsid w:val="008A7534"/>
    <w:rsid w:val="008A7793"/>
    <w:rsid w:val="008A7F57"/>
    <w:rsid w:val="008B0DD8"/>
    <w:rsid w:val="008B125F"/>
    <w:rsid w:val="008B12FF"/>
    <w:rsid w:val="008B15BC"/>
    <w:rsid w:val="008B19B0"/>
    <w:rsid w:val="008B1D96"/>
    <w:rsid w:val="008B2374"/>
    <w:rsid w:val="008B2D58"/>
    <w:rsid w:val="008B2DCF"/>
    <w:rsid w:val="008B30F1"/>
    <w:rsid w:val="008B3D85"/>
    <w:rsid w:val="008B3EA7"/>
    <w:rsid w:val="008B446E"/>
    <w:rsid w:val="008B44F7"/>
    <w:rsid w:val="008B45D7"/>
    <w:rsid w:val="008B4D63"/>
    <w:rsid w:val="008B4F93"/>
    <w:rsid w:val="008B4FBC"/>
    <w:rsid w:val="008B51B6"/>
    <w:rsid w:val="008B569F"/>
    <w:rsid w:val="008B5863"/>
    <w:rsid w:val="008B5A20"/>
    <w:rsid w:val="008B6147"/>
    <w:rsid w:val="008B628E"/>
    <w:rsid w:val="008B65A4"/>
    <w:rsid w:val="008B6671"/>
    <w:rsid w:val="008B72F5"/>
    <w:rsid w:val="008B74B1"/>
    <w:rsid w:val="008B7663"/>
    <w:rsid w:val="008B7927"/>
    <w:rsid w:val="008C0559"/>
    <w:rsid w:val="008C0711"/>
    <w:rsid w:val="008C0E1F"/>
    <w:rsid w:val="008C11B8"/>
    <w:rsid w:val="008C23A4"/>
    <w:rsid w:val="008C2CE1"/>
    <w:rsid w:val="008C3192"/>
    <w:rsid w:val="008C3D0D"/>
    <w:rsid w:val="008C45A1"/>
    <w:rsid w:val="008C45D6"/>
    <w:rsid w:val="008C4C4F"/>
    <w:rsid w:val="008C4C60"/>
    <w:rsid w:val="008C4C73"/>
    <w:rsid w:val="008C5243"/>
    <w:rsid w:val="008C538D"/>
    <w:rsid w:val="008C5A87"/>
    <w:rsid w:val="008C5D89"/>
    <w:rsid w:val="008C6C79"/>
    <w:rsid w:val="008C6CDE"/>
    <w:rsid w:val="008C6D65"/>
    <w:rsid w:val="008C73E9"/>
    <w:rsid w:val="008C7914"/>
    <w:rsid w:val="008C7C56"/>
    <w:rsid w:val="008C7D3A"/>
    <w:rsid w:val="008D0024"/>
    <w:rsid w:val="008D018B"/>
    <w:rsid w:val="008D03DD"/>
    <w:rsid w:val="008D05B5"/>
    <w:rsid w:val="008D0863"/>
    <w:rsid w:val="008D0A58"/>
    <w:rsid w:val="008D0D14"/>
    <w:rsid w:val="008D16A4"/>
    <w:rsid w:val="008D1964"/>
    <w:rsid w:val="008D1B8F"/>
    <w:rsid w:val="008D208B"/>
    <w:rsid w:val="008D22BB"/>
    <w:rsid w:val="008D254F"/>
    <w:rsid w:val="008D25D4"/>
    <w:rsid w:val="008D2C53"/>
    <w:rsid w:val="008D2DC4"/>
    <w:rsid w:val="008D3458"/>
    <w:rsid w:val="008D3812"/>
    <w:rsid w:val="008D3AC1"/>
    <w:rsid w:val="008D41D6"/>
    <w:rsid w:val="008D4883"/>
    <w:rsid w:val="008D492A"/>
    <w:rsid w:val="008D4A55"/>
    <w:rsid w:val="008D4C87"/>
    <w:rsid w:val="008D590C"/>
    <w:rsid w:val="008D6152"/>
    <w:rsid w:val="008D6302"/>
    <w:rsid w:val="008D69FC"/>
    <w:rsid w:val="008D6EE5"/>
    <w:rsid w:val="008D72ED"/>
    <w:rsid w:val="008D73F2"/>
    <w:rsid w:val="008D7B2B"/>
    <w:rsid w:val="008D7C69"/>
    <w:rsid w:val="008D7CF5"/>
    <w:rsid w:val="008E00A3"/>
    <w:rsid w:val="008E00B2"/>
    <w:rsid w:val="008E0399"/>
    <w:rsid w:val="008E07BB"/>
    <w:rsid w:val="008E0CC8"/>
    <w:rsid w:val="008E1821"/>
    <w:rsid w:val="008E19CB"/>
    <w:rsid w:val="008E1C04"/>
    <w:rsid w:val="008E1E2B"/>
    <w:rsid w:val="008E25CB"/>
    <w:rsid w:val="008E2F76"/>
    <w:rsid w:val="008E456B"/>
    <w:rsid w:val="008E458B"/>
    <w:rsid w:val="008E46BE"/>
    <w:rsid w:val="008E4A81"/>
    <w:rsid w:val="008E4C7D"/>
    <w:rsid w:val="008E4F6A"/>
    <w:rsid w:val="008E4FA8"/>
    <w:rsid w:val="008E58A7"/>
    <w:rsid w:val="008E5F9F"/>
    <w:rsid w:val="008E6862"/>
    <w:rsid w:val="008E6CBF"/>
    <w:rsid w:val="008E7394"/>
    <w:rsid w:val="008E7A67"/>
    <w:rsid w:val="008E7C8C"/>
    <w:rsid w:val="008E7D4F"/>
    <w:rsid w:val="008F0262"/>
    <w:rsid w:val="008F02A1"/>
    <w:rsid w:val="008F0575"/>
    <w:rsid w:val="008F0702"/>
    <w:rsid w:val="008F0AEC"/>
    <w:rsid w:val="008F2436"/>
    <w:rsid w:val="008F2818"/>
    <w:rsid w:val="008F2B25"/>
    <w:rsid w:val="008F2FB4"/>
    <w:rsid w:val="008F3142"/>
    <w:rsid w:val="008F3FF5"/>
    <w:rsid w:val="008F41D7"/>
    <w:rsid w:val="008F42E8"/>
    <w:rsid w:val="008F47AA"/>
    <w:rsid w:val="008F47B4"/>
    <w:rsid w:val="008F4BA5"/>
    <w:rsid w:val="008F4DD8"/>
    <w:rsid w:val="008F5065"/>
    <w:rsid w:val="008F5586"/>
    <w:rsid w:val="008F6977"/>
    <w:rsid w:val="008F6A84"/>
    <w:rsid w:val="008F6D51"/>
    <w:rsid w:val="008F74C8"/>
    <w:rsid w:val="008F75B5"/>
    <w:rsid w:val="008F7899"/>
    <w:rsid w:val="008F7C94"/>
    <w:rsid w:val="008F7F81"/>
    <w:rsid w:val="009003EF"/>
    <w:rsid w:val="00900452"/>
    <w:rsid w:val="00900CCF"/>
    <w:rsid w:val="00901795"/>
    <w:rsid w:val="009029D5"/>
    <w:rsid w:val="009038DB"/>
    <w:rsid w:val="00903DF3"/>
    <w:rsid w:val="009040CB"/>
    <w:rsid w:val="0090438F"/>
    <w:rsid w:val="00904447"/>
    <w:rsid w:val="00904475"/>
    <w:rsid w:val="00904796"/>
    <w:rsid w:val="00904ACB"/>
    <w:rsid w:val="00904C0C"/>
    <w:rsid w:val="00905C7E"/>
    <w:rsid w:val="00905F33"/>
    <w:rsid w:val="00905FA2"/>
    <w:rsid w:val="00906088"/>
    <w:rsid w:val="00906669"/>
    <w:rsid w:val="00906BBB"/>
    <w:rsid w:val="00907447"/>
    <w:rsid w:val="00907476"/>
    <w:rsid w:val="009076CA"/>
    <w:rsid w:val="009078F0"/>
    <w:rsid w:val="00910072"/>
    <w:rsid w:val="009106E4"/>
    <w:rsid w:val="00910AC9"/>
    <w:rsid w:val="00910C7C"/>
    <w:rsid w:val="00911192"/>
    <w:rsid w:val="0091139B"/>
    <w:rsid w:val="0091217D"/>
    <w:rsid w:val="00912392"/>
    <w:rsid w:val="00912454"/>
    <w:rsid w:val="00912732"/>
    <w:rsid w:val="00912CB3"/>
    <w:rsid w:val="009139D6"/>
    <w:rsid w:val="00913B0F"/>
    <w:rsid w:val="009141F1"/>
    <w:rsid w:val="009142A5"/>
    <w:rsid w:val="0091554D"/>
    <w:rsid w:val="00915717"/>
    <w:rsid w:val="00915ADF"/>
    <w:rsid w:val="00916377"/>
    <w:rsid w:val="009164A2"/>
    <w:rsid w:val="009164F1"/>
    <w:rsid w:val="00916EE6"/>
    <w:rsid w:val="00917007"/>
    <w:rsid w:val="009178AA"/>
    <w:rsid w:val="00917CD9"/>
    <w:rsid w:val="009200B1"/>
    <w:rsid w:val="00920A2B"/>
    <w:rsid w:val="00920C9C"/>
    <w:rsid w:val="00921731"/>
    <w:rsid w:val="009218BF"/>
    <w:rsid w:val="009224AC"/>
    <w:rsid w:val="009227E0"/>
    <w:rsid w:val="0092290E"/>
    <w:rsid w:val="00922AE6"/>
    <w:rsid w:val="00922EB9"/>
    <w:rsid w:val="00922FAE"/>
    <w:rsid w:val="00923257"/>
    <w:rsid w:val="0092553E"/>
    <w:rsid w:val="00925EF0"/>
    <w:rsid w:val="009263E9"/>
    <w:rsid w:val="00926E12"/>
    <w:rsid w:val="0092730E"/>
    <w:rsid w:val="00927485"/>
    <w:rsid w:val="00927735"/>
    <w:rsid w:val="00927C73"/>
    <w:rsid w:val="009300DA"/>
    <w:rsid w:val="00930139"/>
    <w:rsid w:val="00930782"/>
    <w:rsid w:val="009309C6"/>
    <w:rsid w:val="00931912"/>
    <w:rsid w:val="00931E5D"/>
    <w:rsid w:val="009320DB"/>
    <w:rsid w:val="009325E5"/>
    <w:rsid w:val="009325F3"/>
    <w:rsid w:val="009329DE"/>
    <w:rsid w:val="0093331B"/>
    <w:rsid w:val="00933AD5"/>
    <w:rsid w:val="00933C5C"/>
    <w:rsid w:val="00934368"/>
    <w:rsid w:val="00934FCE"/>
    <w:rsid w:val="0093594D"/>
    <w:rsid w:val="00935D46"/>
    <w:rsid w:val="009360FB"/>
    <w:rsid w:val="00936502"/>
    <w:rsid w:val="00936DEE"/>
    <w:rsid w:val="009370C0"/>
    <w:rsid w:val="0093725C"/>
    <w:rsid w:val="00940437"/>
    <w:rsid w:val="00940834"/>
    <w:rsid w:val="00940883"/>
    <w:rsid w:val="0094157C"/>
    <w:rsid w:val="00941A72"/>
    <w:rsid w:val="00941B18"/>
    <w:rsid w:val="00941FA6"/>
    <w:rsid w:val="00942521"/>
    <w:rsid w:val="009425E0"/>
    <w:rsid w:val="0094273A"/>
    <w:rsid w:val="0094298E"/>
    <w:rsid w:val="00942B7B"/>
    <w:rsid w:val="00942EDF"/>
    <w:rsid w:val="009430C4"/>
    <w:rsid w:val="00943234"/>
    <w:rsid w:val="009432F3"/>
    <w:rsid w:val="00943FE1"/>
    <w:rsid w:val="009440C3"/>
    <w:rsid w:val="009446BC"/>
    <w:rsid w:val="00944A6E"/>
    <w:rsid w:val="009451EF"/>
    <w:rsid w:val="00945F6D"/>
    <w:rsid w:val="009462CA"/>
    <w:rsid w:val="00946E3F"/>
    <w:rsid w:val="00947204"/>
    <w:rsid w:val="0094786D"/>
    <w:rsid w:val="009479E8"/>
    <w:rsid w:val="009479F7"/>
    <w:rsid w:val="00950DA7"/>
    <w:rsid w:val="0095106F"/>
    <w:rsid w:val="00951131"/>
    <w:rsid w:val="0095157C"/>
    <w:rsid w:val="00951B3A"/>
    <w:rsid w:val="00951D72"/>
    <w:rsid w:val="00951EC4"/>
    <w:rsid w:val="009522EA"/>
    <w:rsid w:val="00952625"/>
    <w:rsid w:val="00952867"/>
    <w:rsid w:val="009528DF"/>
    <w:rsid w:val="00953033"/>
    <w:rsid w:val="009534FF"/>
    <w:rsid w:val="009535B6"/>
    <w:rsid w:val="00953951"/>
    <w:rsid w:val="00953AA3"/>
    <w:rsid w:val="00954EF9"/>
    <w:rsid w:val="00955488"/>
    <w:rsid w:val="009557AD"/>
    <w:rsid w:val="00955C27"/>
    <w:rsid w:val="0095624D"/>
    <w:rsid w:val="0095633C"/>
    <w:rsid w:val="009569EA"/>
    <w:rsid w:val="00956BFD"/>
    <w:rsid w:val="00957E1C"/>
    <w:rsid w:val="00957EBE"/>
    <w:rsid w:val="00957EC5"/>
    <w:rsid w:val="0096051C"/>
    <w:rsid w:val="00960522"/>
    <w:rsid w:val="00960CDE"/>
    <w:rsid w:val="009610EF"/>
    <w:rsid w:val="00962660"/>
    <w:rsid w:val="009626A2"/>
    <w:rsid w:val="00962A87"/>
    <w:rsid w:val="009632DD"/>
    <w:rsid w:val="00963F57"/>
    <w:rsid w:val="0096428D"/>
    <w:rsid w:val="009647B2"/>
    <w:rsid w:val="009647BF"/>
    <w:rsid w:val="0096584A"/>
    <w:rsid w:val="0096657E"/>
    <w:rsid w:val="00966630"/>
    <w:rsid w:val="00966788"/>
    <w:rsid w:val="009669E8"/>
    <w:rsid w:val="00966A14"/>
    <w:rsid w:val="009674AC"/>
    <w:rsid w:val="00967AC9"/>
    <w:rsid w:val="00967F40"/>
    <w:rsid w:val="009708DA"/>
    <w:rsid w:val="0097093B"/>
    <w:rsid w:val="00970B54"/>
    <w:rsid w:val="0097112D"/>
    <w:rsid w:val="009712E0"/>
    <w:rsid w:val="009714AF"/>
    <w:rsid w:val="0097152E"/>
    <w:rsid w:val="0097187A"/>
    <w:rsid w:val="009719C1"/>
    <w:rsid w:val="00971FEA"/>
    <w:rsid w:val="009720EC"/>
    <w:rsid w:val="0097214F"/>
    <w:rsid w:val="00972B50"/>
    <w:rsid w:val="00972FAB"/>
    <w:rsid w:val="009736D0"/>
    <w:rsid w:val="009738D7"/>
    <w:rsid w:val="00973B45"/>
    <w:rsid w:val="00973CFD"/>
    <w:rsid w:val="009744F5"/>
    <w:rsid w:val="00974801"/>
    <w:rsid w:val="00974CAB"/>
    <w:rsid w:val="00974F55"/>
    <w:rsid w:val="00974F5C"/>
    <w:rsid w:val="0097513D"/>
    <w:rsid w:val="00975361"/>
    <w:rsid w:val="009753F3"/>
    <w:rsid w:val="00975980"/>
    <w:rsid w:val="00975A42"/>
    <w:rsid w:val="00975B06"/>
    <w:rsid w:val="00975C86"/>
    <w:rsid w:val="00975E05"/>
    <w:rsid w:val="00975F98"/>
    <w:rsid w:val="0097669D"/>
    <w:rsid w:val="0097736E"/>
    <w:rsid w:val="0097750E"/>
    <w:rsid w:val="00977540"/>
    <w:rsid w:val="00977A54"/>
    <w:rsid w:val="00977BF8"/>
    <w:rsid w:val="00980870"/>
    <w:rsid w:val="00980F65"/>
    <w:rsid w:val="00981DC1"/>
    <w:rsid w:val="00981F8A"/>
    <w:rsid w:val="00982659"/>
    <w:rsid w:val="00982662"/>
    <w:rsid w:val="0098270B"/>
    <w:rsid w:val="00982726"/>
    <w:rsid w:val="00982BAA"/>
    <w:rsid w:val="00982EAA"/>
    <w:rsid w:val="009832BA"/>
    <w:rsid w:val="009832F6"/>
    <w:rsid w:val="0098368B"/>
    <w:rsid w:val="00983F96"/>
    <w:rsid w:val="00984454"/>
    <w:rsid w:val="00984D4F"/>
    <w:rsid w:val="00985568"/>
    <w:rsid w:val="009855FC"/>
    <w:rsid w:val="00985D46"/>
    <w:rsid w:val="0098600F"/>
    <w:rsid w:val="00986AF6"/>
    <w:rsid w:val="00986BA1"/>
    <w:rsid w:val="00986C46"/>
    <w:rsid w:val="00986EBA"/>
    <w:rsid w:val="00987928"/>
    <w:rsid w:val="00987B39"/>
    <w:rsid w:val="009917E0"/>
    <w:rsid w:val="0099212F"/>
    <w:rsid w:val="0099280E"/>
    <w:rsid w:val="00992A49"/>
    <w:rsid w:val="00992C54"/>
    <w:rsid w:val="00993791"/>
    <w:rsid w:val="00993C59"/>
    <w:rsid w:val="00993CDA"/>
    <w:rsid w:val="00994169"/>
    <w:rsid w:val="009948EE"/>
    <w:rsid w:val="009951C7"/>
    <w:rsid w:val="009953B4"/>
    <w:rsid w:val="00995527"/>
    <w:rsid w:val="009956BD"/>
    <w:rsid w:val="00995978"/>
    <w:rsid w:val="00995BCC"/>
    <w:rsid w:val="0099683B"/>
    <w:rsid w:val="009968D2"/>
    <w:rsid w:val="009969C9"/>
    <w:rsid w:val="00996B63"/>
    <w:rsid w:val="00996BD4"/>
    <w:rsid w:val="00996BDD"/>
    <w:rsid w:val="00997B9B"/>
    <w:rsid w:val="009A0181"/>
    <w:rsid w:val="009A0337"/>
    <w:rsid w:val="009A0393"/>
    <w:rsid w:val="009A06C2"/>
    <w:rsid w:val="009A0770"/>
    <w:rsid w:val="009A094E"/>
    <w:rsid w:val="009A09B1"/>
    <w:rsid w:val="009A0C20"/>
    <w:rsid w:val="009A1096"/>
    <w:rsid w:val="009A12AC"/>
    <w:rsid w:val="009A1B25"/>
    <w:rsid w:val="009A1E46"/>
    <w:rsid w:val="009A3167"/>
    <w:rsid w:val="009A3330"/>
    <w:rsid w:val="009A37D7"/>
    <w:rsid w:val="009A40CD"/>
    <w:rsid w:val="009A4104"/>
    <w:rsid w:val="009A5025"/>
    <w:rsid w:val="009A53E4"/>
    <w:rsid w:val="009A5502"/>
    <w:rsid w:val="009A5986"/>
    <w:rsid w:val="009A5D35"/>
    <w:rsid w:val="009A67B2"/>
    <w:rsid w:val="009A6CEA"/>
    <w:rsid w:val="009A7129"/>
    <w:rsid w:val="009A71A6"/>
    <w:rsid w:val="009A767F"/>
    <w:rsid w:val="009A77E9"/>
    <w:rsid w:val="009A7905"/>
    <w:rsid w:val="009A7FF1"/>
    <w:rsid w:val="009B14C4"/>
    <w:rsid w:val="009B1D60"/>
    <w:rsid w:val="009B216C"/>
    <w:rsid w:val="009B21F2"/>
    <w:rsid w:val="009B23F4"/>
    <w:rsid w:val="009B25CB"/>
    <w:rsid w:val="009B27FC"/>
    <w:rsid w:val="009B2875"/>
    <w:rsid w:val="009B29DA"/>
    <w:rsid w:val="009B2C7E"/>
    <w:rsid w:val="009B3424"/>
    <w:rsid w:val="009B3E30"/>
    <w:rsid w:val="009B4098"/>
    <w:rsid w:val="009B52CD"/>
    <w:rsid w:val="009B5764"/>
    <w:rsid w:val="009B5B50"/>
    <w:rsid w:val="009B614B"/>
    <w:rsid w:val="009B6B2B"/>
    <w:rsid w:val="009B6CBD"/>
    <w:rsid w:val="009B6E46"/>
    <w:rsid w:val="009B6FD7"/>
    <w:rsid w:val="009B7426"/>
    <w:rsid w:val="009B752E"/>
    <w:rsid w:val="009B759E"/>
    <w:rsid w:val="009B77B6"/>
    <w:rsid w:val="009B7EA2"/>
    <w:rsid w:val="009C008B"/>
    <w:rsid w:val="009C01A4"/>
    <w:rsid w:val="009C0689"/>
    <w:rsid w:val="009C070F"/>
    <w:rsid w:val="009C0862"/>
    <w:rsid w:val="009C0C0F"/>
    <w:rsid w:val="009C0C58"/>
    <w:rsid w:val="009C1513"/>
    <w:rsid w:val="009C2232"/>
    <w:rsid w:val="009C24D9"/>
    <w:rsid w:val="009C2A76"/>
    <w:rsid w:val="009C2D3A"/>
    <w:rsid w:val="009C2EDF"/>
    <w:rsid w:val="009C2FF8"/>
    <w:rsid w:val="009C30BB"/>
    <w:rsid w:val="009C321E"/>
    <w:rsid w:val="009C37C6"/>
    <w:rsid w:val="009C385D"/>
    <w:rsid w:val="009C3941"/>
    <w:rsid w:val="009C397E"/>
    <w:rsid w:val="009C4525"/>
    <w:rsid w:val="009C4808"/>
    <w:rsid w:val="009C4961"/>
    <w:rsid w:val="009C4D7E"/>
    <w:rsid w:val="009C522B"/>
    <w:rsid w:val="009C5848"/>
    <w:rsid w:val="009C5AAC"/>
    <w:rsid w:val="009C5F13"/>
    <w:rsid w:val="009C6378"/>
    <w:rsid w:val="009C6C92"/>
    <w:rsid w:val="009C74B9"/>
    <w:rsid w:val="009C7663"/>
    <w:rsid w:val="009C7F1A"/>
    <w:rsid w:val="009D145D"/>
    <w:rsid w:val="009D170F"/>
    <w:rsid w:val="009D1F80"/>
    <w:rsid w:val="009D2BDD"/>
    <w:rsid w:val="009D2EE3"/>
    <w:rsid w:val="009D4143"/>
    <w:rsid w:val="009D43E4"/>
    <w:rsid w:val="009D477A"/>
    <w:rsid w:val="009D4A9E"/>
    <w:rsid w:val="009D4C09"/>
    <w:rsid w:val="009D6227"/>
    <w:rsid w:val="009D6563"/>
    <w:rsid w:val="009D657E"/>
    <w:rsid w:val="009D6814"/>
    <w:rsid w:val="009D7101"/>
    <w:rsid w:val="009D71DA"/>
    <w:rsid w:val="009D74B2"/>
    <w:rsid w:val="009D75AE"/>
    <w:rsid w:val="009D7861"/>
    <w:rsid w:val="009E079E"/>
    <w:rsid w:val="009E0B47"/>
    <w:rsid w:val="009E0D18"/>
    <w:rsid w:val="009E11F2"/>
    <w:rsid w:val="009E1801"/>
    <w:rsid w:val="009E193E"/>
    <w:rsid w:val="009E1D8A"/>
    <w:rsid w:val="009E20C2"/>
    <w:rsid w:val="009E2381"/>
    <w:rsid w:val="009E25F2"/>
    <w:rsid w:val="009E26F8"/>
    <w:rsid w:val="009E295F"/>
    <w:rsid w:val="009E3201"/>
    <w:rsid w:val="009E3BC6"/>
    <w:rsid w:val="009E47DF"/>
    <w:rsid w:val="009E4A19"/>
    <w:rsid w:val="009E4A28"/>
    <w:rsid w:val="009E4F46"/>
    <w:rsid w:val="009E55EC"/>
    <w:rsid w:val="009E5A86"/>
    <w:rsid w:val="009E5BAA"/>
    <w:rsid w:val="009E66C1"/>
    <w:rsid w:val="009E6B38"/>
    <w:rsid w:val="009E7969"/>
    <w:rsid w:val="009F0349"/>
    <w:rsid w:val="009F048C"/>
    <w:rsid w:val="009F0890"/>
    <w:rsid w:val="009F12AA"/>
    <w:rsid w:val="009F1637"/>
    <w:rsid w:val="009F1858"/>
    <w:rsid w:val="009F1C6C"/>
    <w:rsid w:val="009F1DAC"/>
    <w:rsid w:val="009F258D"/>
    <w:rsid w:val="009F25FF"/>
    <w:rsid w:val="009F271F"/>
    <w:rsid w:val="009F294E"/>
    <w:rsid w:val="009F29C1"/>
    <w:rsid w:val="009F2E7A"/>
    <w:rsid w:val="009F394A"/>
    <w:rsid w:val="009F3C97"/>
    <w:rsid w:val="009F42B9"/>
    <w:rsid w:val="009F432D"/>
    <w:rsid w:val="009F4C32"/>
    <w:rsid w:val="009F5009"/>
    <w:rsid w:val="009F5124"/>
    <w:rsid w:val="009F5380"/>
    <w:rsid w:val="009F5877"/>
    <w:rsid w:val="009F5BE1"/>
    <w:rsid w:val="009F5F4E"/>
    <w:rsid w:val="009F61F1"/>
    <w:rsid w:val="009F6566"/>
    <w:rsid w:val="009F6D0D"/>
    <w:rsid w:val="009F6F96"/>
    <w:rsid w:val="009F749E"/>
    <w:rsid w:val="009F7F05"/>
    <w:rsid w:val="009F7F97"/>
    <w:rsid w:val="00A00363"/>
    <w:rsid w:val="00A0075F"/>
    <w:rsid w:val="00A00A15"/>
    <w:rsid w:val="00A00DBC"/>
    <w:rsid w:val="00A00E30"/>
    <w:rsid w:val="00A00EA0"/>
    <w:rsid w:val="00A00FCF"/>
    <w:rsid w:val="00A016DE"/>
    <w:rsid w:val="00A0238A"/>
    <w:rsid w:val="00A02452"/>
    <w:rsid w:val="00A02832"/>
    <w:rsid w:val="00A02C96"/>
    <w:rsid w:val="00A03BBA"/>
    <w:rsid w:val="00A03E08"/>
    <w:rsid w:val="00A04038"/>
    <w:rsid w:val="00A040F0"/>
    <w:rsid w:val="00A04163"/>
    <w:rsid w:val="00A04508"/>
    <w:rsid w:val="00A04E48"/>
    <w:rsid w:val="00A05143"/>
    <w:rsid w:val="00A0571A"/>
    <w:rsid w:val="00A05733"/>
    <w:rsid w:val="00A05B07"/>
    <w:rsid w:val="00A05C81"/>
    <w:rsid w:val="00A06440"/>
    <w:rsid w:val="00A06522"/>
    <w:rsid w:val="00A06840"/>
    <w:rsid w:val="00A06CB3"/>
    <w:rsid w:val="00A07571"/>
    <w:rsid w:val="00A07B42"/>
    <w:rsid w:val="00A07C04"/>
    <w:rsid w:val="00A07EF3"/>
    <w:rsid w:val="00A07FD6"/>
    <w:rsid w:val="00A10167"/>
    <w:rsid w:val="00A109EB"/>
    <w:rsid w:val="00A10B7F"/>
    <w:rsid w:val="00A10D87"/>
    <w:rsid w:val="00A1118A"/>
    <w:rsid w:val="00A112E0"/>
    <w:rsid w:val="00A11795"/>
    <w:rsid w:val="00A1195B"/>
    <w:rsid w:val="00A1205A"/>
    <w:rsid w:val="00A1238C"/>
    <w:rsid w:val="00A12439"/>
    <w:rsid w:val="00A12549"/>
    <w:rsid w:val="00A1285E"/>
    <w:rsid w:val="00A12A8C"/>
    <w:rsid w:val="00A12EE3"/>
    <w:rsid w:val="00A13715"/>
    <w:rsid w:val="00A13DA0"/>
    <w:rsid w:val="00A14089"/>
    <w:rsid w:val="00A14184"/>
    <w:rsid w:val="00A14568"/>
    <w:rsid w:val="00A146A0"/>
    <w:rsid w:val="00A14912"/>
    <w:rsid w:val="00A1499C"/>
    <w:rsid w:val="00A14C73"/>
    <w:rsid w:val="00A14CC0"/>
    <w:rsid w:val="00A15C97"/>
    <w:rsid w:val="00A16278"/>
    <w:rsid w:val="00A163CA"/>
    <w:rsid w:val="00A17139"/>
    <w:rsid w:val="00A175DD"/>
    <w:rsid w:val="00A201AC"/>
    <w:rsid w:val="00A202FC"/>
    <w:rsid w:val="00A2034B"/>
    <w:rsid w:val="00A20CA4"/>
    <w:rsid w:val="00A2125C"/>
    <w:rsid w:val="00A216BC"/>
    <w:rsid w:val="00A21AF5"/>
    <w:rsid w:val="00A225DE"/>
    <w:rsid w:val="00A2285C"/>
    <w:rsid w:val="00A22C25"/>
    <w:rsid w:val="00A22D77"/>
    <w:rsid w:val="00A22F92"/>
    <w:rsid w:val="00A23564"/>
    <w:rsid w:val="00A239F7"/>
    <w:rsid w:val="00A23B02"/>
    <w:rsid w:val="00A24369"/>
    <w:rsid w:val="00A2490A"/>
    <w:rsid w:val="00A24996"/>
    <w:rsid w:val="00A24C28"/>
    <w:rsid w:val="00A2527A"/>
    <w:rsid w:val="00A25884"/>
    <w:rsid w:val="00A25A94"/>
    <w:rsid w:val="00A25EA1"/>
    <w:rsid w:val="00A25F5E"/>
    <w:rsid w:val="00A25F79"/>
    <w:rsid w:val="00A270ED"/>
    <w:rsid w:val="00A27188"/>
    <w:rsid w:val="00A2797A"/>
    <w:rsid w:val="00A27ACB"/>
    <w:rsid w:val="00A27B7C"/>
    <w:rsid w:val="00A27EBB"/>
    <w:rsid w:val="00A27F4C"/>
    <w:rsid w:val="00A3029B"/>
    <w:rsid w:val="00A31090"/>
    <w:rsid w:val="00A3125E"/>
    <w:rsid w:val="00A31264"/>
    <w:rsid w:val="00A31961"/>
    <w:rsid w:val="00A31E53"/>
    <w:rsid w:val="00A32753"/>
    <w:rsid w:val="00A33F87"/>
    <w:rsid w:val="00A341DD"/>
    <w:rsid w:val="00A3467F"/>
    <w:rsid w:val="00A34A5E"/>
    <w:rsid w:val="00A360F8"/>
    <w:rsid w:val="00A36121"/>
    <w:rsid w:val="00A3679B"/>
    <w:rsid w:val="00A36D88"/>
    <w:rsid w:val="00A372D6"/>
    <w:rsid w:val="00A374CA"/>
    <w:rsid w:val="00A3768B"/>
    <w:rsid w:val="00A376A2"/>
    <w:rsid w:val="00A40067"/>
    <w:rsid w:val="00A40297"/>
    <w:rsid w:val="00A40387"/>
    <w:rsid w:val="00A403C3"/>
    <w:rsid w:val="00A404BE"/>
    <w:rsid w:val="00A4053F"/>
    <w:rsid w:val="00A40838"/>
    <w:rsid w:val="00A413DE"/>
    <w:rsid w:val="00A4162C"/>
    <w:rsid w:val="00A41C59"/>
    <w:rsid w:val="00A41F41"/>
    <w:rsid w:val="00A421E1"/>
    <w:rsid w:val="00A42A06"/>
    <w:rsid w:val="00A42A62"/>
    <w:rsid w:val="00A42AFC"/>
    <w:rsid w:val="00A42C30"/>
    <w:rsid w:val="00A42E8C"/>
    <w:rsid w:val="00A42EB8"/>
    <w:rsid w:val="00A434CE"/>
    <w:rsid w:val="00A43B59"/>
    <w:rsid w:val="00A44531"/>
    <w:rsid w:val="00A44584"/>
    <w:rsid w:val="00A44ABB"/>
    <w:rsid w:val="00A44B8A"/>
    <w:rsid w:val="00A44CAD"/>
    <w:rsid w:val="00A44D14"/>
    <w:rsid w:val="00A4554A"/>
    <w:rsid w:val="00A45C4E"/>
    <w:rsid w:val="00A45CDC"/>
    <w:rsid w:val="00A46031"/>
    <w:rsid w:val="00A46272"/>
    <w:rsid w:val="00A46C14"/>
    <w:rsid w:val="00A46D3F"/>
    <w:rsid w:val="00A46E02"/>
    <w:rsid w:val="00A46EB1"/>
    <w:rsid w:val="00A46F02"/>
    <w:rsid w:val="00A47822"/>
    <w:rsid w:val="00A4784D"/>
    <w:rsid w:val="00A47E14"/>
    <w:rsid w:val="00A508E4"/>
    <w:rsid w:val="00A511A0"/>
    <w:rsid w:val="00A5159C"/>
    <w:rsid w:val="00A51CBD"/>
    <w:rsid w:val="00A5271A"/>
    <w:rsid w:val="00A5375B"/>
    <w:rsid w:val="00A5420B"/>
    <w:rsid w:val="00A542D4"/>
    <w:rsid w:val="00A54748"/>
    <w:rsid w:val="00A5582E"/>
    <w:rsid w:val="00A56F9D"/>
    <w:rsid w:val="00A5726C"/>
    <w:rsid w:val="00A572F9"/>
    <w:rsid w:val="00A5799E"/>
    <w:rsid w:val="00A57B70"/>
    <w:rsid w:val="00A57B86"/>
    <w:rsid w:val="00A57CBB"/>
    <w:rsid w:val="00A57FBB"/>
    <w:rsid w:val="00A6022B"/>
    <w:rsid w:val="00A604FE"/>
    <w:rsid w:val="00A605AC"/>
    <w:rsid w:val="00A60C35"/>
    <w:rsid w:val="00A60E30"/>
    <w:rsid w:val="00A60E54"/>
    <w:rsid w:val="00A61099"/>
    <w:rsid w:val="00A615A7"/>
    <w:rsid w:val="00A61A8B"/>
    <w:rsid w:val="00A61EFF"/>
    <w:rsid w:val="00A6279B"/>
    <w:rsid w:val="00A62890"/>
    <w:rsid w:val="00A62BBE"/>
    <w:rsid w:val="00A62D31"/>
    <w:rsid w:val="00A62E47"/>
    <w:rsid w:val="00A63C38"/>
    <w:rsid w:val="00A640B1"/>
    <w:rsid w:val="00A650D2"/>
    <w:rsid w:val="00A6545A"/>
    <w:rsid w:val="00A65477"/>
    <w:rsid w:val="00A657E3"/>
    <w:rsid w:val="00A659DF"/>
    <w:rsid w:val="00A65C8E"/>
    <w:rsid w:val="00A66185"/>
    <w:rsid w:val="00A66A3B"/>
    <w:rsid w:val="00A67193"/>
    <w:rsid w:val="00A67ABE"/>
    <w:rsid w:val="00A67B81"/>
    <w:rsid w:val="00A67CA5"/>
    <w:rsid w:val="00A67D6E"/>
    <w:rsid w:val="00A67E10"/>
    <w:rsid w:val="00A70533"/>
    <w:rsid w:val="00A70940"/>
    <w:rsid w:val="00A70EDA"/>
    <w:rsid w:val="00A711BB"/>
    <w:rsid w:val="00A71445"/>
    <w:rsid w:val="00A7172C"/>
    <w:rsid w:val="00A71C05"/>
    <w:rsid w:val="00A7267D"/>
    <w:rsid w:val="00A73768"/>
    <w:rsid w:val="00A73EAE"/>
    <w:rsid w:val="00A73FB4"/>
    <w:rsid w:val="00A748DC"/>
    <w:rsid w:val="00A74940"/>
    <w:rsid w:val="00A7499A"/>
    <w:rsid w:val="00A74A7A"/>
    <w:rsid w:val="00A74B24"/>
    <w:rsid w:val="00A74DC8"/>
    <w:rsid w:val="00A754C7"/>
    <w:rsid w:val="00A7561D"/>
    <w:rsid w:val="00A758AA"/>
    <w:rsid w:val="00A759E1"/>
    <w:rsid w:val="00A75AEE"/>
    <w:rsid w:val="00A75B37"/>
    <w:rsid w:val="00A75C06"/>
    <w:rsid w:val="00A75C3C"/>
    <w:rsid w:val="00A75C85"/>
    <w:rsid w:val="00A75F5F"/>
    <w:rsid w:val="00A76420"/>
    <w:rsid w:val="00A7642F"/>
    <w:rsid w:val="00A76722"/>
    <w:rsid w:val="00A767FB"/>
    <w:rsid w:val="00A76A47"/>
    <w:rsid w:val="00A76E00"/>
    <w:rsid w:val="00A76F29"/>
    <w:rsid w:val="00A7739E"/>
    <w:rsid w:val="00A77487"/>
    <w:rsid w:val="00A7777C"/>
    <w:rsid w:val="00A77ABA"/>
    <w:rsid w:val="00A77B6B"/>
    <w:rsid w:val="00A812AA"/>
    <w:rsid w:val="00A81C16"/>
    <w:rsid w:val="00A83BF1"/>
    <w:rsid w:val="00A83E73"/>
    <w:rsid w:val="00A841F2"/>
    <w:rsid w:val="00A84348"/>
    <w:rsid w:val="00A8496E"/>
    <w:rsid w:val="00A84999"/>
    <w:rsid w:val="00A84B40"/>
    <w:rsid w:val="00A853EC"/>
    <w:rsid w:val="00A862DE"/>
    <w:rsid w:val="00A8721C"/>
    <w:rsid w:val="00A87515"/>
    <w:rsid w:val="00A877CC"/>
    <w:rsid w:val="00A878C2"/>
    <w:rsid w:val="00A87BB2"/>
    <w:rsid w:val="00A87D60"/>
    <w:rsid w:val="00A90239"/>
    <w:rsid w:val="00A90790"/>
    <w:rsid w:val="00A90803"/>
    <w:rsid w:val="00A90B44"/>
    <w:rsid w:val="00A91E87"/>
    <w:rsid w:val="00A91EE0"/>
    <w:rsid w:val="00A92140"/>
    <w:rsid w:val="00A922F7"/>
    <w:rsid w:val="00A9279C"/>
    <w:rsid w:val="00A92AA8"/>
    <w:rsid w:val="00A92FCC"/>
    <w:rsid w:val="00A930E3"/>
    <w:rsid w:val="00A93154"/>
    <w:rsid w:val="00A931F6"/>
    <w:rsid w:val="00A93975"/>
    <w:rsid w:val="00A93AB0"/>
    <w:rsid w:val="00A93B84"/>
    <w:rsid w:val="00A941EE"/>
    <w:rsid w:val="00A94A40"/>
    <w:rsid w:val="00A95008"/>
    <w:rsid w:val="00A95677"/>
    <w:rsid w:val="00A9568E"/>
    <w:rsid w:val="00A96203"/>
    <w:rsid w:val="00A96B9C"/>
    <w:rsid w:val="00A96C78"/>
    <w:rsid w:val="00A96CC9"/>
    <w:rsid w:val="00A96E64"/>
    <w:rsid w:val="00A97400"/>
    <w:rsid w:val="00A9799B"/>
    <w:rsid w:val="00A97D50"/>
    <w:rsid w:val="00A97E6B"/>
    <w:rsid w:val="00AA0136"/>
    <w:rsid w:val="00AA0163"/>
    <w:rsid w:val="00AA01C3"/>
    <w:rsid w:val="00AA09D3"/>
    <w:rsid w:val="00AA0A2A"/>
    <w:rsid w:val="00AA0AA0"/>
    <w:rsid w:val="00AA0CF1"/>
    <w:rsid w:val="00AA12FC"/>
    <w:rsid w:val="00AA142F"/>
    <w:rsid w:val="00AA1908"/>
    <w:rsid w:val="00AA1FFB"/>
    <w:rsid w:val="00AA2779"/>
    <w:rsid w:val="00AA2D3D"/>
    <w:rsid w:val="00AA3293"/>
    <w:rsid w:val="00AA334D"/>
    <w:rsid w:val="00AA3890"/>
    <w:rsid w:val="00AA39D9"/>
    <w:rsid w:val="00AA3D3D"/>
    <w:rsid w:val="00AA4790"/>
    <w:rsid w:val="00AA4AED"/>
    <w:rsid w:val="00AA4FD3"/>
    <w:rsid w:val="00AA540F"/>
    <w:rsid w:val="00AA5BF2"/>
    <w:rsid w:val="00AA6CF2"/>
    <w:rsid w:val="00AA6D74"/>
    <w:rsid w:val="00AA6ED0"/>
    <w:rsid w:val="00AA705B"/>
    <w:rsid w:val="00AA7167"/>
    <w:rsid w:val="00AA77E5"/>
    <w:rsid w:val="00AB025D"/>
    <w:rsid w:val="00AB0705"/>
    <w:rsid w:val="00AB0B28"/>
    <w:rsid w:val="00AB0B39"/>
    <w:rsid w:val="00AB104D"/>
    <w:rsid w:val="00AB122B"/>
    <w:rsid w:val="00AB13EA"/>
    <w:rsid w:val="00AB19CC"/>
    <w:rsid w:val="00AB1B08"/>
    <w:rsid w:val="00AB1FFF"/>
    <w:rsid w:val="00AB23F3"/>
    <w:rsid w:val="00AB2713"/>
    <w:rsid w:val="00AB2940"/>
    <w:rsid w:val="00AB4BF9"/>
    <w:rsid w:val="00AB4C49"/>
    <w:rsid w:val="00AB5033"/>
    <w:rsid w:val="00AB606C"/>
    <w:rsid w:val="00AB60CB"/>
    <w:rsid w:val="00AB6F37"/>
    <w:rsid w:val="00AB7644"/>
    <w:rsid w:val="00AB7A79"/>
    <w:rsid w:val="00AB7CE1"/>
    <w:rsid w:val="00AB7DF9"/>
    <w:rsid w:val="00AB7FBB"/>
    <w:rsid w:val="00AC00EC"/>
    <w:rsid w:val="00AC0517"/>
    <w:rsid w:val="00AC0636"/>
    <w:rsid w:val="00AC083B"/>
    <w:rsid w:val="00AC1690"/>
    <w:rsid w:val="00AC18DA"/>
    <w:rsid w:val="00AC1D75"/>
    <w:rsid w:val="00AC1F91"/>
    <w:rsid w:val="00AC2064"/>
    <w:rsid w:val="00AC23A7"/>
    <w:rsid w:val="00AC2431"/>
    <w:rsid w:val="00AC25DC"/>
    <w:rsid w:val="00AC266D"/>
    <w:rsid w:val="00AC2AD7"/>
    <w:rsid w:val="00AC338B"/>
    <w:rsid w:val="00AC44F8"/>
    <w:rsid w:val="00AC4BB1"/>
    <w:rsid w:val="00AC4D77"/>
    <w:rsid w:val="00AC514B"/>
    <w:rsid w:val="00AC54EC"/>
    <w:rsid w:val="00AC60EF"/>
    <w:rsid w:val="00AC61E2"/>
    <w:rsid w:val="00AC6939"/>
    <w:rsid w:val="00AC7D09"/>
    <w:rsid w:val="00AC7EA5"/>
    <w:rsid w:val="00AC7F86"/>
    <w:rsid w:val="00AD04DD"/>
    <w:rsid w:val="00AD0509"/>
    <w:rsid w:val="00AD09BF"/>
    <w:rsid w:val="00AD0C26"/>
    <w:rsid w:val="00AD1111"/>
    <w:rsid w:val="00AD112F"/>
    <w:rsid w:val="00AD1212"/>
    <w:rsid w:val="00AD19CE"/>
    <w:rsid w:val="00AD1A8F"/>
    <w:rsid w:val="00AD1AC2"/>
    <w:rsid w:val="00AD1CA4"/>
    <w:rsid w:val="00AD30A1"/>
    <w:rsid w:val="00AD3318"/>
    <w:rsid w:val="00AD3405"/>
    <w:rsid w:val="00AD3709"/>
    <w:rsid w:val="00AD42BA"/>
    <w:rsid w:val="00AD5071"/>
    <w:rsid w:val="00AD516B"/>
    <w:rsid w:val="00AD52FF"/>
    <w:rsid w:val="00AD548E"/>
    <w:rsid w:val="00AD576A"/>
    <w:rsid w:val="00AD5ACE"/>
    <w:rsid w:val="00AD5ADD"/>
    <w:rsid w:val="00AD5D50"/>
    <w:rsid w:val="00AD5F6C"/>
    <w:rsid w:val="00AD6243"/>
    <w:rsid w:val="00AD679D"/>
    <w:rsid w:val="00AD7203"/>
    <w:rsid w:val="00AD77DC"/>
    <w:rsid w:val="00AD7AC1"/>
    <w:rsid w:val="00AD7D82"/>
    <w:rsid w:val="00AD7ECB"/>
    <w:rsid w:val="00AD7F05"/>
    <w:rsid w:val="00AE06C5"/>
    <w:rsid w:val="00AE0788"/>
    <w:rsid w:val="00AE09CB"/>
    <w:rsid w:val="00AE0C9D"/>
    <w:rsid w:val="00AE1221"/>
    <w:rsid w:val="00AE2277"/>
    <w:rsid w:val="00AE2FB6"/>
    <w:rsid w:val="00AE33F4"/>
    <w:rsid w:val="00AE3A19"/>
    <w:rsid w:val="00AE3E40"/>
    <w:rsid w:val="00AE404A"/>
    <w:rsid w:val="00AE4893"/>
    <w:rsid w:val="00AE4D38"/>
    <w:rsid w:val="00AE4FC2"/>
    <w:rsid w:val="00AE519A"/>
    <w:rsid w:val="00AE5427"/>
    <w:rsid w:val="00AE5631"/>
    <w:rsid w:val="00AE583B"/>
    <w:rsid w:val="00AE60FD"/>
    <w:rsid w:val="00AE6515"/>
    <w:rsid w:val="00AE68C9"/>
    <w:rsid w:val="00AE69CB"/>
    <w:rsid w:val="00AE6D40"/>
    <w:rsid w:val="00AE6DE7"/>
    <w:rsid w:val="00AE760D"/>
    <w:rsid w:val="00AE7930"/>
    <w:rsid w:val="00AE7EDA"/>
    <w:rsid w:val="00AE7FDC"/>
    <w:rsid w:val="00AF06A3"/>
    <w:rsid w:val="00AF0997"/>
    <w:rsid w:val="00AF0DB2"/>
    <w:rsid w:val="00AF109F"/>
    <w:rsid w:val="00AF179D"/>
    <w:rsid w:val="00AF1C50"/>
    <w:rsid w:val="00AF1DE3"/>
    <w:rsid w:val="00AF20CF"/>
    <w:rsid w:val="00AF25B7"/>
    <w:rsid w:val="00AF37CE"/>
    <w:rsid w:val="00AF4028"/>
    <w:rsid w:val="00AF450D"/>
    <w:rsid w:val="00AF4595"/>
    <w:rsid w:val="00AF4B18"/>
    <w:rsid w:val="00AF5C38"/>
    <w:rsid w:val="00AF6380"/>
    <w:rsid w:val="00AF655D"/>
    <w:rsid w:val="00AF6CAC"/>
    <w:rsid w:val="00AF6D8E"/>
    <w:rsid w:val="00AF7643"/>
    <w:rsid w:val="00AF7B1B"/>
    <w:rsid w:val="00AF7CB6"/>
    <w:rsid w:val="00AF7EE7"/>
    <w:rsid w:val="00B00186"/>
    <w:rsid w:val="00B014B6"/>
    <w:rsid w:val="00B015B6"/>
    <w:rsid w:val="00B01EA3"/>
    <w:rsid w:val="00B02141"/>
    <w:rsid w:val="00B021F0"/>
    <w:rsid w:val="00B022E3"/>
    <w:rsid w:val="00B02625"/>
    <w:rsid w:val="00B038B3"/>
    <w:rsid w:val="00B04727"/>
    <w:rsid w:val="00B05549"/>
    <w:rsid w:val="00B058BD"/>
    <w:rsid w:val="00B05988"/>
    <w:rsid w:val="00B06B76"/>
    <w:rsid w:val="00B06B92"/>
    <w:rsid w:val="00B06DB5"/>
    <w:rsid w:val="00B0701F"/>
    <w:rsid w:val="00B07148"/>
    <w:rsid w:val="00B07A01"/>
    <w:rsid w:val="00B10619"/>
    <w:rsid w:val="00B10BBC"/>
    <w:rsid w:val="00B11239"/>
    <w:rsid w:val="00B116DC"/>
    <w:rsid w:val="00B11CCC"/>
    <w:rsid w:val="00B11CF5"/>
    <w:rsid w:val="00B1229A"/>
    <w:rsid w:val="00B1240D"/>
    <w:rsid w:val="00B1259A"/>
    <w:rsid w:val="00B127D7"/>
    <w:rsid w:val="00B12FF6"/>
    <w:rsid w:val="00B13355"/>
    <w:rsid w:val="00B13453"/>
    <w:rsid w:val="00B135A2"/>
    <w:rsid w:val="00B137DF"/>
    <w:rsid w:val="00B138BF"/>
    <w:rsid w:val="00B147A8"/>
    <w:rsid w:val="00B14D58"/>
    <w:rsid w:val="00B150B0"/>
    <w:rsid w:val="00B153E1"/>
    <w:rsid w:val="00B1598B"/>
    <w:rsid w:val="00B1639E"/>
    <w:rsid w:val="00B168D5"/>
    <w:rsid w:val="00B175CB"/>
    <w:rsid w:val="00B17644"/>
    <w:rsid w:val="00B17852"/>
    <w:rsid w:val="00B20847"/>
    <w:rsid w:val="00B20E46"/>
    <w:rsid w:val="00B21858"/>
    <w:rsid w:val="00B21EF0"/>
    <w:rsid w:val="00B222BB"/>
    <w:rsid w:val="00B22BCE"/>
    <w:rsid w:val="00B22BD7"/>
    <w:rsid w:val="00B2300B"/>
    <w:rsid w:val="00B232E5"/>
    <w:rsid w:val="00B23ADF"/>
    <w:rsid w:val="00B23F47"/>
    <w:rsid w:val="00B243C0"/>
    <w:rsid w:val="00B244E0"/>
    <w:rsid w:val="00B246A5"/>
    <w:rsid w:val="00B24DDA"/>
    <w:rsid w:val="00B24E36"/>
    <w:rsid w:val="00B25001"/>
    <w:rsid w:val="00B250CB"/>
    <w:rsid w:val="00B2609D"/>
    <w:rsid w:val="00B26370"/>
    <w:rsid w:val="00B2701F"/>
    <w:rsid w:val="00B27428"/>
    <w:rsid w:val="00B27796"/>
    <w:rsid w:val="00B3077D"/>
    <w:rsid w:val="00B3093B"/>
    <w:rsid w:val="00B30D22"/>
    <w:rsid w:val="00B31043"/>
    <w:rsid w:val="00B31D11"/>
    <w:rsid w:val="00B320D0"/>
    <w:rsid w:val="00B32187"/>
    <w:rsid w:val="00B3257D"/>
    <w:rsid w:val="00B3308F"/>
    <w:rsid w:val="00B33269"/>
    <w:rsid w:val="00B333DB"/>
    <w:rsid w:val="00B3346A"/>
    <w:rsid w:val="00B33476"/>
    <w:rsid w:val="00B3349A"/>
    <w:rsid w:val="00B338DC"/>
    <w:rsid w:val="00B3399C"/>
    <w:rsid w:val="00B33B23"/>
    <w:rsid w:val="00B33DD7"/>
    <w:rsid w:val="00B344DA"/>
    <w:rsid w:val="00B34E0B"/>
    <w:rsid w:val="00B34F4F"/>
    <w:rsid w:val="00B35037"/>
    <w:rsid w:val="00B3522C"/>
    <w:rsid w:val="00B3588C"/>
    <w:rsid w:val="00B35B83"/>
    <w:rsid w:val="00B35D0E"/>
    <w:rsid w:val="00B35E0E"/>
    <w:rsid w:val="00B36734"/>
    <w:rsid w:val="00B36E12"/>
    <w:rsid w:val="00B36E1D"/>
    <w:rsid w:val="00B37249"/>
    <w:rsid w:val="00B37381"/>
    <w:rsid w:val="00B377C2"/>
    <w:rsid w:val="00B37A32"/>
    <w:rsid w:val="00B37A7E"/>
    <w:rsid w:val="00B37ABC"/>
    <w:rsid w:val="00B4054E"/>
    <w:rsid w:val="00B407EC"/>
    <w:rsid w:val="00B409CA"/>
    <w:rsid w:val="00B4144A"/>
    <w:rsid w:val="00B41B2D"/>
    <w:rsid w:val="00B41E8B"/>
    <w:rsid w:val="00B424CA"/>
    <w:rsid w:val="00B429F0"/>
    <w:rsid w:val="00B42A35"/>
    <w:rsid w:val="00B42BBC"/>
    <w:rsid w:val="00B42DAB"/>
    <w:rsid w:val="00B4393E"/>
    <w:rsid w:val="00B43979"/>
    <w:rsid w:val="00B43DD9"/>
    <w:rsid w:val="00B4407F"/>
    <w:rsid w:val="00B44699"/>
    <w:rsid w:val="00B44EB2"/>
    <w:rsid w:val="00B45487"/>
    <w:rsid w:val="00B456B2"/>
    <w:rsid w:val="00B4669B"/>
    <w:rsid w:val="00B46BC3"/>
    <w:rsid w:val="00B46D07"/>
    <w:rsid w:val="00B46DB5"/>
    <w:rsid w:val="00B471D0"/>
    <w:rsid w:val="00B47498"/>
    <w:rsid w:val="00B47702"/>
    <w:rsid w:val="00B50605"/>
    <w:rsid w:val="00B5069C"/>
    <w:rsid w:val="00B508F6"/>
    <w:rsid w:val="00B50FE4"/>
    <w:rsid w:val="00B5127A"/>
    <w:rsid w:val="00B5146A"/>
    <w:rsid w:val="00B514B0"/>
    <w:rsid w:val="00B51789"/>
    <w:rsid w:val="00B51BF5"/>
    <w:rsid w:val="00B51D96"/>
    <w:rsid w:val="00B52278"/>
    <w:rsid w:val="00B522F6"/>
    <w:rsid w:val="00B524FC"/>
    <w:rsid w:val="00B528F5"/>
    <w:rsid w:val="00B52C15"/>
    <w:rsid w:val="00B531CC"/>
    <w:rsid w:val="00B532A0"/>
    <w:rsid w:val="00B533B8"/>
    <w:rsid w:val="00B53B1A"/>
    <w:rsid w:val="00B53C29"/>
    <w:rsid w:val="00B54532"/>
    <w:rsid w:val="00B54AA7"/>
    <w:rsid w:val="00B55640"/>
    <w:rsid w:val="00B558F1"/>
    <w:rsid w:val="00B55EEE"/>
    <w:rsid w:val="00B57D36"/>
    <w:rsid w:val="00B57F98"/>
    <w:rsid w:val="00B60124"/>
    <w:rsid w:val="00B606A1"/>
    <w:rsid w:val="00B60962"/>
    <w:rsid w:val="00B60E20"/>
    <w:rsid w:val="00B6107E"/>
    <w:rsid w:val="00B61242"/>
    <w:rsid w:val="00B6130D"/>
    <w:rsid w:val="00B61627"/>
    <w:rsid w:val="00B61B22"/>
    <w:rsid w:val="00B61D05"/>
    <w:rsid w:val="00B62590"/>
    <w:rsid w:val="00B63685"/>
    <w:rsid w:val="00B6369D"/>
    <w:rsid w:val="00B636DC"/>
    <w:rsid w:val="00B6419C"/>
    <w:rsid w:val="00B6471A"/>
    <w:rsid w:val="00B6508C"/>
    <w:rsid w:val="00B650FD"/>
    <w:rsid w:val="00B65522"/>
    <w:rsid w:val="00B657B9"/>
    <w:rsid w:val="00B659FC"/>
    <w:rsid w:val="00B6605A"/>
    <w:rsid w:val="00B6606F"/>
    <w:rsid w:val="00B661E0"/>
    <w:rsid w:val="00B66613"/>
    <w:rsid w:val="00B666F6"/>
    <w:rsid w:val="00B66B52"/>
    <w:rsid w:val="00B66BD3"/>
    <w:rsid w:val="00B66EC5"/>
    <w:rsid w:val="00B6711A"/>
    <w:rsid w:val="00B6739A"/>
    <w:rsid w:val="00B67993"/>
    <w:rsid w:val="00B67B1B"/>
    <w:rsid w:val="00B67C18"/>
    <w:rsid w:val="00B70728"/>
    <w:rsid w:val="00B70883"/>
    <w:rsid w:val="00B7099E"/>
    <w:rsid w:val="00B70FBC"/>
    <w:rsid w:val="00B71B33"/>
    <w:rsid w:val="00B71D46"/>
    <w:rsid w:val="00B71D90"/>
    <w:rsid w:val="00B71E1F"/>
    <w:rsid w:val="00B72326"/>
    <w:rsid w:val="00B72414"/>
    <w:rsid w:val="00B72C95"/>
    <w:rsid w:val="00B73842"/>
    <w:rsid w:val="00B73F3E"/>
    <w:rsid w:val="00B73FB8"/>
    <w:rsid w:val="00B7444F"/>
    <w:rsid w:val="00B74832"/>
    <w:rsid w:val="00B7497A"/>
    <w:rsid w:val="00B74D4F"/>
    <w:rsid w:val="00B74F83"/>
    <w:rsid w:val="00B769EB"/>
    <w:rsid w:val="00B77004"/>
    <w:rsid w:val="00B7722B"/>
    <w:rsid w:val="00B77559"/>
    <w:rsid w:val="00B77BCA"/>
    <w:rsid w:val="00B77D9F"/>
    <w:rsid w:val="00B80FCC"/>
    <w:rsid w:val="00B8140A"/>
    <w:rsid w:val="00B8157E"/>
    <w:rsid w:val="00B8161F"/>
    <w:rsid w:val="00B8163D"/>
    <w:rsid w:val="00B81C54"/>
    <w:rsid w:val="00B826F4"/>
    <w:rsid w:val="00B82729"/>
    <w:rsid w:val="00B8275F"/>
    <w:rsid w:val="00B82934"/>
    <w:rsid w:val="00B82D81"/>
    <w:rsid w:val="00B82DE5"/>
    <w:rsid w:val="00B82FA8"/>
    <w:rsid w:val="00B82FC0"/>
    <w:rsid w:val="00B83104"/>
    <w:rsid w:val="00B83353"/>
    <w:rsid w:val="00B83EAE"/>
    <w:rsid w:val="00B84160"/>
    <w:rsid w:val="00B849FA"/>
    <w:rsid w:val="00B84BF4"/>
    <w:rsid w:val="00B84E95"/>
    <w:rsid w:val="00B856FD"/>
    <w:rsid w:val="00B86265"/>
    <w:rsid w:val="00B86292"/>
    <w:rsid w:val="00B86738"/>
    <w:rsid w:val="00B86918"/>
    <w:rsid w:val="00B86A56"/>
    <w:rsid w:val="00B87282"/>
    <w:rsid w:val="00B87DB1"/>
    <w:rsid w:val="00B87F67"/>
    <w:rsid w:val="00B900A7"/>
    <w:rsid w:val="00B902AA"/>
    <w:rsid w:val="00B9060B"/>
    <w:rsid w:val="00B90B58"/>
    <w:rsid w:val="00B90F97"/>
    <w:rsid w:val="00B910AE"/>
    <w:rsid w:val="00B916AE"/>
    <w:rsid w:val="00B91818"/>
    <w:rsid w:val="00B91C6E"/>
    <w:rsid w:val="00B91C97"/>
    <w:rsid w:val="00B91F6A"/>
    <w:rsid w:val="00B923BE"/>
    <w:rsid w:val="00B92BA6"/>
    <w:rsid w:val="00B92E99"/>
    <w:rsid w:val="00B92FFF"/>
    <w:rsid w:val="00B933CB"/>
    <w:rsid w:val="00B93C18"/>
    <w:rsid w:val="00B93D4A"/>
    <w:rsid w:val="00B940B9"/>
    <w:rsid w:val="00B943C0"/>
    <w:rsid w:val="00B94B97"/>
    <w:rsid w:val="00B95416"/>
    <w:rsid w:val="00B957A0"/>
    <w:rsid w:val="00B964C2"/>
    <w:rsid w:val="00B966CC"/>
    <w:rsid w:val="00B96D55"/>
    <w:rsid w:val="00B96D61"/>
    <w:rsid w:val="00B9710A"/>
    <w:rsid w:val="00B97BA4"/>
    <w:rsid w:val="00B97DE8"/>
    <w:rsid w:val="00B97E23"/>
    <w:rsid w:val="00BA0253"/>
    <w:rsid w:val="00BA054D"/>
    <w:rsid w:val="00BA0B6B"/>
    <w:rsid w:val="00BA1807"/>
    <w:rsid w:val="00BA1FAD"/>
    <w:rsid w:val="00BA312A"/>
    <w:rsid w:val="00BA37FD"/>
    <w:rsid w:val="00BA394E"/>
    <w:rsid w:val="00BA3FAD"/>
    <w:rsid w:val="00BA4440"/>
    <w:rsid w:val="00BA4667"/>
    <w:rsid w:val="00BA46D9"/>
    <w:rsid w:val="00BA50EC"/>
    <w:rsid w:val="00BA552F"/>
    <w:rsid w:val="00BA5615"/>
    <w:rsid w:val="00BA59B4"/>
    <w:rsid w:val="00BA625B"/>
    <w:rsid w:val="00BA64AA"/>
    <w:rsid w:val="00BA6A60"/>
    <w:rsid w:val="00BA6B85"/>
    <w:rsid w:val="00BA6D35"/>
    <w:rsid w:val="00BA73DC"/>
    <w:rsid w:val="00BA7AF9"/>
    <w:rsid w:val="00BA7F61"/>
    <w:rsid w:val="00BB0376"/>
    <w:rsid w:val="00BB070E"/>
    <w:rsid w:val="00BB093A"/>
    <w:rsid w:val="00BB0A53"/>
    <w:rsid w:val="00BB0CCE"/>
    <w:rsid w:val="00BB0F9B"/>
    <w:rsid w:val="00BB108E"/>
    <w:rsid w:val="00BB1351"/>
    <w:rsid w:val="00BB13D0"/>
    <w:rsid w:val="00BB16F1"/>
    <w:rsid w:val="00BB1BD4"/>
    <w:rsid w:val="00BB1C20"/>
    <w:rsid w:val="00BB20AB"/>
    <w:rsid w:val="00BB237B"/>
    <w:rsid w:val="00BB24AF"/>
    <w:rsid w:val="00BB2594"/>
    <w:rsid w:val="00BB282F"/>
    <w:rsid w:val="00BB37F4"/>
    <w:rsid w:val="00BB3BE4"/>
    <w:rsid w:val="00BB46E7"/>
    <w:rsid w:val="00BB5283"/>
    <w:rsid w:val="00BB5623"/>
    <w:rsid w:val="00BB59CF"/>
    <w:rsid w:val="00BB5A5D"/>
    <w:rsid w:val="00BB5CC0"/>
    <w:rsid w:val="00BB66D0"/>
    <w:rsid w:val="00BB681C"/>
    <w:rsid w:val="00BB692F"/>
    <w:rsid w:val="00BB6991"/>
    <w:rsid w:val="00BB72FC"/>
    <w:rsid w:val="00BB7766"/>
    <w:rsid w:val="00BC0018"/>
    <w:rsid w:val="00BC039F"/>
    <w:rsid w:val="00BC0566"/>
    <w:rsid w:val="00BC0700"/>
    <w:rsid w:val="00BC0866"/>
    <w:rsid w:val="00BC08F9"/>
    <w:rsid w:val="00BC0947"/>
    <w:rsid w:val="00BC0BEF"/>
    <w:rsid w:val="00BC0E64"/>
    <w:rsid w:val="00BC1348"/>
    <w:rsid w:val="00BC140E"/>
    <w:rsid w:val="00BC164F"/>
    <w:rsid w:val="00BC1694"/>
    <w:rsid w:val="00BC17CD"/>
    <w:rsid w:val="00BC1C0E"/>
    <w:rsid w:val="00BC20BC"/>
    <w:rsid w:val="00BC226D"/>
    <w:rsid w:val="00BC280E"/>
    <w:rsid w:val="00BC2EC4"/>
    <w:rsid w:val="00BC32A1"/>
    <w:rsid w:val="00BC330B"/>
    <w:rsid w:val="00BC361A"/>
    <w:rsid w:val="00BC39A0"/>
    <w:rsid w:val="00BC3A64"/>
    <w:rsid w:val="00BC3AE3"/>
    <w:rsid w:val="00BC3B89"/>
    <w:rsid w:val="00BC3DCF"/>
    <w:rsid w:val="00BC453F"/>
    <w:rsid w:val="00BC49F8"/>
    <w:rsid w:val="00BC4D1F"/>
    <w:rsid w:val="00BC50B3"/>
    <w:rsid w:val="00BC5809"/>
    <w:rsid w:val="00BC5F79"/>
    <w:rsid w:val="00BC6D76"/>
    <w:rsid w:val="00BC7243"/>
    <w:rsid w:val="00BC7370"/>
    <w:rsid w:val="00BD0056"/>
    <w:rsid w:val="00BD057E"/>
    <w:rsid w:val="00BD0686"/>
    <w:rsid w:val="00BD0834"/>
    <w:rsid w:val="00BD0ECC"/>
    <w:rsid w:val="00BD10EF"/>
    <w:rsid w:val="00BD1168"/>
    <w:rsid w:val="00BD1500"/>
    <w:rsid w:val="00BD192F"/>
    <w:rsid w:val="00BD1A40"/>
    <w:rsid w:val="00BD1AFA"/>
    <w:rsid w:val="00BD1C7F"/>
    <w:rsid w:val="00BD1E50"/>
    <w:rsid w:val="00BD212A"/>
    <w:rsid w:val="00BD2D9D"/>
    <w:rsid w:val="00BD2FDB"/>
    <w:rsid w:val="00BD3155"/>
    <w:rsid w:val="00BD365D"/>
    <w:rsid w:val="00BD36C0"/>
    <w:rsid w:val="00BD381C"/>
    <w:rsid w:val="00BD4047"/>
    <w:rsid w:val="00BD4128"/>
    <w:rsid w:val="00BD464E"/>
    <w:rsid w:val="00BD4A7A"/>
    <w:rsid w:val="00BD538C"/>
    <w:rsid w:val="00BD5B6F"/>
    <w:rsid w:val="00BD5B9D"/>
    <w:rsid w:val="00BD62F0"/>
    <w:rsid w:val="00BD644C"/>
    <w:rsid w:val="00BD6B1A"/>
    <w:rsid w:val="00BD6CB6"/>
    <w:rsid w:val="00BD7F5B"/>
    <w:rsid w:val="00BE02C2"/>
    <w:rsid w:val="00BE06A5"/>
    <w:rsid w:val="00BE07E1"/>
    <w:rsid w:val="00BE07F2"/>
    <w:rsid w:val="00BE0C82"/>
    <w:rsid w:val="00BE0D97"/>
    <w:rsid w:val="00BE1110"/>
    <w:rsid w:val="00BE1319"/>
    <w:rsid w:val="00BE1505"/>
    <w:rsid w:val="00BE160D"/>
    <w:rsid w:val="00BE163E"/>
    <w:rsid w:val="00BE1640"/>
    <w:rsid w:val="00BE168E"/>
    <w:rsid w:val="00BE1883"/>
    <w:rsid w:val="00BE1C5F"/>
    <w:rsid w:val="00BE24BB"/>
    <w:rsid w:val="00BE2854"/>
    <w:rsid w:val="00BE3003"/>
    <w:rsid w:val="00BE391B"/>
    <w:rsid w:val="00BE419C"/>
    <w:rsid w:val="00BE4B31"/>
    <w:rsid w:val="00BE5820"/>
    <w:rsid w:val="00BE596E"/>
    <w:rsid w:val="00BE5DCA"/>
    <w:rsid w:val="00BE657D"/>
    <w:rsid w:val="00BE6B2A"/>
    <w:rsid w:val="00BE6BD9"/>
    <w:rsid w:val="00BE6ED6"/>
    <w:rsid w:val="00BE747E"/>
    <w:rsid w:val="00BE74D0"/>
    <w:rsid w:val="00BE7E27"/>
    <w:rsid w:val="00BE7E8E"/>
    <w:rsid w:val="00BE7F7E"/>
    <w:rsid w:val="00BF047C"/>
    <w:rsid w:val="00BF05FA"/>
    <w:rsid w:val="00BF072C"/>
    <w:rsid w:val="00BF0805"/>
    <w:rsid w:val="00BF0BA3"/>
    <w:rsid w:val="00BF1696"/>
    <w:rsid w:val="00BF1728"/>
    <w:rsid w:val="00BF1A89"/>
    <w:rsid w:val="00BF1C25"/>
    <w:rsid w:val="00BF1F3D"/>
    <w:rsid w:val="00BF223F"/>
    <w:rsid w:val="00BF263A"/>
    <w:rsid w:val="00BF2804"/>
    <w:rsid w:val="00BF2D81"/>
    <w:rsid w:val="00BF3BCC"/>
    <w:rsid w:val="00BF3CFE"/>
    <w:rsid w:val="00BF4611"/>
    <w:rsid w:val="00BF48EF"/>
    <w:rsid w:val="00BF4D41"/>
    <w:rsid w:val="00BF511C"/>
    <w:rsid w:val="00BF52D8"/>
    <w:rsid w:val="00BF53D2"/>
    <w:rsid w:val="00BF5BFC"/>
    <w:rsid w:val="00BF6103"/>
    <w:rsid w:val="00BF664F"/>
    <w:rsid w:val="00BF6965"/>
    <w:rsid w:val="00BF6D73"/>
    <w:rsid w:val="00BF6E5C"/>
    <w:rsid w:val="00BF6ED1"/>
    <w:rsid w:val="00BF70C4"/>
    <w:rsid w:val="00BF7333"/>
    <w:rsid w:val="00BF7783"/>
    <w:rsid w:val="00BF7907"/>
    <w:rsid w:val="00C001E5"/>
    <w:rsid w:val="00C005C3"/>
    <w:rsid w:val="00C0091C"/>
    <w:rsid w:val="00C00F90"/>
    <w:rsid w:val="00C010F7"/>
    <w:rsid w:val="00C011F6"/>
    <w:rsid w:val="00C01256"/>
    <w:rsid w:val="00C016AA"/>
    <w:rsid w:val="00C0175E"/>
    <w:rsid w:val="00C022F6"/>
    <w:rsid w:val="00C02729"/>
    <w:rsid w:val="00C02B0B"/>
    <w:rsid w:val="00C02C9E"/>
    <w:rsid w:val="00C03097"/>
    <w:rsid w:val="00C030BD"/>
    <w:rsid w:val="00C03123"/>
    <w:rsid w:val="00C0343C"/>
    <w:rsid w:val="00C03B2E"/>
    <w:rsid w:val="00C04028"/>
    <w:rsid w:val="00C0403F"/>
    <w:rsid w:val="00C0486B"/>
    <w:rsid w:val="00C04CBA"/>
    <w:rsid w:val="00C04EFB"/>
    <w:rsid w:val="00C04F76"/>
    <w:rsid w:val="00C05045"/>
    <w:rsid w:val="00C05638"/>
    <w:rsid w:val="00C0574B"/>
    <w:rsid w:val="00C0602E"/>
    <w:rsid w:val="00C060DE"/>
    <w:rsid w:val="00C067D5"/>
    <w:rsid w:val="00C06800"/>
    <w:rsid w:val="00C06E06"/>
    <w:rsid w:val="00C10125"/>
    <w:rsid w:val="00C102EB"/>
    <w:rsid w:val="00C10400"/>
    <w:rsid w:val="00C10869"/>
    <w:rsid w:val="00C10B6B"/>
    <w:rsid w:val="00C112DA"/>
    <w:rsid w:val="00C1169E"/>
    <w:rsid w:val="00C11861"/>
    <w:rsid w:val="00C1230C"/>
    <w:rsid w:val="00C12C7B"/>
    <w:rsid w:val="00C12D95"/>
    <w:rsid w:val="00C13431"/>
    <w:rsid w:val="00C13514"/>
    <w:rsid w:val="00C143DA"/>
    <w:rsid w:val="00C143F0"/>
    <w:rsid w:val="00C14796"/>
    <w:rsid w:val="00C14A87"/>
    <w:rsid w:val="00C14D18"/>
    <w:rsid w:val="00C14FAF"/>
    <w:rsid w:val="00C15068"/>
    <w:rsid w:val="00C15C0D"/>
    <w:rsid w:val="00C15E35"/>
    <w:rsid w:val="00C15F8B"/>
    <w:rsid w:val="00C163C3"/>
    <w:rsid w:val="00C164D3"/>
    <w:rsid w:val="00C166A1"/>
    <w:rsid w:val="00C16815"/>
    <w:rsid w:val="00C16B2B"/>
    <w:rsid w:val="00C16C73"/>
    <w:rsid w:val="00C16CC3"/>
    <w:rsid w:val="00C16F33"/>
    <w:rsid w:val="00C16FF9"/>
    <w:rsid w:val="00C171D6"/>
    <w:rsid w:val="00C1735E"/>
    <w:rsid w:val="00C1775C"/>
    <w:rsid w:val="00C211A3"/>
    <w:rsid w:val="00C21914"/>
    <w:rsid w:val="00C21C45"/>
    <w:rsid w:val="00C227AD"/>
    <w:rsid w:val="00C2284D"/>
    <w:rsid w:val="00C2317C"/>
    <w:rsid w:val="00C23265"/>
    <w:rsid w:val="00C232D5"/>
    <w:rsid w:val="00C232FE"/>
    <w:rsid w:val="00C2358B"/>
    <w:rsid w:val="00C2397F"/>
    <w:rsid w:val="00C23A33"/>
    <w:rsid w:val="00C2400C"/>
    <w:rsid w:val="00C24065"/>
    <w:rsid w:val="00C2426D"/>
    <w:rsid w:val="00C24642"/>
    <w:rsid w:val="00C246F6"/>
    <w:rsid w:val="00C24AF0"/>
    <w:rsid w:val="00C252D7"/>
    <w:rsid w:val="00C2539B"/>
    <w:rsid w:val="00C25703"/>
    <w:rsid w:val="00C25863"/>
    <w:rsid w:val="00C2598D"/>
    <w:rsid w:val="00C25B03"/>
    <w:rsid w:val="00C25B68"/>
    <w:rsid w:val="00C26812"/>
    <w:rsid w:val="00C26B1F"/>
    <w:rsid w:val="00C26E5C"/>
    <w:rsid w:val="00C27B2B"/>
    <w:rsid w:val="00C300BF"/>
    <w:rsid w:val="00C301A0"/>
    <w:rsid w:val="00C30276"/>
    <w:rsid w:val="00C30F12"/>
    <w:rsid w:val="00C31431"/>
    <w:rsid w:val="00C3296B"/>
    <w:rsid w:val="00C343DA"/>
    <w:rsid w:val="00C348A5"/>
    <w:rsid w:val="00C3534D"/>
    <w:rsid w:val="00C35687"/>
    <w:rsid w:val="00C363C5"/>
    <w:rsid w:val="00C36842"/>
    <w:rsid w:val="00C36C1C"/>
    <w:rsid w:val="00C3790A"/>
    <w:rsid w:val="00C37A5F"/>
    <w:rsid w:val="00C37CEF"/>
    <w:rsid w:val="00C407F6"/>
    <w:rsid w:val="00C40955"/>
    <w:rsid w:val="00C40F8C"/>
    <w:rsid w:val="00C41230"/>
    <w:rsid w:val="00C4142D"/>
    <w:rsid w:val="00C4143F"/>
    <w:rsid w:val="00C41D7F"/>
    <w:rsid w:val="00C42323"/>
    <w:rsid w:val="00C423D7"/>
    <w:rsid w:val="00C4298D"/>
    <w:rsid w:val="00C429DF"/>
    <w:rsid w:val="00C42A42"/>
    <w:rsid w:val="00C42A86"/>
    <w:rsid w:val="00C43048"/>
    <w:rsid w:val="00C4310A"/>
    <w:rsid w:val="00C43F86"/>
    <w:rsid w:val="00C44336"/>
    <w:rsid w:val="00C44A03"/>
    <w:rsid w:val="00C44A51"/>
    <w:rsid w:val="00C44DE2"/>
    <w:rsid w:val="00C45953"/>
    <w:rsid w:val="00C45E8C"/>
    <w:rsid w:val="00C46034"/>
    <w:rsid w:val="00C460C3"/>
    <w:rsid w:val="00C4619E"/>
    <w:rsid w:val="00C4646D"/>
    <w:rsid w:val="00C46581"/>
    <w:rsid w:val="00C46809"/>
    <w:rsid w:val="00C46947"/>
    <w:rsid w:val="00C471E8"/>
    <w:rsid w:val="00C474DF"/>
    <w:rsid w:val="00C47519"/>
    <w:rsid w:val="00C47B11"/>
    <w:rsid w:val="00C47CF7"/>
    <w:rsid w:val="00C47D5E"/>
    <w:rsid w:val="00C501C5"/>
    <w:rsid w:val="00C502B6"/>
    <w:rsid w:val="00C5109B"/>
    <w:rsid w:val="00C514CF"/>
    <w:rsid w:val="00C524C3"/>
    <w:rsid w:val="00C527F6"/>
    <w:rsid w:val="00C52E5B"/>
    <w:rsid w:val="00C5510F"/>
    <w:rsid w:val="00C5580F"/>
    <w:rsid w:val="00C55A5A"/>
    <w:rsid w:val="00C55B7D"/>
    <w:rsid w:val="00C55CDC"/>
    <w:rsid w:val="00C56202"/>
    <w:rsid w:val="00C563CC"/>
    <w:rsid w:val="00C56866"/>
    <w:rsid w:val="00C569FA"/>
    <w:rsid w:val="00C56BCD"/>
    <w:rsid w:val="00C56D18"/>
    <w:rsid w:val="00C56FDD"/>
    <w:rsid w:val="00C57136"/>
    <w:rsid w:val="00C5739E"/>
    <w:rsid w:val="00C57425"/>
    <w:rsid w:val="00C574A4"/>
    <w:rsid w:val="00C57AB4"/>
    <w:rsid w:val="00C57E90"/>
    <w:rsid w:val="00C57F49"/>
    <w:rsid w:val="00C604F7"/>
    <w:rsid w:val="00C6088E"/>
    <w:rsid w:val="00C60BAA"/>
    <w:rsid w:val="00C60E55"/>
    <w:rsid w:val="00C60F09"/>
    <w:rsid w:val="00C6140D"/>
    <w:rsid w:val="00C61748"/>
    <w:rsid w:val="00C618EF"/>
    <w:rsid w:val="00C618F2"/>
    <w:rsid w:val="00C6292D"/>
    <w:rsid w:val="00C62AC9"/>
    <w:rsid w:val="00C62DC4"/>
    <w:rsid w:val="00C62E11"/>
    <w:rsid w:val="00C62FFC"/>
    <w:rsid w:val="00C63959"/>
    <w:rsid w:val="00C63A1E"/>
    <w:rsid w:val="00C63FF0"/>
    <w:rsid w:val="00C64598"/>
    <w:rsid w:val="00C64E3B"/>
    <w:rsid w:val="00C64F6B"/>
    <w:rsid w:val="00C6541D"/>
    <w:rsid w:val="00C654CC"/>
    <w:rsid w:val="00C656B1"/>
    <w:rsid w:val="00C65715"/>
    <w:rsid w:val="00C65755"/>
    <w:rsid w:val="00C657C4"/>
    <w:rsid w:val="00C65A27"/>
    <w:rsid w:val="00C65D51"/>
    <w:rsid w:val="00C65DA7"/>
    <w:rsid w:val="00C66E01"/>
    <w:rsid w:val="00C674E2"/>
    <w:rsid w:val="00C67707"/>
    <w:rsid w:val="00C67A8A"/>
    <w:rsid w:val="00C67B2A"/>
    <w:rsid w:val="00C70283"/>
    <w:rsid w:val="00C70391"/>
    <w:rsid w:val="00C703C3"/>
    <w:rsid w:val="00C70555"/>
    <w:rsid w:val="00C70578"/>
    <w:rsid w:val="00C709EC"/>
    <w:rsid w:val="00C70CFA"/>
    <w:rsid w:val="00C7146B"/>
    <w:rsid w:val="00C72C00"/>
    <w:rsid w:val="00C72CC6"/>
    <w:rsid w:val="00C72FB3"/>
    <w:rsid w:val="00C73B08"/>
    <w:rsid w:val="00C73BAB"/>
    <w:rsid w:val="00C74301"/>
    <w:rsid w:val="00C7444E"/>
    <w:rsid w:val="00C74CDC"/>
    <w:rsid w:val="00C74D54"/>
    <w:rsid w:val="00C74DD2"/>
    <w:rsid w:val="00C752C0"/>
    <w:rsid w:val="00C7589A"/>
    <w:rsid w:val="00C75A4E"/>
    <w:rsid w:val="00C75B08"/>
    <w:rsid w:val="00C75B84"/>
    <w:rsid w:val="00C75B9F"/>
    <w:rsid w:val="00C75D66"/>
    <w:rsid w:val="00C76513"/>
    <w:rsid w:val="00C76619"/>
    <w:rsid w:val="00C7757B"/>
    <w:rsid w:val="00C777CC"/>
    <w:rsid w:val="00C779EF"/>
    <w:rsid w:val="00C77BF3"/>
    <w:rsid w:val="00C80003"/>
    <w:rsid w:val="00C801FA"/>
    <w:rsid w:val="00C80F92"/>
    <w:rsid w:val="00C81422"/>
    <w:rsid w:val="00C8180B"/>
    <w:rsid w:val="00C81CA4"/>
    <w:rsid w:val="00C821D5"/>
    <w:rsid w:val="00C824BF"/>
    <w:rsid w:val="00C82589"/>
    <w:rsid w:val="00C82EC8"/>
    <w:rsid w:val="00C834DD"/>
    <w:rsid w:val="00C83950"/>
    <w:rsid w:val="00C83A78"/>
    <w:rsid w:val="00C83C17"/>
    <w:rsid w:val="00C84133"/>
    <w:rsid w:val="00C849C2"/>
    <w:rsid w:val="00C84DC5"/>
    <w:rsid w:val="00C861F4"/>
    <w:rsid w:val="00C86A3D"/>
    <w:rsid w:val="00C86CAD"/>
    <w:rsid w:val="00C877CA"/>
    <w:rsid w:val="00C903DB"/>
    <w:rsid w:val="00C903E8"/>
    <w:rsid w:val="00C90765"/>
    <w:rsid w:val="00C90B6A"/>
    <w:rsid w:val="00C90D91"/>
    <w:rsid w:val="00C90DD1"/>
    <w:rsid w:val="00C90F13"/>
    <w:rsid w:val="00C91A12"/>
    <w:rsid w:val="00C91E21"/>
    <w:rsid w:val="00C9266A"/>
    <w:rsid w:val="00C928DA"/>
    <w:rsid w:val="00C932B5"/>
    <w:rsid w:val="00C9348B"/>
    <w:rsid w:val="00C93B95"/>
    <w:rsid w:val="00C93E37"/>
    <w:rsid w:val="00C941FE"/>
    <w:rsid w:val="00C94A30"/>
    <w:rsid w:val="00C94D1F"/>
    <w:rsid w:val="00C94DDA"/>
    <w:rsid w:val="00C95B2D"/>
    <w:rsid w:val="00C95C7D"/>
    <w:rsid w:val="00C964A7"/>
    <w:rsid w:val="00C96D22"/>
    <w:rsid w:val="00C96EDE"/>
    <w:rsid w:val="00C97599"/>
    <w:rsid w:val="00C977CA"/>
    <w:rsid w:val="00C97D60"/>
    <w:rsid w:val="00CA073A"/>
    <w:rsid w:val="00CA09ED"/>
    <w:rsid w:val="00CA0D55"/>
    <w:rsid w:val="00CA0E94"/>
    <w:rsid w:val="00CA0ECE"/>
    <w:rsid w:val="00CA114D"/>
    <w:rsid w:val="00CA1702"/>
    <w:rsid w:val="00CA1AC6"/>
    <w:rsid w:val="00CA1D28"/>
    <w:rsid w:val="00CA1FDE"/>
    <w:rsid w:val="00CA25F9"/>
    <w:rsid w:val="00CA2D74"/>
    <w:rsid w:val="00CA31F4"/>
    <w:rsid w:val="00CA32ED"/>
    <w:rsid w:val="00CA34D2"/>
    <w:rsid w:val="00CA3683"/>
    <w:rsid w:val="00CA3E01"/>
    <w:rsid w:val="00CA3FD4"/>
    <w:rsid w:val="00CA446B"/>
    <w:rsid w:val="00CA448B"/>
    <w:rsid w:val="00CA4979"/>
    <w:rsid w:val="00CA4AEF"/>
    <w:rsid w:val="00CA5648"/>
    <w:rsid w:val="00CA603C"/>
    <w:rsid w:val="00CA6793"/>
    <w:rsid w:val="00CA6E30"/>
    <w:rsid w:val="00CA7093"/>
    <w:rsid w:val="00CA7593"/>
    <w:rsid w:val="00CA7671"/>
    <w:rsid w:val="00CA7F19"/>
    <w:rsid w:val="00CB02ED"/>
    <w:rsid w:val="00CB0C2A"/>
    <w:rsid w:val="00CB1BF4"/>
    <w:rsid w:val="00CB1E55"/>
    <w:rsid w:val="00CB236F"/>
    <w:rsid w:val="00CB248B"/>
    <w:rsid w:val="00CB275B"/>
    <w:rsid w:val="00CB2C27"/>
    <w:rsid w:val="00CB3072"/>
    <w:rsid w:val="00CB30D3"/>
    <w:rsid w:val="00CB36A7"/>
    <w:rsid w:val="00CB39A4"/>
    <w:rsid w:val="00CB3A29"/>
    <w:rsid w:val="00CB3BBB"/>
    <w:rsid w:val="00CB3C3A"/>
    <w:rsid w:val="00CB3E57"/>
    <w:rsid w:val="00CB4CBA"/>
    <w:rsid w:val="00CB5024"/>
    <w:rsid w:val="00CB5A4B"/>
    <w:rsid w:val="00CB5F37"/>
    <w:rsid w:val="00CB62DA"/>
    <w:rsid w:val="00CB68F2"/>
    <w:rsid w:val="00CB695E"/>
    <w:rsid w:val="00CB6CEC"/>
    <w:rsid w:val="00CB6F53"/>
    <w:rsid w:val="00CB70DA"/>
    <w:rsid w:val="00CB73B3"/>
    <w:rsid w:val="00CB76AF"/>
    <w:rsid w:val="00CB7AC3"/>
    <w:rsid w:val="00CB7C43"/>
    <w:rsid w:val="00CB7CEE"/>
    <w:rsid w:val="00CC020A"/>
    <w:rsid w:val="00CC06D1"/>
    <w:rsid w:val="00CC0B1E"/>
    <w:rsid w:val="00CC0F73"/>
    <w:rsid w:val="00CC1247"/>
    <w:rsid w:val="00CC15AA"/>
    <w:rsid w:val="00CC160F"/>
    <w:rsid w:val="00CC16C7"/>
    <w:rsid w:val="00CC17FA"/>
    <w:rsid w:val="00CC1927"/>
    <w:rsid w:val="00CC1E5D"/>
    <w:rsid w:val="00CC1ED2"/>
    <w:rsid w:val="00CC237C"/>
    <w:rsid w:val="00CC25B0"/>
    <w:rsid w:val="00CC25FC"/>
    <w:rsid w:val="00CC2F95"/>
    <w:rsid w:val="00CC30C2"/>
    <w:rsid w:val="00CC30CB"/>
    <w:rsid w:val="00CC3222"/>
    <w:rsid w:val="00CC3400"/>
    <w:rsid w:val="00CC3DF1"/>
    <w:rsid w:val="00CC4077"/>
    <w:rsid w:val="00CC41CF"/>
    <w:rsid w:val="00CC4216"/>
    <w:rsid w:val="00CC4469"/>
    <w:rsid w:val="00CC47DF"/>
    <w:rsid w:val="00CC4BE9"/>
    <w:rsid w:val="00CC50BB"/>
    <w:rsid w:val="00CC553B"/>
    <w:rsid w:val="00CC5633"/>
    <w:rsid w:val="00CC589C"/>
    <w:rsid w:val="00CC5A77"/>
    <w:rsid w:val="00CC5E0F"/>
    <w:rsid w:val="00CC6001"/>
    <w:rsid w:val="00CC607F"/>
    <w:rsid w:val="00CC6442"/>
    <w:rsid w:val="00CC740D"/>
    <w:rsid w:val="00CC75FC"/>
    <w:rsid w:val="00CC76F1"/>
    <w:rsid w:val="00CC76FF"/>
    <w:rsid w:val="00CD000D"/>
    <w:rsid w:val="00CD0235"/>
    <w:rsid w:val="00CD0C55"/>
    <w:rsid w:val="00CD0D7A"/>
    <w:rsid w:val="00CD0FED"/>
    <w:rsid w:val="00CD1343"/>
    <w:rsid w:val="00CD266E"/>
    <w:rsid w:val="00CD26C6"/>
    <w:rsid w:val="00CD3344"/>
    <w:rsid w:val="00CD40BC"/>
    <w:rsid w:val="00CD47A5"/>
    <w:rsid w:val="00CD5728"/>
    <w:rsid w:val="00CD5EB0"/>
    <w:rsid w:val="00CD6271"/>
    <w:rsid w:val="00CD62E7"/>
    <w:rsid w:val="00CD64D1"/>
    <w:rsid w:val="00CD6898"/>
    <w:rsid w:val="00CD7684"/>
    <w:rsid w:val="00CD7AED"/>
    <w:rsid w:val="00CD7C2E"/>
    <w:rsid w:val="00CE00F9"/>
    <w:rsid w:val="00CE0CA5"/>
    <w:rsid w:val="00CE1973"/>
    <w:rsid w:val="00CE2811"/>
    <w:rsid w:val="00CE42A9"/>
    <w:rsid w:val="00CE474E"/>
    <w:rsid w:val="00CE4D61"/>
    <w:rsid w:val="00CE5DF2"/>
    <w:rsid w:val="00CE629C"/>
    <w:rsid w:val="00CE7A9C"/>
    <w:rsid w:val="00CF06CC"/>
    <w:rsid w:val="00CF0C02"/>
    <w:rsid w:val="00CF0C74"/>
    <w:rsid w:val="00CF0CB8"/>
    <w:rsid w:val="00CF0F73"/>
    <w:rsid w:val="00CF119E"/>
    <w:rsid w:val="00CF1280"/>
    <w:rsid w:val="00CF1AF1"/>
    <w:rsid w:val="00CF1D26"/>
    <w:rsid w:val="00CF2088"/>
    <w:rsid w:val="00CF2255"/>
    <w:rsid w:val="00CF2A36"/>
    <w:rsid w:val="00CF2BB6"/>
    <w:rsid w:val="00CF35B1"/>
    <w:rsid w:val="00CF36C6"/>
    <w:rsid w:val="00CF3B4B"/>
    <w:rsid w:val="00CF4042"/>
    <w:rsid w:val="00CF4D10"/>
    <w:rsid w:val="00CF4EC5"/>
    <w:rsid w:val="00CF6259"/>
    <w:rsid w:val="00CF65F3"/>
    <w:rsid w:val="00CF71B8"/>
    <w:rsid w:val="00CF7B8D"/>
    <w:rsid w:val="00CF7D35"/>
    <w:rsid w:val="00D003E9"/>
    <w:rsid w:val="00D0041A"/>
    <w:rsid w:val="00D0059E"/>
    <w:rsid w:val="00D00B6C"/>
    <w:rsid w:val="00D00C3C"/>
    <w:rsid w:val="00D00C99"/>
    <w:rsid w:val="00D00CB5"/>
    <w:rsid w:val="00D01859"/>
    <w:rsid w:val="00D01C65"/>
    <w:rsid w:val="00D01E87"/>
    <w:rsid w:val="00D02253"/>
    <w:rsid w:val="00D02A1A"/>
    <w:rsid w:val="00D02B1D"/>
    <w:rsid w:val="00D02DC2"/>
    <w:rsid w:val="00D02E81"/>
    <w:rsid w:val="00D0346C"/>
    <w:rsid w:val="00D03D3E"/>
    <w:rsid w:val="00D0404E"/>
    <w:rsid w:val="00D0476F"/>
    <w:rsid w:val="00D049AD"/>
    <w:rsid w:val="00D05766"/>
    <w:rsid w:val="00D06150"/>
    <w:rsid w:val="00D0628A"/>
    <w:rsid w:val="00D067A1"/>
    <w:rsid w:val="00D069DA"/>
    <w:rsid w:val="00D06B5F"/>
    <w:rsid w:val="00D06BEE"/>
    <w:rsid w:val="00D06C80"/>
    <w:rsid w:val="00D06EFA"/>
    <w:rsid w:val="00D06F77"/>
    <w:rsid w:val="00D07125"/>
    <w:rsid w:val="00D0732D"/>
    <w:rsid w:val="00D077BC"/>
    <w:rsid w:val="00D07A6D"/>
    <w:rsid w:val="00D07C58"/>
    <w:rsid w:val="00D10224"/>
    <w:rsid w:val="00D1022C"/>
    <w:rsid w:val="00D10304"/>
    <w:rsid w:val="00D10823"/>
    <w:rsid w:val="00D109C6"/>
    <w:rsid w:val="00D10DE9"/>
    <w:rsid w:val="00D10EF9"/>
    <w:rsid w:val="00D10F3E"/>
    <w:rsid w:val="00D11219"/>
    <w:rsid w:val="00D1127E"/>
    <w:rsid w:val="00D11DE1"/>
    <w:rsid w:val="00D12F35"/>
    <w:rsid w:val="00D1321F"/>
    <w:rsid w:val="00D147E1"/>
    <w:rsid w:val="00D14AD1"/>
    <w:rsid w:val="00D14CEA"/>
    <w:rsid w:val="00D151B9"/>
    <w:rsid w:val="00D15326"/>
    <w:rsid w:val="00D15530"/>
    <w:rsid w:val="00D16537"/>
    <w:rsid w:val="00D1663C"/>
    <w:rsid w:val="00D16DFC"/>
    <w:rsid w:val="00D1747C"/>
    <w:rsid w:val="00D1773A"/>
    <w:rsid w:val="00D1773B"/>
    <w:rsid w:val="00D17FC5"/>
    <w:rsid w:val="00D20404"/>
    <w:rsid w:val="00D215A9"/>
    <w:rsid w:val="00D215CE"/>
    <w:rsid w:val="00D21737"/>
    <w:rsid w:val="00D21A72"/>
    <w:rsid w:val="00D226AC"/>
    <w:rsid w:val="00D22CD5"/>
    <w:rsid w:val="00D22D5C"/>
    <w:rsid w:val="00D2316B"/>
    <w:rsid w:val="00D2358D"/>
    <w:rsid w:val="00D23761"/>
    <w:rsid w:val="00D2389D"/>
    <w:rsid w:val="00D23C7C"/>
    <w:rsid w:val="00D242B6"/>
    <w:rsid w:val="00D24E12"/>
    <w:rsid w:val="00D24E4D"/>
    <w:rsid w:val="00D255F2"/>
    <w:rsid w:val="00D25ABE"/>
    <w:rsid w:val="00D25FB3"/>
    <w:rsid w:val="00D2649B"/>
    <w:rsid w:val="00D2702F"/>
    <w:rsid w:val="00D30002"/>
    <w:rsid w:val="00D3030B"/>
    <w:rsid w:val="00D30315"/>
    <w:rsid w:val="00D307D4"/>
    <w:rsid w:val="00D30A70"/>
    <w:rsid w:val="00D3112C"/>
    <w:rsid w:val="00D31343"/>
    <w:rsid w:val="00D31EAE"/>
    <w:rsid w:val="00D3272B"/>
    <w:rsid w:val="00D32D15"/>
    <w:rsid w:val="00D32F63"/>
    <w:rsid w:val="00D336BA"/>
    <w:rsid w:val="00D3443B"/>
    <w:rsid w:val="00D3445B"/>
    <w:rsid w:val="00D34A1B"/>
    <w:rsid w:val="00D35E15"/>
    <w:rsid w:val="00D36397"/>
    <w:rsid w:val="00D36E20"/>
    <w:rsid w:val="00D370CB"/>
    <w:rsid w:val="00D376B7"/>
    <w:rsid w:val="00D3779C"/>
    <w:rsid w:val="00D3796C"/>
    <w:rsid w:val="00D40942"/>
    <w:rsid w:val="00D40BC6"/>
    <w:rsid w:val="00D40D59"/>
    <w:rsid w:val="00D41528"/>
    <w:rsid w:val="00D415E3"/>
    <w:rsid w:val="00D41921"/>
    <w:rsid w:val="00D42E3B"/>
    <w:rsid w:val="00D42E97"/>
    <w:rsid w:val="00D43141"/>
    <w:rsid w:val="00D43726"/>
    <w:rsid w:val="00D43BBF"/>
    <w:rsid w:val="00D440D3"/>
    <w:rsid w:val="00D441D1"/>
    <w:rsid w:val="00D4475D"/>
    <w:rsid w:val="00D447EB"/>
    <w:rsid w:val="00D44B6E"/>
    <w:rsid w:val="00D44E5A"/>
    <w:rsid w:val="00D4533A"/>
    <w:rsid w:val="00D454CB"/>
    <w:rsid w:val="00D45C24"/>
    <w:rsid w:val="00D45E24"/>
    <w:rsid w:val="00D467B5"/>
    <w:rsid w:val="00D469B8"/>
    <w:rsid w:val="00D46CBC"/>
    <w:rsid w:val="00D46F94"/>
    <w:rsid w:val="00D47530"/>
    <w:rsid w:val="00D47D12"/>
    <w:rsid w:val="00D50006"/>
    <w:rsid w:val="00D50452"/>
    <w:rsid w:val="00D50B30"/>
    <w:rsid w:val="00D51607"/>
    <w:rsid w:val="00D517CD"/>
    <w:rsid w:val="00D51C24"/>
    <w:rsid w:val="00D521B6"/>
    <w:rsid w:val="00D521FD"/>
    <w:rsid w:val="00D5224A"/>
    <w:rsid w:val="00D52436"/>
    <w:rsid w:val="00D52D03"/>
    <w:rsid w:val="00D52EA6"/>
    <w:rsid w:val="00D53128"/>
    <w:rsid w:val="00D53821"/>
    <w:rsid w:val="00D538FA"/>
    <w:rsid w:val="00D539EA"/>
    <w:rsid w:val="00D53DA9"/>
    <w:rsid w:val="00D543E5"/>
    <w:rsid w:val="00D544C5"/>
    <w:rsid w:val="00D54627"/>
    <w:rsid w:val="00D54937"/>
    <w:rsid w:val="00D54EBE"/>
    <w:rsid w:val="00D54EDD"/>
    <w:rsid w:val="00D55794"/>
    <w:rsid w:val="00D558BB"/>
    <w:rsid w:val="00D55EE1"/>
    <w:rsid w:val="00D5642E"/>
    <w:rsid w:val="00D5659D"/>
    <w:rsid w:val="00D56762"/>
    <w:rsid w:val="00D56A94"/>
    <w:rsid w:val="00D571E4"/>
    <w:rsid w:val="00D5727F"/>
    <w:rsid w:val="00D572EA"/>
    <w:rsid w:val="00D577CA"/>
    <w:rsid w:val="00D6026B"/>
    <w:rsid w:val="00D6065A"/>
    <w:rsid w:val="00D60CE0"/>
    <w:rsid w:val="00D60FBA"/>
    <w:rsid w:val="00D613B2"/>
    <w:rsid w:val="00D615A9"/>
    <w:rsid w:val="00D615C5"/>
    <w:rsid w:val="00D61986"/>
    <w:rsid w:val="00D61DC1"/>
    <w:rsid w:val="00D6218B"/>
    <w:rsid w:val="00D62383"/>
    <w:rsid w:val="00D62A40"/>
    <w:rsid w:val="00D63CC0"/>
    <w:rsid w:val="00D63F5A"/>
    <w:rsid w:val="00D63FFB"/>
    <w:rsid w:val="00D64700"/>
    <w:rsid w:val="00D64952"/>
    <w:rsid w:val="00D64A10"/>
    <w:rsid w:val="00D65116"/>
    <w:rsid w:val="00D6532C"/>
    <w:rsid w:val="00D6548C"/>
    <w:rsid w:val="00D65715"/>
    <w:rsid w:val="00D65805"/>
    <w:rsid w:val="00D66112"/>
    <w:rsid w:val="00D661C1"/>
    <w:rsid w:val="00D66DB4"/>
    <w:rsid w:val="00D672B8"/>
    <w:rsid w:val="00D67B1B"/>
    <w:rsid w:val="00D67F87"/>
    <w:rsid w:val="00D7029B"/>
    <w:rsid w:val="00D70974"/>
    <w:rsid w:val="00D70B7B"/>
    <w:rsid w:val="00D70B9A"/>
    <w:rsid w:val="00D70E92"/>
    <w:rsid w:val="00D71298"/>
    <w:rsid w:val="00D716BB"/>
    <w:rsid w:val="00D718D9"/>
    <w:rsid w:val="00D71A2D"/>
    <w:rsid w:val="00D72A48"/>
    <w:rsid w:val="00D7305B"/>
    <w:rsid w:val="00D731C2"/>
    <w:rsid w:val="00D73438"/>
    <w:rsid w:val="00D73541"/>
    <w:rsid w:val="00D735AA"/>
    <w:rsid w:val="00D7368B"/>
    <w:rsid w:val="00D73A9E"/>
    <w:rsid w:val="00D740B1"/>
    <w:rsid w:val="00D74309"/>
    <w:rsid w:val="00D7449F"/>
    <w:rsid w:val="00D74930"/>
    <w:rsid w:val="00D74B18"/>
    <w:rsid w:val="00D74F7F"/>
    <w:rsid w:val="00D75A41"/>
    <w:rsid w:val="00D75A67"/>
    <w:rsid w:val="00D75F75"/>
    <w:rsid w:val="00D761B0"/>
    <w:rsid w:val="00D7676F"/>
    <w:rsid w:val="00D76C53"/>
    <w:rsid w:val="00D76E74"/>
    <w:rsid w:val="00D77119"/>
    <w:rsid w:val="00D7789C"/>
    <w:rsid w:val="00D77D3D"/>
    <w:rsid w:val="00D80254"/>
    <w:rsid w:val="00D80C93"/>
    <w:rsid w:val="00D81034"/>
    <w:rsid w:val="00D813B3"/>
    <w:rsid w:val="00D815A2"/>
    <w:rsid w:val="00D81705"/>
    <w:rsid w:val="00D81D69"/>
    <w:rsid w:val="00D81E13"/>
    <w:rsid w:val="00D82D7E"/>
    <w:rsid w:val="00D833A1"/>
    <w:rsid w:val="00D837F6"/>
    <w:rsid w:val="00D83905"/>
    <w:rsid w:val="00D839E5"/>
    <w:rsid w:val="00D84712"/>
    <w:rsid w:val="00D84745"/>
    <w:rsid w:val="00D84D75"/>
    <w:rsid w:val="00D851FB"/>
    <w:rsid w:val="00D8554C"/>
    <w:rsid w:val="00D85C67"/>
    <w:rsid w:val="00D86281"/>
    <w:rsid w:val="00D86A2F"/>
    <w:rsid w:val="00D86FE9"/>
    <w:rsid w:val="00D87829"/>
    <w:rsid w:val="00D87FA5"/>
    <w:rsid w:val="00D901FF"/>
    <w:rsid w:val="00D9047C"/>
    <w:rsid w:val="00D90662"/>
    <w:rsid w:val="00D9074B"/>
    <w:rsid w:val="00D90BED"/>
    <w:rsid w:val="00D90DDD"/>
    <w:rsid w:val="00D90E25"/>
    <w:rsid w:val="00D91436"/>
    <w:rsid w:val="00D91D46"/>
    <w:rsid w:val="00D928E3"/>
    <w:rsid w:val="00D931FF"/>
    <w:rsid w:val="00D94709"/>
    <w:rsid w:val="00D94B58"/>
    <w:rsid w:val="00D952C8"/>
    <w:rsid w:val="00D956CF"/>
    <w:rsid w:val="00D95B36"/>
    <w:rsid w:val="00D95BC5"/>
    <w:rsid w:val="00D95CD2"/>
    <w:rsid w:val="00D96099"/>
    <w:rsid w:val="00D96700"/>
    <w:rsid w:val="00D96883"/>
    <w:rsid w:val="00D96969"/>
    <w:rsid w:val="00D969E4"/>
    <w:rsid w:val="00D96E43"/>
    <w:rsid w:val="00D97148"/>
    <w:rsid w:val="00D973D1"/>
    <w:rsid w:val="00D974AA"/>
    <w:rsid w:val="00D97AFF"/>
    <w:rsid w:val="00D97D71"/>
    <w:rsid w:val="00DA0062"/>
    <w:rsid w:val="00DA0224"/>
    <w:rsid w:val="00DA0CAB"/>
    <w:rsid w:val="00DA0CE0"/>
    <w:rsid w:val="00DA16A9"/>
    <w:rsid w:val="00DA1802"/>
    <w:rsid w:val="00DA1F92"/>
    <w:rsid w:val="00DA233B"/>
    <w:rsid w:val="00DA2437"/>
    <w:rsid w:val="00DA24C2"/>
    <w:rsid w:val="00DA2A62"/>
    <w:rsid w:val="00DA2B4B"/>
    <w:rsid w:val="00DA2D66"/>
    <w:rsid w:val="00DA3743"/>
    <w:rsid w:val="00DA431B"/>
    <w:rsid w:val="00DA4839"/>
    <w:rsid w:val="00DA4913"/>
    <w:rsid w:val="00DA49C4"/>
    <w:rsid w:val="00DA62A0"/>
    <w:rsid w:val="00DA6D6A"/>
    <w:rsid w:val="00DB02ED"/>
    <w:rsid w:val="00DB03D4"/>
    <w:rsid w:val="00DB03EA"/>
    <w:rsid w:val="00DB0419"/>
    <w:rsid w:val="00DB0600"/>
    <w:rsid w:val="00DB0739"/>
    <w:rsid w:val="00DB0C3F"/>
    <w:rsid w:val="00DB0F00"/>
    <w:rsid w:val="00DB0F4E"/>
    <w:rsid w:val="00DB130C"/>
    <w:rsid w:val="00DB1815"/>
    <w:rsid w:val="00DB2435"/>
    <w:rsid w:val="00DB275F"/>
    <w:rsid w:val="00DB2946"/>
    <w:rsid w:val="00DB29D4"/>
    <w:rsid w:val="00DB2C4B"/>
    <w:rsid w:val="00DB2F3D"/>
    <w:rsid w:val="00DB3A5F"/>
    <w:rsid w:val="00DB51B6"/>
    <w:rsid w:val="00DB53E2"/>
    <w:rsid w:val="00DB5D05"/>
    <w:rsid w:val="00DB5EBE"/>
    <w:rsid w:val="00DB62E9"/>
    <w:rsid w:val="00DB6351"/>
    <w:rsid w:val="00DB63B1"/>
    <w:rsid w:val="00DB7580"/>
    <w:rsid w:val="00DB7710"/>
    <w:rsid w:val="00DB7C71"/>
    <w:rsid w:val="00DB7D47"/>
    <w:rsid w:val="00DC08F1"/>
    <w:rsid w:val="00DC0AC6"/>
    <w:rsid w:val="00DC10B5"/>
    <w:rsid w:val="00DC132C"/>
    <w:rsid w:val="00DC139E"/>
    <w:rsid w:val="00DC16AC"/>
    <w:rsid w:val="00DC17A8"/>
    <w:rsid w:val="00DC17CC"/>
    <w:rsid w:val="00DC1FE7"/>
    <w:rsid w:val="00DC254A"/>
    <w:rsid w:val="00DC26DA"/>
    <w:rsid w:val="00DC2856"/>
    <w:rsid w:val="00DC2EB2"/>
    <w:rsid w:val="00DC30D8"/>
    <w:rsid w:val="00DC30DC"/>
    <w:rsid w:val="00DC31C1"/>
    <w:rsid w:val="00DC3795"/>
    <w:rsid w:val="00DC3D8F"/>
    <w:rsid w:val="00DC4098"/>
    <w:rsid w:val="00DC4F61"/>
    <w:rsid w:val="00DC5DC2"/>
    <w:rsid w:val="00DC60C6"/>
    <w:rsid w:val="00DC66DC"/>
    <w:rsid w:val="00DC75EE"/>
    <w:rsid w:val="00DC7B5D"/>
    <w:rsid w:val="00DD02F4"/>
    <w:rsid w:val="00DD066B"/>
    <w:rsid w:val="00DD0762"/>
    <w:rsid w:val="00DD0968"/>
    <w:rsid w:val="00DD0CE0"/>
    <w:rsid w:val="00DD0D9C"/>
    <w:rsid w:val="00DD0E39"/>
    <w:rsid w:val="00DD1374"/>
    <w:rsid w:val="00DD17CD"/>
    <w:rsid w:val="00DD209B"/>
    <w:rsid w:val="00DD22C3"/>
    <w:rsid w:val="00DD2BB9"/>
    <w:rsid w:val="00DD30F3"/>
    <w:rsid w:val="00DD3103"/>
    <w:rsid w:val="00DD3273"/>
    <w:rsid w:val="00DD3376"/>
    <w:rsid w:val="00DD37B9"/>
    <w:rsid w:val="00DD38B1"/>
    <w:rsid w:val="00DD3BA3"/>
    <w:rsid w:val="00DD4104"/>
    <w:rsid w:val="00DD4203"/>
    <w:rsid w:val="00DD4B60"/>
    <w:rsid w:val="00DD5153"/>
    <w:rsid w:val="00DD558E"/>
    <w:rsid w:val="00DD57D1"/>
    <w:rsid w:val="00DD5BCB"/>
    <w:rsid w:val="00DD669B"/>
    <w:rsid w:val="00DD67C4"/>
    <w:rsid w:val="00DD6FFF"/>
    <w:rsid w:val="00DD7186"/>
    <w:rsid w:val="00DD7467"/>
    <w:rsid w:val="00DD7719"/>
    <w:rsid w:val="00DD7E29"/>
    <w:rsid w:val="00DD7F03"/>
    <w:rsid w:val="00DE025D"/>
    <w:rsid w:val="00DE0521"/>
    <w:rsid w:val="00DE0EA3"/>
    <w:rsid w:val="00DE11DA"/>
    <w:rsid w:val="00DE124D"/>
    <w:rsid w:val="00DE157F"/>
    <w:rsid w:val="00DE161D"/>
    <w:rsid w:val="00DE17F4"/>
    <w:rsid w:val="00DE199B"/>
    <w:rsid w:val="00DE2739"/>
    <w:rsid w:val="00DE281D"/>
    <w:rsid w:val="00DE2C99"/>
    <w:rsid w:val="00DE3BD2"/>
    <w:rsid w:val="00DE4613"/>
    <w:rsid w:val="00DE4C37"/>
    <w:rsid w:val="00DE4ED1"/>
    <w:rsid w:val="00DE510C"/>
    <w:rsid w:val="00DE5275"/>
    <w:rsid w:val="00DE57D3"/>
    <w:rsid w:val="00DE57DF"/>
    <w:rsid w:val="00DE58A2"/>
    <w:rsid w:val="00DE5BFB"/>
    <w:rsid w:val="00DE5F46"/>
    <w:rsid w:val="00DE6096"/>
    <w:rsid w:val="00DE6755"/>
    <w:rsid w:val="00DE6DF9"/>
    <w:rsid w:val="00DE7499"/>
    <w:rsid w:val="00DE7647"/>
    <w:rsid w:val="00DE786A"/>
    <w:rsid w:val="00DE7DE6"/>
    <w:rsid w:val="00DE7DFE"/>
    <w:rsid w:val="00DF06C8"/>
    <w:rsid w:val="00DF1951"/>
    <w:rsid w:val="00DF1DD1"/>
    <w:rsid w:val="00DF25E4"/>
    <w:rsid w:val="00DF2A3F"/>
    <w:rsid w:val="00DF3139"/>
    <w:rsid w:val="00DF31F6"/>
    <w:rsid w:val="00DF33FE"/>
    <w:rsid w:val="00DF39D1"/>
    <w:rsid w:val="00DF3FDF"/>
    <w:rsid w:val="00DF40C1"/>
    <w:rsid w:val="00DF4A58"/>
    <w:rsid w:val="00DF4ED0"/>
    <w:rsid w:val="00DF51E8"/>
    <w:rsid w:val="00DF524A"/>
    <w:rsid w:val="00DF557D"/>
    <w:rsid w:val="00DF5765"/>
    <w:rsid w:val="00DF589A"/>
    <w:rsid w:val="00DF5DF7"/>
    <w:rsid w:val="00DF6034"/>
    <w:rsid w:val="00DF667C"/>
    <w:rsid w:val="00DF6CCB"/>
    <w:rsid w:val="00E0039B"/>
    <w:rsid w:val="00E00809"/>
    <w:rsid w:val="00E00F44"/>
    <w:rsid w:val="00E014BA"/>
    <w:rsid w:val="00E01786"/>
    <w:rsid w:val="00E01CBB"/>
    <w:rsid w:val="00E01DEB"/>
    <w:rsid w:val="00E01F96"/>
    <w:rsid w:val="00E021D1"/>
    <w:rsid w:val="00E02729"/>
    <w:rsid w:val="00E03011"/>
    <w:rsid w:val="00E040BA"/>
    <w:rsid w:val="00E04BF4"/>
    <w:rsid w:val="00E05ABB"/>
    <w:rsid w:val="00E05B56"/>
    <w:rsid w:val="00E062DF"/>
    <w:rsid w:val="00E066B0"/>
    <w:rsid w:val="00E066DB"/>
    <w:rsid w:val="00E06A46"/>
    <w:rsid w:val="00E06E0C"/>
    <w:rsid w:val="00E070FE"/>
    <w:rsid w:val="00E07358"/>
    <w:rsid w:val="00E078BA"/>
    <w:rsid w:val="00E07DA9"/>
    <w:rsid w:val="00E07E69"/>
    <w:rsid w:val="00E07F38"/>
    <w:rsid w:val="00E07F48"/>
    <w:rsid w:val="00E10209"/>
    <w:rsid w:val="00E10241"/>
    <w:rsid w:val="00E109E3"/>
    <w:rsid w:val="00E10C06"/>
    <w:rsid w:val="00E116EA"/>
    <w:rsid w:val="00E1195C"/>
    <w:rsid w:val="00E11972"/>
    <w:rsid w:val="00E11C62"/>
    <w:rsid w:val="00E11C9E"/>
    <w:rsid w:val="00E11E05"/>
    <w:rsid w:val="00E11F51"/>
    <w:rsid w:val="00E12764"/>
    <w:rsid w:val="00E12D13"/>
    <w:rsid w:val="00E12DA2"/>
    <w:rsid w:val="00E131E1"/>
    <w:rsid w:val="00E13782"/>
    <w:rsid w:val="00E13D64"/>
    <w:rsid w:val="00E142D2"/>
    <w:rsid w:val="00E146C0"/>
    <w:rsid w:val="00E14930"/>
    <w:rsid w:val="00E14B2F"/>
    <w:rsid w:val="00E14DB5"/>
    <w:rsid w:val="00E1560B"/>
    <w:rsid w:val="00E15CB1"/>
    <w:rsid w:val="00E15DAC"/>
    <w:rsid w:val="00E15DD9"/>
    <w:rsid w:val="00E1617B"/>
    <w:rsid w:val="00E166D7"/>
    <w:rsid w:val="00E16AD4"/>
    <w:rsid w:val="00E1746B"/>
    <w:rsid w:val="00E1773B"/>
    <w:rsid w:val="00E17A29"/>
    <w:rsid w:val="00E200F6"/>
    <w:rsid w:val="00E20681"/>
    <w:rsid w:val="00E20F19"/>
    <w:rsid w:val="00E21246"/>
    <w:rsid w:val="00E2124E"/>
    <w:rsid w:val="00E21539"/>
    <w:rsid w:val="00E2186C"/>
    <w:rsid w:val="00E21A50"/>
    <w:rsid w:val="00E21A84"/>
    <w:rsid w:val="00E21D64"/>
    <w:rsid w:val="00E21F3B"/>
    <w:rsid w:val="00E22045"/>
    <w:rsid w:val="00E23366"/>
    <w:rsid w:val="00E235F3"/>
    <w:rsid w:val="00E23965"/>
    <w:rsid w:val="00E23F19"/>
    <w:rsid w:val="00E240B0"/>
    <w:rsid w:val="00E24578"/>
    <w:rsid w:val="00E24881"/>
    <w:rsid w:val="00E24910"/>
    <w:rsid w:val="00E24F57"/>
    <w:rsid w:val="00E25477"/>
    <w:rsid w:val="00E25878"/>
    <w:rsid w:val="00E25A58"/>
    <w:rsid w:val="00E260F0"/>
    <w:rsid w:val="00E2610F"/>
    <w:rsid w:val="00E2652A"/>
    <w:rsid w:val="00E26F98"/>
    <w:rsid w:val="00E270AF"/>
    <w:rsid w:val="00E27197"/>
    <w:rsid w:val="00E271AB"/>
    <w:rsid w:val="00E27590"/>
    <w:rsid w:val="00E2779F"/>
    <w:rsid w:val="00E27A18"/>
    <w:rsid w:val="00E27C8E"/>
    <w:rsid w:val="00E27F30"/>
    <w:rsid w:val="00E301C1"/>
    <w:rsid w:val="00E302EB"/>
    <w:rsid w:val="00E305E4"/>
    <w:rsid w:val="00E30AA4"/>
    <w:rsid w:val="00E30F98"/>
    <w:rsid w:val="00E310B0"/>
    <w:rsid w:val="00E31764"/>
    <w:rsid w:val="00E31CA3"/>
    <w:rsid w:val="00E31E96"/>
    <w:rsid w:val="00E32633"/>
    <w:rsid w:val="00E33DF2"/>
    <w:rsid w:val="00E33F5E"/>
    <w:rsid w:val="00E33FC8"/>
    <w:rsid w:val="00E341D4"/>
    <w:rsid w:val="00E3461B"/>
    <w:rsid w:val="00E34F29"/>
    <w:rsid w:val="00E35089"/>
    <w:rsid w:val="00E35192"/>
    <w:rsid w:val="00E355D8"/>
    <w:rsid w:val="00E35819"/>
    <w:rsid w:val="00E35919"/>
    <w:rsid w:val="00E35F5E"/>
    <w:rsid w:val="00E364C3"/>
    <w:rsid w:val="00E37321"/>
    <w:rsid w:val="00E37696"/>
    <w:rsid w:val="00E37735"/>
    <w:rsid w:val="00E37775"/>
    <w:rsid w:val="00E37896"/>
    <w:rsid w:val="00E37988"/>
    <w:rsid w:val="00E379F5"/>
    <w:rsid w:val="00E37B69"/>
    <w:rsid w:val="00E37F9F"/>
    <w:rsid w:val="00E400AB"/>
    <w:rsid w:val="00E40802"/>
    <w:rsid w:val="00E4083A"/>
    <w:rsid w:val="00E40FC3"/>
    <w:rsid w:val="00E411ED"/>
    <w:rsid w:val="00E41219"/>
    <w:rsid w:val="00E413F1"/>
    <w:rsid w:val="00E417AB"/>
    <w:rsid w:val="00E41D66"/>
    <w:rsid w:val="00E41FC5"/>
    <w:rsid w:val="00E42562"/>
    <w:rsid w:val="00E435E9"/>
    <w:rsid w:val="00E43655"/>
    <w:rsid w:val="00E44106"/>
    <w:rsid w:val="00E4413D"/>
    <w:rsid w:val="00E4421D"/>
    <w:rsid w:val="00E44BEC"/>
    <w:rsid w:val="00E44F8B"/>
    <w:rsid w:val="00E451B6"/>
    <w:rsid w:val="00E451F9"/>
    <w:rsid w:val="00E4536C"/>
    <w:rsid w:val="00E4542B"/>
    <w:rsid w:val="00E456C8"/>
    <w:rsid w:val="00E456E2"/>
    <w:rsid w:val="00E458CA"/>
    <w:rsid w:val="00E45ADC"/>
    <w:rsid w:val="00E46AE7"/>
    <w:rsid w:val="00E46B6C"/>
    <w:rsid w:val="00E479D9"/>
    <w:rsid w:val="00E50B02"/>
    <w:rsid w:val="00E50BB2"/>
    <w:rsid w:val="00E5126E"/>
    <w:rsid w:val="00E51584"/>
    <w:rsid w:val="00E516B2"/>
    <w:rsid w:val="00E51868"/>
    <w:rsid w:val="00E51CB9"/>
    <w:rsid w:val="00E5202B"/>
    <w:rsid w:val="00E5289B"/>
    <w:rsid w:val="00E52AD6"/>
    <w:rsid w:val="00E53016"/>
    <w:rsid w:val="00E53206"/>
    <w:rsid w:val="00E53602"/>
    <w:rsid w:val="00E53678"/>
    <w:rsid w:val="00E536F7"/>
    <w:rsid w:val="00E53BE1"/>
    <w:rsid w:val="00E541D8"/>
    <w:rsid w:val="00E541F9"/>
    <w:rsid w:val="00E54392"/>
    <w:rsid w:val="00E5442F"/>
    <w:rsid w:val="00E554CF"/>
    <w:rsid w:val="00E55841"/>
    <w:rsid w:val="00E55D25"/>
    <w:rsid w:val="00E55EE7"/>
    <w:rsid w:val="00E5649E"/>
    <w:rsid w:val="00E5652C"/>
    <w:rsid w:val="00E56580"/>
    <w:rsid w:val="00E56853"/>
    <w:rsid w:val="00E575B5"/>
    <w:rsid w:val="00E575BA"/>
    <w:rsid w:val="00E57712"/>
    <w:rsid w:val="00E577AB"/>
    <w:rsid w:val="00E600DD"/>
    <w:rsid w:val="00E6012F"/>
    <w:rsid w:val="00E605CE"/>
    <w:rsid w:val="00E605FE"/>
    <w:rsid w:val="00E60653"/>
    <w:rsid w:val="00E606E0"/>
    <w:rsid w:val="00E60B11"/>
    <w:rsid w:val="00E60F7A"/>
    <w:rsid w:val="00E610C8"/>
    <w:rsid w:val="00E615F1"/>
    <w:rsid w:val="00E61628"/>
    <w:rsid w:val="00E61C22"/>
    <w:rsid w:val="00E6265C"/>
    <w:rsid w:val="00E63A75"/>
    <w:rsid w:val="00E63B5E"/>
    <w:rsid w:val="00E6435B"/>
    <w:rsid w:val="00E64D8D"/>
    <w:rsid w:val="00E64D9B"/>
    <w:rsid w:val="00E64F7D"/>
    <w:rsid w:val="00E6546B"/>
    <w:rsid w:val="00E6576B"/>
    <w:rsid w:val="00E65976"/>
    <w:rsid w:val="00E65A02"/>
    <w:rsid w:val="00E65CD8"/>
    <w:rsid w:val="00E65CE2"/>
    <w:rsid w:val="00E663FA"/>
    <w:rsid w:val="00E66A49"/>
    <w:rsid w:val="00E66D81"/>
    <w:rsid w:val="00E66EAC"/>
    <w:rsid w:val="00E66ED5"/>
    <w:rsid w:val="00E679BF"/>
    <w:rsid w:val="00E67AD8"/>
    <w:rsid w:val="00E67FE3"/>
    <w:rsid w:val="00E70486"/>
    <w:rsid w:val="00E70621"/>
    <w:rsid w:val="00E70637"/>
    <w:rsid w:val="00E70EAA"/>
    <w:rsid w:val="00E70F2F"/>
    <w:rsid w:val="00E712CA"/>
    <w:rsid w:val="00E717D4"/>
    <w:rsid w:val="00E71A2D"/>
    <w:rsid w:val="00E71E56"/>
    <w:rsid w:val="00E7213F"/>
    <w:rsid w:val="00E72488"/>
    <w:rsid w:val="00E7269E"/>
    <w:rsid w:val="00E72C1F"/>
    <w:rsid w:val="00E731CD"/>
    <w:rsid w:val="00E731FF"/>
    <w:rsid w:val="00E73DDB"/>
    <w:rsid w:val="00E741A0"/>
    <w:rsid w:val="00E74254"/>
    <w:rsid w:val="00E74328"/>
    <w:rsid w:val="00E74373"/>
    <w:rsid w:val="00E7449A"/>
    <w:rsid w:val="00E7453F"/>
    <w:rsid w:val="00E74AF8"/>
    <w:rsid w:val="00E74C39"/>
    <w:rsid w:val="00E751BF"/>
    <w:rsid w:val="00E7530D"/>
    <w:rsid w:val="00E753FE"/>
    <w:rsid w:val="00E75782"/>
    <w:rsid w:val="00E76235"/>
    <w:rsid w:val="00E763BF"/>
    <w:rsid w:val="00E768B8"/>
    <w:rsid w:val="00E76AA4"/>
    <w:rsid w:val="00E76EF7"/>
    <w:rsid w:val="00E77274"/>
    <w:rsid w:val="00E7739F"/>
    <w:rsid w:val="00E77FD6"/>
    <w:rsid w:val="00E8087F"/>
    <w:rsid w:val="00E81E1C"/>
    <w:rsid w:val="00E82125"/>
    <w:rsid w:val="00E8291F"/>
    <w:rsid w:val="00E82D20"/>
    <w:rsid w:val="00E82DA3"/>
    <w:rsid w:val="00E82DB1"/>
    <w:rsid w:val="00E8312D"/>
    <w:rsid w:val="00E831C8"/>
    <w:rsid w:val="00E834CC"/>
    <w:rsid w:val="00E8384E"/>
    <w:rsid w:val="00E83EBE"/>
    <w:rsid w:val="00E84699"/>
    <w:rsid w:val="00E851A9"/>
    <w:rsid w:val="00E8541B"/>
    <w:rsid w:val="00E857E2"/>
    <w:rsid w:val="00E85D2F"/>
    <w:rsid w:val="00E86274"/>
    <w:rsid w:val="00E87255"/>
    <w:rsid w:val="00E87937"/>
    <w:rsid w:val="00E90D3A"/>
    <w:rsid w:val="00E915F1"/>
    <w:rsid w:val="00E91707"/>
    <w:rsid w:val="00E923F1"/>
    <w:rsid w:val="00E925D1"/>
    <w:rsid w:val="00E926B8"/>
    <w:rsid w:val="00E9281D"/>
    <w:rsid w:val="00E93201"/>
    <w:rsid w:val="00E93714"/>
    <w:rsid w:val="00E93A10"/>
    <w:rsid w:val="00E93E54"/>
    <w:rsid w:val="00E93EC5"/>
    <w:rsid w:val="00E94338"/>
    <w:rsid w:val="00E94674"/>
    <w:rsid w:val="00E948A9"/>
    <w:rsid w:val="00E961F4"/>
    <w:rsid w:val="00E9622B"/>
    <w:rsid w:val="00E96296"/>
    <w:rsid w:val="00E96E0E"/>
    <w:rsid w:val="00E96FD6"/>
    <w:rsid w:val="00E977B6"/>
    <w:rsid w:val="00EA02A0"/>
    <w:rsid w:val="00EA0F87"/>
    <w:rsid w:val="00EA1393"/>
    <w:rsid w:val="00EA24D0"/>
    <w:rsid w:val="00EA2637"/>
    <w:rsid w:val="00EA2D55"/>
    <w:rsid w:val="00EA2DCA"/>
    <w:rsid w:val="00EA2FBB"/>
    <w:rsid w:val="00EA364F"/>
    <w:rsid w:val="00EA372D"/>
    <w:rsid w:val="00EA39FF"/>
    <w:rsid w:val="00EA4AB0"/>
    <w:rsid w:val="00EA5589"/>
    <w:rsid w:val="00EA5A08"/>
    <w:rsid w:val="00EA5EF5"/>
    <w:rsid w:val="00EA6010"/>
    <w:rsid w:val="00EA610A"/>
    <w:rsid w:val="00EA638E"/>
    <w:rsid w:val="00EA640D"/>
    <w:rsid w:val="00EA64A8"/>
    <w:rsid w:val="00EA67D1"/>
    <w:rsid w:val="00EA6963"/>
    <w:rsid w:val="00EA6968"/>
    <w:rsid w:val="00EA72DC"/>
    <w:rsid w:val="00EB0040"/>
    <w:rsid w:val="00EB0080"/>
    <w:rsid w:val="00EB00EA"/>
    <w:rsid w:val="00EB028D"/>
    <w:rsid w:val="00EB04FE"/>
    <w:rsid w:val="00EB0BD5"/>
    <w:rsid w:val="00EB0DAD"/>
    <w:rsid w:val="00EB0E9C"/>
    <w:rsid w:val="00EB108C"/>
    <w:rsid w:val="00EB13ED"/>
    <w:rsid w:val="00EB15F7"/>
    <w:rsid w:val="00EB16C5"/>
    <w:rsid w:val="00EB18B3"/>
    <w:rsid w:val="00EB2F00"/>
    <w:rsid w:val="00EB2FD4"/>
    <w:rsid w:val="00EB30F7"/>
    <w:rsid w:val="00EB3B95"/>
    <w:rsid w:val="00EB3E77"/>
    <w:rsid w:val="00EB4315"/>
    <w:rsid w:val="00EB4B7A"/>
    <w:rsid w:val="00EB4E55"/>
    <w:rsid w:val="00EB5152"/>
    <w:rsid w:val="00EB5672"/>
    <w:rsid w:val="00EB56E5"/>
    <w:rsid w:val="00EB58B1"/>
    <w:rsid w:val="00EB5F61"/>
    <w:rsid w:val="00EB67C2"/>
    <w:rsid w:val="00EC0342"/>
    <w:rsid w:val="00EC0584"/>
    <w:rsid w:val="00EC0BDE"/>
    <w:rsid w:val="00EC107D"/>
    <w:rsid w:val="00EC2A2A"/>
    <w:rsid w:val="00EC2E9D"/>
    <w:rsid w:val="00EC35DC"/>
    <w:rsid w:val="00EC3829"/>
    <w:rsid w:val="00EC3980"/>
    <w:rsid w:val="00EC39FD"/>
    <w:rsid w:val="00EC3A14"/>
    <w:rsid w:val="00EC3BEF"/>
    <w:rsid w:val="00EC3D09"/>
    <w:rsid w:val="00EC42D8"/>
    <w:rsid w:val="00EC4A04"/>
    <w:rsid w:val="00EC4D6D"/>
    <w:rsid w:val="00EC4F0A"/>
    <w:rsid w:val="00EC516D"/>
    <w:rsid w:val="00EC5A1E"/>
    <w:rsid w:val="00EC5A74"/>
    <w:rsid w:val="00EC5C82"/>
    <w:rsid w:val="00EC5D55"/>
    <w:rsid w:val="00EC622F"/>
    <w:rsid w:val="00EC698D"/>
    <w:rsid w:val="00EC7538"/>
    <w:rsid w:val="00EC7FE7"/>
    <w:rsid w:val="00ED0677"/>
    <w:rsid w:val="00ED0D26"/>
    <w:rsid w:val="00ED1065"/>
    <w:rsid w:val="00ED14A7"/>
    <w:rsid w:val="00ED1573"/>
    <w:rsid w:val="00ED1647"/>
    <w:rsid w:val="00ED1EF6"/>
    <w:rsid w:val="00ED1F58"/>
    <w:rsid w:val="00ED26A5"/>
    <w:rsid w:val="00ED2B64"/>
    <w:rsid w:val="00ED2D0A"/>
    <w:rsid w:val="00ED3040"/>
    <w:rsid w:val="00ED3222"/>
    <w:rsid w:val="00ED33A7"/>
    <w:rsid w:val="00ED34C8"/>
    <w:rsid w:val="00ED36C9"/>
    <w:rsid w:val="00ED441C"/>
    <w:rsid w:val="00ED4AC4"/>
    <w:rsid w:val="00ED5267"/>
    <w:rsid w:val="00ED6B9F"/>
    <w:rsid w:val="00ED6BB7"/>
    <w:rsid w:val="00ED6C36"/>
    <w:rsid w:val="00ED6F59"/>
    <w:rsid w:val="00EE00EB"/>
    <w:rsid w:val="00EE0AE5"/>
    <w:rsid w:val="00EE0E49"/>
    <w:rsid w:val="00EE11AC"/>
    <w:rsid w:val="00EE13F7"/>
    <w:rsid w:val="00EE20F2"/>
    <w:rsid w:val="00EE25BE"/>
    <w:rsid w:val="00EE27DF"/>
    <w:rsid w:val="00EE2E39"/>
    <w:rsid w:val="00EE424D"/>
    <w:rsid w:val="00EE4750"/>
    <w:rsid w:val="00EE49DA"/>
    <w:rsid w:val="00EE4D15"/>
    <w:rsid w:val="00EE5111"/>
    <w:rsid w:val="00EE676E"/>
    <w:rsid w:val="00EE6FBF"/>
    <w:rsid w:val="00EF05A4"/>
    <w:rsid w:val="00EF21EB"/>
    <w:rsid w:val="00EF2240"/>
    <w:rsid w:val="00EF342A"/>
    <w:rsid w:val="00EF35B4"/>
    <w:rsid w:val="00EF3BF5"/>
    <w:rsid w:val="00EF47DD"/>
    <w:rsid w:val="00EF4D86"/>
    <w:rsid w:val="00EF4E11"/>
    <w:rsid w:val="00EF5093"/>
    <w:rsid w:val="00EF5375"/>
    <w:rsid w:val="00EF5423"/>
    <w:rsid w:val="00EF5781"/>
    <w:rsid w:val="00EF5922"/>
    <w:rsid w:val="00EF592F"/>
    <w:rsid w:val="00EF59BD"/>
    <w:rsid w:val="00EF6695"/>
    <w:rsid w:val="00EF6A22"/>
    <w:rsid w:val="00EF6CCE"/>
    <w:rsid w:val="00EF722F"/>
    <w:rsid w:val="00EF7601"/>
    <w:rsid w:val="00EF7661"/>
    <w:rsid w:val="00EF798F"/>
    <w:rsid w:val="00EF79C0"/>
    <w:rsid w:val="00EF7C41"/>
    <w:rsid w:val="00F00864"/>
    <w:rsid w:val="00F00CCF"/>
    <w:rsid w:val="00F00E45"/>
    <w:rsid w:val="00F01294"/>
    <w:rsid w:val="00F01603"/>
    <w:rsid w:val="00F0186B"/>
    <w:rsid w:val="00F0203F"/>
    <w:rsid w:val="00F0207A"/>
    <w:rsid w:val="00F02380"/>
    <w:rsid w:val="00F02666"/>
    <w:rsid w:val="00F028F2"/>
    <w:rsid w:val="00F036FF"/>
    <w:rsid w:val="00F03896"/>
    <w:rsid w:val="00F03FAE"/>
    <w:rsid w:val="00F04311"/>
    <w:rsid w:val="00F04B9A"/>
    <w:rsid w:val="00F04DF9"/>
    <w:rsid w:val="00F05255"/>
    <w:rsid w:val="00F05303"/>
    <w:rsid w:val="00F058BA"/>
    <w:rsid w:val="00F0731D"/>
    <w:rsid w:val="00F07346"/>
    <w:rsid w:val="00F07584"/>
    <w:rsid w:val="00F1037F"/>
    <w:rsid w:val="00F10B2D"/>
    <w:rsid w:val="00F10BC9"/>
    <w:rsid w:val="00F10D51"/>
    <w:rsid w:val="00F10E89"/>
    <w:rsid w:val="00F115D0"/>
    <w:rsid w:val="00F11BA9"/>
    <w:rsid w:val="00F11D94"/>
    <w:rsid w:val="00F1218C"/>
    <w:rsid w:val="00F123CF"/>
    <w:rsid w:val="00F12747"/>
    <w:rsid w:val="00F1311D"/>
    <w:rsid w:val="00F13405"/>
    <w:rsid w:val="00F1395D"/>
    <w:rsid w:val="00F13A20"/>
    <w:rsid w:val="00F1471E"/>
    <w:rsid w:val="00F16590"/>
    <w:rsid w:val="00F165B8"/>
    <w:rsid w:val="00F16876"/>
    <w:rsid w:val="00F174F5"/>
    <w:rsid w:val="00F178D0"/>
    <w:rsid w:val="00F17913"/>
    <w:rsid w:val="00F17C51"/>
    <w:rsid w:val="00F17F03"/>
    <w:rsid w:val="00F200C3"/>
    <w:rsid w:val="00F205A5"/>
    <w:rsid w:val="00F20650"/>
    <w:rsid w:val="00F20BDE"/>
    <w:rsid w:val="00F21336"/>
    <w:rsid w:val="00F21555"/>
    <w:rsid w:val="00F215D1"/>
    <w:rsid w:val="00F21982"/>
    <w:rsid w:val="00F21E69"/>
    <w:rsid w:val="00F21F44"/>
    <w:rsid w:val="00F220D6"/>
    <w:rsid w:val="00F22263"/>
    <w:rsid w:val="00F227AA"/>
    <w:rsid w:val="00F22BB6"/>
    <w:rsid w:val="00F22BE3"/>
    <w:rsid w:val="00F22BE4"/>
    <w:rsid w:val="00F23316"/>
    <w:rsid w:val="00F23889"/>
    <w:rsid w:val="00F23F6D"/>
    <w:rsid w:val="00F240BD"/>
    <w:rsid w:val="00F242C3"/>
    <w:rsid w:val="00F24AFB"/>
    <w:rsid w:val="00F24E72"/>
    <w:rsid w:val="00F24F4E"/>
    <w:rsid w:val="00F25992"/>
    <w:rsid w:val="00F26068"/>
    <w:rsid w:val="00F26261"/>
    <w:rsid w:val="00F27B4D"/>
    <w:rsid w:val="00F27C83"/>
    <w:rsid w:val="00F27E24"/>
    <w:rsid w:val="00F30F6F"/>
    <w:rsid w:val="00F319A8"/>
    <w:rsid w:val="00F31AA1"/>
    <w:rsid w:val="00F31DD4"/>
    <w:rsid w:val="00F32127"/>
    <w:rsid w:val="00F325FF"/>
    <w:rsid w:val="00F32678"/>
    <w:rsid w:val="00F327E4"/>
    <w:rsid w:val="00F32866"/>
    <w:rsid w:val="00F32B10"/>
    <w:rsid w:val="00F32F54"/>
    <w:rsid w:val="00F331F0"/>
    <w:rsid w:val="00F339BB"/>
    <w:rsid w:val="00F33DA3"/>
    <w:rsid w:val="00F33F1B"/>
    <w:rsid w:val="00F345DD"/>
    <w:rsid w:val="00F346DC"/>
    <w:rsid w:val="00F34863"/>
    <w:rsid w:val="00F35287"/>
    <w:rsid w:val="00F35E35"/>
    <w:rsid w:val="00F35E56"/>
    <w:rsid w:val="00F35F83"/>
    <w:rsid w:val="00F3600F"/>
    <w:rsid w:val="00F364FB"/>
    <w:rsid w:val="00F36771"/>
    <w:rsid w:val="00F36B5C"/>
    <w:rsid w:val="00F3733C"/>
    <w:rsid w:val="00F37BDB"/>
    <w:rsid w:val="00F37DB2"/>
    <w:rsid w:val="00F4075F"/>
    <w:rsid w:val="00F40B36"/>
    <w:rsid w:val="00F41555"/>
    <w:rsid w:val="00F41799"/>
    <w:rsid w:val="00F41842"/>
    <w:rsid w:val="00F41DA7"/>
    <w:rsid w:val="00F430B6"/>
    <w:rsid w:val="00F431CE"/>
    <w:rsid w:val="00F432F9"/>
    <w:rsid w:val="00F433C3"/>
    <w:rsid w:val="00F43B6A"/>
    <w:rsid w:val="00F43FF1"/>
    <w:rsid w:val="00F4407F"/>
    <w:rsid w:val="00F44402"/>
    <w:rsid w:val="00F44A48"/>
    <w:rsid w:val="00F456C5"/>
    <w:rsid w:val="00F45870"/>
    <w:rsid w:val="00F45896"/>
    <w:rsid w:val="00F45B17"/>
    <w:rsid w:val="00F45C80"/>
    <w:rsid w:val="00F45D9A"/>
    <w:rsid w:val="00F46762"/>
    <w:rsid w:val="00F46AC8"/>
    <w:rsid w:val="00F46ECE"/>
    <w:rsid w:val="00F47182"/>
    <w:rsid w:val="00F4748E"/>
    <w:rsid w:val="00F474EA"/>
    <w:rsid w:val="00F477D7"/>
    <w:rsid w:val="00F478C9"/>
    <w:rsid w:val="00F47A2F"/>
    <w:rsid w:val="00F50959"/>
    <w:rsid w:val="00F51207"/>
    <w:rsid w:val="00F517AF"/>
    <w:rsid w:val="00F518B3"/>
    <w:rsid w:val="00F51A3F"/>
    <w:rsid w:val="00F51D05"/>
    <w:rsid w:val="00F5202C"/>
    <w:rsid w:val="00F52615"/>
    <w:rsid w:val="00F528C0"/>
    <w:rsid w:val="00F52AC5"/>
    <w:rsid w:val="00F532CE"/>
    <w:rsid w:val="00F5349B"/>
    <w:rsid w:val="00F534D8"/>
    <w:rsid w:val="00F53905"/>
    <w:rsid w:val="00F53955"/>
    <w:rsid w:val="00F53C67"/>
    <w:rsid w:val="00F53DEF"/>
    <w:rsid w:val="00F541AD"/>
    <w:rsid w:val="00F54AFA"/>
    <w:rsid w:val="00F54DD0"/>
    <w:rsid w:val="00F54F45"/>
    <w:rsid w:val="00F55152"/>
    <w:rsid w:val="00F55691"/>
    <w:rsid w:val="00F55872"/>
    <w:rsid w:val="00F559A8"/>
    <w:rsid w:val="00F56051"/>
    <w:rsid w:val="00F56729"/>
    <w:rsid w:val="00F56A00"/>
    <w:rsid w:val="00F56D93"/>
    <w:rsid w:val="00F56E64"/>
    <w:rsid w:val="00F574AD"/>
    <w:rsid w:val="00F57930"/>
    <w:rsid w:val="00F57E40"/>
    <w:rsid w:val="00F603EC"/>
    <w:rsid w:val="00F604B4"/>
    <w:rsid w:val="00F605F4"/>
    <w:rsid w:val="00F60683"/>
    <w:rsid w:val="00F60748"/>
    <w:rsid w:val="00F608D1"/>
    <w:rsid w:val="00F60B26"/>
    <w:rsid w:val="00F616F5"/>
    <w:rsid w:val="00F61C2E"/>
    <w:rsid w:val="00F61EF6"/>
    <w:rsid w:val="00F626D7"/>
    <w:rsid w:val="00F628B8"/>
    <w:rsid w:val="00F62BD8"/>
    <w:rsid w:val="00F62D49"/>
    <w:rsid w:val="00F62E2F"/>
    <w:rsid w:val="00F63341"/>
    <w:rsid w:val="00F638F8"/>
    <w:rsid w:val="00F641E2"/>
    <w:rsid w:val="00F6424A"/>
    <w:rsid w:val="00F647D7"/>
    <w:rsid w:val="00F64989"/>
    <w:rsid w:val="00F65024"/>
    <w:rsid w:val="00F6522D"/>
    <w:rsid w:val="00F65C1D"/>
    <w:rsid w:val="00F661B9"/>
    <w:rsid w:val="00F6709E"/>
    <w:rsid w:val="00F67735"/>
    <w:rsid w:val="00F70169"/>
    <w:rsid w:val="00F703A6"/>
    <w:rsid w:val="00F70B5D"/>
    <w:rsid w:val="00F70CEC"/>
    <w:rsid w:val="00F70DE7"/>
    <w:rsid w:val="00F711DF"/>
    <w:rsid w:val="00F7150B"/>
    <w:rsid w:val="00F71589"/>
    <w:rsid w:val="00F71618"/>
    <w:rsid w:val="00F717F8"/>
    <w:rsid w:val="00F7191D"/>
    <w:rsid w:val="00F71945"/>
    <w:rsid w:val="00F71E15"/>
    <w:rsid w:val="00F72197"/>
    <w:rsid w:val="00F72293"/>
    <w:rsid w:val="00F72504"/>
    <w:rsid w:val="00F72653"/>
    <w:rsid w:val="00F72D32"/>
    <w:rsid w:val="00F72E4B"/>
    <w:rsid w:val="00F7339F"/>
    <w:rsid w:val="00F737F3"/>
    <w:rsid w:val="00F73BF8"/>
    <w:rsid w:val="00F73F28"/>
    <w:rsid w:val="00F74651"/>
    <w:rsid w:val="00F7477B"/>
    <w:rsid w:val="00F7480B"/>
    <w:rsid w:val="00F74CF1"/>
    <w:rsid w:val="00F75591"/>
    <w:rsid w:val="00F758F1"/>
    <w:rsid w:val="00F75C02"/>
    <w:rsid w:val="00F7642C"/>
    <w:rsid w:val="00F76D52"/>
    <w:rsid w:val="00F7733F"/>
    <w:rsid w:val="00F776DD"/>
    <w:rsid w:val="00F77971"/>
    <w:rsid w:val="00F77BE0"/>
    <w:rsid w:val="00F77C97"/>
    <w:rsid w:val="00F80518"/>
    <w:rsid w:val="00F8074A"/>
    <w:rsid w:val="00F81194"/>
    <w:rsid w:val="00F81797"/>
    <w:rsid w:val="00F81B65"/>
    <w:rsid w:val="00F81B69"/>
    <w:rsid w:val="00F81BD1"/>
    <w:rsid w:val="00F82037"/>
    <w:rsid w:val="00F82339"/>
    <w:rsid w:val="00F82877"/>
    <w:rsid w:val="00F82D5F"/>
    <w:rsid w:val="00F837BD"/>
    <w:rsid w:val="00F83A5C"/>
    <w:rsid w:val="00F83A89"/>
    <w:rsid w:val="00F83BED"/>
    <w:rsid w:val="00F83F2D"/>
    <w:rsid w:val="00F83F2F"/>
    <w:rsid w:val="00F8481D"/>
    <w:rsid w:val="00F84E39"/>
    <w:rsid w:val="00F8554F"/>
    <w:rsid w:val="00F860C6"/>
    <w:rsid w:val="00F861BC"/>
    <w:rsid w:val="00F862F4"/>
    <w:rsid w:val="00F86F8A"/>
    <w:rsid w:val="00F873D2"/>
    <w:rsid w:val="00F87BBC"/>
    <w:rsid w:val="00F87FA7"/>
    <w:rsid w:val="00F90102"/>
    <w:rsid w:val="00F90622"/>
    <w:rsid w:val="00F9069F"/>
    <w:rsid w:val="00F90B08"/>
    <w:rsid w:val="00F91221"/>
    <w:rsid w:val="00F9135B"/>
    <w:rsid w:val="00F919E4"/>
    <w:rsid w:val="00F91B87"/>
    <w:rsid w:val="00F91C56"/>
    <w:rsid w:val="00F91CB3"/>
    <w:rsid w:val="00F91DC3"/>
    <w:rsid w:val="00F9209A"/>
    <w:rsid w:val="00F92831"/>
    <w:rsid w:val="00F92F78"/>
    <w:rsid w:val="00F931E5"/>
    <w:rsid w:val="00F938B1"/>
    <w:rsid w:val="00F93A62"/>
    <w:rsid w:val="00F94021"/>
    <w:rsid w:val="00F9477C"/>
    <w:rsid w:val="00F953B6"/>
    <w:rsid w:val="00F953BC"/>
    <w:rsid w:val="00F959FC"/>
    <w:rsid w:val="00F95A17"/>
    <w:rsid w:val="00F95DBD"/>
    <w:rsid w:val="00F96092"/>
    <w:rsid w:val="00F96C10"/>
    <w:rsid w:val="00F97111"/>
    <w:rsid w:val="00F979E7"/>
    <w:rsid w:val="00F97FE6"/>
    <w:rsid w:val="00FA0E6C"/>
    <w:rsid w:val="00FA1273"/>
    <w:rsid w:val="00FA13AC"/>
    <w:rsid w:val="00FA1551"/>
    <w:rsid w:val="00FA15F7"/>
    <w:rsid w:val="00FA16A4"/>
    <w:rsid w:val="00FA1BF4"/>
    <w:rsid w:val="00FA24B2"/>
    <w:rsid w:val="00FA2F94"/>
    <w:rsid w:val="00FA33FC"/>
    <w:rsid w:val="00FA36BA"/>
    <w:rsid w:val="00FA3AAE"/>
    <w:rsid w:val="00FA418E"/>
    <w:rsid w:val="00FA4DA7"/>
    <w:rsid w:val="00FA63C5"/>
    <w:rsid w:val="00FA6B5E"/>
    <w:rsid w:val="00FA6D6D"/>
    <w:rsid w:val="00FA73A1"/>
    <w:rsid w:val="00FA7DD4"/>
    <w:rsid w:val="00FB01F2"/>
    <w:rsid w:val="00FB0489"/>
    <w:rsid w:val="00FB10E0"/>
    <w:rsid w:val="00FB1197"/>
    <w:rsid w:val="00FB16FA"/>
    <w:rsid w:val="00FB184E"/>
    <w:rsid w:val="00FB1B57"/>
    <w:rsid w:val="00FB1B61"/>
    <w:rsid w:val="00FB25D3"/>
    <w:rsid w:val="00FB2626"/>
    <w:rsid w:val="00FB2BA3"/>
    <w:rsid w:val="00FB2BA4"/>
    <w:rsid w:val="00FB2F72"/>
    <w:rsid w:val="00FB364A"/>
    <w:rsid w:val="00FB3760"/>
    <w:rsid w:val="00FB3D46"/>
    <w:rsid w:val="00FB3E3F"/>
    <w:rsid w:val="00FB40B7"/>
    <w:rsid w:val="00FB4476"/>
    <w:rsid w:val="00FB471E"/>
    <w:rsid w:val="00FB4B27"/>
    <w:rsid w:val="00FB4CEF"/>
    <w:rsid w:val="00FB4DF8"/>
    <w:rsid w:val="00FB4F06"/>
    <w:rsid w:val="00FB5246"/>
    <w:rsid w:val="00FB557A"/>
    <w:rsid w:val="00FB56C2"/>
    <w:rsid w:val="00FB5BF7"/>
    <w:rsid w:val="00FB5DAD"/>
    <w:rsid w:val="00FB5E54"/>
    <w:rsid w:val="00FB5F3D"/>
    <w:rsid w:val="00FB6068"/>
    <w:rsid w:val="00FB6111"/>
    <w:rsid w:val="00FB6657"/>
    <w:rsid w:val="00FB6CCC"/>
    <w:rsid w:val="00FB7158"/>
    <w:rsid w:val="00FB7C47"/>
    <w:rsid w:val="00FC0029"/>
    <w:rsid w:val="00FC0604"/>
    <w:rsid w:val="00FC0D92"/>
    <w:rsid w:val="00FC241E"/>
    <w:rsid w:val="00FC2B82"/>
    <w:rsid w:val="00FC308E"/>
    <w:rsid w:val="00FC32B0"/>
    <w:rsid w:val="00FC3D5E"/>
    <w:rsid w:val="00FC493B"/>
    <w:rsid w:val="00FC56F5"/>
    <w:rsid w:val="00FC590F"/>
    <w:rsid w:val="00FC5B91"/>
    <w:rsid w:val="00FC5CE6"/>
    <w:rsid w:val="00FC5F05"/>
    <w:rsid w:val="00FC5F6D"/>
    <w:rsid w:val="00FC60E9"/>
    <w:rsid w:val="00FC61D5"/>
    <w:rsid w:val="00FC6B9E"/>
    <w:rsid w:val="00FC6CF5"/>
    <w:rsid w:val="00FC7332"/>
    <w:rsid w:val="00FC76D3"/>
    <w:rsid w:val="00FC7D7E"/>
    <w:rsid w:val="00FD00F1"/>
    <w:rsid w:val="00FD0312"/>
    <w:rsid w:val="00FD223F"/>
    <w:rsid w:val="00FD24E9"/>
    <w:rsid w:val="00FD2505"/>
    <w:rsid w:val="00FD26C4"/>
    <w:rsid w:val="00FD2D31"/>
    <w:rsid w:val="00FD2DB9"/>
    <w:rsid w:val="00FD34F6"/>
    <w:rsid w:val="00FD3A7E"/>
    <w:rsid w:val="00FD3C1A"/>
    <w:rsid w:val="00FD452B"/>
    <w:rsid w:val="00FD512D"/>
    <w:rsid w:val="00FD589D"/>
    <w:rsid w:val="00FD61E1"/>
    <w:rsid w:val="00FD6946"/>
    <w:rsid w:val="00FD6965"/>
    <w:rsid w:val="00FD6F3F"/>
    <w:rsid w:val="00FD782E"/>
    <w:rsid w:val="00FD7E19"/>
    <w:rsid w:val="00FD7EDF"/>
    <w:rsid w:val="00FE00CD"/>
    <w:rsid w:val="00FE041A"/>
    <w:rsid w:val="00FE06E3"/>
    <w:rsid w:val="00FE082B"/>
    <w:rsid w:val="00FE12BC"/>
    <w:rsid w:val="00FE12FE"/>
    <w:rsid w:val="00FE139E"/>
    <w:rsid w:val="00FE1B3C"/>
    <w:rsid w:val="00FE262B"/>
    <w:rsid w:val="00FE2CB4"/>
    <w:rsid w:val="00FE3594"/>
    <w:rsid w:val="00FE38CF"/>
    <w:rsid w:val="00FE39A9"/>
    <w:rsid w:val="00FE414D"/>
    <w:rsid w:val="00FE4558"/>
    <w:rsid w:val="00FE481A"/>
    <w:rsid w:val="00FE4A03"/>
    <w:rsid w:val="00FE521E"/>
    <w:rsid w:val="00FE5740"/>
    <w:rsid w:val="00FE5BB5"/>
    <w:rsid w:val="00FE5E96"/>
    <w:rsid w:val="00FE5F35"/>
    <w:rsid w:val="00FE6189"/>
    <w:rsid w:val="00FE6303"/>
    <w:rsid w:val="00FE6400"/>
    <w:rsid w:val="00FE6431"/>
    <w:rsid w:val="00FE6AF1"/>
    <w:rsid w:val="00FE6C04"/>
    <w:rsid w:val="00FE715C"/>
    <w:rsid w:val="00FE7567"/>
    <w:rsid w:val="00FE7A6C"/>
    <w:rsid w:val="00FE7F51"/>
    <w:rsid w:val="00FF0492"/>
    <w:rsid w:val="00FF056E"/>
    <w:rsid w:val="00FF061E"/>
    <w:rsid w:val="00FF08F8"/>
    <w:rsid w:val="00FF096F"/>
    <w:rsid w:val="00FF09C4"/>
    <w:rsid w:val="00FF0A17"/>
    <w:rsid w:val="00FF0B24"/>
    <w:rsid w:val="00FF0CF6"/>
    <w:rsid w:val="00FF10D2"/>
    <w:rsid w:val="00FF13E1"/>
    <w:rsid w:val="00FF15BD"/>
    <w:rsid w:val="00FF1ACB"/>
    <w:rsid w:val="00FF1C51"/>
    <w:rsid w:val="00FF1D62"/>
    <w:rsid w:val="00FF2412"/>
    <w:rsid w:val="00FF2E18"/>
    <w:rsid w:val="00FF2FA6"/>
    <w:rsid w:val="00FF348C"/>
    <w:rsid w:val="00FF36F6"/>
    <w:rsid w:val="00FF3A22"/>
    <w:rsid w:val="00FF3EEF"/>
    <w:rsid w:val="00FF46A3"/>
    <w:rsid w:val="00FF49E2"/>
    <w:rsid w:val="00FF526D"/>
    <w:rsid w:val="00FF55E5"/>
    <w:rsid w:val="00FF5D8F"/>
    <w:rsid w:val="00FF5D9A"/>
    <w:rsid w:val="00FF6299"/>
    <w:rsid w:val="00FF655D"/>
    <w:rsid w:val="00FF6772"/>
    <w:rsid w:val="00FF6C53"/>
    <w:rsid w:val="00FF72DF"/>
    <w:rsid w:val="00FF7509"/>
    <w:rsid w:val="00FF7669"/>
    <w:rsid w:val="00FF7AEC"/>
    <w:rsid w:val="00FF7C1D"/>
    <w:rsid w:val="00FF7CC4"/>
    <w:rsid w:val="00FF7CE8"/>
    <w:rsid w:val="00FF7D4E"/>
    <w:rsid w:val="00FF7E38"/>
    <w:rsid w:val="00FF7FE3"/>
    <w:rsid w:val="01DA532D"/>
    <w:rsid w:val="01E90618"/>
    <w:rsid w:val="040C25C7"/>
    <w:rsid w:val="05B2269F"/>
    <w:rsid w:val="05F349DC"/>
    <w:rsid w:val="06586800"/>
    <w:rsid w:val="084334BF"/>
    <w:rsid w:val="09DA712C"/>
    <w:rsid w:val="0A573073"/>
    <w:rsid w:val="0BCD088E"/>
    <w:rsid w:val="0C0554F1"/>
    <w:rsid w:val="11CF24B9"/>
    <w:rsid w:val="14E42AAC"/>
    <w:rsid w:val="15342AB1"/>
    <w:rsid w:val="15463FBA"/>
    <w:rsid w:val="17053F58"/>
    <w:rsid w:val="17667DE9"/>
    <w:rsid w:val="18C87147"/>
    <w:rsid w:val="18EE22F1"/>
    <w:rsid w:val="194224AE"/>
    <w:rsid w:val="1A2F3726"/>
    <w:rsid w:val="1AF432F8"/>
    <w:rsid w:val="1BA70B3A"/>
    <w:rsid w:val="1C0B5BF2"/>
    <w:rsid w:val="1C967579"/>
    <w:rsid w:val="1CB16F76"/>
    <w:rsid w:val="1CFE5900"/>
    <w:rsid w:val="1D2B5F1E"/>
    <w:rsid w:val="1DC107DC"/>
    <w:rsid w:val="1DDC2BB3"/>
    <w:rsid w:val="1E67120C"/>
    <w:rsid w:val="1F5E4353"/>
    <w:rsid w:val="1F7416F5"/>
    <w:rsid w:val="203E1E03"/>
    <w:rsid w:val="207D2333"/>
    <w:rsid w:val="21092734"/>
    <w:rsid w:val="22032F5E"/>
    <w:rsid w:val="243F36EA"/>
    <w:rsid w:val="249236AD"/>
    <w:rsid w:val="25305198"/>
    <w:rsid w:val="25916979"/>
    <w:rsid w:val="25D61F3C"/>
    <w:rsid w:val="26BA4D71"/>
    <w:rsid w:val="27601A4F"/>
    <w:rsid w:val="28283CFC"/>
    <w:rsid w:val="28516F8E"/>
    <w:rsid w:val="293410C0"/>
    <w:rsid w:val="2B705B8E"/>
    <w:rsid w:val="2CA62C42"/>
    <w:rsid w:val="2D3041E2"/>
    <w:rsid w:val="2EB86D24"/>
    <w:rsid w:val="314441D2"/>
    <w:rsid w:val="31B36656"/>
    <w:rsid w:val="31BB501D"/>
    <w:rsid w:val="32C74474"/>
    <w:rsid w:val="342F1F62"/>
    <w:rsid w:val="35C9251C"/>
    <w:rsid w:val="36140CE4"/>
    <w:rsid w:val="36171562"/>
    <w:rsid w:val="36E0506A"/>
    <w:rsid w:val="372508BD"/>
    <w:rsid w:val="38BE61E6"/>
    <w:rsid w:val="395A6DA8"/>
    <w:rsid w:val="39ED51C6"/>
    <w:rsid w:val="39EF620D"/>
    <w:rsid w:val="3AED5FA8"/>
    <w:rsid w:val="3B2D253C"/>
    <w:rsid w:val="3B9B5A04"/>
    <w:rsid w:val="3BDA6C05"/>
    <w:rsid w:val="3C2B040C"/>
    <w:rsid w:val="3DE51F46"/>
    <w:rsid w:val="3E250513"/>
    <w:rsid w:val="3F3C3DB3"/>
    <w:rsid w:val="3FA82F6E"/>
    <w:rsid w:val="403634D3"/>
    <w:rsid w:val="404D7247"/>
    <w:rsid w:val="40BB670B"/>
    <w:rsid w:val="410F2285"/>
    <w:rsid w:val="41622DC0"/>
    <w:rsid w:val="41F5444D"/>
    <w:rsid w:val="42735BF8"/>
    <w:rsid w:val="42C35C96"/>
    <w:rsid w:val="43583F67"/>
    <w:rsid w:val="43747E9E"/>
    <w:rsid w:val="443F3AC3"/>
    <w:rsid w:val="452C4BFF"/>
    <w:rsid w:val="456B1DDC"/>
    <w:rsid w:val="45CC5137"/>
    <w:rsid w:val="47AB5A06"/>
    <w:rsid w:val="48014DF4"/>
    <w:rsid w:val="48DE4130"/>
    <w:rsid w:val="4A0D7201"/>
    <w:rsid w:val="4A4F2D5A"/>
    <w:rsid w:val="4B430D52"/>
    <w:rsid w:val="4BBA3762"/>
    <w:rsid w:val="4D2B1A20"/>
    <w:rsid w:val="4D68764A"/>
    <w:rsid w:val="4D9B5ECF"/>
    <w:rsid w:val="50482888"/>
    <w:rsid w:val="505E4B0A"/>
    <w:rsid w:val="523D0833"/>
    <w:rsid w:val="534137DF"/>
    <w:rsid w:val="53B64C90"/>
    <w:rsid w:val="544F509F"/>
    <w:rsid w:val="547637A3"/>
    <w:rsid w:val="54FD735E"/>
    <w:rsid w:val="550844B4"/>
    <w:rsid w:val="55B06203"/>
    <w:rsid w:val="55CF5F9A"/>
    <w:rsid w:val="56755929"/>
    <w:rsid w:val="56CA66F2"/>
    <w:rsid w:val="588B6CD8"/>
    <w:rsid w:val="58906498"/>
    <w:rsid w:val="59055550"/>
    <w:rsid w:val="5B1F4E92"/>
    <w:rsid w:val="5B45091F"/>
    <w:rsid w:val="5CDC25BF"/>
    <w:rsid w:val="5D2C38E8"/>
    <w:rsid w:val="5D777C27"/>
    <w:rsid w:val="5E957A9F"/>
    <w:rsid w:val="5F385194"/>
    <w:rsid w:val="5F70318A"/>
    <w:rsid w:val="604E1884"/>
    <w:rsid w:val="60753476"/>
    <w:rsid w:val="61F404A7"/>
    <w:rsid w:val="62F67840"/>
    <w:rsid w:val="6336583A"/>
    <w:rsid w:val="651F6DAD"/>
    <w:rsid w:val="65642217"/>
    <w:rsid w:val="66AA2177"/>
    <w:rsid w:val="66D977D2"/>
    <w:rsid w:val="67C94749"/>
    <w:rsid w:val="68286FE1"/>
    <w:rsid w:val="687B1311"/>
    <w:rsid w:val="6A1527D8"/>
    <w:rsid w:val="6C092137"/>
    <w:rsid w:val="6C6608C4"/>
    <w:rsid w:val="6C7A1D63"/>
    <w:rsid w:val="6D1B6F8C"/>
    <w:rsid w:val="6E1B45FE"/>
    <w:rsid w:val="6E697A9E"/>
    <w:rsid w:val="6ED62253"/>
    <w:rsid w:val="6EF65281"/>
    <w:rsid w:val="6F781E7E"/>
    <w:rsid w:val="70912956"/>
    <w:rsid w:val="724404EA"/>
    <w:rsid w:val="728873D9"/>
    <w:rsid w:val="73F45072"/>
    <w:rsid w:val="744822CC"/>
    <w:rsid w:val="745B4F73"/>
    <w:rsid w:val="74852272"/>
    <w:rsid w:val="76021C92"/>
    <w:rsid w:val="76D54D0C"/>
    <w:rsid w:val="7804531E"/>
    <w:rsid w:val="784D5BB0"/>
    <w:rsid w:val="78B85C9C"/>
    <w:rsid w:val="790D7C03"/>
    <w:rsid w:val="7960641E"/>
    <w:rsid w:val="79ED1769"/>
    <w:rsid w:val="79EF60FF"/>
    <w:rsid w:val="7A3731F1"/>
    <w:rsid w:val="7A5406F5"/>
    <w:rsid w:val="7A9722EA"/>
    <w:rsid w:val="7BF10DD4"/>
    <w:rsid w:val="7C0D35C2"/>
    <w:rsid w:val="7D3E417C"/>
    <w:rsid w:val="7DA71A0B"/>
    <w:rsid w:val="7E1C659B"/>
    <w:rsid w:val="FDFF83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7"/>
    <w:link w:val="51"/>
    <w:qFormat/>
    <w:uiPriority w:val="0"/>
    <w:pPr>
      <w:keepNext/>
      <w:keepLines/>
      <w:spacing w:before="280" w:after="290" w:line="376" w:lineRule="auto"/>
      <w:outlineLvl w:val="3"/>
    </w:pPr>
    <w:rPr>
      <w:rFonts w:ascii="Cambria" w:hAnsi="Cambria"/>
      <w:b/>
      <w:bCs/>
      <w:sz w:val="28"/>
      <w:szCs w:val="28"/>
    </w:rPr>
  </w:style>
  <w:style w:type="character" w:default="1" w:styleId="41">
    <w:name w:val="Default Paragraph Font"/>
    <w:semiHidden/>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2"/>
    <w:basedOn w:val="1"/>
    <w:link w:val="48"/>
    <w:qFormat/>
    <w:uiPriority w:val="0"/>
    <w:pPr>
      <w:spacing w:after="120" w:line="480" w:lineRule="auto"/>
    </w:pPr>
  </w:style>
  <w:style w:type="paragraph" w:styleId="7">
    <w:name w:val="Body Text"/>
    <w:basedOn w:val="1"/>
    <w:next w:val="8"/>
    <w:link w:val="52"/>
    <w:qFormat/>
    <w:uiPriority w:val="0"/>
    <w:pPr>
      <w:spacing w:after="120"/>
    </w:pPr>
  </w:style>
  <w:style w:type="paragraph" w:styleId="8">
    <w:name w:val="Body Text First Indent"/>
    <w:basedOn w:val="7"/>
    <w:next w:val="9"/>
    <w:link w:val="53"/>
    <w:uiPriority w:val="0"/>
    <w:pPr>
      <w:ind w:firstLine="420" w:firstLineChars="100"/>
    </w:pPr>
    <w:rPr>
      <w:rFonts w:ascii="Calibri" w:hAnsi="Calibri"/>
    </w:rPr>
  </w:style>
  <w:style w:type="paragraph" w:styleId="9">
    <w:name w:val="toc 6"/>
    <w:basedOn w:val="1"/>
    <w:next w:val="1"/>
    <w:semiHidden/>
    <w:uiPriority w:val="0"/>
    <w:pPr>
      <w:ind w:left="1050"/>
      <w:jc w:val="left"/>
    </w:pPr>
    <w:rPr>
      <w:sz w:val="18"/>
      <w:szCs w:val="18"/>
    </w:rPr>
  </w:style>
  <w:style w:type="paragraph" w:styleId="10">
    <w:name w:val="toc 7"/>
    <w:basedOn w:val="1"/>
    <w:next w:val="1"/>
    <w:semiHidden/>
    <w:uiPriority w:val="0"/>
    <w:pPr>
      <w:ind w:left="1260"/>
      <w:jc w:val="left"/>
    </w:pPr>
    <w:rPr>
      <w:sz w:val="18"/>
      <w:szCs w:val="18"/>
    </w:rPr>
  </w:style>
  <w:style w:type="paragraph" w:styleId="11">
    <w:name w:val="Normal Indent"/>
    <w:basedOn w:val="1"/>
    <w:link w:val="54"/>
    <w:uiPriority w:val="0"/>
    <w:pPr>
      <w:adjustRightInd w:val="0"/>
      <w:spacing w:line="312" w:lineRule="atLeast"/>
      <w:ind w:firstLine="420"/>
      <w:textAlignment w:val="baseline"/>
    </w:pPr>
    <w:rPr>
      <w:kern w:val="0"/>
      <w:szCs w:val="20"/>
    </w:rPr>
  </w:style>
  <w:style w:type="paragraph" w:styleId="12">
    <w:name w:val="caption"/>
    <w:basedOn w:val="1"/>
    <w:next w:val="1"/>
    <w:qFormat/>
    <w:uiPriority w:val="0"/>
    <w:pPr>
      <w:spacing w:line="360" w:lineRule="auto"/>
      <w:jc w:val="center"/>
    </w:pPr>
    <w:rPr>
      <w:rFonts w:ascii="Arial" w:hAnsi="Arial"/>
      <w:kern w:val="44"/>
      <w:szCs w:val="20"/>
    </w:rPr>
  </w:style>
  <w:style w:type="paragraph" w:styleId="13">
    <w:name w:val="Document Map"/>
    <w:basedOn w:val="1"/>
    <w:link w:val="55"/>
    <w:autoRedefine/>
    <w:semiHidden/>
    <w:uiPriority w:val="99"/>
    <w:pPr>
      <w:shd w:val="clear" w:color="auto" w:fill="000080"/>
    </w:pPr>
  </w:style>
  <w:style w:type="paragraph" w:styleId="14">
    <w:name w:val="annotation text"/>
    <w:basedOn w:val="1"/>
    <w:link w:val="56"/>
    <w:qFormat/>
    <w:uiPriority w:val="0"/>
    <w:pPr>
      <w:jc w:val="left"/>
    </w:pPr>
  </w:style>
  <w:style w:type="paragraph" w:styleId="15">
    <w:name w:val="Body Text Indent"/>
    <w:basedOn w:val="1"/>
    <w:next w:val="1"/>
    <w:link w:val="57"/>
    <w:uiPriority w:val="0"/>
    <w:pPr>
      <w:ind w:left="480" w:hanging="480" w:hangingChars="200"/>
    </w:pPr>
    <w:rPr>
      <w:sz w:val="24"/>
    </w:rPr>
  </w:style>
  <w:style w:type="paragraph" w:styleId="16">
    <w:name w:val="Block Text"/>
    <w:basedOn w:val="1"/>
    <w:qFormat/>
    <w:uiPriority w:val="0"/>
    <w:pPr>
      <w:spacing w:after="120"/>
      <w:ind w:left="1440" w:leftChars="700" w:right="1440" w:rightChars="700"/>
    </w:pPr>
  </w:style>
  <w:style w:type="paragraph" w:styleId="17">
    <w:name w:val="toc 5"/>
    <w:basedOn w:val="1"/>
    <w:next w:val="1"/>
    <w:semiHidden/>
    <w:uiPriority w:val="0"/>
    <w:pPr>
      <w:ind w:left="840"/>
      <w:jc w:val="left"/>
    </w:pPr>
    <w:rPr>
      <w:sz w:val="18"/>
      <w:szCs w:val="18"/>
    </w:rPr>
  </w:style>
  <w:style w:type="paragraph" w:styleId="18">
    <w:name w:val="toc 3"/>
    <w:basedOn w:val="1"/>
    <w:next w:val="1"/>
    <w:semiHidden/>
    <w:uiPriority w:val="0"/>
    <w:pPr>
      <w:ind w:left="420"/>
      <w:jc w:val="left"/>
    </w:pPr>
    <w:rPr>
      <w:i/>
      <w:iCs/>
      <w:sz w:val="20"/>
      <w:szCs w:val="20"/>
    </w:rPr>
  </w:style>
  <w:style w:type="paragraph" w:styleId="19">
    <w:name w:val="Plain Text"/>
    <w:basedOn w:val="1"/>
    <w:link w:val="5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autoRedefine/>
    <w:semiHidden/>
    <w:uiPriority w:val="0"/>
    <w:pPr>
      <w:ind w:left="1470"/>
      <w:jc w:val="left"/>
    </w:pPr>
    <w:rPr>
      <w:sz w:val="18"/>
      <w:szCs w:val="18"/>
    </w:rPr>
  </w:style>
  <w:style w:type="paragraph" w:styleId="21">
    <w:name w:val="Date"/>
    <w:basedOn w:val="1"/>
    <w:next w:val="1"/>
    <w:uiPriority w:val="0"/>
    <w:pPr>
      <w:ind w:left="100" w:leftChars="2500"/>
    </w:pPr>
    <w:rPr>
      <w:szCs w:val="20"/>
    </w:rPr>
  </w:style>
  <w:style w:type="paragraph" w:styleId="22">
    <w:name w:val="Body Text Indent 2"/>
    <w:basedOn w:val="1"/>
    <w:link w:val="59"/>
    <w:uiPriority w:val="0"/>
    <w:pPr>
      <w:spacing w:line="500" w:lineRule="exact"/>
      <w:ind w:firstLine="511" w:firstLineChars="213"/>
    </w:pPr>
    <w:rPr>
      <w:sz w:val="24"/>
    </w:rPr>
  </w:style>
  <w:style w:type="paragraph" w:styleId="23">
    <w:name w:val="Balloon Text"/>
    <w:basedOn w:val="1"/>
    <w:link w:val="60"/>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2"/>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b/>
      <w:bCs/>
      <w:caps/>
      <w:sz w:val="20"/>
      <w:szCs w:val="20"/>
    </w:rPr>
  </w:style>
  <w:style w:type="paragraph" w:styleId="27">
    <w:name w:val="toc 4"/>
    <w:basedOn w:val="1"/>
    <w:next w:val="1"/>
    <w:semiHidden/>
    <w:uiPriority w:val="0"/>
    <w:pPr>
      <w:ind w:left="630"/>
      <w:jc w:val="left"/>
    </w:pPr>
    <w:rPr>
      <w:sz w:val="18"/>
      <w:szCs w:val="18"/>
    </w:rPr>
  </w:style>
  <w:style w:type="paragraph" w:styleId="28">
    <w:name w:val="List"/>
    <w:basedOn w:val="1"/>
    <w:autoRedefine/>
    <w:qFormat/>
    <w:uiPriority w:val="0"/>
    <w:pPr>
      <w:ind w:left="200" w:hanging="200" w:hangingChars="200"/>
    </w:pPr>
  </w:style>
  <w:style w:type="paragraph" w:styleId="29">
    <w:name w:val="Body Text Indent 3"/>
    <w:basedOn w:val="1"/>
    <w:autoRedefine/>
    <w:uiPriority w:val="0"/>
    <w:pPr>
      <w:spacing w:line="500" w:lineRule="exact"/>
      <w:ind w:left="511" w:hanging="511" w:hangingChars="213"/>
    </w:pPr>
    <w:rPr>
      <w:sz w:val="24"/>
    </w:rPr>
  </w:style>
  <w:style w:type="paragraph" w:styleId="30">
    <w:name w:val="toc 2"/>
    <w:basedOn w:val="1"/>
    <w:next w:val="1"/>
    <w:autoRedefine/>
    <w:qFormat/>
    <w:uiPriority w:val="39"/>
    <w:pPr>
      <w:ind w:left="210"/>
      <w:jc w:val="left"/>
    </w:pPr>
    <w:rPr>
      <w:smallCaps/>
      <w:sz w:val="20"/>
      <w:szCs w:val="20"/>
    </w:rPr>
  </w:style>
  <w:style w:type="paragraph" w:styleId="31">
    <w:name w:val="toc 9"/>
    <w:basedOn w:val="1"/>
    <w:next w:val="1"/>
    <w:autoRedefine/>
    <w:semiHidden/>
    <w:qFormat/>
    <w:uiPriority w:val="0"/>
    <w:pPr>
      <w:ind w:left="1680"/>
      <w:jc w:val="left"/>
    </w:pPr>
    <w:rPr>
      <w:sz w:val="18"/>
      <w:szCs w:val="18"/>
    </w:r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63"/>
    <w:autoRedefine/>
    <w:qFormat/>
    <w:uiPriority w:val="0"/>
    <w:pPr>
      <w:spacing w:before="240" w:after="60"/>
      <w:jc w:val="center"/>
      <w:outlineLvl w:val="0"/>
    </w:pPr>
    <w:rPr>
      <w:rFonts w:ascii="Cambria" w:hAnsi="Cambria"/>
      <w:b/>
      <w:bCs/>
      <w:sz w:val="32"/>
      <w:szCs w:val="32"/>
    </w:rPr>
  </w:style>
  <w:style w:type="paragraph" w:styleId="35">
    <w:name w:val="annotation subject"/>
    <w:basedOn w:val="14"/>
    <w:next w:val="14"/>
    <w:link w:val="64"/>
    <w:autoRedefine/>
    <w:qFormat/>
    <w:uiPriority w:val="0"/>
    <w:rPr>
      <w:b/>
      <w:bCs/>
    </w:rPr>
  </w:style>
  <w:style w:type="paragraph" w:styleId="36">
    <w:name w:val="Body Text First Indent 2"/>
    <w:basedOn w:val="15"/>
    <w:autoRedefine/>
    <w:qFormat/>
    <w:uiPriority w:val="0"/>
    <w:pPr>
      <w:ind w:firstLine="420"/>
    </w:pPr>
    <w:rPr>
      <w:rFonts w:cs="宋体"/>
      <w:szCs w:val="21"/>
    </w:r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Theme"/>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Grid 1"/>
    <w:basedOn w:val="3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20"/>
    <w:rPr>
      <w:i/>
      <w:iCs/>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customStyle="1" w:styleId="48">
    <w:name w:val="正文文本 2 字符"/>
    <w:link w:val="2"/>
    <w:autoRedefine/>
    <w:qFormat/>
    <w:uiPriority w:val="0"/>
    <w:rPr>
      <w:kern w:val="2"/>
      <w:sz w:val="21"/>
      <w:szCs w:val="24"/>
    </w:rPr>
  </w:style>
  <w:style w:type="character" w:customStyle="1" w:styleId="49">
    <w:name w:val="标题 2 字符"/>
    <w:link w:val="4"/>
    <w:autoRedefine/>
    <w:qFormat/>
    <w:locked/>
    <w:uiPriority w:val="9"/>
    <w:rPr>
      <w:rFonts w:ascii="Arial" w:hAnsi="Arial" w:eastAsia="黑体"/>
      <w:b/>
      <w:bCs/>
      <w:kern w:val="2"/>
      <w:sz w:val="32"/>
      <w:szCs w:val="32"/>
      <w:lang w:val="en-US" w:eastAsia="zh-CN" w:bidi="ar-SA"/>
    </w:rPr>
  </w:style>
  <w:style w:type="character" w:customStyle="1" w:styleId="50">
    <w:name w:val="标题 3 字符"/>
    <w:link w:val="5"/>
    <w:autoRedefine/>
    <w:semiHidden/>
    <w:qFormat/>
    <w:uiPriority w:val="0"/>
    <w:rPr>
      <w:b/>
      <w:bCs/>
      <w:kern w:val="2"/>
      <w:sz w:val="32"/>
      <w:szCs w:val="32"/>
    </w:rPr>
  </w:style>
  <w:style w:type="character" w:customStyle="1" w:styleId="51">
    <w:name w:val="标题 4 字符"/>
    <w:link w:val="6"/>
    <w:autoRedefine/>
    <w:semiHidden/>
    <w:qFormat/>
    <w:uiPriority w:val="0"/>
    <w:rPr>
      <w:rFonts w:ascii="Cambria" w:hAnsi="Cambria" w:eastAsia="宋体" w:cs="Times New Roman"/>
      <w:b/>
      <w:bCs/>
      <w:kern w:val="2"/>
      <w:sz w:val="28"/>
      <w:szCs w:val="28"/>
    </w:rPr>
  </w:style>
  <w:style w:type="character" w:customStyle="1" w:styleId="52">
    <w:name w:val="正文文本 字符"/>
    <w:link w:val="7"/>
    <w:autoRedefine/>
    <w:qFormat/>
    <w:uiPriority w:val="0"/>
    <w:rPr>
      <w:kern w:val="2"/>
      <w:sz w:val="21"/>
      <w:szCs w:val="24"/>
    </w:rPr>
  </w:style>
  <w:style w:type="character" w:customStyle="1" w:styleId="53">
    <w:name w:val="正文文本首行缩进 字符"/>
    <w:link w:val="8"/>
    <w:autoRedefine/>
    <w:qFormat/>
    <w:uiPriority w:val="0"/>
    <w:rPr>
      <w:rFonts w:ascii="Calibri" w:hAnsi="Calibri"/>
      <w:kern w:val="2"/>
      <w:sz w:val="21"/>
      <w:szCs w:val="24"/>
    </w:rPr>
  </w:style>
  <w:style w:type="character" w:customStyle="1" w:styleId="54">
    <w:name w:val="正文缩进 字符"/>
    <w:link w:val="11"/>
    <w:autoRedefine/>
    <w:qFormat/>
    <w:uiPriority w:val="0"/>
    <w:rPr>
      <w:sz w:val="21"/>
    </w:rPr>
  </w:style>
  <w:style w:type="character" w:customStyle="1" w:styleId="55">
    <w:name w:val="文档结构图 字符"/>
    <w:link w:val="13"/>
    <w:autoRedefine/>
    <w:semiHidden/>
    <w:qFormat/>
    <w:uiPriority w:val="99"/>
    <w:rPr>
      <w:kern w:val="2"/>
      <w:sz w:val="21"/>
      <w:szCs w:val="24"/>
      <w:shd w:val="clear" w:color="auto" w:fill="000080"/>
    </w:rPr>
  </w:style>
  <w:style w:type="character" w:customStyle="1" w:styleId="56">
    <w:name w:val="批注文字 字符"/>
    <w:link w:val="14"/>
    <w:autoRedefine/>
    <w:qFormat/>
    <w:uiPriority w:val="0"/>
    <w:rPr>
      <w:kern w:val="2"/>
      <w:sz w:val="21"/>
      <w:szCs w:val="24"/>
    </w:rPr>
  </w:style>
  <w:style w:type="character" w:customStyle="1" w:styleId="57">
    <w:name w:val="正文文本缩进 字符"/>
    <w:link w:val="15"/>
    <w:autoRedefine/>
    <w:qFormat/>
    <w:uiPriority w:val="0"/>
    <w:rPr>
      <w:rFonts w:eastAsia="宋体"/>
      <w:kern w:val="2"/>
      <w:sz w:val="24"/>
      <w:szCs w:val="24"/>
      <w:lang w:val="en-US" w:eastAsia="zh-CN" w:bidi="ar-SA"/>
    </w:rPr>
  </w:style>
  <w:style w:type="character" w:customStyle="1" w:styleId="58">
    <w:name w:val="纯文本 字符"/>
    <w:link w:val="19"/>
    <w:autoRedefine/>
    <w:qFormat/>
    <w:uiPriority w:val="0"/>
    <w:rPr>
      <w:rFonts w:ascii="宋体" w:hAnsi="Courier New"/>
      <w:sz w:val="21"/>
      <w:szCs w:val="21"/>
    </w:rPr>
  </w:style>
  <w:style w:type="character" w:customStyle="1" w:styleId="59">
    <w:name w:val="正文文本缩进 2 字符"/>
    <w:link w:val="22"/>
    <w:autoRedefine/>
    <w:qFormat/>
    <w:uiPriority w:val="0"/>
    <w:rPr>
      <w:kern w:val="2"/>
      <w:sz w:val="24"/>
      <w:szCs w:val="24"/>
    </w:rPr>
  </w:style>
  <w:style w:type="character" w:customStyle="1" w:styleId="60">
    <w:name w:val="批注框文本 字符"/>
    <w:link w:val="23"/>
    <w:autoRedefine/>
    <w:qFormat/>
    <w:uiPriority w:val="99"/>
    <w:rPr>
      <w:kern w:val="2"/>
      <w:sz w:val="18"/>
      <w:szCs w:val="18"/>
    </w:rPr>
  </w:style>
  <w:style w:type="character" w:customStyle="1" w:styleId="61">
    <w:name w:val="页脚 字符"/>
    <w:link w:val="24"/>
    <w:autoRedefine/>
    <w:qFormat/>
    <w:uiPriority w:val="99"/>
    <w:rPr>
      <w:rFonts w:eastAsia="宋体"/>
      <w:kern w:val="2"/>
      <w:sz w:val="18"/>
      <w:szCs w:val="18"/>
      <w:lang w:val="en-US" w:eastAsia="zh-CN" w:bidi="ar-SA"/>
    </w:rPr>
  </w:style>
  <w:style w:type="character" w:customStyle="1" w:styleId="62">
    <w:name w:val="页眉 字符"/>
    <w:link w:val="25"/>
    <w:autoRedefine/>
    <w:qFormat/>
    <w:uiPriority w:val="99"/>
    <w:rPr>
      <w:kern w:val="2"/>
      <w:sz w:val="18"/>
      <w:szCs w:val="18"/>
    </w:rPr>
  </w:style>
  <w:style w:type="character" w:customStyle="1" w:styleId="63">
    <w:name w:val="标题 字符"/>
    <w:link w:val="34"/>
    <w:autoRedefine/>
    <w:qFormat/>
    <w:uiPriority w:val="0"/>
    <w:rPr>
      <w:rFonts w:ascii="Cambria" w:hAnsi="Cambria"/>
      <w:b/>
      <w:bCs/>
      <w:kern w:val="2"/>
      <w:sz w:val="32"/>
      <w:szCs w:val="32"/>
    </w:rPr>
  </w:style>
  <w:style w:type="character" w:customStyle="1" w:styleId="64">
    <w:name w:val="批注主题 字符"/>
    <w:link w:val="35"/>
    <w:autoRedefine/>
    <w:qFormat/>
    <w:uiPriority w:val="0"/>
    <w:rPr>
      <w:b/>
      <w:bCs/>
      <w:kern w:val="2"/>
      <w:sz w:val="21"/>
      <w:szCs w:val="24"/>
    </w:rPr>
  </w:style>
  <w:style w:type="character" w:customStyle="1" w:styleId="65">
    <w:name w:val="font11"/>
    <w:autoRedefine/>
    <w:qFormat/>
    <w:uiPriority w:val="0"/>
    <w:rPr>
      <w:rFonts w:hint="eastAsia" w:ascii="宋体" w:hAnsi="宋体" w:eastAsia="宋体"/>
      <w:color w:val="FF0000"/>
      <w:sz w:val="24"/>
      <w:szCs w:val="24"/>
      <w:u w:val="none"/>
    </w:rPr>
  </w:style>
  <w:style w:type="character" w:customStyle="1" w:styleId="66">
    <w:name w:val="font21"/>
    <w:autoRedefine/>
    <w:qFormat/>
    <w:uiPriority w:val="0"/>
    <w:rPr>
      <w:rFonts w:hint="eastAsia" w:ascii="宋体" w:hAnsi="宋体" w:eastAsia="宋体"/>
      <w:color w:val="FF0000"/>
      <w:sz w:val="24"/>
      <w:szCs w:val="24"/>
      <w:u w:val="none"/>
    </w:rPr>
  </w:style>
  <w:style w:type="character" w:customStyle="1" w:styleId="67">
    <w:name w:val="图示 字符"/>
    <w:link w:val="68"/>
    <w:autoRedefine/>
    <w:qFormat/>
    <w:uiPriority w:val="0"/>
    <w:rPr>
      <w:rFonts w:ascii="宋体" w:hAnsi="宋体"/>
      <w:kern w:val="2"/>
      <w:sz w:val="21"/>
      <w:szCs w:val="28"/>
    </w:rPr>
  </w:style>
  <w:style w:type="paragraph" w:customStyle="1" w:styleId="68">
    <w:name w:val="图示"/>
    <w:basedOn w:val="1"/>
    <w:link w:val="67"/>
    <w:autoRedefine/>
    <w:qFormat/>
    <w:uiPriority w:val="0"/>
    <w:pPr>
      <w:numPr>
        <w:ilvl w:val="0"/>
        <w:numId w:val="1"/>
      </w:numPr>
      <w:spacing w:line="360" w:lineRule="auto"/>
      <w:ind w:right="280" w:firstLine="0"/>
      <w:jc w:val="center"/>
    </w:pPr>
    <w:rPr>
      <w:rFonts w:ascii="宋体" w:hAnsi="宋体"/>
      <w:szCs w:val="28"/>
    </w:rPr>
  </w:style>
  <w:style w:type="character" w:customStyle="1" w:styleId="69">
    <w:name w:val="htd0"/>
    <w:autoRedefine/>
    <w:qFormat/>
    <w:uiPriority w:val="0"/>
  </w:style>
  <w:style w:type="character" w:customStyle="1" w:styleId="70">
    <w:name w:val="font111"/>
    <w:autoRedefine/>
    <w:qFormat/>
    <w:uiPriority w:val="0"/>
    <w:rPr>
      <w:rFonts w:hint="eastAsia" w:ascii="宋体" w:hAnsi="宋体" w:eastAsia="宋体" w:cs="宋体"/>
      <w:color w:val="000000"/>
      <w:sz w:val="24"/>
      <w:szCs w:val="24"/>
      <w:u w:val="none"/>
    </w:rPr>
  </w:style>
  <w:style w:type="character" w:customStyle="1" w:styleId="71">
    <w:name w:val="BZ_正文 Char"/>
    <w:link w:val="72"/>
    <w:autoRedefine/>
    <w:qFormat/>
    <w:uiPriority w:val="0"/>
    <w:rPr>
      <w:kern w:val="2"/>
      <w:sz w:val="24"/>
      <w:szCs w:val="24"/>
    </w:rPr>
  </w:style>
  <w:style w:type="paragraph" w:customStyle="1" w:styleId="72">
    <w:name w:val="BZ_正文"/>
    <w:basedOn w:val="1"/>
    <w:link w:val="71"/>
    <w:autoRedefine/>
    <w:qFormat/>
    <w:uiPriority w:val="0"/>
    <w:pPr>
      <w:spacing w:line="360" w:lineRule="auto"/>
      <w:ind w:firstLine="200" w:firstLineChars="200"/>
    </w:pPr>
    <w:rPr>
      <w:sz w:val="24"/>
    </w:rPr>
  </w:style>
  <w:style w:type="character" w:customStyle="1" w:styleId="73">
    <w:name w:val=" Char Char4"/>
    <w:autoRedefine/>
    <w:qFormat/>
    <w:uiPriority w:val="0"/>
    <w:rPr>
      <w:rFonts w:eastAsia="宋体"/>
      <w:kern w:val="2"/>
      <w:sz w:val="21"/>
      <w:szCs w:val="24"/>
      <w:lang w:val="en-US" w:eastAsia="zh-CN" w:bidi="ar-SA"/>
    </w:rPr>
  </w:style>
  <w:style w:type="character" w:customStyle="1" w:styleId="74">
    <w:name w:val="金保标题1 Char"/>
    <w:link w:val="75"/>
    <w:autoRedefine/>
    <w:qFormat/>
    <w:uiPriority w:val="0"/>
    <w:rPr>
      <w:rFonts w:ascii="黑体" w:hAnsi="黑体" w:eastAsia="黑体"/>
      <w:b/>
      <w:bCs/>
      <w:kern w:val="44"/>
      <w:sz w:val="32"/>
      <w:szCs w:val="32"/>
    </w:rPr>
  </w:style>
  <w:style w:type="paragraph" w:customStyle="1" w:styleId="75">
    <w:name w:val="金保标题1"/>
    <w:basedOn w:val="3"/>
    <w:next w:val="1"/>
    <w:link w:val="74"/>
    <w:autoRedefine/>
    <w:qFormat/>
    <w:uiPriority w:val="0"/>
    <w:pPr>
      <w:widowControl/>
      <w:numPr>
        <w:ilvl w:val="0"/>
        <w:numId w:val="2"/>
      </w:numPr>
      <w:tabs>
        <w:tab w:val="left" w:pos="720"/>
        <w:tab w:val="clear" w:pos="840"/>
      </w:tabs>
      <w:adjustRightInd/>
      <w:snapToGrid/>
      <w:spacing w:before="340" w:after="330"/>
      <w:ind w:left="142" w:hanging="142"/>
      <w:jc w:val="center"/>
    </w:pPr>
    <w:rPr>
      <w:rFonts w:ascii="黑体" w:hAnsi="黑体" w:eastAsia="黑体"/>
      <w:bCs/>
      <w:sz w:val="32"/>
      <w:szCs w:val="32"/>
    </w:rPr>
  </w:style>
  <w:style w:type="character" w:customStyle="1" w:styleId="76">
    <w:name w:val="title1"/>
    <w:autoRedefine/>
    <w:qFormat/>
    <w:uiPriority w:val="0"/>
    <w:rPr>
      <w:rFonts w:hint="eastAsia" w:ascii="宋体" w:hAnsi="宋体" w:eastAsia="宋体"/>
      <w:b/>
      <w:bCs/>
      <w:sz w:val="22"/>
      <w:szCs w:val="22"/>
    </w:rPr>
  </w:style>
  <w:style w:type="character" w:customStyle="1" w:styleId="77">
    <w:name w:val="font171"/>
    <w:autoRedefine/>
    <w:qFormat/>
    <w:uiPriority w:val="0"/>
    <w:rPr>
      <w:rFonts w:hint="eastAsia" w:ascii="宋体" w:hAnsi="宋体" w:eastAsia="宋体" w:cs="宋体"/>
      <w:color w:val="000000"/>
      <w:sz w:val="24"/>
      <w:szCs w:val="24"/>
      <w:u w:val="none"/>
    </w:rPr>
  </w:style>
  <w:style w:type="character" w:customStyle="1" w:styleId="78">
    <w:name w:val="页脚 Char1"/>
    <w:autoRedefine/>
    <w:qFormat/>
    <w:uiPriority w:val="0"/>
    <w:rPr>
      <w:rFonts w:ascii="仿宋_GB2312" w:hAnsi="Times New Roman" w:eastAsia="仿宋_GB2312" w:cs="Times New Roman"/>
      <w:sz w:val="18"/>
      <w:szCs w:val="18"/>
    </w:rPr>
  </w:style>
  <w:style w:type="character" w:customStyle="1" w:styleId="79">
    <w:name w:val="国普正文 Char"/>
    <w:link w:val="80"/>
    <w:autoRedefine/>
    <w:qFormat/>
    <w:uiPriority w:val="0"/>
    <w:rPr>
      <w:rFonts w:ascii="仿宋_GB2312" w:hAnsi="Calibri" w:eastAsia="仿宋_GB2312"/>
      <w:kern w:val="2"/>
      <w:sz w:val="30"/>
      <w:szCs w:val="30"/>
    </w:rPr>
  </w:style>
  <w:style w:type="paragraph" w:customStyle="1" w:styleId="80">
    <w:name w:val="国普正文"/>
    <w:basedOn w:val="1"/>
    <w:link w:val="79"/>
    <w:autoRedefine/>
    <w:qFormat/>
    <w:uiPriority w:val="0"/>
    <w:pPr>
      <w:spacing w:line="360" w:lineRule="auto"/>
      <w:ind w:firstLine="600" w:firstLineChars="200"/>
    </w:pPr>
    <w:rPr>
      <w:rFonts w:ascii="仿宋_GB2312" w:hAnsi="Calibri" w:eastAsia="仿宋_GB2312"/>
      <w:sz w:val="30"/>
      <w:szCs w:val="30"/>
    </w:rPr>
  </w:style>
  <w:style w:type="character" w:customStyle="1" w:styleId="81">
    <w:name w:val="正文首行缩进 Char1"/>
    <w:autoRedefine/>
    <w:qFormat/>
    <w:uiPriority w:val="0"/>
  </w:style>
  <w:style w:type="character" w:customStyle="1" w:styleId="82">
    <w:name w:val="样式 首行缩进:  0.85 厘米 Char"/>
    <w:link w:val="83"/>
    <w:autoRedefine/>
    <w:qFormat/>
    <w:uiPriority w:val="0"/>
    <w:rPr>
      <w:sz w:val="24"/>
    </w:rPr>
  </w:style>
  <w:style w:type="paragraph" w:customStyle="1" w:styleId="83">
    <w:name w:val="样式 首行缩进:  0.85 厘米"/>
    <w:basedOn w:val="1"/>
    <w:link w:val="82"/>
    <w:autoRedefine/>
    <w:qFormat/>
    <w:uiPriority w:val="0"/>
    <w:pPr>
      <w:spacing w:line="360" w:lineRule="auto"/>
      <w:ind w:firstLine="480"/>
    </w:pPr>
    <w:rPr>
      <w:kern w:val="0"/>
      <w:sz w:val="24"/>
      <w:szCs w:val="20"/>
    </w:rPr>
  </w:style>
  <w:style w:type="character" w:customStyle="1" w:styleId="84">
    <w:name w:val=" Char Char Char"/>
    <w:autoRedefine/>
    <w:qFormat/>
    <w:uiPriority w:val="0"/>
    <w:rPr>
      <w:rFonts w:ascii="宋体" w:hAnsi="Courier New" w:eastAsia="宋体"/>
      <w:sz w:val="21"/>
      <w:szCs w:val="21"/>
      <w:lang w:val="en-US" w:eastAsia="zh-CN" w:bidi="ar-SA"/>
    </w:rPr>
  </w:style>
  <w:style w:type="character" w:customStyle="1" w:styleId="85">
    <w:name w:val="px141"/>
    <w:autoRedefine/>
    <w:qFormat/>
    <w:uiPriority w:val="0"/>
    <w:rPr>
      <w:sz w:val="21"/>
      <w:szCs w:val="21"/>
    </w:rPr>
  </w:style>
  <w:style w:type="character" w:customStyle="1" w:styleId="86">
    <w:name w:val="BZ_一级标题 Char"/>
    <w:link w:val="87"/>
    <w:autoRedefine/>
    <w:qFormat/>
    <w:uiPriority w:val="0"/>
    <w:rPr>
      <w:rFonts w:eastAsia="华文中宋"/>
      <w:b/>
      <w:bCs/>
      <w:kern w:val="44"/>
      <w:sz w:val="36"/>
      <w:szCs w:val="36"/>
    </w:rPr>
  </w:style>
  <w:style w:type="paragraph" w:customStyle="1" w:styleId="87">
    <w:name w:val="BZ_一级标题"/>
    <w:basedOn w:val="3"/>
    <w:next w:val="1"/>
    <w:link w:val="86"/>
    <w:autoRedefine/>
    <w:qFormat/>
    <w:uiPriority w:val="0"/>
    <w:pPr>
      <w:widowControl/>
      <w:tabs>
        <w:tab w:val="clear" w:pos="840"/>
      </w:tabs>
      <w:adjustRightInd/>
      <w:snapToGrid/>
      <w:spacing w:before="340" w:beforeLines="50" w:after="330" w:afterLines="50" w:line="240" w:lineRule="auto"/>
    </w:pPr>
    <w:rPr>
      <w:rFonts w:ascii="Times New Roman" w:eastAsia="华文中宋"/>
      <w:bCs/>
      <w:sz w:val="36"/>
      <w:szCs w:val="36"/>
    </w:rPr>
  </w:style>
  <w:style w:type="character" w:customStyle="1" w:styleId="88">
    <w:name w:val="投标正文 Char"/>
    <w:link w:val="89"/>
    <w:autoRedefine/>
    <w:qFormat/>
    <w:uiPriority w:val="0"/>
    <w:rPr>
      <w:rFonts w:ascii="Calibri" w:hAnsi="Calibri"/>
      <w:kern w:val="2"/>
      <w:sz w:val="24"/>
      <w:szCs w:val="24"/>
    </w:rPr>
  </w:style>
  <w:style w:type="paragraph" w:customStyle="1" w:styleId="89">
    <w:name w:val="投标正文"/>
    <w:basedOn w:val="1"/>
    <w:link w:val="88"/>
    <w:autoRedefine/>
    <w:qFormat/>
    <w:uiPriority w:val="0"/>
    <w:pPr>
      <w:spacing w:line="360" w:lineRule="auto"/>
      <w:ind w:left="100" w:firstLine="480" w:firstLineChars="200"/>
    </w:pPr>
    <w:rPr>
      <w:rFonts w:ascii="Calibri" w:hAnsi="Calibri"/>
      <w:sz w:val="24"/>
    </w:rPr>
  </w:style>
  <w:style w:type="character" w:customStyle="1" w:styleId="90">
    <w:name w:val="my正文 Char"/>
    <w:link w:val="91"/>
    <w:autoRedefine/>
    <w:qFormat/>
    <w:locked/>
    <w:uiPriority w:val="0"/>
    <w:rPr>
      <w:rFonts w:ascii="仿宋_GB2312" w:hAnsi="仿宋_GB2312" w:eastAsia="仿宋_GB2312"/>
      <w:spacing w:val="10"/>
      <w:sz w:val="24"/>
    </w:rPr>
  </w:style>
  <w:style w:type="paragraph" w:customStyle="1" w:styleId="91">
    <w:name w:val="my正文"/>
    <w:basedOn w:val="28"/>
    <w:link w:val="90"/>
    <w:autoRedefine/>
    <w:qFormat/>
    <w:uiPriority w:val="0"/>
    <w:rPr>
      <w:rFonts w:ascii="仿宋_GB2312" w:hAnsi="仿宋_GB2312" w:eastAsia="仿宋_GB2312"/>
      <w:spacing w:val="10"/>
      <w:kern w:val="0"/>
      <w:sz w:val="24"/>
      <w:szCs w:val="20"/>
    </w:rPr>
  </w:style>
  <w:style w:type="character" w:customStyle="1" w:styleId="92">
    <w:name w:val="font151"/>
    <w:autoRedefine/>
    <w:qFormat/>
    <w:uiPriority w:val="0"/>
    <w:rPr>
      <w:rFonts w:hint="default" w:ascii="Times New Roman" w:hAnsi="Times New Roman" w:cs="Times New Roman"/>
      <w:color w:val="000000"/>
      <w:sz w:val="24"/>
      <w:szCs w:val="24"/>
      <w:u w:val="none"/>
    </w:rPr>
  </w:style>
  <w:style w:type="character" w:customStyle="1" w:styleId="93">
    <w:name w:val="textfont"/>
    <w:autoRedefine/>
    <w:qFormat/>
    <w:uiPriority w:val="0"/>
  </w:style>
  <w:style w:type="character" w:customStyle="1" w:styleId="94">
    <w:name w:val="Comment Text Char"/>
    <w:autoRedefine/>
    <w:qFormat/>
    <w:locked/>
    <w:uiPriority w:val="0"/>
    <w:rPr>
      <w:sz w:val="24"/>
    </w:rPr>
  </w:style>
  <w:style w:type="character" w:customStyle="1" w:styleId="95">
    <w:name w:val="金保标题2 Char"/>
    <w:link w:val="96"/>
    <w:autoRedefine/>
    <w:qFormat/>
    <w:locked/>
    <w:uiPriority w:val="0"/>
    <w:rPr>
      <w:rFonts w:ascii="新宋体" w:hAnsi="新宋体" w:eastAsia="新宋体"/>
      <w:b/>
      <w:bCs/>
      <w:color w:val="000000"/>
      <w:kern w:val="2"/>
      <w:sz w:val="22"/>
      <w:szCs w:val="22"/>
      <w:lang w:val="zh-CN"/>
    </w:rPr>
  </w:style>
  <w:style w:type="paragraph" w:customStyle="1" w:styleId="96">
    <w:name w:val="金保标题2"/>
    <w:basedOn w:val="4"/>
    <w:next w:val="1"/>
    <w:link w:val="95"/>
    <w:autoRedefine/>
    <w:qFormat/>
    <w:uiPriority w:val="0"/>
    <w:pPr>
      <w:widowControl/>
      <w:numPr>
        <w:ilvl w:val="0"/>
        <w:numId w:val="3"/>
      </w:numPr>
      <w:spacing w:before="0" w:after="0" w:line="440" w:lineRule="exact"/>
      <w:ind w:right="84" w:rightChars="40"/>
      <w:jc w:val="left"/>
    </w:pPr>
    <w:rPr>
      <w:rFonts w:ascii="新宋体" w:hAnsi="新宋体" w:eastAsia="新宋体"/>
      <w:color w:val="000000"/>
      <w:sz w:val="22"/>
      <w:szCs w:val="22"/>
      <w:lang w:val="zh-CN"/>
    </w:rPr>
  </w:style>
  <w:style w:type="character" w:customStyle="1" w:styleId="97">
    <w:name w:val="HU正文 Char"/>
    <w:link w:val="98"/>
    <w:autoRedefine/>
    <w:qFormat/>
    <w:uiPriority w:val="0"/>
    <w:rPr>
      <w:kern w:val="2"/>
      <w:sz w:val="24"/>
      <w:szCs w:val="21"/>
    </w:rPr>
  </w:style>
  <w:style w:type="paragraph" w:customStyle="1" w:styleId="98">
    <w:name w:val="HU正文"/>
    <w:basedOn w:val="1"/>
    <w:link w:val="97"/>
    <w:autoRedefine/>
    <w:qFormat/>
    <w:uiPriority w:val="0"/>
    <w:pPr>
      <w:spacing w:line="312" w:lineRule="auto"/>
      <w:ind w:left="420" w:firstLine="480" w:firstLineChars="200"/>
    </w:pPr>
    <w:rPr>
      <w:sz w:val="24"/>
      <w:szCs w:val="21"/>
    </w:rPr>
  </w:style>
  <w:style w:type="character" w:customStyle="1" w:styleId="99">
    <w:name w:val="font01"/>
    <w:autoRedefine/>
    <w:qFormat/>
    <w:uiPriority w:val="0"/>
    <w:rPr>
      <w:rFonts w:hint="eastAsia" w:ascii="宋体" w:hAnsi="宋体" w:eastAsia="宋体"/>
      <w:color w:val="000000"/>
      <w:sz w:val="24"/>
      <w:szCs w:val="24"/>
      <w:u w:val="none"/>
    </w:rPr>
  </w:style>
  <w:style w:type="character" w:customStyle="1" w:styleId="100">
    <w:name w:val="Intense Reference"/>
    <w:autoRedefine/>
    <w:qFormat/>
    <w:uiPriority w:val="0"/>
    <w:rPr>
      <w:b/>
      <w:bCs/>
      <w:smallCaps/>
      <w:color w:val="C0504D"/>
      <w:spacing w:val="5"/>
      <w:u w:val="single"/>
    </w:rPr>
  </w:style>
  <w:style w:type="character" w:customStyle="1" w:styleId="101">
    <w:name w:val="纯文本 Char"/>
    <w:autoRedefine/>
    <w:qFormat/>
    <w:uiPriority w:val="0"/>
    <w:rPr>
      <w:rFonts w:ascii="宋体" w:hAnsi="Courier New" w:eastAsia="宋体"/>
      <w:sz w:val="21"/>
      <w:szCs w:val="21"/>
      <w:lang w:val="en-US" w:eastAsia="zh-CN" w:bidi="ar-SA"/>
    </w:rPr>
  </w:style>
  <w:style w:type="character" w:customStyle="1" w:styleId="102">
    <w:name w:val="正文（首行缩进两字） Char"/>
    <w:autoRedefine/>
    <w:qFormat/>
    <w:uiPriority w:val="0"/>
    <w:rPr>
      <w:rFonts w:eastAsia="宋体"/>
      <w:sz w:val="21"/>
      <w:lang w:val="en-US" w:eastAsia="zh-CN" w:bidi="ar-SA"/>
    </w:rPr>
  </w:style>
  <w:style w:type="character" w:customStyle="1" w:styleId="103">
    <w:name w:val="stone1"/>
    <w:autoRedefine/>
    <w:qFormat/>
    <w:uiPriority w:val="0"/>
    <w:rPr>
      <w:vanish/>
    </w:rPr>
  </w:style>
  <w:style w:type="character" w:customStyle="1" w:styleId="104">
    <w:name w:val="正文文本 Char"/>
    <w:autoRedefine/>
    <w:qFormat/>
    <w:locked/>
    <w:uiPriority w:val="0"/>
    <w:rPr>
      <w:rFonts w:eastAsia="宋体"/>
      <w:kern w:val="2"/>
      <w:sz w:val="21"/>
      <w:szCs w:val="24"/>
      <w:lang w:val="en-US" w:eastAsia="zh-CN" w:bidi="ar-SA"/>
    </w:rPr>
  </w:style>
  <w:style w:type="character" w:customStyle="1" w:styleId="105">
    <w:name w:val="Texte Char Char"/>
    <w:autoRedefine/>
    <w:qFormat/>
    <w:uiPriority w:val="0"/>
    <w:rPr>
      <w:rFonts w:ascii="宋体" w:hAnsi="Courier New" w:eastAsia="宋体"/>
      <w:sz w:val="21"/>
      <w:szCs w:val="21"/>
      <w:lang w:val="en-US" w:eastAsia="zh-CN" w:bidi="ar-SA"/>
    </w:rPr>
  </w:style>
  <w:style w:type="character" w:customStyle="1" w:styleId="106">
    <w:name w:val="表正文 Char"/>
    <w:autoRedefine/>
    <w:qFormat/>
    <w:uiPriority w:val="0"/>
    <w:rPr>
      <w:rFonts w:eastAsia="宋体"/>
      <w:sz w:val="21"/>
      <w:lang w:val="en-US" w:eastAsia="zh-CN" w:bidi="ar-SA"/>
    </w:rPr>
  </w:style>
  <w:style w:type="character" w:customStyle="1" w:styleId="107">
    <w:name w:val="投标标题1 Char"/>
    <w:link w:val="108"/>
    <w:autoRedefine/>
    <w:qFormat/>
    <w:uiPriority w:val="0"/>
    <w:rPr>
      <w:rFonts w:ascii="黑体" w:eastAsia="黑体"/>
      <w:b/>
      <w:bCs/>
      <w:kern w:val="44"/>
      <w:sz w:val="28"/>
      <w:szCs w:val="32"/>
    </w:rPr>
  </w:style>
  <w:style w:type="paragraph" w:customStyle="1" w:styleId="108">
    <w:name w:val="投标标题1"/>
    <w:basedOn w:val="3"/>
    <w:link w:val="107"/>
    <w:autoRedefine/>
    <w:qFormat/>
    <w:uiPriority w:val="0"/>
    <w:pPr>
      <w:tabs>
        <w:tab w:val="left" w:pos="792"/>
        <w:tab w:val="clear" w:pos="840"/>
      </w:tabs>
      <w:adjustRightInd/>
      <w:snapToGrid/>
      <w:spacing w:before="120" w:after="120" w:line="240" w:lineRule="auto"/>
      <w:ind w:left="144" w:hanging="144"/>
      <w:jc w:val="center"/>
    </w:pPr>
    <w:rPr>
      <w:rFonts w:ascii="黑体" w:eastAsia="黑体"/>
      <w:bCs/>
      <w:sz w:val="28"/>
      <w:szCs w:val="32"/>
    </w:rPr>
  </w:style>
  <w:style w:type="character" w:customStyle="1" w:styleId="109">
    <w:name w:val="列表段落 字符"/>
    <w:link w:val="110"/>
    <w:autoRedefine/>
    <w:qFormat/>
    <w:uiPriority w:val="34"/>
    <w:rPr>
      <w:rFonts w:ascii="Calibri" w:hAnsi="Calibri"/>
      <w:kern w:val="2"/>
      <w:sz w:val="21"/>
      <w:szCs w:val="22"/>
    </w:rPr>
  </w:style>
  <w:style w:type="paragraph" w:styleId="110">
    <w:name w:val="List Paragraph"/>
    <w:basedOn w:val="1"/>
    <w:link w:val="109"/>
    <w:autoRedefine/>
    <w:qFormat/>
    <w:uiPriority w:val="99"/>
    <w:pPr>
      <w:ind w:firstLine="420" w:firstLineChars="200"/>
    </w:pPr>
    <w:rPr>
      <w:rFonts w:ascii="Calibri" w:hAnsi="Calibri"/>
      <w:szCs w:val="22"/>
    </w:rPr>
  </w:style>
  <w:style w:type="character" w:customStyle="1" w:styleId="111">
    <w:name w:val="apple-converted-space"/>
    <w:autoRedefine/>
    <w:qFormat/>
    <w:uiPriority w:val="0"/>
  </w:style>
  <w:style w:type="character" w:customStyle="1" w:styleId="112">
    <w:name w:val="纯文本 Char1"/>
    <w:autoRedefine/>
    <w:qFormat/>
    <w:locked/>
    <w:uiPriority w:val="0"/>
    <w:rPr>
      <w:rFonts w:ascii="宋体" w:hAnsi="Courier New" w:eastAsia="宋体"/>
      <w:sz w:val="21"/>
      <w:szCs w:val="21"/>
    </w:rPr>
  </w:style>
  <w:style w:type="character" w:customStyle="1" w:styleId="113">
    <w:name w:val=" Char Char23"/>
    <w:autoRedefine/>
    <w:semiHidden/>
    <w:qFormat/>
    <w:locked/>
    <w:uiPriority w:val="0"/>
    <w:rPr>
      <w:rFonts w:ascii="Arial" w:hAnsi="Arial" w:eastAsia="黑体"/>
      <w:b/>
      <w:bCs/>
      <w:kern w:val="2"/>
      <w:sz w:val="32"/>
      <w:szCs w:val="32"/>
      <w:lang w:val="en-US" w:eastAsia="zh-CN" w:bidi="ar-SA"/>
    </w:rPr>
  </w:style>
  <w:style w:type="character" w:customStyle="1" w:styleId="114">
    <w:name w:val="b2"/>
    <w:autoRedefine/>
    <w:qFormat/>
    <w:uiPriority w:val="0"/>
  </w:style>
  <w:style w:type="paragraph" w:customStyle="1" w:styleId="115">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16">
    <w:name w:val="*正文"/>
    <w:basedOn w:val="1"/>
    <w:autoRedefine/>
    <w:qFormat/>
    <w:uiPriority w:val="0"/>
    <w:rPr>
      <w:rFonts w:ascii="宋体" w:hAnsi="宋体"/>
    </w:rPr>
  </w:style>
  <w:style w:type="paragraph" w:customStyle="1" w:styleId="117">
    <w:name w:val="正文-奇安信"/>
    <w:basedOn w:val="1"/>
    <w:autoRedefine/>
    <w:qFormat/>
    <w:uiPriority w:val="0"/>
    <w:pPr>
      <w:ind w:firstLine="420"/>
    </w:pPr>
  </w:style>
  <w:style w:type="paragraph" w:customStyle="1" w:styleId="118">
    <w:name w:val="reader-word-layer reader-word-s4-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 Char1"/>
    <w:basedOn w:val="1"/>
    <w:autoRedefine/>
    <w:qFormat/>
    <w:uiPriority w:val="0"/>
    <w:rPr>
      <w:rFonts w:ascii="仿宋_GB2312" w:eastAsia="仿宋_GB2312"/>
      <w:b/>
      <w:sz w:val="32"/>
      <w:szCs w:val="32"/>
    </w:rPr>
  </w:style>
  <w:style w:type="paragraph" w:customStyle="1" w:styleId="120">
    <w:name w:val="ssfa 正文"/>
    <w:basedOn w:val="1"/>
    <w:autoRedefine/>
    <w:qFormat/>
    <w:uiPriority w:val="0"/>
    <w:pPr>
      <w:spacing w:line="360" w:lineRule="auto"/>
      <w:ind w:firstLine="200" w:firstLineChars="200"/>
    </w:pPr>
    <w:rPr>
      <w:kern w:val="0"/>
      <w:sz w:val="24"/>
      <w:szCs w:val="28"/>
      <w:lang w:val="zh-CN"/>
    </w:rPr>
  </w:style>
  <w:style w:type="paragraph" w:customStyle="1" w:styleId="121">
    <w:name w:val="Char1"/>
    <w:basedOn w:val="1"/>
    <w:autoRedefine/>
    <w:qFormat/>
    <w:uiPriority w:val="0"/>
    <w:rPr>
      <w:rFonts w:ascii="仿宋_GB2312" w:eastAsia="仿宋_GB2312"/>
      <w:sz w:val="28"/>
      <w:szCs w:val="28"/>
    </w:rPr>
  </w:style>
  <w:style w:type="paragraph" w:customStyle="1" w:styleId="122">
    <w:name w:val="Body Text First Indent Char Char"/>
    <w:basedOn w:val="1"/>
    <w:autoRedefine/>
    <w:qFormat/>
    <w:uiPriority w:val="0"/>
    <w:pPr>
      <w:spacing w:after="120"/>
      <w:ind w:firstLine="100" w:firstLineChars="100"/>
    </w:pPr>
    <w:rPr>
      <w:rFonts w:cs="宋体"/>
      <w:szCs w:val="21"/>
    </w:rPr>
  </w:style>
  <w:style w:type="paragraph" w:customStyle="1" w:styleId="123">
    <w:name w:val="Char Char Char"/>
    <w:basedOn w:val="1"/>
    <w:autoRedefine/>
    <w:qFormat/>
    <w:uiPriority w:val="0"/>
    <w:rPr>
      <w:rFonts w:ascii="Tahoma" w:hAnsi="Tahoma"/>
      <w:sz w:val="24"/>
      <w:szCs w:val="20"/>
    </w:rPr>
  </w:style>
  <w:style w:type="paragraph" w:customStyle="1" w:styleId="124">
    <w:name w:val="表格文字"/>
    <w:basedOn w:val="1"/>
    <w:autoRedefine/>
    <w:qFormat/>
    <w:uiPriority w:val="0"/>
    <w:pPr>
      <w:jc w:val="left"/>
    </w:pPr>
    <w:rPr>
      <w:rFonts w:ascii="宋体" w:hAnsi="宋体"/>
      <w:szCs w:val="21"/>
    </w:rPr>
  </w:style>
  <w:style w:type="paragraph" w:styleId="125">
    <w:name w:val="No Spacing"/>
    <w:autoRedefine/>
    <w:qFormat/>
    <w:uiPriority w:val="0"/>
    <w:pPr>
      <w:widowControl w:val="0"/>
      <w:spacing w:line="360" w:lineRule="auto"/>
      <w:jc w:val="both"/>
    </w:pPr>
    <w:rPr>
      <w:rFonts w:ascii="等线" w:hAnsi="等线" w:eastAsia="宋体" w:cs="Times New Roman"/>
      <w:kern w:val="2"/>
      <w:sz w:val="24"/>
      <w:szCs w:val="22"/>
      <w:lang w:val="en-US" w:eastAsia="zh-CN" w:bidi="ar-SA"/>
    </w:rPr>
  </w:style>
  <w:style w:type="paragraph" w:customStyle="1" w:styleId="126">
    <w:name w:val=" Char Char Char Char"/>
    <w:basedOn w:val="1"/>
    <w:autoRedefine/>
    <w:semiHidden/>
    <w:qFormat/>
    <w:uiPriority w:val="0"/>
    <w:pPr>
      <w:widowControl/>
      <w:spacing w:after="160" w:line="240" w:lineRule="exact"/>
      <w:jc w:val="left"/>
    </w:pPr>
    <w:rPr>
      <w:rFonts w:ascii="Verdana" w:hAnsi="Verdana" w:cs="宋体"/>
      <w:kern w:val="0"/>
      <w:sz w:val="20"/>
      <w:szCs w:val="22"/>
      <w:lang w:eastAsia="en-US"/>
    </w:rPr>
  </w:style>
  <w:style w:type="paragraph" w:customStyle="1" w:styleId="127">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128">
    <w:name w:val="标题4t"/>
    <w:basedOn w:val="6"/>
    <w:next w:val="1"/>
    <w:autoRedefine/>
    <w:qFormat/>
    <w:uiPriority w:val="0"/>
    <w:pPr>
      <w:numPr>
        <w:ilvl w:val="3"/>
        <w:numId w:val="4"/>
      </w:numPr>
      <w:spacing w:before="0" w:after="0" w:line="360" w:lineRule="auto"/>
    </w:pPr>
    <w:rPr>
      <w:rFonts w:ascii="Times New Roman" w:hAnsi="Times New Roman"/>
      <w:lang w:val="en-US" w:eastAsia="zh-CN"/>
    </w:rPr>
  </w:style>
  <w:style w:type="paragraph" w:customStyle="1" w:styleId="129">
    <w:name w:val="列出段落1"/>
    <w:basedOn w:val="1"/>
    <w:autoRedefine/>
    <w:qFormat/>
    <w:uiPriority w:val="0"/>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130">
    <w:name w:val="正文段落缩进t"/>
    <w:basedOn w:val="1"/>
    <w:autoRedefine/>
    <w:qFormat/>
    <w:uiPriority w:val="99"/>
    <w:pPr>
      <w:spacing w:line="360" w:lineRule="auto"/>
      <w:ind w:firstLine="480" w:firstLineChars="200"/>
    </w:pPr>
    <w:rPr>
      <w:rFonts w:cs="Arial"/>
      <w:sz w:val="24"/>
      <w:szCs w:val="21"/>
      <w:shd w:val="clear" w:color="auto" w:fill="FFFFFF"/>
    </w:rPr>
  </w:style>
  <w:style w:type="paragraph" w:customStyle="1" w:styleId="131">
    <w:name w:val="zw1"/>
    <w:basedOn w:val="1"/>
    <w:autoRedefine/>
    <w:qFormat/>
    <w:uiPriority w:val="0"/>
    <w:pPr>
      <w:spacing w:line="360" w:lineRule="auto"/>
      <w:ind w:firstLine="560" w:firstLineChars="200"/>
    </w:pPr>
    <w:rPr>
      <w:rFonts w:ascii="Calibri" w:hAnsi="Calibri" w:cs="宋体"/>
      <w:sz w:val="28"/>
      <w:szCs w:val="22"/>
    </w:rPr>
  </w:style>
  <w:style w:type="paragraph" w:customStyle="1" w:styleId="132">
    <w:name w:val="正文首行缩进:2字符"/>
    <w:basedOn w:val="1"/>
    <w:autoRedefine/>
    <w:qFormat/>
    <w:uiPriority w:val="0"/>
    <w:pPr>
      <w:spacing w:line="360" w:lineRule="auto"/>
      <w:ind w:firstLine="480" w:firstLineChars="200"/>
    </w:pPr>
    <w:rPr>
      <w:rFonts w:cs="宋体"/>
      <w:szCs w:val="20"/>
    </w:rPr>
  </w:style>
  <w:style w:type="paragraph" w:customStyle="1" w:styleId="133">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34">
    <w:name w:val="正文－恩普"/>
    <w:basedOn w:val="11"/>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35">
    <w:name w:val="Char Char Char Char"/>
    <w:basedOn w:val="13"/>
    <w:autoRedefine/>
    <w:qFormat/>
    <w:uiPriority w:val="0"/>
    <w:pPr>
      <w:adjustRightInd w:val="0"/>
      <w:snapToGrid w:val="0"/>
      <w:spacing w:line="360" w:lineRule="auto"/>
    </w:pPr>
    <w:rPr>
      <w:rFonts w:ascii="Tahoma" w:hAnsi="Tahoma"/>
      <w:sz w:val="24"/>
    </w:rPr>
  </w:style>
  <w:style w:type="paragraph" w:customStyle="1" w:styleId="136">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37">
    <w:name w:val="表格标题头"/>
    <w:basedOn w:val="1"/>
    <w:autoRedefine/>
    <w:qFormat/>
    <w:uiPriority w:val="0"/>
    <w:pPr>
      <w:jc w:val="left"/>
    </w:pPr>
    <w:rPr>
      <w:rFonts w:ascii="宋体" w:hAnsi="宋体"/>
      <w:b/>
      <w:szCs w:val="21"/>
    </w:rPr>
  </w:style>
  <w:style w:type="paragraph" w:customStyle="1" w:styleId="138">
    <w:name w:val="_Style 2"/>
    <w:basedOn w:val="1"/>
    <w:autoRedefine/>
    <w:qFormat/>
    <w:uiPriority w:val="34"/>
    <w:pPr>
      <w:spacing w:before="200" w:line="276" w:lineRule="auto"/>
      <w:ind w:firstLine="420" w:firstLineChars="200"/>
    </w:pPr>
    <w:rPr>
      <w:rFonts w:ascii="Calibri" w:hAnsi="Calibri" w:eastAsia="宋体" w:cs="Times New Roman"/>
    </w:rPr>
  </w:style>
  <w:style w:type="paragraph" w:customStyle="1" w:styleId="139">
    <w:name w:val="标题3t"/>
    <w:basedOn w:val="5"/>
    <w:next w:val="1"/>
    <w:autoRedefine/>
    <w:qFormat/>
    <w:uiPriority w:val="0"/>
    <w:pPr>
      <w:numPr>
        <w:ilvl w:val="2"/>
        <w:numId w:val="4"/>
      </w:numPr>
      <w:spacing w:before="0" w:after="0" w:line="360" w:lineRule="auto"/>
    </w:pPr>
    <w:rPr>
      <w:sz w:val="30"/>
      <w:lang w:val="en-US" w:eastAsia="zh-CN"/>
    </w:rPr>
  </w:style>
  <w:style w:type="paragraph" w:customStyle="1" w:styleId="140">
    <w:name w:val="标题1t"/>
    <w:basedOn w:val="3"/>
    <w:next w:val="1"/>
    <w:autoRedefine/>
    <w:qFormat/>
    <w:uiPriority w:val="0"/>
    <w:pPr>
      <w:numPr>
        <w:ilvl w:val="0"/>
        <w:numId w:val="4"/>
      </w:numPr>
      <w:tabs>
        <w:tab w:val="clear" w:pos="840"/>
      </w:tabs>
      <w:adjustRightInd/>
      <w:snapToGrid/>
      <w:spacing w:before="240"/>
    </w:pPr>
    <w:rPr>
      <w:rFonts w:ascii="Times New Roman"/>
      <w:bCs/>
      <w:sz w:val="36"/>
      <w:szCs w:val="44"/>
    </w:rPr>
  </w:style>
  <w:style w:type="paragraph" w:customStyle="1" w:styleId="141">
    <w:name w:val="reader-word-layer reader-word-s4-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143">
    <w:name w:val="正文格式"/>
    <w:basedOn w:val="1"/>
    <w:autoRedefine/>
    <w:qFormat/>
    <w:uiPriority w:val="0"/>
    <w:pPr>
      <w:spacing w:line="360" w:lineRule="auto"/>
      <w:ind w:firstLine="200" w:firstLineChars="200"/>
    </w:pPr>
    <w:rPr>
      <w:rFonts w:ascii="??" w:hAnsi="??" w:eastAsia="??" w:cs="??"/>
      <w:kern w:val="0"/>
      <w:szCs w:val="21"/>
    </w:rPr>
  </w:style>
  <w:style w:type="paragraph" w:customStyle="1" w:styleId="144">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
    <w:name w:val="GP正文(首行缩进)"/>
    <w:basedOn w:val="1"/>
    <w:autoRedefine/>
    <w:qFormat/>
    <w:uiPriority w:val="0"/>
    <w:pPr>
      <w:spacing w:line="360" w:lineRule="auto"/>
      <w:ind w:firstLine="200" w:firstLineChars="200"/>
      <w:jc w:val="left"/>
    </w:pPr>
    <w:rPr>
      <w:sz w:val="24"/>
      <w:szCs w:val="21"/>
    </w:rPr>
  </w:style>
  <w:style w:type="paragraph" w:customStyle="1" w:styleId="146">
    <w:name w:val=" Char Char Char Char Char Char Char"/>
    <w:basedOn w:val="1"/>
    <w:autoRedefine/>
    <w:qFormat/>
    <w:uiPriority w:val="0"/>
    <w:rPr>
      <w:rFonts w:ascii="仿宋_GB2312" w:eastAsia="仿宋_GB2312"/>
      <w:b/>
      <w:sz w:val="32"/>
      <w:szCs w:val="32"/>
    </w:rPr>
  </w:style>
  <w:style w:type="paragraph" w:customStyle="1" w:styleId="147">
    <w:name w:val="默认段落字体 Para Char Char Char Char"/>
    <w:basedOn w:val="1"/>
    <w:autoRedefine/>
    <w:qFormat/>
    <w:uiPriority w:val="0"/>
    <w:rPr>
      <w:szCs w:val="21"/>
    </w:rPr>
  </w:style>
  <w:style w:type="paragraph" w:customStyle="1" w:styleId="148">
    <w:name w:val="首行缩进:  2 字符"/>
    <w:basedOn w:val="1"/>
    <w:autoRedefine/>
    <w:qFormat/>
    <w:uiPriority w:val="0"/>
    <w:pPr>
      <w:spacing w:line="360" w:lineRule="auto"/>
      <w:ind w:firstLine="480" w:firstLineChars="200"/>
    </w:pPr>
    <w:rPr>
      <w:rFonts w:ascii="Arial" w:hAnsi="Arial" w:eastAsia="仿宋_GB2312"/>
      <w:sz w:val="24"/>
    </w:rPr>
  </w:style>
  <w:style w:type="paragraph" w:customStyle="1" w:styleId="149">
    <w:name w:val="报告正文文字"/>
    <w:basedOn w:val="1"/>
    <w:autoRedefine/>
    <w:qFormat/>
    <w:uiPriority w:val="0"/>
    <w:pPr>
      <w:ind w:firstLine="560" w:firstLineChars="200"/>
    </w:pPr>
    <w:rPr>
      <w:rFonts w:ascii="Calibri" w:hAnsi="Calibri" w:cs="黑体"/>
      <w:sz w:val="28"/>
      <w:szCs w:val="22"/>
    </w:rPr>
  </w:style>
  <w:style w:type="paragraph" w:customStyle="1" w:styleId="150">
    <w:name w:val="标题2t"/>
    <w:basedOn w:val="4"/>
    <w:next w:val="1"/>
    <w:autoRedefine/>
    <w:qFormat/>
    <w:uiPriority w:val="0"/>
    <w:pPr>
      <w:numPr>
        <w:ilvl w:val="1"/>
        <w:numId w:val="4"/>
      </w:numPr>
      <w:spacing w:before="0" w:after="0" w:line="360" w:lineRule="auto"/>
    </w:pPr>
    <w:rPr>
      <w:rFonts w:ascii="Times New Roman" w:hAnsi="Times New Roman" w:eastAsia="宋体"/>
      <w:bCs w:val="0"/>
    </w:rPr>
  </w:style>
  <w:style w:type="paragraph" w:customStyle="1" w:styleId="151">
    <w:name w:val="列出段落2"/>
    <w:basedOn w:val="1"/>
    <w:autoRedefine/>
    <w:qFormat/>
    <w:uiPriority w:val="0"/>
    <w:pPr>
      <w:ind w:firstLine="420" w:firstLineChars="200"/>
    </w:pPr>
  </w:style>
  <w:style w:type="paragraph" w:customStyle="1" w:styleId="152">
    <w:name w:val="列出段落3"/>
    <w:basedOn w:val="1"/>
    <w:autoRedefine/>
    <w:qFormat/>
    <w:uiPriority w:val="34"/>
    <w:pPr>
      <w:spacing w:line="360" w:lineRule="auto"/>
      <w:ind w:firstLine="420" w:firstLineChars="200"/>
    </w:pPr>
    <w:rPr>
      <w:rFonts w:ascii="Calibri" w:hAnsi="Calibri"/>
      <w:sz w:val="24"/>
      <w:szCs w:val="22"/>
    </w:rPr>
  </w:style>
  <w:style w:type="paragraph" w:customStyle="1" w:styleId="153">
    <w:name w:val="Char Char"/>
    <w:basedOn w:val="1"/>
    <w:autoRedefine/>
    <w:qFormat/>
    <w:uiPriority w:val="0"/>
    <w:rPr>
      <w:rFonts w:ascii="仿宋_GB2312" w:eastAsia="仿宋_GB2312"/>
      <w:b/>
      <w:sz w:val="32"/>
      <w:szCs w:val="32"/>
    </w:rPr>
  </w:style>
  <w:style w:type="paragraph" w:customStyle="1" w:styleId="154">
    <w:name w:val="Dist表格"/>
    <w:basedOn w:val="1"/>
    <w:autoRedefine/>
    <w:qFormat/>
    <w:uiPriority w:val="0"/>
    <w:pPr>
      <w:spacing w:line="264" w:lineRule="auto"/>
      <w:jc w:val="center"/>
    </w:pPr>
    <w:rPr>
      <w:szCs w:val="21"/>
    </w:rPr>
  </w:style>
  <w:style w:type="paragraph" w:customStyle="1" w:styleId="155">
    <w:name w:val="Char Char Char2 Char"/>
    <w:basedOn w:val="1"/>
    <w:autoRedefine/>
    <w:qFormat/>
    <w:uiPriority w:val="0"/>
    <w:pPr>
      <w:tabs>
        <w:tab w:val="left" w:pos="360"/>
      </w:tabs>
      <w:ind w:left="360" w:hanging="360"/>
    </w:pPr>
  </w:style>
  <w:style w:type="paragraph" w:customStyle="1" w:styleId="156">
    <w:name w:val="List Paragraph1"/>
    <w:basedOn w:val="1"/>
    <w:autoRedefine/>
    <w:qFormat/>
    <w:uiPriority w:val="0"/>
    <w:pPr>
      <w:ind w:firstLine="420" w:firstLineChars="200"/>
    </w:pPr>
    <w:rPr>
      <w:rFonts w:ascii="Calibri" w:hAnsi="Calibri"/>
      <w:szCs w:val="22"/>
    </w:rPr>
  </w:style>
  <w:style w:type="paragraph" w:customStyle="1" w:styleId="157">
    <w:name w:val="[Normal]"/>
    <w:autoRedefine/>
    <w:qFormat/>
    <w:uiPriority w:val="0"/>
    <w:rPr>
      <w:rFonts w:ascii="宋体" w:hAnsi="宋体" w:eastAsia="宋体" w:cs="Times New Roman"/>
      <w:sz w:val="24"/>
      <w:szCs w:val="22"/>
      <w:lang w:val="zh-CN" w:eastAsia="zh-CN" w:bidi="ar-SA"/>
    </w:rPr>
  </w:style>
  <w:style w:type="paragraph" w:customStyle="1" w:styleId="158">
    <w:name w:val="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9">
    <w:name w:val="保留正文"/>
    <w:basedOn w:val="7"/>
    <w:autoRedefine/>
    <w:qFormat/>
    <w:uiPriority w:val="0"/>
    <w:pPr>
      <w:keepNext/>
      <w:spacing w:after="160"/>
    </w:pPr>
    <w:rPr>
      <w:szCs w:val="20"/>
    </w:rPr>
  </w:style>
  <w:style w:type="table" w:customStyle="1" w:styleId="160">
    <w:name w:val="网格型1"/>
    <w:basedOn w:val="37"/>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1">
    <w:name w:val="网格型7"/>
    <w:basedOn w:val="37"/>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2">
    <w:name w:val="网格型8"/>
    <w:basedOn w:val="37"/>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3">
    <w:name w:val="网格型10"/>
    <w:basedOn w:val="37"/>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4">
    <w:name w:val="_Style 163"/>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85</Pages>
  <Words>9633</Words>
  <Characters>54912</Characters>
  <Lines>457</Lines>
  <Paragraphs>128</Paragraphs>
  <TotalTime>0</TotalTime>
  <ScaleCrop>false</ScaleCrop>
  <LinksUpToDate>false</LinksUpToDate>
  <CharactersWithSpaces>64417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2022-10-27T12:13:00Z</dcterms:created>
  <dc:creator>雨林木风</dc:creator>
  <cp:lastModifiedBy>WPS_1701756769</cp:lastModifiedBy>
  <cp:lastPrinted>2021-03-11T01:04:00Z</cp:lastPrinted>
  <dcterms:modified xsi:type="dcterms:W3CDTF">2024-02-22T08:24:29Z</dcterms:modified>
  <cp:revision>2</cp:revision>
  <dc:title>洞头县政府（分散）采购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D2CE66966BAB434189D797080F0B1EF0_13</vt:lpwstr>
  </property>
  <property fmtid="{D5CDD505-2E9C-101B-9397-08002B2CF9AE}" pid="4" name="woTemplateTypoMode">
    <vt:lpwstr>web</vt:lpwstr>
  </property>
  <property fmtid="{D5CDD505-2E9C-101B-9397-08002B2CF9AE}" pid="5" name="woTemplate">
    <vt:r8>1</vt:r8>
  </property>
</Properties>
</file>