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2"/>
        <w:rPr>
          <w:rFonts w:hint="eastAsia" w:ascii="仿宋" w:hAnsi="仿宋" w:eastAsia="仿宋" w:cs="仿宋"/>
          <w:color w:val="auto"/>
          <w:highlight w:val="none"/>
        </w:rPr>
      </w:pPr>
      <w:bookmarkStart w:id="480" w:name="_GoBack"/>
      <w:bookmarkEnd w:id="480"/>
    </w:p>
    <w:p>
      <w:pPr>
        <w:adjustRightInd/>
        <w:spacing w:line="360" w:lineRule="auto"/>
        <w:jc w:val="center"/>
        <w:rPr>
          <w:rFonts w:hint="eastAsia" w:ascii="仿宋" w:hAnsi="仿宋" w:eastAsia="仿宋" w:cs="仿宋"/>
          <w:color w:val="auto"/>
          <w:sz w:val="48"/>
          <w:szCs w:val="48"/>
          <w:highlight w:val="none"/>
          <w:u w:val="single"/>
        </w:rPr>
      </w:pPr>
    </w:p>
    <w:p>
      <w:pPr>
        <w:adjustRightInd/>
        <w:spacing w:line="360" w:lineRule="auto"/>
        <w:jc w:val="center"/>
        <w:outlineLvl w:val="9"/>
        <w:rPr>
          <w:rFonts w:hint="eastAsia" w:ascii="仿宋" w:hAnsi="仿宋" w:eastAsia="仿宋" w:cs="仿宋"/>
          <w:color w:val="auto"/>
          <w:sz w:val="52"/>
          <w:szCs w:val="52"/>
          <w:highlight w:val="none"/>
          <w:lang w:eastAsia="zh-CN"/>
        </w:rPr>
      </w:pPr>
      <w:r>
        <w:rPr>
          <w:rFonts w:hint="eastAsia" w:ascii="仿宋" w:hAnsi="仿宋" w:eastAsia="仿宋" w:cs="仿宋"/>
          <w:color w:val="auto"/>
          <w:sz w:val="52"/>
          <w:szCs w:val="52"/>
          <w:highlight w:val="none"/>
          <w:u w:val="single"/>
          <w:lang w:eastAsia="zh-CN"/>
        </w:rPr>
        <w:t>温州市本级2023年度公共视频监控一体化运维项目</w:t>
      </w: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p>
    <w:p>
      <w:pPr>
        <w:adjustRightInd/>
        <w:jc w:val="center"/>
        <w:rPr>
          <w:rFonts w:hint="eastAsia" w:ascii="仿宋" w:hAnsi="仿宋" w:eastAsia="仿宋" w:cs="仿宋"/>
          <w:color w:val="auto"/>
          <w:sz w:val="96"/>
          <w:szCs w:val="96"/>
          <w:highlight w:val="none"/>
        </w:rPr>
      </w:pPr>
      <w:r>
        <w:rPr>
          <w:rFonts w:hint="eastAsia" w:ascii="仿宋" w:hAnsi="仿宋" w:eastAsia="仿宋" w:cs="仿宋"/>
          <w:color w:val="auto"/>
          <w:sz w:val="104"/>
          <w:szCs w:val="104"/>
          <w:highlight w:val="none"/>
        </w:rPr>
        <w:t>招标文件</w:t>
      </w:r>
      <w:r>
        <w:rPr>
          <w:rFonts w:hint="eastAsia" w:ascii="仿宋" w:hAnsi="仿宋" w:eastAsia="仿宋" w:cs="仿宋"/>
          <w:color w:val="auto"/>
          <w:sz w:val="96"/>
          <w:szCs w:val="96"/>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360" w:lineRule="auto"/>
        <w:jc w:val="center"/>
        <w:rPr>
          <w:rFonts w:hint="eastAsia" w:ascii="仿宋" w:hAnsi="仿宋" w:eastAsia="仿宋" w:cs="仿宋"/>
          <w:color w:val="auto"/>
          <w:sz w:val="30"/>
          <w:szCs w:val="30"/>
          <w:highlight w:val="none"/>
        </w:rPr>
      </w:pPr>
    </w:p>
    <w:p>
      <w:pPr>
        <w:snapToGrid w:val="0"/>
        <w:spacing w:line="360" w:lineRule="auto"/>
        <w:jc w:val="center"/>
        <w:rPr>
          <w:rFonts w:hint="eastAsia" w:ascii="仿宋" w:hAnsi="仿宋" w:eastAsia="仿宋" w:cs="仿宋"/>
          <w:color w:val="auto"/>
          <w:sz w:val="30"/>
          <w:szCs w:val="30"/>
          <w:highlight w:val="none"/>
        </w:rPr>
      </w:pPr>
    </w:p>
    <w:p>
      <w:pPr>
        <w:pStyle w:val="6"/>
        <w:outlineLvl w:val="9"/>
        <w:rPr>
          <w:rFonts w:hint="eastAsia" w:ascii="仿宋" w:eastAsia="仿宋" w:cs="仿宋"/>
          <w:color w:val="auto"/>
          <w:highlight w:val="none"/>
          <w:lang w:eastAsia="zh-CN"/>
        </w:rPr>
      </w:pPr>
    </w:p>
    <w:p>
      <w:pPr>
        <w:snapToGrid w:val="0"/>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采购方式：公开招标</w:t>
      </w:r>
    </w:p>
    <w:p>
      <w:pPr>
        <w:snapToGrid w:val="0"/>
        <w:spacing w:line="360" w:lineRule="auto"/>
        <w:jc w:val="center"/>
        <w:rPr>
          <w:rFonts w:hint="eastAsia" w:ascii="仿宋" w:hAnsi="仿宋" w:eastAsia="仿宋" w:cs="仿宋"/>
          <w:color w:val="auto"/>
          <w:sz w:val="30"/>
          <w:szCs w:val="30"/>
          <w:highlight w:val="none"/>
          <w:u w:val="single"/>
          <w:lang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u w:val="single"/>
          <w:lang w:eastAsia="zh-CN"/>
        </w:rPr>
        <w:t>HMZB20231071</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napToGrid w:val="0"/>
        <w:spacing w:line="360" w:lineRule="auto"/>
        <w:ind w:firstLine="2560" w:firstLineChars="800"/>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采   购  人：</w:t>
      </w:r>
      <w:r>
        <w:rPr>
          <w:rFonts w:hint="eastAsia" w:ascii="仿宋" w:hAnsi="仿宋" w:eastAsia="仿宋" w:cs="仿宋"/>
          <w:color w:val="auto"/>
          <w:sz w:val="32"/>
          <w:szCs w:val="32"/>
          <w:highlight w:val="none"/>
          <w:u w:val="single"/>
          <w:lang w:eastAsia="zh-CN"/>
        </w:rPr>
        <w:t>温州市公安局</w:t>
      </w:r>
      <w:r>
        <w:rPr>
          <w:rFonts w:hint="eastAsia" w:ascii="仿宋" w:hAnsi="仿宋" w:eastAsia="仿宋" w:cs="仿宋"/>
          <w:color w:val="auto"/>
          <w:sz w:val="32"/>
          <w:szCs w:val="32"/>
          <w:highlight w:val="none"/>
          <w:u w:val="single"/>
        </w:rPr>
        <w:t xml:space="preserve"> </w:t>
      </w:r>
    </w:p>
    <w:p>
      <w:pPr>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rPr>
        <w:t xml:space="preserve"> 采购代理机构</w:t>
      </w:r>
      <w:r>
        <w:rPr>
          <w:rFonts w:hint="eastAsia" w:ascii="仿宋" w:hAnsi="仿宋" w:eastAsia="仿宋" w:cs="仿宋"/>
          <w:color w:val="auto"/>
          <w:sz w:val="32"/>
          <w:szCs w:val="32"/>
          <w:highlight w:val="none"/>
        </w:rPr>
        <w:t>：</w:t>
      </w:r>
      <w:r>
        <w:rPr>
          <w:rFonts w:hint="eastAsia" w:ascii="仿宋" w:hAnsi="仿宋" w:eastAsia="仿宋" w:cs="仿宋"/>
          <w:bCs/>
          <w:color w:val="auto"/>
          <w:sz w:val="32"/>
          <w:szCs w:val="32"/>
          <w:highlight w:val="none"/>
          <w:u w:val="single"/>
          <w:lang w:eastAsia="zh-CN"/>
        </w:rPr>
        <w:t>温州市华明招标代理有限公司</w:t>
      </w: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三</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九</w:t>
      </w:r>
      <w:r>
        <w:rPr>
          <w:rFonts w:hint="eastAsia" w:ascii="仿宋" w:hAnsi="仿宋" w:eastAsia="仿宋" w:cs="仿宋"/>
          <w:bCs/>
          <w:color w:val="auto"/>
          <w:sz w:val="32"/>
          <w:szCs w:val="32"/>
          <w:highlight w:val="none"/>
        </w:rPr>
        <w:t>月</w:t>
      </w:r>
      <w:bookmarkStart w:id="0" w:name="_Hlt67893495"/>
      <w:bookmarkEnd w:id="0"/>
      <w:r>
        <w:rPr>
          <w:rFonts w:hint="eastAsia" w:ascii="仿宋" w:hAnsi="仿宋" w:eastAsia="仿宋" w:cs="仿宋"/>
          <w:b/>
          <w:color w:val="auto"/>
          <w:sz w:val="48"/>
          <w:szCs w:val="48"/>
          <w:highlight w:val="none"/>
        </w:rPr>
        <w:br w:type="page"/>
      </w:r>
      <w:r>
        <w:rPr>
          <w:rFonts w:hint="eastAsia" w:ascii="仿宋" w:hAnsi="仿宋" w:eastAsia="仿宋" w:cs="仿宋"/>
          <w:b/>
          <w:color w:val="auto"/>
          <w:sz w:val="48"/>
          <w:szCs w:val="48"/>
          <w:highlight w:val="none"/>
        </w:rPr>
        <w:t>目  录</w:t>
      </w:r>
    </w:p>
    <w:p>
      <w:pPr>
        <w:pStyle w:val="44"/>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2"/>
          <w:szCs w:val="22"/>
          <w:highlight w:val="none"/>
        </w:rPr>
        <w:fldChar w:fldCharType="begin"/>
      </w:r>
      <w:r>
        <w:rPr>
          <w:rFonts w:hint="eastAsia" w:ascii="仿宋" w:hAnsi="仿宋" w:eastAsia="仿宋" w:cs="仿宋"/>
          <w:color w:val="auto"/>
          <w:sz w:val="22"/>
          <w:szCs w:val="22"/>
          <w:highlight w:val="none"/>
        </w:rPr>
        <w:instrText xml:space="preserve">TOC \o "1-3" \h \u </w:instrText>
      </w:r>
      <w:r>
        <w:rPr>
          <w:rFonts w:hint="eastAsia" w:ascii="仿宋" w:hAnsi="仿宋" w:eastAsia="仿宋" w:cs="仿宋"/>
          <w:color w:val="auto"/>
          <w:sz w:val="22"/>
          <w:szCs w:val="22"/>
          <w:highlight w:val="none"/>
        </w:rPr>
        <w:fldChar w:fldCharType="separate"/>
      </w: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_Toc19983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第一部分 招标公告</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_Toc19983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3</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44"/>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_Toc26716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第二部分 投标人须知</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_Toc26716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7</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44"/>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_Toc3019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前附表</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_Toc3019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7</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44"/>
        <w:tabs>
          <w:tab w:val="right" w:leader="dot" w:pos="9070"/>
        </w:tabs>
        <w:spacing w:line="360" w:lineRule="auto"/>
        <w:ind w:firstLine="480" w:firstLineChars="200"/>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_Toc18105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lang w:val="zh-CN"/>
        </w:rPr>
        <w:t>一、总则</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_Toc18105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12</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44"/>
        <w:tabs>
          <w:tab w:val="right" w:leader="dot" w:pos="9070"/>
        </w:tabs>
        <w:spacing w:line="360" w:lineRule="auto"/>
        <w:ind w:firstLine="480" w:firstLineChars="200"/>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_Toc13895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lang w:val="zh-CN"/>
        </w:rPr>
        <w:t>二、招标文件的构成、澄清、修改</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_Toc13895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16</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ind w:left="0" w:leftChars="0" w:firstLine="480" w:firstLineChars="200"/>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_Toc22850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lang w:val="zh-CN"/>
        </w:rPr>
        <w:t>三、投标</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_Toc22850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17</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_Toc9641 </w:instrText>
      </w:r>
      <w:r>
        <w:rPr>
          <w:rFonts w:hint="eastAsia" w:ascii="仿宋" w:hAnsi="仿宋" w:eastAsia="仿宋" w:cs="仿宋"/>
          <w:color w:val="auto"/>
          <w:sz w:val="24"/>
          <w:szCs w:val="28"/>
          <w:highlight w:val="none"/>
        </w:rPr>
        <w:fldChar w:fldCharType="separate"/>
      </w:r>
      <w:r>
        <w:rPr>
          <w:rFonts w:hint="eastAsia" w:ascii="仿宋" w:hAnsi="仿宋" w:eastAsia="仿宋" w:cs="仿宋"/>
          <w:bCs/>
          <w:color w:val="auto"/>
          <w:sz w:val="24"/>
          <w:szCs w:val="32"/>
          <w:highlight w:val="none"/>
          <w:lang w:val="zh-CN"/>
        </w:rPr>
        <w:t>四、开标、资格审查与信用信息查询</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_Toc9641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21</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_Toc4576 </w:instrText>
      </w:r>
      <w:r>
        <w:rPr>
          <w:rFonts w:hint="eastAsia" w:ascii="仿宋" w:hAnsi="仿宋" w:eastAsia="仿宋" w:cs="仿宋"/>
          <w:color w:val="auto"/>
          <w:sz w:val="24"/>
          <w:szCs w:val="28"/>
          <w:highlight w:val="none"/>
        </w:rPr>
        <w:fldChar w:fldCharType="separate"/>
      </w:r>
      <w:r>
        <w:rPr>
          <w:rFonts w:hint="eastAsia" w:ascii="仿宋" w:hAnsi="仿宋" w:eastAsia="仿宋" w:cs="仿宋"/>
          <w:bCs/>
          <w:color w:val="auto"/>
          <w:sz w:val="24"/>
          <w:szCs w:val="32"/>
          <w:highlight w:val="none"/>
          <w:lang w:val="zh-CN"/>
        </w:rPr>
        <w:t>五、评标</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_Toc4576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22</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_Toc29955 </w:instrText>
      </w:r>
      <w:r>
        <w:rPr>
          <w:rFonts w:hint="eastAsia" w:ascii="仿宋" w:hAnsi="仿宋" w:eastAsia="仿宋" w:cs="仿宋"/>
          <w:color w:val="auto"/>
          <w:sz w:val="24"/>
          <w:szCs w:val="28"/>
          <w:highlight w:val="none"/>
        </w:rPr>
        <w:fldChar w:fldCharType="separate"/>
      </w:r>
      <w:r>
        <w:rPr>
          <w:rFonts w:hint="eastAsia" w:ascii="仿宋" w:hAnsi="仿宋" w:eastAsia="仿宋" w:cs="仿宋"/>
          <w:bCs/>
          <w:color w:val="auto"/>
          <w:sz w:val="24"/>
          <w:szCs w:val="32"/>
          <w:highlight w:val="none"/>
          <w:lang w:val="zh-CN"/>
        </w:rPr>
        <w:t>六、定 标</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_Toc29955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22</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_Toc11698 </w:instrText>
      </w:r>
      <w:r>
        <w:rPr>
          <w:rFonts w:hint="eastAsia" w:ascii="仿宋" w:hAnsi="仿宋" w:eastAsia="仿宋" w:cs="仿宋"/>
          <w:color w:val="auto"/>
          <w:sz w:val="24"/>
          <w:szCs w:val="28"/>
          <w:highlight w:val="none"/>
        </w:rPr>
        <w:fldChar w:fldCharType="separate"/>
      </w:r>
      <w:r>
        <w:rPr>
          <w:rFonts w:hint="eastAsia" w:ascii="仿宋" w:hAnsi="仿宋" w:eastAsia="仿宋" w:cs="仿宋"/>
          <w:bCs/>
          <w:color w:val="auto"/>
          <w:sz w:val="24"/>
          <w:szCs w:val="32"/>
          <w:highlight w:val="none"/>
          <w:lang w:val="zh-CN"/>
        </w:rPr>
        <w:t>七、合同授予</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_Toc11698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22</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_Toc4363 </w:instrText>
      </w:r>
      <w:r>
        <w:rPr>
          <w:rFonts w:hint="eastAsia" w:ascii="仿宋" w:hAnsi="仿宋" w:eastAsia="仿宋" w:cs="仿宋"/>
          <w:color w:val="auto"/>
          <w:sz w:val="24"/>
          <w:szCs w:val="28"/>
          <w:highlight w:val="none"/>
        </w:rPr>
        <w:fldChar w:fldCharType="separate"/>
      </w:r>
      <w:r>
        <w:rPr>
          <w:rFonts w:hint="eastAsia" w:ascii="仿宋" w:hAnsi="仿宋" w:eastAsia="仿宋" w:cs="仿宋"/>
          <w:bCs/>
          <w:color w:val="auto"/>
          <w:sz w:val="24"/>
          <w:szCs w:val="32"/>
          <w:highlight w:val="none"/>
          <w:lang w:val="zh-CN"/>
        </w:rPr>
        <w:t>八、电子交易活动的中止</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_Toc4363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23</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_Toc25540 </w:instrText>
      </w:r>
      <w:r>
        <w:rPr>
          <w:rFonts w:hint="eastAsia" w:ascii="仿宋" w:hAnsi="仿宋" w:eastAsia="仿宋" w:cs="仿宋"/>
          <w:color w:val="auto"/>
          <w:sz w:val="24"/>
          <w:szCs w:val="28"/>
          <w:highlight w:val="none"/>
        </w:rPr>
        <w:fldChar w:fldCharType="separate"/>
      </w:r>
      <w:r>
        <w:rPr>
          <w:rFonts w:hint="eastAsia" w:ascii="仿宋" w:hAnsi="仿宋" w:eastAsia="仿宋" w:cs="仿宋"/>
          <w:bCs/>
          <w:color w:val="auto"/>
          <w:sz w:val="24"/>
          <w:szCs w:val="32"/>
          <w:highlight w:val="none"/>
          <w:lang w:val="zh-CN"/>
        </w:rPr>
        <w:t>九、验收</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_Toc25540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24</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_Toc18048 </w:instrText>
      </w:r>
      <w:r>
        <w:rPr>
          <w:rFonts w:hint="eastAsia" w:ascii="仿宋" w:hAnsi="仿宋" w:eastAsia="仿宋" w:cs="仿宋"/>
          <w:color w:val="auto"/>
          <w:sz w:val="24"/>
          <w:szCs w:val="28"/>
          <w:highlight w:val="none"/>
        </w:rPr>
        <w:fldChar w:fldCharType="separate"/>
      </w:r>
      <w:r>
        <w:rPr>
          <w:rFonts w:hint="eastAsia" w:ascii="仿宋" w:hAnsi="仿宋" w:eastAsia="仿宋" w:cs="仿宋"/>
          <w:bCs/>
          <w:color w:val="auto"/>
          <w:sz w:val="24"/>
          <w:szCs w:val="32"/>
          <w:highlight w:val="none"/>
          <w:lang w:val="zh-CN"/>
        </w:rPr>
        <w:t>第三部分   采购需求</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_Toc18048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25</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_Toc23043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第四部分   评标办法</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_Toc23043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28</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_Toc18180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评标办法前附表</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_Toc18180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28</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_Toc26288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1.评标方法</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_Toc26288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31</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_Toc307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2.评标程序及标准</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_Toc307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31</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_Toc25603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3.评标结果</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_Toc25603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34</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_Toc12976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4.其他</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_Toc12976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34</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ind w:left="0" w:leftChars="0"/>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_Toc9682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第五部分 拟签订的合同文本</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_Toc9682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36</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ind w:left="0" w:leftChars="0"/>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_Toc12650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第六部分 应提交的有关格式范例</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_Toc12650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62</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_Toc13322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资格文件部分</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_Toc13322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62</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_Toc31209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商务技术文件部分</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_Toc31209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69</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55"/>
        <w:tabs>
          <w:tab w:val="right" w:leader="dot" w:pos="9070"/>
        </w:tabs>
        <w:spacing w:line="360" w:lineRule="auto"/>
        <w:rPr>
          <w:rFonts w:hint="eastAsia" w:ascii="仿宋" w:hAnsi="仿宋" w:eastAsia="仿宋" w:cs="仿宋"/>
          <w:color w:val="auto"/>
          <w:sz w:val="24"/>
          <w:szCs w:val="32"/>
          <w:highlight w:val="none"/>
        </w:rPr>
      </w:pPr>
      <w:r>
        <w:rPr>
          <w:rFonts w:hint="eastAsia" w:ascii="仿宋" w:hAnsi="仿宋" w:eastAsia="仿宋" w:cs="仿宋"/>
          <w:color w:val="auto"/>
          <w:sz w:val="24"/>
          <w:szCs w:val="28"/>
          <w:highlight w:val="none"/>
        </w:rPr>
        <w:fldChar w:fldCharType="begin"/>
      </w:r>
      <w:r>
        <w:rPr>
          <w:rFonts w:hint="eastAsia" w:ascii="仿宋" w:hAnsi="仿宋" w:eastAsia="仿宋" w:cs="仿宋"/>
          <w:color w:val="auto"/>
          <w:sz w:val="24"/>
          <w:szCs w:val="28"/>
          <w:highlight w:val="none"/>
        </w:rPr>
        <w:instrText xml:space="preserve"> HYPERLINK \l _Toc29762 </w:instrText>
      </w:r>
      <w:r>
        <w:rPr>
          <w:rFonts w:hint="eastAsia" w:ascii="仿宋" w:hAnsi="仿宋" w:eastAsia="仿宋" w:cs="仿宋"/>
          <w:color w:val="auto"/>
          <w:sz w:val="24"/>
          <w:szCs w:val="28"/>
          <w:highlight w:val="none"/>
        </w:rPr>
        <w:fldChar w:fldCharType="separate"/>
      </w:r>
      <w:r>
        <w:rPr>
          <w:rFonts w:hint="eastAsia" w:ascii="仿宋" w:hAnsi="仿宋" w:eastAsia="仿宋" w:cs="仿宋"/>
          <w:color w:val="auto"/>
          <w:sz w:val="24"/>
          <w:szCs w:val="32"/>
          <w:highlight w:val="none"/>
        </w:rPr>
        <w:t>报价文件部分</w:t>
      </w:r>
      <w:r>
        <w:rPr>
          <w:rFonts w:hint="eastAsia" w:ascii="仿宋" w:hAnsi="仿宋" w:eastAsia="仿宋" w:cs="仿宋"/>
          <w:color w:val="auto"/>
          <w:sz w:val="24"/>
          <w:szCs w:val="32"/>
          <w:highlight w:val="none"/>
        </w:rPr>
        <w:tab/>
      </w:r>
      <w:r>
        <w:rPr>
          <w:rFonts w:hint="eastAsia" w:ascii="仿宋" w:hAnsi="仿宋" w:eastAsia="仿宋" w:cs="仿宋"/>
          <w:color w:val="auto"/>
          <w:sz w:val="24"/>
          <w:szCs w:val="32"/>
          <w:highlight w:val="none"/>
        </w:rPr>
        <w:fldChar w:fldCharType="begin"/>
      </w:r>
      <w:r>
        <w:rPr>
          <w:rFonts w:hint="eastAsia" w:ascii="仿宋" w:hAnsi="仿宋" w:eastAsia="仿宋" w:cs="仿宋"/>
          <w:color w:val="auto"/>
          <w:sz w:val="24"/>
          <w:szCs w:val="32"/>
          <w:highlight w:val="none"/>
        </w:rPr>
        <w:instrText xml:space="preserve"> PAGEREF _Toc29762 \h </w:instrText>
      </w:r>
      <w:r>
        <w:rPr>
          <w:rFonts w:hint="eastAsia" w:ascii="仿宋" w:hAnsi="仿宋" w:eastAsia="仿宋" w:cs="仿宋"/>
          <w:color w:val="auto"/>
          <w:sz w:val="24"/>
          <w:szCs w:val="32"/>
          <w:highlight w:val="none"/>
        </w:rPr>
        <w:fldChar w:fldCharType="separate"/>
      </w:r>
      <w:r>
        <w:rPr>
          <w:rFonts w:hint="eastAsia" w:ascii="仿宋" w:hAnsi="仿宋" w:eastAsia="仿宋" w:cs="仿宋"/>
          <w:color w:val="auto"/>
          <w:sz w:val="24"/>
          <w:szCs w:val="32"/>
          <w:highlight w:val="none"/>
        </w:rPr>
        <w:t>79</w:t>
      </w:r>
      <w:r>
        <w:rPr>
          <w:rFonts w:hint="eastAsia" w:ascii="仿宋" w:hAnsi="仿宋" w:eastAsia="仿宋" w:cs="仿宋"/>
          <w:color w:val="auto"/>
          <w:sz w:val="24"/>
          <w:szCs w:val="32"/>
          <w:highlight w:val="none"/>
        </w:rPr>
        <w:fldChar w:fldCharType="end"/>
      </w:r>
      <w:r>
        <w:rPr>
          <w:rFonts w:hint="eastAsia" w:ascii="仿宋" w:hAnsi="仿宋" w:eastAsia="仿宋" w:cs="仿宋"/>
          <w:color w:val="auto"/>
          <w:sz w:val="24"/>
          <w:szCs w:val="28"/>
          <w:highlight w:val="none"/>
        </w:rPr>
        <w:fldChar w:fldCharType="end"/>
      </w:r>
    </w:p>
    <w:p>
      <w:pPr>
        <w:pStyle w:val="44"/>
        <w:tabs>
          <w:tab w:val="right" w:leader="dot" w:pos="9070"/>
        </w:tabs>
        <w:rPr>
          <w:rFonts w:hint="eastAsia" w:ascii="仿宋" w:hAnsi="仿宋" w:eastAsia="仿宋" w:cs="仿宋"/>
          <w:color w:val="auto"/>
          <w:highlight w:val="none"/>
        </w:rPr>
      </w:pP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color w:val="auto"/>
          <w:szCs w:val="22"/>
          <w:highlight w:val="none"/>
        </w:rPr>
        <w:fldChar w:fldCharType="end"/>
      </w:r>
      <w:bookmarkStart w:id="1" w:name="第一部分"/>
      <w:bookmarkStart w:id="2" w:name="_Toc91899869"/>
      <w:bookmarkStart w:id="3" w:name="_Toc19983"/>
      <w:r>
        <w:rPr>
          <w:rFonts w:hint="eastAsia" w:ascii="仿宋" w:hAnsi="仿宋" w:eastAsia="仿宋" w:cs="仿宋"/>
          <w:b/>
          <w:color w:val="auto"/>
          <w:sz w:val="36"/>
          <w:szCs w:val="36"/>
          <w:highlight w:val="none"/>
        </w:rPr>
        <w:br w:type="page"/>
      </w:r>
      <w:bookmarkEnd w:id="1"/>
      <w:bookmarkEnd w:id="2"/>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Style w:val="83"/>
          <w:rFonts w:hint="eastAsia" w:ascii="仿宋" w:eastAsia="仿宋" w:cs="仿宋"/>
          <w:color w:val="auto"/>
          <w:highlight w:val="none"/>
        </w:rPr>
        <w:t>第一部分 招标公告</w:t>
      </w:r>
      <w:bookmarkEnd w:id="3"/>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温州市本级2023年度公共视频监控一体化运维项目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"https://www.zcygov.cn/）获取（下载）招标文件，并于2021年" </w:instrText>
      </w:r>
      <w:r>
        <w:rPr>
          <w:rFonts w:hint="eastAsia" w:ascii="仿宋" w:hAnsi="仿宋" w:eastAsia="仿宋" w:cs="仿宋"/>
          <w:color w:val="auto"/>
          <w:highlight w:val="none"/>
        </w:rPr>
        <w:fldChar w:fldCharType="separate"/>
      </w:r>
      <w:r>
        <w:rPr>
          <w:rStyle w:val="77"/>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w:t>
      </w:r>
      <w:r>
        <w:rPr>
          <w:rFonts w:hint="eastAsia" w:ascii="仿宋" w:hAnsi="仿宋" w:eastAsia="仿宋" w:cs="仿宋"/>
          <w:color w:val="auto"/>
          <w:sz w:val="24"/>
          <w:highlight w:val="none"/>
          <w:u w:val="single"/>
          <w:lang w:eastAsia="zh-CN"/>
        </w:rPr>
        <w:t>0223年10月19日9点30分</w:t>
      </w:r>
      <w:r>
        <w:rPr>
          <w:rFonts w:hint="eastAsia" w:ascii="仿宋" w:hAnsi="仿宋" w:eastAsia="仿宋" w:cs="仿宋"/>
          <w:bCs/>
          <w:color w:val="auto"/>
          <w:sz w:val="24"/>
          <w:highlight w:val="none"/>
          <w:u w:val="single"/>
        </w:rPr>
        <w:t>00秒</w:t>
      </w:r>
      <w:r>
        <w:rPr>
          <w:rFonts w:hint="eastAsia" w:ascii="仿宋" w:hAnsi="仿宋" w:eastAsia="仿宋" w:cs="仿宋"/>
          <w:color w:val="auto"/>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ind w:firstLine="480"/>
        <w:outlineLvl w:val="9"/>
        <w:rPr>
          <w:rFonts w:hint="eastAsia" w:ascii="仿宋" w:hAnsi="仿宋" w:eastAsia="仿宋" w:cs="仿宋"/>
          <w:color w:val="auto"/>
          <w:highlight w:val="none"/>
        </w:rPr>
      </w:pP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u w:val="single"/>
          <w:lang w:eastAsia="zh-CN"/>
        </w:rPr>
        <w:t>HMZB20231071</w:t>
      </w:r>
      <w:r>
        <w:rPr>
          <w:rFonts w:hint="eastAsia" w:ascii="仿宋" w:hAnsi="仿宋" w:eastAsia="仿宋" w:cs="仿宋"/>
          <w:color w:val="auto"/>
          <w:sz w:val="24"/>
          <w:highlight w:val="none"/>
          <w:u w:val="single"/>
        </w:rPr>
        <w:t xml:space="preserve">  </w:t>
      </w:r>
      <w:r>
        <w:rPr>
          <w:rFonts w:hint="eastAsia" w:ascii="仿宋" w:hAnsi="仿宋" w:eastAsia="仿宋" w:cs="仿宋"/>
          <w:color w:val="auto"/>
          <w:highlight w:val="none"/>
        </w:rPr>
        <w:t xml:space="preserve"> </w:t>
      </w:r>
    </w:p>
    <w:p>
      <w:pPr>
        <w:spacing w:line="360" w:lineRule="auto"/>
        <w:ind w:firstLine="480"/>
        <w:rPr>
          <w:rFonts w:hint="eastAsia" w:ascii="仿宋" w:hAnsi="仿宋" w:eastAsia="仿宋" w:cs="仿宋"/>
          <w:color w:val="auto"/>
          <w:sz w:val="24"/>
          <w:highlight w:val="none"/>
          <w:u w:val="single"/>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u w:val="single"/>
          <w:lang w:eastAsia="zh-CN"/>
        </w:rPr>
        <w:t>温州市本级2023年度公共视频监控一体化运维项目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color w:val="auto"/>
          <w:sz w:val="22"/>
          <w:szCs w:val="28"/>
          <w:highlight w:val="none"/>
          <w:u w:val="single"/>
        </w:rPr>
        <w:t xml:space="preserve"> </w:t>
      </w:r>
      <w:r>
        <w:rPr>
          <w:rFonts w:hint="eastAsia" w:ascii="仿宋" w:hAnsi="仿宋" w:eastAsia="仿宋" w:cs="仿宋"/>
          <w:b/>
          <w:bCs/>
          <w:color w:val="auto"/>
          <w:sz w:val="22"/>
          <w:szCs w:val="28"/>
          <w:highlight w:val="none"/>
          <w:u w:val="single"/>
          <w:lang w:val="en-US" w:eastAsia="zh-CN"/>
        </w:rPr>
        <w:t>60357600.00</w:t>
      </w:r>
      <w:r>
        <w:rPr>
          <w:rFonts w:hint="eastAsia" w:ascii="仿宋" w:hAnsi="仿宋" w:eastAsia="仿宋" w:cs="仿宋"/>
          <w:b/>
          <w:bCs/>
          <w:color w:val="auto"/>
          <w:highlight w:val="none"/>
          <w:u w:val="single"/>
        </w:rPr>
        <w:t xml:space="preserve"> </w:t>
      </w:r>
      <w:r>
        <w:rPr>
          <w:rFonts w:hint="eastAsia" w:ascii="仿宋" w:hAnsi="仿宋" w:eastAsia="仿宋" w:cs="仿宋"/>
          <w:color w:val="auto"/>
          <w:highlight w:val="none"/>
          <w:u w:val="single"/>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color w:val="auto"/>
          <w:highlight w:val="none"/>
          <w:u w:val="single"/>
        </w:rPr>
        <w:t xml:space="preserve"> </w:t>
      </w:r>
      <w:r>
        <w:rPr>
          <w:rFonts w:hint="eastAsia" w:ascii="仿宋" w:hAnsi="仿宋" w:eastAsia="仿宋" w:cs="仿宋"/>
          <w:b/>
          <w:bCs/>
          <w:color w:val="auto"/>
          <w:sz w:val="22"/>
          <w:szCs w:val="28"/>
          <w:highlight w:val="none"/>
          <w:u w:val="single"/>
          <w:lang w:val="en-US" w:eastAsia="zh-CN"/>
        </w:rPr>
        <w:t>20334500.00、</w:t>
      </w:r>
      <w:r>
        <w:rPr>
          <w:rFonts w:hint="eastAsia" w:ascii="仿宋" w:hAnsi="仿宋" w:eastAsia="仿宋" w:cs="仿宋"/>
          <w:b/>
          <w:bCs/>
          <w:snapToGrid w:val="0"/>
          <w:color w:val="auto"/>
          <w:kern w:val="28"/>
          <w:sz w:val="24"/>
          <w:szCs w:val="20"/>
          <w:highlight w:val="none"/>
          <w:u w:val="single"/>
          <w:lang w:val="en-US" w:eastAsia="zh-CN"/>
        </w:rPr>
        <w:t>18960100、11497500.00、8361800.00、1203700.00</w:t>
      </w:r>
      <w:r>
        <w:rPr>
          <w:rFonts w:hint="eastAsia" w:ascii="仿宋" w:hAnsi="仿宋" w:eastAsia="仿宋" w:cs="仿宋"/>
          <w:color w:val="auto"/>
          <w:highlight w:val="none"/>
          <w:u w:val="single"/>
        </w:rPr>
        <w:t xml:space="preserve"> </w:t>
      </w:r>
      <w:r>
        <w:rPr>
          <w:rFonts w:hint="eastAsia" w:ascii="仿宋" w:hAnsi="仿宋" w:eastAsia="仿宋" w:cs="仿宋"/>
          <w:color w:val="auto"/>
          <w:sz w:val="24"/>
          <w:highlight w:val="none"/>
        </w:rPr>
        <w:t xml:space="preserve"> </w:t>
      </w:r>
    </w:p>
    <w:p>
      <w:pPr>
        <w:pStyle w:val="18"/>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u w:val="single"/>
          <w:lang w:eastAsia="zh-CN"/>
        </w:rPr>
        <w:t>温州市本级2023年度公共视频监控一体化运维项目</w:t>
      </w:r>
      <w:r>
        <w:rPr>
          <w:rFonts w:hint="eastAsia" w:ascii="仿宋" w:hAnsi="仿宋" w:eastAsia="仿宋" w:cs="仿宋"/>
          <w:bCs/>
          <w:snapToGrid/>
          <w:color w:val="auto"/>
          <w:kern w:val="2"/>
          <w:sz w:val="24"/>
          <w:szCs w:val="24"/>
          <w:highlight w:val="none"/>
          <w:u w:val="single"/>
        </w:rPr>
        <w:t>。详见招标文件第三部分采购需求</w:t>
      </w:r>
      <w:r>
        <w:rPr>
          <w:rFonts w:hint="eastAsia" w:ascii="仿宋" w:hAnsi="仿宋" w:eastAsia="仿宋" w:cs="仿宋"/>
          <w:bCs/>
          <w:snapToGrid/>
          <w:color w:val="auto"/>
          <w:kern w:val="2"/>
          <w:sz w:val="24"/>
          <w:szCs w:val="24"/>
          <w:highlight w:val="none"/>
        </w:rPr>
        <w:t>。</w:t>
      </w:r>
    </w:p>
    <w:p>
      <w:pPr>
        <w:pStyle w:val="26"/>
        <w:outlineLvl w:val="9"/>
        <w:rPr>
          <w:rFonts w:hint="default" w:eastAsia="仿宋"/>
          <w:color w:val="auto"/>
          <w:highlight w:val="none"/>
          <w:lang w:val="en-US" w:eastAsia="zh-CN"/>
        </w:rPr>
      </w:pPr>
      <w:bookmarkStart w:id="11" w:name="_Toc26996"/>
      <w:bookmarkStart w:id="12" w:name="_Toc142"/>
      <w:bookmarkStart w:id="13" w:name="_Toc28404"/>
      <w:r>
        <w:rPr>
          <w:rFonts w:hint="eastAsia" w:ascii="仿宋" w:hAnsi="仿宋" w:eastAsia="仿宋" w:cs="仿宋"/>
          <w:b/>
          <w:bCs/>
          <w:snapToGrid w:val="0"/>
          <w:color w:val="auto"/>
          <w:kern w:val="28"/>
          <w:sz w:val="24"/>
          <w:szCs w:val="20"/>
          <w:highlight w:val="none"/>
        </w:rPr>
        <w:t>标项</w:t>
      </w:r>
      <w:r>
        <w:rPr>
          <w:rFonts w:hint="eastAsia" w:eastAsia="仿宋"/>
          <w:color w:val="auto"/>
          <w:highlight w:val="none"/>
          <w:lang w:val="en-US" w:eastAsia="zh-CN"/>
        </w:rPr>
        <w:t>一</w:t>
      </w:r>
    </w:p>
    <w:p>
      <w:pPr>
        <w:spacing w:line="360" w:lineRule="auto"/>
        <w:ind w:firstLine="480"/>
        <w:rPr>
          <w:rFonts w:hint="eastAsia" w:ascii="仿宋" w:hAnsi="仿宋" w:eastAsia="仿宋" w:cs="仿宋"/>
          <w:b/>
          <w:bCs/>
          <w:snapToGrid w:val="0"/>
          <w:color w:val="auto"/>
          <w:kern w:val="28"/>
          <w:sz w:val="24"/>
          <w:szCs w:val="20"/>
          <w:highlight w:val="none"/>
          <w:u w:val="single"/>
        </w:rPr>
      </w:pPr>
      <w:r>
        <w:rPr>
          <w:rFonts w:hint="eastAsia" w:ascii="仿宋" w:hAnsi="仿宋" w:eastAsia="仿宋" w:cs="仿宋"/>
          <w:b/>
          <w:bCs/>
          <w:snapToGrid w:val="0"/>
          <w:color w:val="auto"/>
          <w:kern w:val="28"/>
          <w:sz w:val="24"/>
          <w:szCs w:val="20"/>
          <w:highlight w:val="none"/>
        </w:rPr>
        <w:t>标项名称: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lang w:eastAsia="zh-CN"/>
        </w:rPr>
        <w:t>温州市本级2023年度公共视频监控一体化运维项目</w:t>
      </w:r>
      <w:r>
        <w:rPr>
          <w:rFonts w:hint="eastAsia" w:ascii="仿宋" w:hAnsi="仿宋" w:eastAsia="仿宋" w:cs="仿宋"/>
          <w:color w:val="auto"/>
          <w:sz w:val="24"/>
          <w:highlight w:val="none"/>
          <w:u w:val="single"/>
          <w:lang w:val="en-US" w:eastAsia="zh-CN"/>
        </w:rPr>
        <w:t>标项一</w:t>
      </w:r>
      <w:r>
        <w:rPr>
          <w:rFonts w:hint="eastAsia" w:ascii="仿宋" w:hAnsi="仿宋" w:eastAsia="仿宋" w:cs="仿宋"/>
          <w:color w:val="auto"/>
          <w:sz w:val="24"/>
          <w:highlight w:val="none"/>
          <w:u w:val="single"/>
        </w:rPr>
        <w:t xml:space="preserve">  </w:t>
      </w:r>
      <w:r>
        <w:rPr>
          <w:rFonts w:hint="eastAsia" w:ascii="仿宋" w:hAnsi="仿宋" w:eastAsia="仿宋" w:cs="仿宋"/>
          <w:b/>
          <w:bCs/>
          <w:snapToGrid w:val="0"/>
          <w:color w:val="auto"/>
          <w:kern w:val="28"/>
          <w:sz w:val="24"/>
          <w:szCs w:val="20"/>
          <w:highlight w:val="none"/>
        </w:rPr>
        <w:t>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数量:</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1项</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rPr>
        <w:t>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预算金额（元）: </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color w:val="auto"/>
          <w:sz w:val="22"/>
          <w:szCs w:val="28"/>
          <w:highlight w:val="none"/>
          <w:u w:val="single"/>
          <w:lang w:val="en-US" w:eastAsia="zh-CN"/>
        </w:rPr>
        <w:t>20334500</w:t>
      </w:r>
      <w:r>
        <w:rPr>
          <w:rFonts w:hint="eastAsia" w:ascii="仿宋" w:hAnsi="仿宋" w:eastAsia="仿宋" w:cs="仿宋"/>
          <w:b/>
          <w:bCs/>
          <w:snapToGrid w:val="0"/>
          <w:color w:val="auto"/>
          <w:kern w:val="28"/>
          <w:sz w:val="24"/>
          <w:szCs w:val="20"/>
          <w:highlight w:val="none"/>
          <w:u w:val="single"/>
          <w:lang w:val="en-US" w:eastAsia="zh-CN"/>
        </w:rPr>
        <w:t>.00</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简要规格描述或项目基本概况介绍、用途：</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Cs/>
          <w:snapToGrid/>
          <w:color w:val="auto"/>
          <w:kern w:val="2"/>
          <w:sz w:val="24"/>
          <w:szCs w:val="24"/>
          <w:highlight w:val="none"/>
          <w:u w:val="single"/>
        </w:rPr>
        <w:t>详见招标文件第三部分采购需求</w:t>
      </w:r>
      <w:r>
        <w:rPr>
          <w:rFonts w:hint="eastAsia" w:ascii="仿宋" w:hAnsi="仿宋" w:eastAsia="仿宋" w:cs="仿宋"/>
          <w:b/>
          <w:bCs/>
          <w:snapToGrid w:val="0"/>
          <w:color w:val="auto"/>
          <w:kern w:val="28"/>
          <w:sz w:val="24"/>
          <w:szCs w:val="20"/>
          <w:highlight w:val="none"/>
          <w:u w:val="single"/>
        </w:rPr>
        <w:t xml:space="preserve"> </w:t>
      </w:r>
    </w:p>
    <w:p>
      <w:pPr>
        <w:spacing w:line="360" w:lineRule="auto"/>
        <w:ind w:firstLine="480"/>
        <w:rPr>
          <w:rFonts w:hint="eastAsia" w:ascii="仿宋" w:hAnsi="仿宋" w:eastAsia="仿宋" w:cs="仿宋"/>
          <w:b/>
          <w:bCs/>
          <w:snapToGrid w:val="0"/>
          <w:color w:val="auto"/>
          <w:kern w:val="28"/>
          <w:sz w:val="24"/>
          <w:szCs w:val="20"/>
          <w:highlight w:val="none"/>
          <w:u w:val="single"/>
        </w:rPr>
      </w:pPr>
      <w:r>
        <w:rPr>
          <w:rFonts w:hint="eastAsia" w:ascii="仿宋" w:hAnsi="仿宋" w:eastAsia="仿宋" w:cs="仿宋"/>
          <w:b/>
          <w:bCs/>
          <w:snapToGrid w:val="0"/>
          <w:color w:val="auto"/>
          <w:kern w:val="28"/>
          <w:sz w:val="24"/>
          <w:szCs w:val="20"/>
          <w:highlight w:val="none"/>
        </w:rPr>
        <w:t>备注：</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无</w:t>
      </w:r>
      <w:r>
        <w:rPr>
          <w:rFonts w:hint="eastAsia" w:ascii="仿宋" w:hAnsi="仿宋" w:eastAsia="仿宋" w:cs="仿宋"/>
          <w:b/>
          <w:bCs/>
          <w:snapToGrid w:val="0"/>
          <w:color w:val="auto"/>
          <w:kern w:val="28"/>
          <w:sz w:val="24"/>
          <w:szCs w:val="20"/>
          <w:highlight w:val="none"/>
          <w:u w:val="single"/>
        </w:rPr>
        <w:t xml:space="preserve">       </w:t>
      </w:r>
    </w:p>
    <w:p>
      <w:pPr>
        <w:pStyle w:val="26"/>
        <w:rPr>
          <w:rFonts w:hint="default" w:eastAsia="仿宋"/>
          <w:color w:val="auto"/>
          <w:highlight w:val="none"/>
          <w:lang w:val="en-US" w:eastAsia="zh-CN"/>
        </w:rPr>
      </w:pPr>
      <w:r>
        <w:rPr>
          <w:rFonts w:hint="eastAsia" w:ascii="仿宋" w:hAnsi="仿宋" w:eastAsia="仿宋" w:cs="仿宋"/>
          <w:b/>
          <w:bCs/>
          <w:snapToGrid w:val="0"/>
          <w:color w:val="auto"/>
          <w:kern w:val="28"/>
          <w:sz w:val="24"/>
          <w:szCs w:val="20"/>
          <w:highlight w:val="none"/>
        </w:rPr>
        <w:t>标项</w:t>
      </w:r>
      <w:r>
        <w:rPr>
          <w:rFonts w:hint="eastAsia" w:eastAsia="仿宋"/>
          <w:color w:val="auto"/>
          <w:highlight w:val="none"/>
          <w:lang w:val="en-US" w:eastAsia="zh-CN"/>
        </w:rPr>
        <w:t>二</w:t>
      </w:r>
    </w:p>
    <w:p>
      <w:pPr>
        <w:spacing w:line="360" w:lineRule="auto"/>
        <w:ind w:firstLine="480"/>
        <w:rPr>
          <w:rFonts w:hint="eastAsia" w:ascii="仿宋" w:hAnsi="仿宋" w:eastAsia="仿宋" w:cs="仿宋"/>
          <w:b/>
          <w:bCs/>
          <w:snapToGrid w:val="0"/>
          <w:color w:val="auto"/>
          <w:kern w:val="28"/>
          <w:sz w:val="24"/>
          <w:szCs w:val="20"/>
          <w:highlight w:val="none"/>
          <w:u w:val="single"/>
        </w:rPr>
      </w:pPr>
      <w:r>
        <w:rPr>
          <w:rFonts w:hint="eastAsia" w:ascii="仿宋" w:hAnsi="仿宋" w:eastAsia="仿宋" w:cs="仿宋"/>
          <w:b/>
          <w:bCs/>
          <w:snapToGrid w:val="0"/>
          <w:color w:val="auto"/>
          <w:kern w:val="28"/>
          <w:sz w:val="24"/>
          <w:szCs w:val="20"/>
          <w:highlight w:val="none"/>
        </w:rPr>
        <w:t>标项名称: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lang w:eastAsia="zh-CN"/>
        </w:rPr>
        <w:t>温州市本级2023年度公共视频监控一体化运维项目</w:t>
      </w:r>
      <w:r>
        <w:rPr>
          <w:rFonts w:hint="eastAsia" w:ascii="仿宋" w:hAnsi="仿宋" w:eastAsia="仿宋" w:cs="仿宋"/>
          <w:color w:val="auto"/>
          <w:sz w:val="24"/>
          <w:highlight w:val="none"/>
          <w:u w:val="single"/>
          <w:lang w:val="en-US" w:eastAsia="zh-CN"/>
        </w:rPr>
        <w:t>标项二</w:t>
      </w:r>
      <w:r>
        <w:rPr>
          <w:rFonts w:hint="eastAsia" w:ascii="仿宋" w:hAnsi="仿宋" w:eastAsia="仿宋" w:cs="仿宋"/>
          <w:color w:val="auto"/>
          <w:sz w:val="24"/>
          <w:highlight w:val="none"/>
          <w:u w:val="single"/>
        </w:rPr>
        <w:t xml:space="preserve">  </w:t>
      </w:r>
      <w:r>
        <w:rPr>
          <w:rFonts w:hint="eastAsia" w:ascii="仿宋" w:hAnsi="仿宋" w:eastAsia="仿宋" w:cs="仿宋"/>
          <w:b/>
          <w:bCs/>
          <w:snapToGrid w:val="0"/>
          <w:color w:val="auto"/>
          <w:kern w:val="28"/>
          <w:sz w:val="24"/>
          <w:szCs w:val="20"/>
          <w:highlight w:val="none"/>
        </w:rPr>
        <w:t>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数量:</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1项</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rPr>
        <w:t>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预算金额（元）: </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18960100.00</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简要规格描述或项目基本概况介绍、用途：</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Cs/>
          <w:snapToGrid/>
          <w:color w:val="auto"/>
          <w:kern w:val="2"/>
          <w:sz w:val="24"/>
          <w:szCs w:val="24"/>
          <w:highlight w:val="none"/>
          <w:u w:val="single"/>
        </w:rPr>
        <w:t>详见招标文件第三部分采购需求</w:t>
      </w:r>
      <w:r>
        <w:rPr>
          <w:rFonts w:hint="eastAsia" w:ascii="仿宋" w:hAnsi="仿宋" w:eastAsia="仿宋" w:cs="仿宋"/>
          <w:b/>
          <w:bCs/>
          <w:snapToGrid w:val="0"/>
          <w:color w:val="auto"/>
          <w:kern w:val="28"/>
          <w:sz w:val="24"/>
          <w:szCs w:val="20"/>
          <w:highlight w:val="none"/>
          <w:u w:val="single"/>
        </w:rPr>
        <w:t xml:space="preserve"> </w:t>
      </w:r>
    </w:p>
    <w:p>
      <w:pPr>
        <w:spacing w:line="360" w:lineRule="auto"/>
        <w:ind w:firstLine="480"/>
        <w:rPr>
          <w:rFonts w:hint="eastAsia" w:ascii="仿宋" w:hAnsi="仿宋" w:eastAsia="仿宋" w:cs="仿宋"/>
          <w:b/>
          <w:bCs/>
          <w:snapToGrid w:val="0"/>
          <w:color w:val="auto"/>
          <w:kern w:val="28"/>
          <w:sz w:val="24"/>
          <w:szCs w:val="20"/>
          <w:highlight w:val="none"/>
          <w:u w:val="single"/>
        </w:rPr>
      </w:pPr>
      <w:r>
        <w:rPr>
          <w:rFonts w:hint="eastAsia" w:ascii="仿宋" w:hAnsi="仿宋" w:eastAsia="仿宋" w:cs="仿宋"/>
          <w:b/>
          <w:bCs/>
          <w:snapToGrid w:val="0"/>
          <w:color w:val="auto"/>
          <w:kern w:val="28"/>
          <w:sz w:val="24"/>
          <w:szCs w:val="20"/>
          <w:highlight w:val="none"/>
        </w:rPr>
        <w:t>备注：</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无</w:t>
      </w:r>
      <w:r>
        <w:rPr>
          <w:rFonts w:hint="eastAsia" w:ascii="仿宋" w:hAnsi="仿宋" w:eastAsia="仿宋" w:cs="仿宋"/>
          <w:b/>
          <w:bCs/>
          <w:snapToGrid w:val="0"/>
          <w:color w:val="auto"/>
          <w:kern w:val="28"/>
          <w:sz w:val="24"/>
          <w:szCs w:val="20"/>
          <w:highlight w:val="none"/>
          <w:u w:val="single"/>
        </w:rPr>
        <w:t xml:space="preserve">       </w:t>
      </w:r>
    </w:p>
    <w:p>
      <w:pPr>
        <w:pStyle w:val="26"/>
        <w:rPr>
          <w:rFonts w:hint="default" w:eastAsia="仿宋"/>
          <w:color w:val="auto"/>
          <w:highlight w:val="none"/>
          <w:lang w:val="en-US" w:eastAsia="zh-CN"/>
        </w:rPr>
      </w:pPr>
      <w:r>
        <w:rPr>
          <w:rFonts w:hint="eastAsia" w:ascii="仿宋" w:hAnsi="仿宋" w:eastAsia="仿宋" w:cs="仿宋"/>
          <w:b/>
          <w:bCs/>
          <w:snapToGrid w:val="0"/>
          <w:color w:val="auto"/>
          <w:kern w:val="28"/>
          <w:sz w:val="24"/>
          <w:szCs w:val="20"/>
          <w:highlight w:val="none"/>
        </w:rPr>
        <w:t>标项</w:t>
      </w:r>
      <w:r>
        <w:rPr>
          <w:rFonts w:hint="eastAsia" w:eastAsia="仿宋"/>
          <w:color w:val="auto"/>
          <w:highlight w:val="none"/>
          <w:lang w:val="en-US" w:eastAsia="zh-CN"/>
        </w:rPr>
        <w:t>三</w:t>
      </w:r>
    </w:p>
    <w:p>
      <w:pPr>
        <w:spacing w:line="360" w:lineRule="auto"/>
        <w:ind w:firstLine="480"/>
        <w:rPr>
          <w:rFonts w:hint="eastAsia" w:ascii="仿宋" w:hAnsi="仿宋" w:eastAsia="仿宋" w:cs="仿宋"/>
          <w:b/>
          <w:bCs/>
          <w:snapToGrid w:val="0"/>
          <w:color w:val="auto"/>
          <w:kern w:val="28"/>
          <w:sz w:val="24"/>
          <w:szCs w:val="20"/>
          <w:highlight w:val="none"/>
          <w:u w:val="single"/>
        </w:rPr>
      </w:pPr>
      <w:r>
        <w:rPr>
          <w:rFonts w:hint="eastAsia" w:ascii="仿宋" w:hAnsi="仿宋" w:eastAsia="仿宋" w:cs="仿宋"/>
          <w:b/>
          <w:bCs/>
          <w:snapToGrid w:val="0"/>
          <w:color w:val="auto"/>
          <w:kern w:val="28"/>
          <w:sz w:val="24"/>
          <w:szCs w:val="20"/>
          <w:highlight w:val="none"/>
        </w:rPr>
        <w:t>标项名称: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lang w:eastAsia="zh-CN"/>
        </w:rPr>
        <w:t>温州市本级2023年度公共视频监控一体化运维项目</w:t>
      </w:r>
      <w:r>
        <w:rPr>
          <w:rFonts w:hint="eastAsia" w:ascii="仿宋" w:hAnsi="仿宋" w:eastAsia="仿宋" w:cs="仿宋"/>
          <w:color w:val="auto"/>
          <w:sz w:val="24"/>
          <w:highlight w:val="none"/>
          <w:u w:val="single"/>
          <w:lang w:val="en-US" w:eastAsia="zh-CN"/>
        </w:rPr>
        <w:t>标项三</w:t>
      </w:r>
      <w:r>
        <w:rPr>
          <w:rFonts w:hint="eastAsia" w:ascii="仿宋" w:hAnsi="仿宋" w:eastAsia="仿宋" w:cs="仿宋"/>
          <w:color w:val="auto"/>
          <w:sz w:val="24"/>
          <w:highlight w:val="none"/>
          <w:u w:val="single"/>
        </w:rPr>
        <w:t xml:space="preserve"> </w:t>
      </w:r>
      <w:r>
        <w:rPr>
          <w:rFonts w:hint="eastAsia" w:ascii="仿宋" w:hAnsi="仿宋" w:eastAsia="仿宋" w:cs="仿宋"/>
          <w:b/>
          <w:bCs/>
          <w:snapToGrid w:val="0"/>
          <w:color w:val="auto"/>
          <w:kern w:val="28"/>
          <w:sz w:val="24"/>
          <w:szCs w:val="20"/>
          <w:highlight w:val="none"/>
        </w:rPr>
        <w:t>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数量:</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1项</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rPr>
        <w:t>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预算金额（元）: </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11497500.00</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简要规格描述或项目基本概况介绍、用途：</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Cs/>
          <w:snapToGrid/>
          <w:color w:val="auto"/>
          <w:kern w:val="2"/>
          <w:sz w:val="24"/>
          <w:szCs w:val="24"/>
          <w:highlight w:val="none"/>
          <w:u w:val="single"/>
        </w:rPr>
        <w:t>详见招标文件第三部分采购需求</w:t>
      </w:r>
      <w:r>
        <w:rPr>
          <w:rFonts w:hint="eastAsia" w:ascii="仿宋" w:hAnsi="仿宋" w:eastAsia="仿宋" w:cs="仿宋"/>
          <w:b/>
          <w:bCs/>
          <w:snapToGrid w:val="0"/>
          <w:color w:val="auto"/>
          <w:kern w:val="28"/>
          <w:sz w:val="24"/>
          <w:szCs w:val="20"/>
          <w:highlight w:val="none"/>
          <w:u w:val="single"/>
        </w:rPr>
        <w:t xml:space="preserve">   </w:t>
      </w:r>
    </w:p>
    <w:p>
      <w:pPr>
        <w:spacing w:line="360" w:lineRule="auto"/>
        <w:ind w:firstLine="480"/>
        <w:rPr>
          <w:rFonts w:hint="eastAsia" w:ascii="仿宋" w:hAnsi="仿宋" w:eastAsia="仿宋" w:cs="仿宋"/>
          <w:b/>
          <w:bCs/>
          <w:snapToGrid w:val="0"/>
          <w:color w:val="auto"/>
          <w:kern w:val="28"/>
          <w:sz w:val="24"/>
          <w:szCs w:val="20"/>
          <w:highlight w:val="none"/>
          <w:u w:val="single"/>
        </w:rPr>
      </w:pPr>
      <w:r>
        <w:rPr>
          <w:rFonts w:hint="eastAsia" w:ascii="仿宋" w:hAnsi="仿宋" w:eastAsia="仿宋" w:cs="仿宋"/>
          <w:b/>
          <w:bCs/>
          <w:snapToGrid w:val="0"/>
          <w:color w:val="auto"/>
          <w:kern w:val="28"/>
          <w:sz w:val="24"/>
          <w:szCs w:val="20"/>
          <w:highlight w:val="none"/>
        </w:rPr>
        <w:t>备注：</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无</w:t>
      </w:r>
      <w:r>
        <w:rPr>
          <w:rFonts w:hint="eastAsia" w:ascii="仿宋" w:hAnsi="仿宋" w:eastAsia="仿宋" w:cs="仿宋"/>
          <w:b/>
          <w:bCs/>
          <w:snapToGrid w:val="0"/>
          <w:color w:val="auto"/>
          <w:kern w:val="28"/>
          <w:sz w:val="24"/>
          <w:szCs w:val="20"/>
          <w:highlight w:val="none"/>
          <w:u w:val="single"/>
        </w:rPr>
        <w:t xml:space="preserve">       </w:t>
      </w:r>
    </w:p>
    <w:p>
      <w:pPr>
        <w:pStyle w:val="26"/>
        <w:outlineLvl w:val="9"/>
        <w:rPr>
          <w:rFonts w:hint="default" w:eastAsia="仿宋"/>
          <w:color w:val="auto"/>
          <w:highlight w:val="none"/>
          <w:lang w:val="en-US" w:eastAsia="zh-CN"/>
        </w:rPr>
      </w:pPr>
      <w:r>
        <w:rPr>
          <w:rFonts w:hint="eastAsia" w:ascii="仿宋" w:hAnsi="仿宋" w:eastAsia="仿宋" w:cs="仿宋"/>
          <w:b/>
          <w:bCs/>
          <w:snapToGrid w:val="0"/>
          <w:color w:val="auto"/>
          <w:kern w:val="28"/>
          <w:sz w:val="24"/>
          <w:szCs w:val="20"/>
          <w:highlight w:val="none"/>
        </w:rPr>
        <w:t>标项</w:t>
      </w:r>
      <w:r>
        <w:rPr>
          <w:rFonts w:hint="eastAsia" w:eastAsia="仿宋"/>
          <w:color w:val="auto"/>
          <w:highlight w:val="none"/>
          <w:lang w:val="en-US" w:eastAsia="zh-CN"/>
        </w:rPr>
        <w:t>四</w:t>
      </w:r>
    </w:p>
    <w:p>
      <w:pPr>
        <w:spacing w:line="360" w:lineRule="auto"/>
        <w:ind w:firstLine="480"/>
        <w:rPr>
          <w:rFonts w:hint="eastAsia" w:ascii="仿宋" w:hAnsi="仿宋" w:eastAsia="仿宋" w:cs="仿宋"/>
          <w:b/>
          <w:bCs/>
          <w:snapToGrid w:val="0"/>
          <w:color w:val="auto"/>
          <w:kern w:val="28"/>
          <w:sz w:val="24"/>
          <w:szCs w:val="20"/>
          <w:highlight w:val="none"/>
          <w:u w:val="single"/>
        </w:rPr>
      </w:pPr>
      <w:r>
        <w:rPr>
          <w:rFonts w:hint="eastAsia" w:ascii="仿宋" w:hAnsi="仿宋" w:eastAsia="仿宋" w:cs="仿宋"/>
          <w:b/>
          <w:bCs/>
          <w:snapToGrid w:val="0"/>
          <w:color w:val="auto"/>
          <w:kern w:val="28"/>
          <w:sz w:val="24"/>
          <w:szCs w:val="20"/>
          <w:highlight w:val="none"/>
        </w:rPr>
        <w:t>标项名称: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lang w:eastAsia="zh-CN"/>
        </w:rPr>
        <w:t>温州市本级2023年度公共视频监控一体化运维项目</w:t>
      </w:r>
      <w:r>
        <w:rPr>
          <w:rFonts w:hint="eastAsia" w:ascii="仿宋" w:hAnsi="仿宋" w:eastAsia="仿宋" w:cs="仿宋"/>
          <w:color w:val="auto"/>
          <w:sz w:val="24"/>
          <w:highlight w:val="none"/>
          <w:u w:val="single"/>
          <w:lang w:val="en-US" w:eastAsia="zh-CN"/>
        </w:rPr>
        <w:t>标项四</w:t>
      </w:r>
      <w:r>
        <w:rPr>
          <w:rFonts w:hint="eastAsia" w:ascii="仿宋" w:hAnsi="仿宋" w:eastAsia="仿宋" w:cs="仿宋"/>
          <w:color w:val="auto"/>
          <w:sz w:val="24"/>
          <w:highlight w:val="none"/>
          <w:u w:val="single"/>
        </w:rPr>
        <w:t xml:space="preserve">  </w:t>
      </w:r>
      <w:r>
        <w:rPr>
          <w:rFonts w:hint="eastAsia" w:ascii="仿宋" w:hAnsi="仿宋" w:eastAsia="仿宋" w:cs="仿宋"/>
          <w:b/>
          <w:bCs/>
          <w:snapToGrid w:val="0"/>
          <w:color w:val="auto"/>
          <w:kern w:val="28"/>
          <w:sz w:val="24"/>
          <w:szCs w:val="20"/>
          <w:highlight w:val="none"/>
        </w:rPr>
        <w:t>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数量:</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1项</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rPr>
        <w:t>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预算金额（元）: </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8361800.00</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简要规格描述或项目基本概况介绍、用途：</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Cs/>
          <w:snapToGrid/>
          <w:color w:val="auto"/>
          <w:kern w:val="2"/>
          <w:sz w:val="24"/>
          <w:szCs w:val="24"/>
          <w:highlight w:val="none"/>
          <w:u w:val="single"/>
        </w:rPr>
        <w:t>详见招标文件第三部分采购需求</w:t>
      </w:r>
      <w:r>
        <w:rPr>
          <w:rFonts w:hint="eastAsia" w:ascii="仿宋" w:hAnsi="仿宋" w:eastAsia="仿宋" w:cs="仿宋"/>
          <w:b/>
          <w:bCs/>
          <w:snapToGrid w:val="0"/>
          <w:color w:val="auto"/>
          <w:kern w:val="28"/>
          <w:sz w:val="24"/>
          <w:szCs w:val="20"/>
          <w:highlight w:val="none"/>
          <w:u w:val="single"/>
        </w:rPr>
        <w:t xml:space="preserve">   </w:t>
      </w:r>
    </w:p>
    <w:p>
      <w:pPr>
        <w:spacing w:line="360" w:lineRule="auto"/>
        <w:ind w:firstLine="480"/>
        <w:rPr>
          <w:rFonts w:hint="eastAsia" w:ascii="仿宋" w:hAnsi="仿宋" w:eastAsia="仿宋" w:cs="仿宋"/>
          <w:b/>
          <w:bCs/>
          <w:snapToGrid w:val="0"/>
          <w:color w:val="auto"/>
          <w:kern w:val="28"/>
          <w:sz w:val="24"/>
          <w:szCs w:val="20"/>
          <w:highlight w:val="none"/>
          <w:u w:val="single"/>
        </w:rPr>
      </w:pPr>
      <w:r>
        <w:rPr>
          <w:rFonts w:hint="eastAsia" w:ascii="仿宋" w:hAnsi="仿宋" w:eastAsia="仿宋" w:cs="仿宋"/>
          <w:b/>
          <w:bCs/>
          <w:snapToGrid w:val="0"/>
          <w:color w:val="auto"/>
          <w:kern w:val="28"/>
          <w:sz w:val="24"/>
          <w:szCs w:val="20"/>
          <w:highlight w:val="none"/>
        </w:rPr>
        <w:t>备注：</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无</w:t>
      </w:r>
      <w:r>
        <w:rPr>
          <w:rFonts w:hint="eastAsia" w:ascii="仿宋" w:hAnsi="仿宋" w:eastAsia="仿宋" w:cs="仿宋"/>
          <w:b/>
          <w:bCs/>
          <w:snapToGrid w:val="0"/>
          <w:color w:val="auto"/>
          <w:kern w:val="28"/>
          <w:sz w:val="24"/>
          <w:szCs w:val="20"/>
          <w:highlight w:val="none"/>
          <w:u w:val="single"/>
        </w:rPr>
        <w:t xml:space="preserve">       </w:t>
      </w:r>
    </w:p>
    <w:p>
      <w:pPr>
        <w:pStyle w:val="26"/>
        <w:rPr>
          <w:rFonts w:hint="default" w:eastAsia="仿宋"/>
          <w:color w:val="auto"/>
          <w:highlight w:val="none"/>
          <w:lang w:val="en-US" w:eastAsia="zh-CN"/>
        </w:rPr>
      </w:pPr>
      <w:r>
        <w:rPr>
          <w:rFonts w:hint="eastAsia" w:ascii="仿宋" w:hAnsi="仿宋" w:eastAsia="仿宋" w:cs="仿宋"/>
          <w:b/>
          <w:bCs/>
          <w:snapToGrid w:val="0"/>
          <w:color w:val="auto"/>
          <w:kern w:val="28"/>
          <w:sz w:val="24"/>
          <w:szCs w:val="20"/>
          <w:highlight w:val="none"/>
        </w:rPr>
        <w:t>标项</w:t>
      </w:r>
      <w:r>
        <w:rPr>
          <w:rFonts w:hint="eastAsia" w:eastAsia="仿宋"/>
          <w:color w:val="auto"/>
          <w:highlight w:val="none"/>
          <w:lang w:val="en-US" w:eastAsia="zh-CN"/>
        </w:rPr>
        <w:t>五</w:t>
      </w:r>
    </w:p>
    <w:p>
      <w:pPr>
        <w:spacing w:line="360" w:lineRule="auto"/>
        <w:ind w:firstLine="480"/>
        <w:rPr>
          <w:rFonts w:hint="eastAsia" w:ascii="仿宋" w:hAnsi="仿宋" w:eastAsia="仿宋" w:cs="仿宋"/>
          <w:b/>
          <w:bCs/>
          <w:snapToGrid w:val="0"/>
          <w:color w:val="auto"/>
          <w:kern w:val="28"/>
          <w:sz w:val="24"/>
          <w:szCs w:val="20"/>
          <w:highlight w:val="none"/>
          <w:u w:val="single"/>
        </w:rPr>
      </w:pPr>
      <w:r>
        <w:rPr>
          <w:rFonts w:hint="eastAsia" w:ascii="仿宋" w:hAnsi="仿宋" w:eastAsia="仿宋" w:cs="仿宋"/>
          <w:b/>
          <w:bCs/>
          <w:snapToGrid w:val="0"/>
          <w:color w:val="auto"/>
          <w:kern w:val="28"/>
          <w:sz w:val="24"/>
          <w:szCs w:val="20"/>
          <w:highlight w:val="none"/>
        </w:rPr>
        <w:t>标项名称:</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lang w:eastAsia="zh-CN"/>
        </w:rPr>
        <w:t>温州市本级2023年度公共视频监控一体化运维项目</w:t>
      </w:r>
      <w:r>
        <w:rPr>
          <w:rFonts w:hint="eastAsia" w:ascii="仿宋" w:hAnsi="仿宋" w:eastAsia="仿宋" w:cs="仿宋"/>
          <w:color w:val="auto"/>
          <w:sz w:val="24"/>
          <w:highlight w:val="none"/>
          <w:u w:val="single"/>
          <w:lang w:val="en-US" w:eastAsia="zh-CN"/>
        </w:rPr>
        <w:t>标项五</w:t>
      </w:r>
      <w:r>
        <w:rPr>
          <w:rFonts w:hint="eastAsia" w:ascii="仿宋" w:hAnsi="仿宋" w:eastAsia="仿宋" w:cs="仿宋"/>
          <w:color w:val="auto"/>
          <w:sz w:val="24"/>
          <w:highlight w:val="none"/>
          <w:u w:val="single"/>
        </w:rPr>
        <w:t xml:space="preserve"> </w:t>
      </w:r>
      <w:r>
        <w:rPr>
          <w:rFonts w:hint="eastAsia" w:ascii="仿宋" w:hAnsi="仿宋" w:eastAsia="仿宋" w:cs="仿宋"/>
          <w:b/>
          <w:bCs/>
          <w:snapToGrid w:val="0"/>
          <w:color w:val="auto"/>
          <w:kern w:val="28"/>
          <w:sz w:val="24"/>
          <w:szCs w:val="20"/>
          <w:highlight w:val="none"/>
        </w:rPr>
        <w:t>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数量:</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1项</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rPr>
        <w:t>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预算金额（元）: </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1203700.00</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rPr>
        <w:br w:type="textWrapping"/>
      </w:r>
      <w:r>
        <w:rPr>
          <w:rFonts w:hint="eastAsia" w:ascii="仿宋" w:hAnsi="仿宋" w:eastAsia="仿宋" w:cs="仿宋"/>
          <w:b/>
          <w:bCs/>
          <w:snapToGrid w:val="0"/>
          <w:color w:val="auto"/>
          <w:kern w:val="28"/>
          <w:sz w:val="24"/>
          <w:szCs w:val="20"/>
          <w:highlight w:val="none"/>
        </w:rPr>
        <w:t>     简要规格描述或项目基本概况介绍、用途：</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Cs/>
          <w:snapToGrid/>
          <w:color w:val="auto"/>
          <w:kern w:val="2"/>
          <w:sz w:val="24"/>
          <w:szCs w:val="24"/>
          <w:highlight w:val="none"/>
          <w:u w:val="single"/>
        </w:rPr>
        <w:t>详见招标文件第三部分采购需求</w:t>
      </w:r>
      <w:r>
        <w:rPr>
          <w:rFonts w:hint="eastAsia" w:ascii="仿宋" w:hAnsi="仿宋" w:eastAsia="仿宋" w:cs="仿宋"/>
          <w:b/>
          <w:bCs/>
          <w:snapToGrid w:val="0"/>
          <w:color w:val="auto"/>
          <w:kern w:val="28"/>
          <w:sz w:val="24"/>
          <w:szCs w:val="20"/>
          <w:highlight w:val="none"/>
          <w:u w:val="single"/>
        </w:rPr>
        <w:t xml:space="preserve">    </w:t>
      </w:r>
    </w:p>
    <w:p>
      <w:pPr>
        <w:spacing w:line="360" w:lineRule="auto"/>
        <w:ind w:firstLine="480"/>
        <w:rPr>
          <w:rFonts w:hint="eastAsia" w:ascii="仿宋" w:hAnsi="仿宋" w:eastAsia="仿宋" w:cs="仿宋"/>
          <w:b/>
          <w:bCs/>
          <w:snapToGrid w:val="0"/>
          <w:color w:val="auto"/>
          <w:kern w:val="28"/>
          <w:sz w:val="24"/>
          <w:szCs w:val="20"/>
          <w:highlight w:val="none"/>
          <w:u w:val="single"/>
        </w:rPr>
      </w:pPr>
      <w:r>
        <w:rPr>
          <w:rFonts w:hint="eastAsia" w:ascii="仿宋" w:hAnsi="仿宋" w:eastAsia="仿宋" w:cs="仿宋"/>
          <w:b/>
          <w:bCs/>
          <w:snapToGrid w:val="0"/>
          <w:color w:val="auto"/>
          <w:kern w:val="28"/>
          <w:sz w:val="24"/>
          <w:szCs w:val="20"/>
          <w:highlight w:val="none"/>
        </w:rPr>
        <w:t>备注：</w:t>
      </w:r>
      <w:r>
        <w:rPr>
          <w:rFonts w:hint="eastAsia" w:ascii="仿宋" w:hAnsi="仿宋" w:eastAsia="仿宋" w:cs="仿宋"/>
          <w:b/>
          <w:bCs/>
          <w:snapToGrid w:val="0"/>
          <w:color w:val="auto"/>
          <w:kern w:val="28"/>
          <w:sz w:val="24"/>
          <w:szCs w:val="20"/>
          <w:highlight w:val="none"/>
          <w:u w:val="single"/>
        </w:rPr>
        <w:t xml:space="preserve">      </w:t>
      </w:r>
      <w:r>
        <w:rPr>
          <w:rFonts w:hint="eastAsia" w:ascii="仿宋" w:hAnsi="仿宋" w:eastAsia="仿宋" w:cs="仿宋"/>
          <w:b/>
          <w:bCs/>
          <w:snapToGrid w:val="0"/>
          <w:color w:val="auto"/>
          <w:kern w:val="28"/>
          <w:sz w:val="24"/>
          <w:szCs w:val="20"/>
          <w:highlight w:val="none"/>
          <w:u w:val="single"/>
          <w:lang w:val="en-US" w:eastAsia="zh-CN"/>
        </w:rPr>
        <w:t>无</w:t>
      </w:r>
      <w:r>
        <w:rPr>
          <w:rFonts w:hint="eastAsia" w:ascii="仿宋" w:hAnsi="仿宋" w:eastAsia="仿宋" w:cs="仿宋"/>
          <w:b/>
          <w:bCs/>
          <w:snapToGrid w:val="0"/>
          <w:color w:val="auto"/>
          <w:kern w:val="28"/>
          <w:sz w:val="24"/>
          <w:szCs w:val="20"/>
          <w:highlight w:val="none"/>
          <w:u w:val="single"/>
        </w:rPr>
        <w:t xml:space="preserve">       </w:t>
      </w:r>
    </w:p>
    <w:p>
      <w:pPr>
        <w:pStyle w:val="354"/>
        <w:ind w:firstLine="482"/>
        <w:outlineLvl w:val="9"/>
        <w:rPr>
          <w:rFonts w:hint="eastAsia" w:ascii="仿宋" w:hAnsi="仿宋" w:eastAsia="仿宋" w:cs="仿宋"/>
          <w:color w:val="auto"/>
          <w:highlight w:val="none"/>
        </w:rPr>
      </w:pPr>
      <w:r>
        <w:rPr>
          <w:rFonts w:hint="eastAsia" w:ascii="仿宋" w:hAnsi="仿宋" w:eastAsia="仿宋" w:cs="仿宋"/>
          <w:b/>
          <w:color w:val="auto"/>
          <w:highlight w:val="none"/>
        </w:rPr>
        <w:t>合同履约期限：</w:t>
      </w:r>
      <w:bookmarkEnd w:id="11"/>
      <w:bookmarkEnd w:id="12"/>
      <w:r>
        <w:rPr>
          <w:rFonts w:hint="eastAsia" w:ascii="仿宋" w:hAnsi="仿宋" w:eastAsia="仿宋" w:cs="仿宋"/>
          <w:color w:val="auto"/>
          <w:highlight w:val="none"/>
          <w:u w:val="single"/>
        </w:rPr>
        <w:t xml:space="preserve"> </w:t>
      </w:r>
      <w:r>
        <w:rPr>
          <w:rFonts w:hint="eastAsia" w:ascii="仿宋" w:hAnsi="仿宋" w:eastAsia="仿宋" w:cs="仿宋"/>
          <w:bCs/>
          <w:snapToGrid/>
          <w:color w:val="auto"/>
          <w:kern w:val="2"/>
          <w:sz w:val="24"/>
          <w:szCs w:val="24"/>
          <w:highlight w:val="none"/>
          <w:u w:val="single"/>
        </w:rPr>
        <w:t>详见招标文件第三部分采购需求</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bookmarkEnd w:id="13"/>
      <w:r>
        <w:rPr>
          <w:rFonts w:hint="eastAsia" w:ascii="仿宋" w:hAnsi="仿宋" w:eastAsia="仿宋" w:cs="仿宋"/>
          <w:color w:val="auto"/>
          <w:highlight w:val="none"/>
        </w:rPr>
        <w:t xml:space="preserve"> </w:t>
      </w:r>
    </w:p>
    <w:p>
      <w:pPr>
        <w:pStyle w:val="18"/>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w:t>
      </w:r>
      <w:r>
        <w:rPr>
          <w:rFonts w:hint="eastAsia" w:ascii="仿宋" w:hAnsi="仿宋" w:eastAsia="仿宋" w:cs="仿宋"/>
          <w:color w:val="auto"/>
          <w:kern w:val="0"/>
          <w:sz w:val="24"/>
          <w:highlight w:val="none"/>
        </w:rPr>
        <w:sym w:font="Wingdings" w:char="00A8"/>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sym w:font="Wingdings" w:char="00FE"/>
      </w:r>
      <w:r>
        <w:rPr>
          <w:rFonts w:hint="eastAsia" w:ascii="仿宋" w:hAnsi="仿宋" w:eastAsia="仿宋" w:cs="仿宋"/>
          <w:b/>
          <w:color w:val="auto"/>
          <w:sz w:val="24"/>
          <w:highlight w:val="none"/>
        </w:rPr>
        <w:t>否）接受联合体投标</w:t>
      </w:r>
      <w:r>
        <w:rPr>
          <w:rFonts w:hint="eastAsia" w:ascii="仿宋" w:hAnsi="仿宋" w:eastAsia="仿宋" w:cs="仿宋"/>
          <w:color w:val="auto"/>
          <w:kern w:val="0"/>
          <w:sz w:val="24"/>
          <w:highlight w:val="none"/>
        </w:rPr>
        <w:t>。</w:t>
      </w:r>
    </w:p>
    <w:p>
      <w:pPr>
        <w:spacing w:line="360" w:lineRule="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r>
        <w:rPr>
          <w:rFonts w:hint="eastAsia" w:ascii="仿宋" w:hAnsi="仿宋" w:eastAsia="仿宋" w:cs="仿宋"/>
          <w:color w:val="auto"/>
          <w:sz w:val="24"/>
          <w:highlight w:val="none"/>
        </w:rPr>
        <w:t>无；</w:t>
      </w:r>
    </w:p>
    <w:p>
      <w:pPr>
        <w:numPr>
          <w:ilvl w:val="0"/>
          <w:numId w:val="1"/>
        </w:num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 xml:space="preserve">本项目的特定资格要求： </w:t>
      </w:r>
      <w:r>
        <w:rPr>
          <w:rFonts w:hint="eastAsia" w:ascii="仿宋" w:hAnsi="仿宋" w:eastAsia="仿宋" w:cs="仿宋"/>
          <w:color w:val="auto"/>
          <w:sz w:val="24"/>
          <w:highlight w:val="none"/>
          <w:u w:val="single"/>
          <w:lang w:val="en-US" w:eastAsia="zh-CN"/>
        </w:rPr>
        <w:t>无</w:t>
      </w:r>
      <w:r>
        <w:rPr>
          <w:rFonts w:hint="eastAsia" w:ascii="仿宋" w:hAnsi="仿宋" w:eastAsia="仿宋" w:cs="仿宋"/>
          <w:color w:val="auto"/>
          <w:sz w:val="24"/>
          <w:highlight w:val="none"/>
          <w:u w:val="single"/>
        </w:rPr>
        <w:t xml:space="preserve"> ;</w:t>
      </w:r>
    </w:p>
    <w:p>
      <w:pPr>
        <w:spacing w:line="360" w:lineRule="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w:t>
      </w:r>
      <w:r>
        <w:rPr>
          <w:rFonts w:hint="eastAsia" w:ascii="仿宋" w:hAnsi="仿宋" w:eastAsia="仿宋" w:cs="仿宋"/>
          <w:color w:val="auto"/>
          <w:sz w:val="24"/>
          <w:highlight w:val="none"/>
          <w:u w:val="single"/>
          <w:lang w:eastAsia="zh-CN"/>
        </w:rPr>
        <w:t>0223年10月19日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w:t>
      </w:r>
      <w:r>
        <w:rPr>
          <w:rFonts w:hint="eastAsia" w:ascii="仿宋" w:hAnsi="仿宋" w:eastAsia="仿宋" w:cs="仿宋"/>
          <w:color w:val="auto"/>
          <w:sz w:val="24"/>
          <w:highlight w:val="none"/>
          <w:u w:val="single"/>
          <w:lang w:eastAsia="zh-CN"/>
        </w:rPr>
        <w:t>0223年10月19日9点30分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w:t>
      </w:r>
      <w:r>
        <w:rPr>
          <w:rFonts w:hint="eastAsia" w:ascii="仿宋" w:hAnsi="仿宋" w:eastAsia="仿宋" w:cs="仿宋"/>
          <w:color w:val="auto"/>
          <w:sz w:val="24"/>
          <w:highlight w:val="none"/>
          <w:u w:val="single"/>
          <w:lang w:eastAsia="zh-CN"/>
        </w:rPr>
        <w:t>0223年10月19日9点30分</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outlineLvl w:val="9"/>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其他事项：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w:t>
      </w:r>
    </w:p>
    <w:p>
      <w:pPr>
        <w:spacing w:line="360" w:lineRule="auto"/>
        <w:outlineLvl w:val="9"/>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outlineLvl w:val="9"/>
        <w:rPr>
          <w:rFonts w:hint="eastAsia" w:ascii="仿宋" w:hAnsi="仿宋" w:eastAsia="仿宋" w:cs="仿宋"/>
          <w:color w:val="auto"/>
          <w:sz w:val="22"/>
          <w:szCs w:val="22"/>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2"/>
          <w:szCs w:val="22"/>
          <w:highlight w:val="none"/>
        </w:rPr>
        <w:t xml:space="preserve">   1.采购人信息</w:t>
      </w: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名    称：温州市公安局</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 xml:space="preserve">         </w:t>
      </w: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地    址：温州市惠民路公安科技大楼</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 xml:space="preserve">                       </w:t>
      </w:r>
    </w:p>
    <w:p>
      <w:pPr>
        <w:spacing w:line="360" w:lineRule="auto"/>
        <w:ind w:firstLine="48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传    真：/</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 xml:space="preserve">                </w:t>
      </w:r>
    </w:p>
    <w:p>
      <w:pPr>
        <w:spacing w:line="360" w:lineRule="auto"/>
        <w:ind w:firstLine="48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项目联系人（询问）：</w:t>
      </w:r>
      <w:r>
        <w:rPr>
          <w:rFonts w:hint="eastAsia" w:ascii="仿宋" w:hAnsi="仿宋" w:eastAsia="仿宋" w:cs="仿宋"/>
          <w:color w:val="auto"/>
          <w:sz w:val="22"/>
          <w:szCs w:val="22"/>
          <w:highlight w:val="none"/>
          <w:lang w:val="en-US" w:eastAsia="zh-CN"/>
        </w:rPr>
        <w:t xml:space="preserve">陈先生 </w:t>
      </w:r>
      <w:r>
        <w:rPr>
          <w:rFonts w:hint="eastAsia" w:ascii="仿宋" w:hAnsi="仿宋" w:eastAsia="仿宋" w:cs="仿宋"/>
          <w:color w:val="auto"/>
          <w:sz w:val="22"/>
          <w:szCs w:val="22"/>
          <w:highlight w:val="none"/>
        </w:rPr>
        <w:t xml:space="preserve">                   </w:t>
      </w: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项目联系方式（询问）：</w:t>
      </w:r>
      <w:r>
        <w:rPr>
          <w:rFonts w:hint="eastAsia" w:ascii="仿宋" w:hAnsi="仿宋" w:eastAsia="仿宋" w:cs="仿宋"/>
          <w:color w:val="auto"/>
          <w:sz w:val="22"/>
          <w:szCs w:val="22"/>
          <w:highlight w:val="none"/>
          <w:lang w:val="en-US" w:eastAsia="zh-CN"/>
        </w:rPr>
        <w:t>0577-89980308</w:t>
      </w:r>
      <w:r>
        <w:rPr>
          <w:rFonts w:hint="eastAsia" w:ascii="仿宋" w:hAnsi="仿宋" w:eastAsia="仿宋" w:cs="仿宋"/>
          <w:color w:val="auto"/>
          <w:sz w:val="22"/>
          <w:szCs w:val="22"/>
          <w:highlight w:val="none"/>
        </w:rPr>
        <w:t xml:space="preserve">                 </w:t>
      </w: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质疑联系人：</w:t>
      </w:r>
      <w:r>
        <w:rPr>
          <w:rFonts w:hint="eastAsia" w:ascii="仿宋" w:hAnsi="仿宋" w:eastAsia="仿宋" w:cs="仿宋"/>
          <w:color w:val="auto"/>
          <w:sz w:val="22"/>
          <w:szCs w:val="22"/>
          <w:highlight w:val="none"/>
          <w:lang w:val="en-US" w:eastAsia="zh-CN"/>
        </w:rPr>
        <w:t xml:space="preserve"> 陈先生</w:t>
      </w:r>
      <w:r>
        <w:rPr>
          <w:rFonts w:hint="eastAsia" w:ascii="仿宋" w:hAnsi="仿宋" w:eastAsia="仿宋" w:cs="仿宋"/>
          <w:color w:val="auto"/>
          <w:sz w:val="22"/>
          <w:szCs w:val="22"/>
          <w:highlight w:val="none"/>
        </w:rPr>
        <w:t xml:space="preserve">                  </w:t>
      </w: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质疑联系方式：</w:t>
      </w:r>
      <w:r>
        <w:rPr>
          <w:rFonts w:hint="eastAsia" w:ascii="仿宋" w:hAnsi="仿宋" w:eastAsia="仿宋" w:cs="仿宋"/>
          <w:color w:val="auto"/>
          <w:sz w:val="22"/>
          <w:szCs w:val="22"/>
          <w:highlight w:val="none"/>
          <w:lang w:val="en-US" w:eastAsia="zh-CN"/>
        </w:rPr>
        <w:t xml:space="preserve">0577-89980308 </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 xml:space="preserve">               </w:t>
      </w:r>
    </w:p>
    <w:p>
      <w:pPr>
        <w:spacing w:line="360" w:lineRule="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2.采购代理机构信息            </w:t>
      </w:r>
    </w:p>
    <w:p>
      <w:pPr>
        <w:spacing w:line="360" w:lineRule="auto"/>
        <w:ind w:firstLine="480"/>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名    称：</w:t>
      </w:r>
      <w:r>
        <w:rPr>
          <w:rFonts w:hint="eastAsia" w:ascii="仿宋" w:hAnsi="仿宋" w:eastAsia="仿宋" w:cs="仿宋"/>
          <w:color w:val="auto"/>
          <w:sz w:val="22"/>
          <w:szCs w:val="22"/>
          <w:highlight w:val="none"/>
          <w:lang w:eastAsia="zh-CN"/>
        </w:rPr>
        <w:t>温州市华明招标代理有限公司</w:t>
      </w:r>
      <w:r>
        <w:rPr>
          <w:rFonts w:hint="eastAsia" w:ascii="仿宋" w:hAnsi="仿宋" w:eastAsia="仿宋" w:cs="仿宋"/>
          <w:color w:val="auto"/>
          <w:sz w:val="22"/>
          <w:szCs w:val="22"/>
          <w:highlight w:val="none"/>
        </w:rPr>
        <w:t xml:space="preserve">   </w:t>
      </w:r>
    </w:p>
    <w:p>
      <w:pPr>
        <w:spacing w:line="360" w:lineRule="auto"/>
        <w:ind w:firstLine="48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地    址：</w:t>
      </w:r>
      <w:r>
        <w:rPr>
          <w:rFonts w:hint="eastAsia" w:ascii="仿宋" w:hAnsi="仿宋" w:eastAsia="仿宋" w:cs="仿宋"/>
          <w:color w:val="auto"/>
          <w:sz w:val="22"/>
          <w:szCs w:val="22"/>
          <w:highlight w:val="none"/>
          <w:lang w:eastAsia="zh-CN"/>
        </w:rPr>
        <w:t>温州市新桥街道高昂路（全球商品贸易港3号楼23层）2305-2308室</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 xml:space="preserve">                   </w:t>
      </w:r>
    </w:p>
    <w:p>
      <w:pPr>
        <w:spacing w:line="360" w:lineRule="auto"/>
        <w:ind w:firstLine="48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传    真：0577-89887255</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 xml:space="preserve">                  </w:t>
      </w:r>
    </w:p>
    <w:p>
      <w:pPr>
        <w:spacing w:line="360" w:lineRule="auto"/>
        <w:ind w:firstLine="48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项目联系人（询问）：</w:t>
      </w:r>
      <w:r>
        <w:rPr>
          <w:rFonts w:hint="eastAsia" w:ascii="仿宋" w:hAnsi="仿宋" w:eastAsia="仿宋" w:cs="仿宋"/>
          <w:color w:val="auto"/>
          <w:sz w:val="22"/>
          <w:szCs w:val="22"/>
          <w:highlight w:val="none"/>
          <w:lang w:eastAsia="zh-CN"/>
        </w:rPr>
        <w:t>齐贺</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 xml:space="preserve">                  </w:t>
      </w:r>
    </w:p>
    <w:p>
      <w:pPr>
        <w:spacing w:line="360" w:lineRule="auto"/>
        <w:ind w:firstLine="48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项目联系方式（询问）：</w:t>
      </w:r>
      <w:r>
        <w:rPr>
          <w:rFonts w:hint="eastAsia" w:ascii="仿宋" w:hAnsi="仿宋" w:eastAsia="仿宋" w:cs="仿宋"/>
          <w:color w:val="auto"/>
          <w:sz w:val="22"/>
          <w:szCs w:val="22"/>
          <w:highlight w:val="none"/>
          <w:lang w:eastAsia="zh-CN"/>
        </w:rPr>
        <w:t>0577-86668887、15088550610</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 xml:space="preserve">              </w:t>
      </w:r>
    </w:p>
    <w:p>
      <w:pPr>
        <w:spacing w:line="360" w:lineRule="auto"/>
        <w:ind w:firstLine="48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质疑联系人：</w:t>
      </w:r>
      <w:r>
        <w:rPr>
          <w:rFonts w:hint="eastAsia" w:ascii="仿宋" w:hAnsi="仿宋" w:eastAsia="仿宋" w:cs="仿宋"/>
          <w:color w:val="auto"/>
          <w:sz w:val="22"/>
          <w:szCs w:val="22"/>
          <w:highlight w:val="none"/>
          <w:lang w:eastAsia="zh-CN"/>
        </w:rPr>
        <w:t>林富强</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 xml:space="preserve">                               </w:t>
      </w:r>
    </w:p>
    <w:p>
      <w:pPr>
        <w:spacing w:line="360" w:lineRule="auto"/>
        <w:ind w:firstLine="48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质疑联系方式：</w:t>
      </w:r>
      <w:r>
        <w:rPr>
          <w:rFonts w:hint="eastAsia" w:ascii="仿宋" w:hAnsi="仿宋" w:eastAsia="仿宋" w:cs="仿宋"/>
          <w:color w:val="auto"/>
          <w:sz w:val="22"/>
          <w:szCs w:val="22"/>
          <w:highlight w:val="none"/>
          <w:lang w:eastAsia="zh-CN"/>
        </w:rPr>
        <w:t xml:space="preserve">0577-86668887 </w:t>
      </w:r>
      <w:r>
        <w:rPr>
          <w:rFonts w:hint="eastAsia" w:ascii="仿宋" w:hAnsi="仿宋" w:eastAsia="仿宋" w:cs="仿宋"/>
          <w:color w:val="auto"/>
          <w:sz w:val="22"/>
          <w:szCs w:val="22"/>
          <w:highlight w:val="none"/>
        </w:rPr>
        <w:t xml:space="preserve">    </w:t>
      </w:r>
    </w:p>
    <w:p>
      <w:pPr>
        <w:spacing w:line="360" w:lineRule="auto"/>
        <w:ind w:firstLine="440" w:firstLineChars="200"/>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3.同级政府采购监督管理部门</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名    称：温州市财政局政府采购监管处 </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地    址：温州市鹿城区绣山路299号 </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传    真：/ </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联系人 ：项先生、蔡女士</w:t>
      </w:r>
      <w:r>
        <w:rPr>
          <w:rFonts w:hint="eastAsia" w:ascii="仿宋" w:hAnsi="仿宋" w:eastAsia="仿宋" w:cs="仿宋"/>
          <w:color w:val="auto"/>
          <w:sz w:val="22"/>
          <w:szCs w:val="22"/>
          <w:highlight w:val="none"/>
        </w:rPr>
        <w:tab/>
      </w:r>
      <w:r>
        <w:rPr>
          <w:rFonts w:hint="eastAsia" w:ascii="仿宋" w:hAnsi="仿宋" w:eastAsia="仿宋" w:cs="仿宋"/>
          <w:color w:val="auto"/>
          <w:sz w:val="22"/>
          <w:szCs w:val="22"/>
          <w:highlight w:val="none"/>
        </w:rPr>
        <w:t xml:space="preserve">                           </w:t>
      </w:r>
    </w:p>
    <w:p>
      <w:pPr>
        <w:spacing w:line="360" w:lineRule="auto"/>
        <w:ind w:firstLine="440" w:firstLineChars="200"/>
        <w:rPr>
          <w:rFonts w:hint="eastAsia" w:ascii="仿宋" w:hAnsi="仿宋" w:eastAsia="仿宋" w:cs="仿宋"/>
          <w:color w:val="auto"/>
          <w:sz w:val="24"/>
          <w:highlight w:val="none"/>
        </w:rPr>
      </w:pPr>
      <w:r>
        <w:rPr>
          <w:rFonts w:hint="eastAsia" w:ascii="仿宋" w:hAnsi="仿宋" w:eastAsia="仿宋" w:cs="仿宋"/>
          <w:color w:val="auto"/>
          <w:sz w:val="22"/>
          <w:szCs w:val="22"/>
          <w:highlight w:val="none"/>
        </w:rPr>
        <w:t>监督投诉电话：0577-88532725、88521948</w:t>
      </w:r>
      <w:r>
        <w:rPr>
          <w:rFonts w:hint="eastAsia" w:ascii="仿宋" w:hAnsi="仿宋" w:eastAsia="仿宋" w:cs="仿宋"/>
          <w:color w:val="auto"/>
          <w:sz w:val="22"/>
          <w:szCs w:val="22"/>
          <w:highlight w:val="none"/>
        </w:rPr>
        <w:tab/>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p>
    <w:p>
      <w:pPr>
        <w:numPr>
          <w:ilvl w:val="0"/>
          <w:numId w:val="2"/>
        </w:numPr>
        <w:adjustRightInd/>
        <w:spacing w:line="360" w:lineRule="auto"/>
        <w:jc w:val="center"/>
        <w:outlineLvl w:val="0"/>
        <w:rPr>
          <w:rStyle w:val="83"/>
          <w:rFonts w:hint="eastAsia" w:ascii="仿宋" w:eastAsia="仿宋" w:cs="仿宋"/>
          <w:color w:val="auto"/>
          <w:highlight w:val="none"/>
        </w:rPr>
      </w:pPr>
      <w:r>
        <w:rPr>
          <w:rFonts w:hint="eastAsia" w:ascii="仿宋" w:hAnsi="仿宋" w:eastAsia="仿宋" w:cs="仿宋"/>
          <w:b/>
          <w:color w:val="auto"/>
          <w:sz w:val="36"/>
          <w:szCs w:val="20"/>
          <w:highlight w:val="none"/>
        </w:rPr>
        <w:br w:type="page"/>
      </w:r>
      <w:bookmarkEnd w:id="8"/>
      <w:bookmarkStart w:id="14" w:name="_Toc26716"/>
      <w:r>
        <w:rPr>
          <w:rStyle w:val="83"/>
          <w:rFonts w:hint="eastAsia" w:ascii="仿宋" w:eastAsia="仿宋" w:cs="仿宋"/>
          <w:color w:val="auto"/>
          <w:highlight w:val="none"/>
        </w:rPr>
        <w:t>投标人须知</w:t>
      </w:r>
      <w:bookmarkEnd w:id="9"/>
      <w:bookmarkEnd w:id="14"/>
    </w:p>
    <w:p>
      <w:pPr>
        <w:adjustRightInd/>
        <w:spacing w:line="360" w:lineRule="auto"/>
        <w:jc w:val="center"/>
        <w:outlineLvl w:val="1"/>
        <w:rPr>
          <w:rStyle w:val="83"/>
          <w:rFonts w:hint="eastAsia" w:ascii="仿宋" w:eastAsia="仿宋" w:cs="仿宋"/>
          <w:color w:val="auto"/>
          <w:highlight w:val="none"/>
        </w:rPr>
      </w:pPr>
      <w:bookmarkStart w:id="15" w:name="_Toc3019"/>
      <w:r>
        <w:rPr>
          <w:rStyle w:val="83"/>
          <w:rFonts w:hint="eastAsia" w:ascii="仿宋" w:eastAsia="仿宋" w:cs="仿宋"/>
          <w:color w:val="auto"/>
          <w:highlight w:val="none"/>
        </w:rPr>
        <w:t>前附表</w:t>
      </w:r>
      <w:bookmarkEnd w:id="15"/>
    </w:p>
    <w:tbl>
      <w:tblPr>
        <w:tblStyle w:val="6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9"/>
        <w:gridCol w:w="1826"/>
        <w:gridCol w:w="649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1" w:hRule="atLeast"/>
          <w:tblHeader/>
          <w:jc w:val="center"/>
        </w:trPr>
        <w:tc>
          <w:tcPr>
            <w:tcW w:w="779" w:type="dxa"/>
            <w:noWrap w:val="0"/>
            <w:vAlign w:val="center"/>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1826" w:type="dxa"/>
            <w:noWrap w:val="0"/>
            <w:vAlign w:val="center"/>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项   目</w:t>
            </w:r>
          </w:p>
        </w:tc>
        <w:tc>
          <w:tcPr>
            <w:tcW w:w="6499" w:type="dxa"/>
            <w:noWrap w:val="0"/>
            <w:vAlign w:val="center"/>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6499" w:type="dxa"/>
            <w:noWrap w:val="0"/>
            <w:vAlign w:val="center"/>
          </w:tcPr>
          <w:p>
            <w:pPr>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详见第一部分“招标公告”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合同履行地点</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详见第一部分“招标公告”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详见第一部分“招标公告”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采购方式</w:t>
            </w:r>
          </w:p>
        </w:tc>
        <w:tc>
          <w:tcPr>
            <w:tcW w:w="6499" w:type="dxa"/>
            <w:noWrap w:val="0"/>
            <w:vAlign w:val="center"/>
          </w:tcPr>
          <w:p>
            <w:pPr>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采购需求</w:t>
            </w:r>
          </w:p>
        </w:tc>
        <w:tc>
          <w:tcPr>
            <w:tcW w:w="6499" w:type="dxa"/>
            <w:noWrap w:val="0"/>
            <w:vAlign w:val="center"/>
          </w:tcPr>
          <w:p>
            <w:pPr>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详见第一部分“招标公告”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合同履约期限</w:t>
            </w:r>
          </w:p>
        </w:tc>
        <w:tc>
          <w:tcPr>
            <w:tcW w:w="6499" w:type="dxa"/>
            <w:noWrap w:val="0"/>
            <w:vAlign w:val="center"/>
          </w:tcPr>
          <w:p>
            <w:pPr>
              <w:jc w:val="left"/>
              <w:rPr>
                <w:rFonts w:hint="eastAsia" w:ascii="仿宋" w:hAnsi="仿宋" w:eastAsia="仿宋" w:cs="仿宋"/>
                <w:color w:val="auto"/>
                <w:kern w:val="0"/>
                <w:sz w:val="24"/>
                <w:highlight w:val="none"/>
              </w:rPr>
            </w:pPr>
            <w:r>
              <w:rPr>
                <w:rFonts w:hint="eastAsia" w:ascii="仿宋" w:hAnsi="仿宋" w:eastAsia="仿宋" w:cs="仿宋"/>
                <w:bCs/>
                <w:color w:val="auto"/>
                <w:kern w:val="0"/>
                <w:sz w:val="24"/>
                <w:highlight w:val="none"/>
              </w:rPr>
              <w:t>详见第一部分“招标公告”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资金来源</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财政资金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投标保证金</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履约保证金</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详见第三部分“采购需求”商务要求。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26" w:type="dxa"/>
            <w:noWrap w:val="0"/>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u w:val="single"/>
              </w:rPr>
              <w:t>▲最高限价</w:t>
            </w:r>
          </w:p>
        </w:tc>
        <w:tc>
          <w:tcPr>
            <w:tcW w:w="6499" w:type="dxa"/>
            <w:noWrap w:val="0"/>
            <w:vAlign w:val="center"/>
          </w:tcPr>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详见第一部分“招标公告”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7"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26" w:type="dxa"/>
            <w:noWrap w:val="0"/>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开标前答疑会或现场踏勘</w:t>
            </w:r>
          </w:p>
        </w:tc>
        <w:tc>
          <w:tcPr>
            <w:tcW w:w="6499" w:type="dxa"/>
            <w:noWrap w:val="0"/>
            <w:vAlign w:val="center"/>
          </w:tcPr>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 xml:space="preserve"> 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26" w:type="dxa"/>
            <w:noWrap w:val="0"/>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分包与转包</w:t>
            </w:r>
          </w:p>
        </w:tc>
        <w:tc>
          <w:tcPr>
            <w:tcW w:w="6499" w:type="dxa"/>
            <w:noWrap w:val="0"/>
            <w:vAlign w:val="center"/>
          </w:tcPr>
          <w:p>
            <w:pPr>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（1）分包：</w:t>
            </w:r>
          </w:p>
          <w:p>
            <w:pPr>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sym w:font="Wingdings" w:char="00FE"/>
            </w:r>
            <w:r>
              <w:rPr>
                <w:rFonts w:hint="eastAsia" w:ascii="仿宋" w:hAnsi="仿宋" w:eastAsia="仿宋" w:cs="仿宋"/>
                <w:bCs/>
                <w:color w:val="auto"/>
                <w:kern w:val="0"/>
                <w:sz w:val="24"/>
                <w:highlight w:val="none"/>
              </w:rPr>
              <w:t xml:space="preserve"> 不同意分包。</w:t>
            </w:r>
          </w:p>
          <w:p>
            <w:pPr>
              <w:numPr>
                <w:ilvl w:val="0"/>
                <w:numId w:val="3"/>
              </w:numPr>
              <w:jc w:val="left"/>
              <w:rPr>
                <w:rFonts w:hint="eastAsia" w:ascii="仿宋" w:hAnsi="仿宋" w:eastAsia="仿宋" w:cs="仿宋"/>
                <w:color w:val="auto"/>
                <w:highlight w:val="none"/>
              </w:rPr>
            </w:pPr>
            <w:r>
              <w:rPr>
                <w:rFonts w:hint="eastAsia" w:ascii="仿宋" w:hAnsi="仿宋" w:eastAsia="仿宋" w:cs="仿宋"/>
                <w:bCs/>
                <w:color w:val="auto"/>
                <w:kern w:val="0"/>
                <w:sz w:val="24"/>
                <w:highlight w:val="none"/>
              </w:rPr>
              <w:t>转包：本项目不允许转包。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6"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26" w:type="dxa"/>
            <w:noWrap w:val="0"/>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项目属性与核心产品</w:t>
            </w:r>
          </w:p>
        </w:tc>
        <w:tc>
          <w:tcPr>
            <w:tcW w:w="6499" w:type="dxa"/>
            <w:noWrap w:val="0"/>
            <w:vAlign w:val="center"/>
          </w:tcPr>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服务类。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14</w:t>
            </w:r>
          </w:p>
        </w:tc>
        <w:tc>
          <w:tcPr>
            <w:tcW w:w="1826" w:type="dxa"/>
            <w:noWrap w:val="0"/>
            <w:vAlign w:val="center"/>
          </w:tcPr>
          <w:p>
            <w:pPr>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是否允许采购进口产品</w:t>
            </w:r>
          </w:p>
        </w:tc>
        <w:tc>
          <w:tcPr>
            <w:tcW w:w="6499" w:type="dxa"/>
            <w:noWrap w:val="0"/>
            <w:vAlign w:val="center"/>
          </w:tcPr>
          <w:p>
            <w:pPr>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sym w:font="Wingdings" w:char="00FE"/>
            </w:r>
            <w:r>
              <w:rPr>
                <w:rFonts w:hint="eastAsia" w:ascii="仿宋" w:hAnsi="仿宋" w:eastAsia="仿宋" w:cs="仿宋"/>
                <w:bCs/>
                <w:color w:val="auto"/>
                <w:kern w:val="0"/>
                <w:sz w:val="24"/>
                <w:highlight w:val="none"/>
              </w:rPr>
              <w:t>本项目不允许采购进口产品。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15</w:t>
            </w:r>
          </w:p>
        </w:tc>
        <w:tc>
          <w:tcPr>
            <w:tcW w:w="1826" w:type="dxa"/>
            <w:noWrap w:val="0"/>
            <w:vAlign w:val="center"/>
          </w:tcPr>
          <w:p>
            <w:pPr>
              <w:jc w:val="center"/>
              <w:rPr>
                <w:rFonts w:hint="eastAsia" w:ascii="仿宋" w:hAnsi="仿宋" w:eastAsia="仿宋" w:cs="仿宋"/>
                <w:bCs/>
                <w:snapToGrid w:val="0"/>
                <w:color w:val="auto"/>
                <w:kern w:val="0"/>
                <w:sz w:val="24"/>
                <w:highlight w:val="none"/>
              </w:rPr>
            </w:pPr>
            <w:r>
              <w:rPr>
                <w:rFonts w:hint="eastAsia" w:ascii="仿宋" w:hAnsi="仿宋" w:eastAsia="仿宋" w:cs="仿宋"/>
                <w:bCs/>
                <w:color w:val="auto"/>
                <w:sz w:val="24"/>
                <w:highlight w:val="none"/>
              </w:rPr>
              <w:t>样品提供</w:t>
            </w:r>
          </w:p>
        </w:tc>
        <w:tc>
          <w:tcPr>
            <w:tcW w:w="6499" w:type="dxa"/>
            <w:noWrap w:val="0"/>
            <w:vAlign w:val="center"/>
          </w:tcPr>
          <w:p>
            <w:pPr>
              <w:jc w:val="left"/>
              <w:rPr>
                <w:rFonts w:hint="eastAsia" w:ascii="仿宋" w:hAnsi="仿宋" w:eastAsia="仿宋" w:cs="仿宋"/>
                <w:snapToGrid w:val="0"/>
                <w:color w:val="auto"/>
                <w:kern w:val="0"/>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 xml:space="preserve"> </w:t>
            </w:r>
            <w:r>
              <w:rPr>
                <w:rFonts w:hint="eastAsia" w:ascii="仿宋" w:hAnsi="仿宋" w:eastAsia="仿宋" w:cs="仿宋"/>
                <w:color w:val="auto"/>
                <w:sz w:val="24"/>
                <w:highlight w:val="none"/>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5"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16</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方案讲解演示</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 xml:space="preserve"> </w:t>
            </w:r>
            <w:r>
              <w:rPr>
                <w:rFonts w:hint="eastAsia" w:ascii="仿宋" w:hAnsi="仿宋" w:eastAsia="仿宋" w:cs="仿宋"/>
                <w:color w:val="auto"/>
                <w:sz w:val="24"/>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17</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投标文件的编制</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详见第二部分“</w:t>
            </w:r>
            <w:r>
              <w:rPr>
                <w:rFonts w:hint="eastAsia" w:ascii="仿宋" w:hAnsi="仿宋" w:eastAsia="仿宋" w:cs="仿宋"/>
                <w:color w:val="auto"/>
                <w:sz w:val="24"/>
                <w:highlight w:val="none"/>
                <w:lang w:val="zh-CN"/>
              </w:rPr>
              <w:t>投标人须知</w:t>
            </w:r>
            <w:r>
              <w:rPr>
                <w:rFonts w:hint="eastAsia" w:ascii="仿宋" w:hAnsi="仿宋" w:eastAsia="仿宋" w:cs="仿宋"/>
                <w:bCs/>
                <w:color w:val="auto"/>
                <w:kern w:val="0"/>
                <w:sz w:val="24"/>
                <w:highlight w:val="none"/>
              </w:rPr>
              <w:t>”</w:t>
            </w:r>
            <w:r>
              <w:rPr>
                <w:rFonts w:hint="eastAsia" w:ascii="仿宋" w:hAnsi="仿宋" w:eastAsia="仿宋" w:cs="仿宋"/>
                <w:color w:val="auto"/>
                <w:sz w:val="24"/>
                <w:highlight w:val="none"/>
                <w:lang w:val="zh-CN"/>
              </w:rPr>
              <w:t>第</w:t>
            </w:r>
            <w:r>
              <w:rPr>
                <w:rFonts w:hint="eastAsia" w:ascii="仿宋" w:hAnsi="仿宋" w:eastAsia="仿宋" w:cs="仿宋"/>
                <w:color w:val="auto"/>
                <w:sz w:val="24"/>
                <w:highlight w:val="none"/>
              </w:rPr>
              <w:t>12</w:t>
            </w:r>
            <w:r>
              <w:rPr>
                <w:rFonts w:hint="eastAsia" w:ascii="仿宋" w:hAnsi="仿宋" w:eastAsia="仿宋" w:cs="仿宋"/>
                <w:color w:val="auto"/>
                <w:sz w:val="24"/>
                <w:highlight w:val="none"/>
                <w:lang w:val="zh-CN"/>
              </w:rPr>
              <w:t>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18</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投标文件的形式</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电子投标文件（包括“电子加密投标文件”和“备份投标文件”，在投标文件编制完成后同时生成）；</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（1）“电子加密投标文件”是指通过“政采云电子交易客户端”完成投标文件编制后生成并加密的数据电文形式的投标文件。</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19</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投标文件的传输递交</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详见第二部分“投标人须知”第15款</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注：上传、递交过程中如有疑问，可咨询“政采云”客服热线：400-881-7190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20</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提交投标文件截止时间、开标时间和地点</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详见第一部分“招标公告”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16"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评标委员会</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的组建</w:t>
            </w:r>
          </w:p>
        </w:tc>
        <w:tc>
          <w:tcPr>
            <w:tcW w:w="6499" w:type="dxa"/>
            <w:noWrap w:val="0"/>
            <w:vAlign w:val="center"/>
          </w:tcPr>
          <w:p>
            <w:pPr>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评标委员会由采购人代表和评审专家组成，成员人数应当为 5 人以上单数，其中评审专家不得少于成员总数的三分之二。</w:t>
            </w:r>
          </w:p>
          <w:p>
            <w:pPr>
              <w:ind w:firstLine="240" w:firstLineChars="100"/>
              <w:jc w:val="left"/>
              <w:rPr>
                <w:rFonts w:hint="eastAsia" w:ascii="仿宋" w:hAnsi="仿宋" w:eastAsia="仿宋" w:cs="仿宋"/>
                <w:color w:val="auto"/>
                <w:highlight w:val="none"/>
              </w:rPr>
            </w:pPr>
            <w:r>
              <w:rPr>
                <w:rFonts w:hint="eastAsia" w:ascii="仿宋" w:hAnsi="仿宋" w:eastAsia="仿宋" w:cs="仿宋"/>
                <w:i/>
                <w:iCs/>
                <w:color w:val="auto"/>
                <w:sz w:val="24"/>
                <w:highlight w:val="none"/>
              </w:rPr>
              <w:t>（注：采购项目符合下列情形之一的，评标委员会成员人数应当为7人以上单数：（一）采购预算金额在 1000 万元以上；（二）技术复杂；（三）社会影响较大。）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22</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评标办法</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详见第四部分“评标办法前附表”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23</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中标结果公告</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购结果经采购人确认后2个工作日内，采购代理机构将对外发布中标成交公告和中标通知书。采购代理机构按相关政府采购规定将中标结果发布在政府采购网上进行公示，公示期为1个工作日。采购人、采购代理机构及评标委员会对未中标的投标人不作落标原因解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24</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合同签订时间</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中标通知书发出后30日内。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25</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投标有效期</w:t>
            </w:r>
          </w:p>
        </w:tc>
        <w:tc>
          <w:tcPr>
            <w:tcW w:w="6499" w:type="dxa"/>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szCs w:val="20"/>
                <w:highlight w:val="none"/>
              </w:rPr>
              <w:t>投标有效期为从提交投标文件的截止之日起</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u w:val="single"/>
                <w:lang w:val="en-US" w:eastAsia="zh-CN"/>
              </w:rPr>
              <w:t>120</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3"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26</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质疑</w:t>
            </w:r>
          </w:p>
        </w:tc>
        <w:tc>
          <w:tcPr>
            <w:tcW w:w="6499" w:type="dxa"/>
            <w:noWrap w:val="0"/>
            <w:vAlign w:val="center"/>
          </w:tcPr>
          <w:p>
            <w:pPr>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根据《政府采购质疑和投诉办法》第十条的规定，供应商认为采购文件、采购过程、中标或者成交结果使自己的权益受到损害的，可以在知道或者应知其权益受到损害之日起 7 个工作日内，以书面形式向采购人、采购代理机构提出质疑。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5"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27</w:t>
            </w:r>
          </w:p>
        </w:tc>
        <w:tc>
          <w:tcPr>
            <w:tcW w:w="1826"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投诉</w:t>
            </w:r>
          </w:p>
        </w:tc>
        <w:tc>
          <w:tcPr>
            <w:tcW w:w="6499" w:type="dxa"/>
            <w:noWrap w:val="0"/>
            <w:vAlign w:val="center"/>
          </w:tcPr>
          <w:p>
            <w:pPr>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根据《政府采购质疑和投诉办法》第十七条的规定，质疑供应商对采购人、采购代理机构的答复不满意，或者采购人、采购代理机构未在规定时间内作出答复的，可以在答复期满后 15 个工作日内向本级财政部门提起投诉。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28</w:t>
            </w:r>
          </w:p>
        </w:tc>
        <w:tc>
          <w:tcPr>
            <w:tcW w:w="1826" w:type="dxa"/>
            <w:noWrap w:val="0"/>
            <w:vAlign w:val="center"/>
          </w:tcPr>
          <w:p>
            <w:pPr>
              <w:jc w:val="center"/>
              <w:rPr>
                <w:rFonts w:hint="eastAsia" w:ascii="仿宋" w:hAnsi="仿宋" w:eastAsia="仿宋" w:cs="仿宋"/>
                <w:bCs/>
                <w:color w:val="auto"/>
                <w:kern w:val="0"/>
                <w:sz w:val="24"/>
                <w:highlight w:val="none"/>
              </w:rPr>
            </w:pPr>
            <w:r>
              <w:rPr>
                <w:rFonts w:hint="eastAsia" w:ascii="仿宋" w:hAnsi="仿宋" w:eastAsia="仿宋" w:cs="仿宋"/>
                <w:bCs/>
                <w:color w:val="auto"/>
                <w:sz w:val="24"/>
                <w:highlight w:val="none"/>
                <w:u w:val="thick"/>
              </w:rPr>
              <w:t>▲</w:t>
            </w:r>
            <w:r>
              <w:rPr>
                <w:rFonts w:hint="eastAsia" w:ascii="仿宋" w:hAnsi="仿宋" w:eastAsia="仿宋" w:cs="仿宋"/>
                <w:b/>
                <w:color w:val="auto"/>
                <w:sz w:val="24"/>
                <w:highlight w:val="none"/>
                <w:u w:val="thick"/>
              </w:rPr>
              <w:t>符合性审查、无效标条款</w:t>
            </w:r>
          </w:p>
        </w:tc>
        <w:tc>
          <w:tcPr>
            <w:tcW w:w="6499" w:type="dxa"/>
            <w:noWrap w:val="0"/>
            <w:vAlign w:val="center"/>
          </w:tcPr>
          <w:p>
            <w:pPr>
              <w:pStyle w:val="551"/>
              <w:snapToGrid/>
              <w:spacing w:line="240" w:lineRule="auto"/>
              <w:ind w:firstLine="0"/>
              <w:rPr>
                <w:rFonts w:hint="eastAsia" w:ascii="仿宋" w:hAnsi="仿宋" w:eastAsia="仿宋" w:cs="仿宋"/>
                <w:bCs/>
                <w:snapToGrid w:val="0"/>
                <w:color w:val="auto"/>
                <w:szCs w:val="24"/>
                <w:highlight w:val="none"/>
              </w:rPr>
            </w:pPr>
            <w:r>
              <w:rPr>
                <w:rFonts w:hint="eastAsia" w:ascii="仿宋" w:hAnsi="仿宋" w:eastAsia="仿宋" w:cs="仿宋"/>
                <w:bCs/>
                <w:snapToGrid w:val="0"/>
                <w:color w:val="auto"/>
                <w:szCs w:val="24"/>
                <w:highlight w:val="none"/>
              </w:rPr>
              <w:t>详见招标文件“第四部分 评标办法”2.2款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29</w:t>
            </w:r>
          </w:p>
        </w:tc>
        <w:tc>
          <w:tcPr>
            <w:tcW w:w="1826" w:type="dxa"/>
            <w:noWrap w:val="0"/>
            <w:vAlign w:val="center"/>
          </w:tcPr>
          <w:p>
            <w:pPr>
              <w:jc w:val="center"/>
              <w:rPr>
                <w:rFonts w:hint="eastAsia" w:ascii="仿宋" w:hAnsi="仿宋" w:eastAsia="仿宋" w:cs="仿宋"/>
                <w:b/>
                <w:bCs/>
                <w:color w:val="auto"/>
                <w:kern w:val="0"/>
                <w:sz w:val="24"/>
                <w:highlight w:val="none"/>
              </w:rPr>
            </w:pPr>
            <w:r>
              <w:rPr>
                <w:rFonts w:hint="eastAsia" w:ascii="仿宋" w:hAnsi="仿宋" w:eastAsia="仿宋" w:cs="仿宋"/>
                <w:color w:val="auto"/>
                <w:sz w:val="24"/>
                <w:highlight w:val="none"/>
              </w:rPr>
              <w:t>供应商信用信息查询</w:t>
            </w:r>
          </w:p>
        </w:tc>
        <w:tc>
          <w:tcPr>
            <w:tcW w:w="6499" w:type="dxa"/>
            <w:noWrap w:val="0"/>
            <w:vAlign w:val="center"/>
          </w:tcPr>
          <w:p>
            <w:pPr>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根据《关于在政府采购活动中查询及使用信用记录有关问题的通知》财库[2016]125号的规定：</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1）采购人或采购代理机构将对本项目投标人的信用信息进行查询。</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2）查询渠道为信用中国网站（www.creditchina.gov.cn）、中国政府采购网（www.ccgp.gov.cn）。</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3）信用信息截止时点为从本项目投标截止日往前追溯三年，期间被列入失信被执行人名单、重大税收违法案件当事人名单、政府采购严重违法失信行为记录名单等投标人信用信息均将用于本项目。</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4）信用信息查询记录和证据以网页截图等方式留存。</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5）信用信息将作为评审和确定成交投标人的依据。</w:t>
            </w:r>
          </w:p>
          <w:p>
            <w:pPr>
              <w:pStyle w:val="551"/>
              <w:snapToGrid/>
              <w:spacing w:line="240" w:lineRule="auto"/>
              <w:ind w:firstLine="0"/>
              <w:rPr>
                <w:rFonts w:hint="eastAsia" w:ascii="仿宋" w:hAnsi="仿宋" w:eastAsia="仿宋" w:cs="仿宋"/>
                <w:bCs/>
                <w:color w:val="auto"/>
                <w:szCs w:val="24"/>
                <w:highlight w:val="none"/>
              </w:rPr>
            </w:pPr>
            <w:r>
              <w:rPr>
                <w:rFonts w:hint="eastAsia" w:ascii="仿宋" w:hAnsi="仿宋" w:eastAsia="仿宋" w:cs="仿宋"/>
                <w:color w:val="auto"/>
                <w:szCs w:val="24"/>
                <w:highlight w:val="none"/>
              </w:rPr>
              <w:t>6）联合体成员存在不良信用记录的，视同联合体存在不良信用记录。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30</w:t>
            </w:r>
          </w:p>
        </w:tc>
        <w:tc>
          <w:tcPr>
            <w:tcW w:w="1826" w:type="dxa"/>
            <w:noWrap w:val="0"/>
            <w:vAlign w:val="center"/>
          </w:tcPr>
          <w:p>
            <w:pPr>
              <w:jc w:val="center"/>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本项目扶持中小企业（监狱企业、残疾人福利性单位）有关政策</w:t>
            </w:r>
          </w:p>
        </w:tc>
        <w:tc>
          <w:tcPr>
            <w:tcW w:w="6499" w:type="dxa"/>
            <w:noWrap w:val="0"/>
            <w:vAlign w:val="center"/>
          </w:tcPr>
          <w:p>
            <w:pPr>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1、扶持中小企业（监狱企业、残疾人福利性单位）： </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（1）根据工信部等部委发布的《关于印发中小企业划型标准规定的通知》（工信部联企业〔2011〕30</w:t>
            </w:r>
            <w:r>
              <w:rPr>
                <w:rFonts w:hint="eastAsia" w:ascii="仿宋" w:hAnsi="仿宋" w:eastAsia="仿宋" w:cs="仿宋"/>
                <w:color w:val="auto"/>
                <w:sz w:val="24"/>
                <w:highlight w:val="none"/>
                <w:shd w:val="clear" w:color="auto" w:fill="auto"/>
              </w:rPr>
              <w:t>0号），</w:t>
            </w:r>
            <w:r>
              <w:rPr>
                <w:rFonts w:hint="eastAsia" w:ascii="仿宋" w:hAnsi="仿宋" w:eastAsia="仿宋" w:cs="仿宋"/>
                <w:color w:val="auto"/>
                <w:sz w:val="24"/>
                <w:highlight w:val="none"/>
                <w:shd w:val="clear" w:color="auto" w:fill="auto"/>
                <w:lang w:val="en-US" w:eastAsia="zh-CN"/>
              </w:rPr>
              <w:t>其中：</w:t>
            </w:r>
            <w:r>
              <w:rPr>
                <w:rFonts w:hint="eastAsia" w:ascii="仿宋" w:hAnsi="仿宋" w:eastAsia="仿宋" w:cs="仿宋"/>
                <w:color w:val="auto"/>
                <w:sz w:val="24"/>
                <w:highlight w:val="none"/>
                <w:u w:val="single"/>
                <w:shd w:val="clear" w:color="auto" w:fill="auto"/>
                <w:lang w:val="en-US" w:eastAsia="zh-CN"/>
              </w:rPr>
              <w:t>标项一、二、三、四</w:t>
            </w:r>
            <w:r>
              <w:rPr>
                <w:rFonts w:hint="eastAsia" w:ascii="仿宋" w:hAnsi="仿宋" w:eastAsia="仿宋" w:cs="仿宋"/>
                <w:color w:val="auto"/>
                <w:sz w:val="24"/>
                <w:highlight w:val="none"/>
                <w:u w:val="single"/>
                <w:shd w:val="clear" w:color="auto" w:fill="auto"/>
              </w:rPr>
              <w:t>属于</w:t>
            </w:r>
            <w:r>
              <w:rPr>
                <w:rFonts w:hint="eastAsia" w:ascii="仿宋" w:hAnsi="仿宋" w:eastAsia="仿宋" w:cs="仿宋"/>
                <w:i/>
                <w:iCs/>
                <w:color w:val="auto"/>
                <w:sz w:val="24"/>
                <w:highlight w:val="none"/>
                <w:u w:val="single"/>
                <w:shd w:val="clear" w:color="auto" w:fill="auto"/>
              </w:rPr>
              <w:sym w:font="Wingdings" w:char="00FE"/>
            </w:r>
            <w:r>
              <w:rPr>
                <w:rFonts w:hint="eastAsia" w:ascii="仿宋" w:hAnsi="仿宋" w:eastAsia="仿宋" w:cs="仿宋"/>
                <w:i/>
                <w:iCs/>
                <w:color w:val="auto"/>
                <w:sz w:val="24"/>
                <w:highlight w:val="none"/>
                <w:u w:val="single"/>
                <w:shd w:val="clear" w:color="auto" w:fill="auto"/>
              </w:rPr>
              <w:t>信息传输业（包括电信、互联网和相关服务）</w:t>
            </w:r>
            <w:r>
              <w:rPr>
                <w:rFonts w:hint="eastAsia" w:ascii="仿宋" w:hAnsi="仿宋" w:eastAsia="仿宋" w:cs="仿宋"/>
                <w:i/>
                <w:iCs/>
                <w:color w:val="auto"/>
                <w:sz w:val="24"/>
                <w:highlight w:val="none"/>
                <w:u w:val="single"/>
                <w:shd w:val="clear" w:color="auto" w:fill="auto"/>
                <w:lang w:eastAsia="zh-CN"/>
              </w:rPr>
              <w:t>；</w:t>
            </w:r>
            <w:r>
              <w:rPr>
                <w:rFonts w:hint="eastAsia" w:ascii="仿宋" w:hAnsi="仿宋" w:eastAsia="仿宋" w:cs="仿宋"/>
                <w:color w:val="auto"/>
                <w:sz w:val="24"/>
                <w:highlight w:val="none"/>
                <w:u w:val="single"/>
                <w:shd w:val="clear" w:color="auto" w:fill="auto"/>
                <w:lang w:val="en-US" w:eastAsia="zh-CN"/>
              </w:rPr>
              <w:t>标项五</w:t>
            </w:r>
            <w:r>
              <w:rPr>
                <w:rFonts w:hint="eastAsia" w:ascii="仿宋" w:hAnsi="仿宋" w:eastAsia="仿宋" w:cs="仿宋"/>
                <w:color w:val="auto"/>
                <w:sz w:val="24"/>
                <w:highlight w:val="none"/>
                <w:u w:val="single"/>
                <w:shd w:val="clear" w:color="auto" w:fill="auto"/>
              </w:rPr>
              <w:t>属于</w:t>
            </w:r>
            <w:r>
              <w:rPr>
                <w:rFonts w:hint="eastAsia" w:ascii="仿宋" w:hAnsi="仿宋" w:eastAsia="仿宋" w:cs="仿宋"/>
                <w:i/>
                <w:iCs/>
                <w:color w:val="auto"/>
                <w:sz w:val="24"/>
                <w:highlight w:val="none"/>
                <w:u w:val="single"/>
                <w:shd w:val="clear" w:color="auto" w:fill="auto"/>
              </w:rPr>
              <w:sym w:font="Wingdings" w:char="00FE"/>
            </w:r>
            <w:r>
              <w:rPr>
                <w:rFonts w:hint="eastAsia" w:ascii="仿宋" w:hAnsi="仿宋" w:eastAsia="仿宋" w:cs="仿宋"/>
                <w:i/>
                <w:iCs/>
                <w:color w:val="auto"/>
                <w:sz w:val="24"/>
                <w:highlight w:val="none"/>
                <w:u w:val="single"/>
                <w:shd w:val="clear" w:color="auto" w:fill="auto"/>
                <w:lang w:val="en-US" w:eastAsia="zh-CN"/>
              </w:rPr>
              <w:t>其他未列明行业</w:t>
            </w:r>
            <w:r>
              <w:rPr>
                <w:rFonts w:hint="eastAsia" w:ascii="仿宋" w:hAnsi="仿宋" w:eastAsia="仿宋" w:cs="仿宋"/>
                <w:i/>
                <w:iCs/>
                <w:color w:val="auto"/>
                <w:sz w:val="24"/>
                <w:highlight w:val="none"/>
                <w:u w:val="single"/>
                <w:shd w:val="clear" w:color="auto" w:fill="auto"/>
              </w:rPr>
              <w:t xml:space="preserve"> </w:t>
            </w:r>
            <w:r>
              <w:rPr>
                <w:rFonts w:hint="eastAsia" w:ascii="仿宋" w:hAnsi="仿宋" w:eastAsia="仿宋" w:cs="仿宋"/>
                <w:color w:val="auto"/>
                <w:sz w:val="24"/>
                <w:highlight w:val="none"/>
                <w:shd w:val="clear" w:color="auto" w:fill="auto"/>
              </w:rPr>
              <w:t>行业</w:t>
            </w:r>
            <w:r>
              <w:rPr>
                <w:rFonts w:hint="eastAsia" w:ascii="仿宋" w:hAnsi="仿宋" w:eastAsia="仿宋" w:cs="仿宋"/>
                <w:color w:val="auto"/>
                <w:sz w:val="24"/>
                <w:highlight w:val="none"/>
              </w:rPr>
              <w:t>。</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2、根据财政部发布的《政府采购促进中小企业发展管理办法》财库（2020）46号的相关规定：</w:t>
            </w:r>
          </w:p>
          <w:p>
            <w:pPr>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2.1.是否为预留份额项目：</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本项目为预留份额项目，专门面向中小企业采购。</w:t>
            </w:r>
          </w:p>
          <w:p>
            <w:pPr>
              <w:ind w:left="240" w:hanging="240" w:hangingChars="1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本项目为非预留份额项目、非专门面向中小企业的项目</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在评审时对小型和微型企业报价给予</w:t>
            </w:r>
            <w:r>
              <w:rPr>
                <w:rFonts w:hint="eastAsia" w:ascii="仿宋" w:hAnsi="仿宋" w:eastAsia="仿宋" w:cs="仿宋"/>
                <w:i/>
                <w:iCs/>
                <w:color w:val="auto"/>
                <w:sz w:val="24"/>
                <w:highlight w:val="none"/>
                <w:u w:val="single"/>
              </w:rPr>
              <w:t>10%</w:t>
            </w:r>
            <w:r>
              <w:rPr>
                <w:rFonts w:hint="eastAsia" w:ascii="仿宋" w:hAnsi="仿宋" w:eastAsia="仿宋" w:cs="仿宋"/>
                <w:i/>
                <w:iCs/>
                <w:color w:val="auto"/>
                <w:sz w:val="24"/>
                <w:highlight w:val="none"/>
              </w:rPr>
              <w:t>（工程项目为5%）</w:t>
            </w:r>
            <w:r>
              <w:rPr>
                <w:rFonts w:hint="eastAsia" w:ascii="仿宋" w:hAnsi="仿宋" w:eastAsia="仿宋" w:cs="仿宋"/>
                <w:color w:val="auto"/>
                <w:sz w:val="24"/>
                <w:highlight w:val="none"/>
              </w:rPr>
              <w:t>的扣除，用扣除后的价格参加评审。</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2.2组成联合体或者接受分包的小微企业与联合体内其他企业、分包企业之间存在直接控 股、管理关系的，不享受价格扣除优惠政策。</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2.3价格扣除比例或者价格分加分比例对小型企业和微型企业同等对待，不作区分。</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2.5接受分包的项目，享受扶持政策获得政府采购合同的，小微企业不得将合同分包给大中型企业，中型企业不得将合同分包给大型企业。</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根据财库〔2017〕141号的相关规定，在政府采购活动中，残疾人福利性单位视同小型、微型企业，享受评审中价格扣除政策。属于享受政府采购支持政策的残疾人福利性单位，应满足财库〔2017〕141号文件第一条的规定，并在响应文件中提供残疾人福利性单位声明函。</w:t>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根据财库〔2014〕68号的相关规定，在政府采购活动中，监狱企业视同小型、微型企业，享受评审中价格扣除政策，并在响应文件中提供由省级以上监狱管理局、戒毒管理局（含新疆生产建设兵团）出具的属于监狱企业的证明文件。</w:t>
            </w:r>
          </w:p>
          <w:p>
            <w:pPr>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(注：未提供以上材料的，均不给予价格扣除，以上优惠政策只享受一次）。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43"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31</w:t>
            </w:r>
          </w:p>
        </w:tc>
        <w:tc>
          <w:tcPr>
            <w:tcW w:w="1826" w:type="dxa"/>
            <w:noWrap w:val="0"/>
            <w:vAlign w:val="center"/>
          </w:tcPr>
          <w:p>
            <w:pPr>
              <w:jc w:val="center"/>
              <w:rPr>
                <w:rFonts w:hint="eastAsia" w:ascii="仿宋" w:hAnsi="仿宋" w:eastAsia="仿宋" w:cs="仿宋"/>
                <w:bCs/>
                <w:color w:val="auto"/>
                <w:kern w:val="0"/>
                <w:sz w:val="24"/>
                <w:highlight w:val="none"/>
              </w:rPr>
            </w:pPr>
            <w:r>
              <w:rPr>
                <w:rFonts w:hint="eastAsia" w:ascii="仿宋" w:hAnsi="仿宋" w:eastAsia="仿宋" w:cs="仿宋"/>
                <w:b/>
                <w:color w:val="auto"/>
                <w:sz w:val="24"/>
                <w:highlight w:val="none"/>
              </w:rPr>
              <w:t>节能产品、环境标志产品</w:t>
            </w:r>
          </w:p>
        </w:tc>
        <w:tc>
          <w:tcPr>
            <w:tcW w:w="6499" w:type="dxa"/>
            <w:noWrap w:val="0"/>
            <w:vAlign w:val="center"/>
          </w:tcPr>
          <w:p>
            <w:pPr>
              <w:pStyle w:val="3"/>
              <w:spacing w:line="240" w:lineRule="auto"/>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58"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32</w:t>
            </w:r>
          </w:p>
        </w:tc>
        <w:tc>
          <w:tcPr>
            <w:tcW w:w="1826" w:type="dxa"/>
            <w:noWrap w:val="0"/>
            <w:vAlign w:val="center"/>
          </w:tcPr>
          <w:p>
            <w:pPr>
              <w:jc w:val="center"/>
              <w:rPr>
                <w:rFonts w:hint="eastAsia" w:ascii="仿宋" w:hAnsi="仿宋" w:eastAsia="仿宋" w:cs="仿宋"/>
                <w:snapToGrid w:val="0"/>
                <w:color w:val="auto"/>
                <w:sz w:val="24"/>
                <w:highlight w:val="none"/>
              </w:rPr>
            </w:pPr>
            <w:r>
              <w:rPr>
                <w:rFonts w:hint="eastAsia" w:ascii="仿宋" w:hAnsi="仿宋" w:eastAsia="仿宋" w:cs="仿宋"/>
                <w:snapToGrid w:val="0"/>
                <w:color w:val="auto"/>
                <w:sz w:val="24"/>
                <w:highlight w:val="none"/>
              </w:rPr>
              <w:t>投标报价其他要求</w:t>
            </w:r>
          </w:p>
        </w:tc>
        <w:tc>
          <w:tcPr>
            <w:tcW w:w="6499" w:type="dxa"/>
            <w:noWrap w:val="0"/>
            <w:vAlign w:val="center"/>
          </w:tcPr>
          <w:p>
            <w:pPr>
              <w:snapToGrid w:val="0"/>
              <w:jc w:val="left"/>
              <w:rPr>
                <w:rFonts w:hint="eastAsia" w:ascii="仿宋" w:hAnsi="仿宋" w:eastAsia="仿宋" w:cs="仿宋"/>
                <w:snapToGrid w:val="0"/>
                <w:color w:val="auto"/>
                <w:sz w:val="24"/>
                <w:highlight w:val="none"/>
                <w:lang w:val="zh-CN"/>
              </w:rPr>
            </w:pPr>
            <w:r>
              <w:rPr>
                <w:rFonts w:hint="eastAsia" w:ascii="仿宋" w:hAnsi="仿宋" w:eastAsia="仿宋" w:cs="仿宋"/>
                <w:snapToGrid w:val="0"/>
                <w:color w:val="auto"/>
                <w:sz w:val="24"/>
                <w:highlight w:val="none"/>
                <w:lang w:val="zh-CN"/>
              </w:rPr>
              <w:t>投标报价包含的内容：</w:t>
            </w:r>
          </w:p>
          <w:p>
            <w:pPr>
              <w:snapToGrid w:val="0"/>
              <w:jc w:val="left"/>
              <w:rPr>
                <w:rFonts w:hint="eastAsia" w:ascii="仿宋" w:hAnsi="仿宋" w:eastAsia="仿宋" w:cs="仿宋"/>
                <w:snapToGrid w:val="0"/>
                <w:color w:val="auto"/>
                <w:sz w:val="24"/>
                <w:highlight w:val="none"/>
                <w:lang w:val="zh-CN"/>
              </w:rPr>
            </w:pPr>
            <w:r>
              <w:rPr>
                <w:rFonts w:hint="eastAsia" w:ascii="仿宋" w:hAnsi="仿宋" w:eastAsia="仿宋" w:cs="仿宋"/>
                <w:snapToGrid w:val="0"/>
                <w:color w:val="auto"/>
                <w:sz w:val="24"/>
                <w:highlight w:val="none"/>
                <w:lang w:val="zh-CN"/>
              </w:rPr>
              <w:sym w:font="Wingdings" w:char="F0FE"/>
            </w:r>
            <w:r>
              <w:rPr>
                <w:rFonts w:hint="eastAsia" w:ascii="仿宋" w:hAnsi="仿宋" w:eastAsia="仿宋" w:cs="仿宋"/>
                <w:snapToGrid w:val="0"/>
                <w:color w:val="auto"/>
                <w:sz w:val="24"/>
                <w:highlight w:val="none"/>
                <w:lang w:val="zh-CN"/>
              </w:rPr>
              <w:t>采购代理服务费，收费标准：</w:t>
            </w:r>
            <w:r>
              <w:rPr>
                <w:rFonts w:hint="eastAsia" w:ascii="仿宋" w:hAnsi="仿宋" w:eastAsia="仿宋" w:cs="仿宋"/>
                <w:snapToGrid w:val="0"/>
                <w:color w:val="auto"/>
                <w:sz w:val="24"/>
                <w:highlight w:val="none"/>
                <w:u w:val="single"/>
                <w:lang w:val="zh-CN"/>
              </w:rPr>
              <w:t>本次招标，招标代理费</w:t>
            </w:r>
            <w:r>
              <w:rPr>
                <w:rFonts w:hint="eastAsia" w:ascii="仿宋" w:hAnsi="仿宋" w:eastAsia="仿宋" w:cs="仿宋"/>
                <w:snapToGrid w:val="0"/>
                <w:color w:val="auto"/>
                <w:sz w:val="24"/>
                <w:highlight w:val="none"/>
                <w:u w:val="single"/>
                <w:lang w:val="en-US" w:eastAsia="zh-CN"/>
              </w:rPr>
              <w:t>标项一： 19800元、标项二：18500元、标项三：11200元、标项四：8100元 、标项五：1200元</w:t>
            </w:r>
            <w:r>
              <w:rPr>
                <w:rFonts w:hint="eastAsia" w:ascii="仿宋" w:hAnsi="仿宋" w:eastAsia="仿宋" w:cs="仿宋"/>
                <w:snapToGrid w:val="0"/>
                <w:color w:val="auto"/>
                <w:sz w:val="24"/>
                <w:highlight w:val="none"/>
                <w:u w:val="single"/>
                <w:lang w:val="zh-CN"/>
              </w:rPr>
              <w:t>计算，由中标人在领取中标（成交）通知书之前将代理服务费用支付给招标代理机构；</w:t>
            </w:r>
          </w:p>
          <w:p>
            <w:pPr>
              <w:snapToGrid w:val="0"/>
              <w:jc w:val="left"/>
              <w:rPr>
                <w:rFonts w:hint="eastAsia" w:ascii="仿宋" w:hAnsi="仿宋" w:eastAsia="仿宋" w:cs="仿宋"/>
                <w:snapToGrid w:val="0"/>
                <w:color w:val="auto"/>
                <w:sz w:val="24"/>
                <w:highlight w:val="none"/>
              </w:rPr>
            </w:pPr>
            <w:r>
              <w:rPr>
                <w:rFonts w:hint="eastAsia" w:ascii="仿宋" w:hAnsi="仿宋" w:eastAsia="仿宋" w:cs="仿宋"/>
                <w:snapToGrid w:val="0"/>
                <w:color w:val="auto"/>
                <w:sz w:val="24"/>
                <w:highlight w:val="none"/>
                <w:lang w:val="zh-CN"/>
              </w:rPr>
              <w:sym w:font="Wingdings" w:char="F0FE"/>
            </w:r>
            <w:r>
              <w:rPr>
                <w:rFonts w:hint="eastAsia" w:ascii="仿宋" w:hAnsi="仿宋" w:eastAsia="仿宋" w:cs="仿宋"/>
                <w:snapToGrid w:val="0"/>
                <w:color w:val="auto"/>
                <w:sz w:val="24"/>
                <w:highlight w:val="none"/>
              </w:rPr>
              <w:t>政府采购</w:t>
            </w:r>
            <w:r>
              <w:rPr>
                <w:rFonts w:hint="eastAsia" w:ascii="仿宋" w:hAnsi="仿宋" w:eastAsia="仿宋" w:cs="仿宋"/>
                <w:snapToGrid w:val="0"/>
                <w:color w:val="auto"/>
                <w:sz w:val="24"/>
                <w:highlight w:val="none"/>
                <w:lang w:val="zh-CN"/>
              </w:rPr>
              <w:t>履约验收费用（包含第三方检测及评审费用）；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75" w:hRule="atLeast"/>
          <w:jc w:val="center"/>
        </w:trPr>
        <w:tc>
          <w:tcPr>
            <w:tcW w:w="779"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33</w:t>
            </w:r>
          </w:p>
        </w:tc>
        <w:tc>
          <w:tcPr>
            <w:tcW w:w="1826" w:type="dxa"/>
            <w:noWrap w:val="0"/>
            <w:vAlign w:val="center"/>
          </w:tcPr>
          <w:p>
            <w:pPr>
              <w:jc w:val="center"/>
              <w:rPr>
                <w:rFonts w:hint="eastAsia" w:ascii="仿宋" w:hAnsi="仿宋" w:eastAsia="仿宋" w:cs="仿宋"/>
                <w:bCs/>
                <w:color w:val="auto"/>
                <w:kern w:val="0"/>
                <w:sz w:val="24"/>
                <w:highlight w:val="none"/>
              </w:rPr>
            </w:pPr>
            <w:r>
              <w:rPr>
                <w:rFonts w:hint="eastAsia" w:ascii="仿宋" w:hAnsi="仿宋" w:eastAsia="仿宋" w:cs="仿宋"/>
                <w:color w:val="auto"/>
                <w:sz w:val="24"/>
                <w:highlight w:val="none"/>
              </w:rPr>
              <w:t>特别说明</w:t>
            </w:r>
          </w:p>
        </w:tc>
        <w:tc>
          <w:tcPr>
            <w:tcW w:w="6499" w:type="dxa"/>
            <w:noWrap w:val="0"/>
            <w:vAlign w:val="center"/>
          </w:tcPr>
          <w:p>
            <w:pPr>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1）如果发现本采购文件中存在含糊不清、相互矛盾、多种含义以及歧视性不公正条款或违法违规等内容时，请投标人在获取采购文件后，答疑截止时间前按要求书面提出，逾期视同自动放弃疑问提出的权利或采购人不作答复。</w:t>
            </w:r>
          </w:p>
          <w:p>
            <w:pPr>
              <w:jc w:val="left"/>
              <w:rPr>
                <w:rFonts w:hint="eastAsia" w:ascii="仿宋" w:hAnsi="仿宋" w:eastAsia="仿宋" w:cs="仿宋"/>
                <w:b/>
                <w:bCs/>
                <w:color w:val="auto"/>
                <w:sz w:val="24"/>
                <w:highlight w:val="none"/>
              </w:rPr>
            </w:pPr>
            <w:r>
              <w:rPr>
                <w:rFonts w:hint="eastAsia" w:ascii="仿宋" w:hAnsi="仿宋" w:eastAsia="仿宋" w:cs="仿宋"/>
                <w:snapToGrid w:val="0"/>
                <w:color w:val="auto"/>
                <w:kern w:val="0"/>
                <w:sz w:val="24"/>
                <w:highlight w:val="none"/>
              </w:rPr>
              <w:t>（2）该项目中标公示期间，投标人不得通过非正当途径、更不得通过非正当手段获取法律法规规定评标委员会（包括其他相关人员）应当保密的相关内容。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75" w:hRule="atLeast"/>
          <w:jc w:val="center"/>
        </w:trPr>
        <w:tc>
          <w:tcPr>
            <w:tcW w:w="779" w:type="dxa"/>
            <w:noWrap w:val="0"/>
            <w:vAlign w:val="center"/>
          </w:tcPr>
          <w:p>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34</w:t>
            </w:r>
          </w:p>
        </w:tc>
        <w:tc>
          <w:tcPr>
            <w:tcW w:w="1826" w:type="dxa"/>
            <w:noWrap w:val="0"/>
            <w:vAlign w:val="center"/>
          </w:tcPr>
          <w:p>
            <w:pPr>
              <w:jc w:val="center"/>
              <w:rPr>
                <w:rFonts w:hint="default" w:ascii="仿宋" w:hAnsi="仿宋" w:eastAsia="仿宋" w:cs="仿宋"/>
                <w:color w:val="auto"/>
                <w:sz w:val="24"/>
                <w:highlight w:val="none"/>
                <w:lang w:val="en-US"/>
              </w:rPr>
            </w:pPr>
            <w:r>
              <w:rPr>
                <w:rFonts w:hint="eastAsia" w:ascii="仿宋" w:hAnsi="仿宋" w:eastAsia="仿宋" w:cs="仿宋"/>
                <w:snapToGrid w:val="0"/>
                <w:color w:val="auto"/>
                <w:kern w:val="0"/>
                <w:sz w:val="24"/>
                <w:highlight w:val="none"/>
                <w:lang w:val="en-US" w:eastAsia="zh-CN"/>
              </w:rPr>
              <w:t>点位清单获取</w:t>
            </w:r>
          </w:p>
        </w:tc>
        <w:tc>
          <w:tcPr>
            <w:tcW w:w="6499" w:type="dxa"/>
            <w:noWrap w:val="0"/>
            <w:vAlign w:val="center"/>
          </w:tcPr>
          <w:p>
            <w:pPr>
              <w:jc w:val="left"/>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维护点位数量汇总详见：《点位清单》，运维服务方在完成招标文件下载后，向温州市公安局自行领取；联系人：李警官，联系电话：0577-89980309。</w:t>
            </w:r>
          </w:p>
          <w:p>
            <w:pPr>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投标人可自行依据点位清单自行前往现场踏勘，了解各点位现场情况及环境。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75" w:hRule="atLeast"/>
          <w:jc w:val="center"/>
        </w:trPr>
        <w:tc>
          <w:tcPr>
            <w:tcW w:w="779" w:type="dxa"/>
            <w:noWrap w:val="0"/>
            <w:vAlign w:val="center"/>
          </w:tcPr>
          <w:p>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35</w:t>
            </w:r>
          </w:p>
        </w:tc>
        <w:tc>
          <w:tcPr>
            <w:tcW w:w="1826" w:type="dxa"/>
            <w:noWrap w:val="0"/>
            <w:vAlign w:val="center"/>
          </w:tcPr>
          <w:p>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补充说明</w:t>
            </w:r>
          </w:p>
        </w:tc>
        <w:tc>
          <w:tcPr>
            <w:tcW w:w="6499" w:type="dxa"/>
            <w:noWrap w:val="0"/>
            <w:vAlign w:val="center"/>
          </w:tcPr>
          <w:p>
            <w:pPr>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▲不同标</w:t>
            </w:r>
            <w:r>
              <w:rPr>
                <w:rFonts w:hint="eastAsia" w:ascii="仿宋" w:hAnsi="仿宋" w:eastAsia="仿宋" w:cs="仿宋"/>
                <w:snapToGrid w:val="0"/>
                <w:color w:val="auto"/>
                <w:kern w:val="0"/>
                <w:sz w:val="24"/>
                <w:highlight w:val="none"/>
                <w:lang w:val="en-US" w:eastAsia="zh-CN"/>
              </w:rPr>
              <w:t>项</w:t>
            </w:r>
            <w:r>
              <w:rPr>
                <w:rFonts w:hint="eastAsia" w:ascii="仿宋" w:hAnsi="仿宋" w:eastAsia="仿宋" w:cs="仿宋"/>
                <w:snapToGrid w:val="0"/>
                <w:color w:val="auto"/>
                <w:kern w:val="0"/>
                <w:sz w:val="24"/>
                <w:highlight w:val="none"/>
              </w:rPr>
              <w:t>需分别制作投标文件，所有投标人可同时参加</w:t>
            </w:r>
            <w:r>
              <w:rPr>
                <w:rFonts w:hint="eastAsia" w:ascii="仿宋" w:hAnsi="仿宋" w:eastAsia="仿宋" w:cs="仿宋"/>
                <w:snapToGrid w:val="0"/>
                <w:color w:val="auto"/>
                <w:kern w:val="0"/>
                <w:sz w:val="24"/>
                <w:highlight w:val="none"/>
                <w:lang w:val="en-US" w:eastAsia="zh-CN"/>
              </w:rPr>
              <w:t>多</w:t>
            </w:r>
            <w:r>
              <w:rPr>
                <w:rFonts w:hint="eastAsia" w:ascii="仿宋" w:hAnsi="仿宋" w:eastAsia="仿宋" w:cs="仿宋"/>
                <w:snapToGrid w:val="0"/>
                <w:color w:val="auto"/>
                <w:kern w:val="0"/>
                <w:sz w:val="24"/>
                <w:highlight w:val="none"/>
              </w:rPr>
              <w:t>个标</w:t>
            </w:r>
            <w:r>
              <w:rPr>
                <w:rFonts w:hint="eastAsia" w:ascii="仿宋" w:hAnsi="仿宋" w:eastAsia="仿宋" w:cs="仿宋"/>
                <w:snapToGrid w:val="0"/>
                <w:color w:val="auto"/>
                <w:kern w:val="0"/>
                <w:sz w:val="24"/>
                <w:highlight w:val="none"/>
                <w:lang w:val="en-US" w:eastAsia="zh-CN"/>
              </w:rPr>
              <w:t>项</w:t>
            </w:r>
            <w:r>
              <w:rPr>
                <w:rFonts w:hint="eastAsia" w:ascii="仿宋" w:hAnsi="仿宋" w:eastAsia="仿宋" w:cs="仿宋"/>
                <w:snapToGrid w:val="0"/>
                <w:color w:val="auto"/>
                <w:kern w:val="0"/>
                <w:sz w:val="24"/>
                <w:highlight w:val="none"/>
              </w:rPr>
              <w:t>的投标，但是不能重复中标。</w:t>
            </w:r>
          </w:p>
          <w:p>
            <w:pPr>
              <w:jc w:val="left"/>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rPr>
              <w:t>如出现一家投标人在多个</w:t>
            </w:r>
            <w:r>
              <w:rPr>
                <w:rFonts w:hint="eastAsia" w:ascii="仿宋" w:hAnsi="仿宋" w:eastAsia="仿宋" w:cs="仿宋"/>
                <w:snapToGrid w:val="0"/>
                <w:color w:val="auto"/>
                <w:kern w:val="0"/>
                <w:sz w:val="24"/>
                <w:highlight w:val="none"/>
                <w:lang w:eastAsia="zh-CN"/>
              </w:rPr>
              <w:t>标项</w:t>
            </w:r>
            <w:r>
              <w:rPr>
                <w:rFonts w:hint="eastAsia" w:ascii="仿宋" w:hAnsi="仿宋" w:eastAsia="仿宋" w:cs="仿宋"/>
                <w:snapToGrid w:val="0"/>
                <w:color w:val="auto"/>
                <w:kern w:val="0"/>
                <w:sz w:val="24"/>
                <w:highlight w:val="none"/>
              </w:rPr>
              <w:t>中均排名第一的情况,则由该投标人自动中标项序号较小的标包，其余</w:t>
            </w:r>
            <w:r>
              <w:rPr>
                <w:rFonts w:hint="eastAsia" w:ascii="仿宋" w:hAnsi="仿宋" w:eastAsia="仿宋" w:cs="仿宋"/>
                <w:snapToGrid w:val="0"/>
                <w:color w:val="auto"/>
                <w:kern w:val="0"/>
                <w:sz w:val="24"/>
                <w:highlight w:val="none"/>
                <w:lang w:eastAsia="zh-CN"/>
              </w:rPr>
              <w:t>标项</w:t>
            </w:r>
            <w:r>
              <w:rPr>
                <w:rFonts w:hint="eastAsia" w:ascii="仿宋" w:hAnsi="仿宋" w:eastAsia="仿宋" w:cs="仿宋"/>
                <w:snapToGrid w:val="0"/>
                <w:color w:val="auto"/>
                <w:kern w:val="0"/>
                <w:sz w:val="24"/>
                <w:highlight w:val="none"/>
              </w:rPr>
              <w:t>则不视为中标，做放弃中标处理，放弃中标的</w:t>
            </w:r>
            <w:r>
              <w:rPr>
                <w:rFonts w:hint="eastAsia" w:ascii="仿宋" w:hAnsi="仿宋" w:eastAsia="仿宋" w:cs="仿宋"/>
                <w:snapToGrid w:val="0"/>
                <w:color w:val="auto"/>
                <w:kern w:val="0"/>
                <w:sz w:val="24"/>
                <w:highlight w:val="none"/>
                <w:lang w:eastAsia="zh-CN"/>
              </w:rPr>
              <w:t>标项</w:t>
            </w:r>
            <w:r>
              <w:rPr>
                <w:rFonts w:hint="eastAsia" w:ascii="仿宋" w:hAnsi="仿宋" w:eastAsia="仿宋" w:cs="仿宋"/>
                <w:snapToGrid w:val="0"/>
                <w:color w:val="auto"/>
                <w:kern w:val="0"/>
                <w:sz w:val="24"/>
                <w:highlight w:val="none"/>
              </w:rPr>
              <w:t>由排名第二的投标人为该</w:t>
            </w:r>
            <w:r>
              <w:rPr>
                <w:rFonts w:hint="eastAsia" w:ascii="仿宋" w:hAnsi="仿宋" w:eastAsia="仿宋" w:cs="仿宋"/>
                <w:snapToGrid w:val="0"/>
                <w:color w:val="auto"/>
                <w:kern w:val="0"/>
                <w:sz w:val="24"/>
                <w:highlight w:val="none"/>
                <w:lang w:eastAsia="zh-CN"/>
              </w:rPr>
              <w:t>标项</w:t>
            </w:r>
            <w:r>
              <w:rPr>
                <w:rFonts w:hint="eastAsia" w:ascii="仿宋" w:hAnsi="仿宋" w:eastAsia="仿宋" w:cs="仿宋"/>
                <w:snapToGrid w:val="0"/>
                <w:color w:val="auto"/>
                <w:kern w:val="0"/>
                <w:sz w:val="24"/>
                <w:highlight w:val="none"/>
              </w:rPr>
              <w:t>的中标候选人。如：A公司在</w:t>
            </w:r>
            <w:r>
              <w:rPr>
                <w:rFonts w:hint="eastAsia" w:ascii="仿宋" w:hAnsi="仿宋" w:eastAsia="仿宋" w:cs="仿宋"/>
                <w:snapToGrid w:val="0"/>
                <w:color w:val="auto"/>
                <w:kern w:val="0"/>
                <w:sz w:val="24"/>
                <w:highlight w:val="none"/>
                <w:lang w:eastAsia="zh-CN"/>
              </w:rPr>
              <w:t>标项</w:t>
            </w:r>
            <w:r>
              <w:rPr>
                <w:rFonts w:hint="eastAsia" w:ascii="仿宋" w:hAnsi="仿宋" w:eastAsia="仿宋" w:cs="仿宋"/>
                <w:snapToGrid w:val="0"/>
                <w:color w:val="auto"/>
                <w:kern w:val="0"/>
                <w:sz w:val="24"/>
                <w:highlight w:val="none"/>
              </w:rPr>
              <w:t>1/2/3中均排名第一，则A公司自动中标</w:t>
            </w:r>
            <w:r>
              <w:rPr>
                <w:rFonts w:hint="eastAsia" w:ascii="仿宋" w:hAnsi="仿宋" w:eastAsia="仿宋" w:cs="仿宋"/>
                <w:snapToGrid w:val="0"/>
                <w:color w:val="auto"/>
                <w:kern w:val="0"/>
                <w:sz w:val="24"/>
                <w:highlight w:val="none"/>
                <w:lang w:eastAsia="zh-CN"/>
              </w:rPr>
              <w:t>标项</w:t>
            </w:r>
            <w:r>
              <w:rPr>
                <w:rFonts w:hint="eastAsia" w:ascii="仿宋" w:hAnsi="仿宋" w:eastAsia="仿宋" w:cs="仿宋"/>
                <w:snapToGrid w:val="0"/>
                <w:color w:val="auto"/>
                <w:kern w:val="0"/>
                <w:sz w:val="24"/>
                <w:highlight w:val="none"/>
              </w:rPr>
              <w:t>1，</w:t>
            </w:r>
            <w:r>
              <w:rPr>
                <w:rFonts w:hint="eastAsia" w:ascii="仿宋" w:hAnsi="仿宋" w:eastAsia="仿宋" w:cs="仿宋"/>
                <w:snapToGrid w:val="0"/>
                <w:color w:val="auto"/>
                <w:kern w:val="0"/>
                <w:sz w:val="24"/>
                <w:highlight w:val="none"/>
                <w:lang w:eastAsia="zh-CN"/>
              </w:rPr>
              <w:t>标项</w:t>
            </w:r>
            <w:r>
              <w:rPr>
                <w:rFonts w:hint="eastAsia" w:ascii="仿宋" w:hAnsi="仿宋" w:eastAsia="仿宋" w:cs="仿宋"/>
                <w:snapToGrid w:val="0"/>
                <w:color w:val="auto"/>
                <w:kern w:val="0"/>
                <w:sz w:val="24"/>
                <w:highlight w:val="none"/>
              </w:rPr>
              <w:t>2/3由本</w:t>
            </w:r>
            <w:r>
              <w:rPr>
                <w:rFonts w:hint="eastAsia" w:ascii="仿宋" w:hAnsi="仿宋" w:eastAsia="仿宋" w:cs="仿宋"/>
                <w:snapToGrid w:val="0"/>
                <w:color w:val="auto"/>
                <w:kern w:val="0"/>
                <w:sz w:val="24"/>
                <w:highlight w:val="none"/>
                <w:lang w:eastAsia="zh-CN"/>
              </w:rPr>
              <w:t>标项</w:t>
            </w:r>
            <w:r>
              <w:rPr>
                <w:rFonts w:hint="eastAsia" w:ascii="仿宋" w:hAnsi="仿宋" w:eastAsia="仿宋" w:cs="仿宋"/>
                <w:snapToGrid w:val="0"/>
                <w:color w:val="auto"/>
                <w:kern w:val="0"/>
                <w:sz w:val="24"/>
                <w:highlight w:val="none"/>
              </w:rPr>
              <w:t>排名第二的公司中标，以此类推。</w:t>
            </w:r>
          </w:p>
          <w:p>
            <w:pPr>
              <w:jc w:val="left"/>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rPr>
              <w:t>▲</w:t>
            </w:r>
            <w:r>
              <w:rPr>
                <w:rFonts w:hint="eastAsia" w:ascii="仿宋" w:hAnsi="仿宋" w:eastAsia="仿宋" w:cs="仿宋"/>
                <w:snapToGrid w:val="0"/>
                <w:color w:val="auto"/>
                <w:kern w:val="0"/>
                <w:sz w:val="24"/>
                <w:highlight w:val="none"/>
                <w:lang w:val="en-US" w:eastAsia="zh-CN"/>
              </w:rPr>
              <w:t>具备系统建设、运行所需的管道、光纤资源【不具备的必须提供地市级网络资源运营商授予投标人对本项目相关管道、光纤资源的使用协议（协议约定资源使用区域为温州全域、周期与项目服务期一致）】（按资格文件投标文件中必须提供承诺函），适用于标项一、二、三、四。</w:t>
            </w:r>
          </w:p>
          <w:p>
            <w:pPr>
              <w:jc w:val="left"/>
              <w:rPr>
                <w:rFonts w:hint="eastAsia" w:ascii="仿宋" w:hAnsi="仿宋" w:eastAsia="仿宋" w:cs="仿宋"/>
                <w:snapToGrid w:val="0"/>
                <w:color w:val="auto"/>
                <w:kern w:val="0"/>
                <w:sz w:val="24"/>
                <w:highlight w:val="none"/>
              </w:rPr>
            </w:pPr>
          </w:p>
        </w:tc>
      </w:tr>
    </w:tbl>
    <w:p>
      <w:pPr>
        <w:adjustRightInd/>
        <w:spacing w:line="360" w:lineRule="auto"/>
        <w:jc w:val="center"/>
        <w:outlineLvl w:val="1"/>
        <w:rPr>
          <w:rStyle w:val="83"/>
          <w:rFonts w:hint="eastAsia" w:ascii="仿宋" w:eastAsia="仿宋" w:cs="仿宋"/>
          <w:color w:val="auto"/>
          <w:highlight w:val="none"/>
        </w:rPr>
      </w:pPr>
      <w:r>
        <w:rPr>
          <w:rStyle w:val="83"/>
          <w:rFonts w:hint="eastAsia" w:ascii="仿宋" w:eastAsia="仿宋" w:cs="仿宋"/>
          <w:color w:val="auto"/>
          <w:highlight w:val="none"/>
        </w:rPr>
        <w:br w:type="page"/>
      </w:r>
      <w:bookmarkEnd w:id="10"/>
      <w:bookmarkStart w:id="16" w:name="_Toc18105"/>
      <w:bookmarkStart w:id="17" w:name="_Toc164416483"/>
      <w:bookmarkStart w:id="18" w:name="第三部分"/>
      <w:r>
        <w:rPr>
          <w:rStyle w:val="83"/>
          <w:rFonts w:hint="eastAsia" w:ascii="仿宋" w:eastAsia="仿宋" w:cs="仿宋"/>
          <w:color w:val="auto"/>
          <w:highlight w:val="none"/>
        </w:rPr>
        <w:t>一、总则</w:t>
      </w:r>
      <w:bookmarkEnd w:id="16"/>
    </w:p>
    <w:p>
      <w:pPr>
        <w:tabs>
          <w:tab w:val="left" w:pos="540"/>
          <w:tab w:val="left" w:pos="900"/>
        </w:tabs>
        <w:snapToGrid w:val="0"/>
        <w:spacing w:line="360" w:lineRule="auto"/>
        <w:ind w:firstLine="480" w:firstLineChars="200"/>
        <w:rPr>
          <w:rFonts w:hint="eastAsia" w:ascii="仿宋" w:hAnsi="仿宋" w:eastAsia="仿宋" w:cs="仿宋"/>
          <w:color w:val="auto"/>
          <w:sz w:val="24"/>
          <w:highlight w:val="none"/>
        </w:rPr>
      </w:pPr>
      <w:bookmarkStart w:id="19" w:name="_Toc5882"/>
      <w:bookmarkStart w:id="20" w:name="_Toc29857"/>
      <w:r>
        <w:rPr>
          <w:rFonts w:hint="eastAsia" w:ascii="仿宋" w:hAnsi="仿宋" w:eastAsia="仿宋" w:cs="仿宋"/>
          <w:color w:val="auto"/>
          <w:sz w:val="24"/>
          <w:highlight w:val="none"/>
        </w:rPr>
        <w:t>本项目采购是按照《中华人民共和国政府采购法》、《政府采购货物和服务招标投标管理办法》（财政部第87号令）、《浙江省政府采购项目电子交易管理暂行办法》（浙财采监〔2019〕10号）等法律及有关法规组织和实施的。</w:t>
      </w:r>
    </w:p>
    <w:p>
      <w:pPr>
        <w:snapToGrid w:val="0"/>
        <w:spacing w:line="360" w:lineRule="auto"/>
        <w:ind w:firstLine="361" w:firstLineChars="150"/>
        <w:jc w:val="left"/>
        <w:outlineLvl w:val="2"/>
        <w:rPr>
          <w:rFonts w:hint="eastAsia" w:ascii="仿宋" w:hAnsi="仿宋" w:eastAsia="仿宋" w:cs="仿宋"/>
          <w:b/>
          <w:color w:val="auto"/>
          <w:sz w:val="24"/>
          <w:highlight w:val="none"/>
        </w:rPr>
      </w:pPr>
      <w:bookmarkStart w:id="21" w:name="_Toc27055"/>
      <w:r>
        <w:rPr>
          <w:rFonts w:hint="eastAsia" w:ascii="仿宋" w:hAnsi="仿宋" w:eastAsia="仿宋" w:cs="仿宋"/>
          <w:b/>
          <w:color w:val="auto"/>
          <w:sz w:val="24"/>
          <w:highlight w:val="none"/>
        </w:rPr>
        <w:t>1. 适用范围</w:t>
      </w:r>
      <w:bookmarkEnd w:id="19"/>
      <w:bookmarkEnd w:id="20"/>
      <w:bookmarkEnd w:id="21"/>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w:t>
      </w:r>
      <w:bookmarkStart w:id="22" w:name="_Toc3235"/>
      <w:bookmarkStart w:id="23" w:name="_Toc19066"/>
      <w:bookmarkStart w:id="24" w:name="_Toc31546"/>
      <w:r>
        <w:rPr>
          <w:rFonts w:hint="eastAsia" w:ascii="仿宋" w:hAnsi="仿宋" w:eastAsia="仿宋" w:cs="仿宋"/>
          <w:b/>
          <w:color w:val="auto"/>
          <w:sz w:val="24"/>
          <w:highlight w:val="none"/>
        </w:rPr>
        <w:t>2.定义</w:t>
      </w:r>
      <w:bookmarkEnd w:id="22"/>
      <w:bookmarkEnd w:id="23"/>
      <w:bookmarkEnd w:id="24"/>
    </w:p>
    <w:p>
      <w:pPr>
        <w:spacing w:line="360" w:lineRule="auto"/>
        <w:ind w:firstLine="480" w:firstLineChars="200"/>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“采购代理机构”系指招标公告中载明的本项目的采购代理机构。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“投标人、供应商”均系指是指响应招标、参加投标竞争的法人、其他组织或者自然人。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w:t>
      </w:r>
      <w:r>
        <w:rPr>
          <w:rFonts w:hint="eastAsia" w:ascii="仿宋" w:hAnsi="仿宋" w:eastAsia="仿宋" w:cs="仿宋"/>
          <w:snapToGrid w:val="0"/>
          <w:color w:val="auto"/>
          <w:kern w:val="28"/>
          <w:sz w:val="24"/>
          <w:szCs w:val="20"/>
          <w:highlight w:val="none"/>
        </w:rPr>
        <w:t>且加下划线的条款</w:t>
      </w:r>
      <w:r>
        <w:rPr>
          <w:rFonts w:hint="eastAsia" w:ascii="仿宋" w:hAnsi="仿宋" w:eastAsia="仿宋" w:cs="仿宋"/>
          <w:color w:val="auto"/>
          <w:sz w:val="24"/>
          <w:highlight w:val="none"/>
        </w:rPr>
        <w:t>系指实质性要求条款，“★”系产品采购项目中单一产品或核心产品，“</w:t>
      </w: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 系指适用本项目的要求，“</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系指不适用本项目的要求。</w:t>
      </w:r>
    </w:p>
    <w:p>
      <w:pPr>
        <w:spacing w:line="360" w:lineRule="auto"/>
        <w:ind w:firstLine="241" w:firstLineChars="100"/>
        <w:outlineLvl w:val="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3.合格投标人要求</w:t>
      </w:r>
    </w:p>
    <w:p>
      <w:pPr>
        <w:tabs>
          <w:tab w:val="left" w:pos="540"/>
          <w:tab w:val="left" w:pos="900"/>
        </w:tabs>
        <w:snapToGrid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3.1合格的投标人应满足招标文件第一部分“招标公告”对申请人的资格要求。</w:t>
      </w:r>
    </w:p>
    <w:p>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3.2</w:t>
      </w:r>
      <w:r>
        <w:rPr>
          <w:rFonts w:hint="eastAsia" w:ascii="仿宋" w:hAnsi="仿宋" w:eastAsia="仿宋" w:cs="仿宋"/>
          <w:b/>
          <w:color w:val="auto"/>
          <w:kern w:val="0"/>
          <w:sz w:val="24"/>
          <w:highlight w:val="none"/>
          <w:u w:val="single"/>
        </w:rPr>
        <w:t>▲</w:t>
      </w:r>
      <w:r>
        <w:rPr>
          <w:rFonts w:hint="eastAsia" w:ascii="仿宋" w:hAnsi="仿宋" w:eastAsia="仿宋" w:cs="仿宋"/>
          <w:b/>
          <w:bCs/>
          <w:color w:val="auto"/>
          <w:spacing w:val="6"/>
          <w:sz w:val="24"/>
          <w:highlight w:val="none"/>
          <w:u w:val="singl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r>
        <w:rPr>
          <w:rFonts w:hint="eastAsia" w:ascii="仿宋" w:hAnsi="仿宋" w:eastAsia="仿宋" w:cs="仿宋"/>
          <w:bCs/>
          <w:color w:val="auto"/>
          <w:spacing w:val="6"/>
          <w:sz w:val="24"/>
          <w:highlight w:val="none"/>
        </w:rPr>
        <w:t>。</w:t>
      </w:r>
    </w:p>
    <w:p>
      <w:pPr>
        <w:tabs>
          <w:tab w:val="left" w:pos="540"/>
          <w:tab w:val="left" w:pos="900"/>
        </w:tabs>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投标人可授权投标人代表以投标人名义参加本次采购的投标活动（包括投标文件的签署、澄清、说明、补正、递交、撤回、修改等以及签订合同和处理有关事宜）。如果投标人代表不是法定代表人(负责人)，须持有《法定代表人(负责人)授权书》。</w:t>
      </w:r>
    </w:p>
    <w:p>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3.4采用最低评标价法的</w:t>
      </w:r>
      <w:r>
        <w:rPr>
          <w:rFonts w:hint="eastAsia" w:ascii="仿宋" w:hAnsi="仿宋" w:eastAsia="仿宋" w:cs="仿宋"/>
          <w:color w:val="auto"/>
          <w:sz w:val="24"/>
          <w:highlight w:val="none"/>
        </w:rPr>
        <w:t>货物类</w:t>
      </w:r>
      <w:r>
        <w:rPr>
          <w:rFonts w:hint="eastAsia" w:ascii="仿宋" w:hAnsi="仿宋" w:eastAsia="仿宋" w:cs="仿宋"/>
          <w:bCs/>
          <w:color w:val="auto"/>
          <w:spacing w:val="6"/>
          <w:sz w:val="24"/>
          <w:highlight w:val="none"/>
        </w:rPr>
        <w:t>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使用综合评分法的</w:t>
      </w:r>
      <w:r>
        <w:rPr>
          <w:rFonts w:hint="eastAsia" w:ascii="仿宋" w:hAnsi="仿宋" w:eastAsia="仿宋" w:cs="仿宋"/>
          <w:color w:val="auto"/>
          <w:sz w:val="24"/>
          <w:highlight w:val="none"/>
        </w:rPr>
        <w:t>货物类</w:t>
      </w:r>
      <w:r>
        <w:rPr>
          <w:rFonts w:hint="eastAsia" w:ascii="仿宋" w:hAnsi="仿宋" w:eastAsia="仿宋" w:cs="仿宋"/>
          <w:bCs/>
          <w:color w:val="auto"/>
          <w:spacing w:val="6"/>
          <w:sz w:val="24"/>
          <w:highlight w:val="none"/>
        </w:rPr>
        <w:t>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504" w:firstLineChars="200"/>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非单一产品采购项目，多家投标人提供的核心产品（见</w:t>
      </w:r>
      <w:r>
        <w:rPr>
          <w:rFonts w:hint="eastAsia" w:ascii="仿宋" w:hAnsi="仿宋" w:eastAsia="仿宋" w:cs="仿宋"/>
          <w:color w:val="auto"/>
          <w:sz w:val="24"/>
          <w:highlight w:val="none"/>
        </w:rPr>
        <w:t>投标人须知前附表</w:t>
      </w:r>
      <w:r>
        <w:rPr>
          <w:rFonts w:hint="eastAsia" w:ascii="仿宋" w:hAnsi="仿宋" w:eastAsia="仿宋" w:cs="仿宋"/>
          <w:bCs/>
          <w:color w:val="auto"/>
          <w:spacing w:val="6"/>
          <w:sz w:val="24"/>
          <w:highlight w:val="none"/>
        </w:rPr>
        <w:t>）品牌相同的，按前两款规定处理。</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3.5货物类是否允许采购进口产品、是否要求节能/环境标志产品等情况见投标人须知前附表。</w:t>
      </w:r>
    </w:p>
    <w:p>
      <w:pPr>
        <w:spacing w:line="360" w:lineRule="auto"/>
        <w:ind w:firstLine="241" w:firstLineChars="100"/>
        <w:outlineLvl w:val="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4、采购项目需要落实的政府采购政策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 根据《政府采购进口产品管理办法》的通知（财库〔2007〕119 号）文件相关规定，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4.2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4.2.1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color w:val="auto"/>
          <w:sz w:val="24"/>
          <w:highlight w:val="none"/>
          <w:u w:val="single"/>
        </w:rPr>
        <w:t>▲</w:t>
      </w:r>
      <w:r>
        <w:rPr>
          <w:rFonts w:hint="eastAsia" w:ascii="仿宋" w:hAnsi="仿宋" w:eastAsia="仿宋" w:cs="仿宋"/>
          <w:b/>
          <w:color w:val="auto"/>
          <w:sz w:val="24"/>
          <w:highlight w:val="none"/>
          <w:u w:val="singl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4.3支持中小企业发展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4.3.2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4.3.3对于未预留份额专门面向中小企业的政府采购货物或服务项目，以及预留份额政府采购货物或服务项目中的非预留部分标项，对小型和微型企业的投标报价给予6-10%（工程项目为3%-5%）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2%-3%（工程项目为1%-2%）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4.3.7中小企业享受扶持政策获得政府采购合同的，小微企业不得将合同分包给大中型企业，中型企业不得将合同分包给大型企业。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4.4中小企业信用融资：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outlineLvl w:val="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5. 询问、质疑、投诉</w:t>
      </w:r>
    </w:p>
    <w:p>
      <w:pPr>
        <w:autoSpaceDE w:val="0"/>
        <w:autoSpaceDN w:val="0"/>
        <w:spacing w:line="360" w:lineRule="auto"/>
        <w:ind w:firstLine="240" w:firstLineChars="100"/>
        <w:jc w:val="left"/>
        <w:outlineLvl w:val="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zh-CN"/>
        </w:rPr>
        <w:t>.1供应商询问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outlineLvl w:val="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zh-CN"/>
        </w:rPr>
        <w:t>.2供应商质疑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zh-CN"/>
        </w:rPr>
        <w:t>.2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zh-CN"/>
        </w:rPr>
        <w:t>.2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8"/>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5.2.2.1质疑提交形式：以</w:t>
      </w:r>
      <w:r>
        <w:rPr>
          <w:rFonts w:hint="eastAsia" w:ascii="仿宋" w:hAnsi="仿宋" w:eastAsia="仿宋" w:cs="仿宋"/>
          <w:color w:val="auto"/>
          <w:sz w:val="24"/>
          <w:highlight w:val="none"/>
        </w:rPr>
        <w:t>书面形式</w:t>
      </w:r>
      <w:r>
        <w:rPr>
          <w:rFonts w:hint="eastAsia" w:ascii="仿宋" w:hAnsi="仿宋" w:eastAsia="仿宋" w:cs="仿宋"/>
          <w:snapToGrid/>
          <w:color w:val="auto"/>
          <w:kern w:val="2"/>
          <w:sz w:val="24"/>
          <w:highlight w:val="none"/>
        </w:rPr>
        <w:t>向招标公告中载明的质疑联系人提交</w:t>
      </w:r>
      <w:r>
        <w:rPr>
          <w:rFonts w:hint="eastAsia" w:ascii="仿宋" w:hAnsi="仿宋" w:eastAsia="仿宋" w:cs="仿宋"/>
          <w:color w:val="auto"/>
          <w:sz w:val="24"/>
          <w:highlight w:val="none"/>
        </w:rPr>
        <w:t>或登录政采云平台（https://www.zcygov.cn/）通过“询问质疑投诉”栏向采购机构内设的质疑联系人提交并上传书面质疑材料。</w:t>
      </w:r>
    </w:p>
    <w:p>
      <w:pPr>
        <w:pStyle w:val="18"/>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color w:val="auto"/>
          <w:sz w:val="24"/>
          <w:highlight w:val="none"/>
        </w:rPr>
        <w:t>5.2.2.2</w:t>
      </w:r>
      <w:r>
        <w:rPr>
          <w:rFonts w:hint="eastAsia" w:ascii="仿宋" w:hAnsi="仿宋" w:eastAsia="仿宋" w:cs="仿宋"/>
          <w:snapToGrid/>
          <w:color w:val="auto"/>
          <w:kern w:val="2"/>
          <w:sz w:val="24"/>
          <w:highlight w:val="none"/>
        </w:rPr>
        <w:t>对招标文件提出质疑的，质疑期限为供应商获得招标文件之日或者招标文件公告期限届满之日起计算。</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5.2.2.3对采购过程提出质疑的，质疑期限为各采购程序环节结束之日起计算。对同一采购程序环节的质疑，供应商须一次性提出。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5.2.2.4对采购结果提出质疑的，质疑期限自采购结果公告期限届满之日起计算。</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zh-CN"/>
        </w:rPr>
        <w:t>.2.3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zh-CN"/>
        </w:rPr>
        <w:t>.2.3.1供应商的姓名或者名称、地址、邮编、联系人及联系电话；</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zh-CN"/>
        </w:rPr>
        <w:t>.2.3.2质疑项目的名称、编号；</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zh-CN"/>
        </w:rPr>
        <w:t>.2.3.3具体、明确的质疑事项和与质疑事项相关的请求；</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zh-CN"/>
        </w:rPr>
        <w:t>.2.3.4事实依据；</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rPr>
        <w:t>5</w:t>
      </w:r>
      <w:r>
        <w:rPr>
          <w:rFonts w:hint="eastAsia" w:ascii="仿宋" w:hAnsi="仿宋" w:eastAsia="仿宋" w:cs="仿宋"/>
          <w:color w:val="auto"/>
          <w:kern w:val="0"/>
          <w:sz w:val="24"/>
          <w:highlight w:val="none"/>
          <w:lang w:val="zh-CN"/>
        </w:rPr>
        <w:t>.2.3.5必要的法律依据；</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zh-CN"/>
        </w:rPr>
        <w:t>.2.3.6提出质疑的日期。</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质疑函范本及制作说明详见附件2。</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zh-CN"/>
        </w:rPr>
        <w:t>.2.4采购人或者采购代理机构应当在收到供应商的质疑后七个工作日内作出答复，并以书面形式通知质疑供应商和其他与质疑处理结果有利害关系的政府采购当事人，但答复的内容不得涉及商业秘密。根据《浙江省财政厅关于进一步促进政府采购</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公平竞争打造最优营商环境的通知》（浙财采监〔2021〕22号）,采购人或者采购代理机构在质疑回复后5个工作日内，在浙江政府采购网的“其他公告”栏目公开质疑答复，答复内容应当完整。质疑函作为附件上传。</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zh-CN"/>
        </w:rPr>
        <w:t>.2.5询问或者质疑事项可能影响采购结果的，采购人应当暂停签订合同，已经签订合同的，应当中止履行合同。</w:t>
      </w:r>
    </w:p>
    <w:p>
      <w:pPr>
        <w:spacing w:line="360" w:lineRule="auto"/>
        <w:ind w:firstLine="480" w:firstLineChars="200"/>
        <w:outlineLvl w:val="3"/>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zh-CN"/>
        </w:rPr>
        <w:t>.3供应商投诉</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5.3.1质疑供应商对采购人、采购代理机构的答复不满意或者采购人、采购代理机构未在规定的时间内作出答复的，可以在答复期满后十五个工作日内向同级政府采购监督管理部门提出投诉。</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5.3.2供应商投诉的事项不得超出已质疑事项的范围，基于质疑答复内容提出的投诉事项除外。</w:t>
      </w:r>
    </w:p>
    <w:p>
      <w:pPr>
        <w:spacing w:line="360" w:lineRule="auto"/>
        <w:ind w:firstLine="480" w:firstLineChars="200"/>
        <w:outlineLvl w:val="4"/>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5.3.3供应商投诉应当有明确的请求和必要的证明材料。</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5.3.5 以联合体形式参加政府采购活动的，其投诉应当由组成联合体的所有供应商共同提出。</w:t>
      </w:r>
    </w:p>
    <w:p>
      <w:pPr>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投诉书范本及制作说明详见附件3。</w:t>
      </w:r>
    </w:p>
    <w:p>
      <w:pPr>
        <w:adjustRightInd/>
        <w:spacing w:line="360" w:lineRule="auto"/>
        <w:jc w:val="center"/>
        <w:outlineLvl w:val="1"/>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w:t>
      </w:r>
      <w:r>
        <w:rPr>
          <w:rStyle w:val="83"/>
          <w:rFonts w:hint="eastAsia" w:ascii="仿宋" w:eastAsia="仿宋" w:cs="仿宋"/>
          <w:color w:val="auto"/>
          <w:highlight w:val="none"/>
        </w:rPr>
        <w:t xml:space="preserve">   </w:t>
      </w:r>
      <w:bookmarkStart w:id="25" w:name="_Toc13895"/>
      <w:r>
        <w:rPr>
          <w:rStyle w:val="83"/>
          <w:rFonts w:hint="eastAsia" w:ascii="仿宋" w:eastAsia="仿宋" w:cs="仿宋"/>
          <w:color w:val="auto"/>
          <w:highlight w:val="none"/>
        </w:rPr>
        <w:t>二、招标文件的构成、澄清、修改</w:t>
      </w:r>
      <w:bookmarkEnd w:id="25"/>
    </w:p>
    <w:p>
      <w:pPr>
        <w:pStyle w:val="34"/>
        <w:spacing w:line="360" w:lineRule="auto"/>
        <w:outlineLvl w:val="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6．招标文件的构成</w:t>
      </w:r>
    </w:p>
    <w:p>
      <w:pPr>
        <w:pStyle w:val="34"/>
        <w:spacing w:line="360" w:lineRule="auto"/>
        <w:ind w:firstLine="480" w:firstLineChars="200"/>
        <w:outlineLvl w:val="3"/>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招标文件包括下列文件及附件：</w:t>
      </w:r>
    </w:p>
    <w:p>
      <w:pPr>
        <w:pStyle w:val="34"/>
        <w:tabs>
          <w:tab w:val="left" w:pos="84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6.1.1招标公告；</w:t>
      </w:r>
    </w:p>
    <w:p>
      <w:pPr>
        <w:pStyle w:val="34"/>
        <w:tabs>
          <w:tab w:val="left" w:pos="84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6.1.2投标人须知；</w:t>
      </w:r>
    </w:p>
    <w:p>
      <w:pPr>
        <w:pStyle w:val="34"/>
        <w:tabs>
          <w:tab w:val="left" w:pos="84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6.1.3采购需求；</w:t>
      </w:r>
    </w:p>
    <w:p>
      <w:pPr>
        <w:pStyle w:val="34"/>
        <w:tabs>
          <w:tab w:val="left" w:pos="84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6.1.4评标办法；</w:t>
      </w:r>
    </w:p>
    <w:p>
      <w:pPr>
        <w:pStyle w:val="34"/>
        <w:tabs>
          <w:tab w:val="left" w:pos="84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6.1.5拟签订的合同文本；</w:t>
      </w:r>
    </w:p>
    <w:p>
      <w:pPr>
        <w:pStyle w:val="34"/>
        <w:tabs>
          <w:tab w:val="left" w:pos="84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6.1.6</w:t>
      </w:r>
      <w:r>
        <w:rPr>
          <w:rFonts w:hint="eastAsia" w:ascii="仿宋" w:hAnsi="仿宋" w:eastAsia="仿宋" w:cs="仿宋"/>
          <w:color w:val="auto"/>
          <w:sz w:val="24"/>
          <w:szCs w:val="24"/>
          <w:highlight w:val="none"/>
        </w:rPr>
        <w:t>应提交的有关格式范例。</w:t>
      </w:r>
    </w:p>
    <w:p>
      <w:pPr>
        <w:spacing w:line="360" w:lineRule="auto"/>
        <w:ind w:firstLine="480" w:firstLineChars="200"/>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outlineLvl w:val="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招标文件的澄清、修改</w:t>
      </w:r>
    </w:p>
    <w:p>
      <w:pPr>
        <w:pStyle w:val="354"/>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7.1已获取招标文件的潜在投标人，若有问题需要澄清，应于投标截止时间前，以书面形式向采购代理机构提出。</w:t>
      </w:r>
    </w:p>
    <w:p>
      <w:pPr>
        <w:pStyle w:val="354"/>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7.2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pStyle w:val="6"/>
        <w:jc w:val="center"/>
        <w:rPr>
          <w:rFonts w:hint="eastAsia" w:ascii="仿宋" w:eastAsia="仿宋" w:cs="仿宋"/>
          <w:color w:val="auto"/>
          <w:highlight w:val="none"/>
          <w:lang w:eastAsia="zh-CN"/>
        </w:rPr>
      </w:pPr>
      <w:bookmarkStart w:id="26" w:name="_Toc22850"/>
      <w:r>
        <w:rPr>
          <w:rFonts w:hint="eastAsia" w:ascii="仿宋" w:eastAsia="仿宋" w:cs="仿宋"/>
          <w:color w:val="auto"/>
          <w:highlight w:val="none"/>
          <w:lang w:eastAsia="zh-CN"/>
        </w:rPr>
        <w:t>三、投标</w:t>
      </w:r>
      <w:bookmarkEnd w:id="26"/>
    </w:p>
    <w:p>
      <w:pPr>
        <w:pStyle w:val="34"/>
        <w:spacing w:line="360" w:lineRule="auto"/>
        <w:outlineLvl w:val="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outlineLvl w:val="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9.开标前答疑会或现场考察</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outlineLvl w:val="2"/>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10.投标保证金</w:t>
      </w:r>
    </w:p>
    <w:p>
      <w:pPr>
        <w:pStyle w:val="18"/>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outlineLvl w:val="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outlineLvl w:val="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12. 投标文件的组成</w:t>
      </w:r>
    </w:p>
    <w:p>
      <w:pPr>
        <w:snapToGrid w:val="0"/>
        <w:spacing w:line="360" w:lineRule="auto"/>
        <w:ind w:firstLine="480" w:firstLineChars="200"/>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12.1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pStyle w:val="551"/>
        <w:spacing w:line="360" w:lineRule="auto"/>
        <w:ind w:firstLine="420"/>
        <w:rPr>
          <w:rFonts w:hint="eastAsia" w:ascii="仿宋" w:hAnsi="仿宋" w:eastAsia="仿宋" w:cs="仿宋"/>
          <w:color w:val="auto"/>
          <w:szCs w:val="21"/>
          <w:highlight w:val="none"/>
        </w:rPr>
      </w:pPr>
      <w:r>
        <w:rPr>
          <w:rFonts w:hint="eastAsia" w:ascii="仿宋" w:hAnsi="仿宋" w:eastAsia="仿宋" w:cs="仿宋"/>
          <w:color w:val="auto"/>
          <w:highlight w:val="none"/>
        </w:rPr>
        <w:t>12.1.1提供符合参加政府采购活动应当具备的一般条件的承诺函及有效的企业营业执照（或事业法人登记证书或其它工商等登记证明材料，自然人提供身份证)复制件（如为联合体，则联合体各方均应提供）</w:t>
      </w:r>
      <w:r>
        <w:rPr>
          <w:rFonts w:hint="eastAsia" w:ascii="仿宋" w:hAnsi="仿宋" w:eastAsia="仿宋" w:cs="仿宋"/>
          <w:color w:val="auto"/>
          <w:szCs w:val="21"/>
          <w:highlight w:val="none"/>
        </w:rPr>
        <w:t>（五选一）：</w:t>
      </w:r>
    </w:p>
    <w:p>
      <w:pPr>
        <w:pStyle w:val="551"/>
        <w:spacing w:line="36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①如投标人是企业（包括合伙企业），提供在工商部门注册的有效“企业法人营业执照”或“营业执照”；</w:t>
      </w:r>
    </w:p>
    <w:p>
      <w:pPr>
        <w:pStyle w:val="551"/>
        <w:spacing w:line="36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②如投标人是事业单位，提供有效的“事业单位法人证书”；</w:t>
      </w:r>
    </w:p>
    <w:p>
      <w:pPr>
        <w:pStyle w:val="551"/>
        <w:spacing w:line="36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③如投标人是非企业专业服务机构的，提供执业许可证等证明文件；</w:t>
      </w:r>
    </w:p>
    <w:p>
      <w:pPr>
        <w:pStyle w:val="551"/>
        <w:spacing w:line="36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④如投标人是个体工商户，提供有效的“个体工商户营业执照”；</w:t>
      </w:r>
    </w:p>
    <w:p>
      <w:pPr>
        <w:pStyle w:val="551"/>
        <w:spacing w:line="36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⑤如投标人是自然人，提供有效的自然人身份证明（居民身份证正反面或公安机关出具的临时居民身份证正反面或港澳台胞证或护照）。</w:t>
      </w:r>
    </w:p>
    <w:p>
      <w:pPr>
        <w:pStyle w:val="551"/>
        <w:spacing w:line="36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12.1.2落实政府采购政策需满足的资格要求</w:t>
      </w:r>
      <w:r>
        <w:rPr>
          <w:rFonts w:hint="eastAsia" w:ascii="仿宋" w:hAnsi="仿宋" w:eastAsia="仿宋" w:cs="仿宋"/>
          <w:color w:val="auto"/>
          <w:sz w:val="24"/>
          <w:highlight w:val="none"/>
          <w:lang w:val="zh-CN"/>
        </w:rPr>
        <w:t>证明材料</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12.1.3本项目的特定资格</w:t>
      </w:r>
      <w:r>
        <w:rPr>
          <w:rFonts w:hint="eastAsia" w:ascii="仿宋" w:hAnsi="仿宋" w:eastAsia="仿宋" w:cs="仿宋"/>
          <w:color w:val="auto"/>
          <w:sz w:val="24"/>
          <w:highlight w:val="none"/>
          <w:lang w:val="zh-CN"/>
        </w:rPr>
        <w:t>证明材料。</w:t>
      </w:r>
    </w:p>
    <w:p>
      <w:pPr>
        <w:snapToGrid w:val="0"/>
        <w:spacing w:line="360" w:lineRule="auto"/>
        <w:ind w:firstLine="482" w:firstLineChars="200"/>
        <w:outlineLvl w:val="3"/>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zh-CN"/>
        </w:rPr>
        <w:t>1</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tabs>
          <w:tab w:val="left" w:pos="942"/>
        </w:tabs>
        <w:snapToGrid w:val="0"/>
        <w:spacing w:line="360" w:lineRule="auto"/>
        <w:ind w:firstLine="480" w:firstLineChars="200"/>
        <w:outlineLvl w:val="4"/>
        <w:rPr>
          <w:rFonts w:hint="eastAsia" w:ascii="仿宋" w:hAnsi="仿宋" w:eastAsia="仿宋" w:cs="仿宋"/>
          <w:color w:val="auto"/>
          <w:sz w:val="24"/>
          <w:highlight w:val="none"/>
        </w:rPr>
      </w:pPr>
      <w:r>
        <w:rPr>
          <w:rFonts w:hint="eastAsia" w:ascii="仿宋" w:hAnsi="仿宋" w:eastAsia="仿宋" w:cs="仿宋"/>
          <w:color w:val="auto"/>
          <w:sz w:val="24"/>
          <w:highlight w:val="none"/>
        </w:rPr>
        <w:t>12.2.1投标函；</w:t>
      </w:r>
      <w:r>
        <w:rPr>
          <w:rFonts w:hint="eastAsia" w:ascii="仿宋" w:hAnsi="仿宋" w:eastAsia="仿宋" w:cs="仿宋"/>
          <w:color w:val="auto"/>
          <w:sz w:val="24"/>
          <w:highlight w:val="none"/>
          <w:lang w:val="zh-CN"/>
        </w:rPr>
        <w:t xml:space="preserve">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12.2.2授权委托书或法定代表人（单位负责人、自然人本人）身份证明；</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12.2.3联合协议；</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12.2.4分包意向协议；</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12.2.5评标标准相应的商务技术资料；</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12.2.6商务技术偏离表；</w:t>
      </w:r>
    </w:p>
    <w:p>
      <w:pPr>
        <w:snapToGrid w:val="0"/>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12.2.7承诺函</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val="zh-CN"/>
        </w:rPr>
        <w:t>投标人认为需要提供的其他材料。</w:t>
      </w:r>
    </w:p>
    <w:p>
      <w:pPr>
        <w:snapToGrid w:val="0"/>
        <w:spacing w:line="360" w:lineRule="auto"/>
        <w:ind w:firstLine="480" w:firstLineChars="200"/>
        <w:outlineLvl w:val="3"/>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12.3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12.3.1开标一览表；</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12.3.2投标分项报价表；</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12.3.4中小企业声明函（残疾人福利性单位声明函、监狱企业提供的相关证明材料）</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482" w:firstLineChars="2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 xml:space="preserve">投标人提供虚假材料投标的，投标无效。 </w:t>
      </w:r>
    </w:p>
    <w:p>
      <w:pPr>
        <w:pStyle w:val="354"/>
        <w:snapToGrid w:val="0"/>
        <w:spacing w:before="0"/>
        <w:ind w:firstLine="0" w:firstLineChars="0"/>
        <w:outlineLvl w:val="2"/>
        <w:rPr>
          <w:rFonts w:hint="eastAsia" w:ascii="仿宋" w:hAnsi="仿宋" w:eastAsia="仿宋" w:cs="仿宋"/>
          <w:b/>
          <w:color w:val="auto"/>
          <w:szCs w:val="24"/>
          <w:highlight w:val="none"/>
        </w:rPr>
      </w:pPr>
      <w:bookmarkStart w:id="27" w:name="_Toc23416"/>
      <w:bookmarkStart w:id="28" w:name="_Toc19035"/>
      <w:bookmarkStart w:id="29" w:name="_Toc6297"/>
      <w:r>
        <w:rPr>
          <w:rFonts w:hint="eastAsia" w:ascii="仿宋" w:hAnsi="仿宋" w:eastAsia="仿宋" w:cs="仿宋"/>
          <w:b/>
          <w:color w:val="auto"/>
          <w:szCs w:val="24"/>
          <w:highlight w:val="none"/>
        </w:rPr>
        <w:t>13</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bookmarkEnd w:id="27"/>
      <w:bookmarkEnd w:id="28"/>
      <w:bookmarkEnd w:id="29"/>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rPr>
        <w:t>3</w:t>
      </w:r>
      <w:r>
        <w:rPr>
          <w:rFonts w:hint="eastAsia" w:ascii="仿宋" w:hAnsi="仿宋" w:eastAsia="仿宋" w:cs="仿宋"/>
          <w:color w:val="auto"/>
          <w:kern w:val="0"/>
          <w:sz w:val="24"/>
          <w:highlight w:val="none"/>
          <w:lang w:val="zh-CN"/>
        </w:rPr>
        <w:t>.3使用“政采云电子交易客户端”需要提前申领CA数字证书，申领流程请自行前往“浙江政府采购网-下载专区-电子交易客户端-CA驱动和申领流程”进行查阅。</w:t>
      </w:r>
    </w:p>
    <w:p>
      <w:pPr>
        <w:pStyle w:val="354"/>
        <w:snapToGrid w:val="0"/>
        <w:spacing w:before="0"/>
        <w:ind w:firstLine="482"/>
        <w:outlineLvl w:val="2"/>
        <w:rPr>
          <w:rFonts w:hint="eastAsia" w:ascii="仿宋" w:hAnsi="仿宋" w:eastAsia="仿宋" w:cs="仿宋"/>
          <w:b/>
          <w:bCs/>
          <w:color w:val="auto"/>
          <w:highlight w:val="none"/>
          <w:u w:val="single"/>
        </w:rPr>
      </w:pPr>
      <w:bookmarkStart w:id="30" w:name="_Toc1765"/>
      <w:r>
        <w:rPr>
          <w:rFonts w:hint="eastAsia" w:ascii="仿宋" w:hAnsi="仿宋" w:eastAsia="仿宋" w:cs="仿宋"/>
          <w:b/>
          <w:color w:val="auto"/>
          <w:szCs w:val="24"/>
          <w:highlight w:val="none"/>
        </w:rPr>
        <w:t>14投标报价</w:t>
      </w:r>
      <w:bookmarkEnd w:id="30"/>
    </w:p>
    <w:p>
      <w:pPr>
        <w:pStyle w:val="354"/>
        <w:snapToGrid w:val="0"/>
        <w:spacing w:before="0"/>
        <w:ind w:firstLine="482"/>
        <w:rPr>
          <w:rFonts w:hint="eastAsia" w:ascii="仿宋" w:hAnsi="仿宋" w:eastAsia="仿宋" w:cs="仿宋"/>
          <w:b/>
          <w:bCs/>
          <w:color w:val="auto"/>
          <w:highlight w:val="none"/>
          <w:u w:val="single"/>
        </w:rPr>
      </w:pPr>
      <w:r>
        <w:rPr>
          <w:rFonts w:hint="eastAsia" w:ascii="仿宋" w:hAnsi="仿宋" w:eastAsia="仿宋" w:cs="仿宋"/>
          <w:b/>
          <w:bCs/>
          <w:color w:val="auto"/>
          <w:highlight w:val="none"/>
          <w:u w:val="single"/>
        </w:rPr>
        <w:t>14.</w:t>
      </w:r>
      <w:r>
        <w:rPr>
          <w:rFonts w:hint="eastAsia" w:ascii="仿宋" w:hAnsi="仿宋" w:eastAsia="仿宋" w:cs="仿宋"/>
          <w:b/>
          <w:bCs/>
          <w:color w:val="auto"/>
          <w:highlight w:val="none"/>
          <w:u w:val="single"/>
          <w:lang w:val="zh-CN"/>
        </w:rPr>
        <w:t>1 ▲</w:t>
      </w:r>
      <w:r>
        <w:rPr>
          <w:rFonts w:hint="eastAsia" w:ascii="仿宋" w:hAnsi="仿宋" w:eastAsia="仿宋" w:cs="仿宋"/>
          <w:b/>
          <w:bCs/>
          <w:color w:val="auto"/>
          <w:highlight w:val="none"/>
          <w:u w:val="single"/>
        </w:rPr>
        <w:t xml:space="preserve">投标报价形式: </w:t>
      </w:r>
      <w:r>
        <w:rPr>
          <w:rFonts w:hint="eastAsia" w:ascii="仿宋" w:hAnsi="仿宋" w:eastAsia="仿宋" w:cs="仿宋"/>
          <w:color w:val="auto"/>
          <w:highlight w:val="none"/>
          <w:u w:val="single"/>
        </w:rPr>
        <w:sym w:font="Wingdings" w:char="00FE"/>
      </w:r>
      <w:r>
        <w:rPr>
          <w:rFonts w:hint="eastAsia" w:ascii="仿宋" w:hAnsi="仿宋" w:eastAsia="仿宋" w:cs="仿宋"/>
          <w:b/>
          <w:bCs/>
          <w:color w:val="auto"/>
          <w:highlight w:val="none"/>
          <w:u w:val="single"/>
        </w:rPr>
        <w:t xml:space="preserve">人民币总价报价：       </w:t>
      </w:r>
    </w:p>
    <w:p>
      <w:pPr>
        <w:pStyle w:val="354"/>
        <w:snapToGrid w:val="0"/>
        <w:spacing w:before="0"/>
        <w:ind w:firstLine="480"/>
        <w:rPr>
          <w:rFonts w:hint="eastAsia" w:ascii="仿宋" w:hAnsi="仿宋" w:eastAsia="仿宋" w:cs="仿宋"/>
          <w:color w:val="auto"/>
          <w:highlight w:val="none"/>
          <w:lang w:val="zh-CN"/>
        </w:rPr>
      </w:pPr>
      <w:r>
        <w:rPr>
          <w:rFonts w:hint="eastAsia" w:ascii="仿宋" w:hAnsi="仿宋" w:eastAsia="仿宋" w:cs="仿宋"/>
          <w:color w:val="auto"/>
          <w:highlight w:val="none"/>
        </w:rPr>
        <w:t xml:space="preserve">14.2 </w:t>
      </w:r>
      <w:r>
        <w:rPr>
          <w:rFonts w:hint="eastAsia" w:ascii="仿宋" w:hAnsi="仿宋" w:eastAsia="仿宋" w:cs="仿宋"/>
          <w:color w:val="auto"/>
          <w:highlight w:val="none"/>
        </w:rPr>
        <w:sym w:font="Wingdings" w:char="00FE"/>
      </w:r>
      <w:r>
        <w:rPr>
          <w:rFonts w:hint="eastAsia" w:ascii="仿宋" w:hAnsi="仿宋" w:eastAsia="仿宋" w:cs="仿宋"/>
          <w:color w:val="auto"/>
          <w:highlight w:val="none"/>
        </w:rPr>
        <w:t>人民币总价报价：</w:t>
      </w:r>
      <w:r>
        <w:rPr>
          <w:rFonts w:hint="eastAsia" w:ascii="仿宋" w:hAnsi="仿宋" w:eastAsia="仿宋" w:cs="仿宋"/>
          <w:color w:val="auto"/>
          <w:highlight w:val="none"/>
          <w:lang w:val="zh-CN"/>
        </w:rPr>
        <w:t>有关本项目实施所需的所有费用（含税费）均计入报价。</w:t>
      </w:r>
      <w:r>
        <w:rPr>
          <w:rFonts w:hint="eastAsia" w:ascii="仿宋" w:hAnsi="仿宋" w:eastAsia="仿宋" w:cs="仿宋"/>
          <w:color w:val="auto"/>
          <w:highlight w:val="none"/>
        </w:rPr>
        <w:t>开标一览表是报价的唯一载体</w:t>
      </w:r>
      <w:r>
        <w:rPr>
          <w:rFonts w:hint="eastAsia" w:ascii="仿宋" w:hAnsi="仿宋" w:eastAsia="仿宋" w:cs="仿宋"/>
          <w:color w:val="auto"/>
          <w:highlight w:val="none"/>
          <w:lang w:val="zh-CN"/>
        </w:rPr>
        <w:t>。投标文件中价格全部采用人民币报价。招标文件未列明，而投标人认为必需的费用也需列入报价。</w:t>
      </w:r>
    </w:p>
    <w:p>
      <w:pPr>
        <w:pStyle w:val="354"/>
        <w:snapToGrid w:val="0"/>
        <w:spacing w:before="0"/>
        <w:ind w:firstLine="480"/>
        <w:rPr>
          <w:rFonts w:hint="eastAsia" w:ascii="仿宋" w:hAnsi="仿宋" w:eastAsia="仿宋" w:cs="仿宋"/>
          <w:b/>
          <w:bCs/>
          <w:color w:val="auto"/>
          <w:highlight w:val="none"/>
          <w:lang w:val="zh-CN"/>
        </w:rPr>
      </w:pPr>
      <w:r>
        <w:rPr>
          <w:rFonts w:hint="eastAsia" w:ascii="仿宋" w:hAnsi="仿宋" w:eastAsia="仿宋" w:cs="仿宋"/>
          <w:color w:val="auto"/>
          <w:highlight w:val="none"/>
        </w:rPr>
        <w:t>14.3</w:t>
      </w:r>
      <w:r>
        <w:rPr>
          <w:rFonts w:hint="eastAsia" w:ascii="仿宋" w:hAnsi="仿宋" w:eastAsia="仿宋" w:cs="仿宋"/>
          <w:b/>
          <w:bCs/>
          <w:color w:val="auto"/>
          <w:highlight w:val="none"/>
          <w:u w:val="single"/>
        </w:rPr>
        <w:t>▲所投标项只允许有一个报价，不接受有选择报价的投标文件。</w:t>
      </w:r>
    </w:p>
    <w:p>
      <w:pPr>
        <w:snapToGrid w:val="0"/>
        <w:spacing w:line="360" w:lineRule="auto"/>
        <w:outlineLvl w:val="2"/>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15.投标文件的签署、盖章</w:t>
      </w:r>
    </w:p>
    <w:p>
      <w:pPr>
        <w:pStyle w:val="354"/>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15.1投标文件按照招标文件第六部分格式要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u w:val="single"/>
        </w:rPr>
        <w:t>▲投标人的投标文件未按照招标文件要求签署、盖章的，其投标无效</w:t>
      </w:r>
      <w:r>
        <w:rPr>
          <w:rFonts w:hint="eastAsia" w:ascii="仿宋" w:hAnsi="仿宋" w:eastAsia="仿宋" w:cs="仿宋"/>
          <w:color w:val="auto"/>
          <w:szCs w:val="24"/>
          <w:highlight w:val="none"/>
          <w:u w:val="single"/>
        </w:rPr>
        <w:t>。</w:t>
      </w:r>
    </w:p>
    <w:p>
      <w:pPr>
        <w:pStyle w:val="354"/>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15.2为确保网上操作合法、有效和安全，投标人应当在投标截止时间前完成在“政府采购云平台”的身份认证，确保在电子投标过程中能够对相关数据电文进行加密和使用电子签名。</w:t>
      </w:r>
    </w:p>
    <w:p>
      <w:pPr>
        <w:pStyle w:val="354"/>
        <w:snapToGrid w:val="0"/>
        <w:spacing w:before="0"/>
        <w:ind w:firstLine="480"/>
        <w:outlineLvl w:val="3"/>
        <w:rPr>
          <w:rFonts w:hint="eastAsia" w:ascii="仿宋" w:hAnsi="仿宋" w:eastAsia="仿宋" w:cs="仿宋"/>
          <w:color w:val="auto"/>
          <w:szCs w:val="24"/>
          <w:highlight w:val="none"/>
        </w:rPr>
      </w:pPr>
      <w:r>
        <w:rPr>
          <w:rFonts w:hint="eastAsia" w:ascii="仿宋" w:hAnsi="仿宋" w:eastAsia="仿宋" w:cs="仿宋"/>
          <w:color w:val="auto"/>
          <w:highlight w:val="none"/>
        </w:rPr>
        <w:t>15.3招标文件对投标文件签署、盖章的要求适用于电子签名。</w:t>
      </w:r>
    </w:p>
    <w:p>
      <w:pPr>
        <w:pStyle w:val="354"/>
        <w:spacing w:before="0"/>
        <w:ind w:firstLine="0" w:firstLineChars="0"/>
        <w:outlineLvl w:val="2"/>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 投标文件的提交、补充、修改、撤回</w:t>
      </w:r>
    </w:p>
    <w:p>
      <w:pPr>
        <w:pStyle w:val="354"/>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16.1 供应商应当在投标截止时间</w:t>
      </w:r>
      <w:r>
        <w:rPr>
          <w:rFonts w:hint="eastAsia" w:ascii="仿宋" w:hAnsi="仿宋" w:eastAsia="仿宋" w:cs="仿宋"/>
          <w:color w:val="auto"/>
          <w:highlight w:val="none"/>
        </w:rPr>
        <w:t>前将加密的投标文件上传至政府采购云平台，</w:t>
      </w:r>
      <w:r>
        <w:rPr>
          <w:rFonts w:hint="eastAsia" w:ascii="仿宋" w:hAnsi="仿宋" w:eastAsia="仿宋" w:cs="仿宋"/>
          <w:color w:val="auto"/>
          <w:szCs w:val="24"/>
          <w:highlight w:val="none"/>
        </w:rPr>
        <w:t>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54"/>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16.2电子交易平台收到投标文件，将妥善保存并即时向供应商发出确认回执通知。在投标截止时间前，除供应商补充、修改或者撤回投标文件外，任何单位和个人不得解密或提取投标文件。</w:t>
      </w:r>
    </w:p>
    <w:p>
      <w:pPr>
        <w:pStyle w:val="354"/>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16.3采购人、采购代理机构可以视情况延长投标文件提交的截止时间。在上述情况下，采购代理机构与投标人以前在投标截止期方面的全部权利、责任和义务，将适用于延长至新的投标截止期。</w:t>
      </w:r>
    </w:p>
    <w:p>
      <w:pPr>
        <w:pStyle w:val="354"/>
        <w:spacing w:before="0"/>
        <w:ind w:firstLine="480"/>
        <w:outlineLvl w:val="3"/>
        <w:rPr>
          <w:rFonts w:hint="eastAsia" w:ascii="仿宋" w:hAnsi="仿宋" w:eastAsia="仿宋" w:cs="仿宋"/>
          <w:color w:val="auto"/>
          <w:szCs w:val="24"/>
          <w:highlight w:val="none"/>
        </w:rPr>
      </w:pPr>
      <w:r>
        <w:rPr>
          <w:rFonts w:hint="eastAsia" w:ascii="仿宋" w:hAnsi="仿宋" w:eastAsia="仿宋" w:cs="仿宋"/>
          <w:color w:val="auto"/>
          <w:szCs w:val="24"/>
          <w:highlight w:val="none"/>
        </w:rPr>
        <w:t>16.4备份投标文件</w:t>
      </w:r>
    </w:p>
    <w:p>
      <w:pPr>
        <w:pStyle w:val="34"/>
        <w:spacing w:line="360" w:lineRule="auto"/>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16.4</w:t>
      </w:r>
      <w:r>
        <w:rPr>
          <w:rFonts w:hint="eastAsia" w:ascii="仿宋" w:hAnsi="仿宋" w:eastAsia="仿宋" w:cs="仿宋"/>
          <w:color w:val="auto"/>
          <w:szCs w:val="24"/>
          <w:highlight w:val="none"/>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zh-CN"/>
        </w:rPr>
        <w:t>备份投标文件”是指与“电子加密投标文件”同时生成的数据电文形式的电子文件（备份标书），其他方式编制的备份投标文件视为无效备份投标文件。</w:t>
      </w:r>
    </w:p>
    <w:p>
      <w:pPr>
        <w:pStyle w:val="34"/>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bCs/>
          <w:color w:val="auto"/>
          <w:kern w:val="0"/>
          <w:sz w:val="24"/>
          <w:szCs w:val="24"/>
          <w:highlight w:val="none"/>
        </w:rPr>
        <w:t>为确保采购项目顺利实施，避免因政采云上电子投标文件解密失败导致投标人投标无效，</w:t>
      </w:r>
      <w:r>
        <w:rPr>
          <w:rFonts w:hint="eastAsia" w:ascii="仿宋" w:hAnsi="仿宋" w:eastAsia="仿宋" w:cs="仿宋"/>
          <w:color w:val="auto"/>
          <w:sz w:val="24"/>
          <w:szCs w:val="24"/>
          <w:highlight w:val="none"/>
        </w:rPr>
        <w:t>投标人在电子交易平台传输递交投标文件后，还可以在投标截止时间前提交电文文档形式的备份投标文件，备份投标文件提交形式：</w:t>
      </w:r>
    </w:p>
    <w:p>
      <w:pPr>
        <w:pStyle w:val="34"/>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sym w:font="Wingdings" w:char="00FE"/>
      </w:r>
      <w:r>
        <w:rPr>
          <w:rFonts w:hint="eastAsia" w:ascii="仿宋" w:hAnsi="仿宋" w:eastAsia="仿宋" w:cs="仿宋"/>
          <w:color w:val="auto"/>
          <w:sz w:val="24"/>
          <w:szCs w:val="24"/>
          <w:highlight w:val="none"/>
        </w:rPr>
        <w:t>以电子邮件形式将生成的备份投标文件发送到采购代理机构邮箱号：</w:t>
      </w:r>
      <w:r>
        <w:rPr>
          <w:rFonts w:hint="eastAsia" w:ascii="仿宋" w:hAnsi="仿宋" w:eastAsia="仿宋" w:cs="仿宋"/>
          <w:color w:val="auto"/>
          <w:sz w:val="24"/>
          <w:szCs w:val="24"/>
          <w:highlight w:val="none"/>
          <w:u w:val="single"/>
        </w:rPr>
        <w:t>516875482@qq.com，</w:t>
      </w:r>
      <w:r>
        <w:rPr>
          <w:rFonts w:hint="eastAsia" w:ascii="仿宋" w:hAnsi="仿宋" w:eastAsia="仿宋" w:cs="仿宋"/>
          <w:color w:val="auto"/>
          <w:sz w:val="24"/>
          <w:szCs w:val="24"/>
          <w:highlight w:val="none"/>
        </w:rPr>
        <w:t>备份投标文件签收人员联系方式：</w:t>
      </w:r>
      <w:r>
        <w:rPr>
          <w:rFonts w:hint="eastAsia" w:ascii="仿宋" w:hAnsi="仿宋" w:eastAsia="仿宋" w:cs="仿宋"/>
          <w:color w:val="auto"/>
          <w:sz w:val="24"/>
          <w:szCs w:val="24"/>
          <w:highlight w:val="none"/>
          <w:u w:val="single"/>
        </w:rPr>
        <w:t xml:space="preserve">  齐贺15088550610  </w:t>
      </w:r>
      <w:r>
        <w:rPr>
          <w:rFonts w:hint="eastAsia" w:ascii="仿宋" w:hAnsi="仿宋" w:eastAsia="仿宋" w:cs="仿宋"/>
          <w:color w:val="auto"/>
          <w:sz w:val="24"/>
          <w:szCs w:val="24"/>
          <w:highlight w:val="none"/>
        </w:rPr>
        <w:t>，并注明</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投标人名称、项目编号、项目名称、备份投标文件</w:t>
      </w:r>
      <w:r>
        <w:rPr>
          <w:rFonts w:hint="eastAsia" w:ascii="仿宋" w:hAnsi="仿宋" w:eastAsia="仿宋" w:cs="仿宋"/>
          <w:color w:val="auto"/>
          <w:sz w:val="24"/>
          <w:szCs w:val="24"/>
          <w:highlight w:val="none"/>
          <w:lang w:val="zh-CN"/>
        </w:rPr>
        <w:t>等”信息，</w:t>
      </w:r>
      <w:r>
        <w:rPr>
          <w:rFonts w:hint="eastAsia" w:ascii="仿宋" w:hAnsi="仿宋" w:eastAsia="仿宋" w:cs="仿宋"/>
          <w:b/>
          <w:color w:val="auto"/>
          <w:sz w:val="24"/>
          <w:szCs w:val="24"/>
          <w:highlight w:val="none"/>
        </w:rPr>
        <w:t>不符合上述制作规定的备份投标文件将被视为无效或者被拒绝接收。</w:t>
      </w:r>
    </w:p>
    <w:p>
      <w:pPr>
        <w:pStyle w:val="34"/>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解密CA必须是上传并制作电子投标文件CA锁，</w:t>
      </w:r>
      <w:r>
        <w:rPr>
          <w:rFonts w:hint="eastAsia" w:ascii="仿宋" w:hAnsi="仿宋" w:eastAsia="仿宋" w:cs="仿宋"/>
          <w:b/>
          <w:color w:val="auto"/>
          <w:sz w:val="24"/>
          <w:szCs w:val="24"/>
          <w:highlight w:val="none"/>
        </w:rPr>
        <w:t>但采购人、采购代理机构不强制或变相强制投标人提交备份投标文件。</w:t>
      </w:r>
    </w:p>
    <w:p>
      <w:pPr>
        <w:pStyle w:val="34"/>
        <w:spacing w:line="360" w:lineRule="auto"/>
        <w:ind w:firstLine="477" w:firstLineChars="19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16.4</w:t>
      </w:r>
      <w:r>
        <w:rPr>
          <w:rFonts w:hint="eastAsia" w:ascii="仿宋" w:hAnsi="仿宋" w:eastAsia="仿宋" w:cs="仿宋"/>
          <w:color w:val="auto"/>
          <w:szCs w:val="24"/>
          <w:highlight w:val="none"/>
        </w:rPr>
        <w:t>.</w:t>
      </w:r>
      <w:r>
        <w:rPr>
          <w:rFonts w:hint="eastAsia" w:ascii="仿宋" w:hAnsi="仿宋" w:eastAsia="仿宋" w:cs="仿宋"/>
          <w:color w:val="auto"/>
          <w:sz w:val="24"/>
          <w:szCs w:val="24"/>
          <w:highlight w:val="none"/>
        </w:rPr>
        <w:t>2</w:t>
      </w:r>
      <w:r>
        <w:rPr>
          <w:rFonts w:hint="eastAsia" w:ascii="仿宋" w:hAnsi="仿宋" w:eastAsia="仿宋" w:cs="仿宋"/>
          <w:b/>
          <w:color w:val="auto"/>
          <w:sz w:val="24"/>
          <w:szCs w:val="24"/>
          <w:highlight w:val="none"/>
        </w:rPr>
        <w:t>投标人仅提交备份投标文件，没有在电子交易平台传输递交投标文件的，投标无效。</w:t>
      </w:r>
    </w:p>
    <w:p>
      <w:pPr>
        <w:pStyle w:val="354"/>
        <w:spacing w:before="0"/>
        <w:ind w:firstLine="0" w:firstLineChars="0"/>
        <w:outlineLvl w:val="2"/>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17.1投标有效期详见投标须知前附表。</w:t>
      </w:r>
      <w:r>
        <w:rPr>
          <w:rFonts w:hint="eastAsia" w:ascii="仿宋" w:hAnsi="仿宋" w:eastAsia="仿宋" w:cs="仿宋"/>
          <w:color w:val="auto"/>
          <w:sz w:val="24"/>
          <w:szCs w:val="20"/>
          <w:highlight w:val="none"/>
          <w:u w:val="single"/>
        </w:rPr>
        <w:t>▲</w:t>
      </w:r>
      <w:r>
        <w:rPr>
          <w:rFonts w:hint="eastAsia" w:ascii="仿宋" w:hAnsi="仿宋" w:eastAsia="仿宋" w:cs="仿宋"/>
          <w:b/>
          <w:color w:val="auto"/>
          <w:sz w:val="24"/>
          <w:szCs w:val="20"/>
          <w:highlight w:val="none"/>
          <w:u w:val="single"/>
        </w:rPr>
        <w:t>投标人的投标文件中承</w:t>
      </w:r>
      <w:r>
        <w:rPr>
          <w:rFonts w:hint="eastAsia" w:ascii="仿宋" w:hAnsi="仿宋" w:eastAsia="仿宋" w:cs="仿宋"/>
          <w:b/>
          <w:color w:val="auto"/>
          <w:sz w:val="24"/>
          <w:szCs w:val="21"/>
          <w:highlight w:val="none"/>
          <w:u w:val="single"/>
        </w:rPr>
        <w:t>诺的投标有效期少于招标文件中载明的投标有效期的，投标无效。</w:t>
      </w:r>
    </w:p>
    <w:p>
      <w:pPr>
        <w:pStyle w:val="354"/>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354"/>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354"/>
        <w:spacing w:before="0"/>
        <w:ind w:firstLine="1063" w:firstLineChars="331"/>
        <w:rPr>
          <w:rFonts w:hint="eastAsia" w:ascii="仿宋" w:hAnsi="仿宋" w:eastAsia="仿宋" w:cs="仿宋"/>
          <w:b/>
          <w:color w:val="auto"/>
          <w:sz w:val="32"/>
          <w:highlight w:val="none"/>
        </w:rPr>
      </w:pPr>
    </w:p>
    <w:p>
      <w:pPr>
        <w:pStyle w:val="6"/>
        <w:jc w:val="center"/>
        <w:rPr>
          <w:rStyle w:val="83"/>
          <w:rFonts w:hint="eastAsia" w:ascii="仿宋" w:eastAsia="仿宋" w:cs="仿宋"/>
          <w:b/>
          <w:bCs/>
          <w:color w:val="auto"/>
          <w:kern w:val="2"/>
          <w:highlight w:val="none"/>
          <w:lang w:eastAsia="zh-CN"/>
        </w:rPr>
      </w:pPr>
      <w:bookmarkStart w:id="31" w:name="_Toc9641"/>
      <w:r>
        <w:rPr>
          <w:rStyle w:val="83"/>
          <w:rFonts w:hint="eastAsia" w:ascii="仿宋" w:eastAsia="仿宋" w:cs="仿宋"/>
          <w:b/>
          <w:bCs/>
          <w:color w:val="auto"/>
          <w:kern w:val="2"/>
          <w:highlight w:val="none"/>
          <w:lang w:eastAsia="zh-CN"/>
        </w:rPr>
        <w:t>四、开标、资格审查与信用信息查询</w:t>
      </w:r>
      <w:bookmarkEnd w:id="31"/>
    </w:p>
    <w:p>
      <w:pPr>
        <w:pStyle w:val="679"/>
        <w:spacing w:before="0" w:line="360" w:lineRule="auto"/>
        <w:ind w:left="0" w:firstLine="241" w:firstLineChars="100"/>
        <w:contextualSpacing/>
        <w:outlineLvl w:val="2"/>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679"/>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18.1采购代理机构按照招标文件规定的时间通过电子交易平台组织开标，所有投标人均应当准时在线参加。投标人不足3家的，不得开标。</w:t>
      </w:r>
    </w:p>
    <w:p>
      <w:pPr>
        <w:pStyle w:val="679"/>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679"/>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outlineLvl w:val="2"/>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354"/>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19.1开标后，采购人或采购代理机构将依法对投标人的资格进行审查。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采购人或采购代理机构依据法律法规和招标文件的规定，对投标人的基本资格条件、特定资格条件等进行审查。</w:t>
      </w:r>
    </w:p>
    <w:p>
      <w:pPr>
        <w:pStyle w:val="354"/>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354"/>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4对未通过资格审查的投标人，采购人或采购代理机构告知其未通过的原因。</w:t>
      </w:r>
    </w:p>
    <w:p>
      <w:pPr>
        <w:pStyle w:val="354"/>
        <w:spacing w:before="0"/>
        <w:ind w:firstLine="480"/>
        <w:outlineLvl w:val="3"/>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354"/>
        <w:spacing w:before="0"/>
        <w:ind w:firstLine="0" w:firstLineChars="0"/>
        <w:outlineLvl w:val="2"/>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354"/>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20.1信用信息查询渠道及截止时间：采购代理机构将通过“信用中国”网站(www.creditchina.gov.cn)、中国政府采购网(www.ccgp.gov.cn)渠道查询投标人投标截止时间当天的信用记录。</w:t>
      </w:r>
    </w:p>
    <w:p>
      <w:pPr>
        <w:pStyle w:val="354"/>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354"/>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354"/>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354"/>
        <w:spacing w:before="0"/>
        <w:ind w:firstLine="0" w:firstLineChars="0"/>
        <w:rPr>
          <w:rFonts w:hint="eastAsia" w:ascii="仿宋" w:hAnsi="仿宋" w:eastAsia="仿宋" w:cs="仿宋"/>
          <w:color w:val="auto"/>
          <w:kern w:val="0"/>
          <w:szCs w:val="24"/>
          <w:highlight w:val="none"/>
        </w:rPr>
      </w:pPr>
    </w:p>
    <w:p>
      <w:pPr>
        <w:pStyle w:val="6"/>
        <w:jc w:val="center"/>
        <w:rPr>
          <w:rStyle w:val="83"/>
          <w:rFonts w:hint="eastAsia" w:ascii="仿宋" w:eastAsia="仿宋" w:cs="仿宋"/>
          <w:b/>
          <w:bCs/>
          <w:color w:val="auto"/>
          <w:kern w:val="2"/>
          <w:highlight w:val="none"/>
          <w:lang w:eastAsia="zh-CN"/>
        </w:rPr>
      </w:pPr>
      <w:bookmarkStart w:id="32" w:name="_Toc4576"/>
      <w:r>
        <w:rPr>
          <w:rStyle w:val="83"/>
          <w:rFonts w:hint="eastAsia" w:ascii="仿宋" w:eastAsia="仿宋" w:cs="仿宋"/>
          <w:b/>
          <w:bCs/>
          <w:color w:val="auto"/>
          <w:kern w:val="2"/>
          <w:highlight w:val="none"/>
          <w:lang w:eastAsia="zh-CN"/>
        </w:rPr>
        <w:t>五、评标</w:t>
      </w:r>
      <w:bookmarkEnd w:id="32"/>
    </w:p>
    <w:p>
      <w:pPr>
        <w:spacing w:line="360" w:lineRule="auto"/>
        <w:rPr>
          <w:rFonts w:hint="eastAsia" w:ascii="仿宋" w:hAnsi="仿宋" w:eastAsia="仿宋" w:cs="仿宋"/>
          <w:bCs/>
          <w:color w:val="auto"/>
          <w:sz w:val="24"/>
          <w:highlight w:val="none"/>
        </w:rPr>
      </w:pPr>
      <w:bookmarkStart w:id="33" w:name="_Toc91899903"/>
      <w:r>
        <w:rPr>
          <w:rFonts w:hint="eastAsia" w:ascii="仿宋" w:hAnsi="仿宋" w:eastAsia="仿宋" w:cs="仿宋"/>
          <w:bCs/>
          <w:color w:val="auto"/>
          <w:sz w:val="24"/>
          <w:highlight w:val="none"/>
        </w:rPr>
        <w:t>21.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评标过程的保密性。开标后直至向中标人授予合同时止，凡与招标有关的资料均不得向投标人及与投标无关人员透露。如果投标人在评标过程中试图向招标采购单位和评标委员会成员施加影响，或扰乱开标和评标秩序，其投标将被拒绝。</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bCs/>
          <w:color w:val="auto"/>
          <w:sz w:val="24"/>
          <w:highlight w:val="none"/>
        </w:rPr>
        <w:t>详见招标文件第四部分评标办法。</w:t>
      </w:r>
    </w:p>
    <w:p>
      <w:pPr>
        <w:pStyle w:val="6"/>
        <w:jc w:val="center"/>
        <w:rPr>
          <w:rStyle w:val="83"/>
          <w:rFonts w:hint="eastAsia" w:ascii="仿宋" w:eastAsia="仿宋" w:cs="仿宋"/>
          <w:b/>
          <w:bCs/>
          <w:color w:val="auto"/>
          <w:kern w:val="2"/>
          <w:highlight w:val="none"/>
          <w:lang w:eastAsia="zh-CN"/>
        </w:rPr>
      </w:pPr>
      <w:bookmarkStart w:id="34" w:name="_Toc29955"/>
      <w:r>
        <w:rPr>
          <w:rStyle w:val="83"/>
          <w:rFonts w:hint="eastAsia" w:ascii="仿宋" w:eastAsia="仿宋" w:cs="仿宋"/>
          <w:b/>
          <w:bCs/>
          <w:color w:val="auto"/>
          <w:kern w:val="2"/>
          <w:highlight w:val="none"/>
          <w:lang w:eastAsia="zh-CN"/>
        </w:rPr>
        <w:t>六、定 标</w:t>
      </w:r>
      <w:bookmarkEnd w:id="34"/>
    </w:p>
    <w:p>
      <w:pPr>
        <w:pStyle w:val="26"/>
        <w:spacing w:line="360" w:lineRule="auto"/>
        <w:ind w:left="479" w:hanging="479" w:hangingChars="199"/>
        <w:outlineLvl w:val="2"/>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354"/>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354"/>
        <w:snapToGrid w:val="0"/>
        <w:spacing w:before="0"/>
        <w:ind w:firstLine="0" w:firstLineChars="0"/>
        <w:outlineLvl w:val="2"/>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pStyle w:val="6"/>
        <w:jc w:val="center"/>
        <w:rPr>
          <w:rStyle w:val="83"/>
          <w:rFonts w:hint="eastAsia" w:ascii="仿宋" w:eastAsia="仿宋" w:cs="仿宋"/>
          <w:b/>
          <w:bCs/>
          <w:color w:val="auto"/>
          <w:kern w:val="2"/>
          <w:highlight w:val="none"/>
          <w:lang w:eastAsia="zh-CN"/>
        </w:rPr>
      </w:pPr>
      <w:bookmarkStart w:id="35" w:name="_Toc11698"/>
      <w:r>
        <w:rPr>
          <w:rStyle w:val="83"/>
          <w:rFonts w:hint="eastAsia" w:ascii="仿宋" w:eastAsia="仿宋" w:cs="仿宋"/>
          <w:b/>
          <w:bCs/>
          <w:color w:val="auto"/>
          <w:kern w:val="2"/>
          <w:highlight w:val="none"/>
          <w:lang w:eastAsia="zh-CN"/>
        </w:rPr>
        <w:t>七、合同授予</w:t>
      </w:r>
      <w:bookmarkEnd w:id="35"/>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354"/>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354"/>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354"/>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354"/>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outlineLvl w:val="2"/>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pStyle w:val="354"/>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不需要</w:t>
      </w:r>
      <w:r>
        <w:rPr>
          <w:rFonts w:hint="eastAsia" w:ascii="仿宋" w:hAnsi="仿宋" w:eastAsia="仿宋" w:cs="仿宋"/>
          <w:color w:val="auto"/>
          <w:highlight w:val="none"/>
        </w:rPr>
        <w:t>。</w:t>
      </w:r>
    </w:p>
    <w:p>
      <w:pPr>
        <w:pStyle w:val="6"/>
        <w:jc w:val="center"/>
        <w:rPr>
          <w:rStyle w:val="83"/>
          <w:rFonts w:hint="eastAsia" w:ascii="仿宋" w:eastAsia="仿宋" w:cs="仿宋"/>
          <w:b/>
          <w:bCs/>
          <w:color w:val="auto"/>
          <w:kern w:val="2"/>
          <w:highlight w:val="none"/>
          <w:lang w:eastAsia="zh-CN"/>
        </w:rPr>
      </w:pPr>
      <w:bookmarkStart w:id="36" w:name="_Toc4363"/>
      <w:r>
        <w:rPr>
          <w:rStyle w:val="83"/>
          <w:rFonts w:hint="eastAsia" w:ascii="仿宋" w:eastAsia="仿宋" w:cs="仿宋"/>
          <w:b/>
          <w:bCs/>
          <w:color w:val="auto"/>
          <w:kern w:val="2"/>
          <w:highlight w:val="none"/>
          <w:lang w:eastAsia="zh-CN"/>
        </w:rPr>
        <w:t>八、电子交易活动的中止</w:t>
      </w:r>
      <w:bookmarkEnd w:id="36"/>
    </w:p>
    <w:p>
      <w:pPr>
        <w:pStyle w:val="354"/>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采购过程中出现以下情形，导致电子交易平台无法正常运行，或者无法保证电子交易的公平、公正和安全时，采购代理机构可中止电子交易活动：</w:t>
      </w:r>
    </w:p>
    <w:p>
      <w:pPr>
        <w:pStyle w:val="354"/>
        <w:snapToGrid w:val="0"/>
        <w:spacing w:before="0"/>
        <w:ind w:firstLine="480"/>
        <w:outlineLvl w:val="2"/>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354"/>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354"/>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354"/>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354"/>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354"/>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6"/>
        <w:jc w:val="center"/>
        <w:rPr>
          <w:rStyle w:val="83"/>
          <w:rFonts w:hint="eastAsia" w:ascii="仿宋" w:eastAsia="仿宋" w:cs="仿宋"/>
          <w:b/>
          <w:bCs/>
          <w:color w:val="auto"/>
          <w:kern w:val="2"/>
          <w:highlight w:val="none"/>
          <w:lang w:eastAsia="zh-CN"/>
        </w:rPr>
      </w:pPr>
      <w:bookmarkStart w:id="37" w:name="_Toc25540"/>
      <w:r>
        <w:rPr>
          <w:rStyle w:val="83"/>
          <w:rFonts w:hint="eastAsia" w:ascii="仿宋" w:eastAsia="仿宋" w:cs="仿宋"/>
          <w:b/>
          <w:bCs/>
          <w:color w:val="auto"/>
          <w:kern w:val="2"/>
          <w:highlight w:val="none"/>
          <w:lang w:eastAsia="zh-CN"/>
        </w:rPr>
        <w:t>九、验收</w:t>
      </w:r>
      <w:bookmarkEnd w:id="37"/>
    </w:p>
    <w:p>
      <w:pPr>
        <w:pStyle w:val="26"/>
        <w:spacing w:line="360" w:lineRule="auto"/>
        <w:ind w:firstLine="0" w:firstLineChars="0"/>
        <w:outlineLvl w:val="2"/>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挂钩。履约验收的各项资料应当存档备查。</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3"/>
    <w:p>
      <w:pPr>
        <w:tabs>
          <w:tab w:val="left" w:pos="0"/>
        </w:tabs>
        <w:spacing w:line="360" w:lineRule="auto"/>
        <w:ind w:firstLine="480"/>
        <w:rPr>
          <w:rFonts w:hint="eastAsia" w:ascii="仿宋" w:hAnsi="仿宋" w:eastAsia="仿宋" w:cs="仿宋"/>
          <w:color w:val="auto"/>
          <w:kern w:val="0"/>
          <w:sz w:val="24"/>
          <w:highlight w:val="none"/>
        </w:rPr>
      </w:pPr>
      <w:bookmarkStart w:id="38" w:name="_Hlt68072998"/>
      <w:bookmarkEnd w:id="38"/>
      <w:bookmarkStart w:id="39" w:name="_Hlt74730295"/>
      <w:bookmarkEnd w:id="39"/>
      <w:bookmarkStart w:id="40" w:name="_Hlt68072990"/>
      <w:bookmarkEnd w:id="40"/>
      <w:bookmarkStart w:id="41" w:name="_Hlt68073093"/>
      <w:bookmarkEnd w:id="41"/>
      <w:bookmarkStart w:id="42" w:name="_Hlt75236290"/>
      <w:bookmarkEnd w:id="42"/>
      <w:bookmarkStart w:id="43" w:name="_Hlt68057669"/>
      <w:bookmarkEnd w:id="43"/>
      <w:bookmarkStart w:id="44" w:name="_Hlt75236101"/>
      <w:bookmarkEnd w:id="44"/>
      <w:bookmarkStart w:id="45" w:name="_Hlt74714665"/>
      <w:bookmarkEnd w:id="45"/>
      <w:bookmarkStart w:id="46" w:name="_Hlt75236011"/>
      <w:bookmarkEnd w:id="46"/>
      <w:bookmarkStart w:id="47" w:name="_Hlt74707468"/>
      <w:bookmarkEnd w:id="47"/>
      <w:bookmarkStart w:id="48" w:name="_Hlt68403820"/>
      <w:bookmarkEnd w:id="48"/>
      <w:bookmarkStart w:id="49" w:name="_Hlt74729768"/>
      <w:bookmarkEnd w:id="49"/>
      <w:r>
        <w:rPr>
          <w:rFonts w:hint="eastAsia" w:ascii="仿宋" w:hAnsi="仿宋" w:eastAsia="仿宋" w:cs="仿宋"/>
          <w:color w:val="auto"/>
          <w:kern w:val="0"/>
          <w:sz w:val="24"/>
          <w:highlight w:val="none"/>
        </w:rPr>
        <w:t>29.5履约验收费用由供应商承担，因供应商原因造成验收不通过的，再次验收的费用仍由供应商承担。</w:t>
      </w:r>
    </w:p>
    <w:p>
      <w:pPr>
        <w:pStyle w:val="6"/>
        <w:outlineLvl w:val="9"/>
        <w:rPr>
          <w:rFonts w:hint="eastAsia" w:ascii="仿宋" w:eastAsia="仿宋" w:cs="仿宋"/>
          <w:color w:val="auto"/>
          <w:highlight w:val="none"/>
        </w:rPr>
        <w:sectPr>
          <w:headerReference r:id="rId4" w:type="first"/>
          <w:footerReference r:id="rId6" w:type="first"/>
          <w:headerReference r:id="rId3" w:type="default"/>
          <w:footerReference r:id="rId5" w:type="default"/>
          <w:pgSz w:w="11906" w:h="16838"/>
          <w:pgMar w:top="1247" w:right="1293" w:bottom="1247" w:left="1293" w:header="851" w:footer="850" w:gutter="0"/>
          <w:pgNumType w:start="1"/>
          <w:cols w:space="720" w:num="1"/>
          <w:titlePg/>
          <w:docGrid w:linePitch="312" w:charSpace="0"/>
        </w:sectPr>
      </w:pPr>
    </w:p>
    <w:bookmarkEnd w:id="17"/>
    <w:bookmarkEnd w:id="18"/>
    <w:p>
      <w:pPr>
        <w:pStyle w:val="6"/>
        <w:numPr>
          <w:ilvl w:val="0"/>
          <w:numId w:val="2"/>
        </w:numPr>
        <w:ind w:left="0" w:leftChars="0" w:firstLine="0" w:firstLineChars="0"/>
        <w:jc w:val="center"/>
        <w:outlineLvl w:val="0"/>
        <w:rPr>
          <w:rStyle w:val="83"/>
          <w:rFonts w:hint="eastAsia" w:ascii="仿宋" w:eastAsia="仿宋" w:cs="仿宋"/>
          <w:b/>
          <w:bCs/>
          <w:color w:val="auto"/>
          <w:kern w:val="2"/>
          <w:highlight w:val="none"/>
          <w:lang w:eastAsia="zh-CN"/>
        </w:rPr>
      </w:pPr>
      <w:bookmarkStart w:id="50" w:name="_Toc18048"/>
      <w:bookmarkStart w:id="51" w:name="第四部分"/>
      <w:r>
        <w:rPr>
          <w:rStyle w:val="83"/>
          <w:rFonts w:hint="eastAsia" w:ascii="仿宋" w:eastAsia="仿宋" w:cs="仿宋"/>
          <w:b/>
          <w:bCs/>
          <w:color w:val="auto"/>
          <w:kern w:val="2"/>
          <w:highlight w:val="none"/>
          <w:lang w:eastAsia="zh-CN"/>
        </w:rPr>
        <w:t xml:space="preserve">  采购需求</w:t>
      </w:r>
      <w:bookmarkEnd w:id="50"/>
    </w:p>
    <w:p>
      <w:pPr>
        <w:snapToGrid w:val="0"/>
        <w:spacing w:line="360" w:lineRule="auto"/>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第</w:t>
      </w:r>
      <w:r>
        <w:rPr>
          <w:rFonts w:hint="eastAsia" w:ascii="仿宋" w:hAnsi="仿宋" w:eastAsia="仿宋" w:cs="仿宋"/>
          <w:b/>
          <w:color w:val="auto"/>
          <w:sz w:val="24"/>
          <w:highlight w:val="none"/>
        </w:rPr>
        <w:t>一</w:t>
      </w:r>
      <w:r>
        <w:rPr>
          <w:rFonts w:hint="eastAsia" w:ascii="仿宋" w:hAnsi="仿宋" w:eastAsia="仿宋" w:cs="仿宋"/>
          <w:b/>
          <w:color w:val="auto"/>
          <w:sz w:val="24"/>
          <w:highlight w:val="none"/>
          <w:lang w:val="en-US" w:eastAsia="zh-CN"/>
        </w:rPr>
        <w:t>条</w:t>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val="en-US" w:eastAsia="zh-CN"/>
        </w:rPr>
        <w:t>项目</w:t>
      </w:r>
      <w:r>
        <w:rPr>
          <w:rFonts w:hint="eastAsia" w:ascii="仿宋" w:hAnsi="仿宋" w:eastAsia="仿宋" w:cs="仿宋"/>
          <w:b/>
          <w:color w:val="auto"/>
          <w:sz w:val="24"/>
          <w:highlight w:val="none"/>
        </w:rPr>
        <w:t>概况</w:t>
      </w:r>
    </w:p>
    <w:p>
      <w:pPr>
        <w:snapToGrid w:val="0"/>
        <w:spacing w:line="360" w:lineRule="auto"/>
        <w:ind w:firstLine="480" w:firstLineChars="200"/>
        <w:jc w:val="left"/>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一</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采购项目预（概）算</w:t>
      </w:r>
    </w:p>
    <w:p>
      <w:pPr>
        <w:snapToGrid w:val="0"/>
        <w:spacing w:line="360" w:lineRule="auto"/>
        <w:ind w:firstLine="480" w:firstLineChars="200"/>
        <w:jc w:val="left"/>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rPr>
        <w:t>总预算：</w:t>
      </w:r>
      <w:r>
        <w:rPr>
          <w:rFonts w:hint="eastAsia" w:ascii="仿宋" w:hAnsi="仿宋" w:eastAsia="仿宋" w:cs="仿宋"/>
          <w:color w:val="auto"/>
          <w:sz w:val="24"/>
          <w:highlight w:val="none"/>
          <w:u w:val="none"/>
          <w:lang w:val="en-US" w:eastAsia="zh-CN"/>
        </w:rPr>
        <w:t>人民币</w:t>
      </w:r>
      <w:r>
        <w:rPr>
          <w:rFonts w:hint="eastAsia" w:ascii="仿宋" w:hAnsi="仿宋" w:eastAsia="仿宋" w:cs="仿宋"/>
          <w:color w:val="auto"/>
          <w:sz w:val="24"/>
          <w:highlight w:val="none"/>
          <w:u w:val="none"/>
          <w:lang w:val="en-US" w:eastAsia="zh-CN"/>
        </w:rPr>
        <w:fldChar w:fldCharType="begin"/>
      </w:r>
      <w:r>
        <w:rPr>
          <w:rFonts w:hint="eastAsia" w:ascii="仿宋" w:hAnsi="仿宋" w:eastAsia="仿宋" w:cs="仿宋"/>
          <w:color w:val="auto"/>
          <w:sz w:val="24"/>
          <w:highlight w:val="none"/>
          <w:u w:val="none"/>
          <w:lang w:val="en-US" w:eastAsia="zh-CN"/>
        </w:rPr>
        <w:instrText xml:space="preserve"> = 60357600 \* CHINESENUM4 \* MERGEFORMAT </w:instrText>
      </w:r>
      <w:r>
        <w:rPr>
          <w:rFonts w:hint="eastAsia" w:ascii="仿宋" w:hAnsi="仿宋" w:eastAsia="仿宋" w:cs="仿宋"/>
          <w:color w:val="auto"/>
          <w:sz w:val="24"/>
          <w:highlight w:val="none"/>
          <w:u w:val="none"/>
          <w:lang w:val="en-US" w:eastAsia="zh-CN"/>
        </w:rPr>
        <w:fldChar w:fldCharType="separate"/>
      </w:r>
      <w:r>
        <w:rPr>
          <w:rFonts w:hint="eastAsia" w:ascii="仿宋" w:hAnsi="仿宋" w:eastAsia="仿宋" w:cs="仿宋"/>
          <w:color w:val="auto"/>
          <w:sz w:val="24"/>
          <w:highlight w:val="none"/>
          <w:u w:val="none"/>
          <w:lang w:val="en-US" w:eastAsia="zh-CN"/>
        </w:rPr>
        <w:t>陆仟零叁拾伍万柒仟陆佰元整</w:t>
      </w:r>
      <w:r>
        <w:rPr>
          <w:rFonts w:hint="eastAsia" w:ascii="仿宋" w:hAnsi="仿宋" w:eastAsia="仿宋" w:cs="仿宋"/>
          <w:color w:val="auto"/>
          <w:sz w:val="24"/>
          <w:highlight w:val="none"/>
          <w:u w:val="none"/>
          <w:lang w:val="en-US" w:eastAsia="zh-CN"/>
        </w:rPr>
        <w:fldChar w:fldCharType="end"/>
      </w:r>
      <w:r>
        <w:rPr>
          <w:rFonts w:hint="eastAsia" w:ascii="仿宋" w:hAnsi="仿宋" w:eastAsia="仿宋" w:cs="仿宋"/>
          <w:color w:val="auto"/>
          <w:sz w:val="24"/>
          <w:highlight w:val="none"/>
          <w:u w:val="none"/>
          <w:lang w:val="en-US" w:eastAsia="zh-CN"/>
        </w:rPr>
        <w:t>（¥6035.76万元）</w:t>
      </w:r>
    </w:p>
    <w:p>
      <w:pPr>
        <w:snapToGrid w:val="0"/>
        <w:spacing w:line="360" w:lineRule="auto"/>
        <w:ind w:firstLine="480" w:firstLineChars="200"/>
        <w:jc w:val="left"/>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标项一预算：人民币</w:t>
      </w:r>
      <w:r>
        <w:rPr>
          <w:rFonts w:hint="eastAsia" w:ascii="仿宋" w:hAnsi="仿宋" w:eastAsia="仿宋" w:cs="仿宋"/>
          <w:color w:val="auto"/>
          <w:sz w:val="24"/>
          <w:highlight w:val="none"/>
          <w:u w:val="none"/>
          <w:lang w:val="en-US" w:eastAsia="zh-CN"/>
        </w:rPr>
        <w:fldChar w:fldCharType="begin"/>
      </w:r>
      <w:r>
        <w:rPr>
          <w:rFonts w:hint="eastAsia" w:ascii="仿宋" w:hAnsi="仿宋" w:eastAsia="仿宋" w:cs="仿宋"/>
          <w:color w:val="auto"/>
          <w:sz w:val="24"/>
          <w:highlight w:val="none"/>
          <w:u w:val="none"/>
          <w:lang w:val="en-US" w:eastAsia="zh-CN"/>
        </w:rPr>
        <w:instrText xml:space="preserve"> = 20334500 \* CHINESENUM4 \* MERGEFORMAT </w:instrText>
      </w:r>
      <w:r>
        <w:rPr>
          <w:rFonts w:hint="eastAsia" w:ascii="仿宋" w:hAnsi="仿宋" w:eastAsia="仿宋" w:cs="仿宋"/>
          <w:color w:val="auto"/>
          <w:sz w:val="24"/>
          <w:highlight w:val="none"/>
          <w:u w:val="none"/>
          <w:lang w:val="en-US" w:eastAsia="zh-CN"/>
        </w:rPr>
        <w:fldChar w:fldCharType="separate"/>
      </w:r>
      <w:r>
        <w:rPr>
          <w:rFonts w:hint="eastAsia" w:ascii="仿宋" w:hAnsi="仿宋" w:eastAsia="仿宋" w:cs="仿宋"/>
          <w:color w:val="auto"/>
          <w:sz w:val="24"/>
          <w:highlight w:val="none"/>
          <w:u w:val="none"/>
          <w:lang w:val="en-US" w:eastAsia="zh-CN"/>
        </w:rPr>
        <w:t>贰仟零叁拾叁万肆仟伍佰元整</w:t>
      </w:r>
      <w:r>
        <w:rPr>
          <w:rFonts w:hint="eastAsia" w:ascii="仿宋" w:hAnsi="仿宋" w:eastAsia="仿宋" w:cs="仿宋"/>
          <w:color w:val="auto"/>
          <w:sz w:val="24"/>
          <w:highlight w:val="none"/>
          <w:u w:val="none"/>
          <w:lang w:val="en-US" w:eastAsia="zh-CN"/>
        </w:rPr>
        <w:fldChar w:fldCharType="end"/>
      </w:r>
      <w:r>
        <w:rPr>
          <w:rFonts w:hint="eastAsia" w:ascii="仿宋" w:hAnsi="仿宋" w:eastAsia="仿宋" w:cs="仿宋"/>
          <w:color w:val="auto"/>
          <w:sz w:val="24"/>
          <w:highlight w:val="none"/>
          <w:u w:val="none"/>
          <w:lang w:val="en-US" w:eastAsia="zh-CN"/>
        </w:rPr>
        <w:t>（¥2033.45万元）</w:t>
      </w:r>
    </w:p>
    <w:p>
      <w:pPr>
        <w:snapToGrid w:val="0"/>
        <w:spacing w:line="360" w:lineRule="auto"/>
        <w:ind w:firstLine="480" w:firstLineChars="200"/>
        <w:jc w:val="left"/>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标项二预算：人民币</w:t>
      </w:r>
      <w:r>
        <w:rPr>
          <w:rFonts w:hint="eastAsia" w:ascii="仿宋" w:hAnsi="仿宋" w:eastAsia="仿宋" w:cs="仿宋"/>
          <w:color w:val="auto"/>
          <w:sz w:val="24"/>
          <w:highlight w:val="none"/>
          <w:u w:val="none"/>
          <w:lang w:val="en-US" w:eastAsia="zh-CN"/>
        </w:rPr>
        <w:fldChar w:fldCharType="begin"/>
      </w:r>
      <w:r>
        <w:rPr>
          <w:rFonts w:hint="eastAsia" w:ascii="仿宋" w:hAnsi="仿宋" w:eastAsia="仿宋" w:cs="仿宋"/>
          <w:color w:val="auto"/>
          <w:sz w:val="24"/>
          <w:highlight w:val="none"/>
          <w:u w:val="none"/>
          <w:lang w:val="en-US" w:eastAsia="zh-CN"/>
        </w:rPr>
        <w:instrText xml:space="preserve"> = 18960100 \* CHINESENUM4 \* MERGEFORMAT </w:instrText>
      </w:r>
      <w:r>
        <w:rPr>
          <w:rFonts w:hint="eastAsia" w:ascii="仿宋" w:hAnsi="仿宋" w:eastAsia="仿宋" w:cs="仿宋"/>
          <w:color w:val="auto"/>
          <w:sz w:val="24"/>
          <w:highlight w:val="none"/>
          <w:u w:val="none"/>
          <w:lang w:val="en-US" w:eastAsia="zh-CN"/>
        </w:rPr>
        <w:fldChar w:fldCharType="separate"/>
      </w:r>
      <w:r>
        <w:rPr>
          <w:rFonts w:hint="eastAsia" w:ascii="仿宋" w:hAnsi="仿宋" w:eastAsia="仿宋" w:cs="仿宋"/>
          <w:color w:val="auto"/>
          <w:sz w:val="24"/>
          <w:highlight w:val="none"/>
          <w:u w:val="none"/>
          <w:lang w:val="en-US" w:eastAsia="zh-CN"/>
        </w:rPr>
        <w:t>壹仟捌佰玖拾陆万零壹佰元整</w:t>
      </w:r>
      <w:r>
        <w:rPr>
          <w:rFonts w:hint="eastAsia" w:ascii="仿宋" w:hAnsi="仿宋" w:eastAsia="仿宋" w:cs="仿宋"/>
          <w:color w:val="auto"/>
          <w:sz w:val="24"/>
          <w:highlight w:val="none"/>
          <w:u w:val="none"/>
          <w:lang w:val="en-US" w:eastAsia="zh-CN"/>
        </w:rPr>
        <w:fldChar w:fldCharType="end"/>
      </w:r>
      <w:r>
        <w:rPr>
          <w:rFonts w:hint="eastAsia" w:ascii="仿宋" w:hAnsi="仿宋" w:eastAsia="仿宋" w:cs="仿宋"/>
          <w:color w:val="auto"/>
          <w:sz w:val="24"/>
          <w:highlight w:val="none"/>
          <w:u w:val="none"/>
          <w:lang w:val="en-US" w:eastAsia="zh-CN"/>
        </w:rPr>
        <w:t>（¥1896.01万元）</w:t>
      </w:r>
    </w:p>
    <w:p>
      <w:pPr>
        <w:snapToGrid w:val="0"/>
        <w:spacing w:line="360" w:lineRule="auto"/>
        <w:ind w:firstLine="480" w:firstLineChars="200"/>
        <w:jc w:val="left"/>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标项三预算：人民币</w:t>
      </w:r>
      <w:r>
        <w:rPr>
          <w:rFonts w:hint="eastAsia" w:ascii="仿宋" w:hAnsi="仿宋" w:eastAsia="仿宋" w:cs="仿宋"/>
          <w:color w:val="auto"/>
          <w:sz w:val="24"/>
          <w:highlight w:val="none"/>
          <w:u w:val="none"/>
          <w:lang w:val="en-US" w:eastAsia="zh-CN"/>
        </w:rPr>
        <w:fldChar w:fldCharType="begin"/>
      </w:r>
      <w:r>
        <w:rPr>
          <w:rFonts w:hint="eastAsia" w:ascii="仿宋" w:hAnsi="仿宋" w:eastAsia="仿宋" w:cs="仿宋"/>
          <w:color w:val="auto"/>
          <w:sz w:val="24"/>
          <w:highlight w:val="none"/>
          <w:u w:val="none"/>
          <w:lang w:val="en-US" w:eastAsia="zh-CN"/>
        </w:rPr>
        <w:instrText xml:space="preserve"> = 11497500 \* CHINESENUM4 \* MERGEFORMAT </w:instrText>
      </w:r>
      <w:r>
        <w:rPr>
          <w:rFonts w:hint="eastAsia" w:ascii="仿宋" w:hAnsi="仿宋" w:eastAsia="仿宋" w:cs="仿宋"/>
          <w:color w:val="auto"/>
          <w:sz w:val="24"/>
          <w:highlight w:val="none"/>
          <w:u w:val="none"/>
          <w:lang w:val="en-US" w:eastAsia="zh-CN"/>
        </w:rPr>
        <w:fldChar w:fldCharType="separate"/>
      </w:r>
      <w:r>
        <w:rPr>
          <w:rFonts w:hint="eastAsia" w:ascii="仿宋" w:hAnsi="仿宋" w:eastAsia="仿宋" w:cs="仿宋"/>
          <w:color w:val="auto"/>
          <w:sz w:val="24"/>
          <w:highlight w:val="none"/>
          <w:u w:val="none"/>
          <w:lang w:val="en-US" w:eastAsia="zh-CN"/>
        </w:rPr>
        <w:t>壹仟壹佰肆拾玖万柒仟伍佰元整</w:t>
      </w:r>
      <w:r>
        <w:rPr>
          <w:rFonts w:hint="eastAsia" w:ascii="仿宋" w:hAnsi="仿宋" w:eastAsia="仿宋" w:cs="仿宋"/>
          <w:color w:val="auto"/>
          <w:sz w:val="24"/>
          <w:highlight w:val="none"/>
          <w:u w:val="none"/>
          <w:lang w:val="en-US" w:eastAsia="zh-CN"/>
        </w:rPr>
        <w:fldChar w:fldCharType="end"/>
      </w:r>
      <w:r>
        <w:rPr>
          <w:rFonts w:hint="eastAsia" w:ascii="仿宋" w:hAnsi="仿宋" w:eastAsia="仿宋" w:cs="仿宋"/>
          <w:color w:val="auto"/>
          <w:sz w:val="24"/>
          <w:highlight w:val="none"/>
          <w:u w:val="none"/>
          <w:lang w:val="en-US" w:eastAsia="zh-CN"/>
        </w:rPr>
        <w:t>（¥1149.75万元）</w:t>
      </w:r>
    </w:p>
    <w:p>
      <w:pPr>
        <w:snapToGrid w:val="0"/>
        <w:spacing w:line="360" w:lineRule="auto"/>
        <w:ind w:firstLine="480" w:firstLineChars="200"/>
        <w:jc w:val="left"/>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标项四预算：人民币</w:t>
      </w:r>
      <w:r>
        <w:rPr>
          <w:rFonts w:hint="eastAsia" w:ascii="仿宋" w:hAnsi="仿宋" w:eastAsia="仿宋" w:cs="仿宋"/>
          <w:color w:val="auto"/>
          <w:sz w:val="24"/>
          <w:highlight w:val="none"/>
          <w:u w:val="none"/>
          <w:lang w:val="en-US" w:eastAsia="zh-CN"/>
        </w:rPr>
        <w:fldChar w:fldCharType="begin"/>
      </w:r>
      <w:r>
        <w:rPr>
          <w:rFonts w:hint="eastAsia" w:ascii="仿宋" w:hAnsi="仿宋" w:eastAsia="仿宋" w:cs="仿宋"/>
          <w:color w:val="auto"/>
          <w:sz w:val="24"/>
          <w:highlight w:val="none"/>
          <w:u w:val="none"/>
          <w:lang w:val="en-US" w:eastAsia="zh-CN"/>
        </w:rPr>
        <w:instrText xml:space="preserve"> = 8361800 \* CHINESENUM4 \* MERGEFORMAT </w:instrText>
      </w:r>
      <w:r>
        <w:rPr>
          <w:rFonts w:hint="eastAsia" w:ascii="仿宋" w:hAnsi="仿宋" w:eastAsia="仿宋" w:cs="仿宋"/>
          <w:color w:val="auto"/>
          <w:sz w:val="24"/>
          <w:highlight w:val="none"/>
          <w:u w:val="none"/>
          <w:lang w:val="en-US" w:eastAsia="zh-CN"/>
        </w:rPr>
        <w:fldChar w:fldCharType="separate"/>
      </w:r>
      <w:r>
        <w:rPr>
          <w:rFonts w:hint="eastAsia" w:ascii="仿宋" w:hAnsi="仿宋" w:eastAsia="仿宋" w:cs="仿宋"/>
          <w:color w:val="auto"/>
          <w:sz w:val="24"/>
          <w:highlight w:val="none"/>
          <w:u w:val="none"/>
          <w:lang w:val="en-US" w:eastAsia="zh-CN"/>
        </w:rPr>
        <w:t>捌佰叁拾陆万壹仟捌佰元整</w:t>
      </w:r>
      <w:r>
        <w:rPr>
          <w:rFonts w:hint="eastAsia" w:ascii="仿宋" w:hAnsi="仿宋" w:eastAsia="仿宋" w:cs="仿宋"/>
          <w:color w:val="auto"/>
          <w:sz w:val="24"/>
          <w:highlight w:val="none"/>
          <w:u w:val="none"/>
          <w:lang w:val="en-US" w:eastAsia="zh-CN"/>
        </w:rPr>
        <w:fldChar w:fldCharType="end"/>
      </w:r>
      <w:r>
        <w:rPr>
          <w:rFonts w:hint="eastAsia" w:ascii="仿宋" w:hAnsi="仿宋" w:eastAsia="仿宋" w:cs="仿宋"/>
          <w:color w:val="auto"/>
          <w:sz w:val="24"/>
          <w:highlight w:val="none"/>
          <w:u w:val="none"/>
          <w:lang w:val="en-US" w:eastAsia="zh-CN"/>
        </w:rPr>
        <w:t>（¥836.18万元）</w:t>
      </w:r>
    </w:p>
    <w:p>
      <w:pPr>
        <w:snapToGrid w:val="0"/>
        <w:spacing w:line="360" w:lineRule="auto"/>
        <w:ind w:firstLine="480" w:firstLineChars="200"/>
        <w:jc w:val="left"/>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标项五预算：人民币</w:t>
      </w:r>
      <w:r>
        <w:rPr>
          <w:rFonts w:hint="eastAsia" w:ascii="仿宋" w:hAnsi="仿宋" w:eastAsia="仿宋" w:cs="仿宋"/>
          <w:color w:val="auto"/>
          <w:sz w:val="24"/>
          <w:highlight w:val="none"/>
          <w:u w:val="none"/>
          <w:lang w:val="en-US" w:eastAsia="zh-CN"/>
        </w:rPr>
        <w:fldChar w:fldCharType="begin"/>
      </w:r>
      <w:r>
        <w:rPr>
          <w:rFonts w:hint="eastAsia" w:ascii="仿宋" w:hAnsi="仿宋" w:eastAsia="仿宋" w:cs="仿宋"/>
          <w:color w:val="auto"/>
          <w:sz w:val="24"/>
          <w:highlight w:val="none"/>
          <w:u w:val="none"/>
          <w:lang w:val="en-US" w:eastAsia="zh-CN"/>
        </w:rPr>
        <w:instrText xml:space="preserve"> = 1203700 \* CHINESENUM4 \* MERGEFORMAT </w:instrText>
      </w:r>
      <w:r>
        <w:rPr>
          <w:rFonts w:hint="eastAsia" w:ascii="仿宋" w:hAnsi="仿宋" w:eastAsia="仿宋" w:cs="仿宋"/>
          <w:color w:val="auto"/>
          <w:sz w:val="24"/>
          <w:highlight w:val="none"/>
          <w:u w:val="none"/>
          <w:lang w:val="en-US" w:eastAsia="zh-CN"/>
        </w:rPr>
        <w:fldChar w:fldCharType="separate"/>
      </w:r>
      <w:r>
        <w:rPr>
          <w:rFonts w:hint="eastAsia" w:ascii="仿宋" w:hAnsi="仿宋" w:eastAsia="仿宋" w:cs="仿宋"/>
          <w:color w:val="auto"/>
          <w:sz w:val="24"/>
          <w:highlight w:val="none"/>
          <w:u w:val="none"/>
          <w:lang w:val="en-US" w:eastAsia="zh-CN"/>
        </w:rPr>
        <w:t>壹佰贰拾万叁仟柒佰元整</w:t>
      </w:r>
      <w:r>
        <w:rPr>
          <w:rFonts w:hint="eastAsia" w:ascii="仿宋" w:hAnsi="仿宋" w:eastAsia="仿宋" w:cs="仿宋"/>
          <w:color w:val="auto"/>
          <w:sz w:val="24"/>
          <w:highlight w:val="none"/>
          <w:u w:val="none"/>
          <w:lang w:val="en-US" w:eastAsia="zh-CN"/>
        </w:rPr>
        <w:fldChar w:fldCharType="end"/>
      </w:r>
      <w:r>
        <w:rPr>
          <w:rFonts w:hint="eastAsia" w:ascii="仿宋" w:hAnsi="仿宋" w:eastAsia="仿宋" w:cs="仿宋"/>
          <w:color w:val="auto"/>
          <w:sz w:val="24"/>
          <w:highlight w:val="none"/>
          <w:u w:val="none"/>
          <w:lang w:val="en-US" w:eastAsia="zh-CN"/>
        </w:rPr>
        <w:t>（¥120.37万元）</w:t>
      </w:r>
    </w:p>
    <w:p>
      <w:pPr>
        <w:pStyle w:val="2"/>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该项目采购需求编制符合财政部《政府采购需求管理办法》相关要求，需求内容按照财政批复的预算要求编制，不存在歧视性设置，具有充分的竞争性。</w:t>
      </w:r>
    </w:p>
    <w:p>
      <w:pPr>
        <w:pStyle w:val="2"/>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属于公安信息化项目</w:t>
      </w:r>
      <w:r>
        <w:rPr>
          <w:rFonts w:hint="eastAsia" w:ascii="仿宋" w:hAnsi="仿宋" w:eastAsia="仿宋" w:cs="仿宋"/>
          <w:color w:val="auto"/>
          <w:sz w:val="24"/>
          <w:szCs w:val="32"/>
          <w:highlight w:val="none"/>
        </w:rPr>
        <w:sym w:font="Wingdings" w:char="00A8"/>
      </w:r>
      <w:r>
        <w:rPr>
          <w:rFonts w:hint="eastAsia" w:ascii="仿宋" w:hAnsi="仿宋" w:eastAsia="仿宋" w:cs="仿宋"/>
          <w:color w:val="auto"/>
          <w:sz w:val="24"/>
          <w:szCs w:val="32"/>
          <w:highlight w:val="none"/>
        </w:rPr>
        <w:t xml:space="preserve"> 否 </w:t>
      </w:r>
      <w:r>
        <w:rPr>
          <w:rFonts w:hint="eastAsia" w:ascii="仿宋" w:hAnsi="仿宋" w:eastAsia="仿宋" w:cs="仿宋"/>
          <w:color w:val="auto"/>
          <w:sz w:val="24"/>
          <w:szCs w:val="32"/>
          <w:highlight w:val="none"/>
        </w:rPr>
        <w:sym w:font="Wingdings" w:char="00FE"/>
      </w:r>
      <w:r>
        <w:rPr>
          <w:rFonts w:hint="eastAsia" w:ascii="仿宋" w:hAnsi="仿宋" w:eastAsia="仿宋" w:cs="仿宋"/>
          <w:color w:val="auto"/>
          <w:sz w:val="24"/>
          <w:szCs w:val="32"/>
          <w:highlight w:val="none"/>
        </w:rPr>
        <w:t xml:space="preserve"> 是，根据《温州公安信息化项目管理办法》（温公通【2016】23号）要求，公安信息化项目成交供应商应提供项目编制软件源代码。按照项目合同完成的与研究开发标的有关的知识产权（包括专利、专利申请权、非专利技术使用权、著作权、版权、发明权及其他成果权）归温州市公安局所有。</w:t>
      </w:r>
    </w:p>
    <w:p>
      <w:pPr>
        <w:snapToGrid w:val="0"/>
        <w:spacing w:line="360" w:lineRule="auto"/>
        <w:ind w:firstLine="482" w:firstLineChars="200"/>
        <w:jc w:val="left"/>
        <w:outlineLvl w:val="2"/>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二、项目背景</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公共视频监控系统是安全防范系统的重要组成部分，视频监控以其直观、方便、信息内容丰富而广泛应用于许多场合，逐渐成为各级政府增强管理服务能力、构建现代治安防控体系的重要支撑和保障，视频监控作为社会公共安全中重要的取证手段和管理手段，在防范打击犯罪、**以及突发事件应急管理等方面发挥着非常重要的作用。</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作为政府信息化基础设施建设的一个重要组成部分，公共视频监控系统建设经历了从点到面的过程，视频监控的广泛应用、深度应用，为侦破案件、服务群众提供了有力的支撑，大大提升了政府信息化水平，提高了城市公共安全的保障能力，如何做好数量庞大的公共视频监控系统的运维工作，确保已投入使用的视频监控能够长期稳定在线运行，保证其充分发挥在公安各项业务开展上的高效作用，成为新的挑战。</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温州市本级2023年度公共视频监控一体化运维项目运维对象覆盖了民安六期、民安七期、温州市公安局加油站人车识别系统、温州公安身份智能识别系统项目、雪亮一期、雪亮二期等项目，涵盖市本级全量公共视频监控前端，数量庞大，系统复杂，如果不建立起相应的运维保养机制，监控系统设备损坏、链路故障等问题得不到及时解决，无法发挥监控系统在社会治安管理中的效能，因此亟需引入运维机制，对监控系统故障定期排查、监控系统安全定期防护、监控系统前端设备定期保养，支撑视频监控系统运行环境的可视、可控、可管理，保证系统运行的高可靠性，更好地发挥系统在维稳处突、打击犯罪、治安防控、社会管理、服务民生等方面的突出作用。</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持续深化公共视频监控建设与运维，实现最大化集约建设、最大化节约成本、最大化提升效率、最大化安全应用，进一步发挥视频图像数据资源在决策指挥、治安防控、侦查破案、应急处置、城市治理、公共卫生事件等方面的强大优势，推动我市公共视频监控建设的发展。</w:t>
      </w:r>
    </w:p>
    <w:p>
      <w:pPr>
        <w:snapToGrid w:val="0"/>
        <w:spacing w:line="360" w:lineRule="auto"/>
        <w:ind w:firstLine="482" w:firstLineChars="200"/>
        <w:jc w:val="left"/>
        <w:outlineLvl w:val="2"/>
        <w:rPr>
          <w:rFonts w:hint="eastAsia" w:ascii="仿宋" w:hAnsi="仿宋" w:eastAsia="仿宋" w:cs="仿宋"/>
          <w:b/>
          <w:bCs/>
          <w:color w:val="auto"/>
          <w:sz w:val="24"/>
          <w:highlight w:val="none"/>
          <w:lang w:val="en-US" w:eastAsia="zh-CN"/>
        </w:rPr>
      </w:pPr>
      <w:bookmarkStart w:id="52" w:name="_Toc1240"/>
      <w:r>
        <w:rPr>
          <w:rFonts w:hint="eastAsia" w:ascii="仿宋" w:hAnsi="仿宋" w:eastAsia="仿宋" w:cs="仿宋"/>
          <w:b/>
          <w:bCs/>
          <w:color w:val="auto"/>
          <w:sz w:val="24"/>
          <w:highlight w:val="none"/>
          <w:lang w:val="en-US" w:eastAsia="zh-CN"/>
        </w:rPr>
        <w:t>三、项目内容</w:t>
      </w:r>
    </w:p>
    <w:p>
      <w:pPr>
        <w:spacing w:line="360" w:lineRule="auto"/>
        <w:ind w:firstLine="590" w:firstLineChars="245"/>
        <w:outlineLvl w:val="2"/>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（一）基础设施运维</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开展更新点位布局优化工作，对原有“民安六期”“民安七期”过保监控1244路、卡口826路进行质保与运维，过保监控373路、卡口294路进行更新；雪亮一期（第3年）、雪亮二期（第2年）在保监控2842路、卡口2552路、人脸抓拍19路、公交车监控484套正常运维使用；温州公安身份智能识别系统项目500路人脸卡口在保设备的正常运维使用。</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扩容视频和图像存储容量，优化对象存储索引，支持按大图、小图、结构化数据对象存储功能，改善视图数据融合服务能力。对原有配置较低的存储、服务器运算系统盘进行升级，升级到更高性能的SSD硬盘，提升IO性能。落实</w:t>
      </w:r>
      <w:r>
        <w:rPr>
          <w:rFonts w:hint="eastAsia" w:ascii="仿宋" w:hAnsi="仿宋" w:eastAsia="仿宋" w:cs="仿宋"/>
          <w:color w:val="auto"/>
          <w:sz w:val="24"/>
          <w:szCs w:val="24"/>
          <w:highlight w:val="none"/>
          <w:lang w:val="zh-CN" w:eastAsia="zh-CN"/>
        </w:rPr>
        <w:t>省市文件</w:t>
      </w:r>
      <w:r>
        <w:rPr>
          <w:rFonts w:hint="eastAsia" w:ascii="仿宋" w:hAnsi="仿宋" w:eastAsia="仿宋" w:cs="仿宋"/>
          <w:color w:val="auto"/>
          <w:sz w:val="24"/>
          <w:szCs w:val="24"/>
          <w:highlight w:val="none"/>
          <w:lang w:val="en-US" w:eastAsia="zh-CN"/>
        </w:rPr>
        <w:t>关于</w:t>
      </w:r>
      <w:r>
        <w:rPr>
          <w:rFonts w:hint="eastAsia" w:ascii="仿宋" w:hAnsi="仿宋" w:eastAsia="仿宋" w:cs="仿宋"/>
          <w:color w:val="auto"/>
          <w:sz w:val="24"/>
          <w:szCs w:val="24"/>
          <w:highlight w:val="none"/>
          <w:lang w:val="zh-CN" w:eastAsia="zh-CN"/>
        </w:rPr>
        <w:t>党政机关要全面采用</w:t>
      </w:r>
      <w:r>
        <w:rPr>
          <w:rFonts w:hint="eastAsia" w:ascii="仿宋" w:hAnsi="仿宋" w:eastAsia="仿宋" w:cs="仿宋"/>
          <w:color w:val="auto"/>
          <w:sz w:val="24"/>
          <w:szCs w:val="24"/>
          <w:highlight w:val="none"/>
          <w:lang w:val="en-US" w:eastAsia="zh-CN"/>
        </w:rPr>
        <w:t>国产化</w:t>
      </w:r>
      <w:r>
        <w:rPr>
          <w:rFonts w:hint="eastAsia" w:ascii="仿宋" w:hAnsi="仿宋" w:eastAsia="仿宋" w:cs="仿宋"/>
          <w:color w:val="auto"/>
          <w:sz w:val="24"/>
          <w:szCs w:val="24"/>
          <w:highlight w:val="none"/>
          <w:lang w:val="zh-CN" w:eastAsia="zh-CN"/>
        </w:rPr>
        <w:t>技术和产品</w:t>
      </w:r>
      <w:r>
        <w:rPr>
          <w:rFonts w:hint="eastAsia" w:ascii="仿宋" w:hAnsi="仿宋" w:eastAsia="仿宋" w:cs="仿宋"/>
          <w:color w:val="auto"/>
          <w:sz w:val="24"/>
          <w:szCs w:val="24"/>
          <w:highlight w:val="none"/>
          <w:lang w:val="en-US" w:eastAsia="zh-CN"/>
        </w:rPr>
        <w:t>的工作要求，对27台服务器进行国产化的更新与升级，推动温州市本级公共视频监控国产化</w:t>
      </w:r>
      <w:r>
        <w:rPr>
          <w:rFonts w:hint="eastAsia" w:ascii="仿宋" w:hAnsi="仿宋" w:eastAsia="仿宋" w:cs="仿宋"/>
          <w:color w:val="auto"/>
          <w:sz w:val="24"/>
          <w:szCs w:val="24"/>
          <w:highlight w:val="none"/>
          <w:lang w:val="zh-CN" w:eastAsia="zh-CN"/>
        </w:rPr>
        <w:t>水平提升。</w:t>
      </w:r>
      <w:r>
        <w:rPr>
          <w:rFonts w:hint="eastAsia" w:ascii="仿宋" w:hAnsi="仿宋" w:eastAsia="仿宋" w:cs="仿宋"/>
          <w:color w:val="auto"/>
          <w:sz w:val="24"/>
          <w:szCs w:val="24"/>
          <w:highlight w:val="none"/>
          <w:lang w:val="en-US" w:eastAsia="zh-CN"/>
        </w:rPr>
        <w:t>强化系统时钟管理服务，统一管理维护校时设备的基础档案信息，实现对设备整体时间的准确状况进行分析，以图表形式汇总出摄像机、服务器、网络设备、应用平台等前端设备的时间误差分布。</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3、根据《中共浙江省委办公厅 浙江省人民政府办公厅印发关于调整完善全省高速公路公安交通管理体制实施方案的通知》规定，原浙江省公安厅高速公路交通警察总队下属各驻地支队，将划归各设区市公安局管理，为此需要搭建温州市公安局至温州市高速交警支队的上行速率不低于100M视频专线361条，接入高速交警的相关监控及卡口视频数据。</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续租交通局、邮政部门等其他行业视频监控及社会资源接入7条1000M视频专网专线；改造提升社会资源联网（银行、保险业等）68条100M VPN专线线路；续租4条社会资源点位汇聚1000M VPN主干专线，保障交通局、邮政部门等其他行业视频监控及社会资源接入链路。</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续租视频专网至原专业部门21条链路，视频监控专用机房至各区县30条链路，延续专线延伸链路服务（6次/年的应急服务链路），以支撑视频图像智能化应用及其安全保障。</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4、续租不少于480M²面积的机房场地及设备电费，延续保障机房及运营中心运行保障，维系视频监控系统正常运转。</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5、持续保障仓储与保管服务，满足对待报废设备与临时拆除设备进行拆除、运输、仓储、分类、清理、整理、管理服务。</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6、续租雪亮一期标段四实验室服务，持续保障视侦分析的实战支撑能力。</w:t>
      </w:r>
    </w:p>
    <w:p>
      <w:pPr>
        <w:spacing w:line="360" w:lineRule="auto"/>
        <w:ind w:firstLine="590" w:firstLineChars="245"/>
        <w:outlineLvl w:val="2"/>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（二）软件系统运维</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扩容视联网平台，并对视联网平台开展续运维服务，保障30多个政府部门的视频资源汇聚及正常使用。</w:t>
      </w:r>
    </w:p>
    <w:p>
      <w:pPr>
        <w:spacing w:line="360" w:lineRule="auto"/>
        <w:ind w:firstLine="590" w:firstLineChars="245"/>
        <w:outlineLvl w:val="2"/>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（三）网络和安全运维</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按照《公共安全视频监控联网系统信息传输、交换、控制技术要求》相关要求，提升视频专网核心网络承载能力。扩容公安信息网视频业务核心交换机4块40GE的接口板卡。扩容视频专网网络设备4块40GE的接口板卡，更新“民安七期”采购的10台48口全光接入汇聚交换机，更新2台核心交换机，提升视频专网核心网络承载能力。</w:t>
      </w:r>
    </w:p>
    <w:p>
      <w:pPr>
        <w:spacing w:line="360" w:lineRule="auto"/>
        <w:ind w:firstLine="588" w:firstLineChars="24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以视频图像信息安全为生命线，延续雪亮一期建设防火墙的入侵防御及病毒防护授权、更新接入社会资源网的视频安全边界和增加终端管控安全防护管理，确保重要视频图像信息不失控，敏感视频图像信息不泄露。</w:t>
      </w:r>
    </w:p>
    <w:p>
      <w:pPr>
        <w:spacing w:line="360" w:lineRule="auto"/>
        <w:ind w:firstLine="590" w:firstLineChars="245"/>
        <w:outlineLvl w:val="2"/>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（四）其他运维服务</w:t>
      </w:r>
    </w:p>
    <w:p>
      <w:pPr>
        <w:spacing w:line="360" w:lineRule="auto"/>
        <w:ind w:firstLine="588" w:firstLineChars="245"/>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配备专业技术支撑人员和巡检运维人员，维系雪亮工程正常运转。购置财产一切险及公众责任险，覆盖包括4086路监控、3378路卡口、519路人脸抓拍、484套公交车子系统前端摄像机及网络箱等配套设备为期一年的意外保障。</w:t>
      </w:r>
    </w:p>
    <w:p>
      <w:pPr>
        <w:snapToGrid w:val="0"/>
        <w:spacing w:line="360" w:lineRule="auto"/>
        <w:ind w:firstLine="482" w:firstLineChars="200"/>
        <w:jc w:val="left"/>
        <w:outlineLvl w:val="2"/>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四、编制依据</w:t>
      </w:r>
      <w:bookmarkEnd w:id="52"/>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系统设计依据国家相关法律规章、国家和行业相关标准、相关研究成果等资料进行规划设计，具体如下：</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《公共安全视频监控联网系统信息传输、交换、控制技术要求》（GBT 28181-2016）</w:t>
      </w:r>
    </w:p>
    <w:p>
      <w:pPr>
        <w:snapToGrid w:val="0"/>
        <w:spacing w:line="360" w:lineRule="auto"/>
        <w:ind w:firstLine="480" w:firstLineChars="200"/>
        <w:jc w:val="left"/>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《安全防范工程技术规范》（GB50348-2018）</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《视频安防监控系统工程设计规范》（GB 50395-2015）</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《公共安全重点区域视频图像信息采集规范》（GB37300-2018）</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《公共安全视频监控联网信息安全技术要求》（GB35114-2017）</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《IP网络技术要求-网络总体》（YD/T 1170-2001）</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《IP网络技术要求 网络性能参数与指标》（YD/T 1171-2015）</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《公共安全社会视频资源安全联网设备技术要求》（GAT1781-2021）</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《公安交通管理外场设备基础施工通用要求》（GAT652-2006）</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《中华人民共和国公安部行业标准》（GA/70-94）</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《公安视频图像分析/应用系统相关要求》（GA/1400.4）</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《公安视频图像分析系统 》（GA/T1399）</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《安全防范系统雷电浪涌防护技术要求》（GA/T670-2006）</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《视频图像文字标注规范》（GA/T751-2008）</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《基于公共运营商的社会治安动态视频监控系统技术规范》（Q/GAT 002-2006）</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《社会治安动态视频监控系统技术规范》（DB 33/T 502-2004）</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《跨区域视频监控联网共享技术规范》（DB 33/T 629-2007）</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《关于加强公共视频监控运维联网应用工作的若干意见》（发改高技〔2015〕996号）</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《浙江省人民政府办公厅关于全省公共视频监控建设一体化改革的指导意见》</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《浙江省数字化改革整体方案》</w:t>
      </w:r>
    </w:p>
    <w:p>
      <w:pPr>
        <w:snapToGrid w:val="0"/>
        <w:spacing w:line="360" w:lineRule="auto"/>
        <w:ind w:firstLine="482" w:firstLineChars="200"/>
        <w:jc w:val="left"/>
        <w:outlineLvl w:val="2"/>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五、运维目标</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通过对公安部门已建在用公共视频监控进行统一运维，优化运维技术团队，完善考核机制，提高运维效率，加强监督管理，实现公共视频监控最大化节约成本、最大化提升效率、最大化安全应用。</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通过运维服务使温州市本级公共视频监控运行情况符合上级单位的考核指标，通过运维服务保障系统的视频监控点位月出图/录像完好率不低于98％，卡口抓拍设备月出图/录像完好率不低于98%，必须安排专用车辆和人员作为日常运维力量。</w:t>
      </w:r>
    </w:p>
    <w:p>
      <w:pPr>
        <w:snapToGrid w:val="0"/>
        <w:spacing w:line="360" w:lineRule="auto"/>
        <w:ind w:firstLine="482" w:firstLineChars="200"/>
        <w:jc w:val="left"/>
        <w:outlineLvl w:val="2"/>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六、服务期</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服务期1：2023年12月15日至2024年11月14日（累计时间为11个月），具体要求以招标内容清单要求为准。</w:t>
      </w:r>
    </w:p>
    <w:p>
      <w:pPr>
        <w:tabs>
          <w:tab w:val="left" w:pos="0"/>
        </w:tabs>
        <w:snapToGrid w:val="0"/>
        <w:spacing w:line="360" w:lineRule="auto"/>
        <w:ind w:left="479" w:leftChars="228" w:firstLine="0" w:firstLineChars="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服务期2：2023年11月15日至2024年11月14日（累计时间为12个月），具体要求以招标内容清单要求为准。</w:t>
      </w:r>
      <w:r>
        <w:rPr>
          <w:rFonts w:hint="eastAsia" w:ascii="仿宋" w:hAnsi="仿宋" w:eastAsia="仿宋" w:cs="仿宋"/>
          <w:color w:val="auto"/>
          <w:sz w:val="24"/>
          <w:highlight w:val="none"/>
          <w:lang w:val="en-US" w:eastAsia="zh-CN"/>
        </w:rPr>
        <w:br w:type="textWrapping"/>
      </w:r>
      <w:r>
        <w:rPr>
          <w:rFonts w:hint="eastAsia" w:ascii="仿宋" w:hAnsi="仿宋" w:eastAsia="仿宋" w:cs="仿宋"/>
          <w:color w:val="auto"/>
          <w:sz w:val="24"/>
          <w:highlight w:val="none"/>
          <w:lang w:val="en-US" w:eastAsia="zh-CN"/>
        </w:rPr>
        <w:t>若合同晚于2023年11月15日签订，则服务期自合同签订之日起计算，服务期1累计满11个月为止，服务期2累计满12个月为止。</w:t>
      </w:r>
    </w:p>
    <w:p>
      <w:pPr>
        <w:snapToGrid w:val="0"/>
        <w:spacing w:line="360" w:lineRule="auto"/>
        <w:ind w:firstLine="482" w:firstLineChars="200"/>
        <w:jc w:val="left"/>
        <w:outlineLvl w:val="2"/>
        <w:rPr>
          <w:rFonts w:hint="default" w:ascii="仿宋" w:hAnsi="仿宋" w:eastAsia="仿宋" w:cs="仿宋"/>
          <w:b/>
          <w:bCs/>
          <w:color w:val="auto"/>
          <w:sz w:val="24"/>
          <w:highlight w:val="none"/>
          <w:u w:val="none"/>
          <w:lang w:val="en-US" w:eastAsia="zh-CN"/>
        </w:rPr>
      </w:pPr>
      <w:r>
        <w:rPr>
          <w:rFonts w:hint="eastAsia" w:ascii="仿宋" w:hAnsi="仿宋" w:eastAsia="仿宋" w:cs="仿宋"/>
          <w:b/>
          <w:bCs/>
          <w:color w:val="auto"/>
          <w:sz w:val="24"/>
          <w:highlight w:val="none"/>
          <w:u w:val="none"/>
          <w:lang w:val="en-US" w:eastAsia="zh-CN"/>
        </w:rPr>
        <w:t>七、设备保修</w:t>
      </w:r>
    </w:p>
    <w:p>
      <w:pPr>
        <w:snapToGrid w:val="0"/>
        <w:spacing w:line="360" w:lineRule="auto"/>
        <w:ind w:firstLine="480" w:firstLineChars="200"/>
        <w:jc w:val="left"/>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此项目更新的设备质保5年。</w:t>
      </w:r>
    </w:p>
    <w:p>
      <w:pPr>
        <w:snapToGrid w:val="0"/>
        <w:spacing w:line="360" w:lineRule="auto"/>
        <w:jc w:val="left"/>
        <w:outlineLvl w:val="1"/>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第二条、招标内容</w:t>
      </w:r>
    </w:p>
    <w:p>
      <w:pPr>
        <w:pStyle w:val="9"/>
        <w:numPr>
          <w:ilvl w:val="3"/>
          <w:numId w:val="0"/>
        </w:numPr>
        <w:tabs>
          <w:tab w:val="left" w:pos="864"/>
          <w:tab w:val="clear" w:pos="1008"/>
        </w:tabs>
        <w:bidi w:val="0"/>
        <w:adjustRightInd/>
        <w:rPr>
          <w:rFonts w:hint="eastAsia" w:ascii="仿宋" w:hAnsi="仿宋" w:eastAsia="仿宋" w:cs="仿宋"/>
          <w:b/>
          <w:bCs w:val="0"/>
          <w:color w:val="auto"/>
          <w:kern w:val="2"/>
          <w:sz w:val="21"/>
          <w:szCs w:val="21"/>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一、</w:t>
      </w:r>
      <w:r>
        <w:rPr>
          <w:rFonts w:hint="eastAsia" w:ascii="仿宋" w:hAnsi="仿宋" w:eastAsia="仿宋" w:cs="仿宋"/>
          <w:b/>
          <w:bCs w:val="0"/>
          <w:color w:val="auto"/>
          <w:kern w:val="2"/>
          <w:sz w:val="21"/>
          <w:szCs w:val="21"/>
          <w:highlight w:val="none"/>
          <w:lang w:val="en-US" w:eastAsia="zh-CN" w:bidi="ar-SA"/>
        </w:rPr>
        <w:t>温州市本级2023年度公共视频监控一体化运维项目标项一</w:t>
      </w:r>
    </w:p>
    <w:tbl>
      <w:tblPr>
        <w:tblStyle w:val="6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575"/>
        <w:gridCol w:w="5811"/>
        <w:gridCol w:w="774"/>
        <w:gridCol w:w="778"/>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7" w:type="pct"/>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765" w:type="pct"/>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货物名称</w:t>
            </w:r>
          </w:p>
        </w:tc>
        <w:tc>
          <w:tcPr>
            <w:tcW w:w="2823" w:type="pct"/>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参数配置</w:t>
            </w:r>
          </w:p>
        </w:tc>
        <w:tc>
          <w:tcPr>
            <w:tcW w:w="376" w:type="pct"/>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单位</w:t>
            </w:r>
          </w:p>
        </w:tc>
        <w:tc>
          <w:tcPr>
            <w:tcW w:w="378" w:type="pct"/>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数量（时间）</w:t>
            </w:r>
          </w:p>
        </w:tc>
        <w:tc>
          <w:tcPr>
            <w:tcW w:w="339" w:type="pct"/>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000" w:type="pct"/>
            <w:gridSpan w:val="6"/>
            <w:noWrap/>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一、更新点位布局优化服务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65"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更新点位布局优化服务</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排摸采集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对民安六期、七期，温州市公安局加油站人车识别系统(重2)等过保项目的2737路前端点位进行排摸采集。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摸排内容：需采集点位坐标、点位名称、点位位置等地理属性信息，杆件类型、摄像机数量类型、补光灯类型等设备信息，并对数据进行统计，对已有信息进行核对，对未有信息进行补充，为点位规划提供基础数据支撑；</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2.安全措施：要求每组工作人员到达现场根据道路情况采取安全隔离防护措施，穿戴好反光背心；</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3.工具配置：配置登高车辆、高精度经纬度采集设备、测距仪、采集手机终端等工具进行排摸采集；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4.工作要求：关注设备安装点位上空及周围的架空线路、标志标牌、桥梁、树木等情况，避免高空走线（特别是高压电线）对作业安全的影响；评估逆光、反光、标志标牌或其他遮挡物对成像效果的影响；</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成果输出：点位勘察完成后，输出成果内容包括点位名称、施工单位、建设单位、经纬度、相机离地高度、安装地址、点位类型、相机类型、补光灯类型、补光灯数量、杆件类型、点位定位图、网络箱照片、设备照片、设备朝向照片等信息。</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17"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765" w:type="pct"/>
            <w:vMerge w:val="continue"/>
            <w:noWrap w:val="0"/>
            <w:vAlign w:val="center"/>
          </w:tcPr>
          <w:p>
            <w:pPr>
              <w:jc w:val="center"/>
              <w:rPr>
                <w:rFonts w:hint="eastAsia" w:ascii="仿宋" w:hAnsi="仿宋" w:eastAsia="仿宋" w:cs="仿宋"/>
                <w:i w:val="0"/>
                <w:iCs w:val="0"/>
                <w:color w:val="auto"/>
                <w:sz w:val="21"/>
                <w:szCs w:val="21"/>
                <w:highlight w:val="none"/>
                <w:u w:val="none"/>
              </w:rPr>
            </w:pP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规划分析</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对本期摸排采集的原建点位状况进行统计分析，结合业务部门的应用需求，对原有规划的主题进行完善和优化，新建不同类型的应用主题，整理绘制对应的GIS分布图，对接一机一档系统，实现基础数据的共享。</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1.统计分析：</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对本期摸排采集的点位结合设备运行的历史数据进行采样分析，包括点位运行状况分析，点位故障率分析，杆件情况分析，卡口、电警点位的抓拍率、识别率统计等，并根据分析结果设计本期更新、维护计划。</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2.建设规划：</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（一）建立点位数据库：包括全市主干道路、交叉口、区县边界的空间数据库，并根据数据分级情况，根据用户提供的权重，完成指定范围内的点位的规划分布。</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（二）规划应用主题：确认用户应用需求，对原有规划的10个主题进行完善和优化，创建不少于3个新的应用主题。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（三）规划点位建设方案：根据业务部门的应用需求，结合现场情况，规划220根监控立杆更新点位和8根卡口立杆更新点位，规划373套监控设备和294套卡口设备更新点位，确定点位的布局、数量和设备功能类型。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四）规划成果的输出：对规划的目标点位(交叉路口、主干路段、区县周界等)和已建设的视频监控点、卡口点位、电子警察点位等信息进行分区域、分类型的统计，输出对应的清单。输出新建和更新点位的全景图。 </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765" w:type="pct"/>
            <w:vMerge w:val="continue"/>
            <w:noWrap w:val="0"/>
            <w:vAlign w:val="center"/>
          </w:tcPr>
          <w:p>
            <w:pPr>
              <w:jc w:val="center"/>
              <w:rPr>
                <w:rFonts w:hint="eastAsia" w:ascii="仿宋" w:hAnsi="仿宋" w:eastAsia="仿宋" w:cs="仿宋"/>
                <w:i w:val="0"/>
                <w:iCs w:val="0"/>
                <w:color w:val="auto"/>
                <w:sz w:val="21"/>
                <w:szCs w:val="21"/>
                <w:highlight w:val="none"/>
                <w:u w:val="none"/>
              </w:rPr>
            </w:pP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勘察设计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对本期规划建设的点位进行详细勘察，确认点位建设的必要性、可行性、合理性，保障设备安装的位置准确规范，根据设备差异、应用要求、现场环境、应用场景等要采取差异化设计，让建设点位发挥最佳效果。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1.勘察内容：对373套监控设备和294套卡口设备更新点位进行施工勘察；</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2.安全措施：要求每组工作人员到达现场根据道路情况采取安全隔离防护措施，穿戴好反光背心；</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3.工具配置：配置登高车辆、高精度经纬度采集设备、测距仪、信息记录终端等工具进行点位施工勘察；</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4.工作要求：详细记录点位名称、经纬度、点位定位图、安装位置照片、取电资源、网络资源，确定前端设备及杆件的具体安装位置，摄像机管控区域及安装方位等；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5.输出成果：建设点位的勘察报告、施工方案、杆件图纸、新立杆卡口点位施工设计图纸等。</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000" w:type="pct"/>
            <w:gridSpan w:val="6"/>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二、前端点位运维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65"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前端设备运维费（监控）</w:t>
            </w:r>
          </w:p>
        </w:tc>
        <w:tc>
          <w:tcPr>
            <w:tcW w:w="2823" w:type="pct"/>
            <w:vMerge w:val="restar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前端设备的日常清洁、巡检、维修、抢修等内容。</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雪亮一期1252路服务时间为“服务期1”，本期更新56路服务时间为“服务期2”。</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765" w:type="pct"/>
            <w:vMerge w:val="continue"/>
            <w:noWrap w:val="0"/>
            <w:vAlign w:val="center"/>
          </w:tcPr>
          <w:p>
            <w:pPr>
              <w:jc w:val="center"/>
              <w:rPr>
                <w:rFonts w:hint="eastAsia" w:ascii="仿宋" w:hAnsi="仿宋" w:eastAsia="仿宋" w:cs="仿宋"/>
                <w:i w:val="0"/>
                <w:iCs w:val="0"/>
                <w:color w:val="auto"/>
                <w:sz w:val="21"/>
                <w:szCs w:val="21"/>
                <w:highlight w:val="none"/>
                <w:u w:val="none"/>
              </w:rPr>
            </w:pPr>
          </w:p>
        </w:tc>
        <w:tc>
          <w:tcPr>
            <w:tcW w:w="2823" w:type="pct"/>
            <w:vMerge w:val="continue"/>
            <w:noWrap w:val="0"/>
            <w:vAlign w:val="center"/>
          </w:tcPr>
          <w:p>
            <w:pPr>
              <w:jc w:val="left"/>
              <w:rPr>
                <w:rFonts w:hint="eastAsia" w:ascii="仿宋" w:hAnsi="仿宋" w:eastAsia="仿宋" w:cs="仿宋"/>
                <w:i w:val="0"/>
                <w:iCs w:val="0"/>
                <w:color w:val="auto"/>
                <w:sz w:val="21"/>
                <w:szCs w:val="21"/>
                <w:highlight w:val="none"/>
                <w:u w:val="none"/>
              </w:rPr>
            </w:pP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765"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专网网络服务费（监控）</w:t>
            </w:r>
          </w:p>
        </w:tc>
        <w:tc>
          <w:tcPr>
            <w:tcW w:w="2823" w:type="pct"/>
            <w:vMerge w:val="restar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视频专网专线电路（与互联网物理隔离）的光纤链路租费和维护费。雪亮一期1252路服务时间为“服务期1”，本期更新56路服务时间为“服务期2”。</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765" w:type="pct"/>
            <w:vMerge w:val="continue"/>
            <w:noWrap w:val="0"/>
            <w:vAlign w:val="center"/>
          </w:tcPr>
          <w:p>
            <w:pPr>
              <w:jc w:val="center"/>
              <w:rPr>
                <w:rFonts w:hint="eastAsia" w:ascii="仿宋" w:hAnsi="仿宋" w:eastAsia="仿宋" w:cs="仿宋"/>
                <w:i w:val="0"/>
                <w:iCs w:val="0"/>
                <w:color w:val="auto"/>
                <w:sz w:val="21"/>
                <w:szCs w:val="21"/>
                <w:highlight w:val="none"/>
                <w:u w:val="none"/>
              </w:rPr>
            </w:pPr>
          </w:p>
        </w:tc>
        <w:tc>
          <w:tcPr>
            <w:tcW w:w="2823" w:type="pct"/>
            <w:vMerge w:val="continue"/>
            <w:noWrap w:val="0"/>
            <w:vAlign w:val="center"/>
          </w:tcPr>
          <w:p>
            <w:pPr>
              <w:jc w:val="left"/>
              <w:rPr>
                <w:rFonts w:hint="eastAsia" w:ascii="仿宋" w:hAnsi="仿宋" w:eastAsia="仿宋" w:cs="仿宋"/>
                <w:i w:val="0"/>
                <w:iCs w:val="0"/>
                <w:color w:val="auto"/>
                <w:sz w:val="21"/>
                <w:szCs w:val="21"/>
                <w:highlight w:val="none"/>
                <w:u w:val="none"/>
              </w:rPr>
            </w:pP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765"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前端设备电费（监控）</w:t>
            </w:r>
          </w:p>
        </w:tc>
        <w:tc>
          <w:tcPr>
            <w:tcW w:w="2823" w:type="pct"/>
            <w:vMerge w:val="restar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摄像机、补光灯、网络设备等前端设备的电费。</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雪亮一期1252路服务时间为“服务期1”，本期更新56路服务时间为“服务期2”。</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765" w:type="pct"/>
            <w:vMerge w:val="continue"/>
            <w:noWrap w:val="0"/>
            <w:vAlign w:val="center"/>
          </w:tcPr>
          <w:p>
            <w:pPr>
              <w:jc w:val="center"/>
              <w:rPr>
                <w:rFonts w:hint="eastAsia" w:ascii="仿宋" w:hAnsi="仿宋" w:eastAsia="仿宋" w:cs="仿宋"/>
                <w:i w:val="0"/>
                <w:iCs w:val="0"/>
                <w:color w:val="auto"/>
                <w:sz w:val="21"/>
                <w:szCs w:val="21"/>
                <w:highlight w:val="none"/>
                <w:u w:val="none"/>
              </w:rPr>
            </w:pPr>
          </w:p>
        </w:tc>
        <w:tc>
          <w:tcPr>
            <w:tcW w:w="2823" w:type="pct"/>
            <w:vMerge w:val="continue"/>
            <w:noWrap w:val="0"/>
            <w:vAlign w:val="center"/>
          </w:tcPr>
          <w:p>
            <w:pPr>
              <w:jc w:val="left"/>
              <w:rPr>
                <w:rFonts w:hint="eastAsia" w:ascii="仿宋" w:hAnsi="仿宋" w:eastAsia="仿宋" w:cs="仿宋"/>
                <w:i w:val="0"/>
                <w:iCs w:val="0"/>
                <w:color w:val="auto"/>
                <w:sz w:val="21"/>
                <w:szCs w:val="21"/>
                <w:highlight w:val="none"/>
                <w:u w:val="none"/>
              </w:rPr>
            </w:pP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监控点位更新服务1</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据原民安六期、七期项目过保点位设备下线、高故障率、点位重要性等要素进行筛查，对其中的56套高点监控和36套使用年限超10年的杆件进行设备更新（包含其他相关配套），更新的设备质保5年。具体要求详见附（1）。</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765"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前端设备运维费（卡口）</w:t>
            </w:r>
          </w:p>
        </w:tc>
        <w:tc>
          <w:tcPr>
            <w:tcW w:w="2823" w:type="pct"/>
            <w:vMerge w:val="restar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摄像机、补光灯、网络设备等前端设备的电费。</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雪亮二期473路服务时间为“服务期1”，本期更新294路服务时间为“服务期2”。</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765" w:type="pct"/>
            <w:vMerge w:val="continue"/>
            <w:noWrap w:val="0"/>
            <w:vAlign w:val="center"/>
          </w:tcPr>
          <w:p>
            <w:pPr>
              <w:jc w:val="center"/>
              <w:rPr>
                <w:rFonts w:hint="eastAsia" w:ascii="仿宋" w:hAnsi="仿宋" w:eastAsia="仿宋" w:cs="仿宋"/>
                <w:i w:val="0"/>
                <w:iCs w:val="0"/>
                <w:color w:val="auto"/>
                <w:sz w:val="21"/>
                <w:szCs w:val="21"/>
                <w:highlight w:val="none"/>
                <w:u w:val="none"/>
              </w:rPr>
            </w:pPr>
          </w:p>
        </w:tc>
        <w:tc>
          <w:tcPr>
            <w:tcW w:w="2823" w:type="pct"/>
            <w:vMerge w:val="continue"/>
            <w:noWrap w:val="0"/>
            <w:vAlign w:val="center"/>
          </w:tcPr>
          <w:p>
            <w:pPr>
              <w:jc w:val="left"/>
              <w:rPr>
                <w:rFonts w:hint="eastAsia" w:ascii="仿宋" w:hAnsi="仿宋" w:eastAsia="仿宋" w:cs="仿宋"/>
                <w:i w:val="0"/>
                <w:iCs w:val="0"/>
                <w:color w:val="auto"/>
                <w:sz w:val="21"/>
                <w:szCs w:val="21"/>
                <w:highlight w:val="none"/>
                <w:u w:val="none"/>
              </w:rPr>
            </w:pP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765"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专网网络服务费（卡口）</w:t>
            </w:r>
          </w:p>
        </w:tc>
        <w:tc>
          <w:tcPr>
            <w:tcW w:w="2823" w:type="pct"/>
            <w:vMerge w:val="restar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视频专网专线电路（与互联网物理隔离）的光纤链路租费和维护费。雪亮二期88路服务11月，本期更新67路服务时间为“服务期2”。</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765" w:type="pct"/>
            <w:vMerge w:val="continue"/>
            <w:noWrap w:val="0"/>
            <w:vAlign w:val="center"/>
          </w:tcPr>
          <w:p>
            <w:pPr>
              <w:jc w:val="center"/>
              <w:rPr>
                <w:rFonts w:hint="eastAsia" w:ascii="仿宋" w:hAnsi="仿宋" w:eastAsia="仿宋" w:cs="仿宋"/>
                <w:i w:val="0"/>
                <w:iCs w:val="0"/>
                <w:color w:val="auto"/>
                <w:sz w:val="21"/>
                <w:szCs w:val="21"/>
                <w:highlight w:val="none"/>
                <w:u w:val="none"/>
              </w:rPr>
            </w:pPr>
          </w:p>
        </w:tc>
        <w:tc>
          <w:tcPr>
            <w:tcW w:w="2823" w:type="pct"/>
            <w:vMerge w:val="continue"/>
            <w:noWrap w:val="0"/>
            <w:vAlign w:val="center"/>
          </w:tcPr>
          <w:p>
            <w:pPr>
              <w:jc w:val="left"/>
              <w:rPr>
                <w:rFonts w:hint="eastAsia" w:ascii="仿宋" w:hAnsi="仿宋" w:eastAsia="仿宋" w:cs="仿宋"/>
                <w:i w:val="0"/>
                <w:iCs w:val="0"/>
                <w:color w:val="auto"/>
                <w:sz w:val="21"/>
                <w:szCs w:val="21"/>
                <w:highlight w:val="none"/>
                <w:u w:val="none"/>
              </w:rPr>
            </w:pP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765"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前端设备电费（卡口）</w:t>
            </w:r>
          </w:p>
        </w:tc>
        <w:tc>
          <w:tcPr>
            <w:tcW w:w="2823" w:type="pct"/>
            <w:vMerge w:val="restar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含摄像机、补光灯、网络设备等前端设备的电费。</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雪亮二期473路服务时间为“服务期1”，本期更新294路服务时间为“服务期2”。</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w:t>
            </w:r>
          </w:p>
        </w:tc>
        <w:tc>
          <w:tcPr>
            <w:tcW w:w="765" w:type="pct"/>
            <w:vMerge w:val="continue"/>
            <w:noWrap w:val="0"/>
            <w:vAlign w:val="center"/>
          </w:tcPr>
          <w:p>
            <w:pPr>
              <w:jc w:val="center"/>
              <w:rPr>
                <w:rFonts w:hint="eastAsia" w:ascii="仿宋" w:hAnsi="仿宋" w:eastAsia="仿宋" w:cs="仿宋"/>
                <w:i w:val="0"/>
                <w:iCs w:val="0"/>
                <w:color w:val="auto"/>
                <w:sz w:val="21"/>
                <w:szCs w:val="21"/>
                <w:highlight w:val="none"/>
                <w:u w:val="none"/>
              </w:rPr>
            </w:pPr>
          </w:p>
        </w:tc>
        <w:tc>
          <w:tcPr>
            <w:tcW w:w="2823" w:type="pct"/>
            <w:vMerge w:val="continue"/>
            <w:noWrap w:val="0"/>
            <w:vAlign w:val="center"/>
          </w:tcPr>
          <w:p>
            <w:pPr>
              <w:jc w:val="left"/>
              <w:rPr>
                <w:rFonts w:hint="eastAsia" w:ascii="仿宋" w:hAnsi="仿宋" w:eastAsia="仿宋" w:cs="仿宋"/>
                <w:i w:val="0"/>
                <w:iCs w:val="0"/>
                <w:color w:val="auto"/>
                <w:sz w:val="21"/>
                <w:szCs w:val="21"/>
                <w:highlight w:val="none"/>
                <w:u w:val="none"/>
              </w:rPr>
            </w:pP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14</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卡口点位更新服务</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据原民安六期、七期项目过保点位设备下线、高故障率、点位重要性等要素进行筛查，对其中的294套卡口和8套使用年限超10年的杆件进行设备更新（包含其他相关配套）。更新的设备质保5年。具体要求详见附（2）。</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社会资源接入运维费（在保）</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含日常清洁、巡检、维修（含设备保修）、抢修等全部费用。雪亮一期68路服务时间为“服务期1”。</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专网网络服务费（社会资源接入）</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视频专网专线电路（与互联网物理隔离）的光纤链路租费和维护费。雪亮一期68路服务时间为“服务期1”。</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000" w:type="pct"/>
            <w:gridSpan w:val="6"/>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三、通讯链路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65"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社会资源接入链路（域内）</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社会资源接入链路（域内），包括交通局、邮政部门等其他行业视频监控及社会资源接入，与视频专网中心机房互联互通的上行速率不低于1000Mbps视频专网专线电路的光纤链路租费和维护费。</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765"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社会资源联网安全改造服务</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社会资源联网（银行、保险业等）线路模式由直连视频专网改成连社会面接入网的现场调测费。</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765"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社会资源联网网络服务费</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与社会面接入网互联互通的上行速率不低于100M视频专网专线电路（与互联网物理隔离）的光纤链路租费和维护费。雪亮一期68路服务时间为“服务期1”。</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765"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专网核心光纤链路（域间）</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视频监控专用机房至鹿城区、瓯海区、龙湾区、洞头区，海经区、轨道交通、机场公安、永嘉县、乐清市、瑞安市、龙港市、平阳县、苍南县、泰顺县、文成县区视频专网万兆光纤链。雪亮一期15条服务时间为“服务期1”。</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000" w:type="pct"/>
            <w:gridSpan w:val="6"/>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四、服务器升级与运维服务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服务器升级与运维服务</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本次项目对民安六期部分过保且配置较低的服务器进行国产化的更新与升级，以满足2025年前乡镇以上党政机关要全面采用国产化技术和产品的节点要求。对原民安七期项目的20台华为 RH2288 V3服务器维保。对时钟管理系统进行扩容。更新的设备质保5年</w:t>
            </w:r>
            <w:r>
              <w:rPr>
                <w:rFonts w:hint="eastAsia" w:ascii="仿宋" w:hAnsi="仿宋" w:eastAsia="仿宋" w:cs="仿宋"/>
                <w:color w:val="auto"/>
                <w:sz w:val="24"/>
                <w:highlight w:val="none"/>
                <w:u w:val="none"/>
                <w:lang w:val="en-US" w:eastAsia="zh-CN"/>
              </w:rPr>
              <w:t>。</w:t>
            </w:r>
            <w:r>
              <w:rPr>
                <w:rFonts w:hint="eastAsia" w:ascii="仿宋" w:hAnsi="仿宋" w:eastAsia="仿宋" w:cs="仿宋"/>
                <w:i w:val="0"/>
                <w:iCs w:val="0"/>
                <w:color w:val="auto"/>
                <w:kern w:val="0"/>
                <w:sz w:val="21"/>
                <w:szCs w:val="21"/>
                <w:highlight w:val="none"/>
                <w:u w:val="none"/>
                <w:lang w:val="en-US" w:eastAsia="zh-CN" w:bidi="ar"/>
              </w:rPr>
              <w:t>具体要求详见附（3）。</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000" w:type="pct"/>
            <w:gridSpan w:val="6"/>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五、安全升级与运维服务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安全升级与运维服务</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在已有安全防护的基础上，扩容雪亮二期标段三2台视频安全万兆双单向边界，扩容雪亮一期标段三2台社会资源汇聚网防火墙，延长雪亮一期建设的9台USG9560防火墙和2台USG6530E防火墙5年入侵防御及病毒防护授权，补全建设终端管控防护，完善网络安全体系。更新的设备质保5年</w:t>
            </w:r>
            <w:r>
              <w:rPr>
                <w:rFonts w:hint="eastAsia" w:ascii="仿宋" w:hAnsi="仿宋" w:eastAsia="仿宋" w:cs="仿宋"/>
                <w:color w:val="auto"/>
                <w:sz w:val="24"/>
                <w:highlight w:val="none"/>
                <w:u w:val="none"/>
                <w:lang w:val="en-US" w:eastAsia="zh-CN"/>
              </w:rPr>
              <w:t>。</w:t>
            </w:r>
            <w:r>
              <w:rPr>
                <w:rFonts w:hint="eastAsia" w:ascii="仿宋" w:hAnsi="仿宋" w:eastAsia="仿宋" w:cs="仿宋"/>
                <w:i w:val="0"/>
                <w:iCs w:val="0"/>
                <w:color w:val="auto"/>
                <w:kern w:val="0"/>
                <w:sz w:val="21"/>
                <w:szCs w:val="21"/>
                <w:highlight w:val="none"/>
                <w:u w:val="none"/>
                <w:lang w:val="en-US" w:eastAsia="zh-CN" w:bidi="ar"/>
              </w:rPr>
              <w:t>具体要求详见附（4）。</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5000" w:type="pct"/>
            <w:gridSpan w:val="6"/>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六、设备维修更换配件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设备维修更换配件</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设备维修更换配件，含900对尾纤，20条MPO接口多模尾纤，6块双口40G万兆以太网光口网卡（含模块）、20块双口10G万兆以太网光口网卡（含模块）。</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000" w:type="pct"/>
            <w:gridSpan w:val="6"/>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七、其他运维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运营主管</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1、负责运营中心团队的管理，落实考勤、工作纪律，保障视频专网全天候正常运行。</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2、根据总体规划要求，制定各个项目实施方案，落实实施细节，包括协调各运营商、厂家按照方案要求做好各项内容。</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3、负责做好日常管理，包括：设备进出管理、设备出入网管理、设备IP申请流程等。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4、建立机房设备一机一档机制，包括：系统应用名称、网络属性、型号、品牌、物理位置、级联端口、IP地址等。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5、人员管理，包括：临时人员进出、驻点人员进出等管理。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6、熟悉历年项目的工程内容，包括：点位规模、承建单位、干系人、考核办法、保障机制等。</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技术支撑人员1</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1、熟悉温州民安与雪亮工程系统架构;</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2、熟悉会话初始协议（SIP）、重定向（RFC）、背靠背用户代理、中心信令控制、信令安全路由网关等平台交互指令。</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3、熟悉视频监控的前端点位-汇聚平台-县平台-市平台-省平台之间的级联模式及原理。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4、熟悉各主流厂家的平台、设备、存储等通信协议，如：DB33、ONVIF、GB28181等。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5、熟悉各主流厂家平台之间的级联模式及点位编码规则。</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6、熟悉温州公安各类应用操作系统各版本安装方法及优化策略，如：windows 2008（R2）、CentOS、RedHat、openEuler、银河麒麟等。熟悉如负载均衡技术、KA**A、虚拟化技术(VMware，Xen，KVM等)、集群配置管理工具。</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7、熟悉MySql、海量数据管理系统、达梦数据库系统等数据库软件的操作。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8、熟悉网络命令、抓包、端口扫描等系列故障定位软件，快速排查故障和疑难问题。</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9、监管设备上下线状态、画面质量、动力环境监测、服务器性能指标、网络流量检测、机房管理流程、资产管理等各方面提供完整的数据记录和分析。</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10、精通各大品牌交换机、安全设备的工作原理，故障排查，熟悉公安视频专网网络架构，能针对需求实现相应的功能。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11、了解现有各厂商的边界安全设备的功能和特性，按照用户的安全规划，配合与协助安全设备供应商制定相应的实施方案及提供的安全策略文档。</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12、熟悉熟悉前端摄像机、补光灯、电源控制模块等各类设备的参数，配合施工单位和维保单位完成业务开通和故障维修过程中的设备调试。</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13、熟悉各主流监控厂家的存储节点管理配置、空间管理、资源分配、推送配置、GB28181协议配置、存储部署、RAID配置、ISCIS配置、监控点位配置、监控点位录像配置及故障疑难故障排查并根据需求结合设备功能提供合适的解决办法。</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技术支撑人员2</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1、熟悉视频监控系统架构，有2年以上的同类或者类似工作经验;</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2、熟悉视频监控相关的协议，如：GB28181、GA1400、GB1781；</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3、熟悉并配置视频监控系统中的前端设备、网络设备、安全设备、存储设备等；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4、熟悉各主流厂家平台之间的级联模式及点位编码规则；</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5、熟悉温州公安各类应用操作系统各版本安装方法及优化策略；</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6、熟悉网络命令、抓包、端口扫描等系列故障定位软件，快速排查故障和疑难问题。</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技术支撑人员3</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1、熟悉视频监控系统架构，有2年以上的同类或者类似工作经验。</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2、熟悉视频类各类应用各版本安装方法。</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3、协助日常考核管理：包括图片复核、破案复核、串并复核、人像比对复核、复核中发现各地上报存在的问题以及各项考核数据统计。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4、协助对下发的各类线索指令的核查落地工作。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5、协助依托全市人相关人像比对系统对逃犯预警查看及指令下发，主动查刷本地重点逃犯等工作。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5、协助涉案视频跨区域串并工作。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6、协助利用视频图像各类系统对重要案件的支撑落地工作。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7、熟练使用WPS办公软件进行文字编纂和加工的能力。</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巡检运维人员1</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市本级点位：按照在线率、完好率考核要求进行视频巡检，通过网管平台或人工发现故障点位，判断归类故障原因（如系统平台故障、光纤链路故障、前端设备被盗或损坏、线缆被剪断等），设置不同的恢复时限，及时派单给相关维保单位，并督促其尽快恢复。</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2、区县级点位：按照在线率、完好率考核要求进行抽样视频巡检，通过网管平台或人工发现故障点位，派单给下级区县运维中心，督促其尽快恢复。</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3、每周进行巡查和派单的资料整理，形成报表报。</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4、做好月、季、年度考核任务的相关配合工作。</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巡检运维人员2</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1、具备计算机及相关专业大专及以上学历；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2、具有基本的公文写作知识和能力以及一定的组织协调及沟通能力；</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3、具备熟练使用WPS办公软件进行文字编纂和加工的能力；</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4、负责专班工作资料的收集、汇总等档案管理工作。</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7"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76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财产及公众责任保险服务</w:t>
            </w:r>
          </w:p>
        </w:tc>
        <w:tc>
          <w:tcPr>
            <w:tcW w:w="2823"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对包括4086+167路监控、3378+84路卡口、519路人脸抓拍、484套公交车子系统前端摄像机及网络箱等配套设备的意外险、盗抢险、第三者财产损失或人身伤亡险，保险年限为时间为“服务期2”。</w:t>
            </w:r>
          </w:p>
        </w:tc>
        <w:tc>
          <w:tcPr>
            <w:tcW w:w="376"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78"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39" w:type="pct"/>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bl>
    <w:p>
      <w:pPr>
        <w:rPr>
          <w:rFonts w:hint="eastAsia"/>
          <w:color w:val="auto"/>
          <w:highlight w:val="none"/>
          <w:lang w:val="en-US" w:eastAsia="zh-CN"/>
        </w:rPr>
      </w:pPr>
    </w:p>
    <w:p>
      <w:pPr>
        <w:rPr>
          <w:rFonts w:hint="eastAsia"/>
          <w:color w:val="auto"/>
          <w:highlight w:val="none"/>
          <w:lang w:val="en-US" w:eastAsia="zh-CN"/>
        </w:rPr>
      </w:pPr>
    </w:p>
    <w:tbl>
      <w:tblPr>
        <w:tblStyle w:val="6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4"/>
        <w:gridCol w:w="1528"/>
        <w:gridCol w:w="6484"/>
        <w:gridCol w:w="727"/>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附（1）监控点位更新服务1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项目</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建设内容</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智能星光球机（高位）</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1.采用不小于1/1.8英寸CMOS，可输出最大分辨率2560×1440；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2.最低照度检验彩色0.0021x，黑白0.0011x；</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3.摄像机内置镜头，支持不小于53倍光学变倍，激光补光不小于500米；</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4.内置GPU芯片，可同时对行人、非机动车、机动车进行检测、跟踪及抓拍、数量统计；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5.设备具备遮挡跟踪功能，当设备正在跟踪的人员全身被遮挡时，设备可保持状态，被跟踪人员又出现在监控画面中，可继续跟踪；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6.支持人脸比对功能，可通过浏览器设置人脸库并进行独立布控，每个人脸信息库可单独设置布防、撤防时间；</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7.室外球达到IP67防护等级，支持防雷、防浪涌和防突波保护；</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8.支持国密算法 SM1、SM2、SM3、SM4，支持GB35114 A级；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9.符合《GB/T 28181-2016 公共安全视频监控联网系统信息传输、交换、控制技术要求》中的相关规定；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10.提供完善的SDK开发包及示例源代码，质保期内免费提供版本升级与二次开发技术支持。</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56</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光网设备</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1.使用灵活，4口全千兆Gpon适配器、4口全千兆，可以在以太端口上任意混插；</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2.配置方便，支持SIP和H.248两种协议自适应，支持通过OMCI协议、TR069等网管协议自动下发配置、无需现场配置；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3.远程管理，支持OLT端的网管，可以实现端口流量、网络质量的远程监测；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4.端口数不够的，必须采用可网管的交换机进行扩展，保证后端能进行端口级的管理与监测。</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56</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智能网络箱（监控）</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专业定制网络机箱，采用304不锈钢材质，箱体尺寸：不小于(400mm宽x550mm高x210mm深)，外壳防护等级不低于IP54，机箱表面进行白色喷涂处理，机箱正面警徽、网络箱编号的颜色鲜艳、清晰，保证5年内雨淋、日晒不脱落、不会明显褪色；配备一个隔板，布局、隔热、散热合理、模块化清晰；</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2.配备2P 20A 保护空开、智能电源管理终端、3个5孔国标插座、光纤熔纤盘、接地铜牌、220V风扇（带温控）；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3.提供多种接口：1路摄像机专用接口、1路补光灯万年历时控接口、1路10/100M以太网接口、1路485通讯接口，2路PWM调光接口、1路门禁接口、1路预留IO信号输入接口等；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4.具备远程通讯功能：支持对接专网平台、物联网平台，并可通过平台进行远程监测、控制；提供无线通信模块接口（4G-cat1或NB-IoT）；智能电源管理终端可单独设置 IP接入网络功能，并可通过浏览器或客户端软件登录管理设备，远程修改配置各项参数，支持远程升级；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5.具备状态监测及异常告警功能：支持实时监测欠压、过压、过流、短路、漏电、门禁、温度、负载等情况，若检测到故障向平台发送故障告警信息；</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具备自动重合闸保护功能：支持按照策略进行自动保护，如检测到过压、欠压、漏电、过流/过载、短路保护等异常情况后动启动保护并上传故障告警信息；异常状态解除后自动合闸恢复，反之根据策略继续进行自动保护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7.具备漏电保护测试功能：设备具有漏电测试按钮，支持现场测试；支持远程启动漏电保护测试。</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56</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施工、调试费用</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监控续建施工调试费用，含已有监控设备（摄像机、机箱、线缆等）拆除，线缆敷设，前端设备安装、调测（摄像机、机箱等），辅材、附件、工具、人工等的全部费用。</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56</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L型杆件（3-4.5m）</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1.根据部位与要求选择摄像机安装方式。立杆采用八角Q235优质钢采用高热镀锌处理，高度6.5米、横臂3-4.5米，立杆下端外接圆直径应在 220 mm±10mm、上端外接圆对角直径应在 120 mm±5mm；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2.管壁厚度应≥ 6mm，具体壁厚根据材料的机械强度及设备重量设计，立杆应有较高强度抗台风、防摄像机抖动、防攀爬、防腐，安装好之后整体强度能防御12级以上台风、8级以上地震；立杆应做灌筑基础，基础深度应不小于1500mm，底部直径应不小于1000m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3.杆底端焊接固定法兰盘，预留拉线孔，地基应是硬质；立杆安装应牢固，不得歪斜，需用水平仪来测定；制作要美观，其顶部应做防水帽；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4.在杆的顶部设有避雷针，能够引导直击雷入地；每一根金属立杆都必须接地，其接地电阻小于10欧；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5.立杆底部用螺栓与基础固定，电源线和光缆从立杆底部进入，在杆的上部设有摄像机安装横杆，可吊装快球摄像机；杆的中下部有网络及电源设备箱，具备良好的防护、散热功能；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6.没有特殊情况所有监控立杆预埋件混凝土为C25砼，所配钢筋符合国标及受风要求。其中水泥为425号普通硅酸盐水泥。混凝土的配比和最小水泥用量应符合GBJ204-83的规定；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7.杆件保证5年内雨淋、日晒不脱落、不会明显褪色。</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36</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w:t>
            </w:r>
          </w:p>
        </w:tc>
      </w:tr>
    </w:tbl>
    <w:p>
      <w:pPr>
        <w:rPr>
          <w:rFonts w:hint="default"/>
          <w:color w:val="auto"/>
          <w:highlight w:val="none"/>
          <w:lang w:val="en-US" w:eastAsia="zh-CN"/>
        </w:rPr>
      </w:pPr>
    </w:p>
    <w:tbl>
      <w:tblPr>
        <w:tblStyle w:val="6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0"/>
        <w:gridCol w:w="1378"/>
        <w:gridCol w:w="6480"/>
        <w:gridCol w:w="727"/>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附（2）卡口点位更新服务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项目</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建设内容</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高清相机抓拍单元</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1.包含高清一体化嵌入式摄像机、高清镜头、室外防护罩、电源适配器等；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2.图像传感器采用1英寸全局曝光CMOS，分辨率≥4096×2160，超低照度彩色≤ 0.001lx，黑白≤0.001lx；</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3.支持车辆捕获功能，白天和晚上的捕获率均≥98%；</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4.车牌识别准确率白天≥98%，晚上≥96%；</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5.支持新能源车牌识别功能，支持视场倾斜情况下的车辆号牌识别；</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6.支持车辆抓拍与属性识别、人脸抓拍，支持驾驶员人脸检测及抠图功能；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7.可支持视频、线圈、雷达、地磁等车辆检测联动功能；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8.支持网络接口、USB接口、RS-485接口、RS-232接口、I/O接口报警输入输出、外置灯接口；</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9.防护等级不低于IP66；</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10.符合《GB/T 28181-2016 公共安全视频监控联网系统信息传输、交换、控制技术要求》中的相关规定；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11.提供完善的SDK开发包及示例源代码，质保期内免费提供版本升级与二次开发技术支持。</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50</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高清环保抓拍单元</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1.包含高清一体化嵌入式摄像机、高清镜头、室外防护罩、电源适配器等；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2.图像传感器采用不小于1英寸全局曝光CMOS，分辨率≥4096*2160，最低照度彩色≤0.002lx，黑白≤0.001lx；</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3.支持白天用白光爆闪，晚上无需使用白光爆闪，即可输出高质量全彩图像，有效解决夜间光污染；</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4.支持机动车抓拍、非机动抓拍、行人抓拍；支持超速、压线、逆行、禁止大货车等违法行为；支持车牌识别、车型识别、车身颜色识别、违章检测、车辆品牌等特征检测；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5.支持车辆捕获抓拍功能，在天气晴朗无雾，号牌无遮挡、无污损情况下，白天和晚上的捕获率均≥98%；</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6.支持车牌识别功能，在天气晴朗无雾，号牌无遮挡、无污损情况下,白天识别准确率均≥98%,夜间识别准确率≥96%；</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7.支持驾驶员人脸检测及抠图功能；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8.符合《GB/T 28181-2016 公共安全视频监控联网系统信息传输、交换、控制技术要求》中的相关规定；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9.符合《GAT 1400.1-2017 公安视频图像信息应用系统》中的相关规定；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10.防护等级不低于IP66；</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11.提供完善的SDK开发包及示例源代码，质保期内免费提供版本升级与二次开发技术支持。</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132</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高清相机抓拍单元（非机动车）</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1.包含高清一体化摄像机、高清镜头、室外防护罩、风扇、内置补光灯、电源适配器安装万向节等；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2.支持最低照度可达彩色0.002lx，黑白0.001lx；</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3.图像传感器≥2/3英寸CMOS，图像分辨率≥2448×2048；</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4.支持机动车、非机动车、行人目标检测；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5.支持压线、逆行、闯红灯、不按导向行驶、违法变道、路口停止、绿灯停止、机占非、闯禁等违章检测；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6.支持车辆特征检测：车牌识别、车型识别、车身颜色识别、车辆品牌、车辆子品牌等特征检测；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7.支持车辆捕获功能，白天和晚上的捕获率均≥98%；</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8.支持车牌识别准确率白天≥98%，晚上≥96%；</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9.支持网络接口、USB接口、RS-485接口、RS-232接口、I/O接口报警输入输出、外置灯接口；</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10.防护等级不低于IP66；</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11.符合《GB/T 28181-2016 公共安全视频监控联网系统信息传输、交换、控制技术要求》中的相关规定；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12.提供完善的SDK开发包及示例源代码，解码插件，免费提供软件功能升级与需求定制服务。</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48</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66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枪球一体机</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1.支持全景和细节两路视频图像输出，全景通道细节通道有效分辨率不小于2048×1440像素；</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2.细节镜头支持不低于32倍光学变倍；</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3.全景通道水平视场角不小于88°，垂直视场角不小于44°；</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4.支持最低照度可达彩色0.002lx，黑白0.001lx；</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5.全景、细节白光补光距离可达30m，细节红外补光距离可达150m；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6.细节相机水平旋转范围为0°～360°，垂直旋转范围-15°～90°；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7.支持300个预置位，可按照所设置的预置位完成不小于8条巡航路径；</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8.支持智能红外、透雾、强光抑制、电子防抖、数字降噪、防红外过曝功能；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9.具备较好的防护性能环境适应性，支持IP67、防浪涌；</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10.支持区域入侵侦测、越界侦测、进入区域侦测和离开区域侦等智能侦测并联动跟踪；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11.支持国密算法 SM1、SM2、SM3、SM4，支持GB35114 A级；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12.符合《GB/T 28181-2016 公共安全视频监控联网系统信息传输、交换、控制技术要求》中的相关规定；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13.提供完善的SDK开发包及示例源代码，质保期内免费提供版本升级与二次开发技术支持。</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64</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环保补光灯</w:t>
            </w:r>
          </w:p>
        </w:tc>
        <w:tc>
          <w:tcPr>
            <w:tcW w:w="314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1.符合GA/T 1202-2022《交通技术监控成像补光装置通用技术条件》；</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2.补光装置光源包括LED光源、气体放电光源和红外光源；色温：气体放电光源色温≤7000K， LED光源色温应在2800-5500K 范围内。中心光照度：LED：20m平均光照度 1-5lx可选， 20m有效光照度2-20lx范围内，20m频爆光照度8-80lx范围内，氙气：400-4000lx范围内；</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3.支持红外和白光补光切换；</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4.支持LED频闪、LED爆闪、白光气体爆闪及红外气体爆闪四种补光方式，可通过远程控制切换；</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5.触发信号异常时，爆闪灯进入自动保护，触发信号输入正常，爆闪灯自动恢复正常；</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6.防护等级不低于IP66。</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239</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LED白光补光灯（卡口）</w:t>
            </w:r>
          </w:p>
        </w:tc>
        <w:tc>
          <w:tcPr>
            <w:tcW w:w="314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1.高效led白光补光灯灯具，采用led白光芯片，发光角度5°-120°可选；光源：可见光；色温应在3000-4500K 范围内；中心光照度：20m平均光照度4-40lx可选，20m有效光照度20-200lx范围内；</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2.支持常亮模式、频闪模式；</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3.灯具防护等级不小于IP66，提供AC220v电源输入口，支持长时间±10%宽范围电压输入；</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4.支持电源及信号输入端防浪涌（GB/T17626.5-2008 1.2/50微型模型）电源输入端不小于共模电压2kv的浪涌信号；差模不小于1kv的浪涌信号；</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5.在不小于-20~60℃环境温度下长时间稳定工作；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6.电源输入端与电源线要求采用防水对接头；</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7.符合（GA/T 1202-2022交通技术监控成像补光装置通用技术条件）规范要求。</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48</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红绿灯检测器</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1.支持16路信号灯输入接口，具备对应信号状态指示灯显示,检测信号灯电压范围AC110V~270V；</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2.RS485口输出≥4路，信号灯输入端口有信号输入时，RS485端口会上传该端口的状态信息；</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3.设备工作温度－20℃～80℃；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4.设备在正常工作条件下，连续工作168h不应出现电、机械或操作系统的故障。</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光网设备</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1.使用灵活，4口全千兆Gpon适配器、4口全千兆，可以在以太端口上任意混插；</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2.配置方便，支持SIP和H.248两种协议自适应，支持通过OMCI协议、TR069等网管协议自动下发配置、无需现场配置；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3.远程管理，支持OLT端的网管，可以实现端口流量、网络质量的远程监测；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4.端口数不够的，必须采用可网管的交换机进行扩展，保证后端能进行端口级的管理与监测。</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67</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智能网络箱（卡口）</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专业定制网络机箱，采用304不锈钢材质，箱体尺寸：不小于(510mm宽x745mm高x260mm深)，外壳防护等级不低于IP54，机箱表面进行白色喷涂处理，机箱正面警徽、网络箱编号的颜色鲜艳、清晰，保证5年内雨淋、日晒不脱落、不会明显褪色；配备一个隔板，布局、隔热、散热合理、模块化清晰；</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2.配备2P 20A 保护空开、智能电源管理终端、3个5孔国标插座、光纤熔纤盘、接地铜牌、220V风扇（带温控）；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3.提供多种接口：1路摄像机专用接口、1路补光灯万年历时控接口、1路10/100M以太网接口、1路485通讯接口，2路PWM调光接口、1路门禁接口、1路预留IO信号输入接口等；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4.具备远程通讯功能：支持对接专网平台、物联网平台，并可通过平台进行远程监测、控制；提供无线通信模块接口（4G-cat1或NB-IoT）；智能电源管理终端可单独设置 IP接入网络功能，并可通过浏览器或客户端软件登录管理设备，远程修改配置各项参数，支持远程升级；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5.具备状态监测及异常告警功能：支持实时监测欠压、过压、过流、短路、漏电、门禁、温度、负载等情况，若检测到故障向平台发送故障告警信息；</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具备自动重合闸保护功能：支持按照策略进行自动保护，如检测到过压、欠压、漏电、过流/过载、短路保护等异常情况后动启动保护并上传故障告警信息；异常状态解除后自动合闸恢复，反之根据策略继续进行自动保护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7.具备漏电保护测试功能：设备具有漏电测试按钮，支持现场测试；支持远程启动漏电保护测试。</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49</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落地机箱</w:t>
            </w:r>
          </w:p>
        </w:tc>
        <w:tc>
          <w:tcPr>
            <w:tcW w:w="314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1.专业定制网络机箱，采用304不锈钢材质，外壳防护等级不低于IP54，机箱表面进行白色喷涂处理，机箱正面警徽、网络箱编号的颜色鲜艳、清晰，保证5年内雨淋、日晒不脱落、不会明显褪色；</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2.提供定制的光纤盘位；隔热、散热、防护良好，布局合理、模块化清晰；</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3.配备2P 20A 保护空开、40KA浪涌防护器、3个5孔国标插座、220V风扇（带温控）；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4.产品尺寸：不小于 (510宽x745高x260深)mm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5.含落地机箱基础。</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施工、调试费用</w:t>
            </w:r>
          </w:p>
        </w:tc>
        <w:tc>
          <w:tcPr>
            <w:tcW w:w="3147"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电警续建施工调试费用，含已有电警设备（摄像机、补光灯、机箱、线缆等）拆除，线缆敷设，前端设备安装、调测（摄像机、补光灯、机箱、红灯检测器、相关配件等），辅材、附件、工具、人工等的全部费用。</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67</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L型杆件（11m）</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根据部位与要求选择摄像机安装方式。立杆采用八角Q235优质钢采用高热镀锌处理，高度6.5米、横臂11米，立杆下端外接圆直径应在340mm±10mm，上端外接圆直径应在280mm±5mm，壁厚≥8mm，横臂厚≥6mm。立杆应有较高强度抗台风、防摄像机抖动、防攀爬、防腐性能，安装好之后整体强度能防御12级以上台风、8级以上地震；立杆应做灌筑基础，基础深度应不小于2000mm，底部尺寸应不小于1900*1900m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2.杆底端焊接固定法兰盘，预留拉线孔，地基应是硬质；立杆安装应牢固，不得歪斜，需用水平仪来测定；制作要美观，其顶部应做防水帽；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3.基础接地网伸出接地线与杆身焊接，焊缝应进行防腐处理。接地电阻应≤10欧姆；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4.立杆底部用螺栓与基础固定，电源线和光缆从立杆底部进入，在杆的上部设有摄像机安装横杆，可吊装快球摄像机；杆的中下部有网络及电源设备箱，具备良好的防护、散热功能；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5.基础混凝土等级为C30。基础纵向钢筋采用HRB400级钢筋，横向钢筋采用HPB300级钢筋；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6.杆件保证5年内雨淋、日晒不脱落、不会明显褪色。</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L型杆件（16m）</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根据部位与要求选择摄像机安装方式。立杆采用八角Q235优质钢采用高热镀锌处理，高度6.5米、横臂16米，立杆下端外接圆直径应在540mm±10mm，上端外接圆直径应在450mm±5mm，壁厚≥10mm，横臂厚≥8mm。立杆应有较高强度抗台风、防摄像机抖动、防攀爬、防腐性能，安装好之后整体强度能防御12级以上台风、8级以上地震；立杆应做灌筑基础，基础深度应不小于2100mm，底部尺寸应不小于2200*2200m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2.杆底端焊接固定法兰盘，预留拉线孔，地基应是硬质；立杆安装应牢固，不得歪斜，需用水平仪来测定；制作要美观，其顶部应做防水帽；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3.基础接地网伸出接地线与杆身焊接，焊缝应进行防腐处理。接地电阻应≤10欧姆；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4.立杆底部用螺栓与基础固定，电源线和光缆从立杆底部进入，在杆的上部设有摄像机安装横杆，可吊装快球摄像机；杆的中下部有网络及电源设备箱，具备良好的防护、散热功能；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5.基础混凝土等级为C30。基础纵向钢筋采用HRB400级钢筋，横向钢筋采用HPB300级钢筋；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6.杆件保证5年内雨淋、日晒不脱落、不会明显褪色。</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14</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T型杆件（11+11m）</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根据部位与要求选择摄像机安装方式。立杆采用八角Q235优质钢采用高热镀锌处理，高度6.5米、横臂（11+11）米，立杆下端外接圆直径应在540mm±10mm，上端外接圆直径应在450mm±5mm，壁厚≥10mm，横臂厚≥8mm。立杆应有较高强度抗台风、防摄像机抖动、防攀爬、防腐性能，安装好之后整体强度能防御12级以上台风、8级以上地震；立杆应做灌筑基础，基础深度应不小于2100mm，底部尺寸应不小于2200*2200m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2.杆底端焊接固定法兰盘，预留拉线孔，地基应是硬质；立杆安装应牢固，不得歪斜，需用水平仪来测定；制作要美观，其顶部应做防水帽；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3.基础接地网伸出接地线与杆身焊接，焊缝应进行防腐处理。接地电阻应≤10欧姆；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4.立杆底部用螺栓与基础固定，电源线和光缆从立杆底部进入，在杆的上部设有摄像机安装横杆，可吊装快球摄像机；杆的中下部有网络及电源设备箱，具备良好的防护、散热功能；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5.基础混凝土等级为C30。基础纵向钢筋采用HRB400级钢筋，横向钢筋采用HPB300级钢筋；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6.杆件保证5年内雨淋、日晒不脱落、不会明显褪色。</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T型杆件（13+13m）</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根据部位与要求选择摄像机安装方式。立杆采用八角Q235优质钢采用高热镀锌处理，高度6.5米、横臂（13+13）米，立杆下端外接圆直径应在540mm±10mm，上端外接圆直径应在450mm±5mm，壁厚≥10mm，横臂厚≥8mm。立杆应有较高强度抗台风、防摄像机抖动、防攀爬、防腐性能，安装好之后整体强度能防御12级以上台风、8级以上地震；立杆应做灌筑基础，基础深度应不小于2300mm，底部尺寸应不小于2200*2200m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2.杆底端焊接固定法兰盘，预留拉线孔，地基应是硬质；立杆安装应牢固，不得歪斜，需用水平仪来测定；制作要美观，其顶部应做防水帽；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3.基础接地网伸出接地线与杆身焊接，焊缝应进行防腐处理。接地电阻应≤10欧姆；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4.立杆底部用螺栓与基础固定，电源线和光缆从立杆底部进入，在杆的上部设有摄像机安装横杆，可吊装快球摄像机；杆的中下部有网络及电源设备箱，具备良好的防护、散热功能；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5.基础混凝土等级为C30。基础纵向钢筋采用HRB400级钢筋，横向钢筋采用HPB300级钢筋；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6.杆件保证5年内雨淋、日晒不脱落、不会明显褪色。</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L型杆件（8m）</w:t>
            </w:r>
          </w:p>
        </w:tc>
        <w:tc>
          <w:tcPr>
            <w:tcW w:w="31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根据部位与要求选择摄像机安装方式。立杆采用八角Q235优质钢采用高热镀锌处理，高度13米、横臂8米，立杆下端外接圆直径应在440mm±10mm，上端外接圆直径应在350mm±5mm，壁厚≥10mm，横臂厚≥6mm。立杆应有较高强度抗台风、防摄像机抖动、防攀爬、防腐性能，安装好之后整体强度能防御12级以上台风、8级以上地震；立杆应做灌筑基础，基础深度应不小于2300mm，底部尺寸应不小于2000*2000m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2.杆底端焊接固定法兰盘，预留拉线孔，地基应是硬质；立杆安装应牢固，不得歪斜，需用水平仪来测定；制作要美观，其顶部应做防水帽；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3.基础接地网伸出接地线与杆身焊接，焊缝应进行防腐处理。接地电阻应≤10欧姆；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4.立杆底部用螺栓与基础固定，电源线和光缆从立杆底部进入，在杆的上部设有摄像机安装横杆，可吊装快球摄像机；杆的中下部有网络及电源设备箱，具备良好的防护、散热功能；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5.基础混凝土等级为C30。基础纵向钢筋采用HRB400级钢筋，横向钢筋采用HPB300级钢筋；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6.杆件保证5年内雨淋、日晒不脱落、不会明显褪色。</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4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w:t>
            </w:r>
          </w:p>
        </w:tc>
      </w:tr>
    </w:tbl>
    <w:p>
      <w:pPr>
        <w:pStyle w:val="2"/>
        <w:rPr>
          <w:rFonts w:hint="default"/>
          <w:color w:val="auto"/>
          <w:highlight w:val="none"/>
          <w:lang w:val="en-US" w:eastAsia="zh-CN"/>
        </w:rPr>
      </w:pPr>
    </w:p>
    <w:tbl>
      <w:tblPr>
        <w:tblStyle w:val="6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0"/>
        <w:gridCol w:w="1378"/>
        <w:gridCol w:w="6482"/>
        <w:gridCol w:w="727"/>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附（3）服务器升级与运维服务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项目</w:t>
            </w:r>
          </w:p>
        </w:tc>
        <w:tc>
          <w:tcPr>
            <w:tcW w:w="31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建设内容</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国产服务器1</w:t>
            </w:r>
          </w:p>
        </w:tc>
        <w:tc>
          <w:tcPr>
            <w:tcW w:w="31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1.国产品牌，2U机架；配置≥2个可热插拔冗余电源；</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2.处理器：配置处理器数量≥2颗，单CPU主频≥2.6GHz，单CPU物理核数≥48Core；内存：配置≥8*32GB DDR4内存；硬盘：配置≥2块480GB SATA SSD硬盘；配置≥2块3.84TB SATA SSD硬盘；网卡：配置≥4*GE电口+2*10GE(含光模块)；</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3.配置≥1块RAID卡(4GB Cache)，支持RAID 0/1/5/6/10/50/60；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4.提供5年质保和存储介质保留服务。</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17</w:t>
            </w:r>
          </w:p>
        </w:tc>
        <w:tc>
          <w:tcPr>
            <w:tcW w:w="4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国产服务器2</w:t>
            </w:r>
          </w:p>
        </w:tc>
        <w:tc>
          <w:tcPr>
            <w:tcW w:w="31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1.国产品牌，2U机架；配置≥2个可热插拔冗余电源；</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2.处理器：配置处理器数量≥2颗，单CPU主频≥2.6GHz，单CPU物理核数≥48Core；内存：配置≥8*32GB DDR4内存；硬盘：配置≥2块480GB SATA SSD硬盘，配置≥4块1920GB SATA SSD；网卡：配置≥4*GE电口+2*10GE(含光模块)；推理卡：配置≥4张AI推理卡；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3.AI推理卡：显存不小于32GB；半精度（FP16）≥64 TFLOPS，整数精度（INT8）≥140 TOPS；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4.配置1张磁盘阵列卡，缓存≥4G，支持RAID 0/1/10/6/5/50/60；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5.提供5年质保和存储介质保留服务。</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4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服务器维保</w:t>
            </w:r>
          </w:p>
        </w:tc>
        <w:tc>
          <w:tcPr>
            <w:tcW w:w="31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民安七期20台华为 RH2288 V3服务器维保费用。</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4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6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时钟管理系统</w:t>
            </w:r>
          </w:p>
        </w:tc>
        <w:tc>
          <w:tcPr>
            <w:tcW w:w="31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1.提供标准时间源，为支持标准NTP协议的摄像机、服务器、网络设备等设备提供校时服务；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2.授时精度5ms，外参考失锁后依靠内置高精度时钟守时，守时精度≤100ms/24hour；</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3.支持校时设备的基础档案信息批量导入、导出；提供接口与第三方的设备信息管理系统进行数据同步；</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4.根据设备名称、IP、类型、校时情况等内容对设备档案信息进行搜索查询；</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5.支持自定义设置校时计划，根据校时计划对已建档设备的校时情况进行比对，显示未按计划校时的设备清单；</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6.通过对设备校时行为的数据进行比对，分析出时间偏差超过范围的设备，统计出多次时间偏差超预设值的设备；</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7.对整体设备的时钟稳定性进行分析，以图表显示摄像机、服务器、网络设备等设备的时钟误差分布；</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8.对未建档设备发起的校时行为信息进行记录，根据预设的策略决定是否予以应答；</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9.支持10000路设备的时钟校时与管理能力；</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10.配置可触摸彩色液晶显示屏，能实时显示当前时间，接收的卫星数量，卫星接收异常告警，系统负载、运行时间等；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11.通过液晶屏可进行开启、关闭校时服务，关机、重启功能；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12.含配套的北斗卫星信号接收天线、支架等。</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4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bl>
    <w:p>
      <w:pPr>
        <w:pStyle w:val="2"/>
        <w:ind w:left="0" w:leftChars="0" w:firstLine="0" w:firstLineChars="0"/>
        <w:rPr>
          <w:rFonts w:hint="default"/>
          <w:color w:val="auto"/>
          <w:highlight w:val="none"/>
          <w:lang w:val="en-US" w:eastAsia="zh-CN"/>
        </w:rPr>
      </w:pPr>
    </w:p>
    <w:tbl>
      <w:tblPr>
        <w:tblStyle w:val="6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4"/>
        <w:gridCol w:w="1526"/>
        <w:gridCol w:w="6484"/>
        <w:gridCol w:w="727"/>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附（4）安全升级与运维服务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项目</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建设内容</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社会资源汇聚网防火墙</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1.硬件架构: 设备高度1U，支持可拔插交流电源模块≥2个，支持可插拔风扇模块≥4个；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2.国产化要求：采用国产自研CPU设计；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3.风道设计：为适应机房风道设计和部署规范，设备采用前后风道设计，提供设备气流走向图片证明；</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4.性能要求: 防火墙吞吐量≥100Gbps，IPS吞吐量≥30Gbps，最大并发连接数≥3000万，每秒新建连接数≥100万；</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5.配置要求：实配可插拔交流电源模块≥2个, 可插拔风扇模块≥4个，提供100G光口≥2个，40G光口≥2个，万兆光口≥20个，虚拟防火墙数量≥1000个，提供IPS&amp;AV特征库升级授权≥5年；</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6.策略管控：能够基于IP、IPv6、MAC地址、时间进行访问控制策略控制，支持自定义安全策略；</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7.策略管理：支持一条安全策略中同时配置ipv4和ipv6地址（提供功能截图）；</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入侵防御:系统预定义IPS签名数量≥20000，支持用户自定义签名规则；支持对常见应用服务（HTTP、FTP、SSH、SMTP、IMAP）和数据库软件（MySQL、Oracle、MSSQL）的口令暴力破解防护功能（提供功能截图），支持恶意域名过滤，实现对C&amp;C进行阻断（提供功能截图）；</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9.病毒防护：支持HTTP、FTP、SMTP、POP3、IMAP、NFS等协议的病毒防护；</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10.DDoS防护：支持HTTP、HTTPS、DNS、SIP等应用层Flood攻击，支持流量自学习功能，可设置自学习时间，并自动生成DDoS防范策略，支持IP信誉库，可实现对内网僵尸主机的检测和防御；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11.配置≥SFP+万兆模块(850nm,300m,LC)≥14块，QSFP+ 40G多模模块(1310nm,0.15km,LC)≥4块，SFP28 25G多模模块(850nm,0.1km,LC)≥6块。</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防火墙授权</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原9台USG9560防火墙和2台USG6530E防火墙入侵防御及病毒防护授权延长5年。</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视频安全万兆双单向边界</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硬件配置：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1.2U标准机架式设备，单台设备由内、外网两个独立主机模块和2个单向传输专用硬件模块三部分组成，单向传输硬件模块基于光的物理单向传输特性实现数据零反馈单向传输，不存在反向通道。可支持双向传输；</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2.内网侧：千兆网络电口≥4个，万兆光口≥2个；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3.外网侧：千兆网络电口≥4个，万兆光口≥2个；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4.性能配置：吞吐量：≥6000Mbps。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主要功能：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1.支持数据库同步，包括主流关系型数据库、列数据库、文档数据库、时序数据库、键值数据库、全文数据库、MPP数据库和国产数据库，支持数据库异构同步；支持格式检查、内容过滤；</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2.支持文件交换，包括NFS、SMB、FTP、SFP协议；根据业务需求，可支持文件全量同步、增量同步、移动同步、文件同步重命名、文件覆盖等策略模式；支持格式检查、内容过滤；</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3.支持多通道数据总线交换,支持读写Ka**a、ActiveMQ、RocketMQ等集群消息系统，支持对消息格式、内容进行检查和过滤；</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4.具有API服务交换模块：支持webservice、Websocket、Restful API请求服务交互；支持API管理、地址重写、服务路由、访问限流、异步交换、编码检查、格式检查、参数检查、内容过滤；</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5.支持API服务接口的访问控制，支持基于请求方信息、服务方信息、IP、时间、频次、请求连接数、流量大小等属性的访问控制功能；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6.内置CA模块，可对外部应用发放数字证书、令牌，并对有效期进行管理；支持数字证书认证、口令密码认证、Token认证；</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7.支持SM2、SM3、RSA、AES、MD5、SHA、HAMC密码算法；支持数据签名验签；</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8.交换系统采用分布式集群架构，支持集群化扩展、集群高可用、任务级容灾和集群负载均衡，支持数据交换任务并行处理；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9.同时支持对接多台网闸，提供网闸容错和调度功能；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10.支持邮件同步，支持针对邮件收发件人、邮件标题及内容关键字，邮件大小、邮件附件个数进行过滤；</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11.提供自身操作管理和业务交换行为日志审计；支持通过Syslog、API、FTP方式输出日志。</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终端管控</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1.产品可以纯软件交付，包含管理控制中心软件及终端客户端软件，提供1000点终端防护授权和230点服务器防护5年授权含软件升级；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终端安全可视：采用B/S架构的管理控制中心，具备终端安全可视，终端统一管理，统一威胁处置，统一漏洞修复，威胁响应处置，日志记录与查询等功能，支持显示当前未处理的勒索病毒数量、暴力破解数量、僵尸网络、WebShell后门数量、高危漏洞及其各自影响的终端数量，提供勒索病毒整体防护体系入口，直观展示最近七天勒索病毒防护效果，包括已处置的勒索病毒数量、已阻止的勒索病毒行为次数、已阻止的未知进程操作次数、已阻止的暴力破解攻击次数；</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支持安全策略一体化配置，通过一条策略即可实现不同安全功能的配置，包括：终端病毒查杀的文件扫描配置、文件实时监控的参数配置、WebShell检测和威胁处置方式、暴力破解的威胁处置方式和Windows白名单信任目录；</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支持展示终端检测到的WebShell事件及事件详情，包括：恶意文件名称，威胁等级，受感染的文件，发现时间，检测引擎，文件类型，文件名，文件Hash值，文件大小，文件创建时间；可配置WebShell实时扫描，一旦发现WebShell文件，可自动隔离或仅上报不隔离；</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5.支持监控诱饵文件，诱饵文件可被实时监控，当勒索病毒对该文件进行修改或加密操作时进行拦截；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6.统计单个攻击源及分布式攻击源的暴力破解检测，支持按照RDP、SMB和SSH类型进行封堵并自定义爆破阈值，可对封停时间进行自设置；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7.构建全网文件信誉库，当一台终端发现某一病毒文件，全网可进行感知并进行针对性查杀，支持处置病毒时选择是否在其它终端上同步处置；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8.支持分组的USB存储是管控防护启用，不允许指定终端分组下的终端使用USB存储设备，支持对USB存储设备设置基于设备ID的白名单，允许白名单设备使用。提供设备ID识别工具；</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支持终端分组的策略开启，功能默认开启，自动免疫，支持漏洞视角和终端视角2个维度的轻补丁漏洞免疫情况的查看，可针对某个漏洞的全网免疫和取消免疫的处置，或指定终端所有漏洞的免疫和取消免疫处置。</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bl>
    <w:p>
      <w:pPr>
        <w:pStyle w:val="9"/>
        <w:numPr>
          <w:ilvl w:val="0"/>
          <w:numId w:val="4"/>
        </w:numPr>
        <w:bidi w:val="0"/>
        <w:adjustRightInd/>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温州市本级2023年度公共视频监控一体化运维项目标项二</w:t>
      </w:r>
    </w:p>
    <w:tbl>
      <w:tblPr>
        <w:tblStyle w:val="6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7"/>
        <w:gridCol w:w="1762"/>
        <w:gridCol w:w="5216"/>
        <w:gridCol w:w="844"/>
        <w:gridCol w:w="955"/>
        <w:gridCol w:w="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8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货物名称</w:t>
            </w:r>
          </w:p>
        </w:tc>
        <w:tc>
          <w:tcPr>
            <w:tcW w:w="2534"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参数配置</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c>
          <w:tcPr>
            <w:tcW w:w="464"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数量（时间）</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一、前端点位运维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前端设备质保与运维费（监控）</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前端过保设备的质保（设备保修）、日常清洁、巡检、维修、抢修等内容，含不多于5%的移机费用。民安六期788路、民安七期301路共1089路，服务时间为“服务期2”。</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前端设备运维费（监控）</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前端设备的日常清洁、巡检、维修、抢修等内容。雪亮二期438路，服务时间为“服务期1”。</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85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专网网络服务费（监控）</w:t>
            </w:r>
          </w:p>
        </w:tc>
        <w:tc>
          <w:tcPr>
            <w:tcW w:w="253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视频专网专线电路（与互联网物理隔离）的光纤链路租费和维护费。民安六期788路、民安七期301路共1089路服务时间为“服务期2”；雪亮二期438路服务时间为“服务期1”。</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8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53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1"/>
                <w:szCs w:val="21"/>
                <w:highlight w:val="none"/>
                <w:u w:val="none"/>
              </w:rPr>
            </w:pP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85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前端设备电费（监控）</w:t>
            </w:r>
          </w:p>
        </w:tc>
        <w:tc>
          <w:tcPr>
            <w:tcW w:w="253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摄像机、补光灯、网络设备等前端设备的电费。</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民安六期788路、民安七期301路共1089路服务时间为“服务期2”；雪亮二期438路服务时间为“服务期1”。</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8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53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1"/>
                <w:szCs w:val="21"/>
                <w:highlight w:val="none"/>
                <w:u w:val="none"/>
              </w:rPr>
            </w:pP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前端设备质保与运维费（卡口）</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前端过保设备的质保（设备保修）、日常清洁、巡检、维修、抢修等内容，含不多于5%的移机费用。民安六期22路、民安七期149路、加油站280路共451路服务时间为“服务期2”。</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前端设备运维费（卡口）</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含前端设备的日常清洁、巡检、维修（含设备保修）、抢修等内容。雪亮一期689路、雪亮二期933路共1625路服务时间为“服务期1”。</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856" w:type="pct"/>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专网网络服务费（卡口）</w:t>
            </w:r>
          </w:p>
        </w:tc>
        <w:tc>
          <w:tcPr>
            <w:tcW w:w="2534" w:type="pct"/>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视频专网专线电路（与互联网物理隔离）的光纤链路租费和维护费。民安六期、七期68路服务时间为“服务期2”，雪亮一期164路、雪亮二期290路共454路服务时间为“服务期1”。</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856"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534" w:type="pct"/>
            <w:vMerge w:val="continue"/>
            <w:tcBorders>
              <w:top w:val="single" w:color="000000" w:sz="4" w:space="0"/>
              <w:left w:val="single" w:color="000000" w:sz="4" w:space="0"/>
              <w:bottom w:val="nil"/>
              <w:right w:val="single" w:color="000000" w:sz="4" w:space="0"/>
            </w:tcBorders>
            <w:noWrap w:val="0"/>
            <w:vAlign w:val="center"/>
          </w:tcPr>
          <w:p>
            <w:pPr>
              <w:jc w:val="left"/>
              <w:rPr>
                <w:rFonts w:hint="eastAsia" w:ascii="仿宋" w:hAnsi="仿宋" w:eastAsia="仿宋" w:cs="仿宋"/>
                <w:i w:val="0"/>
                <w:iCs w:val="0"/>
                <w:color w:val="auto"/>
                <w:sz w:val="21"/>
                <w:szCs w:val="21"/>
                <w:highlight w:val="none"/>
                <w:u w:val="none"/>
              </w:rPr>
            </w:pP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85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前端设备电费（卡口）</w:t>
            </w:r>
          </w:p>
        </w:tc>
        <w:tc>
          <w:tcPr>
            <w:tcW w:w="253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含摄像机、补光灯、网络设备等前端设备的电费。</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民安六期22路、民安七期149路共171路服务时间为“服务期2”，雪亮一期689路、雪亮二期936共1625路服务时间为“服务期1”。</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8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53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1"/>
                <w:szCs w:val="21"/>
                <w:highlight w:val="none"/>
                <w:u w:val="none"/>
              </w:rPr>
            </w:pP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前端设备运维费（人脸抓拍机）</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含日常清洁、巡检、维修（含设备保修）、抢修等全部费用。雪亮二期19路服务时间为“服务期1”。</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14</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专网网络服务费（人脸抓拍）</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视频专网专线电路（与互联网物理隔离）的光纤链路租费和维护费。雪亮二期19路服务时间为“服务期1”。</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前端设备电费（人脸抓拍）</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含摄像机、补光灯、网络设备等前端设备的电费。雪亮二期19路服务时间为“服务期1”。</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二、通讯链路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高速交警接入链路（含域间）</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高速交警接入链路（含域间），上行速率不低于100Mbps视频专网接入网（与互联网物理隔离）的光纤链路租费和维护费。</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专网主干光纤链路（域内）</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视频专网至原专业部门专网主干光纤链路（域内），并新增交警、2号楼（刑侦）不低于1000Mbps光纤链路。</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专网核心光纤链路（域间）</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视频监控专用机房至鹿城区、瓯海区、龙湾区、洞头区，海经区、轨道交通、机场公安、永嘉县、乐清市、瑞安市、龙港市、平阳县、苍南县、泰顺县、文成县区视频专网万兆光纤链。</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专线延伸链路服务（应急服务）</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提供7×24小时专用应急号码，12小时内确定安保场所打通公安视频专网链路（不低于100兆），并同时安排不少于1名技术人员在现场值守维护，直至安保结束。一年内服务不少于6次,每次链路不少于2条,连续服务不超过5天。根据安保需求，就近从现场安保指挥部周边已建监控点或线路分线箱临时拉通视频专网专线链路到指挥部，确保现场指挥部视频平台延伸搭建工作。同时还要确保安保现场专线链路运行正常，同时现场配备备品备件，一旦出现故障，应在30分钟内修复完毕。</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三、机房租赁及配套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机房租赁费</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提供不少于480M²面积的机房，含机房以及配套配电系统、UPS蓄电池系统、防雷接地系统、空调与新风系统、独立柴油发电机组等配套设施；提供不少于200M²面积的运营中心场地，1年。</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85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后端设备电费</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民安七期、身份识别、本期更新版块的所有后端设备（含网络交换设备、安全设备、存储设备、GPU服务器、计算服务器等）电费。</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8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雪亮1期的所有后端设备（含网络交换设备、安全设备、存储设备、GPU服务器、计算服务器等）电费。</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8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雪亮2期的所有后端设备（含网络交换设备、安全设备、存储设备、GPU服务器、计算服务器等）电费。</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四、仓储与保管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仓储与保管</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1.位置要求：市政府大楼直线距离15公里范围内（以百度地图测距距离为准）；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场地要求：使用合法建筑，钢体结构或混凝土框架结构，地面应高于周边地区，便于排水防涝。水电设施齐全，配备消防安全系统。周边的进出道路必须可以通行大型货车方便搬运货物，仓库面积要求不小于1000平方米，需提供平面图，货架配备齐全。需有火灾、潮湿相关检查工作记录，能满足货物的基本存放条件；</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3.满足整个公共视频监控系统（4253路监控、3462路卡口、519路人脸抓拍、484套公交车子系统）临时拆除设备、待报废设备的仓储要求，包括但不限于杆件、前端摄像机、光网设备、网络箱等设备；</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4.包含待报废设备与临时拆除设备的拆除、运输、分类、清理、整理、仓储、管理服务等费用；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5.仓库配备专门管理人员，能熟练操作各种应急设备，对各类设备出入库进行登记、管理。</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五、实验室租用服务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实验室租用服务（续）</w:t>
            </w:r>
          </w:p>
        </w:tc>
        <w:tc>
          <w:tcPr>
            <w:tcW w:w="2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以智慧城市、综治防控为一体的公共安全视频联网和应用系统建设为统领，以智慧型现代**及综治业务模式、工作机制与运行体系建设等的创新需求为牵引，以解决面向实战、服务民众的“雪亮工程”前瞻性、战略性的顶层设计和系统各环节测试提供一个实验环境。开展如下工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1.通过实验室对前后端产品应用进行性能测试与比较，为采购提供数据参考。</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2.对建设单位各业务部门实战所需的各个领域应用进行推演测试。</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3.对未投入量产前的新产品、新技术、新理论，进行系统化的测评并出具相应的测评数据。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通过实验室服务，输出各环节应用、设备测试结果、推演效果；组织信息技术交流、培训、咨询服务；提供模拟实战环境测试服务。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为开展以上工作，实验室场地要求及配置工具、设施具体要求详见附（5）。</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bl>
    <w:p>
      <w:pPr>
        <w:numPr>
          <w:ilvl w:val="0"/>
          <w:numId w:val="0"/>
        </w:numPr>
        <w:rPr>
          <w:rFonts w:hint="eastAsia"/>
          <w:color w:val="auto"/>
          <w:highlight w:val="none"/>
          <w:lang w:val="en-US" w:eastAsia="zh-CN"/>
        </w:rPr>
      </w:pPr>
    </w:p>
    <w:tbl>
      <w:tblPr>
        <w:tblStyle w:val="6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8"/>
        <w:gridCol w:w="1916"/>
        <w:gridCol w:w="5439"/>
        <w:gridCol w:w="741"/>
        <w:gridCol w:w="915"/>
        <w:gridCol w:w="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nil"/>
              <w:left w:val="nil"/>
              <w:bottom w:val="single" w:color="auto" w:sz="4" w:space="0"/>
              <w:right w:val="nil"/>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sz w:val="21"/>
                <w:szCs w:val="21"/>
                <w:highlight w:val="none"/>
                <w:u w:val="none"/>
              </w:rPr>
              <w:t>附件5：实验室租用服务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9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货物名称</w:t>
            </w:r>
          </w:p>
        </w:tc>
        <w:tc>
          <w:tcPr>
            <w:tcW w:w="264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参数配置</w:t>
            </w:r>
          </w:p>
        </w:tc>
        <w:tc>
          <w:tcPr>
            <w:tcW w:w="35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单位</w:t>
            </w:r>
          </w:p>
        </w:tc>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时间（月）</w:t>
            </w:r>
          </w:p>
        </w:tc>
        <w:tc>
          <w:tcPr>
            <w:tcW w:w="30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一、实验室基础设施租赁服务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931"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办公场地约300平方米租金</w:t>
            </w:r>
          </w:p>
        </w:tc>
        <w:tc>
          <w:tcPr>
            <w:tcW w:w="264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1、温州市区的业务用房（非居住用房）；</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2、距温州市公安局（1号楼）5公里范围以内；</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3、实际可用面积的单体平面面积不小于300平方；</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4、水电配套齐全，电源供电能力满足正常工作要求；</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5、不属于规划拆迁范围，可长期租赁。</w:t>
            </w:r>
          </w:p>
        </w:tc>
        <w:tc>
          <w:tcPr>
            <w:tcW w:w="359"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45"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09"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水电物业通信等费</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水费、电费、物业费、网络资费</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综合办公日常费用、实验室装修、办公家具分三年分摊的单年费用</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根据实际需要，对办公用房进行装修，确保消防、水电、物理的安全。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含暗室装修建设：</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1、"暗室尺寸：3.5米*4.6米。</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2、含标准光源、测试架。</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3、配备电源插座、网络交换机等基础配套"。</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二、实验室专用租赁服务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辅助人员</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人员要求：</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1、熟悉各类视频监控项目；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2、能够对现有运行的各类设备提出优化提升方案；</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3、能够根据用户需求展开各种试验试点测试工作；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4、熟悉模拟、数字电子电路分析，能看懂电路图；</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5、熟练使用各类实验室设备；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6、熟练运用质量统计分析相关工具及流程；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7、熟悉前端摄像机、补光灯、电源控制模块等各类设备工作原理及电路结构；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8、熟悉主流厂家设备软硬件版本能够完成设备各类软件版本的烧写。</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人/月</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钳形接地电阻测试仪</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1、电阻测量范围：0.01-1000Ω（MΩ） MΩ。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2、电　源：1.5V。</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3、电阻测量误差：0.010~0.099Ω±(1％+0.01Ω)、600~1000Ω±(20％+10Ω)。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4、电流测量误差：0.00~299mA±(2.5％+2mA)、0.30~2.99A±(2.5％+10mA)、3.00~30.0A±(2.5％+20mA)。</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5、具备接地电阻测量、泄露电流测量、4位LCD数字显示、数据保持功能、自动关机功能、开机自校准、数据存储功能、报警功能、背光功能、钳头开口尺寸（不小于28mm）。</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交直流绝缘耐压仪</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1、输出功率：AC:5kV/10mA;DC:6kV/5mA。</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2、绝缘电阻测试电压：0.10kV-1.00kV 绝缘电阻测试范围：1MΩ-1000MΩ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3、480×272点，TFT-LCD显示。</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4、快速放电和电弧侦测功能。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5、999.9秒内任意设定的电压上升时间，测试时间，针对绝缘电 阻有可随意设定测试等待时间。</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6、可存储20个测试步骤，4种测试模式可任意组合。</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7、全新的面板和简洁的界面操作设计。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8、锁键盘功能。</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便携式单相电能表检定装置</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1、标准表配营等级：HS-5100 0.05级/TC-3000C 0.05级（内量式）</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2、输出范理：电压：20~300V电流：5mA~120A</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3、输出相位：0~360°，分辨率：0.01°</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4、输出频率：45~65Hz，分辨率：0.01Hz</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5、波形失真度：电压、电流&lt;0.5%（相对线性负载）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6、电压、电流功率稳定度：&lt;0.05%/120秒</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7、输出容量：电压：50VA电流：100VA（100A）</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8、负戴特性：阻性，感性，和容性（小于1uF/表位）</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9、启动电流输出：最小2mA，准确度：5%，启动功率：准确度5%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10、采样脉冲输入：≤s1kHz</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11、通讯测试：RS485/232/红外/载波，支持DL/T645-1997/2007、IEC1107</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12、校表数量：1-3</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13、装置输入电源：AC220 ±10%，50/60Hz</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智能型群脉冲发生器</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1、显示屏：5.7英寸TFT彩色触摸屏。</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2、工作电源范围：AC 110V/220V，(±10%)，50/60Hz，±5%。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3、保险丝：6A。</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4、最大功耗：200W。</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5、用户存储空间：无穷（PC）。</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6、通讯方式：以太网、RJ45。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7、仪器工作状态指示：前面板LED指示、LCD显示。</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8、机箱尺寸（W*H*D）：19英寸/4U。</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 9、符合IEC 61000-4-4电快速瞬变脉冲群测试。</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10、测试电压范围：0.25kV-4.8kV（±10%）。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11、极性：正、负、正负交替。</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12、源阻抗：50 ohm。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13、脉冲波形：5/50ns，50 ohm 1000 ohm 负载。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14、上升时间：5ns±30%，50 ohm负载，1000 ohm 负载。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15、脉冲持续时间：50ns±30%，50 ohm 负载、50ns-15/+100ns，1000 ohm负载。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16、脉冲频率：0.1kHZ-1000kHz。</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17、脉冲群持续时间：0.075ms-750ms。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18、脉冲群周期：1ms-9999ms。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19、测试持续时间：1s-9999s。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20、触发方式：自动、手动、外部触发。</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21、同步：0°-360°，分辨率1°步进设置或随机方式。</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22、耦合网络衰减比例：&lt;10%设定电压值。</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23、内置单相耦合/去耦网络：AC 250V/16A,DC-1 220V 16A。</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群脉冲电容耦合夹</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1、耦合电容：100pF～1000pF  DC 5kV</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2、绝缘能力：＞5kV (1.2/50μs)</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静电放电模拟器</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1、接触放电：1000V–20,000V（±5%）。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2、空气放电：1000V–20,000V（±5%）。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3、电压步进：100V。</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4、保持时间：大于 5s。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5、极性：正、负。</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6、RC模块识别：自动识别并LCD显示。</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7、温湿度：内置温湿度计，记录和保护功能。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8、脉冲重复频率：单次/0.1/0.2/0.5/1/2/5/10/20Hz。</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9、触发模式：手动&amp;自动。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10、脉冲计数：1-9999。</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11、接触放电模式：150pF/330 ohm。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12、简易程序：依据各种标准等级进行测试。</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13、上升时间：0.8ns ± 25%。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14、快速启动测试程序：参数在线可调，简单迅速，易于操作。</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15、评估程序：进行20Hz接触放电，对受试设备的测试点进行评估。</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16、标准测试程序：符合 EN/IEC61000-4-2。</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组合波雷击浪涌模拟器</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1、输出电压：0.3-6kV</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2、输出阻抗 2Ω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3、内置单相三线：AC 220V 16A ；DC-1 220V 12</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4、外置三相五线 ：SPN 38XXT；AC 380V 16A；DC-1 220V 16A(30A)</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5、同步：0°-360°，1°步进设置或随机方式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6、极性：正、负、正负交替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7、触发方式 ：自动、手动、外部信号触发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8、脉冲周期：5-99s（最短取决于实验电流）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9、失效检测：失效时前面板LCD显示，并中断仪器工作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10、仪器工作状态指示：前面板LED指示、LCD显示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11、EUT电源电压注入：4mm2香蕉插头线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12、检测输出方式：标准1米同轴线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13、显示屏：配备TFT彩色触摸屏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14、工作电源范围：AC 110V/220V,±10%，50/60Hz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15、保险丝：6A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16、最大功耗：200W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17、通讯方式：以太网、RJ45</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10GE网络损伤仿真仪</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1、能够模拟带宽限制与抖动、延迟、延迟抖动、丢包、丢包抖动、网络拥堵、乱序、重复报文、误码、篡改报文。</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2、满足不同的带宽需求，（100Mbps、1000Mbps、10Gbps）。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3、报文过滤规则：IP地址、MAC地址、VLAN、TCP/UDP端口号、MPLS Lable、PPPoE。</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锂电手电钻、电动螺丝刀、电动手动工具108件组合</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1、最大钻孔直径：钢材10毫米木材25毫米砖墙13毫米</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2、夹头直径：1.5-13毫米</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3、空载速率：0-2800转/分钟</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4、冲击率：0-44800次/分钟</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5、输入功率：570瓦</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14</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电钻冲击钻工具箱套装</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1、最大钻孔直径：钢材10毫米木材25毫米砖墙13毫米</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2、夹头直径：1.5-13毫米</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3、空载速率：0-2800转/分钟</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4、冲击率：0-44800次/分钟</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5、输入功率：570瓦</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网络设备</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1、24口千兆交换机，≥2个10GE。</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2、性能要求： 交换容量≥300Gbps，包转发率≥90Mpps，若存在双指标，则以较小的指标为准。</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网络设备</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1、24口全光千兆交换机，≥2个10GE。</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2、性能要求： 交换容量≥300Gbps，包转发率≥90Mpps，若存在双指标，则以较小的指标为准。</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17</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防火墙</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1、配置要求：千兆电口≥10，；SSL VPN并发用户≥450；IPSec VPN隧道≥950；虚拟防火墙数量≥20。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2、硬件架构：采用多核架构,自研芯片。</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3、接口要求：万兆光口≥2， 支持USB2.0。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4、性能要求：吞吐量≥3Gbps，最大并发连接数≥48万，每秒新建连接数≥3万,IPSec吞吐量≥1.9Gbps，SSL_VPN吞吐量≥300Mbps,IPS吞吐量≥1.4Gbps,SSL代理吞吐量≥290Mbps。</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18</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应用服务器</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1、CPU≥1，英特尔至强4210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2、内存≥2根 32G DDR4</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3、硬盘≥4块 600G-SAS 硬盘</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19</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GPU服务器</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1、CPU≥2颗，英特尔至强E5-2680。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2、内存≥4根 DDR4 RDIMM内存-32GB-2400MT。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3、硬盘≥2块 固态硬盘-240GB-SATA 6Gb/s。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4、显卡≥4片 NVIDIA-Tesla P4 计算卡-8GB-PCIe 3.0。</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UPS</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1、额定功率：10KVA，有效输出功率：8千瓦。</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2、主机：配备1台主机。</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3、电池柜：配备≥2套标准加厚型电池柜（含电池线）。</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21</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蓄电池</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配备12V65AH  16块</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22</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光谱分析仪</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便携光谱、色彩、照度计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1、波长范围：380nm~780nm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2、分光模式：长焦交叉非对称CT分光系统</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3、传感器：高精度CCD</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4、光谱带宽（FWHM)：2nm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5、光谱分辨率/重复性：0.2nmXY重复性士0.0005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6、波长准确度：±0.5nm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7、照度准确度：一级（士4%读数土1个读数）</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8、感光面：中10mm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9、支持TCLI电视照明（光源）一致性指数</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10、色品坐标准确度：0.0025（相对于湖源至NIM的稳定度优于士0.0005的标准光源）</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11、色温范围：1,000K~100,000K</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12、杂散光：≤0.3%</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13、亮度测量范围：1cd/m2~100000cd/m2</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14、积分时间：50us~10000ms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15、通讯接口：Micro USB接口</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16、屏幕：配备IPS高清LCD触摸屏</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17、通讯方式：主机PC:USB</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18、存储容量：配8GTF卡(Micro SD)</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19、供电方式：内置锂电池/电源适配器</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23</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锐度分辨率测试卡</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标准版4倍2000线</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24</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灰阶测试卡</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反射式灰阶测试卡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1、支持测试噪声，动态范围，对比度，曝光的准确性，镜头眩光等参数。</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2、两个灰阶条中间的白色区域的密度为D=0.05(反射率=89%)。</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3、11阶反射式灰阶测试卡有种，(γ=1.0) 或 (γ=0.45)。</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25</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白平衡测试卡</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白平衡灰度卡</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26</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动态范围测试卡</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高精度相机高动态范围测试涂卡150DB</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27</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畸变测试卡</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DNP球状畸变测试卡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1、具有158个双环，排列在14行和17列中。垂直间距为1/14h、水平间距为2/25H。</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2、双环的大小如下：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1）外环：环外圆的半径：2/100h（2%），环的半径内圆：1.5/100h（1.5%）；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2）内圈：环外圆的半径：1/100h（1%），环的半径内圆：0.5/100h（0.5%）。</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28</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色彩还原测试卡</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DNP标准彩条测试卡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1、一定程度的耐光性和耐候性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2、具有白色、黄色、青色、绿色、品红色、红色和蓝色</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29</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标准光源箱</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摄像头测试颜色比色箱</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1、主要由：观察箱、光源箱、控制面板、把手等几部分组成</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2、可编程文本控制器和PLC进行控制，操作和使用更加方便</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3、标准：ASTM、BS、CIE、ISO、DIN、TL84、ANSI</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4、光源配置：D65、A、D50、UV、U30、TL84、U35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5、电源：AC 220V~240V，50/60Hz</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6、LED灯管1：≥2支，功率15W，CC 6500±200K，Ra95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7、LED灯管2：≥2支，功率15W，CCT2850±200K，Ra96</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   LED灯管3：≥2支，功率15W，CCT5000±200K，Ra95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   LED灯管4：≥2支，功率15W，波长360-390nm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   荧光灯管1：≥2支，功率30W，CCT3000±200K，Ra80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   荧光灯管2：≥2支，功率30W，CCT4000±200K，Ra85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   荧光灯管3：≥2支，功率25W，CCT3500±200K，Ra85</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30</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专业显示器</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24寸专业显示器。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1、最佳分辨率：1920x1200，屏幕比例：16:9，支持1080P全高清</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2、点距：0.27×0.27mm，可视面积518.4×324mm，亮度350cd/㎡，显示颜色≥10.7亿</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3、接口：DVI-D，HDMI，Displayport，USB3.0≥4个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4、支持壁挂</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31</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视频测试主机</w:t>
            </w:r>
          </w:p>
        </w:tc>
        <w:tc>
          <w:tcPr>
            <w:tcW w:w="2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1、CPU：不低于cpuI7-9700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2、内存：≥32G</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3、存储：配备不少于1块256G SSD，1块1T硬盘</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4、显卡：不低于GTX2080TI。</w:t>
            </w:r>
          </w:p>
        </w:tc>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bl>
    <w:p>
      <w:pPr>
        <w:pStyle w:val="9"/>
        <w:numPr>
          <w:ilvl w:val="0"/>
          <w:numId w:val="5"/>
        </w:numPr>
        <w:bidi w:val="0"/>
        <w:adjustRightInd/>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温州市本级2023年度公共视频监控一体化运维项目标项三</w:t>
      </w:r>
    </w:p>
    <w:tbl>
      <w:tblPr>
        <w:tblStyle w:val="6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1"/>
        <w:gridCol w:w="1836"/>
        <w:gridCol w:w="5391"/>
        <w:gridCol w:w="764"/>
        <w:gridCol w:w="774"/>
        <w:gridCol w:w="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8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货物名称</w:t>
            </w:r>
          </w:p>
        </w:tc>
        <w:tc>
          <w:tcPr>
            <w:tcW w:w="2619"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参数配置</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c>
          <w:tcPr>
            <w:tcW w:w="376"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数量（时间）</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一、前端点位运维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前端设备运维费（监控）</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前端设备的日常清洁、巡检、维修、抢修等内容。雪亮二期267路服务时间为“服务期1”。</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专网网络服务费（监控）</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视频专网专线电路（与互联网物理隔离）的光纤链路租费和维护费。雪亮二期267路服务时间为“服务期1”。</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前端设备电费（监控）</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摄像机、补光灯、网络设备等前端设备的电费。雪亮二期267路服务时间为“服务期1”。</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前端设备质保与运维费（卡口）</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前端过保设备的质保（设备保修）、日常清洁、巡检、维修、抢修等内容，含不多于5%的移机费用。民安六期182路服务时间为“服务期2”。</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专网网络服务费（卡口）</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视频专网专线电路（与互联网物理隔离）的光纤链路租费和维护费。民安六期63条服务时间为“服务期2”。</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前端设备电费（卡口）</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含摄像机、补光灯、网络设备等前端设备的电费。民安六期182路服务时间为“服务期2”。</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前端设备运维费（人脸抓拍机）</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含日常清洁、巡检、维修、抢修等全部费用。身份智能识别500路服务时间为“服务期2”。</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专网网络服务费（人脸抓拍）</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视频专网专线电路（与互联网物理隔离）的光纤链路租费和维护费。身份智能识别500路服务时间为“服务期2”。</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前端设备电费（人脸抓拍）</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含摄像机、补光灯、网络设备等前端设备的电费。身份智能识别500路服务时间为“服务期2”。</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前端设备运维费（公交车）</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含日常清洁、巡检、维修、抢修等全部费用。雪亮一期484套服务时间为“服务期1”。</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4G网络使用费</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每2个抓拍设备配备一张流量卡，每4个监控设备配备一张流量卡，35Gb 张/月，1年，流量可相互共享使用。雪亮一期969张卡服务时间为“服务期1”。</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二、存储及服务器硬盘升级服务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存储及服务器硬盘升级服务</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对原有配置较低的26套存储设备进行升级，对存储、服务器运算系统盘进行升级，升级到更高性能的SSD硬盘，提升IO性能。更新的设备质保5年</w:t>
            </w:r>
            <w:r>
              <w:rPr>
                <w:rFonts w:hint="eastAsia" w:ascii="仿宋" w:hAnsi="仿宋" w:eastAsia="仿宋" w:cs="仿宋"/>
                <w:color w:val="auto"/>
                <w:sz w:val="24"/>
                <w:highlight w:val="none"/>
                <w:u w:val="none"/>
                <w:lang w:val="en-US" w:eastAsia="zh-CN"/>
              </w:rPr>
              <w:t>。</w:t>
            </w:r>
            <w:r>
              <w:rPr>
                <w:rFonts w:hint="eastAsia" w:ascii="仿宋" w:hAnsi="仿宋" w:eastAsia="仿宋" w:cs="仿宋"/>
                <w:i w:val="0"/>
                <w:iCs w:val="0"/>
                <w:color w:val="auto"/>
                <w:kern w:val="0"/>
                <w:sz w:val="21"/>
                <w:szCs w:val="21"/>
                <w:highlight w:val="none"/>
                <w:u w:val="none"/>
                <w:lang w:val="en-US" w:eastAsia="zh-CN" w:bidi="ar"/>
              </w:rPr>
              <w:t>具体要求详见附（6）。</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三、网络设备升级服务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网络设备升级服务</w:t>
            </w:r>
          </w:p>
        </w:tc>
        <w:tc>
          <w:tcPr>
            <w:tcW w:w="2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升级雪亮一期标段四原有核心交换机华三S10512的2块板卡，原有核心交换机华三 S7506E-X的2块板卡，原有核心交换机华三 S7506E的2块板卡；升级民安七期标段二原有核心交换机华三 S10510的2块板卡，更新10台汇聚交换机；更新2台核心交换机，提升视频专网核心网络承载能力。更新的设备质保5年</w:t>
            </w:r>
            <w:r>
              <w:rPr>
                <w:rFonts w:hint="eastAsia" w:ascii="仿宋" w:hAnsi="仿宋" w:eastAsia="仿宋" w:cs="仿宋"/>
                <w:color w:val="auto"/>
                <w:sz w:val="24"/>
                <w:highlight w:val="none"/>
                <w:u w:val="none"/>
                <w:lang w:val="en-US" w:eastAsia="zh-CN"/>
              </w:rPr>
              <w:t>。</w:t>
            </w:r>
            <w:r>
              <w:rPr>
                <w:rFonts w:hint="eastAsia" w:ascii="仿宋" w:hAnsi="仿宋" w:eastAsia="仿宋" w:cs="仿宋"/>
                <w:i w:val="0"/>
                <w:iCs w:val="0"/>
                <w:color w:val="auto"/>
                <w:kern w:val="0"/>
                <w:sz w:val="21"/>
                <w:szCs w:val="21"/>
                <w:highlight w:val="none"/>
                <w:u w:val="none"/>
                <w:lang w:val="en-US" w:eastAsia="zh-CN" w:bidi="ar"/>
              </w:rPr>
              <w:t>具体要求详见附（7）。</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bl>
    <w:p>
      <w:pPr>
        <w:numPr>
          <w:ilvl w:val="0"/>
          <w:numId w:val="0"/>
        </w:numPr>
        <w:rPr>
          <w:rFonts w:hint="eastAsia"/>
          <w:color w:val="auto"/>
          <w:highlight w:val="none"/>
          <w:lang w:val="en-US" w:eastAsia="zh-CN"/>
        </w:rPr>
      </w:pPr>
    </w:p>
    <w:tbl>
      <w:tblPr>
        <w:tblStyle w:val="63"/>
        <w:tblW w:w="99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8"/>
        <w:gridCol w:w="1481"/>
        <w:gridCol w:w="6291"/>
        <w:gridCol w:w="706"/>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992" w:type="dxa"/>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附（6）存储及服务器硬盘升级服务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项目</w:t>
            </w:r>
          </w:p>
        </w:tc>
        <w:tc>
          <w:tcPr>
            <w:tcW w:w="6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建设内容</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云存储</w:t>
            </w:r>
          </w:p>
        </w:tc>
        <w:tc>
          <w:tcPr>
            <w:tcW w:w="6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1.19英寸标准机柜设备，单台存储磁盘盘位数为24、36、48中的一种（台数核计以36盘位为参考，其它盘位数规格的按等可靠性、等可用容量折算，每台配置36块不小于16T/SATA接口/不少于256M缓存/7200转/7×24小时运行企业级硬盘），配置10GE接口数≥2个，支持端口链路聚合、负载均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2.内置处理器、内存≥64GB、系统盘≥480G SSD*2、加速盘≥1.92T SSD*1、10GE 多模光模块≥2个；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3.配置≥2个可热插拔冗余电源。</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存储功能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1.具备文件、对象与HDFS存储能力；</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2.提供API，NFS， FTP，HDFS，S3等通用访问接口；</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3.具备分布式部署，支持纠删码、副本冗余策略；</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4.具备跨协议数据共享访问，同一个文件或对象可以同时用不同协议读；</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5.单节点台读写性能 ≥10Gbps；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6.支持大文件和小文件（128KB及以下）混合存储，支持快速批量删除对象或文件；</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7.支持容量配额管理，基于文件目录或对象bucket/container；</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8.支持硬盘故障时自动恢复数据时不影响业务访问读写；</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9.支持系统扩容，在线增加、移除节点设备时业务不中断；</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10.IOPS指标：单节点图片性能 (张/s) ≥900张/s大图 或≥1500张/s小图写入；</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11.提供5年质保和存储介质保留服务。</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人脸识别系统服务器硬盘升级</w:t>
            </w:r>
          </w:p>
        </w:tc>
        <w:tc>
          <w:tcPr>
            <w:tcW w:w="6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1.3.84T/SATA-3/SSD/2.5"企业级；容量：3.84TB，版型：2.5”7mm，接口：SATA3.0 6Gb/s，状态：Launched；</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2.光刻类型：144L TLC 3D NAND；</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3.使用条件：Sever/Enterprise；</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4.闪存类型：QLC；</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5.顺序写入（最高）：510MB/s，顺序读取（最高）：550MB/s；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6.电源（活动）：3.7W，电源（闲置）：1.2W；</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7.兼容超聚变2288H V5服务器，配套硬盘模块；</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8.要求该配件为原厂配件，提供5年原厂质保和存储介质保留服务。</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14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视图资源存储硬盘升级</w:t>
            </w:r>
          </w:p>
        </w:tc>
        <w:tc>
          <w:tcPr>
            <w:tcW w:w="6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1.硬盘容量：1.92TB，兼容宇视科技CX1848-UCS存储设备；</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2.硬盘接口类型:SATA；</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3.硬盘类型：SSD；</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4.包含和存储主机对接的硬盘转接盒模块；</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5.为加强硬盘抗震能力，应包含硬盘自适应减震模块；</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6.包含硬盘拉手条；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7.提供5年质保和存储介质保留服务。</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14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6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1.硬盘容量：3.84TB，兼容宇视科技CX1848-UCS存储设备；</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2.硬盘接口类型:SATA；</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3.硬盘类型：SSD；</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4.包含和存储主机对接的硬盘转接盒模块；</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5.为加强硬盘抗震能力，硬盘应包含硬盘自适应减震模块；</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6.包含硬盘拉手条；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7.提供5年质保和存储介质保留服务。</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14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6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1.兼容宇视科技CX1848-UCS存储设备；</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2.交流输入电压:90~264VAC；</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3.交流输入频率:50~60Hz；</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4.交流输入电流:≤4A@100VAC；</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5.输出功率：700WMAX；</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6.能效比：≥85%；</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7.输出电压调节率：±1%；</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8.负载调节率：±3%；</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9.支持短路保护、过载保护、过热保护等。</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支撑计算资源硬盘升级</w:t>
            </w:r>
          </w:p>
        </w:tc>
        <w:tc>
          <w:tcPr>
            <w:tcW w:w="6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1.3.84TB 6G SATA 3.5in RI S4510 SSD UCC通用硬盘模块，兼容新华三UniServer R4900 G3服务器；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2.数据中心级别读密集型ssd，采用了64-Layer TLC 3D NAND技术；</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3.耐用等级（终身写入）9.9PBW；</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4.故障间的平均时间（MTBF）2 million hours；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5.要求该配件为原厂配件，提供5年原厂质保和存储介质保留服务。</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块</w:t>
            </w:r>
          </w:p>
        </w:tc>
      </w:tr>
    </w:tbl>
    <w:p>
      <w:pPr>
        <w:pStyle w:val="2"/>
        <w:ind w:left="0" w:leftChars="0" w:firstLine="0" w:firstLineChars="0"/>
        <w:rPr>
          <w:rFonts w:hint="eastAsia"/>
          <w:color w:val="auto"/>
          <w:highlight w:val="none"/>
          <w:lang w:val="en-US" w:eastAsia="zh-CN"/>
        </w:rPr>
      </w:pPr>
    </w:p>
    <w:tbl>
      <w:tblPr>
        <w:tblStyle w:val="6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2"/>
        <w:gridCol w:w="1526"/>
        <w:gridCol w:w="6486"/>
        <w:gridCol w:w="727"/>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附（7）网络设备升级服务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项目</w:t>
            </w:r>
          </w:p>
        </w:tc>
        <w:tc>
          <w:tcPr>
            <w:tcW w:w="3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建设内容</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交换机板卡升级1</w:t>
            </w:r>
          </w:p>
        </w:tc>
        <w:tc>
          <w:tcPr>
            <w:tcW w:w="3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1.兼容性：兼容原有核心交换机华三 S10510的业务接口卡，配置要求：≥1块12口40GE接口板卡，每张板卡配置≥8块QSFP+40G单模光模块(1310nm,10km,LR4,LC)；</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2.IPv6：配置IPv6功能；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3.虚拟化：接口卡支持4框虚拟化、一虚多技术、支持多虚一技术和一虚多技术的配合使用；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4.BFD快速收敛：BFD与RIP、OSPF、VRRP、ISIS联动，CPU保护技术，支多进程备份及ISSU不中断业务升级特性。</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交换机板卡升级2</w:t>
            </w:r>
          </w:p>
        </w:tc>
        <w:tc>
          <w:tcPr>
            <w:tcW w:w="3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1.兼容性：兼容原有核心交换机华三S10512的业务接口卡，配置要求：≥1块24口40GE接口板卡，每张板卡配置≥18块QSFP+ 40G多模光模块(850nm,100m,SR4,支持1分4)；</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2.IPv6：配置IPv6功能；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3.虚拟化：接口卡支持4框虚拟化、一虚多技术、支持多虚一技术和一虚多技术的配合使用；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4.BFD快速收敛：BFD与RIP、OSPF、VRRP、ISIS联动，CPU保护技术，支多进程备份及ISSU不中断业务升级特性。</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交换机板卡升级3</w:t>
            </w:r>
          </w:p>
        </w:tc>
        <w:tc>
          <w:tcPr>
            <w:tcW w:w="3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1.兼容性：兼容原有核心交换机华三 S7506E-X的业务接口卡，配置要求：≥1块4口40GE接口板卡，每张板卡配置≥4块QSFP+ 40G多模模块(850nm,100m,SR4,支持1分4)；</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2.IPv6：配置IPv6功能；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3.虚拟化：接口卡支持4框虚拟化、一虚多技术、支持多虚一技术和一虚多技术的配合使用；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4.BFD快速收敛：BFD与RIP、OSPF、VRRP、ISIS联动，CPU保护技术，支多进程备份及ISSU不中断业务升级特性。</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交换机板卡升级4</w:t>
            </w:r>
          </w:p>
        </w:tc>
        <w:tc>
          <w:tcPr>
            <w:tcW w:w="3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1.兼容性：兼容原有核心交换机华三 S7506E的业务接口卡，配置要求：≥1块24口40GE接口板卡，每张板卡配置≥18块QSFP+ 40G多模光模块(850nm,100m,SR4,支持1分4)；</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2.IPv6：配置IPv6功能；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3.虚拟化：接口卡支持4框虚拟化、一虚多技术、支持多虚一技术和一虚多技术的配合使用；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4.BFD快速收敛：BFD与RIP、OSPF、VRRP、ISIS联动，CPU保护技术，支多进程备份及ISSU不中断业务升级特性。</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汇聚交换机</w:t>
            </w:r>
          </w:p>
        </w:tc>
        <w:tc>
          <w:tcPr>
            <w:tcW w:w="3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1.交换容量≥2.56Tbps，包转发率≥1080Mpps，支持≥2个电源插槽,≥2个风扇插槽,≥1个接口扩展槽位；</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2.配置要求：提供≥48个10GE SFP 端口，≥2个QSFP+端口；配置扩展≥1块2端口40GE QSFP+光接口板卡；配套虚拟化套件；配置≥36块SFP+ 10G多模模块(850nm,0.3km,LC)；</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虚拟化：支持多虚一智能弹性架构，能将多台物理设备互相连接起来，使其虚拟为一台逻辑设备，以简化管理，简化业务，弹性扩展，保证网络的高可靠；支持纵向虚拟化技术，能够将接入设备作为远程接口板加入主设备系统，在纵向维度上将核心层设备和接入层设备虚拟为一台逻辑设备，使网络设备进行统一管理，策略统一配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4.路由协议支持IPv4静态路由、RIPV1/V2.OSPF、BGP；</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5.支持IPv6静态路由、RIPng、OSPFv3.BGP4+；</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6.访问控制策略支持ACl；支持基于端口和VLAN的ACL；</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7.支持IPv6ACL；支持出方向ACL，以便于灵活实现数据包过滤；支持802.1x认证，支持集中式MAC地址认证。</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核心交换机</w:t>
            </w:r>
          </w:p>
        </w:tc>
        <w:tc>
          <w:tcPr>
            <w:tcW w:w="3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1.正交多级架构：支持正交多级交换架构，能够配置独立的交换网板与独立的主控板，交换网板与主控板硬件槽位分离；业务板卡与交换网板采用完全90度正交设计；</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2.设备性能要求：交换容量≥512Tbps，转发性能≥96000Mpps；若存在双指标，则以官网较小的指标为准；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3.主控槽位≥2个，业务槽位≥8个，独立交换网板≥5个；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4.接口要求：支持扩展升级要求，支持单槽位≥24个万兆电端口密度，单槽位≥ 32个40G端口密度，单槽位≥16个100G端口密度；</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5.虚拟化：实配多虚(N:1)一功能，要求N≥4、支持一虚多技术；虚拟化（1:N）要求N≥4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6.VXLAN：支持VXLAN over IPv6；支持IPv6 VXLAN over IPv4；支持VxLAN OAM: VxLAN ping, VxLAN tracert；支持BGP EVPN协议；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配置要求：配置冗余主控≥2，配置交换网板≥5，配置≥2块交流电源，配置1块≥48端口万兆以太网光接口板卡，配置1块≥48端口千兆以太网电接口模块，SFP+万兆多模模块≥36块，配置1块≥24端口40G以太网光接口板卡，QSFP+ 40G 光模块(1310nm,2km,LR4L,LC)≥18块，配置1块≥8端口100G以太网光接口板卡，100G QSFP28光模块(1310nm,2km,LR4L,CWDM4,LC)≥ 8块，配置虚拟化套件，任意业务接口均支持虚拟化。</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r>
    </w:tbl>
    <w:p>
      <w:pPr>
        <w:pStyle w:val="2"/>
        <w:ind w:left="0" w:leftChars="0" w:firstLine="0" w:firstLineChars="0"/>
        <w:rPr>
          <w:rFonts w:hint="eastAsia"/>
          <w:color w:val="auto"/>
          <w:highlight w:val="none"/>
          <w:lang w:val="en-US" w:eastAsia="zh-CN"/>
        </w:rPr>
      </w:pPr>
    </w:p>
    <w:p>
      <w:pPr>
        <w:pStyle w:val="9"/>
        <w:numPr>
          <w:ilvl w:val="0"/>
          <w:numId w:val="5"/>
        </w:numPr>
        <w:bidi w:val="0"/>
        <w:adjustRightInd/>
        <w:ind w:left="1008" w:leftChars="0" w:hanging="1008" w:firstLineChars="0"/>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温州市本级2023年度公共视频监控一体化运维项目标项四</w:t>
      </w:r>
    </w:p>
    <w:tbl>
      <w:tblPr>
        <w:tblStyle w:val="6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4"/>
        <w:gridCol w:w="1826"/>
        <w:gridCol w:w="5405"/>
        <w:gridCol w:w="813"/>
        <w:gridCol w:w="710"/>
        <w:gridCol w:w="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8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货物名称</w:t>
            </w:r>
          </w:p>
        </w:tc>
        <w:tc>
          <w:tcPr>
            <w:tcW w:w="2626"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参数配置</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c>
          <w:tcPr>
            <w:tcW w:w="345"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数量（时间）</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一、前端点位运维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前端设备质保与运维费（监控）</w:t>
            </w:r>
          </w:p>
        </w:tc>
        <w:tc>
          <w:tcPr>
            <w:tcW w:w="2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前端过保设备的质保（设备保修）、日常清洁、巡检、维修、抢修等内容，含不多于5%的移机费用。民安七期155路服务时间为“服务期2”。</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887" w:type="pct"/>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前端设备运维费（监控）</w:t>
            </w:r>
          </w:p>
        </w:tc>
        <w:tc>
          <w:tcPr>
            <w:tcW w:w="2626" w:type="pct"/>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前端设备的日常清洁、巡检、维修、抢修等内容。雪亮一期402路、雪亮二期110路共512路服务时间为“服务期1”，本期更新317路服务时间为“服务期2”。</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88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626"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专网网络服务费（监控）</w:t>
            </w:r>
          </w:p>
        </w:tc>
        <w:tc>
          <w:tcPr>
            <w:tcW w:w="26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视频专网专线电路（与互联网物理隔离）的光纤链路租费和维护费。雪亮一期402、雪亮二期110共512路服务时间为“服务期1”，民安七期155路、本期更新317路共472服务时间为“服务期2”。</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62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1"/>
                <w:szCs w:val="21"/>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前端设备电费（监控）</w:t>
            </w:r>
          </w:p>
        </w:tc>
        <w:tc>
          <w:tcPr>
            <w:tcW w:w="26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摄像机、补光灯、网络设备等前端设备的电费。</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雪亮一期402、雪亮二期110共512路服务时间为“服务期1”，民安七期155路、本期更新317路共472服务时间为“服务期2”。</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62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1"/>
                <w:szCs w:val="21"/>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监控点位更新服务2</w:t>
            </w:r>
          </w:p>
        </w:tc>
        <w:tc>
          <w:tcPr>
            <w:tcW w:w="2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根据原民安六期、七期项目过保点位设备下线、高故障率、点位重要性等要素进行筛查，对其中的317套高点监控和184套使用年限超10年的杆件进行设备更新（包含其他相关配套）。更新的设备质保5年</w:t>
            </w:r>
            <w:r>
              <w:rPr>
                <w:rFonts w:hint="eastAsia" w:ascii="仿宋" w:hAnsi="仿宋" w:eastAsia="仿宋" w:cs="仿宋"/>
                <w:color w:val="auto"/>
                <w:sz w:val="24"/>
                <w:highlight w:val="none"/>
                <w:u w:val="none"/>
                <w:lang w:val="en-US" w:eastAsia="zh-CN"/>
              </w:rPr>
              <w:t>。</w:t>
            </w:r>
            <w:r>
              <w:rPr>
                <w:rFonts w:hint="eastAsia" w:ascii="仿宋" w:hAnsi="仿宋" w:eastAsia="仿宋" w:cs="仿宋"/>
                <w:i w:val="0"/>
                <w:iCs w:val="0"/>
                <w:color w:val="auto"/>
                <w:kern w:val="0"/>
                <w:sz w:val="21"/>
                <w:szCs w:val="21"/>
                <w:highlight w:val="none"/>
                <w:u w:val="none"/>
                <w:lang w:val="en-US" w:eastAsia="zh-CN" w:bidi="ar"/>
              </w:rPr>
              <w:t>具体要求详见附（8）。</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8</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前端设备质保与运维费（卡口）</w:t>
            </w:r>
          </w:p>
        </w:tc>
        <w:tc>
          <w:tcPr>
            <w:tcW w:w="2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前端过保设备的质保（设备保修）、日常清洁、巡检、维修、抢修等内容，含不多于5%的移机费用。民安七期193路服务时间为“服务期2”。</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9</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前端设备运维费（卡口）</w:t>
            </w:r>
          </w:p>
        </w:tc>
        <w:tc>
          <w:tcPr>
            <w:tcW w:w="2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含前端设备的日常清洁、巡检、维修（含设备保修）、抢修等内容，雪亮二期160路服务时间为“服务期1”。</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10</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专网网络服务费（卡口）</w:t>
            </w:r>
          </w:p>
        </w:tc>
        <w:tc>
          <w:tcPr>
            <w:tcW w:w="26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与视频专网中心机房互联互通的上行速率不低于100Mbps 视频专网专线电路（与互联网物理隔离）的光纤链路租费和维护费。民安七期97条、加油站140条共237条，服务时间为“服务期2”；雪亮二期138条服务时间为“服务期1”。</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62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1"/>
                <w:szCs w:val="21"/>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前端设备电费（卡口）</w:t>
            </w:r>
          </w:p>
        </w:tc>
        <w:tc>
          <w:tcPr>
            <w:tcW w:w="26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含摄像机、补光灯、网络设备等前端设备的电费。</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民安七期193路、加油站280路共473路服务时间为“服务期2”，雪亮二期160路服务时间为“服务期1”。</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13</w:t>
            </w: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1"/>
                <w:szCs w:val="21"/>
                <w:highlight w:val="none"/>
                <w:u w:val="none"/>
              </w:rPr>
            </w:pPr>
          </w:p>
        </w:tc>
        <w:tc>
          <w:tcPr>
            <w:tcW w:w="262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auto"/>
                <w:sz w:val="21"/>
                <w:szCs w:val="21"/>
                <w:highlight w:val="none"/>
                <w:u w:val="none"/>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bidi="ar"/>
              </w:rPr>
              <w:t>二、软件系统运维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视联网监控接入能力提升</w:t>
            </w:r>
          </w:p>
        </w:tc>
        <w:tc>
          <w:tcPr>
            <w:tcW w:w="2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1.支持将基于GB/T28181-2016标准的视频流转成视联网标准（国产自主的视频通信协议技术）的视频流；</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2.支持视频资源在视联网中融合汇聚和实时调度，能与省大数据的视频总平台能互联互通；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3.支持IPC、DVR、NVR等设备接入，实现与第三方视频监控系统的互通；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4.支持RTSP、ONVIF、SDK等标准协议；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5.支持独立的WEB访问、配置、管理界面；</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6.支持接入设备状态查看、视频通道状态查看、网络连接状态查看；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7.具备对设备资源总数、设备在线数量的统计功能；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8.具备参数配置、日志获取、系统升级等设备远程维护功能；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9.设备的网络带宽不小于10Gbps；</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10.最大接入监控路数：100万路；</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11.最大视频监控并发路数：1000 路（每路4Mbps）视频资源并发调度。</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视联网万兆交换机</w:t>
            </w:r>
          </w:p>
        </w:tc>
        <w:tc>
          <w:tcPr>
            <w:tcW w:w="2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1.设备性能要求：交换容量≥38.4Tbps，转发性能≥7200Mpps；若存在双指标，则以官网较小的指标为准；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2.主控槽位≥2个，业务槽位≥3个；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3.接口要求：支持扩展升级要求，支持单槽位≥24个万兆电端口密度；</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4.虚拟化：实配多虚(N:1)一功能，要求N≥4、支持一虚多技术；虚拟化（1:N）要求N≥4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5.VXLAN：支持VXLAN over IPv6；支持IPv6 VXLAN over IPv4；支持VxLAN OAM: VxLAN ping, VxLAN tracert；支持BGP EVPN协议；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配置要求：配置冗余主控≥2，配置≥2块交流电源，配置1块≥32端口千兆以太网光端口、≥16端口万兆以太网光端口板卡，配置1块≥48端口千兆以太网电接口模块，SFP+万兆多模模块≥2块，SFP+万兆单模模块≥1块，配置虚拟化套件，任意业务接口均支持虚拟化。</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视联网平台运维服务</w:t>
            </w:r>
          </w:p>
        </w:tc>
        <w:tc>
          <w:tcPr>
            <w:tcW w:w="2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为保障平台整体的稳定运行，平台侧将增加自动化运维服务能力，自动化运维服务站支持常规巡检、夜间巡检、定向巡检等自动化运维操作，支持按主题标签和组织机构搜索巡检结果，按监控巡检明细和地区在线率可用率两种方式展示巡检结果。通过自动化运维服务站可完善监控在线率、出图率等重点检测数据准确性，和实时性，从而保障好各个重要点位监控稳定正常使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自动化运维服务范围</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1.定向巡检，检测监控的在线情况、网络质量(理想值、现在值)、时延情况、出图情况、丢包情况等指标；</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2.巡检并发路数配置，实现主题标签巡检控制；</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3.支持添加主题标签巡检；支持导入主题监控巡检，查看详情并释放已占用并发数；针对主题标签巡检全部开始、全部停止操作；支持主题标签定时巡检；支持释放已占用并发数；</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4.实现主题标签巡检控制。</w:t>
            </w:r>
          </w:p>
        </w:tc>
        <w:tc>
          <w:tcPr>
            <w:tcW w:w="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项/月</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r>
    </w:tbl>
    <w:p>
      <w:pPr>
        <w:numPr>
          <w:ilvl w:val="0"/>
          <w:numId w:val="0"/>
        </w:numPr>
        <w:ind w:leftChars="0"/>
        <w:rPr>
          <w:rFonts w:hint="default"/>
          <w:color w:val="auto"/>
          <w:highlight w:val="none"/>
          <w:lang w:val="en-US" w:eastAsia="zh-CN"/>
        </w:rPr>
      </w:pPr>
    </w:p>
    <w:p>
      <w:pPr>
        <w:pStyle w:val="2"/>
        <w:rPr>
          <w:rFonts w:hint="default"/>
          <w:color w:val="auto"/>
          <w:highlight w:val="none"/>
          <w:lang w:val="en-US" w:eastAsia="zh-CN"/>
        </w:rPr>
      </w:pPr>
    </w:p>
    <w:tbl>
      <w:tblPr>
        <w:tblStyle w:val="6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4"/>
        <w:gridCol w:w="1528"/>
        <w:gridCol w:w="6484"/>
        <w:gridCol w:w="727"/>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附（8）监控点位更新服务2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项目</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建设内容</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数量</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枪球一体机</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1.支持全景和细节两路视频图像输出，全景通道细节通道有效分辨率不小于2048×1440像素；</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2.细节镜头支持不低于32倍光学变倍；</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3.全景通道水平视场角不小于88°，垂直视场角不小于44°；</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4.支持最低照度可达彩色0.002lx，黑白0.001lx；</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5.全景、细节白光补光距离可达30m，细节红外补光距离可达150m；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6.细节相机水平旋转范围为0°～360°，垂直旋转范围-15°～90°；</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7.支持300个预置位，可按照所设置的预置位完成不小于8条巡航路径；</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8.支持智能红外、透雾、强光抑制、电子防抖、数字降噪、防红外过曝功能；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9.具备较好的防护性能环境适应性，支持IP67、防浪涌；</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10.支持区域入侵侦测、越界侦测、进入区域侦测和离开区域侦等智能侦测并联动跟踪；</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11.支持国密算法 SM1、SM2、SM3、SM4，支持GB35114 A级；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12.符合《GB/T 28181-2016 公共安全视频监控联网系统信息传输、交换、控制技术要求》中的相关规定；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13.提供完善的SDK开发包及示例源代码，质保期内免费提供版本升级与二次开发技术支持。</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317</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光网设备</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1.使用灵活，4口全千兆Gpon适配器、4口全千兆，可以在以太端口上任意混插；</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2.配置方便，支持SIP和H.248两种协议自适应，支持通过OMCI协议、TR069等网管协议自动下发配置、无需现场配置；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3.远程管理，支持OLT端的网管，可以实现端口流量、网络质量的远程监测；</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4.端口数不够的，必须采用可网管的交换机进行扩展，保证后端能进行端口级的管理与监测。</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317</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智能网络箱（监控）</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专业定制网络机箱，采用304不锈钢材质，箱体尺寸：不小于(400mm宽x550mm高x210mm深)，外壳防护等级不低于IP54，机箱表面进行白色喷涂处理，机箱正面警徽、网络箱编号的颜色鲜艳、清晰，保证5年内雨淋、日晒不脱落、不会明显褪色；配备一个隔板，布局、隔热、散热合理、模块化清晰；</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2.配备2P 20A 保护空开、智能电源管理终端、3个5孔国标插座、光纤熔纤盘、接地铜牌、220V风扇（带温控）；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3.提供多种接口：1路摄像机专用接口、1路补光灯万年历时控接口、1路10/100M以太网接口、1路485通讯接口，2路PWM调光接口、1路门禁接口、1路预留IO信号输入接口等；</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4.具备远程通讯功能：支持对接专网平台、物联网平台，并可通过平台进行远程监测、控制；提供无线通信模块接口（4G-cat1或NB-IoT）；智能电源管理终端可单独设置 IP接入网络功能，并可通过浏览器或客户端软件登录管理设备，远程修改配置各项参数，支持远程升级；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5.具备状态监测及异常告警功能：支持实时监测欠压、过压、过流、短路、漏电、门禁、温度、负载等情况，若检测到故障向平台发送故障告警信息；</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具备自动重合闸保护功能：支持按照策略进行自动保护，如检测到过压、欠压、漏电、过流/过载、短路保护等异常情况后动启动保护并上传故障告警信息；异常状态解除后自动合闸恢复，反之根据策略继续进行自动保护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7.具备漏电保护测试功能：设备具有漏电测试按钮，支持现场测试；支持远程启动漏电保护测试。</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317</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施工、调试费用</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监控续建施工调试费用，含已有监控设备（摄像机、机箱、线缆等）拆除，线缆敷设，前端设备安装、调测（摄像机、机箱等），辅材、附件、工具、人工等的全部费用。</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317</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L型杆件（3-4.5m）</w:t>
            </w:r>
          </w:p>
        </w:tc>
        <w:tc>
          <w:tcPr>
            <w:tcW w:w="3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1.根据部位与要求选择摄像机安装方式。立杆采用八角Q235优质钢采用高热镀锌处理，高度6.5米、横臂3-4.5米，立杆下端外接圆直径应在 220 mm±10mm、上端外接圆对角直径应在 120 mm±5mm；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2.管壁厚度应≥ 6mm，具体壁厚根据材料的机械强度及设备重量设计，立杆应有较高强度抗台风、防摄像机抖动、防攀爬、防腐，安装好之后整体强度能防御12级以上台风、8级以上地震；立杆应做灌筑基础，基础深度应不小于1500mm，底部直径应不小于1000m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3.杆底端焊接固定法兰盘，预留拉线孔，地基应是硬质；立杆安装应牢固，不得歪斜，需用水平仪来测定；制作要美观，其顶部应做防水帽；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4.在杆的顶部设有避雷针，能够引导直击雷入地；每一根金属立杆都必须接地，其接地电阻小于10欧；</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5.立杆底部用螺栓与基础固定，电源线和光缆从立杆底部进入，在杆的上部设有摄像机安装横杆，可吊装快球摄像机；杆的中下部有网络及电源设备箱，具备良好的防护、散热功能；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6.没有特殊情况所有监控立杆预埋件混凝土为C25砼，所配钢筋符合国标及受风要求。其中水泥为425号普通硅酸盐水泥。混凝土的配比和最小水泥用量应符合GBJ204-83的规定；</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7.杆件保证5年内雨淋、日晒不脱落、不会明显褪色。</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184</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w:t>
            </w:r>
          </w:p>
        </w:tc>
      </w:tr>
    </w:tbl>
    <w:p>
      <w:pPr>
        <w:pStyle w:val="9"/>
        <w:numPr>
          <w:ilvl w:val="3"/>
          <w:numId w:val="0"/>
        </w:numPr>
        <w:tabs>
          <w:tab w:val="left" w:pos="864"/>
          <w:tab w:val="clear" w:pos="1008"/>
        </w:tabs>
        <w:bidi w:val="0"/>
        <w:adjustRightInd/>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五、温州市本级2023年度公共视频监控一体化运维项目标项五</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6"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val="0"/>
                <w:color w:val="auto"/>
                <w:kern w:val="2"/>
                <w:sz w:val="24"/>
                <w:szCs w:val="24"/>
                <w:highlight w:val="none"/>
                <w:lang w:val="en-US" w:eastAsia="zh-CN" w:bidi="ar-SA"/>
              </w:rPr>
              <w:t>温州市本级2023年度公共视频监控一体化运维项目咨询监理服务</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一、项目咨询评估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遵循国家电子政务相关标准，符合国家电子政务总体框架结构，围绕《浙江省人民政府办公厅关于全省公共视频监控建设一体化改革的指导意见》《关于加强社会治安防控体系建设的意见》等文件精神的要求，按照系统集成思想进行标准化设计，采用先进、主流的技术、产品和方法，达到规划清晰、方案完善、应用完备、数据准确、费用合理、计划可行的目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进行深入细致的业务需求调研，了解业务现状、业务发展方向、主要的业务变革以及现有信息系统现状、可利用的资源，确保基础资料充分、真实、准确。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在分析总结调研数据与成果的基础上，建立系统的结构模型与结构逻辑模型，把握业务需求，量化分析系统的数据规模、数据流量、存储容量等，以便精确把握需求，为规划提供依据。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4、中标单位须在合同签订后1个月内，完成项目深化设计方案编制。</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二、项目前绩效评估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按照《中共浙江省委 浙江省人民政府关于全面落实预算绩效管理的实施意见》《浙江省事前绩效评估管理暂行办法》（浙财监督〔2019〕13号）《温州市财政局关于编制2023年市本级部门预算的通知》（温财预〔2022〕14号）文件要求，本次项目在建设前期，应开展事前绩效评估，有效落实重大项目绩效目标实质性审核工作。</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温州市公共视频一体化改革项目的事前绩效评估工作，需运用科学合理的评估方法，就项目的立项必要性、投入经济性、绩效目标合理性、实施方案可行性和筹资合规性等进行客观、公正的评估。事前绩效评估的基本内容包括：</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立项必要性。评估政策和项目申请立项依据是否充分，是否符合党委、政府重大决策部署，是否符合国民经济和社会发展规划，是否符合“集中财力办大事”财政政策体系要求，政策和项目内容是否存在与其他政策和项目的重复交叉，是否有明显的经济、社会、生态效益或可持续影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2）投入经济性。评估政策和项目预算编制是否符合预算管理、地方政府债务管理等相关规定，费用测算是否合理等。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绩效目标合理性。评估政策和项目是否有明确的绩效目标，绩效目标是否与部门单位的职责和中长期规划目标、年度工作目标相匹配，是否能够准确衡量实际工作的需要，绩效目标的产出和效益是否明确合理、细化量化，是否具有前瞻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4）实施方案可行性。评估立项实施的方案是否科学、合理、可行，人、财、物等基础保障条件是否具备，相关管理制度是否健全、有效，有无不确定因素和风险。</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事前绩效评估报告应包含评估对象概况、评估的方式方法、评估的内容及结论、评估的相关建议以及其他需要说明的问题。</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三、项目后绩效评估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按照《温州市本级行政事业单位国有资产管理绩效评价暂行办法》（温财资〔2022〕13号）和《数字化项目综合绩效评价指标体系》（DB3303/T 061—2023）要求，对温州市公共视频一体化改革项目开始事后绩效评价服务，评价内容至少包含《数字化项目综合绩效评价指标体系》（DB3303/T 061—2023）要求的基础设施的服务类指标项。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rPr>
              <w:t>监理</w:t>
            </w:r>
            <w:r>
              <w:rPr>
                <w:rFonts w:hint="eastAsia" w:ascii="仿宋" w:hAnsi="仿宋" w:eastAsia="仿宋" w:cs="仿宋"/>
                <w:b/>
                <w:bCs/>
                <w:color w:val="auto"/>
                <w:sz w:val="24"/>
                <w:szCs w:val="24"/>
                <w:highlight w:val="none"/>
                <w:lang w:val="en-US" w:eastAsia="zh-CN"/>
              </w:rPr>
              <w:t>工作内容及</w:t>
            </w:r>
            <w:r>
              <w:rPr>
                <w:rFonts w:hint="eastAsia" w:ascii="仿宋" w:hAnsi="仿宋" w:eastAsia="仿宋" w:cs="仿宋"/>
                <w:b/>
                <w:bCs/>
                <w:color w:val="auto"/>
                <w:sz w:val="24"/>
                <w:szCs w:val="24"/>
                <w:highlight w:val="none"/>
              </w:rPr>
              <w:t>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鉴于本项目建设应用面广，复杂程度很高。为此，要求监理单位按照建设目标和要求，遵循国家、省、市信息系统项目建设和监理的标准和规范，并结合《温州市政府投资信息化建设项目管理办法》的操作流程，以及依据项目建设合同和用户需求，采用先进、科学、合理的适合本项目特点的项目管理技巧和手段，对项目的各个层面进行全方位的管理、控制和协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项目涉及的设备安装、后端平台件开发、设备和系统购置、安装调试、系统测试、技术培训、试运行管理、项目整体验收等方面的质量、进度和投资等进行全面控制。对项目建设合同的执行、项目建设文件资料等进行审核、管理。从而使本项目“按期、保质、高效、节约”地完成。</w:t>
            </w:r>
          </w:p>
          <w:p>
            <w:pPr>
              <w:keepNext w:val="0"/>
              <w:keepLines w:val="0"/>
              <w:pageBreakBefore w:val="0"/>
              <w:widowControl w:val="0"/>
              <w:numPr>
                <w:ilvl w:val="0"/>
                <w:numId w:val="6"/>
              </w:numPr>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监理工作内容</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项目监理的主要范围是：</w:t>
            </w:r>
            <w:r>
              <w:rPr>
                <w:rFonts w:hint="eastAsia" w:ascii="仿宋" w:hAnsi="仿宋" w:eastAsia="仿宋" w:cs="仿宋"/>
                <w:color w:val="auto"/>
                <w:sz w:val="24"/>
                <w:szCs w:val="24"/>
                <w:highlight w:val="none"/>
                <w:lang w:val="zh-CN"/>
              </w:rPr>
              <w:t>参与系统设计，设备和系统软件购置、安装调试，系统测试单元，集成测试，培训，试运行和系统验收，系统移交及相关文档起草和管理等。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监理工作制度：按照“四控制、三管理、一协调”的原则，保证项目在规定的时间内完成，并实现项目建设的目标。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设计</w:t>
            </w:r>
            <w:r>
              <w:rPr>
                <w:rFonts w:hint="eastAsia" w:ascii="仿宋" w:hAnsi="仿宋" w:eastAsia="仿宋" w:cs="仿宋"/>
                <w:color w:val="auto"/>
                <w:sz w:val="24"/>
                <w:szCs w:val="24"/>
                <w:highlight w:val="none"/>
              </w:rPr>
              <w:t>阶段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参与系统设计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、实施阶段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（1）加强实施方案的合法性、合理性、与设计方案的符合性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（2）促使所使用的产品和服务符合合同及国家相关法律、法规和标准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（3）明确实施计划，对计划的调整应合理、受控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（4）促使实施过程满足合同的要求，并与工程设计方案、工程计划相符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、验收阶段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（1）明确测试验收方案的符合性和可行性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（2）促使最终功能和性能符合合同、法律、法规和标准要求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（3）推动承建单位所提供的各阶段形成的技术、管理文档的内容和种类符合相关标准</w:t>
            </w:r>
          </w:p>
          <w:p>
            <w:pPr>
              <w:keepNext w:val="0"/>
              <w:keepLines w:val="0"/>
              <w:pageBreakBefore w:val="0"/>
              <w:widowControl w:val="0"/>
              <w:numPr>
                <w:ilvl w:val="0"/>
                <w:numId w:val="6"/>
              </w:numPr>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监理工作要求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、工程质量控制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（1）对采购的硬件设备的质量进行检验、测试和验收；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（2）对设备安装、系统软件的安装调试进行验收；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（3）对系统集成进行总体验收。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对于存在的问题，要求施工单位采取措施。对于不按监理要求采取措施的，及时向施工单位发出《监理通知单》，并抄送相关工程主管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督促期整改</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、工程进度控制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（1）审核承建单位的进度分解计划，确认分解计划可以保证总体计划目标；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（2）对项目实施进度进行实时跟踪，并要求承建单位对进度计划进行动态调整，以确保项目的阶段和总体进度目标的实现；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（3）当工期目标严重偏离时，应及时指出，并提出对策建议，同时督促承建单位尽快采取措施。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（4）审核施工单位的人员到位情况，是否满足工程进度计划的要求。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（5）审核施工设备到位情况，是否满足施工进度计划要求。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）审核保证施工进度的措施，是否能够保证工程进度按计划实施。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 督促施工单位办理开工相关的各种手续</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、工程投资控制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（1）通过对工程实施中的方案及设计的优化，确保投资控制在预算之内；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审核承建单位的支付申请，确保</w:t>
            </w:r>
            <w:r>
              <w:rPr>
                <w:rFonts w:hint="eastAsia" w:ascii="仿宋" w:hAnsi="仿宋" w:eastAsia="仿宋" w:cs="仿宋"/>
                <w:color w:val="auto"/>
                <w:sz w:val="24"/>
                <w:szCs w:val="24"/>
                <w:highlight w:val="none"/>
              </w:rPr>
              <w:t>付款进度与</w:t>
            </w:r>
            <w:r>
              <w:rPr>
                <w:rFonts w:hint="eastAsia" w:ascii="仿宋" w:hAnsi="仿宋" w:eastAsia="仿宋" w:cs="仿宋"/>
                <w:color w:val="auto"/>
                <w:sz w:val="24"/>
                <w:szCs w:val="24"/>
                <w:highlight w:val="none"/>
                <w:lang w:val="en-US" w:eastAsia="zh-CN"/>
              </w:rPr>
              <w:t>合同支付条款相结合</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针对本项目有可能存在的风险分析及制定防范性对策。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、工程变更控制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对项目建设内容及工作范围的变更进行严格把关和控制，对合理变更进行规范化管理，控制措施得当并能提供合理化建设。具体内容：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（1）协助建立变更控制委员会，建立项目配置管理体系。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（2）与确定项目变更流程，并通知承建单位。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（3）对和承建单位的变更申请快速响应，了解变化。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（4）评估和处理变更，界定变更的目标，选择冲击最小的方案，防止变更扩大化，并征得批准。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（5）三方确认变更后，书面向相关人公布变更信息。督促承建单位按照项目配置管理规定，调整项目相关文档。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）执行制定的变更程序，对变更进行严格的控制。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）主持与承建单位关于工程变更、索赔、有关争议而进行的谈判。</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、工程合同管理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（1）跟踪检查合同的执行情况，确保承建单位按时履约；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（2）对合同工期的延误和延期进行审核确认；</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（3）对合同变更、索赔等事宜进行审核确认；</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（4）根据合同约定，审核承建单位提交的支付申请，签发付款凭证；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、信息管理/工程文档管理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（1）做好工程大事记；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（2）做好合同批复等各类往来文件的批复与存档；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（3）做好项目协调会、技术专题会的会议纪要；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（4）管理好实施期间的各类技术文档；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（5）项目月报；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（6）监理工程师通知</w:t>
            </w:r>
            <w:r>
              <w:rPr>
                <w:rFonts w:hint="eastAsia" w:ascii="仿宋" w:hAnsi="仿宋" w:eastAsia="仿宋" w:cs="仿宋"/>
                <w:color w:val="auto"/>
                <w:sz w:val="24"/>
                <w:szCs w:val="24"/>
                <w:highlight w:val="none"/>
                <w:lang w:val="en-US" w:eastAsia="zh-CN"/>
              </w:rPr>
              <w:t>单、监理工程师联系单</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（7）各种会议纪要；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（8）阶段性项目总结；</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（9）承建单位提交的技术文档。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、项目安全的管理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（1）负责项目建设过程中所涉及的政府机密数据和资料的保护，保证不被非授权使用；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）负责项目建设施工过程中安全控制，确保不出现安全事故。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监督施工单位文明施工。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8、工作协调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接受委托，负责协调本项目所涉及的各单位之间的工作关系，并协调解决项目建设过程中的各类纠纷。监理方应通过必要的会议制度来实施协调工作，主要会议包括不限于：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（1）第一次现场会</w:t>
            </w:r>
            <w:r>
              <w:rPr>
                <w:rFonts w:hint="eastAsia" w:ascii="仿宋" w:hAnsi="仿宋" w:eastAsia="仿宋" w:cs="仿宋"/>
                <w:color w:val="auto"/>
                <w:sz w:val="24"/>
                <w:szCs w:val="24"/>
                <w:highlight w:val="none"/>
                <w:lang w:val="en-US" w:eastAsia="zh-CN"/>
              </w:rPr>
              <w:t>/启动会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）周例会及单位组织的例会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）监理协调会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）专题讨论会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）专家论证会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）阶段工作总结会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）问题通报会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）分项的阶段验收及最终验收会</w:t>
            </w:r>
          </w:p>
          <w:p>
            <w:pPr>
              <w:keepNext w:val="0"/>
              <w:keepLines w:val="0"/>
              <w:pageBreakBefore w:val="0"/>
              <w:widowControl w:val="0"/>
              <w:numPr>
                <w:ilvl w:val="0"/>
                <w:numId w:val="6"/>
              </w:numPr>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监理服务准则要求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1、维护国家的荣誉和利益，按照“守法、诚信、公正、科学”的准则执业。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2、执行有关工程建设的法律、法规、规范、标准和制度，履行监理合同规定的义务和职责。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3、不收受被监理单位的任何礼金等。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4、不泄漏所监理工程各方认为需要保密的事项。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5、遵守国家的法律和政府的有关条例、规定和办法等。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6、认真履行工程建设监理合同所承诺的义务和承担约定的责任。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7、坚持公正的立场，公平地处理有关各方的争议。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8、坚持科学的态度和实事求是的原则。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9、在坚持按监理合同的规定向单位提供技术服务的同时，帮助被监理者完成其担负的建设任务。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10、不泄漏所监理的工程需保密的事项。</w:t>
            </w:r>
          </w:p>
          <w:p>
            <w:pPr>
              <w:keepNext w:val="0"/>
              <w:keepLines w:val="0"/>
              <w:pageBreakBefore w:val="0"/>
              <w:widowControl w:val="0"/>
              <w:numPr>
                <w:ilvl w:val="0"/>
                <w:numId w:val="6"/>
              </w:numPr>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监理工作考核方案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为了进一步加强对在建项目监理工作的考核，切实提高监理的责任心，督促监理人员认真履行职责，切实发挥监理作用，以确保工程质量、安全、进度与投资的有效控制，制订本考核方案。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1、项目监理机构组织方面</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监理单位应根据工程规模、特点及合同约定配备监理人员。在监理过程中，项目班子人员调整必须经过建设单位书面同意。如擅自调整项目班子人员，发现一次扣1000元；擅自调整项目主要负责人，发现一次扣1000元。对不称职的监理人员，建设单位有权提出更换，在5个工作日内人员更换到位，且不低于原监理资质，未按规定执行的扣1000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1.2、监理人员应严格遵守上下班时间，项目内场常驻人员上班时间原则上与建设单位上下班时间同步，上班时间人员不在岗的，每人每次扣款500元；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1.3、一个项目实施期间，总监总请假天数不超过10天，超出天数每天扣款300元；其它人员请假天数不超过10天，超出天数每天扣款200元。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r>
              <w:rPr>
                <w:rFonts w:hint="eastAsia" w:ascii="仿宋" w:hAnsi="仿宋" w:eastAsia="仿宋" w:cs="仿宋"/>
                <w:color w:val="auto"/>
                <w:sz w:val="24"/>
                <w:szCs w:val="24"/>
                <w:highlight w:val="none"/>
                <w:lang w:val="en-US" w:eastAsia="zh-CN"/>
              </w:rPr>
              <w:t>每月召开项目</w:t>
            </w:r>
            <w:r>
              <w:rPr>
                <w:rFonts w:hint="eastAsia" w:ascii="仿宋" w:hAnsi="仿宋" w:eastAsia="仿宋" w:cs="仿宋"/>
                <w:color w:val="auto"/>
                <w:sz w:val="24"/>
                <w:szCs w:val="24"/>
                <w:highlight w:val="none"/>
              </w:rPr>
              <w:t>例会，项目总监或分项监理负责人须按时参加并形成纪要，无故缺席的发现一次扣500元。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1.5、监理人员应按时向提供监理</w:t>
            </w:r>
            <w:r>
              <w:rPr>
                <w:rFonts w:hint="eastAsia" w:ascii="仿宋" w:hAnsi="仿宋" w:eastAsia="仿宋" w:cs="仿宋"/>
                <w:color w:val="auto"/>
                <w:sz w:val="24"/>
                <w:szCs w:val="24"/>
                <w:highlight w:val="none"/>
                <w:lang w:val="en-US" w:eastAsia="zh-CN"/>
              </w:rPr>
              <w:t>月</w:t>
            </w:r>
            <w:r>
              <w:rPr>
                <w:rFonts w:hint="eastAsia" w:ascii="仿宋" w:hAnsi="仿宋" w:eastAsia="仿宋" w:cs="仿宋"/>
                <w:color w:val="auto"/>
                <w:sz w:val="24"/>
                <w:szCs w:val="24"/>
                <w:highlight w:val="none"/>
              </w:rPr>
              <w:t>报及相关各种报告资料等。未做到的发现一次扣500元。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1.6、监理单位必须加强对派驻监理人员的廉洁教育，监理人员不准向施工单位索取钱物或收受物品，一经发现每次扣10000元，并向监理单位通报，要求更换监理人员。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2项目质量控制方面</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2.1、监理单位对于项目出现的问题，不能在发现问题后24小时内向建设单位汇报，因此导致出现严重影响的，每发现一次扣1000元。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rPr>
              <w:t>2.2、监理单位对监督管理不到位，造成工程施工存在质量问题，发现一次扣1000元；如果导致严重错误或损失，每发现一次扣1000元，更换监理人员。</w:t>
            </w:r>
          </w:p>
        </w:tc>
      </w:tr>
    </w:tbl>
    <w:p>
      <w:pPr>
        <w:snapToGrid/>
        <w:spacing w:line="240" w:lineRule="auto"/>
        <w:ind w:firstLine="0" w:firstLineChars="0"/>
        <w:jc w:val="left"/>
        <w:outlineLvl w:val="9"/>
        <w:rPr>
          <w:rFonts w:hint="eastAsia"/>
          <w:color w:val="auto"/>
          <w:highlight w:val="none"/>
          <w:lang w:val="en-US" w:eastAsia="zh-CN"/>
        </w:rPr>
      </w:pPr>
    </w:p>
    <w:p>
      <w:pPr>
        <w:snapToGrid w:val="0"/>
        <w:spacing w:line="360" w:lineRule="auto"/>
        <w:jc w:val="left"/>
        <w:outlineLvl w:val="1"/>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第三条</w:t>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val="en-US" w:eastAsia="zh-CN"/>
        </w:rPr>
        <w:t>运维要求</w:t>
      </w:r>
    </w:p>
    <w:p>
      <w:pPr>
        <w:snapToGrid w:val="0"/>
        <w:spacing w:line="360" w:lineRule="auto"/>
        <w:ind w:firstLine="480" w:firstLineChars="200"/>
        <w:jc w:val="left"/>
        <w:outlineLvl w:val="3"/>
        <w:rPr>
          <w:rFonts w:hint="eastAsia" w:ascii="仿宋" w:hAnsi="仿宋" w:eastAsia="仿宋" w:cs="仿宋"/>
          <w:color w:val="auto"/>
          <w:sz w:val="24"/>
          <w:highlight w:val="none"/>
          <w:lang w:val="en-US" w:eastAsia="zh-CN"/>
        </w:rPr>
      </w:pPr>
      <w:bookmarkStart w:id="53" w:name="_Toc16073"/>
      <w:r>
        <w:rPr>
          <w:rFonts w:hint="eastAsia" w:ascii="仿宋" w:hAnsi="仿宋" w:eastAsia="仿宋" w:cs="仿宋"/>
          <w:color w:val="auto"/>
          <w:sz w:val="24"/>
          <w:highlight w:val="none"/>
          <w:lang w:val="en-US" w:eastAsia="zh-CN"/>
        </w:rPr>
        <w:t>一、运维服务内容及要求</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项目的日常运维范围包括所有前端点位的设备、网络传输、取电和辅助设施。中标单位在运维期内需提供如下运维服务：</w:t>
      </w:r>
    </w:p>
    <w:tbl>
      <w:tblPr>
        <w:tblStyle w:val="63"/>
        <w:tblW w:w="5397" w:type="pct"/>
        <w:tblInd w:w="-3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4"/>
        <w:gridCol w:w="1318"/>
        <w:gridCol w:w="8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b/>
                <w:bCs/>
                <w:color w:val="auto"/>
                <w:sz w:val="24"/>
                <w:highlight w:val="none"/>
                <w:u w:val="none"/>
              </w:rPr>
            </w:pPr>
            <w:r>
              <w:rPr>
                <w:rFonts w:hint="eastAsia" w:ascii="仿宋" w:hAnsi="仿宋" w:eastAsia="仿宋" w:cs="仿宋"/>
                <w:b/>
                <w:bCs/>
                <w:color w:val="auto"/>
                <w:sz w:val="24"/>
                <w:highlight w:val="none"/>
                <w:u w:val="none"/>
                <w:lang w:val="en-US" w:eastAsia="zh-CN"/>
              </w:rPr>
              <w:t>序号</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b/>
                <w:bCs/>
                <w:color w:val="auto"/>
                <w:sz w:val="24"/>
                <w:highlight w:val="none"/>
                <w:u w:val="none"/>
              </w:rPr>
            </w:pPr>
            <w:r>
              <w:rPr>
                <w:rFonts w:hint="eastAsia" w:ascii="仿宋" w:hAnsi="仿宋" w:eastAsia="仿宋" w:cs="仿宋"/>
                <w:b/>
                <w:bCs/>
                <w:color w:val="auto"/>
                <w:sz w:val="24"/>
                <w:highlight w:val="none"/>
                <w:u w:val="none"/>
                <w:lang w:val="en-US" w:eastAsia="zh-CN"/>
              </w:rPr>
              <w:t>运维内容</w:t>
            </w:r>
          </w:p>
        </w:tc>
        <w:tc>
          <w:tcPr>
            <w:tcW w:w="40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b/>
                <w:bCs/>
                <w:color w:val="auto"/>
                <w:sz w:val="24"/>
                <w:highlight w:val="none"/>
                <w:u w:val="none"/>
              </w:rPr>
            </w:pPr>
            <w:r>
              <w:rPr>
                <w:rFonts w:hint="eastAsia" w:ascii="仿宋" w:hAnsi="仿宋" w:eastAsia="仿宋" w:cs="仿宋"/>
                <w:b/>
                <w:bCs/>
                <w:color w:val="auto"/>
                <w:sz w:val="24"/>
                <w:highlight w:val="none"/>
                <w:u w:val="none"/>
                <w:lang w:val="en-US" w:eastAsia="zh-CN"/>
              </w:rPr>
              <w:t>总体要求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1</w:t>
            </w:r>
          </w:p>
        </w:tc>
        <w:tc>
          <w:tcPr>
            <w:tcW w:w="593"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前端点位维护</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每日对前端监控、卡口、人脸抓拍机、公交车子系统、社会资源接入等系统开展实时监控、日常巡检、故障响应等工作。</w:t>
            </w:r>
            <w:r>
              <w:rPr>
                <w:rFonts w:hint="eastAsia" w:ascii="仿宋" w:hAnsi="仿宋" w:eastAsia="仿宋" w:cs="仿宋"/>
                <w:color w:val="auto"/>
                <w:sz w:val="24"/>
                <w:highlight w:val="none"/>
                <w:lang w:val="en-US" w:eastAsia="zh-CN"/>
              </w:rPr>
              <w:t>每季对前端视频点位杆件、机箱、管网管线、摄像机镜头进行清洁保养，及对各种遮挡和监控角度的调整</w:t>
            </w:r>
            <w:r>
              <w:rPr>
                <w:rFonts w:hint="eastAsia" w:ascii="仿宋" w:hAnsi="仿宋" w:eastAsia="仿宋" w:cs="仿宋"/>
                <w:color w:val="auto"/>
                <w:sz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2</w:t>
            </w:r>
          </w:p>
        </w:tc>
        <w:tc>
          <w:tcPr>
            <w:tcW w:w="5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网络维护</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lang w:val="en-US" w:eastAsia="zh-CN"/>
              </w:rPr>
              <w:t>对传输线路的实时监控、对网络设备及链路的日常巡检、对故障的及时响应恢复、对网络系统的升级维护。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3</w:t>
            </w:r>
          </w:p>
        </w:tc>
        <w:tc>
          <w:tcPr>
            <w:tcW w:w="5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网络安全</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配合业主单位做好各级部门组织的护网工作以及重大活动的保障工作。配合业主单位进行硬件设备故障或网络安全事件应急演练。针对市局省厅网络安全攻防演练结果，进行整改策略、及日志巡检、日常网络安全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w:t>
            </w:r>
          </w:p>
        </w:tc>
        <w:tc>
          <w:tcPr>
            <w:tcW w:w="5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交通运输</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标项一、二配备不少于1辆专业登高作业车和1辆专业工程抢修车全天24小时随时响应，车辆车况良好并购买相关保险。</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color w:val="auto"/>
                <w:highlight w:val="none"/>
                <w:lang w:val="en-US" w:eastAsia="zh-CN"/>
              </w:rPr>
            </w:pPr>
            <w:r>
              <w:rPr>
                <w:rFonts w:hint="eastAsia" w:ascii="仿宋" w:hAnsi="仿宋" w:eastAsia="仿宋" w:cs="仿宋"/>
                <w:color w:val="auto"/>
                <w:sz w:val="24"/>
                <w:highlight w:val="none"/>
                <w:u w:val="none"/>
                <w:lang w:val="en-US" w:eastAsia="zh-CN"/>
              </w:rPr>
              <w:t>标项三、四配备不少于1辆专业登高作业车和2辆专业工程抢修车全天24小时随时响应，车辆车况良好并购买相关保险。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5</w:t>
            </w:r>
          </w:p>
        </w:tc>
        <w:tc>
          <w:tcPr>
            <w:tcW w:w="5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运维保障</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配备路锥桶、日夜间导向车道牌需（LED）、应急闪光灯及相关警戒标志，配备调试笔记本、网络测试仪、接地电阻测试仪等运维工具，配备专业登高作业车和专业工程抢修车全天24小时随时响应，车辆车况良好并购买相关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6</w:t>
            </w:r>
          </w:p>
        </w:tc>
        <w:tc>
          <w:tcPr>
            <w:tcW w:w="5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驻点人员</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配备不低于1名专门维保人员驻场办公，负责日常巡检、协调、应急响应等。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7</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备品备件</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lang w:val="en-US" w:eastAsia="zh-CN"/>
              </w:rPr>
              <w:t>提供足够的前端主要设备（摄像机+稳压电源+补光灯）备品备件</w:t>
            </w:r>
            <w:r>
              <w:rPr>
                <w:rFonts w:hint="eastAsia" w:ascii="仿宋" w:hAnsi="仿宋" w:eastAsia="仿宋" w:cs="仿宋"/>
                <w:color w:val="auto"/>
                <w:sz w:val="24"/>
                <w:highlight w:val="none"/>
                <w:u w:val="none"/>
                <w:lang w:val="en-US" w:eastAsia="zh-CN"/>
              </w:rPr>
              <w:t>。</w:t>
            </w:r>
          </w:p>
          <w:p>
            <w:pPr>
              <w:pStyle w:val="2"/>
              <w:ind w:left="0" w:leftChars="0" w:firstLine="0" w:firstLineChars="0"/>
              <w:rPr>
                <w:rFonts w:hint="eastAsia"/>
                <w:color w:val="auto"/>
                <w:highlight w:val="none"/>
                <w:lang w:val="en-US" w:eastAsia="zh-CN"/>
              </w:rPr>
            </w:pPr>
            <w:r>
              <w:rPr>
                <w:rFonts w:hint="eastAsia" w:ascii="仿宋" w:hAnsi="仿宋" w:eastAsia="仿宋" w:cs="仿宋"/>
                <w:color w:val="auto"/>
                <w:kern w:val="2"/>
                <w:sz w:val="24"/>
                <w:szCs w:val="24"/>
                <w:highlight w:val="none"/>
                <w:lang w:val="en-US" w:eastAsia="zh-CN" w:bidi="ar-SA"/>
              </w:rPr>
              <w:t>提供前端主要设备（摄像机+稳压电源+补光灯）数量1%的备品备件，及一定数量的交换设备和中心硬盘等配件。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8</w:t>
            </w:r>
          </w:p>
        </w:tc>
        <w:tc>
          <w:tcPr>
            <w:tcW w:w="5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耗材更换</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在运维期间对故障管线、管网更换，对无法维修的设备进行更换并更换后的设备总体性能不低于原设备标准。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9</w:t>
            </w:r>
          </w:p>
        </w:tc>
        <w:tc>
          <w:tcPr>
            <w:tcW w:w="5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前端主要设备更换</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仿宋" w:hAnsi="仿宋" w:eastAsia="仿宋" w:cs="仿宋"/>
                <w:color w:val="auto"/>
                <w:sz w:val="24"/>
                <w:highlight w:val="none"/>
                <w:u w:val="none"/>
                <w:lang w:val="en-US" w:eastAsia="zh-CN"/>
              </w:rPr>
            </w:pPr>
            <w:r>
              <w:rPr>
                <w:rFonts w:hint="default" w:ascii="仿宋" w:hAnsi="仿宋" w:eastAsia="仿宋" w:cs="仿宋"/>
                <w:color w:val="auto"/>
                <w:sz w:val="24"/>
                <w:highlight w:val="none"/>
                <w:u w:val="none"/>
                <w:lang w:val="en-US" w:eastAsia="zh-CN"/>
              </w:rPr>
              <w:t>前端主要设备更换：在运维期间对无法维修的摄像机、传输设备、电源及补光灯等设备进行更换，更换后的设备总体性能不低于原设备标准</w:t>
            </w:r>
            <w:r>
              <w:rPr>
                <w:rFonts w:hint="eastAsia" w:ascii="仿宋" w:hAnsi="仿宋" w:eastAsia="仿宋" w:cs="仿宋"/>
                <w:color w:val="auto"/>
                <w:sz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10</w:t>
            </w:r>
          </w:p>
        </w:tc>
        <w:tc>
          <w:tcPr>
            <w:tcW w:w="5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应急保障</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default"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重大安保活动应急保障、疫情防控应急响应、重大庆典应急保障、自然灾害应急保障等，全年不高于5次（或不高于30天）应急保障。利用备品备件临时性应急安装（含应急传输链路费用）。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仿宋" w:hAnsi="仿宋" w:eastAsia="仿宋" w:cs="仿宋"/>
                <w:color w:val="auto"/>
                <w:sz w:val="24"/>
                <w:highlight w:val="none"/>
                <w:u w:val="none"/>
                <w:lang w:val="en-US"/>
              </w:rPr>
            </w:pPr>
            <w:r>
              <w:rPr>
                <w:rFonts w:hint="eastAsia" w:ascii="仿宋" w:hAnsi="仿宋" w:eastAsia="仿宋" w:cs="仿宋"/>
                <w:color w:val="auto"/>
                <w:sz w:val="24"/>
                <w:highlight w:val="none"/>
                <w:u w:val="none"/>
                <w:lang w:val="en-US" w:eastAsia="zh-CN"/>
              </w:rPr>
              <w:t>11</w:t>
            </w:r>
          </w:p>
        </w:tc>
        <w:tc>
          <w:tcPr>
            <w:tcW w:w="5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点位优化</w:t>
            </w:r>
          </w:p>
        </w:tc>
        <w:tc>
          <w:tcPr>
            <w:tcW w:w="4031"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提供不高于总点位数5%的免费迁移。</w:t>
            </w:r>
          </w:p>
        </w:tc>
      </w:tr>
    </w:tbl>
    <w:p>
      <w:pPr>
        <w:snapToGrid w:val="0"/>
        <w:spacing w:line="360" w:lineRule="auto"/>
        <w:ind w:firstLine="480" w:firstLineChars="200"/>
        <w:jc w:val="left"/>
        <w:rPr>
          <w:rFonts w:hint="eastAsia" w:ascii="仿宋" w:hAnsi="仿宋" w:eastAsia="仿宋" w:cs="仿宋"/>
          <w:color w:val="auto"/>
          <w:sz w:val="24"/>
          <w:highlight w:val="none"/>
          <w:lang w:val="en-US" w:eastAsia="zh-CN"/>
        </w:rPr>
      </w:pPr>
    </w:p>
    <w:p>
      <w:pPr>
        <w:snapToGrid w:val="0"/>
        <w:spacing w:line="360" w:lineRule="auto"/>
        <w:ind w:firstLine="480" w:firstLineChars="200"/>
        <w:jc w:val="left"/>
        <w:outlineLvl w:val="3"/>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二、运维服务具体措施</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（一）例行运维服务</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1、系统保障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7*24小时对前端设备运作情况（比如图像清晰度、监控方位、图像遮挡、人脸车脸识别率、时钟同步等）进行实时监控，获取各类告警、故障信息，实时响应并及时恢复、解决。</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2、日常巡检及保养</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对前端治安监控点位相关设备进行日常巡检。每季度完成一轮所有设施、设备的巡检。运维人员根据分工，按计划对所有点位进行巡检，查看各系统设备的运行情况、设备配置情况、视频存储完好情况等。对存在设备异常情况的应及时维修处理，并对每次巡检、故障处理结果进行记录。</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每季度对运维范围内的所有设备进行一次清洁保养，包括设备清洁、除尘，设备标签检查、线缆标签检查等。并清洁保养结果进行记录。</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每半年对前端立杆、机箱的腐蚀情况进行保养、维护，对画面异常点位进行常态维护等，确保前端系统的设备完好。</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（二）故障响应服务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故障响应服务是运维服务方接到用户方服务请求或故障申告后，在承诺范围内尽快降低和消除对用户方业务的影响。根据响应的前提不同，分为故障驱动响应、服务请求响应和应急响应。运维服务方应提供快速技术服务，接到报修电话后，服务响应时间为30分钟，在4小时内解决问题，重大故障应在12小时内解决。若故障无法在12小时内解决的，中标单位应提供备品备件进行临时更换，待维修设备维修完成后更换，以保证系统正常运行。</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1、故障驱动响应</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在系统运行过程中由运维服务方提供专业运维队伍向业主单位提供故障件更换、返修，以保证设备或业务使用持续可用的服务。在现场不能修复的设备立即更换代用设备。例如运维服务方巡检时发现某点位的抱杆损坏，需要更换，此时运维服务方将向业主报备，并在经得业主同意后进行更换。</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2、服务请求响应</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由于业主方提出各类服务请求，引发的需要针对服务对象、服务等级做出调整或修改的响应型服务。例如，业主在实际使用监控系统中发现某点位的摄像机角度需要调整，此时向运维服务方提出服务请求，运维服务方应在规定的时间内完成业主的服务请求。</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3、应急响应</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指在服务范围出现跨越预定的应急响应阈值的重大事件、发生重大自然灾害、由于政府部门发出行政指令或用户方提出要求时，应当启动应急处理程序。例如，政府发布台风预警，此时运维服务方应及时对视频监控系统进行巡检、加固危险隐患点位、做好防雨防风措施。</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（三）主动监测服务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1、运维服务方应建立设备管理监控体系，有效地对系统的所有设备运行情况和传输线路的性能、通断情况进行实施监控，及早发现问题，排除故障。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2、运维服务方应安排运维工作组对路面设施情况进行巡检，发现问题及时上报和处理。</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3、运维服务方对每个系统的设备是否正常进行主动监测，以缩短故障发现时间。</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（四）故障修复服务</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1、紧急抢修</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运维服务方承担运维期内系统发生任何故障的抢修任务。</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2、备用方案</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如特殊原因造成系统无法正常使用的，运维服务方提供备用方案和措施确保系统运行正常。</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3、备品备件</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运维服务方应建立备品仓库，储存足够的备品备件，保证满足故障抢修的要求。备品仓库应定期进行检查，并提供备品备件清单。</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4、更换设备</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若某个设备在1个月内连续发生3次及以上故障，运维服务方应更换使用新的同型号或者性能不低于原型号的替代产品，以保障设备的连续正常使用。</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（五）优化完善服务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优化改善服务是运维服务方为适应用户方业务要求，通过提供调优改进服务，达到提高运行维护服务对象性能或管理能力的目的。</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包括适应性改进、增强性改进和预防性改进三种类型。</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1、适应性改进</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为保持视频监控系统在已变化或正在变化的环境中可持续运行而实施的改造。例如，某点位需要移位，此时运维服务方应提供相应的优化改善服务完成业主要求。</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2、增强性改进</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视频监控系统的运行需求或由于视频监控系统的缺陷，采取相应改进措施增强视频监控系统的安全性、可用性和可靠性；例如，上级单位要求的对视频监控系统的升级、补丁，运维服务方需要及时提供改进服务并保障系统不间断工作。</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3、预防性改进</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检测和纠正视频监控系统运行过程中潜在的问题或缺陷，以降低系统风险，满足视频监控系统未来可靠运行的需求。例如，运维服务方应定期对后端设备的健康状况进行检测，硬盘损耗、网络丢包等进行评估，及时排查系统潜在问题和缺陷。</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（六）更新升级服务</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1、基础资料更新</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运维服务方在链路资料、装机地址、备份情况、应用特性以及用户配置等方面建立资料库，作为系统运维，用户了解信息的途径。一旦资料进行了更新，运维服务方应在3天内向业主单位提供最新的资料。</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2、基础信息维护</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根据业主单位提供的基础信息录入表，在点位基础信息变化且确定相关信息后的3个工作日内，须新增或更新相应字段，包含但不限于IP、账号密码、时间标注、辖区标注、地点标注、时差、经纬度等信息。</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3、系统优化</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运维服务方根据日常收集的系统动态运行信息认真分析，视运行情况和业主单位要求定期提供系统优化、使用优化和管理优化建议，确保系统以最优状态运行。</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（七）特殊保障服务</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1、重大保障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有重大会议、活动、指挥演练，运维服务方应按照业主单位要求组成运维服务小组，并提供应急方案，派遣技术人员现场提供保障服务。重大活动开始之前，提前做好系统的检验工作，测试报警、监控、控制、供电等多环节功能是否出现异常，制定相关的保障预案，安排专人负责核心设备和易发生故障设备的现场运维和技术保障；突发事件期间，做好重要部位的安全保障工作，加大系统巡检次数，出现问题，立即排查，恢复使用功能。</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2、临时保障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业主单位如有领导视察、重大事件、现场指挥等较特殊的保障要求，运维服务方应组织应急小组，7*24小时待命，并派遣有经验的工程师前往现场，提供保障服务。</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（八）应急保障服务</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1、应急事件分类</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应急预防主要针对突发性事件、灾害性天气等制定的管理办法。应急事件分为I类、II类、III类三个等级，具体如下：</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I类事件</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节假日、灾害性天气发生的故障事件管理范畴。</w:t>
      </w:r>
    </w:p>
    <w:p>
      <w:pPr>
        <w:snapToGrid w:val="0"/>
        <w:spacing w:line="360" w:lineRule="auto"/>
        <w:ind w:firstLine="480" w:firstLineChars="200"/>
        <w:jc w:val="left"/>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II类事件</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业主单位举行防恐、主题活动等视频监控演练工作，要求提供技术保障工作。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III类事件</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系统运行过程中，出现核心设备或软件故障，造成系统功能性瘫痪的事件。</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2、处理原则</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I、II类应急事件发生后，运维应在20分钟内响应，1小时内到达故障现场，4小时内修复故障；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III类应急事件发生后，运维应在20分钟内响应，40分钟内到达故障现场，2小时内修复故障。</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3、通信保障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运维服务方应收集、建立项目故障应急处理小组内部及其他相关部门的应急联络信息，保证全天24小时通讯畅通。</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4、装备保障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运维服务方运维团队应建立并保持电力、空调、机房等网络安全运行基本环境，备用一定数量的网络硬件设备，指定专人保管和运维。</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5、数据保障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重要信息系统均建立备份系统，保证重要数据在受到破坏后可紧急恢复。</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6、应急结束</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应急事件解决后运维服务方应及时填写资料，并向业主单位反馈信息，应急事件处理完毕。</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7、事件评估</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建立应急事件处理档案，包括事件原因、处理方法、处理时间、设备故障原因、故障现象、设备故障数量进行统计、分析，检查薄弱环节，加强防范，积累经验，提高处理应急事件的能力。</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（九）网络安全服务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配合业主单位做好各级部门组织的护网工作以及重大活动的保障工作。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配合业主单位进行硬件设备故障或网络安全事件应急演练。</w:t>
      </w:r>
    </w:p>
    <w:p>
      <w:pPr>
        <w:snapToGrid w:val="0"/>
        <w:spacing w:line="360" w:lineRule="auto"/>
        <w:ind w:firstLine="480" w:firstLineChars="200"/>
        <w:jc w:val="left"/>
        <w:rPr>
          <w:rFonts w:hint="eastAsia"/>
          <w:color w:val="auto"/>
          <w:highlight w:val="none"/>
          <w:lang w:val="en-US" w:eastAsia="zh-CN"/>
        </w:rPr>
      </w:pPr>
      <w:r>
        <w:rPr>
          <w:rFonts w:hint="eastAsia" w:ascii="仿宋" w:hAnsi="仿宋" w:eastAsia="仿宋" w:cs="仿宋"/>
          <w:color w:val="auto"/>
          <w:sz w:val="24"/>
          <w:highlight w:val="none"/>
          <w:lang w:val="en-US" w:eastAsia="zh-CN"/>
        </w:rPr>
        <w:t>针对市局、省厅网络安全攻防演练结果，进行整改策略、及日志巡检、日常网络安全运维。</w:t>
      </w:r>
    </w:p>
    <w:p>
      <w:pPr>
        <w:snapToGrid w:val="0"/>
        <w:spacing w:line="360" w:lineRule="auto"/>
        <w:ind w:firstLine="480" w:firstLineChars="200"/>
        <w:jc w:val="left"/>
        <w:outlineLvl w:val="3"/>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三、运维服务标准</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（一）前端设备运维标准</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前端设备（应包括但不限于摄像机、光收发器、立杆、设备箱体及附件、混凝土基础、受电设施、电源适配器、补光设施等）及连接线缆的日常运维、巡检、故障处理及其它保障监控系统正常运行的运维服务工作。每年重要节假日（“五一”、“十一”、“春节”等）、大型活动期间，特定巡检、维修、运维、清洁、保养。</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1、例行运维服务</w:t>
      </w:r>
    </w:p>
    <w:p>
      <w:pPr>
        <w:snapToGrid w:val="0"/>
        <w:spacing w:line="360" w:lineRule="auto"/>
        <w:ind w:firstLine="480" w:firstLineChars="200"/>
        <w:jc w:val="left"/>
        <w:outlineLvl w:val="6"/>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1.1系统监控</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对前端设备的系统监控服务指通过运维管理平台7*24小时对前端设备运作情况（比如图像清晰度，监控方位等），进行实时监控，获取各类告警、故障信息，实时响应并及时恢复、解决。</w:t>
      </w:r>
    </w:p>
    <w:p>
      <w:pPr>
        <w:snapToGrid w:val="0"/>
        <w:spacing w:line="360" w:lineRule="auto"/>
        <w:ind w:firstLine="480" w:firstLineChars="200"/>
        <w:jc w:val="left"/>
        <w:outlineLvl w:val="6"/>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1.2日常巡检</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（1）前端摄像机的镜头清理、设备除尘、位置调整、设备维修及更换、故障排除等；</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（2）球机外罩是否清洁、除尘；</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（3）检查杆件是否存在、损坏和有故障；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（4）检查支架、护罩、控制箱是否存在、损坏；</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（5）检查周边的树木、建筑物及电缆是否遮挡镜头；</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（6）对立杆、设备箱等设施的损坏和自然锈迹在必要时进行修复和表面翻新。</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立杆腐蚀需要及时进行防锈处理，对画面遮挡情况进行及时处理。</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2、故障响应服务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运维服务方需提供7×24小时响应服务，具体响应方式及响应时间具体内容如下：</w:t>
      </w:r>
    </w:p>
    <w:tbl>
      <w:tblPr>
        <w:tblStyle w:val="64"/>
        <w:tblW w:w="51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8"/>
        <w:gridCol w:w="3861"/>
        <w:gridCol w:w="4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8" w:type="pct"/>
            <w:noWrap w:val="0"/>
            <w:vAlign w:val="center"/>
          </w:tcPr>
          <w:p>
            <w:pPr>
              <w:snapToGrid w:val="0"/>
              <w:spacing w:line="36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故障类型</w:t>
            </w:r>
          </w:p>
        </w:tc>
        <w:tc>
          <w:tcPr>
            <w:tcW w:w="18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故障内容</w:t>
            </w:r>
          </w:p>
        </w:tc>
        <w:tc>
          <w:tcPr>
            <w:tcW w:w="23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8" w:type="pct"/>
            <w:noWrap w:val="0"/>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故障驱动响应</w:t>
            </w:r>
          </w:p>
        </w:tc>
        <w:tc>
          <w:tcPr>
            <w:tcW w:w="18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前端设备出现警告，不影响系统运行</w:t>
            </w:r>
          </w:p>
        </w:tc>
        <w:tc>
          <w:tcPr>
            <w:tcW w:w="23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7×24小时电话咨询，8小时内到达现场并修复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8" w:type="pct"/>
            <w:noWrap w:val="0"/>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服务请求响应</w:t>
            </w:r>
          </w:p>
        </w:tc>
        <w:tc>
          <w:tcPr>
            <w:tcW w:w="18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前端部分设备损坏，但系统正常运行</w:t>
            </w:r>
          </w:p>
        </w:tc>
        <w:tc>
          <w:tcPr>
            <w:tcW w:w="23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7×24小时电话咨询，4小时内到达现场并修复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8" w:type="pct"/>
            <w:noWrap w:val="0"/>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应急响应</w:t>
            </w:r>
          </w:p>
        </w:tc>
        <w:tc>
          <w:tcPr>
            <w:tcW w:w="18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前端设备故障</w:t>
            </w:r>
          </w:p>
        </w:tc>
        <w:tc>
          <w:tcPr>
            <w:tcW w:w="23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7×24小时电话咨询，2小时内到达现场并修复。</w:t>
            </w:r>
          </w:p>
        </w:tc>
      </w:tr>
    </w:tbl>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到达现场后，前端设备需8小时内修复，不能修复需要更换设备的，运维服务方需要免费更换故障设备，故障修复时间均以业主单位申报开始计时，若有特殊情况须经业主单位书面同意方可延长故障排除时间。</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3、优化完善服务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期间内，运维服务方应根据前端系统实际运行环境情况，提出相关点位迁移、杆件复用、功能升级等优化服务。根据业主单位实际需要，运维服务方对前端抓拍设备的安装位置进行改进和调整，包括角度的调整、方向调整和点位位置的调整等。</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（二）传输网络运维标准</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1、例行运维服务</w:t>
      </w:r>
    </w:p>
    <w:p>
      <w:pPr>
        <w:snapToGrid w:val="0"/>
        <w:spacing w:line="360" w:lineRule="auto"/>
        <w:ind w:firstLine="480" w:firstLineChars="200"/>
        <w:jc w:val="left"/>
        <w:outlineLvl w:val="6"/>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1.1系统监控</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对传输网络的系统监控服务指通过运维管理平台7*24小时对传输线路的性能、通断情况进行实时监控，获取各类告警、故障信息，实时响应并及时恢复、解决。</w:t>
      </w:r>
    </w:p>
    <w:p>
      <w:pPr>
        <w:snapToGrid w:val="0"/>
        <w:spacing w:line="360" w:lineRule="auto"/>
        <w:ind w:firstLine="480" w:firstLineChars="200"/>
        <w:jc w:val="left"/>
        <w:outlineLvl w:val="6"/>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1.2日常巡检</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光纤链路、摄像机控制线路的检测、故障排除、隐患排查；</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电缆和光缆线路是否裸露、破损；</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所有接口、线路接口的检测；</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传输设备如光纤收发器，交换机等是否损坏。</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 故障响应服务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运维服务方需提供7×24小时响应服务，具体响应方式及响应时间根据故障类型而定，其具体内容如下：</w:t>
      </w:r>
    </w:p>
    <w:tbl>
      <w:tblPr>
        <w:tblStyle w:val="64"/>
        <w:tblW w:w="51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3869"/>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76" w:type="dxa"/>
            <w:noWrap w:val="0"/>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故障类型</w:t>
            </w:r>
          </w:p>
        </w:tc>
        <w:tc>
          <w:tcPr>
            <w:tcW w:w="3703" w:type="dxa"/>
            <w:noWrap w:val="0"/>
            <w:vAlign w:val="center"/>
          </w:tcPr>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故障内容</w:t>
            </w:r>
          </w:p>
        </w:tc>
        <w:tc>
          <w:tcPr>
            <w:tcW w:w="4712" w:type="dxa"/>
            <w:noWrap w:val="0"/>
            <w:vAlign w:val="center"/>
          </w:tcPr>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76" w:type="dxa"/>
            <w:noWrap w:val="0"/>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故障驱动响应</w:t>
            </w:r>
          </w:p>
        </w:tc>
        <w:tc>
          <w:tcPr>
            <w:tcW w:w="3703" w:type="dxa"/>
            <w:noWrap w:val="0"/>
            <w:vAlign w:val="center"/>
          </w:tcPr>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传输网络出现警告，不影响系统运行</w:t>
            </w:r>
          </w:p>
        </w:tc>
        <w:tc>
          <w:tcPr>
            <w:tcW w:w="4712" w:type="dxa"/>
            <w:noWrap w:val="0"/>
            <w:vAlign w:val="center"/>
          </w:tcPr>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7×24小时电话咨询，8小时内到达现场并修复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76" w:type="dxa"/>
            <w:noWrap w:val="0"/>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服务请求响应</w:t>
            </w:r>
          </w:p>
        </w:tc>
        <w:tc>
          <w:tcPr>
            <w:tcW w:w="3703" w:type="dxa"/>
            <w:noWrap w:val="0"/>
            <w:vAlign w:val="center"/>
          </w:tcPr>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传输网络部分损坏，但系统正常运行</w:t>
            </w:r>
          </w:p>
        </w:tc>
        <w:tc>
          <w:tcPr>
            <w:tcW w:w="4712" w:type="dxa"/>
            <w:noWrap w:val="0"/>
            <w:vAlign w:val="center"/>
          </w:tcPr>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7×24小时电话咨询，4小时内到达现场并修复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76" w:type="dxa"/>
            <w:noWrap w:val="0"/>
            <w:vAlign w:val="center"/>
          </w:tcPr>
          <w:p>
            <w:pPr>
              <w:snapToGrid w:val="0"/>
              <w:spacing w:line="36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应急响应</w:t>
            </w:r>
          </w:p>
        </w:tc>
        <w:tc>
          <w:tcPr>
            <w:tcW w:w="3703" w:type="dxa"/>
            <w:noWrap w:val="0"/>
            <w:vAlign w:val="center"/>
          </w:tcPr>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传输网络故障</w:t>
            </w:r>
          </w:p>
        </w:tc>
        <w:tc>
          <w:tcPr>
            <w:tcW w:w="4712" w:type="dxa"/>
            <w:noWrap w:val="0"/>
            <w:vAlign w:val="center"/>
          </w:tcPr>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7×24小时电话咨询，2小时内到达现场并修复</w:t>
            </w:r>
          </w:p>
        </w:tc>
      </w:tr>
    </w:tbl>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响应时间：</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到达现场后，需8小时内修复，不能修复的，运维服务方需要负责免费更换。故障修复时间均以业主单位申报开始计时，若有特殊情况须经业主单位书面同意方可延长故障排除时间。</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3、优化完善服务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运维期间内，运维服务方应根据网络环境，提出相关链路复用等增强网络安全性、可用性和可靠性等相关服务。能够适应业务发展，灵活地设计、调整服务支持流程和组织结构，适应未来的发展变化。</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（三） 光缆线路运维标准</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光缆线路（及其附属设备）是公共视频监控系统工程的重要组成部分，是承载统一视频资源接入和支持系统运行的基础网络。因此，为加强光缆线路的运维和管理工作尤其重要。</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光缆线路设备运维范围：（1）中继光缆、主干光缆、配线光缆、联络光缆、局内光缆；（2）光缆所经过沿线管道、杆路；（3）光缆交接设备：光交接箱、接头盒、光分纤盒、光缆终端盒等；（4）附属设施：包括标石、标志牌、宣传牌、三线保护设施等。</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（四）例行运维服务标准</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光缆运维部门应备有下列资料：</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光缆线路工程的设计文件，竣工资料和文件，工程遗留问题处理意见；光缆线路设备的线路拓扑图、路由图、配线图、路由变更记录、光交接设备端面图、光交接设备纤序对照图、管道光缆占孔图、光缆纤芯分配图，应急调度预案；光缆的传输性能测试资料和其它相关资料；光缆线路故障登记表、光缆接割记录表、质量报表及月、季、年运维工作计划及重大故障专题分析报告。</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1、日常巡检</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1）运维人员必须掌握所运维的光缆线路名称、路由走向、重点资料等相关信息。</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2）每季对关键的路由巡查不少于1次，前端监控点每半年路由巡查不少于1次。随时掌握路由动态信息，做好记录，确保光缆安全畅通，出现问题，应及时解决，并上报业主方。</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对易发生外力因素影响的段落，光缆过河（沟）、外力施工工地、城乡结合部的桥涵、架空的特殊杆及光缆引上（下）等地段必须作为日常巡查重点，认真落实巡查，及时发现不安全隐患。当遇台风季节，在暴雨过后要及时安排特殊巡查，以利于及时发现路由上的问题，排除故障隐患。</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4）在巡查中应发现并消除各种隐患，如外力施工迹象、火烧、车撞等。当发现有异常迹象时，应及时采取有效措施，并落实人员跟踪处理。</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5）在巡查中必须掌握外力施工工地的施工情况，对原有停工工地，必须掌握复工时间、施工方案变更情况。对新建工地，应仔细分析机械挖土、顶管、打桩等施工是否危害光缆安全。</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2、季节性运维</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1）在汛期、台风、冰凌季节及法定节假日到来之前，应对线路设备的关键部位和薄弱环节进行加固、检修等，并制定应急预案。</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2）在汛期、台风、冰凌季节及法定节假日期间，应加强对线路设备运行情况的监视和线路设备的巡查。</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3）应定期检查仓库，做到故障抢修所需材料、备用缆线及仪表、工具齐全，状况良好。</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3、线路故障处理</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光缆线路故障是指由于光缆线路原因而造成的通信阻断故障。光缆故障处理应遵循“先抢通，后修复”的原则，线路故障未排除之前，查修不得终止。</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发生光缆故障时，应迅速判明故障段落和故障性质，迅速组织应急调度处理，并尽快修复，故障正式修复后须经测试确认，链路恢复正常后可清理现场；应按月把本月光缆故障情况上报业主方；</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应根据光缆所承载的业务重要性落实网络层面的保护措施，制定应急预案，明确职责分工，尽可能避免业务中断和压缩系统故障历时。</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光缆线路设备运维分为日常运维、故障查修及相关配合工作。对光缆线路设备的技术和质量状况，应按规定的要求进行科学运维。</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光缆发生线路故障导致系统中断至系统抢通时止为系统故障历时，也即抢通时间；运维部门自受障后至光缆完全修复时止为光缆修复时间；超过故障规定时限故障为超时故障。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应随时做好光缆故障抢修的准备，做到在任何时间、任何情况下都能迅速抢修；抢修专用器材、仪表、机具及车辆等应处于可使用状态。</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纤芯可用率指标要求：前端监控点光缆线路、光缆纤芯平均可用率达到99.95%。</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4、应急预案</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对于重大保障任务和突发应急事件，前端监控点光缆线路应结合业务和网络设备的具体情况按照一点一案的原则制定全程光路的应急恢复预案，确保在最短时间内恢复业务。</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5、故障响应服务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核心网光纤链路平均抢通时间小于2小时，最长不超过4小时，并在故障发生12小时内修复光缆；前端接入点光缆平均抢通时间小于4小时，最长不超过6小时，并在故障发生24小时内修复光缆。由于自然灾害，不可抗力造成的故障经与业主单位协商同意后，可适当延长光缆抢通时间。</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（五） 公交4G车载监控运维标准</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1、提供公交4G车载监控设备维护服务及备件的更换；</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2、每季度对清单中维护的设备进行巡检一次，并提交巡检登记表。</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3、提供专职维修保养队伍，并保持7*24小时响应，对一般性故障须在24小时内解决。如遇到紧急情况，可在2小时内到达现场。</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4、如遇到设备需要返厂维修或4GSIM卡问题，则以设备被返回（厂家维修时间）或4GSIM故障解决（运营商修复时间）时间为准。</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（六） 运维数据安全标准</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本项目所运维的公共视频监控系统包含的数据和资料等有涉及敏感信息。因此项目有必要具有比较严密保密措施，保密措施的顺利执行，有赖于要求明确、职责分明的责任体系，有赖于有严密的组织的监督执行体系、有良好的培训和动态检查来运维保密工作的维持。</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包括前端设备的安装点位、网络拓扑结构、分析应用软件、存储设备、技术报告、测试报告、检测报告、存储数据、操作手册、技术文档等。</w:t>
      </w:r>
    </w:p>
    <w:p>
      <w:pPr>
        <w:snapToGrid w:val="0"/>
        <w:spacing w:line="360" w:lineRule="auto"/>
        <w:ind w:firstLine="480" w:firstLineChars="200"/>
        <w:jc w:val="left"/>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1、遵守保密的各项管理规定；</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2、未经业主单位书面许可，不得将所知的业主单位秘密以任何方式提供给任何第三方，也不得擅自披露这些信息；</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3、未经业主单位许可，不得擅自查阅、复制业主单位的文件、文档和其它保密资料；</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4、未经业主单位书面许可，不得带走从业主单位得到的任何形式的文档、图纸、资料、磁盘等载有用户机密的介质；</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5、在工作完成离开时，将包含业主单位上述秘密的一切资料及其复制件如数交还业主单位，不得擅自保留。</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（七） 运维服务报告标准</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在整个运维服务周期内，运维服务方应与业主单位建立完善的沟通协调机制，应及时提供运维服务的各种报告。其中包括每日运维服务日志、工程联系单、重大故障维修报告、月度考核表等。</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（八） 运维安全保险标准</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期内政策性规定的强制性险种及运维服务方的施工运维人员和所有财物均由运维服务方自行办理人身保险、财产保险、第三人人员生命财产保险，对不可抗力可能引起的设备损坏、人员伤损及第三人人员生命财产伤损，费用由运维服务方自行承担。前端设备或系统因恶意破坏(不可追溯）、自然灾难（例如地震、洪水、台风、海啸等）或其他不可抗力（例如恐怖活动、战争、不能预见或不能抗拒的政府命令等）造成财产损失或人身伤害时，业主单位不承担相关赔偿责任。投标人可购买安全责任制保险，项目运维单位应根据保险条款提供对应的损失赔偿。</w:t>
      </w:r>
    </w:p>
    <w:p>
      <w:pPr>
        <w:snapToGrid w:val="0"/>
        <w:spacing w:line="360" w:lineRule="auto"/>
        <w:ind w:firstLine="480" w:firstLineChars="200"/>
        <w:jc w:val="left"/>
        <w:outlineLvl w:val="3"/>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四、运维服务保障</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（一） 机构保障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运维服务方应根据运维服务要求，参照国家有关通信和信息系统运行服务标准的要求建立完善的公共视频监控系统运维服务管理体系，保障承诺的运维服务内容的实施。</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有关要求如下:</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1、运维服务组织机构</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drawing>
          <wp:inline distT="0" distB="0" distL="114300" distR="114300">
            <wp:extent cx="4358640" cy="3268980"/>
            <wp:effectExtent l="0" t="0" r="381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1"/>
                    <a:stretch>
                      <a:fillRect/>
                    </a:stretch>
                  </pic:blipFill>
                  <pic:spPr>
                    <a:xfrm>
                      <a:off x="0" y="0"/>
                      <a:ext cx="4358640" cy="3268980"/>
                    </a:xfrm>
                    <a:prstGeom prst="rect">
                      <a:avLst/>
                    </a:prstGeom>
                    <a:noFill/>
                    <a:ln>
                      <a:noFill/>
                    </a:ln>
                  </pic:spPr>
                </pic:pic>
              </a:graphicData>
            </a:graphic>
          </wp:inline>
        </w:drawing>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运维服务方应建立专门的运维服务管理机构，设立运维服务中心，设立专门的技术服务队伍，配备包括视频监控、光纤管道、电气设备、电力和网络等各类运维工程师。</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服务咨询人员和运维工程师应经过专门的培训，具备相应的沟通能力、业务能力和技术能力。</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运维服务方要有完善明确的运维服务方案，明确规范的运维组织架构及运维人员；运维小组主要成员在项目实施期间维持不变。</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季节性预防运维，如汛期、台风、重要通信保障时期等予以重点优先保障，需要提供相应的人员派驻。</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建立运维服务中心，提供免费的服务热线电话。该服务咨询中心应该在全年日历天内全天候（7*24小时）运行，热线电话的拨通率应达到100%。在热线电话发生故障情况下，应提供其它备份的方便和迅速的联系方式。</w:t>
      </w:r>
    </w:p>
    <w:p>
      <w:pPr>
        <w:snapToGrid w:val="0"/>
        <w:spacing w:line="360" w:lineRule="auto"/>
        <w:ind w:firstLine="480" w:firstLineChars="200"/>
        <w:jc w:val="left"/>
        <w:outlineLvl w:val="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2、运维服务流程</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运维服务方应参照国标运维服务标准体系，建立各项运维服务标准流程，制定服务规章制度，应按照流程要求提供高质量、响应快的服务。</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服务流程应该包括服务台管理、事件管理、问题管理、配置管理、服务质量管理、服务考核评估等。</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运维服务方需要具有完善明确的故障报修及处理流程；建立完善的安全施工规范，确保安全运维、文明运维，并符合相关安全施工规范；提供365天免费技术咨询、故障解决办法的意见及操作方法征询。</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（二）人员保障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在人员方面：设立专门的技术服务队伍，配备包括视频监控、通信光缆、电气设备、电力和计算机网等各类专业运维工程师并提供免费的服务热线电话。配备相关员运维人员需具有电工证及本行业颁发的从业资格证书。</w:t>
      </w:r>
    </w:p>
    <w:p>
      <w:pPr>
        <w:snapToGrid w:val="0"/>
        <w:spacing w:line="360" w:lineRule="auto"/>
        <w:ind w:firstLine="480" w:firstLineChars="200"/>
        <w:jc w:val="left"/>
        <w:outlineLvl w:val="4"/>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（三） 车辆保障</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专用设备方面：配备专业登高作业车和专业工程抢修车全天24小时随时响应，车辆车况良好并购买相关保险。</w:t>
      </w:r>
    </w:p>
    <w:p>
      <w:pPr>
        <w:snapToGrid w:val="0"/>
        <w:spacing w:line="360" w:lineRule="auto"/>
        <w:ind w:firstLine="480" w:firstLineChars="200"/>
        <w:jc w:val="left"/>
        <w:outlineLvl w:val="3"/>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五、运维效能要求</w:t>
      </w:r>
    </w:p>
    <w:tbl>
      <w:tblPr>
        <w:tblStyle w:val="6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6"/>
        <w:gridCol w:w="2593"/>
        <w:gridCol w:w="2133"/>
        <w:gridCol w:w="1135"/>
        <w:gridCol w:w="1765"/>
        <w:gridCol w:w="1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考核内容及标准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序号</w:t>
            </w:r>
          </w:p>
        </w:tc>
        <w:tc>
          <w:tcPr>
            <w:tcW w:w="12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类型</w:t>
            </w:r>
          </w:p>
        </w:tc>
        <w:tc>
          <w:tcPr>
            <w:tcW w:w="244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内容</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12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基础信息</w:t>
            </w:r>
          </w:p>
        </w:tc>
        <w:tc>
          <w:tcPr>
            <w:tcW w:w="244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校验合格率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12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视频监控</w:t>
            </w:r>
          </w:p>
        </w:tc>
        <w:tc>
          <w:tcPr>
            <w:tcW w:w="244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出图/录像完好率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125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卡口</w:t>
            </w:r>
          </w:p>
        </w:tc>
        <w:tc>
          <w:tcPr>
            <w:tcW w:w="244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出图/录像完好率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587"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车辆抓拍率</w:t>
            </w:r>
          </w:p>
        </w:tc>
        <w:tc>
          <w:tcPr>
            <w:tcW w:w="8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日</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587"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8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夜</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03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识别率</w:t>
            </w:r>
          </w:p>
        </w:tc>
        <w:tc>
          <w:tcPr>
            <w:tcW w:w="55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车辆</w:t>
            </w:r>
          </w:p>
        </w:tc>
        <w:tc>
          <w:tcPr>
            <w:tcW w:w="8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日</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03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550"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8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夜</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03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40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人脸（环保）</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125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人脸抓拍机</w:t>
            </w:r>
          </w:p>
        </w:tc>
        <w:tc>
          <w:tcPr>
            <w:tcW w:w="244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出图/录像完好率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244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数据接入率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587"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应用平台（人脸）</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建档率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587"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画面质量</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125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车载</w:t>
            </w:r>
          </w:p>
        </w:tc>
        <w:tc>
          <w:tcPr>
            <w:tcW w:w="244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出图率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2444"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数据接入率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587"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应用平台（车辆）</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建档率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587"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画面质量</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587"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应用平台（人脸）</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建档率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p>
        </w:tc>
        <w:tc>
          <w:tcPr>
            <w:tcW w:w="125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1587"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画面质量</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12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专网链路</w:t>
            </w:r>
          </w:p>
        </w:tc>
        <w:tc>
          <w:tcPr>
            <w:tcW w:w="244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完好率</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≥99%</w:t>
            </w:r>
          </w:p>
        </w:tc>
      </w:tr>
    </w:tbl>
    <w:p>
      <w:pPr>
        <w:snapToGrid w:val="0"/>
        <w:spacing w:line="360" w:lineRule="auto"/>
        <w:ind w:firstLine="480" w:firstLineChars="200"/>
        <w:jc w:val="left"/>
        <w:outlineLvl w:val="3"/>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六、运维考核指标</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对运维工作的考核是为了确保温州市本级公共安全视频监控系统运行情况满足上级部门考核要求并符合公安日常业务实战化开展的需要，同时延长系统使用寿命降低后续新建项目建设投入。通过设置科学合理的考核指标体系，使运维工作过程中的约束管理措施有效，考核督查结果有力。</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运维技术考核指标</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业主单位通过视频监控网管平台发现业务点发生故障向运维服务方提出申告时，运维服务方承诺：经故障判断后确认是系统平台（包括存储，下同）和光纤链路故障（确认时间为申告后2小时），在4小时内恢复；确认是前端设备如摄像机被盗或损坏、线缆被剪断等故障，在12小时内恢复。如超过承诺恢复时间，每超过1小时运维服务方将减免该业务点当月使用费的1%直至该业务点恢复为止。运维服务方承诺每个业务点每月的累计故障时间不超过36小时，超过36小时的，每超过1小时运维服务方将减免该业务点当月使用费的2%直至该业务点恢复为止（未恢复前，减免费用将一直累加，不受单个点位的月使用费或年使用费限制）。</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业主单位通过卡口网管平台发现业务点发生故障向运维服务方提出申告时，运维服务方承诺：经故障判断后确认是系统平台（包括存储，下同）和光纤链路故障（确认时间为申告后2小时），在4小时内恢复；确认是前端设备如抓拍摄像机抓拍角度不佳、被盗或损坏、线缆被剪断等故障，在24小时内恢复。如超过承诺恢复时间，每超过24小时运维服务方将减免该业务点当月使用费的1%直至该业务点恢复为止.</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业主单位对运维服务方的平台不能正常运行或因平台技术维护原因造成图像数据丢失有权要求运维服务方及时改进和承担违约责任。如遇运维服务方平台技术升级、承载网链路割接等，并在征得业主单位同意的基础上，运维服务方应提前48小时通知业主单位，说明可能造成的影响和范围，并确保每次平台技术升级和承载网链路割接在6小时内完成，在此时间内所造成的图像数据丢失，运维服务方不承担违约责任。如超过6小时，每超过1小时（不满1小时按1小时计算，下同）运维服务方将被扣除被影响范围内当月使用费的1%直至被影响范围恢复为止。</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4、运维技术考核指标（以月为考核单位）</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（1）基础信息校验合格率100％，每低1％扣除月服务费的5％；</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（2）视频监控点位、卡口抓拍设备、人脸抓拍机月出图、录像完好率不低于98％，每低1％扣除月服务费的5％；车载出图率不低于98％，每低1％扣除月服务费的5％；</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卡口抓拍率白天不低于99%，每低1％扣除月服务费的5％，抓拍率晚上不低于95%，每低1％扣除月服务费的5％；识别率白天不低于95%，每低1％扣除月服务费的5％；晚上不低于90%，每低1％扣除月服务费的5％；人脸（环保）识别率不低于95%，每低1％扣除月服务费的5％；</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人脸抓拍机、车载数据接入率不低于100％，每低1％扣除月服务费的5％；人脸抓拍机、车载建档率不低于100％，每低1％扣除月服务费的5％，人脸抓拍机、车载画面质量不低于98%，每低1％扣除月服务费的5％；</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（5）专网链路完好率不低于99%，每低1％扣除月服务费的5％；</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（6）以上服务费扣款不重复计算。</w:t>
      </w:r>
    </w:p>
    <w:p>
      <w:pPr>
        <w:snapToGrid w:val="0"/>
        <w:spacing w:line="360" w:lineRule="auto"/>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（7）其他非系统软硬件自身原因导致无法达到指标且可以不纳入考核范围的情况由双方另行协商。</w:t>
      </w:r>
    </w:p>
    <w:bookmarkEnd w:id="53"/>
    <w:p>
      <w:pPr>
        <w:snapToGrid w:val="0"/>
        <w:spacing w:line="360" w:lineRule="auto"/>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第四条</w:t>
      </w:r>
      <w:r>
        <w:rPr>
          <w:rFonts w:hint="eastAsia" w:ascii="仿宋" w:hAnsi="仿宋" w:eastAsia="仿宋" w:cs="仿宋"/>
          <w:b/>
          <w:color w:val="auto"/>
          <w:sz w:val="24"/>
          <w:highlight w:val="none"/>
        </w:rPr>
        <w:t>、履约验收要求</w:t>
      </w:r>
    </w:p>
    <w:p>
      <w:pPr>
        <w:snapToGrid w:val="0"/>
        <w:spacing w:line="360" w:lineRule="auto"/>
        <w:ind w:firstLine="480" w:firstLineChars="200"/>
        <w:jc w:val="left"/>
        <w:outlineLvl w:val="2"/>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（一）是否适用采购项目</w:t>
      </w:r>
    </w:p>
    <w:p>
      <w:pPr>
        <w:snapToGrid w:val="0"/>
        <w:spacing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服务类项目按建设主管部门相关规定执行。</w:t>
      </w:r>
    </w:p>
    <w:p>
      <w:pPr>
        <w:snapToGrid w:val="0"/>
        <w:spacing w:line="360" w:lineRule="auto"/>
        <w:ind w:firstLine="480" w:firstLineChars="200"/>
        <w:jc w:val="left"/>
        <w:outlineLvl w:val="2"/>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（二）履约验收的相关费用</w:t>
      </w:r>
    </w:p>
    <w:p>
      <w:pPr>
        <w:snapToGrid w:val="0"/>
        <w:spacing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明确是否委托履约验收代理组织验收，明确代理服务费、专家劳务费、是否需要专业验收检测机构出具报告及承担由此产生的检验（监测）费等费用。</w:t>
      </w:r>
    </w:p>
    <w:p>
      <w:pPr>
        <w:snapToGrid w:val="0"/>
        <w:spacing w:line="360" w:lineRule="auto"/>
        <w:ind w:firstLine="480" w:firstLineChars="200"/>
        <w:jc w:val="left"/>
        <w:outlineLvl w:val="2"/>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（三）项目验收工作组织程序</w:t>
      </w:r>
    </w:p>
    <w:p>
      <w:pPr>
        <w:snapToGrid w:val="0"/>
        <w:spacing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1、供应商根据采购文件、响应文件、采购合同、封存样品等约定的质量、数量、技术指标或者服务要求设置验收指标及其标准，制定验收指标及标准。</w:t>
      </w:r>
    </w:p>
    <w:p>
      <w:pPr>
        <w:snapToGrid w:val="0"/>
        <w:spacing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2、确定项目采用简易程序验收或一般程序验收的方式以及采用一次性验收、分段验收或分期验收的方法。</w:t>
      </w:r>
    </w:p>
    <w:p>
      <w:pPr>
        <w:snapToGrid w:val="0"/>
        <w:spacing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3、验收小组拟组成情况。</w:t>
      </w:r>
    </w:p>
    <w:p>
      <w:pPr>
        <w:snapToGrid w:val="0"/>
        <w:spacing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4、启动项目验收的时间。</w:t>
      </w:r>
    </w:p>
    <w:p>
      <w:pPr>
        <w:snapToGrid w:val="0"/>
        <w:spacing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 xml:space="preserve">5、组织验收的程序和内容：供应商提供项目验收相关技术资料、合格证明以及验收所必须具备的其他材料，并协助验收组织机构开展验收。验收组织机构准备采购文件、封存样品，根据验收方案组织现场查验。标准定制的货物和通用的服务采购项目可以采用抽检方式进行验收。验收时，应当按照采购合同的约定对每一项技术、服务、安全标准的履约情况进行确认。验收小组必须做好验收记录。验收记录要准确、详细记载采购项目重要事项的履约情况。需分段验收的履约环节在结束以前，供应商应当通知验收组织机构。验收组织机构应当及时查验，未及时查验的，供应商可以顺延项目交付日期，并有权按照合同约定要求赔偿停工、窝工损失。 </w:t>
      </w:r>
    </w:p>
    <w:p>
      <w:pPr>
        <w:snapToGrid w:val="0"/>
        <w:spacing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6、出具验收书。验收书的内容应包括：实施验收过程基本情况陈述，供应商对合同规定的每一项技术、服务、安全标准等履行情况，与政府采购合同约定的权利义务比较情况，验收结论性意见等。验收小组签字确认。委托第三方检测的，附检测报告。分段验收、分期验收的项目，附相应资料。采购人及供应商对验收意见予以确认。</w:t>
      </w:r>
    </w:p>
    <w:p>
      <w:pPr>
        <w:snapToGrid w:val="0"/>
        <w:spacing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7、验收结果公告：采购人对验收项目作出整体评价和分类评价。除涉密情形外，在评价后2个工作日内在浙江政府采购网发布验收结果。</w:t>
      </w:r>
    </w:p>
    <w:p>
      <w:pPr>
        <w:snapToGrid w:val="0"/>
        <w:spacing w:line="360" w:lineRule="auto"/>
        <w:ind w:firstLine="480" w:firstLineChars="200"/>
        <w:jc w:val="left"/>
        <w:outlineLvl w:val="9"/>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8、验收资料归档。</w:t>
      </w:r>
    </w:p>
    <w:p>
      <w:pPr>
        <w:snapToGrid w:val="0"/>
        <w:spacing w:line="360" w:lineRule="auto"/>
        <w:ind w:firstLine="480" w:firstLineChars="200"/>
        <w:jc w:val="left"/>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9、如验收不合格的，供应商应采取补救措施，及时处理。整改结束后，由供应商通知验收组织机构重新验收。</w:t>
      </w:r>
    </w:p>
    <w:p>
      <w:pPr>
        <w:snapToGrid w:val="0"/>
        <w:spacing w:line="360" w:lineRule="auto"/>
        <w:ind w:firstLine="480" w:firstLineChars="200"/>
        <w:jc w:val="center"/>
        <w:rPr>
          <w:rFonts w:hint="eastAsia" w:ascii="仿宋" w:hAnsi="仿宋" w:eastAsia="仿宋" w:cs="仿宋"/>
          <w:b/>
          <w:color w:val="auto"/>
          <w:sz w:val="36"/>
          <w:szCs w:val="36"/>
          <w:highlight w:val="none"/>
        </w:rPr>
      </w:pPr>
      <w:r>
        <w:rPr>
          <w:rFonts w:hint="eastAsia" w:ascii="仿宋" w:hAnsi="仿宋" w:eastAsia="仿宋" w:cs="仿宋"/>
          <w:color w:val="auto"/>
          <w:sz w:val="24"/>
          <w:highlight w:val="none"/>
          <w:u w:val="none"/>
        </w:rPr>
        <w:t>（四）未尽事宜，按《中华人民共和国政府采购法》及其实施条例、《中华人民共和国民法典》、《财政部关于进一步加强政府采购需求和履约验收管理的指导意见》（财库〔2016〕205号）、《浙江省财政厅关于印发浙江省政府采购合同暂行办法的通知》（浙财采监〔2017〕11号）、《温州市政府采购履约验收办法》（温财采〔2020〕6号）等相关法律法规、规定执行。</w:t>
      </w:r>
      <w:r>
        <w:rPr>
          <w:rFonts w:hint="eastAsia" w:ascii="仿宋" w:hAnsi="仿宋" w:eastAsia="仿宋" w:cs="仿宋"/>
          <w:b/>
          <w:color w:val="auto"/>
          <w:sz w:val="24"/>
          <w:highlight w:val="none"/>
        </w:rPr>
        <w:br w:type="page"/>
      </w:r>
      <w:bookmarkStart w:id="54" w:name="_Toc23043"/>
      <w:r>
        <w:rPr>
          <w:rStyle w:val="83"/>
          <w:rFonts w:hint="eastAsia" w:ascii="仿宋" w:eastAsia="仿宋" w:cs="仿宋"/>
          <w:color w:val="auto"/>
          <w:highlight w:val="none"/>
        </w:rPr>
        <w:t xml:space="preserve">第四部分   </w:t>
      </w:r>
      <w:bookmarkStart w:id="55" w:name="_Toc184308098"/>
      <w:bookmarkEnd w:id="55"/>
      <w:bookmarkStart w:id="56" w:name="_Toc184313265"/>
      <w:bookmarkEnd w:id="56"/>
      <w:bookmarkStart w:id="57" w:name="_Toc184313310"/>
      <w:bookmarkEnd w:id="57"/>
      <w:bookmarkStart w:id="58" w:name="_Toc184314438"/>
      <w:bookmarkEnd w:id="58"/>
      <w:bookmarkStart w:id="59" w:name="_Toc184314477"/>
      <w:bookmarkEnd w:id="59"/>
      <w:bookmarkStart w:id="60" w:name="_Toc184313304"/>
      <w:bookmarkEnd w:id="60"/>
      <w:bookmarkStart w:id="61" w:name="_Toc184312071"/>
      <w:bookmarkEnd w:id="61"/>
      <w:bookmarkStart w:id="62" w:name="_Toc184313257"/>
      <w:bookmarkEnd w:id="62"/>
      <w:bookmarkStart w:id="63" w:name="_Toc184308048"/>
      <w:bookmarkEnd w:id="63"/>
      <w:bookmarkStart w:id="64" w:name="_Toc184314462"/>
      <w:bookmarkEnd w:id="64"/>
      <w:bookmarkStart w:id="65" w:name="_Toc184312068"/>
      <w:bookmarkEnd w:id="65"/>
      <w:bookmarkStart w:id="66" w:name="_Toc184313244"/>
      <w:bookmarkEnd w:id="66"/>
      <w:bookmarkStart w:id="67" w:name="_Toc184308067"/>
      <w:bookmarkEnd w:id="67"/>
      <w:bookmarkStart w:id="68" w:name="_Toc184312106"/>
      <w:bookmarkEnd w:id="68"/>
      <w:bookmarkStart w:id="69" w:name="_Toc184310273"/>
      <w:bookmarkEnd w:id="69"/>
      <w:bookmarkStart w:id="70" w:name="_Toc184308105"/>
      <w:bookmarkEnd w:id="70"/>
      <w:bookmarkStart w:id="71" w:name="_Toc184313242"/>
      <w:bookmarkEnd w:id="71"/>
      <w:bookmarkStart w:id="72" w:name="_Toc184313269"/>
      <w:bookmarkEnd w:id="72"/>
      <w:bookmarkStart w:id="73" w:name="_Toc184312087"/>
      <w:bookmarkEnd w:id="73"/>
      <w:bookmarkStart w:id="74" w:name="_Toc184308039"/>
      <w:bookmarkEnd w:id="74"/>
      <w:bookmarkStart w:id="75" w:name="_Toc184308082"/>
      <w:bookmarkEnd w:id="75"/>
      <w:bookmarkStart w:id="76" w:name="_Toc184308103"/>
      <w:bookmarkEnd w:id="76"/>
      <w:bookmarkStart w:id="77" w:name="_Toc184308041"/>
      <w:bookmarkEnd w:id="77"/>
      <w:bookmarkStart w:id="78" w:name="_Toc184312129"/>
      <w:bookmarkEnd w:id="78"/>
      <w:bookmarkStart w:id="79" w:name="_Toc184312128"/>
      <w:bookmarkEnd w:id="79"/>
      <w:bookmarkStart w:id="80" w:name="_Toc184310280"/>
      <w:bookmarkEnd w:id="80"/>
      <w:bookmarkStart w:id="81" w:name="_Toc184312100"/>
      <w:bookmarkEnd w:id="81"/>
      <w:bookmarkStart w:id="82" w:name="_Toc184308065"/>
      <w:bookmarkEnd w:id="82"/>
      <w:bookmarkStart w:id="83" w:name="_Toc184310278"/>
      <w:bookmarkEnd w:id="83"/>
      <w:bookmarkStart w:id="84" w:name="_Toc184312136"/>
      <w:bookmarkEnd w:id="84"/>
      <w:bookmarkStart w:id="85" w:name="_Toc184313279"/>
      <w:bookmarkEnd w:id="85"/>
      <w:bookmarkStart w:id="86" w:name="_Toc184314434"/>
      <w:bookmarkEnd w:id="86"/>
      <w:bookmarkStart w:id="87" w:name="_Toc184312105"/>
      <w:bookmarkEnd w:id="87"/>
      <w:bookmarkStart w:id="88" w:name="_Toc184310325"/>
      <w:bookmarkEnd w:id="88"/>
      <w:bookmarkStart w:id="89" w:name="_Toc184313258"/>
      <w:bookmarkEnd w:id="89"/>
      <w:bookmarkStart w:id="90" w:name="_Toc184313254"/>
      <w:bookmarkEnd w:id="90"/>
      <w:bookmarkStart w:id="91" w:name="_Toc184314473"/>
      <w:bookmarkEnd w:id="91"/>
      <w:bookmarkStart w:id="92" w:name="_Toc184310309"/>
      <w:bookmarkEnd w:id="92"/>
      <w:bookmarkStart w:id="93" w:name="_Toc184308096"/>
      <w:bookmarkEnd w:id="93"/>
      <w:bookmarkStart w:id="94" w:name="_Toc184308094"/>
      <w:bookmarkEnd w:id="94"/>
      <w:bookmarkStart w:id="95" w:name="_Toc184308055"/>
      <w:bookmarkEnd w:id="95"/>
      <w:bookmarkStart w:id="96" w:name="_Toc184308051"/>
      <w:bookmarkEnd w:id="96"/>
      <w:bookmarkStart w:id="97" w:name="_Toc184314412"/>
      <w:bookmarkEnd w:id="97"/>
      <w:bookmarkStart w:id="98" w:name="_Toc184308070"/>
      <w:bookmarkEnd w:id="98"/>
      <w:bookmarkStart w:id="99" w:name="_Toc184312098"/>
      <w:bookmarkEnd w:id="99"/>
      <w:bookmarkStart w:id="100" w:name="_Toc184308106"/>
      <w:bookmarkEnd w:id="100"/>
      <w:bookmarkStart w:id="101" w:name="_Toc184313288"/>
      <w:bookmarkEnd w:id="101"/>
      <w:bookmarkStart w:id="102" w:name="_Toc184313298"/>
      <w:bookmarkEnd w:id="102"/>
      <w:bookmarkStart w:id="103" w:name="_Toc184312115"/>
      <w:bookmarkEnd w:id="103"/>
      <w:bookmarkStart w:id="104" w:name="_Toc184313295"/>
      <w:bookmarkEnd w:id="104"/>
      <w:bookmarkStart w:id="105" w:name="_Toc184312110"/>
      <w:bookmarkEnd w:id="105"/>
      <w:bookmarkStart w:id="106" w:name="_Toc184308040"/>
      <w:bookmarkEnd w:id="106"/>
      <w:bookmarkStart w:id="107" w:name="_Toc184314471"/>
      <w:bookmarkEnd w:id="107"/>
      <w:bookmarkStart w:id="108" w:name="_Toc184310344"/>
      <w:bookmarkEnd w:id="108"/>
      <w:bookmarkStart w:id="109" w:name="_Toc184310342"/>
      <w:bookmarkEnd w:id="109"/>
      <w:bookmarkStart w:id="110" w:name="_Toc184314464"/>
      <w:bookmarkEnd w:id="110"/>
      <w:bookmarkStart w:id="111" w:name="_Toc184312069"/>
      <w:bookmarkEnd w:id="111"/>
      <w:bookmarkStart w:id="112" w:name="_Toc184313240"/>
      <w:bookmarkEnd w:id="112"/>
      <w:bookmarkStart w:id="113" w:name="_Toc184308060"/>
      <w:bookmarkEnd w:id="113"/>
      <w:bookmarkStart w:id="114" w:name="_Toc184308062"/>
      <w:bookmarkEnd w:id="114"/>
      <w:bookmarkStart w:id="115" w:name="_Toc184308044"/>
      <w:bookmarkEnd w:id="115"/>
      <w:bookmarkStart w:id="116" w:name="_Toc184308056"/>
      <w:bookmarkEnd w:id="116"/>
      <w:bookmarkStart w:id="117" w:name="_Toc184312075"/>
      <w:bookmarkEnd w:id="117"/>
      <w:bookmarkStart w:id="118" w:name="_Toc184312134"/>
      <w:bookmarkEnd w:id="118"/>
      <w:bookmarkStart w:id="119" w:name="_Toc184310310"/>
      <w:bookmarkEnd w:id="119"/>
      <w:bookmarkStart w:id="120" w:name="_Toc184314466"/>
      <w:bookmarkEnd w:id="120"/>
      <w:bookmarkStart w:id="121" w:name="_Toc184313271"/>
      <w:bookmarkEnd w:id="121"/>
      <w:bookmarkStart w:id="122" w:name="_Toc184314455"/>
      <w:bookmarkEnd w:id="122"/>
      <w:bookmarkStart w:id="123" w:name="_Toc184313285"/>
      <w:bookmarkEnd w:id="123"/>
      <w:bookmarkStart w:id="124" w:name="_Toc184312139"/>
      <w:bookmarkEnd w:id="124"/>
      <w:bookmarkStart w:id="125" w:name="_Toc184312077"/>
      <w:bookmarkEnd w:id="125"/>
      <w:bookmarkStart w:id="126" w:name="_Toc184310274"/>
      <w:bookmarkEnd w:id="126"/>
      <w:bookmarkStart w:id="127" w:name="_Toc184314478"/>
      <w:bookmarkEnd w:id="127"/>
      <w:bookmarkStart w:id="128" w:name="_Toc184310322"/>
      <w:bookmarkEnd w:id="128"/>
      <w:bookmarkStart w:id="129" w:name="_Toc184308053"/>
      <w:bookmarkEnd w:id="129"/>
      <w:bookmarkStart w:id="130" w:name="_Toc184308075"/>
      <w:bookmarkEnd w:id="130"/>
      <w:bookmarkStart w:id="131" w:name="_Toc184310327"/>
      <w:bookmarkEnd w:id="131"/>
      <w:bookmarkStart w:id="132" w:name="_Toc184308089"/>
      <w:bookmarkEnd w:id="132"/>
      <w:bookmarkStart w:id="133" w:name="_Toc184310324"/>
      <w:bookmarkEnd w:id="133"/>
      <w:bookmarkStart w:id="134" w:name="_Toc184313307"/>
      <w:bookmarkEnd w:id="134"/>
      <w:bookmarkStart w:id="135" w:name="_Toc184308069"/>
      <w:bookmarkEnd w:id="135"/>
      <w:bookmarkStart w:id="136" w:name="_Toc184310338"/>
      <w:bookmarkEnd w:id="136"/>
      <w:bookmarkStart w:id="137" w:name="_Toc184314453"/>
      <w:bookmarkEnd w:id="137"/>
      <w:bookmarkStart w:id="138" w:name="_Toc184310308"/>
      <w:bookmarkEnd w:id="138"/>
      <w:bookmarkStart w:id="139" w:name="_Toc184312097"/>
      <w:bookmarkEnd w:id="139"/>
      <w:bookmarkStart w:id="140" w:name="_Toc184308038"/>
      <w:bookmarkEnd w:id="140"/>
      <w:bookmarkStart w:id="141" w:name="_Toc184310343"/>
      <w:bookmarkEnd w:id="141"/>
      <w:bookmarkStart w:id="142" w:name="_Toc184312080"/>
      <w:bookmarkEnd w:id="142"/>
      <w:bookmarkStart w:id="143" w:name="_Toc184312079"/>
      <w:bookmarkEnd w:id="143"/>
      <w:bookmarkStart w:id="144" w:name="_Toc184310302"/>
      <w:bookmarkEnd w:id="144"/>
      <w:bookmarkStart w:id="145" w:name="_Toc184312076"/>
      <w:bookmarkEnd w:id="145"/>
      <w:bookmarkStart w:id="146" w:name="_Toc184310334"/>
      <w:bookmarkEnd w:id="146"/>
      <w:bookmarkStart w:id="147" w:name="_Toc184313290"/>
      <w:bookmarkEnd w:id="147"/>
      <w:bookmarkStart w:id="148" w:name="_Toc184313286"/>
      <w:bookmarkEnd w:id="148"/>
      <w:bookmarkStart w:id="149" w:name="_Toc184313278"/>
      <w:bookmarkEnd w:id="149"/>
      <w:bookmarkStart w:id="150" w:name="_Toc184314418"/>
      <w:bookmarkEnd w:id="150"/>
      <w:bookmarkStart w:id="151" w:name="_Toc184312082"/>
      <w:bookmarkEnd w:id="151"/>
      <w:bookmarkStart w:id="152" w:name="_Toc184308061"/>
      <w:bookmarkEnd w:id="152"/>
      <w:bookmarkStart w:id="153" w:name="_Toc184310328"/>
      <w:bookmarkEnd w:id="153"/>
      <w:bookmarkStart w:id="154" w:name="_Toc184308101"/>
      <w:bookmarkEnd w:id="154"/>
      <w:bookmarkStart w:id="155" w:name="_Toc184314448"/>
      <w:bookmarkEnd w:id="155"/>
      <w:bookmarkStart w:id="156" w:name="_Toc184310275"/>
      <w:bookmarkEnd w:id="156"/>
      <w:bookmarkStart w:id="157" w:name="_Toc184310321"/>
      <w:bookmarkEnd w:id="157"/>
      <w:bookmarkStart w:id="158" w:name="_Toc184308081"/>
      <w:bookmarkEnd w:id="158"/>
      <w:bookmarkStart w:id="159" w:name="_Toc184314426"/>
      <w:bookmarkEnd w:id="159"/>
      <w:bookmarkStart w:id="160" w:name="_Toc184314482"/>
      <w:bookmarkEnd w:id="160"/>
      <w:bookmarkStart w:id="161" w:name="_Toc184313260"/>
      <w:bookmarkEnd w:id="161"/>
      <w:bookmarkStart w:id="162" w:name="_Toc184313262"/>
      <w:bookmarkEnd w:id="162"/>
      <w:bookmarkStart w:id="163" w:name="_Toc184314469"/>
      <w:bookmarkEnd w:id="163"/>
      <w:bookmarkStart w:id="164" w:name="_Toc184312095"/>
      <w:bookmarkEnd w:id="164"/>
      <w:bookmarkStart w:id="165" w:name="_Toc184313289"/>
      <w:bookmarkEnd w:id="165"/>
      <w:bookmarkStart w:id="166" w:name="_Toc184310303"/>
      <w:bookmarkEnd w:id="166"/>
      <w:bookmarkStart w:id="167" w:name="_Toc184314461"/>
      <w:bookmarkEnd w:id="167"/>
      <w:bookmarkStart w:id="168" w:name="_Toc184308064"/>
      <w:bookmarkEnd w:id="168"/>
      <w:bookmarkStart w:id="169" w:name="_Toc184314446"/>
      <w:bookmarkEnd w:id="169"/>
      <w:bookmarkStart w:id="170" w:name="_Toc184310277"/>
      <w:bookmarkEnd w:id="170"/>
      <w:bookmarkStart w:id="171" w:name="_Toc184308088"/>
      <w:bookmarkEnd w:id="171"/>
      <w:bookmarkStart w:id="172" w:name="_Toc184314456"/>
      <w:bookmarkEnd w:id="172"/>
      <w:bookmarkStart w:id="173" w:name="_Toc184313272"/>
      <w:bookmarkEnd w:id="173"/>
      <w:bookmarkStart w:id="174" w:name="_Toc184314467"/>
      <w:bookmarkEnd w:id="174"/>
      <w:bookmarkStart w:id="175" w:name="_Toc184312135"/>
      <w:bookmarkEnd w:id="175"/>
      <w:bookmarkStart w:id="176" w:name="_Toc184313305"/>
      <w:bookmarkEnd w:id="176"/>
      <w:bookmarkStart w:id="177" w:name="_Toc184313266"/>
      <w:bookmarkEnd w:id="177"/>
      <w:bookmarkStart w:id="178" w:name="_Toc184314459"/>
      <w:bookmarkEnd w:id="178"/>
      <w:bookmarkStart w:id="179" w:name="_Toc184312094"/>
      <w:bookmarkEnd w:id="179"/>
      <w:bookmarkStart w:id="180" w:name="_Toc184310313"/>
      <w:bookmarkEnd w:id="180"/>
      <w:bookmarkStart w:id="181" w:name="_Toc184313241"/>
      <w:bookmarkEnd w:id="181"/>
      <w:bookmarkStart w:id="182" w:name="_Toc184313300"/>
      <w:bookmarkEnd w:id="182"/>
      <w:bookmarkStart w:id="183" w:name="_Toc184308080"/>
      <w:bookmarkEnd w:id="183"/>
      <w:bookmarkStart w:id="184" w:name="_Toc184308074"/>
      <w:bookmarkEnd w:id="184"/>
      <w:bookmarkStart w:id="185" w:name="_Toc184312091"/>
      <w:bookmarkEnd w:id="185"/>
      <w:bookmarkStart w:id="186" w:name="_Toc184310288"/>
      <w:bookmarkEnd w:id="186"/>
      <w:bookmarkStart w:id="187" w:name="_Toc184310293"/>
      <w:bookmarkEnd w:id="187"/>
      <w:bookmarkStart w:id="188" w:name="_Toc184313239"/>
      <w:bookmarkEnd w:id="188"/>
      <w:bookmarkStart w:id="189" w:name="_Toc184314425"/>
      <w:bookmarkEnd w:id="189"/>
      <w:bookmarkStart w:id="190" w:name="_Toc184312111"/>
      <w:bookmarkEnd w:id="190"/>
      <w:bookmarkStart w:id="191" w:name="_Toc184314430"/>
      <w:bookmarkEnd w:id="191"/>
      <w:bookmarkStart w:id="192" w:name="_Toc184308090"/>
      <w:bookmarkEnd w:id="192"/>
      <w:bookmarkStart w:id="193" w:name="_Toc184308052"/>
      <w:bookmarkEnd w:id="193"/>
      <w:bookmarkStart w:id="194" w:name="_Toc184314465"/>
      <w:bookmarkEnd w:id="194"/>
      <w:bookmarkStart w:id="195" w:name="_Toc184308085"/>
      <w:bookmarkEnd w:id="195"/>
      <w:bookmarkStart w:id="196" w:name="_Toc184310305"/>
      <w:bookmarkEnd w:id="196"/>
      <w:bookmarkStart w:id="197" w:name="_Toc184313264"/>
      <w:bookmarkEnd w:id="197"/>
      <w:bookmarkStart w:id="198" w:name="_Toc184308042"/>
      <w:bookmarkEnd w:id="198"/>
      <w:bookmarkStart w:id="199" w:name="_Toc184314421"/>
      <w:bookmarkEnd w:id="199"/>
      <w:bookmarkStart w:id="200" w:name="_Toc184312092"/>
      <w:bookmarkEnd w:id="200"/>
      <w:bookmarkStart w:id="201" w:name="_Toc184314420"/>
      <w:bookmarkEnd w:id="201"/>
      <w:bookmarkStart w:id="202" w:name="_Toc184312081"/>
      <w:bookmarkEnd w:id="202"/>
      <w:bookmarkStart w:id="203" w:name="_Toc184313292"/>
      <w:bookmarkEnd w:id="203"/>
      <w:bookmarkStart w:id="204" w:name="_Toc184308066"/>
      <w:bookmarkEnd w:id="204"/>
      <w:bookmarkStart w:id="205" w:name="_Toc184308073"/>
      <w:bookmarkEnd w:id="205"/>
      <w:bookmarkStart w:id="206" w:name="_Toc184312107"/>
      <w:bookmarkEnd w:id="206"/>
      <w:bookmarkStart w:id="207" w:name="_Toc184308058"/>
      <w:bookmarkEnd w:id="207"/>
      <w:bookmarkStart w:id="208" w:name="_Toc184308102"/>
      <w:bookmarkEnd w:id="208"/>
      <w:bookmarkStart w:id="209" w:name="_Toc184310333"/>
      <w:bookmarkEnd w:id="209"/>
      <w:bookmarkStart w:id="210" w:name="_Toc184310330"/>
      <w:bookmarkEnd w:id="210"/>
      <w:bookmarkStart w:id="211" w:name="_Toc184312078"/>
      <w:bookmarkEnd w:id="211"/>
      <w:bookmarkStart w:id="212" w:name="_Toc184310329"/>
      <w:bookmarkEnd w:id="212"/>
      <w:bookmarkStart w:id="213" w:name="_Toc184310286"/>
      <w:bookmarkEnd w:id="213"/>
      <w:bookmarkStart w:id="214" w:name="_Toc184312084"/>
      <w:bookmarkEnd w:id="214"/>
      <w:bookmarkStart w:id="215" w:name="_Toc184313248"/>
      <w:bookmarkEnd w:id="215"/>
      <w:bookmarkStart w:id="216" w:name="_Toc184308100"/>
      <w:bookmarkEnd w:id="216"/>
      <w:bookmarkStart w:id="217" w:name="_Toc184313282"/>
      <w:bookmarkEnd w:id="217"/>
      <w:bookmarkStart w:id="218" w:name="_Toc184310317"/>
      <w:bookmarkEnd w:id="218"/>
      <w:bookmarkStart w:id="219" w:name="_Toc184310340"/>
      <w:bookmarkEnd w:id="219"/>
      <w:bookmarkStart w:id="220" w:name="_Toc184308087"/>
      <w:bookmarkEnd w:id="220"/>
      <w:bookmarkStart w:id="221" w:name="_Toc184314415"/>
      <w:bookmarkEnd w:id="221"/>
      <w:bookmarkStart w:id="222" w:name="_Toc184313259"/>
      <w:bookmarkEnd w:id="222"/>
      <w:bookmarkStart w:id="223" w:name="_Toc184314470"/>
      <w:bookmarkEnd w:id="223"/>
      <w:bookmarkStart w:id="224" w:name="_Toc184313293"/>
      <w:bookmarkEnd w:id="224"/>
      <w:bookmarkStart w:id="225" w:name="_Toc184313291"/>
      <w:bookmarkEnd w:id="225"/>
      <w:bookmarkStart w:id="226" w:name="_Toc184310337"/>
      <w:bookmarkEnd w:id="226"/>
      <w:bookmarkStart w:id="227" w:name="_Toc184313276"/>
      <w:bookmarkEnd w:id="227"/>
      <w:bookmarkStart w:id="228" w:name="_Toc184313238"/>
      <w:bookmarkEnd w:id="228"/>
      <w:bookmarkStart w:id="229" w:name="_Toc184314423"/>
      <w:bookmarkEnd w:id="229"/>
      <w:bookmarkStart w:id="230" w:name="_Toc184312074"/>
      <w:bookmarkEnd w:id="230"/>
      <w:bookmarkStart w:id="231" w:name="_Toc184312130"/>
      <w:bookmarkEnd w:id="231"/>
      <w:bookmarkStart w:id="232" w:name="_Toc184313251"/>
      <w:bookmarkEnd w:id="232"/>
      <w:bookmarkStart w:id="233" w:name="_Toc184313280"/>
      <w:bookmarkEnd w:id="233"/>
      <w:bookmarkStart w:id="234" w:name="_Toc184308078"/>
      <w:bookmarkEnd w:id="234"/>
      <w:bookmarkStart w:id="235" w:name="_Toc184308054"/>
      <w:bookmarkEnd w:id="235"/>
      <w:bookmarkStart w:id="236" w:name="_Toc184310306"/>
      <w:bookmarkEnd w:id="236"/>
      <w:bookmarkStart w:id="237" w:name="_Toc184313299"/>
      <w:bookmarkEnd w:id="237"/>
      <w:bookmarkStart w:id="238" w:name="_Toc184313249"/>
      <w:bookmarkEnd w:id="238"/>
      <w:bookmarkStart w:id="239" w:name="_Toc184308043"/>
      <w:bookmarkEnd w:id="239"/>
      <w:bookmarkStart w:id="240" w:name="_Toc184312117"/>
      <w:bookmarkEnd w:id="240"/>
      <w:bookmarkStart w:id="241" w:name="_Toc184314424"/>
      <w:bookmarkEnd w:id="241"/>
      <w:bookmarkStart w:id="242" w:name="_Toc184310320"/>
      <w:bookmarkEnd w:id="242"/>
      <w:bookmarkStart w:id="243" w:name="_Toc184308108"/>
      <w:bookmarkEnd w:id="243"/>
      <w:bookmarkStart w:id="244" w:name="_Toc184308104"/>
      <w:bookmarkEnd w:id="244"/>
      <w:bookmarkStart w:id="245" w:name="_Toc184308097"/>
      <w:bookmarkEnd w:id="245"/>
      <w:bookmarkStart w:id="246" w:name="_Toc184310285"/>
      <w:bookmarkEnd w:id="246"/>
      <w:bookmarkStart w:id="247" w:name="_Toc184308036"/>
      <w:bookmarkEnd w:id="247"/>
      <w:bookmarkStart w:id="248" w:name="_Toc184310336"/>
      <w:bookmarkEnd w:id="248"/>
      <w:bookmarkStart w:id="249" w:name="_Toc184313301"/>
      <w:bookmarkEnd w:id="249"/>
      <w:bookmarkStart w:id="250" w:name="_Toc184313250"/>
      <w:bookmarkEnd w:id="250"/>
      <w:bookmarkStart w:id="251" w:name="_Toc184312123"/>
      <w:bookmarkEnd w:id="251"/>
      <w:bookmarkStart w:id="252" w:name="_Toc184308068"/>
      <w:bookmarkEnd w:id="252"/>
      <w:bookmarkStart w:id="253" w:name="_Toc184312132"/>
      <w:bookmarkEnd w:id="253"/>
      <w:bookmarkStart w:id="254" w:name="_Toc184313294"/>
      <w:bookmarkEnd w:id="254"/>
      <w:bookmarkStart w:id="255" w:name="_Toc184314444"/>
      <w:bookmarkEnd w:id="255"/>
      <w:bookmarkStart w:id="256" w:name="_Toc184312108"/>
      <w:bookmarkEnd w:id="256"/>
      <w:bookmarkStart w:id="257" w:name="_Toc184308091"/>
      <w:bookmarkEnd w:id="257"/>
      <w:bookmarkStart w:id="258" w:name="_Toc184314443"/>
      <w:bookmarkEnd w:id="258"/>
      <w:bookmarkStart w:id="259" w:name="_Toc184310319"/>
      <w:bookmarkEnd w:id="259"/>
      <w:bookmarkStart w:id="260" w:name="_Toc184313309"/>
      <w:bookmarkEnd w:id="260"/>
      <w:bookmarkStart w:id="261" w:name="_Toc184314457"/>
      <w:bookmarkEnd w:id="261"/>
      <w:bookmarkStart w:id="262" w:name="_Toc184308063"/>
      <w:bookmarkEnd w:id="262"/>
      <w:bookmarkStart w:id="263" w:name="_Toc184314436"/>
      <w:bookmarkEnd w:id="263"/>
      <w:bookmarkStart w:id="264" w:name="_Toc184310332"/>
      <w:bookmarkEnd w:id="264"/>
      <w:bookmarkStart w:id="265" w:name="_Toc184308092"/>
      <w:bookmarkEnd w:id="265"/>
      <w:bookmarkStart w:id="266" w:name="_Toc184308086"/>
      <w:bookmarkEnd w:id="266"/>
      <w:bookmarkStart w:id="267" w:name="_Toc184308071"/>
      <w:bookmarkEnd w:id="267"/>
      <w:bookmarkStart w:id="268" w:name="_Toc184312138"/>
      <w:bookmarkEnd w:id="268"/>
      <w:bookmarkStart w:id="269" w:name="_Toc184310276"/>
      <w:bookmarkEnd w:id="269"/>
      <w:bookmarkStart w:id="270" w:name="_Toc184308050"/>
      <w:bookmarkEnd w:id="270"/>
      <w:bookmarkStart w:id="271" w:name="_Toc184314429"/>
      <w:bookmarkEnd w:id="271"/>
      <w:bookmarkStart w:id="272" w:name="_Toc184308107"/>
      <w:bookmarkEnd w:id="272"/>
      <w:bookmarkStart w:id="273" w:name="_Toc184313261"/>
      <w:bookmarkEnd w:id="273"/>
      <w:bookmarkStart w:id="274" w:name="_Toc184314480"/>
      <w:bookmarkEnd w:id="274"/>
      <w:bookmarkStart w:id="275" w:name="_Toc184312109"/>
      <w:bookmarkEnd w:id="275"/>
      <w:bookmarkStart w:id="276" w:name="_Toc184313306"/>
      <w:bookmarkEnd w:id="276"/>
      <w:bookmarkStart w:id="277" w:name="_Toc184310281"/>
      <w:bookmarkEnd w:id="277"/>
      <w:bookmarkStart w:id="278" w:name="_Toc184312070"/>
      <w:bookmarkEnd w:id="278"/>
      <w:bookmarkStart w:id="279" w:name="_Toc184313267"/>
      <w:bookmarkEnd w:id="279"/>
      <w:bookmarkStart w:id="280" w:name="_Toc184312101"/>
      <w:bookmarkEnd w:id="280"/>
      <w:bookmarkStart w:id="281" w:name="_Toc184313303"/>
      <w:bookmarkEnd w:id="281"/>
      <w:bookmarkStart w:id="282" w:name="_Toc184310279"/>
      <w:bookmarkEnd w:id="282"/>
      <w:bookmarkStart w:id="283" w:name="_Toc184312085"/>
      <w:bookmarkEnd w:id="283"/>
      <w:bookmarkStart w:id="284" w:name="_Toc184308076"/>
      <w:bookmarkEnd w:id="284"/>
      <w:bookmarkStart w:id="285" w:name="_Toc184312137"/>
      <w:bookmarkEnd w:id="285"/>
      <w:bookmarkStart w:id="286" w:name="_Toc184308046"/>
      <w:bookmarkEnd w:id="286"/>
      <w:bookmarkStart w:id="287" w:name="_Toc184310339"/>
      <w:bookmarkEnd w:id="287"/>
      <w:bookmarkStart w:id="288" w:name="_Toc184312072"/>
      <w:bookmarkEnd w:id="288"/>
      <w:bookmarkStart w:id="289" w:name="_Toc184313297"/>
      <w:bookmarkEnd w:id="289"/>
      <w:bookmarkStart w:id="290" w:name="_Toc184314458"/>
      <w:bookmarkEnd w:id="290"/>
      <w:bookmarkStart w:id="291" w:name="_Toc184310290"/>
      <w:bookmarkEnd w:id="291"/>
      <w:bookmarkStart w:id="292" w:name="_Toc184314460"/>
      <w:bookmarkEnd w:id="292"/>
      <w:bookmarkStart w:id="293" w:name="_Toc184310301"/>
      <w:bookmarkEnd w:id="293"/>
      <w:bookmarkStart w:id="294" w:name="_Toc184312126"/>
      <w:bookmarkEnd w:id="294"/>
      <w:bookmarkStart w:id="295" w:name="_Toc184313302"/>
      <w:bookmarkEnd w:id="295"/>
      <w:bookmarkStart w:id="296" w:name="_Toc184313296"/>
      <w:bookmarkEnd w:id="296"/>
      <w:bookmarkStart w:id="297" w:name="_Toc184312121"/>
      <w:bookmarkEnd w:id="297"/>
      <w:bookmarkStart w:id="298" w:name="_Toc184310292"/>
      <w:bookmarkEnd w:id="298"/>
      <w:bookmarkStart w:id="299" w:name="_Toc184314442"/>
      <w:bookmarkEnd w:id="299"/>
      <w:bookmarkStart w:id="300" w:name="_Toc184313270"/>
      <w:bookmarkEnd w:id="300"/>
      <w:bookmarkStart w:id="301" w:name="_Toc184313275"/>
      <w:bookmarkEnd w:id="301"/>
      <w:bookmarkStart w:id="302" w:name="_Toc184312133"/>
      <w:bookmarkEnd w:id="302"/>
      <w:bookmarkStart w:id="303" w:name="_Toc184312127"/>
      <w:bookmarkEnd w:id="303"/>
      <w:bookmarkStart w:id="304" w:name="_Toc184313287"/>
      <w:bookmarkEnd w:id="304"/>
      <w:bookmarkStart w:id="305" w:name="_Toc184310335"/>
      <w:bookmarkEnd w:id="305"/>
      <w:bookmarkStart w:id="306" w:name="_Toc184312112"/>
      <w:bookmarkEnd w:id="306"/>
      <w:bookmarkStart w:id="307" w:name="_Toc184314433"/>
      <w:bookmarkEnd w:id="307"/>
      <w:bookmarkStart w:id="308" w:name="_Toc184313308"/>
      <w:bookmarkEnd w:id="308"/>
      <w:bookmarkStart w:id="309" w:name="_Toc184314451"/>
      <w:bookmarkEnd w:id="309"/>
      <w:bookmarkStart w:id="310" w:name="_Toc184310295"/>
      <w:bookmarkEnd w:id="310"/>
      <w:bookmarkStart w:id="311" w:name="_Toc184313273"/>
      <w:bookmarkEnd w:id="311"/>
      <w:bookmarkStart w:id="312" w:name="_Toc184314452"/>
      <w:bookmarkEnd w:id="312"/>
      <w:bookmarkStart w:id="313" w:name="_Toc184310284"/>
      <w:bookmarkEnd w:id="313"/>
      <w:bookmarkStart w:id="314" w:name="_Toc184310316"/>
      <w:bookmarkEnd w:id="314"/>
      <w:bookmarkStart w:id="315" w:name="_Toc184310307"/>
      <w:bookmarkEnd w:id="315"/>
      <w:bookmarkStart w:id="316" w:name="_Toc184312083"/>
      <w:bookmarkEnd w:id="316"/>
      <w:bookmarkStart w:id="317" w:name="_Toc184310326"/>
      <w:bookmarkEnd w:id="317"/>
      <w:bookmarkStart w:id="318" w:name="_Toc184314476"/>
      <w:bookmarkEnd w:id="318"/>
      <w:bookmarkStart w:id="319" w:name="_Toc184310299"/>
      <w:bookmarkEnd w:id="319"/>
      <w:bookmarkStart w:id="320" w:name="_Toc184308084"/>
      <w:bookmarkEnd w:id="320"/>
      <w:bookmarkStart w:id="321" w:name="_Toc184313246"/>
      <w:bookmarkEnd w:id="321"/>
      <w:bookmarkStart w:id="322" w:name="_Toc184310304"/>
      <w:bookmarkEnd w:id="322"/>
      <w:bookmarkStart w:id="323" w:name="_Toc184310331"/>
      <w:bookmarkEnd w:id="323"/>
      <w:bookmarkStart w:id="324" w:name="_Toc184314479"/>
      <w:bookmarkEnd w:id="324"/>
      <w:bookmarkStart w:id="325" w:name="_Toc184310341"/>
      <w:bookmarkEnd w:id="325"/>
      <w:bookmarkStart w:id="326" w:name="_Toc184312096"/>
      <w:bookmarkEnd w:id="326"/>
      <w:bookmarkStart w:id="327" w:name="_Toc184312086"/>
      <w:bookmarkEnd w:id="327"/>
      <w:bookmarkStart w:id="328" w:name="_Toc184308057"/>
      <w:bookmarkEnd w:id="328"/>
      <w:bookmarkStart w:id="329" w:name="_Toc184308045"/>
      <w:bookmarkEnd w:id="329"/>
      <w:bookmarkStart w:id="330" w:name="_Toc184312118"/>
      <w:bookmarkEnd w:id="330"/>
      <w:bookmarkStart w:id="331" w:name="_Toc184312113"/>
      <w:bookmarkEnd w:id="331"/>
      <w:bookmarkStart w:id="332" w:name="_Toc184314450"/>
      <w:bookmarkEnd w:id="332"/>
      <w:bookmarkStart w:id="333" w:name="_Toc184314422"/>
      <w:bookmarkEnd w:id="333"/>
      <w:bookmarkStart w:id="334" w:name="_Toc184312125"/>
      <w:bookmarkEnd w:id="334"/>
      <w:bookmarkStart w:id="335" w:name="_Toc184313247"/>
      <w:bookmarkEnd w:id="335"/>
      <w:bookmarkStart w:id="336" w:name="_Toc184308095"/>
      <w:bookmarkEnd w:id="336"/>
      <w:bookmarkStart w:id="337" w:name="_Toc184312088"/>
      <w:bookmarkEnd w:id="337"/>
      <w:bookmarkStart w:id="338" w:name="_Toc184312122"/>
      <w:bookmarkEnd w:id="338"/>
      <w:bookmarkStart w:id="339" w:name="_Toc184310315"/>
      <w:bookmarkEnd w:id="339"/>
      <w:bookmarkStart w:id="340" w:name="_Toc184312120"/>
      <w:bookmarkEnd w:id="340"/>
      <w:bookmarkStart w:id="341" w:name="_Toc184310297"/>
      <w:bookmarkEnd w:id="341"/>
      <w:bookmarkStart w:id="342" w:name="_Toc184308093"/>
      <w:bookmarkEnd w:id="342"/>
      <w:bookmarkStart w:id="343" w:name="_Toc184308099"/>
      <w:bookmarkEnd w:id="343"/>
      <w:bookmarkStart w:id="344" w:name="_Toc184308072"/>
      <w:bookmarkEnd w:id="344"/>
      <w:bookmarkStart w:id="345" w:name="_Toc184312089"/>
      <w:bookmarkEnd w:id="345"/>
      <w:bookmarkStart w:id="346" w:name="_Toc184314468"/>
      <w:bookmarkEnd w:id="346"/>
      <w:bookmarkStart w:id="347" w:name="_Toc184313268"/>
      <w:bookmarkEnd w:id="347"/>
      <w:bookmarkStart w:id="348" w:name="_Toc184312099"/>
      <w:bookmarkEnd w:id="348"/>
      <w:bookmarkStart w:id="349" w:name="_Toc184310298"/>
      <w:bookmarkEnd w:id="349"/>
      <w:bookmarkStart w:id="350" w:name="_Toc184310314"/>
      <w:bookmarkEnd w:id="350"/>
      <w:bookmarkStart w:id="351" w:name="_Toc184312093"/>
      <w:bookmarkEnd w:id="351"/>
      <w:bookmarkStart w:id="352" w:name="_Toc184312131"/>
      <w:bookmarkEnd w:id="352"/>
      <w:bookmarkStart w:id="353" w:name="_Toc184314440"/>
      <w:bookmarkEnd w:id="353"/>
      <w:bookmarkStart w:id="354" w:name="_Toc184308047"/>
      <w:bookmarkEnd w:id="354"/>
      <w:bookmarkStart w:id="355" w:name="_Toc184312119"/>
      <w:bookmarkEnd w:id="355"/>
      <w:bookmarkStart w:id="356" w:name="_Toc184314410"/>
      <w:bookmarkEnd w:id="356"/>
      <w:bookmarkStart w:id="357" w:name="_Toc184310300"/>
      <w:bookmarkEnd w:id="357"/>
      <w:bookmarkStart w:id="358" w:name="_Toc184313256"/>
      <w:bookmarkEnd w:id="358"/>
      <w:bookmarkStart w:id="359" w:name="_Toc184310296"/>
      <w:bookmarkEnd w:id="359"/>
      <w:bookmarkStart w:id="360" w:name="_Toc184310323"/>
      <w:bookmarkEnd w:id="360"/>
      <w:bookmarkStart w:id="361" w:name="_Toc184313263"/>
      <w:bookmarkEnd w:id="361"/>
      <w:bookmarkStart w:id="362" w:name="_Toc184314447"/>
      <w:bookmarkEnd w:id="362"/>
      <w:bookmarkStart w:id="363" w:name="_Toc184313245"/>
      <w:bookmarkEnd w:id="363"/>
      <w:bookmarkStart w:id="364" w:name="_Toc184314441"/>
      <w:bookmarkEnd w:id="364"/>
      <w:bookmarkStart w:id="365" w:name="_Toc184313277"/>
      <w:bookmarkEnd w:id="365"/>
      <w:bookmarkStart w:id="366" w:name="_Toc184314414"/>
      <w:bookmarkEnd w:id="366"/>
      <w:bookmarkStart w:id="367" w:name="_Toc184314417"/>
      <w:bookmarkEnd w:id="367"/>
      <w:bookmarkStart w:id="368" w:name="_Toc184314474"/>
      <w:bookmarkEnd w:id="368"/>
      <w:bookmarkStart w:id="369" w:name="_Toc184310294"/>
      <w:bookmarkEnd w:id="369"/>
      <w:bookmarkStart w:id="370" w:name="_Toc184314431"/>
      <w:bookmarkEnd w:id="370"/>
      <w:bookmarkStart w:id="371" w:name="_Toc184313253"/>
      <w:bookmarkEnd w:id="371"/>
      <w:bookmarkStart w:id="372" w:name="_Toc184312103"/>
      <w:bookmarkEnd w:id="372"/>
      <w:bookmarkStart w:id="373" w:name="_Toc184313243"/>
      <w:bookmarkEnd w:id="373"/>
      <w:bookmarkStart w:id="374" w:name="_Toc184314454"/>
      <w:bookmarkEnd w:id="374"/>
      <w:bookmarkStart w:id="375" w:name="_Toc184314428"/>
      <w:bookmarkEnd w:id="375"/>
      <w:bookmarkStart w:id="376" w:name="_Toc184314481"/>
      <w:bookmarkEnd w:id="376"/>
      <w:bookmarkStart w:id="377" w:name="_Toc184312073"/>
      <w:bookmarkEnd w:id="377"/>
      <w:bookmarkStart w:id="378" w:name="_Toc184313252"/>
      <w:bookmarkEnd w:id="378"/>
      <w:bookmarkStart w:id="379" w:name="_Toc184314411"/>
      <w:bookmarkEnd w:id="379"/>
      <w:bookmarkStart w:id="380" w:name="_Toc184314413"/>
      <w:bookmarkEnd w:id="380"/>
      <w:bookmarkStart w:id="381" w:name="_Toc184308083"/>
      <w:bookmarkEnd w:id="381"/>
      <w:bookmarkStart w:id="382" w:name="_Toc184313281"/>
      <w:bookmarkEnd w:id="382"/>
      <w:bookmarkStart w:id="383" w:name="_Toc184310318"/>
      <w:bookmarkEnd w:id="383"/>
      <w:bookmarkStart w:id="384" w:name="_Toc184314419"/>
      <w:bookmarkEnd w:id="384"/>
      <w:bookmarkStart w:id="385" w:name="_Toc184314432"/>
      <w:bookmarkEnd w:id="385"/>
      <w:bookmarkStart w:id="386" w:name="_Toc184314449"/>
      <w:bookmarkEnd w:id="386"/>
      <w:bookmarkStart w:id="387" w:name="_Toc184310272"/>
      <w:bookmarkEnd w:id="387"/>
      <w:bookmarkStart w:id="388" w:name="_Toc184310283"/>
      <w:bookmarkEnd w:id="388"/>
      <w:bookmarkStart w:id="389" w:name="_Toc184314435"/>
      <w:bookmarkEnd w:id="389"/>
      <w:bookmarkStart w:id="390" w:name="_Toc184314445"/>
      <w:bookmarkEnd w:id="390"/>
      <w:bookmarkStart w:id="391" w:name="_Toc184313283"/>
      <w:bookmarkEnd w:id="391"/>
      <w:bookmarkStart w:id="392" w:name="_Toc184313284"/>
      <w:bookmarkEnd w:id="392"/>
      <w:bookmarkStart w:id="393" w:name="_Toc184314416"/>
      <w:bookmarkEnd w:id="393"/>
      <w:bookmarkStart w:id="394" w:name="_Toc184312102"/>
      <w:bookmarkEnd w:id="394"/>
      <w:bookmarkStart w:id="395" w:name="_Toc184312114"/>
      <w:bookmarkEnd w:id="395"/>
      <w:bookmarkStart w:id="396" w:name="_Toc184310311"/>
      <w:bookmarkEnd w:id="396"/>
      <w:bookmarkStart w:id="397" w:name="_Toc184314437"/>
      <w:bookmarkEnd w:id="397"/>
      <w:bookmarkStart w:id="398" w:name="_Toc184310291"/>
      <w:bookmarkEnd w:id="398"/>
      <w:bookmarkStart w:id="399" w:name="_Toc184310312"/>
      <w:bookmarkEnd w:id="399"/>
      <w:bookmarkStart w:id="400" w:name="_Toc184312067"/>
      <w:bookmarkEnd w:id="400"/>
      <w:bookmarkStart w:id="401" w:name="_Toc184308049"/>
      <w:bookmarkEnd w:id="401"/>
      <w:bookmarkStart w:id="402" w:name="_Toc184308059"/>
      <w:bookmarkEnd w:id="402"/>
      <w:bookmarkStart w:id="403" w:name="_Toc184312116"/>
      <w:bookmarkEnd w:id="403"/>
      <w:bookmarkStart w:id="404" w:name="_Toc184314475"/>
      <w:bookmarkEnd w:id="404"/>
      <w:bookmarkStart w:id="405" w:name="_Toc184308079"/>
      <w:bookmarkEnd w:id="405"/>
      <w:bookmarkStart w:id="406" w:name="_Toc184314472"/>
      <w:bookmarkEnd w:id="406"/>
      <w:bookmarkStart w:id="407" w:name="_Toc184308077"/>
      <w:bookmarkEnd w:id="407"/>
      <w:bookmarkStart w:id="408" w:name="_Toc184308037"/>
      <w:bookmarkEnd w:id="408"/>
      <w:bookmarkStart w:id="409" w:name="_Toc184310287"/>
      <w:bookmarkEnd w:id="409"/>
      <w:bookmarkStart w:id="410" w:name="_Toc184310289"/>
      <w:bookmarkEnd w:id="410"/>
      <w:bookmarkStart w:id="411" w:name="_Toc184312090"/>
      <w:bookmarkEnd w:id="411"/>
      <w:bookmarkStart w:id="412" w:name="_Toc184314463"/>
      <w:bookmarkEnd w:id="412"/>
      <w:bookmarkStart w:id="413" w:name="_Toc184312104"/>
      <w:bookmarkEnd w:id="413"/>
      <w:bookmarkStart w:id="414" w:name="_Toc184313274"/>
      <w:bookmarkEnd w:id="414"/>
      <w:bookmarkStart w:id="415" w:name="_Toc184314439"/>
      <w:bookmarkEnd w:id="415"/>
      <w:bookmarkStart w:id="416" w:name="_Toc184313255"/>
      <w:bookmarkEnd w:id="416"/>
      <w:bookmarkStart w:id="417" w:name="_Toc184310282"/>
      <w:bookmarkEnd w:id="417"/>
      <w:bookmarkStart w:id="418" w:name="_Toc184314427"/>
      <w:bookmarkEnd w:id="418"/>
      <w:bookmarkStart w:id="419" w:name="_Toc184312124"/>
      <w:bookmarkEnd w:id="419"/>
      <w:r>
        <w:rPr>
          <w:rStyle w:val="83"/>
          <w:rFonts w:hint="eastAsia" w:ascii="仿宋" w:eastAsia="仿宋" w:cs="仿宋"/>
          <w:color w:val="auto"/>
          <w:highlight w:val="none"/>
        </w:rPr>
        <w:t>评标办法</w:t>
      </w:r>
      <w:bookmarkEnd w:id="54"/>
    </w:p>
    <w:p>
      <w:pPr>
        <w:snapToGrid w:val="0"/>
        <w:spacing w:line="360" w:lineRule="auto"/>
        <w:jc w:val="center"/>
        <w:outlineLvl w:val="2"/>
        <w:rPr>
          <w:rStyle w:val="83"/>
          <w:rFonts w:hint="eastAsia" w:ascii="仿宋" w:eastAsia="仿宋" w:cs="仿宋"/>
          <w:color w:val="auto"/>
          <w:highlight w:val="none"/>
        </w:rPr>
      </w:pPr>
      <w:bookmarkStart w:id="420" w:name="_Toc18180"/>
      <w:bookmarkStart w:id="421" w:name="_Toc18573"/>
      <w:r>
        <w:rPr>
          <w:rStyle w:val="83"/>
          <w:rFonts w:hint="eastAsia" w:ascii="仿宋" w:eastAsia="仿宋" w:cs="仿宋"/>
          <w:color w:val="auto"/>
          <w:highlight w:val="none"/>
        </w:rPr>
        <w:t>评标办法前附表</w:t>
      </w:r>
    </w:p>
    <w:bookmarkEnd w:id="420"/>
    <w:tbl>
      <w:tblPr>
        <w:tblStyle w:val="63"/>
        <w:tblW w:w="9773" w:type="dxa"/>
        <w:tblInd w:w="-3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0"/>
        <w:gridCol w:w="728"/>
        <w:gridCol w:w="1200"/>
        <w:gridCol w:w="4895"/>
        <w:gridCol w:w="977"/>
        <w:gridCol w:w="9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tblHeader/>
        </w:trPr>
        <w:tc>
          <w:tcPr>
            <w:tcW w:w="1000"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
                <w:bCs/>
                <w:color w:val="auto"/>
                <w:sz w:val="24"/>
                <w:highlight w:val="none"/>
              </w:rPr>
            </w:pPr>
            <w:bookmarkStart w:id="422" w:name="_Hlk93170489"/>
            <w:r>
              <w:rPr>
                <w:rFonts w:hint="eastAsia" w:ascii="仿宋" w:hAnsi="仿宋" w:eastAsia="仿宋" w:cs="仿宋"/>
                <w:b/>
                <w:bCs/>
                <w:color w:val="auto"/>
                <w:sz w:val="24"/>
                <w:highlight w:val="none"/>
              </w:rPr>
              <w:t>条款号</w:t>
            </w:r>
          </w:p>
        </w:tc>
        <w:tc>
          <w:tcPr>
            <w:tcW w:w="19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评审因素</w:t>
            </w: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1000" w:type="dxa"/>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928" w:type="dxa"/>
            <w:gridSpan w:val="2"/>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评标办法</w:t>
            </w: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☐本项目采用</w:t>
            </w:r>
            <w:r>
              <w:rPr>
                <w:rFonts w:hint="eastAsia" w:ascii="仿宋" w:hAnsi="仿宋" w:eastAsia="仿宋" w:cs="仿宋"/>
                <w:color w:val="auto"/>
                <w:sz w:val="24"/>
                <w:highlight w:val="none"/>
              </w:rPr>
              <w:t>综合评分法。综合评分法，</w:t>
            </w:r>
            <w:r>
              <w:rPr>
                <w:rFonts w:hint="eastAsia" w:ascii="仿宋" w:hAnsi="仿宋" w:eastAsia="仿宋" w:cs="仿宋"/>
                <w:color w:val="auto"/>
                <w:kern w:val="0"/>
                <w:sz w:val="24"/>
                <w:highlight w:val="none"/>
              </w:rPr>
              <w:t>是指投标文件满足招标文件全部实质性要求，且按照评审因素的量化指标评审得分最高的投标人为中标候选人的评标方法。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4" w:hRule="atLeast"/>
        </w:trPr>
        <w:tc>
          <w:tcPr>
            <w:tcW w:w="1000" w:type="dxa"/>
            <w:vMerge w:val="restart"/>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p>
        </w:tc>
        <w:tc>
          <w:tcPr>
            <w:tcW w:w="1928" w:type="dxa"/>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▲资格审查</w:t>
            </w: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2.1.1提供符合参加政府采购活动应当具备的一般条件的承诺函及有效的企业营业执照（或事业法人登记证书或其它工商等登记证明材料，自然人提供身份证)复制件（如为联合体，则联合体各方均应提供）；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8" w:hRule="atLeast"/>
        </w:trPr>
        <w:tc>
          <w:tcPr>
            <w:tcW w:w="1000"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928" w:type="dxa"/>
            <w:gridSpan w:val="2"/>
            <w:vMerge w:val="continue"/>
            <w:tcBorders>
              <w:left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2.1.1落实政府采购政策需满足的资格审查材料：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无</w:t>
            </w:r>
            <w:r>
              <w:rPr>
                <w:rFonts w:hint="eastAsia" w:ascii="仿宋" w:hAnsi="仿宋" w:eastAsia="仿宋" w:cs="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2" w:hRule="atLeast"/>
        </w:trPr>
        <w:tc>
          <w:tcPr>
            <w:tcW w:w="1000"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928" w:type="dxa"/>
            <w:gridSpan w:val="2"/>
            <w:vMerge w:val="continue"/>
            <w:tcBorders>
              <w:left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2.1.3本项目的特定资格要求审查材料：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无</w:t>
            </w:r>
            <w:r>
              <w:rPr>
                <w:rFonts w:hint="eastAsia" w:ascii="仿宋" w:hAnsi="仿宋" w:eastAsia="仿宋" w:cs="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2" w:hRule="atLeast"/>
        </w:trPr>
        <w:tc>
          <w:tcPr>
            <w:tcW w:w="1000" w:type="dxa"/>
            <w:vMerge w:val="continue"/>
            <w:tcBorders>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928" w:type="dxa"/>
            <w:gridSpan w:val="2"/>
            <w:vMerge w:val="continue"/>
            <w:tcBorders>
              <w:left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2.1.4商业信誉审查：</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对列入失信被执行人、重大税收违法案件当事人名单、政府采购严重违法失信行为记录名单的投标人，其投标将作无效标处理。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7" w:hRule="atLeast"/>
        </w:trPr>
        <w:tc>
          <w:tcPr>
            <w:tcW w:w="1000"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2.2</w:t>
            </w:r>
          </w:p>
        </w:tc>
        <w:tc>
          <w:tcPr>
            <w:tcW w:w="19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▲符合性审查</w:t>
            </w: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评标委员会在评审过程中根据本“第四章评标办法”2.2.1~2.2.3条款规定的符合性审查内容要求对投标文件的有效性、完整性、投标文件的响应程度审查。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7" w:hRule="atLeast"/>
        </w:trPr>
        <w:tc>
          <w:tcPr>
            <w:tcW w:w="1000"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2.3</w:t>
            </w:r>
          </w:p>
        </w:tc>
        <w:tc>
          <w:tcPr>
            <w:tcW w:w="19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比较与评价</w:t>
            </w: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采用</w:t>
            </w:r>
            <w:r>
              <w:rPr>
                <w:rFonts w:hint="eastAsia" w:ascii="仿宋" w:hAnsi="仿宋" w:eastAsia="仿宋" w:cs="仿宋"/>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7" w:hRule="atLeast"/>
        </w:trPr>
        <w:tc>
          <w:tcPr>
            <w:tcW w:w="1000"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2.3.1</w:t>
            </w:r>
          </w:p>
        </w:tc>
        <w:tc>
          <w:tcPr>
            <w:tcW w:w="19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分值权重构成</w:t>
            </w: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评标委员会将对各供应商的投标报价、技术或服务水平、履约能力、售后服务等和业绩情况等方面进行综合评审，评标委员会各成员应当独立对每个有效供应商的投标文件进行评价、打分。</w:t>
            </w:r>
          </w:p>
          <w:p>
            <w:pPr>
              <w:spacing w:line="36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各供应商的综合得分为：投标报价得分+商务技术得分之和，总和为100分</w:t>
            </w:r>
            <w:r>
              <w:rPr>
                <w:rFonts w:hint="eastAsia" w:ascii="仿宋" w:hAnsi="仿宋" w:eastAsia="仿宋" w:cs="仿宋"/>
                <w:color w:val="auto"/>
                <w:sz w:val="24"/>
                <w:highlight w:val="none"/>
                <w:lang w:eastAsia="zh-CN"/>
              </w:rPr>
              <w:t>。</w:t>
            </w:r>
          </w:p>
          <w:p>
            <w:pPr>
              <w:spacing w:line="360"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标项一、二、三、四：</w:t>
            </w:r>
            <w:r>
              <w:rPr>
                <w:rFonts w:hint="eastAsia" w:ascii="仿宋" w:hAnsi="仿宋" w:eastAsia="仿宋" w:cs="仿宋"/>
                <w:b/>
                <w:bCs/>
                <w:color w:val="auto"/>
                <w:sz w:val="24"/>
                <w:highlight w:val="none"/>
              </w:rPr>
              <w:t>其中商务技术</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u w:val="single"/>
                <w:lang w:val="en-US" w:eastAsia="zh-CN"/>
              </w:rPr>
              <w:t>70</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分（商务技术权值</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u w:val="single"/>
                <w:lang w:val="en-US" w:eastAsia="zh-CN"/>
              </w:rPr>
              <w:t>70</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%），报价</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u w:val="single"/>
                <w:lang w:val="en-US" w:eastAsia="zh-CN"/>
              </w:rPr>
              <w:t>30</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分（价格权值</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u w:val="single"/>
                <w:lang w:val="en-US" w:eastAsia="zh-CN"/>
              </w:rPr>
              <w:t>30</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w:t>
            </w:r>
          </w:p>
          <w:p>
            <w:pPr>
              <w:spacing w:line="360" w:lineRule="exact"/>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标项五：</w:t>
            </w:r>
            <w:r>
              <w:rPr>
                <w:rFonts w:hint="eastAsia" w:ascii="仿宋" w:hAnsi="仿宋" w:eastAsia="仿宋" w:cs="仿宋"/>
                <w:b/>
                <w:bCs/>
                <w:color w:val="auto"/>
                <w:sz w:val="24"/>
                <w:highlight w:val="none"/>
              </w:rPr>
              <w:t>其中商务技术</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u w:val="single"/>
                <w:lang w:val="en-US" w:eastAsia="zh-CN"/>
              </w:rPr>
              <w:t>80</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分（商务技术权值</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u w:val="single"/>
                <w:lang w:val="en-US" w:eastAsia="zh-CN"/>
              </w:rPr>
              <w:t>80</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%），报价</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u w:val="single"/>
                <w:lang w:val="en-US" w:eastAsia="zh-CN"/>
              </w:rPr>
              <w:t>20</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分（价格权值</w:t>
            </w:r>
            <w:r>
              <w:rPr>
                <w:rFonts w:hint="eastAsia" w:ascii="仿宋" w:hAnsi="仿宋" w:eastAsia="仿宋" w:cs="仿宋"/>
                <w:b/>
                <w:bCs/>
                <w:color w:val="auto"/>
                <w:sz w:val="24"/>
                <w:highlight w:val="none"/>
                <w:u w:val="single"/>
                <w:lang w:val="en-US" w:eastAsia="zh-CN"/>
              </w:rPr>
              <w:t>20</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restart"/>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728" w:type="dxa"/>
            <w:vMerge w:val="restart"/>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商务技术评分标准</w:t>
            </w:r>
            <w:r>
              <w:rPr>
                <w:rFonts w:hint="eastAsia" w:ascii="仿宋" w:hAnsi="仿宋" w:eastAsia="仿宋" w:cs="仿宋"/>
                <w:b/>
                <w:bCs/>
                <w:color w:val="auto"/>
                <w:sz w:val="24"/>
                <w:highlight w:val="none"/>
              </w:rPr>
              <w:t>（标项</w:t>
            </w:r>
            <w:r>
              <w:rPr>
                <w:rFonts w:hint="eastAsia" w:ascii="仿宋" w:hAnsi="仿宋" w:eastAsia="仿宋" w:cs="仿宋"/>
                <w:b/>
                <w:bCs/>
                <w:color w:val="auto"/>
                <w:sz w:val="24"/>
                <w:highlight w:val="none"/>
                <w:lang w:val="en-US" w:eastAsia="zh-CN"/>
              </w:rPr>
              <w:t>一、二、三、四</w:t>
            </w:r>
            <w:r>
              <w:rPr>
                <w:rFonts w:hint="eastAsia" w:ascii="仿宋" w:hAnsi="仿宋" w:eastAsia="仿宋" w:cs="仿宋"/>
                <w:b/>
                <w:bCs/>
                <w:color w:val="auto"/>
                <w:sz w:val="24"/>
                <w:highlight w:val="none"/>
              </w:rPr>
              <w:t>）</w:t>
            </w:r>
          </w:p>
        </w:tc>
        <w:tc>
          <w:tcPr>
            <w:tcW w:w="1200" w:type="dxa"/>
            <w:tcBorders>
              <w:top w:val="single" w:color="auto" w:sz="4" w:space="0"/>
              <w:left w:val="single" w:color="auto" w:sz="4" w:space="0"/>
              <w:bottom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评审因素</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评审标准（分值）</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分值</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tcBorders>
              <w:top w:val="single" w:color="auto" w:sz="4" w:space="0"/>
              <w:left w:val="single" w:color="auto" w:sz="4" w:space="0"/>
              <w:bottom w:val="single" w:color="auto" w:sz="4" w:space="0"/>
            </w:tcBorders>
            <w:noWrap w:val="0"/>
            <w:vAlign w:val="center"/>
          </w:tcPr>
          <w:p>
            <w:pPr>
              <w:tabs>
                <w:tab w:val="left" w:pos="0"/>
              </w:tabs>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供应商综合情况</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投标人具有有效的质量管理体系认证证书的得1分；</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投标人具有有效的环境管理体系认证证书的得1分；</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投标人具有有效的职业健康管理体系认证证书的得1分；</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投标人具有有效的信息安全管理体系认证证书的得1分；</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b w:val="0"/>
                <w:bCs w:val="0"/>
                <w:color w:val="auto"/>
                <w:kern w:val="2"/>
                <w:sz w:val="24"/>
                <w:szCs w:val="24"/>
                <w:highlight w:val="none"/>
                <w:lang w:val="zh-CN" w:eastAsia="zh-CN" w:bidi="ar-SA"/>
              </w:rPr>
            </w:pPr>
            <w:r>
              <w:rPr>
                <w:rFonts w:hint="eastAsia" w:ascii="仿宋" w:hAnsi="仿宋" w:eastAsia="仿宋" w:cs="仿宋"/>
                <w:b w:val="0"/>
                <w:bCs w:val="0"/>
                <w:color w:val="auto"/>
                <w:kern w:val="2"/>
                <w:sz w:val="24"/>
                <w:szCs w:val="24"/>
                <w:highlight w:val="none"/>
                <w:lang w:val="zh-CN" w:eastAsia="zh-CN" w:bidi="ar-SA"/>
              </w:rPr>
              <w:t>（投标文件中必须提供上述证书扫描件及全国认证认可信息公共服务平台网页截图）</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highlight w:val="none"/>
                <w:lang w:val="en-US" w:eastAsia="zh-CN"/>
              </w:rPr>
              <w:t>4分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tcBorders>
              <w:top w:val="single" w:color="auto" w:sz="4" w:space="0"/>
              <w:left w:val="single" w:color="auto" w:sz="4" w:space="0"/>
              <w:bottom w:val="single" w:color="auto" w:sz="4" w:space="0"/>
            </w:tcBorders>
            <w:noWrap w:val="0"/>
            <w:vAlign w:val="center"/>
          </w:tcPr>
          <w:p>
            <w:pPr>
              <w:tabs>
                <w:tab w:val="left" w:pos="0"/>
              </w:tabs>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同类项目业绩</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根据投标人2020年1月1日以来签订的同类项目业绩，一个得1分,本项最高得3分（提供合同关键页</w:t>
            </w:r>
            <w:r>
              <w:rPr>
                <w:rFonts w:hint="eastAsia" w:ascii="仿宋" w:hAnsi="仿宋" w:eastAsia="仿宋" w:cs="仿宋"/>
                <w:b w:val="0"/>
                <w:bCs w:val="0"/>
                <w:color w:val="auto"/>
                <w:kern w:val="2"/>
                <w:sz w:val="24"/>
                <w:szCs w:val="24"/>
                <w:highlight w:val="none"/>
                <w:lang w:val="en-US" w:eastAsia="zh-CN" w:bidi="ar-SA"/>
              </w:rPr>
              <w:t>扫描件</w:t>
            </w:r>
            <w:r>
              <w:rPr>
                <w:rFonts w:hint="eastAsia" w:ascii="仿宋" w:hAnsi="仿宋" w:eastAsia="仿宋" w:cs="仿宋"/>
                <w:i w:val="0"/>
                <w:iCs w:val="0"/>
                <w:color w:val="auto"/>
                <w:kern w:val="0"/>
                <w:sz w:val="24"/>
                <w:szCs w:val="24"/>
                <w:highlight w:val="none"/>
                <w:u w:val="none"/>
                <w:lang w:val="en-US" w:eastAsia="zh-CN" w:bidi="ar"/>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tcBorders>
              <w:top w:val="single" w:color="auto" w:sz="4" w:space="0"/>
              <w:left w:val="single" w:color="auto" w:sz="4" w:space="0"/>
              <w:bottom w:val="single" w:color="auto" w:sz="4" w:space="0"/>
            </w:tcBorders>
            <w:noWrap w:val="0"/>
            <w:vAlign w:val="center"/>
          </w:tcPr>
          <w:p>
            <w:pPr>
              <w:tabs>
                <w:tab w:val="left" w:pos="0"/>
              </w:tabs>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运维工作衔接平稳度</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投标人根据招标人提供的标项点位清单，1个月以内调通视频监控、卡口系统的得12分，每延迟1个月接入的扣2分，扣完为止。</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（投标文件中必须提供承诺函,格式后附）</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12分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restart"/>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color w:val="auto"/>
                <w:kern w:val="2"/>
                <w:sz w:val="24"/>
                <w:szCs w:val="24"/>
                <w:highlight w:val="none"/>
                <w:lang w:val="en-US" w:eastAsia="zh-CN" w:bidi="ar-SA"/>
              </w:rPr>
              <w:t>重难点分析及对策</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color w:val="auto"/>
                <w:kern w:val="2"/>
                <w:sz w:val="24"/>
                <w:szCs w:val="24"/>
                <w:highlight w:val="none"/>
                <w:lang w:val="en-US" w:eastAsia="zh-CN" w:bidi="ar-SA"/>
              </w:rPr>
              <w:t>评委根据供应商的投标文件，对其制定的项目实施过程中的重点、难点的评议，重难点分析完善合理的得2-3分，重难点分析较完善合理的得1-2分，重难点分析有缺陷的得0-1分，未提供的得0分。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bottom w:val="single" w:color="auto" w:sz="4" w:space="0"/>
            </w:tcBorders>
            <w:noWrap w:val="0"/>
            <w:vAlign w:val="center"/>
          </w:tcPr>
          <w:p>
            <w:pPr>
              <w:tabs>
                <w:tab w:val="left" w:pos="0"/>
              </w:tabs>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360" w:lineRule="exact"/>
              <w:jc w:val="both"/>
              <w:textAlignment w:val="auto"/>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b w:val="0"/>
                <w:bCs w:val="0"/>
                <w:color w:val="auto"/>
                <w:kern w:val="2"/>
                <w:sz w:val="24"/>
                <w:szCs w:val="24"/>
                <w:highlight w:val="none"/>
                <w:lang w:val="en-US" w:eastAsia="zh-CN" w:bidi="ar-SA"/>
              </w:rPr>
              <w:t>评委根据供应商的投标文件，对其制定的项目实施过程中的重点、难点的解决措施的评议，解决措施针对性强切实可行的得2-3分，解决措施针对性较强、较可行的得1-2分，解决措施有缺陷的得0-1分，未提供的得0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restart"/>
            <w:tcBorders>
              <w:top w:val="single" w:color="auto" w:sz="4" w:space="0"/>
              <w:left w:val="single" w:color="auto" w:sz="4" w:space="0"/>
            </w:tcBorders>
            <w:noWrap w:val="0"/>
            <w:vAlign w:val="center"/>
          </w:tcPr>
          <w:p>
            <w:pPr>
              <w:tabs>
                <w:tab w:val="left" w:pos="0"/>
              </w:tabs>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运维方案</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bCs/>
                <w:color w:val="auto"/>
                <w:kern w:val="0"/>
                <w:sz w:val="24"/>
                <w:szCs w:val="24"/>
                <w:highlight w:val="none"/>
              </w:rPr>
              <w:t>对</w:t>
            </w:r>
            <w:r>
              <w:rPr>
                <w:rFonts w:hint="eastAsia" w:ascii="仿宋" w:hAnsi="仿宋" w:eastAsia="仿宋" w:cs="仿宋"/>
                <w:bCs/>
                <w:color w:val="auto"/>
                <w:kern w:val="0"/>
                <w:sz w:val="24"/>
                <w:szCs w:val="24"/>
                <w:highlight w:val="none"/>
                <w:lang w:val="en-US" w:eastAsia="zh-CN"/>
              </w:rPr>
              <w:t>标项点位</w:t>
            </w:r>
            <w:r>
              <w:rPr>
                <w:rFonts w:hint="eastAsia" w:ascii="仿宋" w:hAnsi="仿宋" w:eastAsia="仿宋" w:cs="仿宋"/>
                <w:bCs/>
                <w:color w:val="auto"/>
                <w:kern w:val="0"/>
                <w:sz w:val="24"/>
                <w:szCs w:val="24"/>
                <w:highlight w:val="none"/>
              </w:rPr>
              <w:t>现状进行深入了解和分析，</w:t>
            </w:r>
            <w:r>
              <w:rPr>
                <w:rFonts w:hint="eastAsia" w:ascii="仿宋" w:hAnsi="仿宋" w:eastAsia="仿宋" w:cs="仿宋"/>
                <w:bCs/>
                <w:color w:val="auto"/>
                <w:kern w:val="0"/>
                <w:sz w:val="24"/>
                <w:szCs w:val="24"/>
                <w:highlight w:val="none"/>
                <w:lang w:val="en-US" w:eastAsia="zh-CN"/>
              </w:rPr>
              <w:t>提供完善、合理、可行性强的运维服务方案，方案完善合理、可行性强的得4-7分，方案较完善合理、可行性较强的得2-4分，方案有缺陷的得0-2分，未提供的得0分。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7分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评委根据供应商的投标文件，对其制定的</w:t>
            </w:r>
            <w:r>
              <w:rPr>
                <w:rFonts w:hint="eastAsia" w:ascii="仿宋" w:hAnsi="仿宋" w:eastAsia="仿宋" w:cs="仿宋"/>
                <w:bCs/>
                <w:color w:val="auto"/>
                <w:kern w:val="0"/>
                <w:sz w:val="24"/>
                <w:szCs w:val="24"/>
                <w:highlight w:val="none"/>
              </w:rPr>
              <w:t>项目管理制度、日常维护作业计划、故障处理流程、抢修、质量管理等制度规范</w:t>
            </w:r>
            <w:r>
              <w:rPr>
                <w:rFonts w:hint="eastAsia" w:ascii="仿宋" w:hAnsi="仿宋" w:eastAsia="仿宋" w:cs="仿宋"/>
                <w:b w:val="0"/>
                <w:bCs w:val="0"/>
                <w:color w:val="auto"/>
                <w:kern w:val="2"/>
                <w:sz w:val="24"/>
                <w:szCs w:val="24"/>
                <w:highlight w:val="none"/>
                <w:lang w:val="en-US" w:eastAsia="zh-CN" w:bidi="ar-SA"/>
              </w:rPr>
              <w:t>评议</w:t>
            </w:r>
            <w:r>
              <w:rPr>
                <w:rFonts w:hint="eastAsia" w:ascii="仿宋" w:hAnsi="仿宋" w:eastAsia="仿宋" w:cs="仿宋"/>
                <w:bCs/>
                <w:color w:val="auto"/>
                <w:kern w:val="0"/>
                <w:sz w:val="24"/>
                <w:szCs w:val="24"/>
                <w:highlight w:val="none"/>
              </w:rPr>
              <w:t>，制度规范</w:t>
            </w:r>
            <w:r>
              <w:rPr>
                <w:rFonts w:hint="eastAsia" w:ascii="仿宋" w:hAnsi="仿宋" w:eastAsia="仿宋" w:cs="仿宋"/>
                <w:bCs/>
                <w:color w:val="auto"/>
                <w:kern w:val="0"/>
                <w:sz w:val="24"/>
                <w:szCs w:val="24"/>
                <w:highlight w:val="none"/>
                <w:lang w:val="en-US" w:eastAsia="zh-CN"/>
              </w:rPr>
              <w:t>较完善合理、可行性较强的得2-4分，</w:t>
            </w:r>
            <w:r>
              <w:rPr>
                <w:rFonts w:hint="eastAsia" w:ascii="仿宋" w:hAnsi="仿宋" w:eastAsia="仿宋" w:cs="仿宋"/>
                <w:bCs/>
                <w:color w:val="auto"/>
                <w:kern w:val="0"/>
                <w:sz w:val="24"/>
                <w:szCs w:val="24"/>
                <w:highlight w:val="none"/>
              </w:rPr>
              <w:t>制度规范</w:t>
            </w:r>
            <w:r>
              <w:rPr>
                <w:rFonts w:hint="eastAsia" w:ascii="仿宋" w:hAnsi="仿宋" w:eastAsia="仿宋" w:cs="仿宋"/>
                <w:bCs/>
                <w:color w:val="auto"/>
                <w:kern w:val="0"/>
                <w:sz w:val="24"/>
                <w:szCs w:val="24"/>
                <w:highlight w:val="none"/>
                <w:lang w:val="en-US" w:eastAsia="zh-CN"/>
              </w:rPr>
              <w:t>有缺陷的得0-2分，未提供的得0分。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4分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bottom w:val="single" w:color="auto" w:sz="4" w:space="0"/>
            </w:tcBorders>
            <w:noWrap w:val="0"/>
            <w:vAlign w:val="center"/>
          </w:tcPr>
          <w:p>
            <w:pPr>
              <w:tabs>
                <w:tab w:val="left" w:pos="0"/>
              </w:tabs>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评委根据供应商的投标文件，对其制定的</w:t>
            </w:r>
            <w:r>
              <w:rPr>
                <w:rFonts w:hint="eastAsia" w:ascii="仿宋" w:hAnsi="仿宋" w:eastAsia="仿宋" w:cs="仿宋"/>
                <w:bCs/>
                <w:color w:val="auto"/>
                <w:kern w:val="0"/>
                <w:sz w:val="24"/>
                <w:szCs w:val="24"/>
                <w:highlight w:val="none"/>
              </w:rPr>
              <w:t>劳动保护用品使用、施工内外协调能力、文明施工环境保护措施等</w:t>
            </w:r>
            <w:r>
              <w:rPr>
                <w:rFonts w:hint="eastAsia" w:ascii="仿宋" w:hAnsi="仿宋" w:eastAsia="仿宋" w:cs="仿宋"/>
                <w:b w:val="0"/>
                <w:bCs w:val="0"/>
                <w:color w:val="auto"/>
                <w:kern w:val="2"/>
                <w:sz w:val="24"/>
                <w:szCs w:val="24"/>
                <w:highlight w:val="none"/>
                <w:lang w:val="en-US" w:eastAsia="zh-CN" w:bidi="ar-SA"/>
              </w:rPr>
              <w:t>评议</w:t>
            </w:r>
            <w:r>
              <w:rPr>
                <w:rFonts w:hint="eastAsia" w:ascii="仿宋" w:hAnsi="仿宋" w:eastAsia="仿宋" w:cs="仿宋"/>
                <w:bCs/>
                <w:color w:val="auto"/>
                <w:kern w:val="0"/>
                <w:sz w:val="24"/>
                <w:szCs w:val="24"/>
                <w:highlight w:val="none"/>
              </w:rPr>
              <w:t>，</w:t>
            </w:r>
            <w:r>
              <w:rPr>
                <w:rFonts w:hint="eastAsia" w:ascii="仿宋" w:hAnsi="仿宋" w:eastAsia="仿宋" w:cs="仿宋"/>
                <w:bCs/>
                <w:color w:val="auto"/>
                <w:kern w:val="0"/>
                <w:sz w:val="24"/>
                <w:szCs w:val="24"/>
                <w:highlight w:val="none"/>
                <w:lang w:val="en-US" w:eastAsia="zh-CN"/>
              </w:rPr>
              <w:t>措施较完善合理、可行性较强的得5-3分，措施有缺陷的得0-3分，未提供的得0分。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tcBorders>
              <w:top w:val="single" w:color="auto" w:sz="4" w:space="0"/>
              <w:left w:val="single" w:color="auto" w:sz="4" w:space="0"/>
              <w:bottom w:val="single" w:color="auto" w:sz="4" w:space="0"/>
            </w:tcBorders>
            <w:noWrap w:val="0"/>
            <w:vAlign w:val="center"/>
          </w:tcPr>
          <w:p>
            <w:pPr>
              <w:tabs>
                <w:tab w:val="left" w:pos="0"/>
              </w:tabs>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施工</w:t>
            </w:r>
            <w:r>
              <w:rPr>
                <w:rFonts w:hint="eastAsia" w:ascii="仿宋" w:hAnsi="仿宋" w:eastAsia="仿宋" w:cs="仿宋"/>
                <w:color w:val="auto"/>
                <w:sz w:val="24"/>
                <w:szCs w:val="24"/>
                <w:highlight w:val="none"/>
                <w:lang w:val="en-US" w:eastAsia="zh-CN"/>
              </w:rPr>
              <w:t>组织</w:t>
            </w:r>
            <w:r>
              <w:rPr>
                <w:rFonts w:hint="eastAsia" w:ascii="仿宋" w:hAnsi="仿宋" w:eastAsia="仿宋" w:cs="仿宋"/>
                <w:color w:val="auto"/>
                <w:sz w:val="24"/>
                <w:szCs w:val="24"/>
                <w:highlight w:val="none"/>
              </w:rPr>
              <w:t>方案</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根据投标</w:t>
            </w:r>
            <w:r>
              <w:rPr>
                <w:rFonts w:hint="eastAsia" w:ascii="仿宋" w:hAnsi="仿宋" w:eastAsia="仿宋" w:cs="仿宋"/>
                <w:color w:val="auto"/>
                <w:sz w:val="24"/>
                <w:szCs w:val="24"/>
                <w:highlight w:val="none"/>
                <w:lang w:val="en-US" w:eastAsia="zh-CN"/>
              </w:rPr>
              <w:t>人针</w:t>
            </w:r>
            <w:r>
              <w:rPr>
                <w:rFonts w:hint="eastAsia" w:ascii="仿宋" w:hAnsi="仿宋" w:eastAsia="仿宋" w:cs="仿宋"/>
                <w:color w:val="auto"/>
                <w:sz w:val="24"/>
                <w:szCs w:val="24"/>
                <w:highlight w:val="none"/>
              </w:rPr>
              <w:t>对本项目制定的施工</w:t>
            </w:r>
            <w:r>
              <w:rPr>
                <w:rFonts w:hint="eastAsia" w:ascii="仿宋" w:hAnsi="仿宋" w:eastAsia="仿宋" w:cs="仿宋"/>
                <w:color w:val="auto"/>
                <w:sz w:val="24"/>
                <w:szCs w:val="24"/>
                <w:highlight w:val="none"/>
                <w:lang w:val="en-US" w:eastAsia="zh-CN"/>
              </w:rPr>
              <w:t>组织</w:t>
            </w:r>
            <w:r>
              <w:rPr>
                <w:rFonts w:hint="eastAsia" w:ascii="仿宋" w:hAnsi="仿宋" w:eastAsia="仿宋" w:cs="仿宋"/>
                <w:color w:val="auto"/>
                <w:sz w:val="24"/>
                <w:szCs w:val="24"/>
                <w:highlight w:val="none"/>
              </w:rPr>
              <w:t>方案，包括设备到现场方案、拆除损坏设备、安装、调试方案、施工方案</w:t>
            </w:r>
            <w:r>
              <w:rPr>
                <w:rFonts w:hint="eastAsia" w:ascii="仿宋" w:hAnsi="仿宋" w:eastAsia="仿宋" w:cs="仿宋"/>
                <w:i w:val="0"/>
                <w:iCs w:val="0"/>
                <w:caps w:val="0"/>
                <w:color w:val="auto"/>
                <w:spacing w:val="0"/>
                <w:sz w:val="24"/>
                <w:szCs w:val="24"/>
                <w:highlight w:val="none"/>
                <w:u w:val="none"/>
              </w:rPr>
              <w:t>（提供方案完全满足项目要求的</w:t>
            </w:r>
            <w:r>
              <w:rPr>
                <w:rFonts w:hint="eastAsia" w:ascii="仿宋" w:hAnsi="仿宋" w:eastAsia="仿宋" w:cs="仿宋"/>
                <w:i w:val="0"/>
                <w:iCs w:val="0"/>
                <w:caps w:val="0"/>
                <w:color w:val="auto"/>
                <w:spacing w:val="0"/>
                <w:sz w:val="24"/>
                <w:szCs w:val="24"/>
                <w:highlight w:val="none"/>
                <w:u w:val="none"/>
                <w:lang w:val="en-US" w:eastAsia="zh-CN"/>
              </w:rPr>
              <w:t>5</w:t>
            </w:r>
            <w:r>
              <w:rPr>
                <w:rFonts w:hint="eastAsia" w:ascii="仿宋" w:hAnsi="仿宋" w:eastAsia="仿宋" w:cs="仿宋"/>
                <w:i w:val="0"/>
                <w:iCs w:val="0"/>
                <w:caps w:val="0"/>
                <w:color w:val="auto"/>
                <w:spacing w:val="0"/>
                <w:sz w:val="24"/>
                <w:szCs w:val="24"/>
                <w:highlight w:val="none"/>
                <w:u w:val="none"/>
              </w:rPr>
              <w:t>-</w:t>
            </w:r>
            <w:r>
              <w:rPr>
                <w:rFonts w:hint="eastAsia" w:ascii="仿宋" w:hAnsi="仿宋" w:eastAsia="仿宋" w:cs="仿宋"/>
                <w:i w:val="0"/>
                <w:iCs w:val="0"/>
                <w:caps w:val="0"/>
                <w:color w:val="auto"/>
                <w:spacing w:val="0"/>
                <w:sz w:val="24"/>
                <w:szCs w:val="24"/>
                <w:highlight w:val="none"/>
                <w:u w:val="none"/>
                <w:lang w:val="en-US" w:eastAsia="zh-CN"/>
              </w:rPr>
              <w:t>3</w:t>
            </w:r>
            <w:r>
              <w:rPr>
                <w:rFonts w:hint="eastAsia" w:ascii="仿宋" w:hAnsi="仿宋" w:eastAsia="仿宋" w:cs="仿宋"/>
                <w:i w:val="0"/>
                <w:iCs w:val="0"/>
                <w:caps w:val="0"/>
                <w:color w:val="auto"/>
                <w:spacing w:val="0"/>
                <w:sz w:val="24"/>
                <w:szCs w:val="24"/>
                <w:highlight w:val="none"/>
                <w:u w:val="none"/>
              </w:rPr>
              <w:t>分；满足项目要求的</w:t>
            </w:r>
            <w:r>
              <w:rPr>
                <w:rFonts w:hint="eastAsia" w:ascii="仿宋" w:hAnsi="仿宋" w:eastAsia="仿宋" w:cs="仿宋"/>
                <w:i w:val="0"/>
                <w:iCs w:val="0"/>
                <w:caps w:val="0"/>
                <w:color w:val="auto"/>
                <w:spacing w:val="0"/>
                <w:sz w:val="24"/>
                <w:szCs w:val="24"/>
                <w:highlight w:val="none"/>
                <w:u w:val="none"/>
                <w:lang w:val="en-US" w:eastAsia="zh-CN"/>
              </w:rPr>
              <w:t>3</w:t>
            </w:r>
            <w:r>
              <w:rPr>
                <w:rFonts w:hint="eastAsia" w:ascii="仿宋" w:hAnsi="仿宋" w:eastAsia="仿宋" w:cs="仿宋"/>
                <w:i w:val="0"/>
                <w:iCs w:val="0"/>
                <w:caps w:val="0"/>
                <w:color w:val="auto"/>
                <w:spacing w:val="0"/>
                <w:sz w:val="24"/>
                <w:szCs w:val="24"/>
                <w:highlight w:val="none"/>
                <w:u w:val="none"/>
              </w:rPr>
              <w:t>-</w:t>
            </w:r>
            <w:r>
              <w:rPr>
                <w:rFonts w:hint="eastAsia" w:ascii="仿宋" w:hAnsi="仿宋" w:eastAsia="仿宋" w:cs="仿宋"/>
                <w:i w:val="0"/>
                <w:iCs w:val="0"/>
                <w:caps w:val="0"/>
                <w:color w:val="auto"/>
                <w:spacing w:val="0"/>
                <w:sz w:val="24"/>
                <w:szCs w:val="24"/>
                <w:highlight w:val="none"/>
                <w:u w:val="none"/>
                <w:lang w:val="en-US" w:eastAsia="zh-CN"/>
              </w:rPr>
              <w:t>1</w:t>
            </w:r>
            <w:r>
              <w:rPr>
                <w:rFonts w:hint="eastAsia" w:ascii="仿宋" w:hAnsi="仿宋" w:eastAsia="仿宋" w:cs="仿宋"/>
                <w:i w:val="0"/>
                <w:iCs w:val="0"/>
                <w:caps w:val="0"/>
                <w:color w:val="auto"/>
                <w:spacing w:val="0"/>
                <w:sz w:val="24"/>
                <w:szCs w:val="24"/>
                <w:highlight w:val="none"/>
                <w:u w:val="none"/>
              </w:rPr>
              <w:t>分；基本满足项目要求</w:t>
            </w:r>
            <w:r>
              <w:rPr>
                <w:rFonts w:hint="eastAsia" w:ascii="仿宋" w:hAnsi="仿宋" w:eastAsia="仿宋" w:cs="仿宋"/>
                <w:i w:val="0"/>
                <w:iCs w:val="0"/>
                <w:caps w:val="0"/>
                <w:color w:val="auto"/>
                <w:spacing w:val="0"/>
                <w:sz w:val="24"/>
                <w:szCs w:val="24"/>
                <w:highlight w:val="none"/>
                <w:u w:val="none"/>
                <w:lang w:val="en-US" w:eastAsia="zh-CN"/>
              </w:rPr>
              <w:t>1</w:t>
            </w:r>
            <w:r>
              <w:rPr>
                <w:rFonts w:hint="eastAsia" w:ascii="仿宋" w:hAnsi="仿宋" w:eastAsia="仿宋" w:cs="仿宋"/>
                <w:i w:val="0"/>
                <w:iCs w:val="0"/>
                <w:caps w:val="0"/>
                <w:color w:val="auto"/>
                <w:spacing w:val="0"/>
                <w:sz w:val="24"/>
                <w:szCs w:val="24"/>
                <w:highlight w:val="none"/>
                <w:u w:val="none"/>
              </w:rPr>
              <w:t>-0分）</w:t>
            </w:r>
            <w:r>
              <w:rPr>
                <w:rFonts w:hint="eastAsia" w:ascii="仿宋" w:hAnsi="仿宋" w:eastAsia="仿宋" w:cs="仿宋"/>
                <w:color w:val="auto"/>
                <w:sz w:val="24"/>
                <w:szCs w:val="24"/>
                <w:highlight w:val="none"/>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tcBorders>
              <w:top w:val="single" w:color="auto" w:sz="4" w:space="0"/>
              <w:left w:val="single" w:color="auto" w:sz="4" w:space="0"/>
              <w:bottom w:val="single" w:color="auto" w:sz="4" w:space="0"/>
            </w:tcBorders>
            <w:noWrap w:val="0"/>
            <w:vAlign w:val="center"/>
          </w:tcPr>
          <w:p>
            <w:pPr>
              <w:tabs>
                <w:tab w:val="left" w:pos="0"/>
              </w:tabs>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kern w:val="0"/>
                <w:sz w:val="24"/>
                <w:szCs w:val="24"/>
                <w:highlight w:val="none"/>
              </w:rPr>
              <w:t>安全管理</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snapToGrid w:val="0"/>
                <w:color w:val="auto"/>
                <w:sz w:val="24"/>
                <w:szCs w:val="24"/>
                <w:highlight w:val="none"/>
                <w:lang w:val="zh-CN"/>
              </w:rPr>
              <w:t>投标人应建立完善</w:t>
            </w:r>
            <w:r>
              <w:rPr>
                <w:rFonts w:hint="eastAsia" w:ascii="仿宋" w:hAnsi="仿宋" w:eastAsia="仿宋" w:cs="仿宋"/>
                <w:snapToGrid w:val="0"/>
                <w:color w:val="auto"/>
                <w:sz w:val="24"/>
                <w:szCs w:val="24"/>
                <w:highlight w:val="none"/>
                <w:lang w:val="en-US" w:eastAsia="zh-CN"/>
              </w:rPr>
              <w:t>的</w:t>
            </w:r>
            <w:r>
              <w:rPr>
                <w:rFonts w:hint="eastAsia" w:ascii="仿宋" w:hAnsi="仿宋" w:eastAsia="仿宋" w:cs="仿宋"/>
                <w:color w:val="auto"/>
                <w:kern w:val="0"/>
                <w:sz w:val="24"/>
                <w:szCs w:val="24"/>
                <w:highlight w:val="none"/>
              </w:rPr>
              <w:t>安全管理方案</w:t>
            </w:r>
            <w:r>
              <w:rPr>
                <w:rFonts w:hint="eastAsia" w:ascii="仿宋" w:hAnsi="仿宋" w:eastAsia="仿宋" w:cs="仿宋"/>
                <w:color w:val="auto"/>
                <w:kern w:val="0"/>
                <w:sz w:val="24"/>
                <w:szCs w:val="24"/>
                <w:highlight w:val="none"/>
                <w:lang w:eastAsia="zh-CN"/>
              </w:rPr>
              <w:t>，</w:t>
            </w:r>
            <w:r>
              <w:rPr>
                <w:rFonts w:hint="eastAsia" w:ascii="仿宋" w:hAnsi="仿宋" w:eastAsia="仿宋" w:cs="仿宋"/>
                <w:snapToGrid w:val="0"/>
                <w:color w:val="auto"/>
                <w:sz w:val="24"/>
                <w:szCs w:val="24"/>
                <w:highlight w:val="none"/>
                <w:lang w:val="en-US" w:eastAsia="zh-CN"/>
              </w:rPr>
              <w:t>包含网络安全</w:t>
            </w:r>
            <w:r>
              <w:rPr>
                <w:rFonts w:hint="eastAsia" w:ascii="仿宋" w:hAnsi="仿宋" w:eastAsia="仿宋" w:cs="仿宋"/>
                <w:snapToGrid w:val="0"/>
                <w:color w:val="auto"/>
                <w:sz w:val="24"/>
                <w:szCs w:val="24"/>
                <w:highlight w:val="none"/>
                <w:lang w:val="zh-CN"/>
              </w:rPr>
              <w:t>、</w:t>
            </w:r>
            <w:r>
              <w:rPr>
                <w:rFonts w:hint="eastAsia" w:ascii="仿宋" w:hAnsi="仿宋" w:eastAsia="仿宋" w:cs="仿宋"/>
                <w:snapToGrid w:val="0"/>
                <w:color w:val="auto"/>
                <w:sz w:val="24"/>
                <w:szCs w:val="24"/>
                <w:highlight w:val="none"/>
                <w:lang w:val="en-US" w:eastAsia="zh-CN"/>
              </w:rPr>
              <w:t>信息安全、数据安全</w:t>
            </w:r>
            <w:r>
              <w:rPr>
                <w:rFonts w:hint="eastAsia" w:ascii="仿宋" w:hAnsi="仿宋" w:eastAsia="仿宋" w:cs="仿宋"/>
                <w:snapToGrid w:val="0"/>
                <w:color w:val="auto"/>
                <w:sz w:val="24"/>
                <w:szCs w:val="24"/>
                <w:highlight w:val="none"/>
                <w:lang w:val="zh-CN"/>
              </w:rPr>
              <w:t>、</w:t>
            </w:r>
            <w:r>
              <w:rPr>
                <w:rFonts w:hint="eastAsia" w:ascii="仿宋" w:hAnsi="仿宋" w:eastAsia="仿宋" w:cs="仿宋"/>
                <w:snapToGrid w:val="0"/>
                <w:color w:val="auto"/>
                <w:sz w:val="24"/>
                <w:szCs w:val="24"/>
                <w:highlight w:val="none"/>
                <w:lang w:val="en-US" w:eastAsia="zh-CN"/>
              </w:rPr>
              <w:t>作业安全培训</w:t>
            </w:r>
            <w:r>
              <w:rPr>
                <w:rFonts w:hint="eastAsia" w:ascii="仿宋" w:hAnsi="仿宋" w:eastAsia="仿宋" w:cs="仿宋"/>
                <w:snapToGrid w:val="0"/>
                <w:color w:val="auto"/>
                <w:sz w:val="24"/>
                <w:szCs w:val="24"/>
                <w:highlight w:val="none"/>
                <w:lang w:val="zh-CN"/>
              </w:rPr>
              <w:t>等</w:t>
            </w:r>
            <w:r>
              <w:rPr>
                <w:rFonts w:hint="eastAsia" w:ascii="仿宋" w:hAnsi="仿宋" w:eastAsia="仿宋" w:cs="仿宋"/>
                <w:i w:val="0"/>
                <w:iCs w:val="0"/>
                <w:caps w:val="0"/>
                <w:color w:val="auto"/>
                <w:spacing w:val="0"/>
                <w:sz w:val="24"/>
                <w:szCs w:val="24"/>
                <w:highlight w:val="none"/>
                <w:u w:val="none"/>
              </w:rPr>
              <w:t>（提供方案完全满足项目要求的</w:t>
            </w:r>
            <w:r>
              <w:rPr>
                <w:rFonts w:hint="eastAsia" w:ascii="仿宋" w:hAnsi="仿宋" w:eastAsia="仿宋" w:cs="仿宋"/>
                <w:i w:val="0"/>
                <w:iCs w:val="0"/>
                <w:caps w:val="0"/>
                <w:color w:val="auto"/>
                <w:spacing w:val="0"/>
                <w:sz w:val="24"/>
                <w:szCs w:val="24"/>
                <w:highlight w:val="none"/>
                <w:u w:val="none"/>
                <w:lang w:val="en-US" w:eastAsia="zh-CN"/>
              </w:rPr>
              <w:t>5</w:t>
            </w:r>
            <w:r>
              <w:rPr>
                <w:rFonts w:hint="eastAsia" w:ascii="仿宋" w:hAnsi="仿宋" w:eastAsia="仿宋" w:cs="仿宋"/>
                <w:i w:val="0"/>
                <w:iCs w:val="0"/>
                <w:caps w:val="0"/>
                <w:color w:val="auto"/>
                <w:spacing w:val="0"/>
                <w:sz w:val="24"/>
                <w:szCs w:val="24"/>
                <w:highlight w:val="none"/>
                <w:u w:val="none"/>
              </w:rPr>
              <w:t>-</w:t>
            </w:r>
            <w:r>
              <w:rPr>
                <w:rFonts w:hint="eastAsia" w:ascii="仿宋" w:hAnsi="仿宋" w:eastAsia="仿宋" w:cs="仿宋"/>
                <w:i w:val="0"/>
                <w:iCs w:val="0"/>
                <w:caps w:val="0"/>
                <w:color w:val="auto"/>
                <w:spacing w:val="0"/>
                <w:sz w:val="24"/>
                <w:szCs w:val="24"/>
                <w:highlight w:val="none"/>
                <w:u w:val="none"/>
                <w:lang w:val="en-US" w:eastAsia="zh-CN"/>
              </w:rPr>
              <w:t>3</w:t>
            </w:r>
            <w:r>
              <w:rPr>
                <w:rFonts w:hint="eastAsia" w:ascii="仿宋" w:hAnsi="仿宋" w:eastAsia="仿宋" w:cs="仿宋"/>
                <w:i w:val="0"/>
                <w:iCs w:val="0"/>
                <w:caps w:val="0"/>
                <w:color w:val="auto"/>
                <w:spacing w:val="0"/>
                <w:sz w:val="24"/>
                <w:szCs w:val="24"/>
                <w:highlight w:val="none"/>
                <w:u w:val="none"/>
              </w:rPr>
              <w:t>分；满足项目要求的</w:t>
            </w:r>
            <w:r>
              <w:rPr>
                <w:rFonts w:hint="eastAsia" w:ascii="仿宋" w:hAnsi="仿宋" w:eastAsia="仿宋" w:cs="仿宋"/>
                <w:i w:val="0"/>
                <w:iCs w:val="0"/>
                <w:caps w:val="0"/>
                <w:color w:val="auto"/>
                <w:spacing w:val="0"/>
                <w:sz w:val="24"/>
                <w:szCs w:val="24"/>
                <w:highlight w:val="none"/>
                <w:u w:val="none"/>
                <w:lang w:val="en-US" w:eastAsia="zh-CN"/>
              </w:rPr>
              <w:t>3</w:t>
            </w:r>
            <w:r>
              <w:rPr>
                <w:rFonts w:hint="eastAsia" w:ascii="仿宋" w:hAnsi="仿宋" w:eastAsia="仿宋" w:cs="仿宋"/>
                <w:i w:val="0"/>
                <w:iCs w:val="0"/>
                <w:caps w:val="0"/>
                <w:color w:val="auto"/>
                <w:spacing w:val="0"/>
                <w:sz w:val="24"/>
                <w:szCs w:val="24"/>
                <w:highlight w:val="none"/>
                <w:u w:val="none"/>
              </w:rPr>
              <w:t>-</w:t>
            </w:r>
            <w:r>
              <w:rPr>
                <w:rFonts w:hint="eastAsia" w:ascii="仿宋" w:hAnsi="仿宋" w:eastAsia="仿宋" w:cs="仿宋"/>
                <w:i w:val="0"/>
                <w:iCs w:val="0"/>
                <w:caps w:val="0"/>
                <w:color w:val="auto"/>
                <w:spacing w:val="0"/>
                <w:sz w:val="24"/>
                <w:szCs w:val="24"/>
                <w:highlight w:val="none"/>
                <w:u w:val="none"/>
                <w:lang w:val="en-US" w:eastAsia="zh-CN"/>
              </w:rPr>
              <w:t>1</w:t>
            </w:r>
            <w:r>
              <w:rPr>
                <w:rFonts w:hint="eastAsia" w:ascii="仿宋" w:hAnsi="仿宋" w:eastAsia="仿宋" w:cs="仿宋"/>
                <w:i w:val="0"/>
                <w:iCs w:val="0"/>
                <w:caps w:val="0"/>
                <w:color w:val="auto"/>
                <w:spacing w:val="0"/>
                <w:sz w:val="24"/>
                <w:szCs w:val="24"/>
                <w:highlight w:val="none"/>
                <w:u w:val="none"/>
              </w:rPr>
              <w:t>分；基本满足项目要求</w:t>
            </w:r>
            <w:r>
              <w:rPr>
                <w:rFonts w:hint="eastAsia" w:ascii="仿宋" w:hAnsi="仿宋" w:eastAsia="仿宋" w:cs="仿宋"/>
                <w:i w:val="0"/>
                <w:iCs w:val="0"/>
                <w:caps w:val="0"/>
                <w:color w:val="auto"/>
                <w:spacing w:val="0"/>
                <w:sz w:val="24"/>
                <w:szCs w:val="24"/>
                <w:highlight w:val="none"/>
                <w:u w:val="none"/>
                <w:lang w:val="en-US" w:eastAsia="zh-CN"/>
              </w:rPr>
              <w:t>1</w:t>
            </w:r>
            <w:r>
              <w:rPr>
                <w:rFonts w:hint="eastAsia" w:ascii="仿宋" w:hAnsi="仿宋" w:eastAsia="仿宋" w:cs="仿宋"/>
                <w:i w:val="0"/>
                <w:iCs w:val="0"/>
                <w:caps w:val="0"/>
                <w:color w:val="auto"/>
                <w:spacing w:val="0"/>
                <w:sz w:val="24"/>
                <w:szCs w:val="24"/>
                <w:highlight w:val="none"/>
                <w:u w:val="none"/>
              </w:rPr>
              <w:t>-0分）</w:t>
            </w:r>
            <w:r>
              <w:rPr>
                <w:rFonts w:hint="eastAsia" w:ascii="仿宋" w:hAnsi="仿宋" w:eastAsia="仿宋" w:cs="仿宋"/>
                <w:i w:val="0"/>
                <w:iCs w:val="0"/>
                <w:caps w:val="0"/>
                <w:color w:val="auto"/>
                <w:spacing w:val="0"/>
                <w:sz w:val="24"/>
                <w:szCs w:val="24"/>
                <w:highlight w:val="none"/>
                <w:u w:val="none"/>
                <w:lang w:eastAsia="zh-CN"/>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tcBorders>
              <w:top w:val="single" w:color="auto" w:sz="4" w:space="0"/>
              <w:left w:val="single" w:color="auto" w:sz="4" w:space="0"/>
              <w:bottom w:val="single" w:color="auto" w:sz="4" w:space="0"/>
            </w:tcBorders>
            <w:noWrap w:val="0"/>
            <w:vAlign w:val="center"/>
          </w:tcPr>
          <w:p>
            <w:pPr>
              <w:tabs>
                <w:tab w:val="left" w:pos="0"/>
              </w:tabs>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snapToGrid w:val="0"/>
                <w:color w:val="auto"/>
                <w:sz w:val="24"/>
                <w:szCs w:val="24"/>
                <w:highlight w:val="none"/>
                <w:lang w:val="zh-CN"/>
              </w:rPr>
              <w:t>应急响应方案</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snapToGrid w:val="0"/>
                <w:color w:val="auto"/>
                <w:sz w:val="24"/>
                <w:szCs w:val="24"/>
                <w:highlight w:val="none"/>
                <w:lang w:val="zh-CN"/>
              </w:rPr>
              <w:t>投标人应建立完善的应急响应方案，有故障分级标准、故障处理流程、故障抢修方案等</w:t>
            </w:r>
            <w:r>
              <w:rPr>
                <w:rFonts w:hint="eastAsia" w:ascii="仿宋" w:hAnsi="仿宋" w:eastAsia="仿宋" w:cs="仿宋"/>
                <w:i w:val="0"/>
                <w:iCs w:val="0"/>
                <w:caps w:val="0"/>
                <w:color w:val="auto"/>
                <w:spacing w:val="0"/>
                <w:sz w:val="24"/>
                <w:szCs w:val="24"/>
                <w:highlight w:val="none"/>
                <w:u w:val="none"/>
              </w:rPr>
              <w:t>（提供方案完全满足项目要求的</w:t>
            </w:r>
            <w:r>
              <w:rPr>
                <w:rFonts w:hint="eastAsia" w:ascii="仿宋" w:hAnsi="仿宋" w:eastAsia="仿宋" w:cs="仿宋"/>
                <w:i w:val="0"/>
                <w:iCs w:val="0"/>
                <w:caps w:val="0"/>
                <w:color w:val="auto"/>
                <w:spacing w:val="0"/>
                <w:sz w:val="24"/>
                <w:szCs w:val="24"/>
                <w:highlight w:val="none"/>
                <w:u w:val="none"/>
                <w:lang w:val="en-US" w:eastAsia="zh-CN"/>
              </w:rPr>
              <w:t>5</w:t>
            </w:r>
            <w:r>
              <w:rPr>
                <w:rFonts w:hint="eastAsia" w:ascii="仿宋" w:hAnsi="仿宋" w:eastAsia="仿宋" w:cs="仿宋"/>
                <w:i w:val="0"/>
                <w:iCs w:val="0"/>
                <w:caps w:val="0"/>
                <w:color w:val="auto"/>
                <w:spacing w:val="0"/>
                <w:sz w:val="24"/>
                <w:szCs w:val="24"/>
                <w:highlight w:val="none"/>
                <w:u w:val="none"/>
              </w:rPr>
              <w:t>-</w:t>
            </w:r>
            <w:r>
              <w:rPr>
                <w:rFonts w:hint="eastAsia" w:ascii="仿宋" w:hAnsi="仿宋" w:eastAsia="仿宋" w:cs="仿宋"/>
                <w:i w:val="0"/>
                <w:iCs w:val="0"/>
                <w:caps w:val="0"/>
                <w:color w:val="auto"/>
                <w:spacing w:val="0"/>
                <w:sz w:val="24"/>
                <w:szCs w:val="24"/>
                <w:highlight w:val="none"/>
                <w:u w:val="none"/>
                <w:lang w:val="en-US" w:eastAsia="zh-CN"/>
              </w:rPr>
              <w:t>3</w:t>
            </w:r>
            <w:r>
              <w:rPr>
                <w:rFonts w:hint="eastAsia" w:ascii="仿宋" w:hAnsi="仿宋" w:eastAsia="仿宋" w:cs="仿宋"/>
                <w:i w:val="0"/>
                <w:iCs w:val="0"/>
                <w:caps w:val="0"/>
                <w:color w:val="auto"/>
                <w:spacing w:val="0"/>
                <w:sz w:val="24"/>
                <w:szCs w:val="24"/>
                <w:highlight w:val="none"/>
                <w:u w:val="none"/>
              </w:rPr>
              <w:t>分；满足项目要求的</w:t>
            </w:r>
            <w:r>
              <w:rPr>
                <w:rFonts w:hint="eastAsia" w:ascii="仿宋" w:hAnsi="仿宋" w:eastAsia="仿宋" w:cs="仿宋"/>
                <w:i w:val="0"/>
                <w:iCs w:val="0"/>
                <w:caps w:val="0"/>
                <w:color w:val="auto"/>
                <w:spacing w:val="0"/>
                <w:sz w:val="24"/>
                <w:szCs w:val="24"/>
                <w:highlight w:val="none"/>
                <w:u w:val="none"/>
                <w:lang w:val="en-US" w:eastAsia="zh-CN"/>
              </w:rPr>
              <w:t>3</w:t>
            </w:r>
            <w:r>
              <w:rPr>
                <w:rFonts w:hint="eastAsia" w:ascii="仿宋" w:hAnsi="仿宋" w:eastAsia="仿宋" w:cs="仿宋"/>
                <w:i w:val="0"/>
                <w:iCs w:val="0"/>
                <w:caps w:val="0"/>
                <w:color w:val="auto"/>
                <w:spacing w:val="0"/>
                <w:sz w:val="24"/>
                <w:szCs w:val="24"/>
                <w:highlight w:val="none"/>
                <w:u w:val="none"/>
              </w:rPr>
              <w:t>-</w:t>
            </w:r>
            <w:r>
              <w:rPr>
                <w:rFonts w:hint="eastAsia" w:ascii="仿宋" w:hAnsi="仿宋" w:eastAsia="仿宋" w:cs="仿宋"/>
                <w:i w:val="0"/>
                <w:iCs w:val="0"/>
                <w:caps w:val="0"/>
                <w:color w:val="auto"/>
                <w:spacing w:val="0"/>
                <w:sz w:val="24"/>
                <w:szCs w:val="24"/>
                <w:highlight w:val="none"/>
                <w:u w:val="none"/>
                <w:lang w:val="en-US" w:eastAsia="zh-CN"/>
              </w:rPr>
              <w:t>1</w:t>
            </w:r>
            <w:r>
              <w:rPr>
                <w:rFonts w:hint="eastAsia" w:ascii="仿宋" w:hAnsi="仿宋" w:eastAsia="仿宋" w:cs="仿宋"/>
                <w:i w:val="0"/>
                <w:iCs w:val="0"/>
                <w:caps w:val="0"/>
                <w:color w:val="auto"/>
                <w:spacing w:val="0"/>
                <w:sz w:val="24"/>
                <w:szCs w:val="24"/>
                <w:highlight w:val="none"/>
                <w:u w:val="none"/>
              </w:rPr>
              <w:t>分；基本满足项目要求</w:t>
            </w:r>
            <w:r>
              <w:rPr>
                <w:rFonts w:hint="eastAsia" w:ascii="仿宋" w:hAnsi="仿宋" w:eastAsia="仿宋" w:cs="仿宋"/>
                <w:i w:val="0"/>
                <w:iCs w:val="0"/>
                <w:caps w:val="0"/>
                <w:color w:val="auto"/>
                <w:spacing w:val="0"/>
                <w:sz w:val="24"/>
                <w:szCs w:val="24"/>
                <w:highlight w:val="none"/>
                <w:u w:val="none"/>
                <w:lang w:val="en-US" w:eastAsia="zh-CN"/>
              </w:rPr>
              <w:t>1</w:t>
            </w:r>
            <w:r>
              <w:rPr>
                <w:rFonts w:hint="eastAsia" w:ascii="仿宋" w:hAnsi="仿宋" w:eastAsia="仿宋" w:cs="仿宋"/>
                <w:i w:val="0"/>
                <w:iCs w:val="0"/>
                <w:caps w:val="0"/>
                <w:color w:val="auto"/>
                <w:spacing w:val="0"/>
                <w:sz w:val="24"/>
                <w:szCs w:val="24"/>
                <w:highlight w:val="none"/>
                <w:u w:val="none"/>
              </w:rPr>
              <w:t>-0分）</w:t>
            </w:r>
            <w:r>
              <w:rPr>
                <w:rFonts w:hint="eastAsia" w:ascii="仿宋" w:hAnsi="仿宋" w:eastAsia="仿宋" w:cs="仿宋"/>
                <w:snapToGrid w:val="0"/>
                <w:color w:val="auto"/>
                <w:sz w:val="24"/>
                <w:szCs w:val="24"/>
                <w:highlight w:val="none"/>
                <w:lang w:val="zh-CN" w:eastAsia="zh-CN"/>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restart"/>
            <w:tcBorders>
              <w:top w:val="single" w:color="auto" w:sz="4" w:space="0"/>
              <w:left w:val="single" w:color="auto" w:sz="4" w:space="0"/>
            </w:tcBorders>
            <w:noWrap w:val="0"/>
            <w:vAlign w:val="center"/>
          </w:tcPr>
          <w:p>
            <w:pPr>
              <w:tabs>
                <w:tab w:val="left" w:pos="0"/>
              </w:tabs>
              <w:spacing w:line="360" w:lineRule="exact"/>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u w:val="none"/>
              </w:rPr>
              <w:t>项目履约能力</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snapToGrid w:val="0"/>
                <w:color w:val="auto"/>
                <w:sz w:val="24"/>
                <w:szCs w:val="24"/>
                <w:highlight w:val="none"/>
                <w:lang w:val="en-US" w:eastAsia="zh-CN"/>
              </w:rPr>
            </w:pPr>
            <w:r>
              <w:rPr>
                <w:rFonts w:hint="eastAsia" w:ascii="仿宋" w:hAnsi="仿宋" w:eastAsia="仿宋" w:cs="仿宋"/>
                <w:snapToGrid w:val="0"/>
                <w:color w:val="auto"/>
                <w:sz w:val="24"/>
                <w:szCs w:val="24"/>
                <w:highlight w:val="none"/>
                <w:lang w:val="en-US" w:eastAsia="zh-CN"/>
              </w:rPr>
              <w:t>投标人拟投入本项目服务队伍组成人员能力：</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snapToGrid w:val="0"/>
                <w:color w:val="auto"/>
                <w:sz w:val="24"/>
                <w:szCs w:val="24"/>
                <w:highlight w:val="none"/>
                <w:lang w:val="en-US" w:eastAsia="zh-CN"/>
              </w:rPr>
            </w:pPr>
            <w:r>
              <w:rPr>
                <w:rFonts w:hint="eastAsia" w:ascii="仿宋" w:hAnsi="仿宋" w:eastAsia="仿宋" w:cs="仿宋"/>
                <w:snapToGrid w:val="0"/>
                <w:color w:val="auto"/>
                <w:sz w:val="24"/>
                <w:szCs w:val="24"/>
                <w:highlight w:val="none"/>
                <w:lang w:val="en-US" w:eastAsia="zh-CN"/>
              </w:rPr>
              <w:t>持有信息系统项目管理师证书1名得1分，最多得2分；</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snapToGrid w:val="0"/>
                <w:color w:val="auto"/>
                <w:sz w:val="24"/>
                <w:szCs w:val="24"/>
                <w:highlight w:val="none"/>
                <w:lang w:val="en-US" w:eastAsia="zh-CN"/>
              </w:rPr>
            </w:pPr>
            <w:r>
              <w:rPr>
                <w:rFonts w:hint="eastAsia" w:ascii="仿宋" w:hAnsi="仿宋" w:eastAsia="仿宋" w:cs="仿宋"/>
                <w:snapToGrid w:val="0"/>
                <w:color w:val="auto"/>
                <w:sz w:val="24"/>
                <w:szCs w:val="24"/>
                <w:highlight w:val="none"/>
                <w:lang w:val="en-US" w:eastAsia="zh-CN"/>
              </w:rPr>
              <w:t>持有</w:t>
            </w:r>
            <w:r>
              <w:rPr>
                <w:rFonts w:hint="eastAsia" w:ascii="仿宋" w:hAnsi="仿宋" w:eastAsia="仿宋" w:cs="仿宋"/>
                <w:snapToGrid w:val="0"/>
                <w:color w:val="auto"/>
                <w:sz w:val="24"/>
                <w:szCs w:val="24"/>
                <w:highlight w:val="none"/>
                <w:lang w:val="zh-CN" w:eastAsia="zh-CN"/>
              </w:rPr>
              <w:t>注册信息安全专业人员</w:t>
            </w:r>
            <w:r>
              <w:rPr>
                <w:rFonts w:hint="eastAsia" w:ascii="仿宋" w:hAnsi="仿宋" w:eastAsia="仿宋" w:cs="仿宋"/>
                <w:snapToGrid w:val="0"/>
                <w:color w:val="auto"/>
                <w:sz w:val="24"/>
                <w:szCs w:val="24"/>
                <w:highlight w:val="none"/>
                <w:lang w:val="en-US" w:eastAsia="zh-CN"/>
              </w:rPr>
              <w:t>证书1名得1分，最多得2分；</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snapToGrid w:val="0"/>
                <w:color w:val="auto"/>
                <w:sz w:val="24"/>
                <w:szCs w:val="24"/>
                <w:highlight w:val="none"/>
                <w:lang w:val="en-US" w:eastAsia="zh-CN"/>
              </w:rPr>
            </w:pPr>
            <w:r>
              <w:rPr>
                <w:rFonts w:hint="eastAsia" w:ascii="仿宋" w:hAnsi="仿宋" w:eastAsia="仿宋" w:cs="仿宋"/>
                <w:snapToGrid w:val="0"/>
                <w:color w:val="auto"/>
                <w:sz w:val="24"/>
                <w:szCs w:val="24"/>
                <w:highlight w:val="none"/>
                <w:lang w:val="en-US" w:eastAsia="zh-CN"/>
              </w:rPr>
              <w:t>持有网络工程师证书1名得1分，最多得2分；</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snapToGrid w:val="0"/>
                <w:color w:val="auto"/>
                <w:sz w:val="24"/>
                <w:szCs w:val="24"/>
                <w:highlight w:val="none"/>
                <w:lang w:val="en-US" w:eastAsia="zh-CN"/>
              </w:rPr>
            </w:pPr>
            <w:r>
              <w:rPr>
                <w:rFonts w:hint="eastAsia" w:ascii="仿宋" w:hAnsi="仿宋" w:eastAsia="仿宋" w:cs="仿宋"/>
                <w:snapToGrid w:val="0"/>
                <w:color w:val="auto"/>
                <w:sz w:val="24"/>
                <w:szCs w:val="24"/>
                <w:highlight w:val="none"/>
                <w:lang w:val="en-US" w:eastAsia="zh-CN"/>
              </w:rPr>
              <w:t>持有中级通信专业技术人员证书1名得1分，最多得2分；</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snapToGrid w:val="0"/>
                <w:color w:val="auto"/>
                <w:sz w:val="24"/>
                <w:szCs w:val="24"/>
                <w:highlight w:val="none"/>
                <w:lang w:val="en-US" w:eastAsia="zh-CN"/>
              </w:rPr>
            </w:pPr>
            <w:r>
              <w:rPr>
                <w:rFonts w:hint="eastAsia" w:ascii="仿宋" w:hAnsi="仿宋" w:eastAsia="仿宋" w:cs="仿宋"/>
                <w:snapToGrid w:val="0"/>
                <w:color w:val="auto"/>
                <w:sz w:val="24"/>
                <w:szCs w:val="24"/>
                <w:highlight w:val="none"/>
                <w:lang w:val="en-US" w:eastAsia="zh-CN"/>
              </w:rPr>
              <w:t>持有电工证1名得1分，最多得2分。</w:t>
            </w:r>
          </w:p>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val="0"/>
                <w:color w:val="auto"/>
                <w:sz w:val="24"/>
                <w:szCs w:val="24"/>
                <w:highlight w:val="none"/>
                <w:lang w:val="en-US" w:eastAsia="zh-CN"/>
              </w:rPr>
              <w:t>提供社保证明及相关证书复印件，同一人具有多个证书按一个证书计算，就高原则；所有维保人员需提供不少于1个月的社保证明。</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10分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bottom w:val="single" w:color="auto" w:sz="4" w:space="0"/>
            </w:tcBorders>
            <w:noWrap w:val="0"/>
            <w:vAlign w:val="center"/>
          </w:tcPr>
          <w:p>
            <w:pPr>
              <w:tabs>
                <w:tab w:val="left" w:pos="0"/>
              </w:tabs>
              <w:spacing w:line="360" w:lineRule="exact"/>
              <w:jc w:val="center"/>
              <w:rPr>
                <w:rFonts w:hint="eastAsia" w:ascii="仿宋" w:hAnsi="仿宋" w:eastAsia="仿宋" w:cs="仿宋"/>
                <w:b w:val="0"/>
                <w:bCs w:val="0"/>
                <w:i w:val="0"/>
                <w:iCs w:val="0"/>
                <w:color w:val="auto"/>
                <w:kern w:val="0"/>
                <w:sz w:val="24"/>
                <w:szCs w:val="24"/>
                <w:highlight w:val="none"/>
                <w:u w:val="none"/>
                <w:lang w:val="en-US" w:eastAsia="zh-CN" w:bidi="ar"/>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投标人至少1辆</w:t>
            </w:r>
            <w:r>
              <w:rPr>
                <w:rFonts w:hint="eastAsia" w:ascii="仿宋" w:hAnsi="仿宋" w:eastAsia="仿宋" w:cs="仿宋"/>
                <w:color w:val="auto"/>
                <w:sz w:val="24"/>
                <w:szCs w:val="24"/>
                <w:highlight w:val="none"/>
                <w:lang w:val="en-US" w:eastAsia="zh-CN"/>
              </w:rPr>
              <w:t>应急通信保障车辆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配备车载无线</w:t>
            </w:r>
            <w:r>
              <w:rPr>
                <w:rFonts w:hint="eastAsia" w:ascii="仿宋" w:hAnsi="仿宋" w:eastAsia="仿宋" w:cs="仿宋"/>
                <w:color w:val="auto"/>
                <w:sz w:val="24"/>
                <w:szCs w:val="24"/>
                <w:highlight w:val="none"/>
              </w:rPr>
              <w:t>基站设备），需提供车辆彩照，车辆行驶证、保险等</w:t>
            </w:r>
            <w:r>
              <w:rPr>
                <w:rFonts w:hint="eastAsia" w:ascii="仿宋" w:hAnsi="仿宋" w:eastAsia="仿宋" w:cs="仿宋"/>
                <w:color w:val="auto"/>
                <w:sz w:val="24"/>
                <w:szCs w:val="24"/>
                <w:highlight w:val="none"/>
                <w:lang w:eastAsia="zh-CN"/>
              </w:rPr>
              <w:t>扫描件</w:t>
            </w:r>
            <w:r>
              <w:rPr>
                <w:rFonts w:hint="eastAsia" w:ascii="仿宋" w:hAnsi="仿宋" w:eastAsia="仿宋" w:cs="仿宋"/>
                <w:color w:val="auto"/>
                <w:sz w:val="24"/>
                <w:szCs w:val="24"/>
                <w:highlight w:val="none"/>
              </w:rPr>
              <w:t>。响应得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分，不响应不得分。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2分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rPr>
              <w:t>合理化建议</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kern w:val="0"/>
                <w:sz w:val="24"/>
                <w:szCs w:val="24"/>
                <w:highlight w:val="none"/>
              </w:rPr>
              <w:t>针对本项目实际情况，对供应商提出</w:t>
            </w:r>
            <w:r>
              <w:rPr>
                <w:rFonts w:hint="eastAsia" w:ascii="仿宋" w:hAnsi="仿宋" w:eastAsia="仿宋" w:cs="仿宋"/>
                <w:color w:val="auto"/>
                <w:kern w:val="0"/>
                <w:sz w:val="24"/>
                <w:szCs w:val="24"/>
                <w:highlight w:val="none"/>
                <w:lang w:val="en-US" w:eastAsia="zh-CN"/>
              </w:rPr>
              <w:t>有效的</w:t>
            </w:r>
            <w:r>
              <w:rPr>
                <w:rFonts w:hint="eastAsia" w:ascii="仿宋" w:hAnsi="仿宋" w:eastAsia="仿宋" w:cs="仿宋"/>
                <w:color w:val="auto"/>
                <w:kern w:val="0"/>
                <w:sz w:val="24"/>
                <w:szCs w:val="24"/>
                <w:highlight w:val="none"/>
              </w:rPr>
              <w:t>的合理化建议</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kern w:val="0"/>
                <w:sz w:val="24"/>
                <w:szCs w:val="24"/>
                <w:highlight w:val="none"/>
              </w:rPr>
              <w:t>措施措施进行</w:t>
            </w:r>
            <w:r>
              <w:rPr>
                <w:rFonts w:hint="eastAsia" w:ascii="仿宋" w:hAnsi="仿宋" w:eastAsia="仿宋" w:cs="仿宋"/>
                <w:color w:val="auto"/>
                <w:kern w:val="2"/>
                <w:sz w:val="24"/>
                <w:szCs w:val="24"/>
                <w:highlight w:val="none"/>
                <w:u w:val="none"/>
                <w:lang w:val="en-US" w:eastAsia="zh-CN" w:bidi="ar-SA"/>
              </w:rPr>
              <w:t>打分（0-2分）</w:t>
            </w:r>
            <w:r>
              <w:rPr>
                <w:rFonts w:hint="eastAsia" w:ascii="仿宋" w:hAnsi="仿宋" w:eastAsia="仿宋" w:cs="仿宋"/>
                <w:color w:val="auto"/>
                <w:kern w:val="0"/>
                <w:sz w:val="24"/>
                <w:szCs w:val="24"/>
                <w:highlight w:val="none"/>
                <w:lang w:eastAsia="zh-CN"/>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2分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bl>
    <w:p>
      <w:pPr>
        <w:rPr>
          <w:color w:val="auto"/>
          <w:highlight w:val="none"/>
        </w:rPr>
      </w:pPr>
    </w:p>
    <w:tbl>
      <w:tblPr>
        <w:tblStyle w:val="63"/>
        <w:tblW w:w="9773" w:type="dxa"/>
        <w:tblInd w:w="-3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0"/>
        <w:gridCol w:w="728"/>
        <w:gridCol w:w="1200"/>
        <w:gridCol w:w="4895"/>
        <w:gridCol w:w="977"/>
        <w:gridCol w:w="9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00" w:type="dxa"/>
            <w:vMerge w:val="restart"/>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restart"/>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商务技术评分标准</w:t>
            </w:r>
            <w:r>
              <w:rPr>
                <w:rFonts w:hint="eastAsia" w:ascii="仿宋" w:hAnsi="仿宋" w:eastAsia="仿宋" w:cs="仿宋"/>
                <w:b/>
                <w:bCs/>
                <w:color w:val="auto"/>
                <w:sz w:val="24"/>
                <w:highlight w:val="none"/>
              </w:rPr>
              <w:t>（标项</w:t>
            </w:r>
            <w:r>
              <w:rPr>
                <w:rFonts w:hint="eastAsia" w:ascii="仿宋" w:hAnsi="仿宋" w:eastAsia="仿宋" w:cs="仿宋"/>
                <w:b/>
                <w:bCs/>
                <w:color w:val="auto"/>
                <w:sz w:val="24"/>
                <w:highlight w:val="none"/>
                <w:lang w:val="en-US" w:eastAsia="zh-CN"/>
              </w:rPr>
              <w:t>五</w:t>
            </w:r>
            <w:r>
              <w:rPr>
                <w:rFonts w:hint="eastAsia" w:ascii="仿宋" w:hAnsi="仿宋" w:eastAsia="仿宋" w:cs="仿宋"/>
                <w:b/>
                <w:bCs/>
                <w:color w:val="auto"/>
                <w:sz w:val="24"/>
                <w:highlight w:val="none"/>
              </w:rPr>
              <w:t>）</w:t>
            </w:r>
          </w:p>
        </w:tc>
        <w:tc>
          <w:tcPr>
            <w:tcW w:w="1200" w:type="dxa"/>
            <w:vMerge w:val="restart"/>
            <w:tcBorders>
              <w:top w:val="single" w:color="auto" w:sz="4" w:space="0"/>
              <w:left w:val="single" w:color="auto" w:sz="4" w:space="0"/>
            </w:tcBorders>
            <w:noWrap w:val="0"/>
            <w:vAlign w:val="center"/>
          </w:tcPr>
          <w:p>
            <w:pPr>
              <w:tabs>
                <w:tab w:val="left" w:pos="0"/>
              </w:tabs>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lang w:val="en-US" w:eastAsia="zh-CN"/>
              </w:rPr>
              <w:t>监理工作</w:t>
            </w:r>
            <w:r>
              <w:rPr>
                <w:rFonts w:hint="eastAsia" w:ascii="仿宋" w:hAnsi="仿宋" w:eastAsia="仿宋" w:cs="仿宋"/>
                <w:color w:val="auto"/>
                <w:sz w:val="24"/>
                <w:szCs w:val="24"/>
                <w:highlight w:val="none"/>
                <w:lang w:val="zh-CN"/>
              </w:rPr>
              <w:t>方案</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监理工作基本制度全面、措施完善</w:t>
            </w:r>
            <w:r>
              <w:rPr>
                <w:rFonts w:hint="eastAsia" w:ascii="仿宋" w:hAnsi="仿宋" w:eastAsia="仿宋" w:cs="仿宋"/>
                <w:color w:val="auto"/>
                <w:kern w:val="2"/>
                <w:sz w:val="24"/>
                <w:szCs w:val="24"/>
                <w:highlight w:val="none"/>
                <w:u w:val="none"/>
                <w:lang w:val="en-US" w:eastAsia="zh-CN" w:bidi="ar-SA"/>
              </w:rPr>
              <w:t>（0-5分）。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4"/>
              <w:snapToGrid w:val="0"/>
              <w:spacing w:line="360" w:lineRule="exact"/>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对项目建设思路、原则、特点、技术要求的理解和监理要点情况，</w:t>
            </w:r>
            <w:r>
              <w:rPr>
                <w:rFonts w:hint="eastAsia" w:ascii="仿宋" w:hAnsi="仿宋" w:eastAsia="仿宋" w:cs="仿宋"/>
                <w:color w:val="auto"/>
                <w:kern w:val="2"/>
                <w:sz w:val="24"/>
                <w:szCs w:val="24"/>
                <w:highlight w:val="none"/>
                <w:lang w:val="en-US" w:eastAsia="zh-CN" w:bidi="ar-SA"/>
              </w:rPr>
              <w:t>尤其是重点、难点环节的综合分析和监理措施，监理项目验收方法等情况</w:t>
            </w:r>
            <w:r>
              <w:rPr>
                <w:rFonts w:hint="eastAsia" w:ascii="仿宋" w:hAnsi="仿宋" w:eastAsia="仿宋" w:cs="仿宋"/>
                <w:color w:val="auto"/>
                <w:kern w:val="2"/>
                <w:sz w:val="24"/>
                <w:szCs w:val="24"/>
                <w:highlight w:val="none"/>
                <w:u w:val="none"/>
                <w:lang w:val="en-US" w:eastAsia="zh-CN" w:bidi="ar-SA"/>
              </w:rPr>
              <w:t>（0-5分）。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4"/>
              <w:snapToGrid w:val="0"/>
              <w:spacing w:line="360" w:lineRule="exact"/>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i w:val="0"/>
                <w:iCs w:val="0"/>
                <w:color w:val="auto"/>
                <w:kern w:val="0"/>
                <w:sz w:val="24"/>
                <w:szCs w:val="24"/>
                <w:highlight w:val="none"/>
                <w:u w:val="none"/>
                <w:lang w:val="en-US" w:eastAsia="zh-CN" w:bidi="ar"/>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是否熟悉相关业务，对项目需求的理解是否有独到的优势合理化建议</w:t>
            </w:r>
            <w:r>
              <w:rPr>
                <w:rFonts w:hint="eastAsia" w:ascii="仿宋" w:hAnsi="仿宋" w:eastAsia="仿宋" w:cs="仿宋"/>
                <w:color w:val="auto"/>
                <w:kern w:val="2"/>
                <w:sz w:val="24"/>
                <w:szCs w:val="24"/>
                <w:highlight w:val="none"/>
                <w:u w:val="none"/>
                <w:lang w:val="en-US" w:eastAsia="zh-CN" w:bidi="ar-SA"/>
              </w:rPr>
              <w:t>（0-4分）。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60" w:lineRule="exact"/>
              <w:ind w:left="469" w:leftChars="0" w:hanging="469" w:firstLineChars="0"/>
              <w:jc w:val="center"/>
              <w:rPr>
                <w:rFonts w:hint="eastAsia" w:ascii="仿宋" w:hAnsi="仿宋" w:eastAsia="仿宋" w:cs="仿宋"/>
                <w:snapToGrid w:val="0"/>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lang w:val="zh-CN"/>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质量控制方案：针对本项目情况科学合理地采取质量控制措施</w:t>
            </w:r>
            <w:r>
              <w:rPr>
                <w:rFonts w:hint="eastAsia" w:ascii="仿宋" w:hAnsi="仿宋" w:eastAsia="仿宋" w:cs="仿宋"/>
                <w:color w:val="auto"/>
                <w:kern w:val="2"/>
                <w:sz w:val="24"/>
                <w:szCs w:val="24"/>
                <w:highlight w:val="none"/>
                <w:u w:val="none"/>
                <w:lang w:val="en-US" w:eastAsia="zh-CN" w:bidi="ar-SA"/>
              </w:rPr>
              <w:t>（0-4分）</w:t>
            </w:r>
            <w:r>
              <w:rPr>
                <w:rFonts w:hint="eastAsia" w:ascii="仿宋" w:hAnsi="仿宋" w:eastAsia="仿宋" w:cs="仿宋"/>
                <w:color w:val="auto"/>
                <w:kern w:val="2"/>
                <w:sz w:val="24"/>
                <w:szCs w:val="24"/>
                <w:highlight w:val="none"/>
                <w:lang w:val="en-US" w:eastAsia="zh-CN" w:bidi="ar-SA"/>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4"/>
              <w:snapToGrid w:val="0"/>
              <w:spacing w:line="360" w:lineRule="exact"/>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pStyle w:val="2"/>
              <w:spacing w:line="360" w:lineRule="exact"/>
              <w:rPr>
                <w:rFonts w:hint="eastAsia" w:ascii="仿宋" w:hAnsi="仿宋" w:eastAsia="仿宋" w:cs="仿宋"/>
                <w:color w:val="auto"/>
                <w:szCs w:val="24"/>
                <w:highlight w:val="none"/>
              </w:rPr>
            </w:pPr>
          </w:p>
          <w:p>
            <w:pPr>
              <w:spacing w:line="360" w:lineRule="exact"/>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进度控制方案：针对本项目情况科学合理地采取进度控制措施</w:t>
            </w:r>
            <w:r>
              <w:rPr>
                <w:rFonts w:hint="eastAsia" w:ascii="仿宋" w:hAnsi="仿宋" w:eastAsia="仿宋" w:cs="仿宋"/>
                <w:color w:val="auto"/>
                <w:kern w:val="2"/>
                <w:sz w:val="24"/>
                <w:szCs w:val="24"/>
                <w:highlight w:val="none"/>
                <w:u w:val="none"/>
                <w:lang w:val="en-US" w:eastAsia="zh-CN" w:bidi="ar-SA"/>
              </w:rPr>
              <w:t>（0-4分）</w:t>
            </w:r>
            <w:r>
              <w:rPr>
                <w:rFonts w:hint="eastAsia" w:ascii="仿宋" w:hAnsi="仿宋" w:eastAsia="仿宋" w:cs="仿宋"/>
                <w:color w:val="auto"/>
                <w:kern w:val="2"/>
                <w:sz w:val="24"/>
                <w:szCs w:val="24"/>
                <w:highlight w:val="none"/>
                <w:lang w:val="en-US" w:eastAsia="zh-CN" w:bidi="ar-SA"/>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4"/>
              <w:snapToGrid w:val="0"/>
              <w:spacing w:line="360" w:lineRule="exact"/>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投资控制方案：针对本项目情况科学合理地采取投资控制措施</w:t>
            </w:r>
            <w:r>
              <w:rPr>
                <w:rFonts w:hint="eastAsia" w:ascii="仿宋" w:hAnsi="仿宋" w:eastAsia="仿宋" w:cs="仿宋"/>
                <w:color w:val="auto"/>
                <w:kern w:val="2"/>
                <w:sz w:val="24"/>
                <w:szCs w:val="24"/>
                <w:highlight w:val="none"/>
                <w:u w:val="none"/>
                <w:lang w:val="en-US" w:eastAsia="zh-CN" w:bidi="ar-SA"/>
              </w:rPr>
              <w:t>（0-4分）</w:t>
            </w:r>
            <w:r>
              <w:rPr>
                <w:rFonts w:hint="eastAsia" w:ascii="仿宋" w:hAnsi="仿宋" w:eastAsia="仿宋" w:cs="仿宋"/>
                <w:color w:val="auto"/>
                <w:kern w:val="2"/>
                <w:sz w:val="24"/>
                <w:szCs w:val="24"/>
                <w:highlight w:val="none"/>
                <w:lang w:val="en-US" w:eastAsia="zh-CN" w:bidi="ar-SA"/>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4"/>
              <w:snapToGrid w:val="0"/>
              <w:spacing w:line="360" w:lineRule="exact"/>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合同管理方案：针对本项目情况科学合理地采取合同和信息管理</w:t>
            </w:r>
            <w:r>
              <w:rPr>
                <w:rFonts w:hint="eastAsia" w:ascii="仿宋" w:hAnsi="仿宋" w:eastAsia="仿宋" w:cs="仿宋"/>
                <w:color w:val="auto"/>
                <w:kern w:val="2"/>
                <w:sz w:val="24"/>
                <w:szCs w:val="24"/>
                <w:highlight w:val="none"/>
                <w:u w:val="none"/>
                <w:lang w:val="en-US" w:eastAsia="zh-CN" w:bidi="ar-SA"/>
              </w:rPr>
              <w:t>（0-4分）</w:t>
            </w:r>
            <w:r>
              <w:rPr>
                <w:rFonts w:hint="eastAsia" w:ascii="仿宋" w:hAnsi="仿宋" w:eastAsia="仿宋" w:cs="仿宋"/>
                <w:color w:val="auto"/>
                <w:kern w:val="2"/>
                <w:sz w:val="24"/>
                <w:szCs w:val="24"/>
                <w:highlight w:val="none"/>
                <w:lang w:val="en-US" w:eastAsia="zh-CN" w:bidi="ar-SA"/>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4"/>
              <w:snapToGrid w:val="0"/>
              <w:spacing w:line="360" w:lineRule="exact"/>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安全及文明施工监督方案：针对本项目情况科学合理采取安全及文明施工措施</w:t>
            </w:r>
            <w:r>
              <w:rPr>
                <w:rFonts w:hint="eastAsia" w:ascii="仿宋" w:hAnsi="仿宋" w:eastAsia="仿宋" w:cs="仿宋"/>
                <w:color w:val="auto"/>
                <w:kern w:val="2"/>
                <w:sz w:val="24"/>
                <w:szCs w:val="24"/>
                <w:highlight w:val="none"/>
                <w:u w:val="none"/>
                <w:lang w:val="en-US" w:eastAsia="zh-CN" w:bidi="ar-SA"/>
              </w:rPr>
              <w:t>（0-4分）</w:t>
            </w:r>
            <w:r>
              <w:rPr>
                <w:rFonts w:hint="eastAsia" w:ascii="仿宋" w:hAnsi="仿宋" w:eastAsia="仿宋" w:cs="仿宋"/>
                <w:color w:val="auto"/>
                <w:kern w:val="2"/>
                <w:sz w:val="24"/>
                <w:szCs w:val="24"/>
                <w:highlight w:val="none"/>
                <w:lang w:val="zh-CN" w:eastAsia="zh-CN" w:bidi="ar-SA"/>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4"/>
              <w:snapToGrid w:val="0"/>
              <w:spacing w:line="360" w:lineRule="exact"/>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交通工具、检测设备方案：根据交通工具、检测设备的配备进行评议</w:t>
            </w:r>
            <w:r>
              <w:rPr>
                <w:rFonts w:hint="eastAsia" w:ascii="仿宋" w:hAnsi="仿宋" w:eastAsia="仿宋" w:cs="仿宋"/>
                <w:color w:val="auto"/>
                <w:kern w:val="2"/>
                <w:sz w:val="24"/>
                <w:szCs w:val="24"/>
                <w:highlight w:val="none"/>
                <w:u w:val="none"/>
                <w:lang w:val="en-US" w:eastAsia="zh-CN" w:bidi="ar-SA"/>
              </w:rPr>
              <w:t>（0-4分）</w:t>
            </w:r>
            <w:r>
              <w:rPr>
                <w:rFonts w:hint="eastAsia" w:ascii="仿宋" w:hAnsi="仿宋" w:eastAsia="仿宋" w:cs="仿宋"/>
                <w:color w:val="auto"/>
                <w:kern w:val="2"/>
                <w:sz w:val="24"/>
                <w:szCs w:val="24"/>
                <w:highlight w:val="none"/>
                <w:lang w:val="en-US" w:eastAsia="zh-CN" w:bidi="ar-SA"/>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4"/>
              <w:snapToGrid w:val="0"/>
              <w:spacing w:line="360" w:lineRule="exact"/>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投标人提供信息系统工程监理管理系统、项目进度管理软件、性能测试软件、漏洞扫描工具、信息安全等级保护检查工具箱，每提供一项得1分，最高得5分。</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（上述监理工具必须为供应商自身持有，根据响应文件中提供以上工具软件著作权或购置发票与合同扫描件进行评分，未提供或不符合以上条件不得分。）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zh-CN"/>
              </w:rPr>
              <w:t>5分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tcBorders>
              <w:top w:val="single" w:color="auto" w:sz="4" w:space="0"/>
              <w:lef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咨询评估工作方案</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提供针对本项目的咨询工作方案：包括咨询工作流程、咨询工作实施方案、软硬件</w:t>
            </w:r>
            <w:r>
              <w:rPr>
                <w:rFonts w:hint="eastAsia" w:ascii="仿宋" w:hAnsi="仿宋" w:eastAsia="仿宋" w:cs="仿宋"/>
                <w:color w:val="auto"/>
                <w:kern w:val="2"/>
                <w:sz w:val="24"/>
                <w:szCs w:val="24"/>
                <w:highlight w:val="none"/>
                <w:lang w:val="zh-CN" w:eastAsia="zh-CN" w:bidi="ar-SA"/>
              </w:rPr>
              <w:t>预算审核工作方案、</w:t>
            </w:r>
            <w:r>
              <w:rPr>
                <w:rFonts w:hint="eastAsia" w:ascii="仿宋" w:hAnsi="仿宋" w:eastAsia="仿宋" w:cs="仿宋"/>
                <w:color w:val="auto"/>
                <w:kern w:val="2"/>
                <w:sz w:val="24"/>
                <w:szCs w:val="24"/>
                <w:highlight w:val="none"/>
                <w:lang w:val="en-US" w:eastAsia="zh-CN" w:bidi="ar-SA"/>
              </w:rPr>
              <w:t>前后绩效评估工作方案</w:t>
            </w:r>
            <w:r>
              <w:rPr>
                <w:rFonts w:hint="eastAsia" w:ascii="仿宋" w:hAnsi="仿宋" w:eastAsia="仿宋" w:cs="仿宋"/>
                <w:color w:val="auto"/>
                <w:kern w:val="2"/>
                <w:sz w:val="24"/>
                <w:szCs w:val="24"/>
                <w:highlight w:val="none"/>
                <w:lang w:val="zh-CN" w:eastAsia="zh-CN" w:bidi="ar-SA"/>
              </w:rPr>
              <w:t>。（咨询工作流程规范合理，咨询实施工作方案完整，</w:t>
            </w:r>
            <w:r>
              <w:rPr>
                <w:rFonts w:hint="eastAsia" w:ascii="仿宋" w:hAnsi="仿宋" w:eastAsia="仿宋" w:cs="仿宋"/>
                <w:color w:val="auto"/>
                <w:kern w:val="2"/>
                <w:sz w:val="24"/>
                <w:szCs w:val="24"/>
                <w:highlight w:val="none"/>
                <w:lang w:val="en-US" w:eastAsia="zh-CN" w:bidi="ar-SA"/>
              </w:rPr>
              <w:t>软硬件</w:t>
            </w:r>
            <w:r>
              <w:rPr>
                <w:rFonts w:hint="eastAsia" w:ascii="仿宋" w:hAnsi="仿宋" w:eastAsia="仿宋" w:cs="仿宋"/>
                <w:color w:val="auto"/>
                <w:kern w:val="2"/>
                <w:sz w:val="24"/>
                <w:szCs w:val="24"/>
                <w:highlight w:val="none"/>
                <w:lang w:val="zh-CN" w:eastAsia="zh-CN" w:bidi="ar-SA"/>
              </w:rPr>
              <w:t>预算审核工作方案操作性强，</w:t>
            </w:r>
            <w:r>
              <w:rPr>
                <w:rFonts w:hint="eastAsia" w:ascii="仿宋" w:hAnsi="仿宋" w:eastAsia="仿宋" w:cs="仿宋"/>
                <w:color w:val="auto"/>
                <w:kern w:val="2"/>
                <w:sz w:val="24"/>
                <w:szCs w:val="24"/>
                <w:highlight w:val="none"/>
                <w:lang w:val="en-US" w:eastAsia="zh-CN" w:bidi="ar-SA"/>
              </w:rPr>
              <w:t>前后绩效评估工作方案针对性强的，</w:t>
            </w:r>
            <w:r>
              <w:rPr>
                <w:rFonts w:hint="eastAsia" w:ascii="仿宋" w:hAnsi="仿宋" w:eastAsia="仿宋" w:cs="仿宋"/>
                <w:color w:val="auto"/>
                <w:kern w:val="2"/>
                <w:sz w:val="24"/>
                <w:szCs w:val="24"/>
                <w:highlight w:val="none"/>
                <w:lang w:val="zh-CN" w:eastAsia="zh-CN" w:bidi="ar-SA"/>
              </w:rPr>
              <w:t>得</w:t>
            </w:r>
            <w:r>
              <w:rPr>
                <w:rFonts w:hint="eastAsia" w:ascii="仿宋" w:hAnsi="仿宋" w:eastAsia="仿宋" w:cs="仿宋"/>
                <w:color w:val="auto"/>
                <w:kern w:val="2"/>
                <w:sz w:val="24"/>
                <w:szCs w:val="24"/>
                <w:highlight w:val="none"/>
                <w:lang w:val="en-US" w:eastAsia="zh-CN" w:bidi="ar-SA"/>
              </w:rPr>
              <w:t>10-8分；</w:t>
            </w:r>
            <w:r>
              <w:rPr>
                <w:rFonts w:hint="eastAsia" w:ascii="仿宋" w:hAnsi="仿宋" w:eastAsia="仿宋" w:cs="仿宋"/>
                <w:color w:val="auto"/>
                <w:kern w:val="2"/>
                <w:sz w:val="24"/>
                <w:szCs w:val="24"/>
                <w:highlight w:val="none"/>
                <w:lang w:val="zh-CN" w:eastAsia="zh-CN" w:bidi="ar-SA"/>
              </w:rPr>
              <w:t>咨询工作流程基本合理，咨询实施工作方案基本完整，</w:t>
            </w:r>
            <w:r>
              <w:rPr>
                <w:rFonts w:hint="eastAsia" w:ascii="仿宋" w:hAnsi="仿宋" w:eastAsia="仿宋" w:cs="仿宋"/>
                <w:color w:val="auto"/>
                <w:kern w:val="2"/>
                <w:sz w:val="24"/>
                <w:szCs w:val="24"/>
                <w:highlight w:val="none"/>
                <w:lang w:val="en-US" w:eastAsia="zh-CN" w:bidi="ar-SA"/>
              </w:rPr>
              <w:t>软硬件</w:t>
            </w:r>
            <w:r>
              <w:rPr>
                <w:rFonts w:hint="eastAsia" w:ascii="仿宋" w:hAnsi="仿宋" w:eastAsia="仿宋" w:cs="仿宋"/>
                <w:color w:val="auto"/>
                <w:kern w:val="2"/>
                <w:sz w:val="24"/>
                <w:szCs w:val="24"/>
                <w:highlight w:val="none"/>
                <w:lang w:val="zh-CN" w:eastAsia="zh-CN" w:bidi="ar-SA"/>
              </w:rPr>
              <w:t>预算审核工作方案操作性一般，</w:t>
            </w:r>
            <w:r>
              <w:rPr>
                <w:rFonts w:hint="eastAsia" w:ascii="仿宋" w:hAnsi="仿宋" w:eastAsia="仿宋" w:cs="仿宋"/>
                <w:color w:val="auto"/>
                <w:kern w:val="2"/>
                <w:sz w:val="24"/>
                <w:szCs w:val="24"/>
                <w:highlight w:val="none"/>
                <w:lang w:val="en-US" w:eastAsia="zh-CN" w:bidi="ar-SA"/>
              </w:rPr>
              <w:t>前后绩效评估工作方案针对性一般的，</w:t>
            </w:r>
            <w:r>
              <w:rPr>
                <w:rFonts w:hint="eastAsia" w:ascii="仿宋" w:hAnsi="仿宋" w:eastAsia="仿宋" w:cs="仿宋"/>
                <w:color w:val="auto"/>
                <w:kern w:val="2"/>
                <w:sz w:val="24"/>
                <w:szCs w:val="24"/>
                <w:highlight w:val="none"/>
                <w:lang w:val="zh-CN" w:eastAsia="zh-CN" w:bidi="ar-SA"/>
              </w:rPr>
              <w:t>得</w:t>
            </w:r>
            <w:r>
              <w:rPr>
                <w:rFonts w:hint="eastAsia" w:ascii="仿宋" w:hAnsi="仿宋" w:eastAsia="仿宋" w:cs="仿宋"/>
                <w:color w:val="auto"/>
                <w:kern w:val="2"/>
                <w:sz w:val="24"/>
                <w:szCs w:val="24"/>
                <w:highlight w:val="none"/>
                <w:lang w:val="en-US" w:eastAsia="zh-CN" w:bidi="ar-SA"/>
              </w:rPr>
              <w:t>7-5分；</w:t>
            </w:r>
            <w:r>
              <w:rPr>
                <w:rFonts w:hint="eastAsia" w:ascii="仿宋" w:hAnsi="仿宋" w:eastAsia="仿宋" w:cs="仿宋"/>
                <w:color w:val="auto"/>
                <w:kern w:val="2"/>
                <w:sz w:val="24"/>
                <w:szCs w:val="24"/>
                <w:highlight w:val="none"/>
                <w:lang w:val="zh-CN" w:eastAsia="zh-CN" w:bidi="ar-SA"/>
              </w:rPr>
              <w:t>咨询工作流程基本欠合理，咨询实施工作方案欠完整，</w:t>
            </w:r>
            <w:r>
              <w:rPr>
                <w:rFonts w:hint="eastAsia" w:ascii="仿宋" w:hAnsi="仿宋" w:eastAsia="仿宋" w:cs="仿宋"/>
                <w:color w:val="auto"/>
                <w:kern w:val="2"/>
                <w:sz w:val="24"/>
                <w:szCs w:val="24"/>
                <w:highlight w:val="none"/>
                <w:lang w:val="en-US" w:eastAsia="zh-CN" w:bidi="ar-SA"/>
              </w:rPr>
              <w:t>软硬件</w:t>
            </w:r>
            <w:r>
              <w:rPr>
                <w:rFonts w:hint="eastAsia" w:ascii="仿宋" w:hAnsi="仿宋" w:eastAsia="仿宋" w:cs="仿宋"/>
                <w:color w:val="auto"/>
                <w:kern w:val="2"/>
                <w:sz w:val="24"/>
                <w:szCs w:val="24"/>
                <w:highlight w:val="none"/>
                <w:lang w:val="zh-CN" w:eastAsia="zh-CN" w:bidi="ar-SA"/>
              </w:rPr>
              <w:t>预算审核工作方案欠可操作性，</w:t>
            </w:r>
            <w:r>
              <w:rPr>
                <w:rFonts w:hint="eastAsia" w:ascii="仿宋" w:hAnsi="仿宋" w:eastAsia="仿宋" w:cs="仿宋"/>
                <w:color w:val="auto"/>
                <w:kern w:val="2"/>
                <w:sz w:val="24"/>
                <w:szCs w:val="24"/>
                <w:highlight w:val="none"/>
                <w:lang w:val="en-US" w:eastAsia="zh-CN" w:bidi="ar-SA"/>
              </w:rPr>
              <w:t>前后绩效评估工作方案针对性较差</w:t>
            </w:r>
            <w:r>
              <w:rPr>
                <w:rFonts w:hint="eastAsia" w:ascii="仿宋" w:hAnsi="仿宋" w:eastAsia="仿宋" w:cs="仿宋"/>
                <w:color w:val="auto"/>
                <w:kern w:val="2"/>
                <w:sz w:val="24"/>
                <w:szCs w:val="24"/>
                <w:highlight w:val="none"/>
                <w:lang w:val="zh-CN" w:eastAsia="zh-CN" w:bidi="ar-SA"/>
              </w:rPr>
              <w:t>的，得</w:t>
            </w:r>
            <w:r>
              <w:rPr>
                <w:rFonts w:hint="eastAsia" w:ascii="仿宋" w:hAnsi="仿宋" w:eastAsia="仿宋" w:cs="仿宋"/>
                <w:color w:val="auto"/>
                <w:kern w:val="2"/>
                <w:sz w:val="24"/>
                <w:szCs w:val="24"/>
                <w:highlight w:val="none"/>
                <w:lang w:val="en-US" w:eastAsia="zh-CN" w:bidi="ar-SA"/>
              </w:rPr>
              <w:t>1-4分</w:t>
            </w:r>
            <w:r>
              <w:rPr>
                <w:rFonts w:hint="eastAsia" w:ascii="仿宋" w:hAnsi="仿宋" w:eastAsia="仿宋" w:cs="仿宋"/>
                <w:color w:val="auto"/>
                <w:kern w:val="2"/>
                <w:sz w:val="24"/>
                <w:szCs w:val="24"/>
                <w:highlight w:val="none"/>
                <w:lang w:val="zh-CN" w:eastAsia="zh-CN" w:bidi="ar-SA"/>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pStyle w:val="2"/>
              <w:spacing w:line="360" w:lineRule="exact"/>
              <w:rPr>
                <w:rFonts w:hint="eastAsia" w:ascii="仿宋" w:hAnsi="仿宋" w:eastAsia="仿宋" w:cs="仿宋"/>
                <w:color w:val="auto"/>
                <w:szCs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restart"/>
            <w:tcBorders>
              <w:top w:val="single" w:color="auto" w:sz="4" w:space="0"/>
              <w:lef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总监理工程师及工作小组成员的构成及其工作资质情况（人员资质以提供的证书为准；类似项目业绩以合同或业主证明为准）</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总监理工程师具有以下证书：</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1、人力资源和社会保障部门等政府部门颁发的信息系统监理师；</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2、人力资源和社会保障部门等政府部门颁发的数据库系统工程师证书；</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3、人力资源和社会保障部门等政府部门颁发的信息系统项目管理师；</w:t>
            </w:r>
          </w:p>
          <w:p>
            <w:pPr>
              <w:spacing w:line="360" w:lineRule="exact"/>
              <w:jc w:val="left"/>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en-US" w:eastAsia="zh-CN" w:bidi="ar-SA"/>
              </w:rPr>
              <w:t>4、人力资源和社会保障部门等政府部门颁发的一级建造师（机电工程专业）</w:t>
            </w:r>
            <w:r>
              <w:rPr>
                <w:rFonts w:hint="eastAsia" w:ascii="仿宋" w:hAnsi="仿宋" w:eastAsia="仿宋" w:cs="仿宋"/>
                <w:color w:val="auto"/>
                <w:kern w:val="2"/>
                <w:sz w:val="24"/>
                <w:szCs w:val="24"/>
                <w:highlight w:val="none"/>
                <w:lang w:val="zh-CN" w:eastAsia="zh-CN" w:bidi="ar-SA"/>
              </w:rPr>
              <w:t>；</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5、中国工程咨询协会颁发</w:t>
            </w:r>
            <w:r>
              <w:rPr>
                <w:rFonts w:hint="eastAsia" w:ascii="仿宋" w:hAnsi="仿宋" w:eastAsia="仿宋" w:cs="仿宋"/>
                <w:color w:val="auto"/>
                <w:kern w:val="2"/>
                <w:sz w:val="24"/>
                <w:szCs w:val="24"/>
                <w:highlight w:val="none"/>
                <w:lang w:val="en-US" w:eastAsia="zh-CN" w:bidi="ar-SA"/>
              </w:rPr>
              <w:t>的</w:t>
            </w:r>
            <w:r>
              <w:rPr>
                <w:rFonts w:hint="eastAsia" w:ascii="仿宋" w:hAnsi="仿宋" w:eastAsia="仿宋" w:cs="仿宋"/>
                <w:color w:val="auto"/>
                <w:kern w:val="2"/>
                <w:sz w:val="24"/>
                <w:szCs w:val="24"/>
                <w:highlight w:val="none"/>
                <w:lang w:val="zh-CN" w:eastAsia="zh-CN" w:bidi="ar-SA"/>
              </w:rPr>
              <w:t>咨询工程师（投资）证书</w:t>
            </w:r>
            <w:r>
              <w:rPr>
                <w:rFonts w:hint="eastAsia" w:ascii="仿宋" w:hAnsi="仿宋" w:eastAsia="仿宋" w:cs="仿宋"/>
                <w:color w:val="auto"/>
                <w:kern w:val="2"/>
                <w:sz w:val="24"/>
                <w:szCs w:val="24"/>
                <w:highlight w:val="none"/>
                <w:lang w:val="en-US" w:eastAsia="zh-CN" w:bidi="ar-SA"/>
              </w:rPr>
              <w:t>；</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每个有效证书得1分，</w:t>
            </w:r>
            <w:r>
              <w:rPr>
                <w:rFonts w:hint="eastAsia" w:ascii="仿宋" w:hAnsi="仿宋" w:eastAsia="仿宋" w:cs="仿宋"/>
                <w:color w:val="auto"/>
                <w:kern w:val="2"/>
                <w:sz w:val="24"/>
                <w:szCs w:val="24"/>
                <w:highlight w:val="none"/>
                <w:lang w:val="zh-CN" w:eastAsia="zh-CN" w:bidi="ar-SA"/>
              </w:rPr>
              <w:t>本项最高得</w:t>
            </w:r>
            <w:r>
              <w:rPr>
                <w:rFonts w:hint="eastAsia" w:ascii="仿宋" w:hAnsi="仿宋" w:eastAsia="仿宋" w:cs="仿宋"/>
                <w:color w:val="auto"/>
                <w:kern w:val="2"/>
                <w:sz w:val="24"/>
                <w:szCs w:val="24"/>
                <w:highlight w:val="none"/>
                <w:lang w:val="en-US" w:eastAsia="zh-CN" w:bidi="ar-SA"/>
              </w:rPr>
              <w:t>5</w:t>
            </w:r>
            <w:r>
              <w:rPr>
                <w:rFonts w:hint="eastAsia" w:ascii="仿宋" w:hAnsi="仿宋" w:eastAsia="仿宋" w:cs="仿宋"/>
                <w:color w:val="auto"/>
                <w:kern w:val="2"/>
                <w:sz w:val="24"/>
                <w:szCs w:val="24"/>
                <w:highlight w:val="none"/>
                <w:lang w:val="zh-CN" w:eastAsia="zh-CN" w:bidi="ar-SA"/>
              </w:rPr>
              <w:t>分。（本项目总监理工程师需提供</w:t>
            </w:r>
            <w:r>
              <w:rPr>
                <w:rFonts w:hint="eastAsia" w:ascii="仿宋" w:hAnsi="仿宋" w:eastAsia="仿宋" w:cs="仿宋"/>
                <w:snapToGrid w:val="0"/>
                <w:color w:val="auto"/>
                <w:sz w:val="24"/>
                <w:szCs w:val="24"/>
                <w:highlight w:val="none"/>
                <w:lang w:val="en-US" w:eastAsia="zh-CN"/>
              </w:rPr>
              <w:t>不少于</w:t>
            </w:r>
            <w:r>
              <w:rPr>
                <w:rFonts w:hint="eastAsia" w:ascii="仿宋" w:hAnsi="仿宋" w:eastAsia="仿宋" w:cs="仿宋"/>
                <w:color w:val="auto"/>
                <w:kern w:val="2"/>
                <w:sz w:val="24"/>
                <w:szCs w:val="24"/>
                <w:highlight w:val="none"/>
                <w:lang w:val="zh-CN" w:eastAsia="zh-CN" w:bidi="ar-SA"/>
              </w:rPr>
              <w:t>1个月的社保证明，培训证无效）；</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4"/>
              <w:snapToGrid w:val="0"/>
              <w:spacing w:line="360" w:lineRule="exact"/>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pStyle w:val="2"/>
              <w:spacing w:line="360" w:lineRule="exact"/>
              <w:rPr>
                <w:rFonts w:hint="eastAsia" w:ascii="仿宋" w:hAnsi="仿宋" w:eastAsia="仿宋" w:cs="仿宋"/>
                <w:color w:val="auto"/>
                <w:szCs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总监理工程师代表在具备信息系统监理师的基础上具有以下证书：</w:t>
            </w:r>
          </w:p>
          <w:p>
            <w:pPr>
              <w:numPr>
                <w:ilvl w:val="0"/>
                <w:numId w:val="7"/>
              </w:num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人力资源和社会保障部门等政府部门颁发软件评测师；</w:t>
            </w:r>
          </w:p>
          <w:p>
            <w:pPr>
              <w:numPr>
                <w:ilvl w:val="0"/>
                <w:numId w:val="7"/>
              </w:num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人力资源和社会保障部门等政府部门颁发的信息系统项目管理师证书；</w:t>
            </w:r>
          </w:p>
          <w:p>
            <w:pPr>
              <w:numPr>
                <w:ilvl w:val="0"/>
                <w:numId w:val="7"/>
              </w:num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人力资源和社会保障部门等政府部门颁发的数据库系统工程师证书；</w:t>
            </w:r>
          </w:p>
          <w:p>
            <w:pPr>
              <w:numPr>
                <w:ilvl w:val="0"/>
                <w:numId w:val="0"/>
              </w:num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每提供一项得1分，最高得3分</w:t>
            </w:r>
            <w:r>
              <w:rPr>
                <w:rFonts w:hint="eastAsia" w:ascii="仿宋" w:hAnsi="仿宋" w:eastAsia="仿宋" w:cs="仿宋"/>
                <w:color w:val="auto"/>
                <w:kern w:val="2"/>
                <w:sz w:val="24"/>
                <w:szCs w:val="24"/>
                <w:highlight w:val="none"/>
                <w:lang w:val="zh-CN" w:eastAsia="zh-CN" w:bidi="ar-SA"/>
              </w:rPr>
              <w:t>；（本项目总监理工程师</w:t>
            </w:r>
            <w:r>
              <w:rPr>
                <w:rFonts w:hint="eastAsia" w:ascii="仿宋" w:hAnsi="仿宋" w:eastAsia="仿宋" w:cs="仿宋"/>
                <w:color w:val="auto"/>
                <w:kern w:val="2"/>
                <w:sz w:val="24"/>
                <w:szCs w:val="24"/>
                <w:highlight w:val="none"/>
                <w:lang w:val="en-US" w:eastAsia="zh-CN" w:bidi="ar-SA"/>
              </w:rPr>
              <w:t>代表</w:t>
            </w:r>
            <w:r>
              <w:rPr>
                <w:rFonts w:hint="eastAsia" w:ascii="仿宋" w:hAnsi="仿宋" w:eastAsia="仿宋" w:cs="仿宋"/>
                <w:color w:val="auto"/>
                <w:kern w:val="2"/>
                <w:sz w:val="24"/>
                <w:szCs w:val="24"/>
                <w:highlight w:val="none"/>
                <w:lang w:val="zh-CN" w:eastAsia="zh-CN" w:bidi="ar-SA"/>
              </w:rPr>
              <w:t>需提供</w:t>
            </w:r>
            <w:r>
              <w:rPr>
                <w:rFonts w:hint="eastAsia" w:ascii="仿宋" w:hAnsi="仿宋" w:eastAsia="仿宋" w:cs="仿宋"/>
                <w:snapToGrid w:val="0"/>
                <w:color w:val="auto"/>
                <w:sz w:val="24"/>
                <w:szCs w:val="24"/>
                <w:highlight w:val="none"/>
                <w:lang w:val="en-US" w:eastAsia="zh-CN"/>
              </w:rPr>
              <w:t>不少于</w:t>
            </w:r>
            <w:r>
              <w:rPr>
                <w:rFonts w:hint="eastAsia" w:ascii="仿宋" w:hAnsi="仿宋" w:eastAsia="仿宋" w:cs="仿宋"/>
                <w:color w:val="auto"/>
                <w:kern w:val="2"/>
                <w:sz w:val="24"/>
                <w:szCs w:val="24"/>
                <w:highlight w:val="none"/>
                <w:lang w:val="zh-CN" w:eastAsia="zh-CN" w:bidi="ar-SA"/>
              </w:rPr>
              <w:t>1个月的社保证明，培训证无效）。</w:t>
            </w:r>
          </w:p>
        </w:tc>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3分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pStyle w:val="2"/>
              <w:spacing w:line="360" w:lineRule="exact"/>
              <w:rPr>
                <w:rFonts w:hint="eastAsia" w:ascii="仿宋" w:hAnsi="仿宋" w:eastAsia="仿宋" w:cs="仿宋"/>
                <w:color w:val="auto"/>
                <w:szCs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exact"/>
              <w:rPr>
                <w:rFonts w:hint="eastAsia" w:ascii="仿宋" w:hAnsi="仿宋" w:eastAsia="仿宋" w:cs="仿宋"/>
                <w:snapToGrid/>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项目组技术总工在具备信息系统监理师的基础上，具有以下证书：</w:t>
            </w:r>
          </w:p>
          <w:p>
            <w:pPr>
              <w:pStyle w:val="3"/>
              <w:numPr>
                <w:ilvl w:val="0"/>
                <w:numId w:val="8"/>
              </w:numPr>
              <w:spacing w:line="360" w:lineRule="exact"/>
              <w:rPr>
                <w:rFonts w:hint="eastAsia" w:ascii="仿宋" w:hAnsi="仿宋" w:eastAsia="仿宋" w:cs="仿宋"/>
                <w:snapToGrid/>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中国计算机软件专业技术资格和水平考试委员会颁发的信息安全工程师；</w:t>
            </w:r>
          </w:p>
          <w:p>
            <w:pPr>
              <w:pStyle w:val="3"/>
              <w:numPr>
                <w:ilvl w:val="0"/>
                <w:numId w:val="8"/>
              </w:numPr>
              <w:spacing w:line="360" w:lineRule="exact"/>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人力资源和社会保障部门等政府部门颁发的数据库系统工程师</w:t>
            </w:r>
          </w:p>
          <w:p>
            <w:pPr>
              <w:pStyle w:val="3"/>
              <w:numPr>
                <w:ilvl w:val="0"/>
                <w:numId w:val="8"/>
              </w:numPr>
              <w:spacing w:line="360" w:lineRule="exact"/>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国家密码据商用密码管理办公室颁发的商用密码应用安全性评估从业人员证书；</w:t>
            </w:r>
          </w:p>
          <w:p>
            <w:pPr>
              <w:pStyle w:val="3"/>
              <w:numPr>
                <w:ilvl w:val="0"/>
                <w:numId w:val="0"/>
              </w:numPr>
              <w:spacing w:line="360" w:lineRule="exact"/>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snapToGrid/>
                <w:color w:val="auto"/>
                <w:kern w:val="2"/>
                <w:sz w:val="24"/>
                <w:szCs w:val="24"/>
                <w:highlight w:val="none"/>
                <w:lang w:val="en-US" w:eastAsia="zh-CN" w:bidi="ar-SA"/>
              </w:rPr>
              <w:t>每提供一项得1分，最高得3分（本项目组技术总工</w:t>
            </w:r>
            <w:r>
              <w:rPr>
                <w:rFonts w:hint="eastAsia" w:ascii="仿宋" w:hAnsi="仿宋" w:eastAsia="仿宋" w:cs="仿宋"/>
                <w:color w:val="auto"/>
                <w:kern w:val="2"/>
                <w:sz w:val="24"/>
                <w:szCs w:val="24"/>
                <w:highlight w:val="none"/>
                <w:lang w:val="zh-CN" w:eastAsia="zh-CN" w:bidi="ar-SA"/>
              </w:rPr>
              <w:t>需提供</w:t>
            </w:r>
            <w:r>
              <w:rPr>
                <w:rFonts w:hint="eastAsia" w:ascii="仿宋" w:hAnsi="仿宋" w:eastAsia="仿宋" w:cs="仿宋"/>
                <w:snapToGrid w:val="0"/>
                <w:color w:val="auto"/>
                <w:sz w:val="24"/>
                <w:szCs w:val="24"/>
                <w:highlight w:val="none"/>
                <w:lang w:val="en-US" w:eastAsia="zh-CN"/>
              </w:rPr>
              <w:t>不少于</w:t>
            </w:r>
            <w:r>
              <w:rPr>
                <w:rFonts w:hint="eastAsia" w:ascii="仿宋" w:hAnsi="仿宋" w:eastAsia="仿宋" w:cs="仿宋"/>
                <w:color w:val="auto"/>
                <w:kern w:val="2"/>
                <w:sz w:val="24"/>
                <w:szCs w:val="24"/>
                <w:highlight w:val="none"/>
                <w:lang w:val="zh-CN" w:eastAsia="zh-CN" w:bidi="ar-SA"/>
              </w:rPr>
              <w:t>1个月的社保证明，培训证无效</w:t>
            </w:r>
            <w:r>
              <w:rPr>
                <w:rFonts w:hint="eastAsia" w:ascii="仿宋" w:hAnsi="仿宋" w:eastAsia="仿宋" w:cs="仿宋"/>
                <w:snapToGrid/>
                <w:color w:val="auto"/>
                <w:kern w:val="2"/>
                <w:sz w:val="24"/>
                <w:szCs w:val="24"/>
                <w:highlight w:val="none"/>
                <w:lang w:val="en-US" w:eastAsia="zh-CN" w:bidi="ar-SA"/>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54"/>
              <w:snapToGrid w:val="0"/>
              <w:spacing w:line="360" w:lineRule="exact"/>
              <w:ind w:left="500" w:leftChars="52" w:hanging="391" w:hangingChars="163"/>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pStyle w:val="2"/>
              <w:spacing w:line="360" w:lineRule="exact"/>
              <w:rPr>
                <w:rFonts w:hint="eastAsia" w:ascii="仿宋" w:hAnsi="仿宋" w:eastAsia="仿宋" w:cs="仿宋"/>
                <w:color w:val="auto"/>
                <w:szCs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拟投入本项目的“监理服务团队”组成人员（除去总监理工程师、总监理工程师代表、项目组技术总工外）在具备信息系统监理师的基础上，具有以下证书：</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1）系统分析师；</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2）软件设计师（高级程序员）；</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3）网络工程师；</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4）系统集成项目管理师；</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每提供一项得1分，最高得4分（</w:t>
            </w:r>
            <w:r>
              <w:rPr>
                <w:rFonts w:hint="eastAsia" w:ascii="仿宋" w:hAnsi="仿宋" w:eastAsia="仿宋" w:cs="仿宋"/>
                <w:color w:val="auto"/>
                <w:kern w:val="2"/>
                <w:sz w:val="24"/>
                <w:szCs w:val="24"/>
                <w:highlight w:val="none"/>
                <w:lang w:val="en-US" w:eastAsia="zh-CN" w:bidi="ar-SA"/>
              </w:rPr>
              <w:t>本项目的“监理服务团队”组成人员需</w:t>
            </w:r>
            <w:r>
              <w:rPr>
                <w:rFonts w:hint="eastAsia" w:ascii="仿宋" w:hAnsi="仿宋" w:eastAsia="仿宋" w:cs="仿宋"/>
                <w:color w:val="auto"/>
                <w:kern w:val="2"/>
                <w:sz w:val="24"/>
                <w:szCs w:val="24"/>
                <w:highlight w:val="none"/>
                <w:lang w:val="zh-CN" w:eastAsia="zh-CN" w:bidi="ar-SA"/>
              </w:rPr>
              <w:t>提供</w:t>
            </w:r>
            <w:r>
              <w:rPr>
                <w:rFonts w:hint="eastAsia" w:ascii="仿宋" w:hAnsi="仿宋" w:eastAsia="仿宋" w:cs="仿宋"/>
                <w:snapToGrid w:val="0"/>
                <w:color w:val="auto"/>
                <w:sz w:val="24"/>
                <w:szCs w:val="24"/>
                <w:highlight w:val="none"/>
                <w:lang w:val="en-US" w:eastAsia="zh-CN"/>
              </w:rPr>
              <w:t>不少于</w:t>
            </w:r>
            <w:r>
              <w:rPr>
                <w:rFonts w:hint="eastAsia" w:ascii="仿宋" w:hAnsi="仿宋" w:eastAsia="仿宋" w:cs="仿宋"/>
                <w:color w:val="auto"/>
                <w:kern w:val="2"/>
                <w:sz w:val="24"/>
                <w:szCs w:val="24"/>
                <w:highlight w:val="none"/>
                <w:lang w:val="zh-CN" w:eastAsia="zh-CN" w:bidi="ar-SA"/>
              </w:rPr>
              <w:t>1个月的社保证明，培训证无效）。项目组成员不同人员，相同证书，不可重复计分；一位成员拥有多个证书不重复计分。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54"/>
              <w:snapToGrid w:val="0"/>
              <w:spacing w:line="360" w:lineRule="exact"/>
              <w:ind w:left="500" w:leftChars="52" w:hanging="391" w:hangingChars="163"/>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4分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1000" w:type="dxa"/>
            <w:vMerge w:val="continue"/>
            <w:tcBorders>
              <w:top w:val="single" w:color="auto" w:sz="4" w:space="0"/>
              <w:right w:val="single" w:color="auto" w:sz="4" w:space="0"/>
            </w:tcBorders>
            <w:noWrap w:val="0"/>
            <w:vAlign w:val="center"/>
          </w:tcPr>
          <w:p>
            <w:pPr>
              <w:pStyle w:val="2"/>
              <w:spacing w:line="360" w:lineRule="exact"/>
              <w:rPr>
                <w:rFonts w:hint="eastAsia" w:ascii="仿宋" w:hAnsi="仿宋" w:eastAsia="仿宋" w:cs="仿宋"/>
                <w:color w:val="auto"/>
                <w:szCs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tcBorders>
              <w:top w:val="single" w:color="auto" w:sz="4" w:space="0"/>
              <w:lef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技术支持和售后服务</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针对本项目，监理单位的相关服务、响应时间、问题解决时限等承诺；（0-</w:t>
            </w:r>
            <w:r>
              <w:rPr>
                <w:rFonts w:hint="eastAsia" w:ascii="仿宋" w:hAnsi="仿宋" w:eastAsia="仿宋" w:cs="仿宋"/>
                <w:color w:val="auto"/>
                <w:kern w:val="2"/>
                <w:sz w:val="24"/>
                <w:szCs w:val="24"/>
                <w:highlight w:val="none"/>
                <w:lang w:val="en-US" w:eastAsia="zh-CN" w:bidi="ar-SA"/>
              </w:rPr>
              <w:t>5</w:t>
            </w:r>
            <w:r>
              <w:rPr>
                <w:rFonts w:hint="eastAsia" w:ascii="仿宋" w:hAnsi="仿宋" w:eastAsia="仿宋" w:cs="仿宋"/>
                <w:color w:val="auto"/>
                <w:kern w:val="2"/>
                <w:sz w:val="24"/>
                <w:szCs w:val="24"/>
                <w:highlight w:val="none"/>
                <w:lang w:val="zh-CN" w:eastAsia="zh-CN" w:bidi="ar-SA"/>
              </w:rPr>
              <w:t>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54"/>
              <w:snapToGrid w:val="0"/>
              <w:spacing w:line="360" w:lineRule="exact"/>
              <w:ind w:left="500" w:leftChars="52" w:hanging="391" w:hangingChars="163"/>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restart"/>
            <w:tcBorders>
              <w:top w:val="single" w:color="auto" w:sz="4" w:space="0"/>
              <w:lef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企业实力及信誉</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宋体"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en-US" w:eastAsia="zh-CN"/>
              </w:rPr>
              <w:t>具有</w:t>
            </w:r>
            <w:r>
              <w:rPr>
                <w:rFonts w:hint="eastAsia" w:ascii="仿宋" w:hAnsi="仿宋" w:eastAsia="仿宋" w:cs="仿宋"/>
                <w:color w:val="auto"/>
                <w:sz w:val="24"/>
                <w:szCs w:val="24"/>
                <w:highlight w:val="none"/>
              </w:rPr>
              <w:t>信息安全服务认证证书的得1分，没有不得分</w:t>
            </w:r>
            <w:r>
              <w:rPr>
                <w:rFonts w:hint="eastAsia"/>
                <w:color w:val="auto"/>
                <w:highlight w:val="none"/>
                <w:lang w:eastAsia="zh-CN"/>
              </w:rPr>
              <w:t>。</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60" w:lineRule="exact"/>
              <w:ind w:left="469" w:leftChars="0" w:hanging="469" w:firstLineChars="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vMerge w:val="continue"/>
            <w:tcBorders>
              <w:left w:val="single" w:color="auto" w:sz="4" w:space="0"/>
            </w:tcBorders>
            <w:noWrap w:val="0"/>
            <w:vAlign w:val="center"/>
          </w:tcPr>
          <w:p>
            <w:pPr>
              <w:tabs>
                <w:tab w:val="left" w:pos="0"/>
              </w:tabs>
              <w:spacing w:line="360" w:lineRule="exact"/>
              <w:jc w:val="center"/>
              <w:rPr>
                <w:rFonts w:hint="eastAsia" w:ascii="仿宋" w:hAnsi="仿宋" w:eastAsia="仿宋" w:cs="仿宋"/>
                <w:color w:val="auto"/>
                <w:sz w:val="24"/>
                <w:szCs w:val="24"/>
                <w:highlight w:val="none"/>
                <w:lang w:val="en-US" w:eastAsia="zh-CN"/>
              </w:rPr>
            </w:pP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zh-CN"/>
              </w:rPr>
              <w:t>具备质量管理体系认证、环境管理体系认证、职业健康安全管理体系认证、信息安全管理体系认证，每个得1分，</w:t>
            </w:r>
            <w:r>
              <w:rPr>
                <w:rFonts w:hint="eastAsia" w:ascii="仿宋" w:hAnsi="仿宋" w:eastAsia="仿宋" w:cs="仿宋"/>
                <w:color w:val="auto"/>
                <w:sz w:val="24"/>
                <w:szCs w:val="24"/>
                <w:highlight w:val="none"/>
              </w:rPr>
              <w:t>最高得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zh-CN"/>
              </w:rPr>
              <w:t>。（投标文件中必须提供上述证书扫描件及全国认证认可信息公共服务平台网页截图）</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60" w:lineRule="exact"/>
              <w:ind w:left="469" w:leftChars="0" w:hanging="469" w:firstLineChars="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rPr>
              <w:t>4分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728" w:type="dxa"/>
            <w:vMerge w:val="continue"/>
            <w:tcBorders>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200" w:type="dxa"/>
            <w:tcBorders>
              <w:top w:val="single" w:color="auto" w:sz="4" w:space="0"/>
              <w:left w:val="single" w:color="auto" w:sz="4" w:space="0"/>
              <w:bottom w:val="single" w:color="auto" w:sz="4" w:space="0"/>
            </w:tcBorders>
            <w:noWrap w:val="0"/>
            <w:vAlign w:val="center"/>
          </w:tcPr>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zh-CN"/>
              </w:rPr>
              <w:t>业绩</w:t>
            </w:r>
          </w:p>
        </w:tc>
        <w:tc>
          <w:tcPr>
            <w:tcW w:w="48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zh-CN"/>
              </w:rPr>
              <w:t>2020年1月1日以来承担类似信息化项目监理，根据合同复印件每个项目得</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zh-CN"/>
              </w:rPr>
              <w:t>分，本项最高得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w:t>
            </w:r>
          </w:p>
          <w:p>
            <w:pPr>
              <w:spacing w:line="36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（提供合同</w:t>
            </w:r>
            <w:r>
              <w:rPr>
                <w:rFonts w:hint="eastAsia" w:ascii="仿宋" w:hAnsi="仿宋" w:eastAsia="仿宋" w:cs="仿宋"/>
                <w:color w:val="auto"/>
                <w:sz w:val="24"/>
                <w:szCs w:val="24"/>
                <w:highlight w:val="none"/>
                <w:lang w:val="en-US" w:eastAsia="zh-CN"/>
              </w:rPr>
              <w:t>扫描件</w:t>
            </w:r>
            <w:r>
              <w:rPr>
                <w:rFonts w:hint="eastAsia" w:ascii="仿宋" w:hAnsi="仿宋" w:eastAsia="仿宋" w:cs="仿宋"/>
                <w:color w:val="auto"/>
                <w:sz w:val="24"/>
                <w:szCs w:val="24"/>
                <w:highlight w:val="none"/>
                <w:lang w:val="zh-CN"/>
              </w:rPr>
              <w:t>，未提供不得分。</w:t>
            </w:r>
            <w:r>
              <w:rPr>
                <w:rFonts w:hint="eastAsia" w:ascii="仿宋" w:hAnsi="仿宋" w:eastAsia="仿宋" w:cs="仿宋"/>
                <w:color w:val="auto"/>
                <w:sz w:val="24"/>
                <w:szCs w:val="24"/>
                <w:highlight w:val="none"/>
              </w:rPr>
              <w:t>确认业绩日期以合同签订时间为准。）</w:t>
            </w:r>
          </w:p>
        </w:tc>
        <w:tc>
          <w:tcPr>
            <w:tcW w:w="977" w:type="dxa"/>
            <w:tcBorders>
              <w:top w:val="single" w:color="auto" w:sz="4" w:space="0"/>
              <w:left w:val="single" w:color="auto" w:sz="4" w:space="0"/>
              <w:bottom w:val="single" w:color="auto" w:sz="4" w:space="0"/>
              <w:right w:val="single" w:color="auto" w:sz="4" w:space="0"/>
            </w:tcBorders>
            <w:noWrap w:val="0"/>
            <w:vAlign w:val="center"/>
          </w:tcPr>
          <w:p>
            <w:pPr>
              <w:pStyle w:val="3"/>
              <w:adjustRightInd w:val="0"/>
              <w:snapToGrid w:val="0"/>
              <w:spacing w:line="360" w:lineRule="exact"/>
              <w:ind w:left="469" w:leftChars="0" w:hanging="469" w:firstLineChars="0"/>
              <w:jc w:val="center"/>
              <w:rPr>
                <w:rFonts w:hint="eastAsia" w:ascii="仿宋" w:hAnsi="仿宋" w:eastAsia="仿宋" w:cs="仿宋"/>
                <w:snapToGrid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973" w:type="dxa"/>
            <w:tcBorders>
              <w:top w:val="single" w:color="auto" w:sz="4" w:space="0"/>
              <w:left w:val="single" w:color="auto" w:sz="4" w:space="0"/>
              <w:bottom w:val="single" w:color="auto" w:sz="4" w:space="0"/>
            </w:tcBorders>
            <w:noWrap w:val="0"/>
            <w:vAlign w:val="center"/>
          </w:tcPr>
          <w:p>
            <w:pPr>
              <w:autoSpaceDE w:val="0"/>
              <w:autoSpaceDN w:val="0"/>
              <w:spacing w:line="36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restart"/>
            <w:tcBorders>
              <w:top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2.3.3</w:t>
            </w:r>
          </w:p>
        </w:tc>
        <w:tc>
          <w:tcPr>
            <w:tcW w:w="19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报价评分标准</w:t>
            </w:r>
          </w:p>
        </w:tc>
        <w:tc>
          <w:tcPr>
            <w:tcW w:w="6845" w:type="dxa"/>
            <w:gridSpan w:val="3"/>
            <w:tcBorders>
              <w:top w:val="single" w:color="auto" w:sz="4" w:space="0"/>
              <w:left w:val="single" w:color="auto" w:sz="4" w:space="0"/>
              <w:bottom w:val="single" w:color="auto" w:sz="4" w:space="0"/>
            </w:tcBorders>
            <w:noWrap w:val="0"/>
            <w:vAlign w:val="center"/>
          </w:tcPr>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（1）满足采购文件要求且报价最低的投标报价为评标基准价，其价格分为满分。</w:t>
            </w:r>
          </w:p>
          <w:p>
            <w:pPr>
              <w:snapToGrid w:val="0"/>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（2）其他投标人的投标价格得分按以下公式计算：</w:t>
            </w:r>
          </w:p>
          <w:p>
            <w:pPr>
              <w:snapToGrid w:val="0"/>
              <w:spacing w:line="36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投标报价得分=（评标基准价/</w:t>
            </w:r>
            <w:r>
              <w:rPr>
                <w:rFonts w:hint="eastAsia" w:ascii="仿宋" w:hAnsi="仿宋" w:eastAsia="仿宋" w:cs="仿宋"/>
                <w:color w:val="auto"/>
                <w:sz w:val="24"/>
                <w:highlight w:val="none"/>
                <w:lang w:val="zh-CN"/>
              </w:rPr>
              <w:t>有效投标报价</w:t>
            </w:r>
            <w:r>
              <w:rPr>
                <w:rFonts w:hint="eastAsia" w:ascii="仿宋" w:hAnsi="仿宋" w:eastAsia="仿宋" w:cs="仿宋"/>
                <w:color w:val="auto"/>
                <w:sz w:val="24"/>
                <w:highlight w:val="none"/>
              </w:rPr>
              <w:t>）× 价格权值 ×100（四舍五入，保留小数点后2位）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top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highlight w:val="none"/>
              </w:rPr>
            </w:pPr>
          </w:p>
        </w:tc>
        <w:tc>
          <w:tcPr>
            <w:tcW w:w="19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落实政府采购政策需进行的价格扣除</w:t>
            </w:r>
          </w:p>
        </w:tc>
        <w:tc>
          <w:tcPr>
            <w:tcW w:w="6845" w:type="dxa"/>
            <w:gridSpan w:val="3"/>
            <w:tcBorders>
              <w:top w:val="single" w:color="auto" w:sz="4" w:space="0"/>
              <w:left w:val="single" w:color="auto" w:sz="4" w:space="0"/>
              <w:bottom w:val="single" w:color="auto" w:sz="4" w:space="0"/>
            </w:tcBorders>
            <w:noWrap w:val="0"/>
            <w:vAlign w:val="center"/>
          </w:tcPr>
          <w:p>
            <w:pPr>
              <w:snapToGrid w:val="0"/>
              <w:spacing w:line="360" w:lineRule="exact"/>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rPr>
              <w:t>1）小微企业（含</w:t>
            </w:r>
            <w:r>
              <w:rPr>
                <w:rFonts w:hint="eastAsia" w:ascii="仿宋" w:hAnsi="仿宋" w:eastAsia="仿宋" w:cs="仿宋"/>
                <w:color w:val="auto"/>
                <w:sz w:val="24"/>
                <w:highlight w:val="none"/>
              </w:rPr>
              <w:t>监狱企业、残疾人福利性单位。</w:t>
            </w:r>
            <w:r>
              <w:rPr>
                <w:rFonts w:hint="eastAsia" w:ascii="仿宋" w:hAnsi="仿宋" w:eastAsia="仿宋" w:cs="仿宋"/>
                <w:bCs/>
                <w:color w:val="auto"/>
                <w:spacing w:val="6"/>
                <w:sz w:val="24"/>
                <w:highlight w:val="none"/>
              </w:rPr>
              <w:t>）报价扣除</w:t>
            </w:r>
            <w:r>
              <w:rPr>
                <w:rFonts w:hint="eastAsia" w:ascii="仿宋" w:hAnsi="仿宋" w:eastAsia="仿宋" w:cs="仿宋"/>
                <w:bCs/>
                <w:color w:val="auto"/>
                <w:spacing w:val="6"/>
                <w:sz w:val="24"/>
                <w:highlight w:val="none"/>
                <w:u w:val="single"/>
              </w:rPr>
              <w:t xml:space="preserve"> </w:t>
            </w:r>
            <w:r>
              <w:rPr>
                <w:rFonts w:hint="eastAsia" w:ascii="仿宋" w:hAnsi="仿宋" w:eastAsia="仿宋" w:cs="仿宋"/>
                <w:bCs/>
                <w:color w:val="auto"/>
                <w:spacing w:val="6"/>
                <w:sz w:val="24"/>
                <w:highlight w:val="none"/>
                <w:u w:val="single"/>
                <w:lang w:val="en-US" w:eastAsia="zh-CN"/>
              </w:rPr>
              <w:t>10</w:t>
            </w:r>
            <w:r>
              <w:rPr>
                <w:rFonts w:hint="eastAsia" w:ascii="仿宋" w:hAnsi="仿宋" w:eastAsia="仿宋" w:cs="仿宋"/>
                <w:bCs/>
                <w:color w:val="auto"/>
                <w:spacing w:val="6"/>
                <w:sz w:val="24"/>
                <w:highlight w:val="none"/>
                <w:u w:val="single"/>
              </w:rPr>
              <w:t xml:space="preserve"> </w:t>
            </w:r>
            <w:r>
              <w:rPr>
                <w:rFonts w:hint="eastAsia" w:ascii="仿宋" w:hAnsi="仿宋" w:eastAsia="仿宋" w:cs="仿宋"/>
                <w:bCs/>
                <w:color w:val="auto"/>
                <w:spacing w:val="6"/>
                <w:sz w:val="24"/>
                <w:highlight w:val="none"/>
              </w:rPr>
              <w:t>%，即评标价=投标报价×</w:t>
            </w:r>
            <w:r>
              <w:rPr>
                <w:rFonts w:hint="eastAsia" w:ascii="仿宋" w:hAnsi="仿宋" w:eastAsia="仿宋" w:cs="仿宋"/>
                <w:bCs/>
                <w:color w:val="auto"/>
                <w:spacing w:val="6"/>
                <w:sz w:val="24"/>
                <w:highlight w:val="none"/>
                <w:u w:val="single"/>
              </w:rPr>
              <w:t xml:space="preserve"> </w:t>
            </w:r>
            <w:r>
              <w:rPr>
                <w:rFonts w:hint="eastAsia" w:ascii="仿宋" w:hAnsi="仿宋" w:eastAsia="仿宋" w:cs="仿宋"/>
                <w:bCs/>
                <w:color w:val="auto"/>
                <w:spacing w:val="6"/>
                <w:sz w:val="24"/>
                <w:highlight w:val="none"/>
                <w:u w:val="single"/>
                <w:lang w:val="en-US" w:eastAsia="zh-CN"/>
              </w:rPr>
              <w:t>90</w:t>
            </w:r>
            <w:r>
              <w:rPr>
                <w:rFonts w:hint="eastAsia" w:ascii="仿宋" w:hAnsi="仿宋" w:eastAsia="仿宋" w:cs="仿宋"/>
                <w:bCs/>
                <w:color w:val="auto"/>
                <w:spacing w:val="6"/>
                <w:sz w:val="24"/>
                <w:highlight w:val="none"/>
                <w:u w:val="single"/>
              </w:rPr>
              <w:t xml:space="preserve"> </w:t>
            </w:r>
            <w:r>
              <w:rPr>
                <w:rFonts w:hint="eastAsia" w:ascii="仿宋" w:hAnsi="仿宋" w:eastAsia="仿宋" w:cs="仿宋"/>
                <w:bCs/>
                <w:color w:val="auto"/>
                <w:spacing w:val="6"/>
                <w:sz w:val="24"/>
                <w:highlight w:val="none"/>
              </w:rPr>
              <w:t>%；</w:t>
            </w:r>
          </w:p>
          <w:p>
            <w:pPr>
              <w:snapToGrid w:val="0"/>
              <w:spacing w:line="360" w:lineRule="exact"/>
              <w:rPr>
                <w:rFonts w:hint="eastAsia" w:ascii="仿宋" w:hAnsi="仿宋" w:eastAsia="仿宋" w:cs="仿宋"/>
                <w:bCs/>
                <w:color w:val="auto"/>
                <w:spacing w:val="6"/>
                <w:sz w:val="24"/>
                <w:highlight w:val="none"/>
              </w:rPr>
            </w:pPr>
            <w:r>
              <w:rPr>
                <w:rFonts w:hint="eastAsia" w:ascii="仿宋" w:hAnsi="仿宋" w:eastAsia="仿宋" w:cs="仿宋"/>
                <w:bCs/>
                <w:color w:val="auto"/>
                <w:spacing w:val="6"/>
                <w:sz w:val="24"/>
                <w:highlight w:val="none"/>
                <w:lang w:val="en-US" w:eastAsia="zh-CN"/>
              </w:rPr>
              <w:t>2</w:t>
            </w:r>
            <w:r>
              <w:rPr>
                <w:rFonts w:hint="eastAsia" w:ascii="仿宋" w:hAnsi="仿宋" w:eastAsia="仿宋" w:cs="仿宋"/>
                <w:bCs/>
                <w:color w:val="auto"/>
                <w:spacing w:val="6"/>
                <w:sz w:val="24"/>
                <w:highlight w:val="none"/>
              </w:rPr>
              <w:t>）</w:t>
            </w:r>
            <w:r>
              <w:rPr>
                <w:rFonts w:hint="eastAsia" w:ascii="仿宋" w:hAnsi="仿宋" w:eastAsia="仿宋" w:cs="仿宋"/>
                <w:color w:val="auto"/>
                <w:sz w:val="24"/>
                <w:highlight w:val="none"/>
              </w:rPr>
              <w:t>价格扣除比例或者价格分加分比例对小型企业和微型企业同等对待，不作区分。小型、微型企业、监狱企业、残疾人福利性单位不重复享受价格扣除政策。</w:t>
            </w:r>
          </w:p>
          <w:p>
            <w:pPr>
              <w:spacing w:line="36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）未提供完整证明材料的，</w:t>
            </w:r>
            <w:r>
              <w:rPr>
                <w:rFonts w:hint="eastAsia" w:ascii="仿宋" w:hAnsi="仿宋" w:eastAsia="仿宋" w:cs="仿宋"/>
                <w:bCs/>
                <w:color w:val="auto"/>
                <w:spacing w:val="6"/>
                <w:sz w:val="24"/>
                <w:highlight w:val="none"/>
              </w:rPr>
              <w:t>不享受价格扣除优惠政策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00" w:type="dxa"/>
            <w:vMerge w:val="restart"/>
            <w:tcBorders>
              <w:top w:val="single" w:color="auto" w:sz="4" w:space="0"/>
              <w:right w:val="single" w:color="auto" w:sz="4" w:space="0"/>
            </w:tcBorders>
            <w:noWrap w:val="0"/>
            <w:vAlign w:val="center"/>
          </w:tcPr>
          <w:p>
            <w:pPr>
              <w:pStyle w:val="6"/>
              <w:numPr>
                <w:ilvl w:val="0"/>
                <w:numId w:val="0"/>
              </w:numPr>
              <w:spacing w:line="360" w:lineRule="exact"/>
              <w:ind w:left="0" w:leftChars="0" w:firstLine="0" w:firstLineChars="0"/>
              <w:jc w:val="center"/>
              <w:rPr>
                <w:rFonts w:hint="eastAsia" w:ascii="仿宋" w:hAnsi="仿宋" w:eastAsia="仿宋" w:cs="仿宋"/>
                <w:color w:val="auto"/>
                <w:sz w:val="24"/>
                <w:highlight w:val="none"/>
              </w:rPr>
            </w:pPr>
            <w:r>
              <w:rPr>
                <w:rFonts w:hint="eastAsia" w:ascii="仿宋" w:eastAsia="仿宋" w:cs="仿宋"/>
                <w:b w:val="0"/>
                <w:bCs w:val="0"/>
                <w:color w:val="auto"/>
                <w:kern w:val="2"/>
                <w:sz w:val="24"/>
                <w:szCs w:val="24"/>
                <w:highlight w:val="none"/>
                <w:lang w:val="en-US" w:eastAsia="zh-CN"/>
              </w:rPr>
              <w:t>3</w:t>
            </w:r>
          </w:p>
        </w:tc>
        <w:tc>
          <w:tcPr>
            <w:tcW w:w="1928" w:type="dxa"/>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评标结果</w:t>
            </w: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jc w:val="left"/>
              <w:rPr>
                <w:rFonts w:hint="eastAsia" w:ascii="仿宋" w:hAnsi="仿宋" w:eastAsia="仿宋" w:cs="仿宋"/>
                <w:color w:val="auto"/>
                <w:sz w:val="24"/>
                <w:highlight w:val="none"/>
                <w:lang w:val="en-US" w:eastAsia="zh-CN"/>
              </w:rPr>
            </w:pPr>
            <w:r>
              <w:rPr>
                <w:rFonts w:hint="eastAsia" w:ascii="仿宋" w:hAnsi="仿宋" w:eastAsia="仿宋" w:cs="仿宋"/>
                <w:bCs/>
                <w:color w:val="auto"/>
                <w:spacing w:val="6"/>
                <w:sz w:val="24"/>
                <w:highlight w:val="none"/>
              </w:rPr>
              <w:t>由评标委员会推荐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1</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名</w:t>
            </w:r>
            <w:r>
              <w:rPr>
                <w:rFonts w:hint="eastAsia" w:ascii="仿宋" w:hAnsi="仿宋" w:eastAsia="仿宋" w:cs="仿宋"/>
                <w:bCs/>
                <w:color w:val="auto"/>
                <w:spacing w:val="6"/>
                <w:sz w:val="24"/>
                <w:highlight w:val="none"/>
              </w:rPr>
              <w:t>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0" w:type="dxa"/>
            <w:vMerge w:val="continue"/>
            <w:tcBorders>
              <w:bottom w:val="single" w:color="auto" w:sz="4" w:space="0"/>
              <w:right w:val="single" w:color="auto" w:sz="4" w:space="0"/>
            </w:tcBorders>
            <w:noWrap w:val="0"/>
            <w:vAlign w:val="center"/>
          </w:tcPr>
          <w:p>
            <w:pPr>
              <w:pStyle w:val="6"/>
              <w:spacing w:line="360" w:lineRule="exact"/>
              <w:ind w:left="0" w:leftChars="0" w:firstLine="0" w:firstLineChars="0"/>
              <w:jc w:val="center"/>
              <w:outlineLvl w:val="9"/>
              <w:rPr>
                <w:rFonts w:hint="eastAsia" w:ascii="仿宋" w:hAnsi="仿宋" w:eastAsia="仿宋" w:cs="仿宋"/>
                <w:color w:val="auto"/>
                <w:sz w:val="24"/>
                <w:highlight w:val="none"/>
              </w:rPr>
            </w:pPr>
          </w:p>
        </w:tc>
        <w:tc>
          <w:tcPr>
            <w:tcW w:w="1928" w:type="dxa"/>
            <w:gridSpan w:val="2"/>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p>
        </w:tc>
        <w:tc>
          <w:tcPr>
            <w:tcW w:w="6845" w:type="dxa"/>
            <w:gridSpan w:val="3"/>
            <w:tcBorders>
              <w:top w:val="single" w:color="auto" w:sz="4" w:space="0"/>
              <w:left w:val="single" w:color="auto" w:sz="4" w:space="0"/>
              <w:bottom w:val="single" w:color="auto" w:sz="4" w:space="0"/>
            </w:tcBorders>
            <w:noWrap w:val="0"/>
            <w:vAlign w:val="center"/>
          </w:tcPr>
          <w:p>
            <w:pPr>
              <w:spacing w:line="36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采用综合评分法的，评标委员会按照投标人综合得分由高到低的顺序推荐；得分相同的，按投标报价由低到高顺序排列。得分且投标报价相同的并列，投标文件满足招标文件全部实质性要求，且按照评审因素的量化指标评审得分最高的投标人为排名第一的中标候选人。</w:t>
            </w:r>
          </w:p>
        </w:tc>
      </w:tr>
    </w:tbl>
    <w:p>
      <w:pPr>
        <w:snapToGrid w:val="0"/>
        <w:spacing w:line="360" w:lineRule="auto"/>
        <w:rPr>
          <w:rFonts w:hint="eastAsia" w:ascii="仿宋" w:hAnsi="仿宋" w:eastAsia="仿宋" w:cs="仿宋"/>
          <w:b/>
          <w:color w:val="auto"/>
          <w:sz w:val="24"/>
          <w:highlight w:val="none"/>
        </w:rPr>
      </w:pPr>
    </w:p>
    <w:p>
      <w:pPr>
        <w:widowControl/>
        <w:adjustRightInd/>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pPr>
        <w:snapToGrid w:val="0"/>
        <w:spacing w:line="360" w:lineRule="auto"/>
        <w:jc w:val="left"/>
        <w:outlineLvl w:val="2"/>
        <w:rPr>
          <w:rStyle w:val="83"/>
          <w:rFonts w:hint="eastAsia" w:ascii="仿宋" w:eastAsia="仿宋" w:cs="仿宋"/>
          <w:color w:val="auto"/>
          <w:sz w:val="24"/>
          <w:szCs w:val="24"/>
          <w:highlight w:val="none"/>
        </w:rPr>
      </w:pPr>
      <w:bookmarkStart w:id="423" w:name="_Toc55302373"/>
      <w:bookmarkStart w:id="424" w:name="_Toc63189375"/>
      <w:bookmarkStart w:id="425" w:name="_Toc26288"/>
      <w:r>
        <w:rPr>
          <w:rStyle w:val="83"/>
          <w:rFonts w:hint="eastAsia" w:ascii="仿宋" w:eastAsia="仿宋" w:cs="仿宋"/>
          <w:color w:val="auto"/>
          <w:sz w:val="24"/>
          <w:szCs w:val="24"/>
          <w:highlight w:val="none"/>
        </w:rPr>
        <w:t>1.评标方法</w:t>
      </w:r>
      <w:bookmarkEnd w:id="423"/>
      <w:bookmarkEnd w:id="424"/>
    </w:p>
    <w:bookmarkEnd w:id="425"/>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本次采用的评标办法及推荐中标候选人的人数见评标办法前附表。</w:t>
      </w:r>
    </w:p>
    <w:p>
      <w:pPr>
        <w:snapToGrid w:val="0"/>
        <w:spacing w:line="360" w:lineRule="auto"/>
        <w:jc w:val="left"/>
        <w:outlineLvl w:val="2"/>
        <w:rPr>
          <w:rStyle w:val="83"/>
          <w:rFonts w:hint="eastAsia" w:ascii="仿宋" w:eastAsia="仿宋" w:cs="仿宋"/>
          <w:color w:val="auto"/>
          <w:sz w:val="24"/>
          <w:szCs w:val="24"/>
          <w:highlight w:val="none"/>
        </w:rPr>
      </w:pPr>
      <w:bookmarkStart w:id="426" w:name="_Toc55302374"/>
      <w:bookmarkStart w:id="427" w:name="_Toc63189376"/>
      <w:bookmarkStart w:id="428" w:name="_Toc307"/>
      <w:r>
        <w:rPr>
          <w:rStyle w:val="83"/>
          <w:rFonts w:hint="eastAsia" w:ascii="仿宋" w:eastAsia="仿宋" w:cs="仿宋"/>
          <w:color w:val="auto"/>
          <w:sz w:val="24"/>
          <w:szCs w:val="24"/>
          <w:highlight w:val="none"/>
        </w:rPr>
        <w:t>2.评标程序</w:t>
      </w:r>
      <w:bookmarkEnd w:id="426"/>
      <w:bookmarkEnd w:id="427"/>
      <w:r>
        <w:rPr>
          <w:rStyle w:val="83"/>
          <w:rFonts w:hint="eastAsia" w:ascii="仿宋" w:eastAsia="仿宋" w:cs="仿宋"/>
          <w:color w:val="auto"/>
          <w:sz w:val="24"/>
          <w:szCs w:val="24"/>
          <w:highlight w:val="none"/>
        </w:rPr>
        <w:t>及标准</w:t>
      </w:r>
    </w:p>
    <w:bookmarkEnd w:id="428"/>
    <w:p>
      <w:pPr>
        <w:snapToGrid w:val="0"/>
        <w:spacing w:line="360" w:lineRule="auto"/>
        <w:ind w:firstLine="480" w:firstLineChars="200"/>
        <w:jc w:val="left"/>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2.1资格审查</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开标后，采购人或采购代理机构对各投标人进行资格审查，有一项不符合以下评审标准的，投标无效：</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2.1.1</w:t>
      </w:r>
      <w:r>
        <w:rPr>
          <w:rFonts w:hint="eastAsia" w:ascii="仿宋" w:hAnsi="仿宋" w:eastAsia="仿宋" w:cs="仿宋"/>
          <w:b/>
          <w:color w:val="auto"/>
          <w:sz w:val="24"/>
          <w:highlight w:val="none"/>
          <w:u w:val="single"/>
        </w:rPr>
        <w:t>▲提供符合参加政府采购活动应当具备的一般条件的承诺函</w:t>
      </w:r>
      <w:r>
        <w:rPr>
          <w:rFonts w:hint="eastAsia" w:ascii="仿宋" w:hAnsi="仿宋" w:eastAsia="仿宋" w:cs="仿宋"/>
          <w:color w:val="auto"/>
          <w:sz w:val="24"/>
          <w:highlight w:val="none"/>
          <w:u w:val="single"/>
        </w:rPr>
        <w:t>及有效的</w:t>
      </w:r>
      <w:r>
        <w:rPr>
          <w:rFonts w:hint="eastAsia" w:ascii="仿宋" w:hAnsi="仿宋" w:eastAsia="仿宋" w:cs="仿宋"/>
          <w:b/>
          <w:color w:val="auto"/>
          <w:sz w:val="24"/>
          <w:highlight w:val="none"/>
          <w:u w:val="single"/>
        </w:rPr>
        <w:t>企业营业执照</w:t>
      </w:r>
      <w:r>
        <w:rPr>
          <w:rFonts w:hint="eastAsia" w:ascii="仿宋" w:hAnsi="仿宋" w:eastAsia="仿宋" w:cs="仿宋"/>
          <w:color w:val="auto"/>
          <w:sz w:val="24"/>
          <w:highlight w:val="none"/>
          <w:u w:val="single"/>
        </w:rPr>
        <w:t>（或事业法人登记证书或其它工商等登记证明材料，自然人提供身份证)复制件（如为联合体，则联合体各方均应提供）</w:t>
      </w:r>
      <w:r>
        <w:rPr>
          <w:rFonts w:hint="eastAsia" w:ascii="仿宋" w:hAnsi="仿宋" w:eastAsia="仿宋" w:cs="仿宋"/>
          <w:color w:val="auto"/>
          <w:sz w:val="24"/>
          <w:highlight w:val="none"/>
        </w:rPr>
        <w:t>；</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w:t>
      </w:r>
      <w:r>
        <w:rPr>
          <w:rFonts w:hint="eastAsia" w:ascii="仿宋" w:hAnsi="仿宋" w:eastAsia="仿宋" w:cs="仿宋"/>
          <w:b/>
          <w:color w:val="auto"/>
          <w:sz w:val="24"/>
          <w:highlight w:val="none"/>
        </w:rPr>
        <w:t>见评标办法前附表</w:t>
      </w:r>
      <w:r>
        <w:rPr>
          <w:rFonts w:hint="eastAsia" w:ascii="仿宋" w:hAnsi="仿宋" w:eastAsia="仿宋" w:cs="仿宋"/>
          <w:color w:val="auto"/>
          <w:sz w:val="24"/>
          <w:highlight w:val="none"/>
        </w:rPr>
        <w:t>。</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w:t>
      </w:r>
      <w:r>
        <w:rPr>
          <w:rFonts w:hint="eastAsia" w:ascii="仿宋" w:hAnsi="仿宋" w:eastAsia="仿宋" w:cs="仿宋"/>
          <w:b/>
          <w:color w:val="auto"/>
          <w:sz w:val="24"/>
          <w:highlight w:val="none"/>
        </w:rPr>
        <w:t>见评标办法前附表</w:t>
      </w:r>
      <w:r>
        <w:rPr>
          <w:rFonts w:hint="eastAsia" w:ascii="仿宋" w:hAnsi="仿宋" w:eastAsia="仿宋" w:cs="仿宋"/>
          <w:color w:val="auto"/>
          <w:sz w:val="24"/>
          <w:highlight w:val="none"/>
        </w:rPr>
        <w:t>。</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2.1.4商业信誉审查要求：</w:t>
      </w:r>
      <w:r>
        <w:rPr>
          <w:rFonts w:hint="eastAsia" w:ascii="仿宋" w:hAnsi="仿宋" w:eastAsia="仿宋" w:cs="仿宋"/>
          <w:b/>
          <w:color w:val="auto"/>
          <w:sz w:val="24"/>
          <w:highlight w:val="none"/>
        </w:rPr>
        <w:t>见评标办法前附表</w:t>
      </w:r>
      <w:r>
        <w:rPr>
          <w:rFonts w:hint="eastAsia" w:ascii="仿宋" w:hAnsi="仿宋" w:eastAsia="仿宋" w:cs="仿宋"/>
          <w:color w:val="auto"/>
          <w:sz w:val="24"/>
          <w:highlight w:val="none"/>
        </w:rPr>
        <w:t>。</w:t>
      </w:r>
    </w:p>
    <w:p>
      <w:pPr>
        <w:snapToGrid w:val="0"/>
        <w:spacing w:line="360" w:lineRule="auto"/>
        <w:ind w:firstLine="482" w:firstLineChars="200"/>
        <w:jc w:val="left"/>
        <w:outlineLvl w:val="3"/>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2.2符合性审查</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开标后，采购代理机构对各投标人进行资格审查。</w:t>
      </w:r>
    </w:p>
    <w:p>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评标委员会对资格审查合格的投标人进行符合性审查：</w:t>
      </w:r>
    </w:p>
    <w:p>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2.2.1</w:t>
      </w:r>
      <w:r>
        <w:rPr>
          <w:rFonts w:hint="eastAsia" w:ascii="仿宋" w:hAnsi="仿宋" w:eastAsia="仿宋" w:cs="仿宋"/>
          <w:b/>
          <w:color w:val="auto"/>
          <w:sz w:val="24"/>
          <w:highlight w:val="none"/>
          <w:u w:val="single"/>
        </w:rPr>
        <w:t>▲投标人存在下列情况之一的，投标无效</w:t>
      </w:r>
      <w:r>
        <w:rPr>
          <w:rFonts w:hint="eastAsia" w:ascii="仿宋" w:hAnsi="仿宋" w:eastAsia="仿宋" w:cs="仿宋"/>
          <w:b/>
          <w:color w:val="auto"/>
          <w:sz w:val="24"/>
          <w:highlight w:val="none"/>
        </w:rPr>
        <w:t>:</w:t>
      </w:r>
    </w:p>
    <w:p>
      <w:pPr>
        <w:snapToGrid w:val="0"/>
        <w:spacing w:line="360" w:lineRule="auto"/>
        <w:ind w:firstLine="480" w:firstLineChars="200"/>
        <w:jc w:val="left"/>
        <w:rPr>
          <w:rFonts w:hint="eastAsia" w:ascii="仿宋" w:hAnsi="仿宋" w:eastAsia="仿宋" w:cs="仿宋"/>
          <w:bCs/>
          <w:color w:val="auto"/>
          <w:kern w:val="0"/>
          <w:sz w:val="24"/>
          <w:highlight w:val="none"/>
        </w:rPr>
      </w:pPr>
      <w:r>
        <w:rPr>
          <w:rFonts w:hint="eastAsia" w:ascii="仿宋" w:hAnsi="仿宋" w:eastAsia="仿宋" w:cs="仿宋"/>
          <w:bCs/>
          <w:color w:val="auto"/>
          <w:sz w:val="24"/>
          <w:highlight w:val="none"/>
        </w:rPr>
        <w:t>（1）</w:t>
      </w:r>
      <w:r>
        <w:rPr>
          <w:rFonts w:hint="eastAsia" w:ascii="仿宋" w:hAnsi="仿宋" w:eastAsia="仿宋" w:cs="仿宋"/>
          <w:bCs/>
          <w:color w:val="auto"/>
          <w:kern w:val="0"/>
          <w:sz w:val="24"/>
          <w:highlight w:val="none"/>
        </w:rPr>
        <w:t>投标人仅提交备份投标文件，没有在电子交易平台传输递交投标文件的；</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（2）不具备招标文件中规定的资格要求的；</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（3）投标文件未按招标文件要求签署、盖章的；</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（4）明显不符合招标文件中标注“▲”且加下划线的实质性要求和条件（主要技术规格、商务技术标准或服务要求）的；</w:t>
      </w:r>
    </w:p>
    <w:p>
      <w:pPr>
        <w:snapToGrid w:val="0"/>
        <w:spacing w:line="360" w:lineRule="auto"/>
        <w:ind w:firstLine="480" w:firstLineChars="20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（5）采购人拟采购的产品属于政府强制采购的节能产品品目清单范围的，投标人未按招标文件要求提供国家确定的认证机构出具的、处于有效期之内的节能产品认证证书的；</w:t>
      </w:r>
    </w:p>
    <w:p>
      <w:pPr>
        <w:snapToGrid w:val="0"/>
        <w:spacing w:line="360" w:lineRule="auto"/>
        <w:ind w:firstLine="480" w:firstLineChars="20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（6）投标文件中承诺的投标有效期少于招标文件中载明的投标有效期的；</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（7）投标文件实质性内容不全或关键字迹模糊无法辨认的；</w:t>
      </w:r>
    </w:p>
    <w:p>
      <w:pPr>
        <w:snapToGrid w:val="0"/>
        <w:spacing w:line="360" w:lineRule="auto"/>
        <w:ind w:firstLine="480" w:firstLineChars="200"/>
        <w:jc w:val="left"/>
        <w:rPr>
          <w:rFonts w:hint="eastAsia" w:ascii="仿宋" w:hAnsi="仿宋" w:eastAsia="仿宋" w:cs="仿宋"/>
          <w:bCs/>
          <w:color w:val="auto"/>
          <w:kern w:val="0"/>
          <w:sz w:val="24"/>
          <w:highlight w:val="none"/>
        </w:rPr>
      </w:pPr>
      <w:r>
        <w:rPr>
          <w:rFonts w:hint="eastAsia" w:ascii="仿宋" w:hAnsi="仿宋" w:eastAsia="仿宋" w:cs="仿宋"/>
          <w:bCs/>
          <w:color w:val="auto"/>
          <w:sz w:val="24"/>
          <w:highlight w:val="none"/>
        </w:rPr>
        <w:t>（8）投标报价超过采购预算或最高限价；</w:t>
      </w:r>
    </w:p>
    <w:p>
      <w:pPr>
        <w:snapToGrid w:val="0"/>
        <w:spacing w:line="360" w:lineRule="auto"/>
        <w:ind w:firstLine="480" w:firstLineChars="200"/>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（9）投标文件出现不是唯一的、有选择性投标报价的；</w:t>
      </w:r>
    </w:p>
    <w:p>
      <w:pPr>
        <w:snapToGrid w:val="0"/>
        <w:spacing w:line="360" w:lineRule="auto"/>
        <w:ind w:firstLine="480" w:firstLineChars="200"/>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（10）投标人对根据修正原则修正后的报价不确认的；</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（11）投标文件有采购人不能接受的附加条件的；</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（12）投标人提供虚假材料投标的；</w:t>
      </w:r>
    </w:p>
    <w:p>
      <w:pPr>
        <w:snapToGrid w:val="0"/>
        <w:spacing w:line="360" w:lineRule="auto"/>
        <w:ind w:firstLine="120" w:firstLineChars="50"/>
        <w:jc w:val="left"/>
        <w:rPr>
          <w:rFonts w:hint="eastAsia" w:ascii="仿宋" w:hAnsi="仿宋" w:eastAsia="仿宋" w:cs="仿宋"/>
          <w:bCs/>
          <w:color w:val="auto"/>
          <w:sz w:val="24"/>
          <w:highlight w:val="none"/>
        </w:rPr>
      </w:pPr>
      <w:r>
        <w:rPr>
          <w:rFonts w:hint="eastAsia" w:ascii="仿宋" w:hAnsi="仿宋" w:eastAsia="仿宋" w:cs="仿宋"/>
          <w:bCs/>
          <w:color w:val="auto"/>
          <w:kern w:val="0"/>
          <w:sz w:val="24"/>
          <w:highlight w:val="none"/>
        </w:rPr>
        <w:t xml:space="preserve">   （13）商务技术文件中出现投标报价的；</w:t>
      </w:r>
    </w:p>
    <w:p>
      <w:pPr>
        <w:spacing w:line="360" w:lineRule="auto"/>
        <w:ind w:firstLine="480" w:firstLineChars="20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（14）报价明显低于其他通过符合性审查投标人的报价，有可能影响产品质量或者不能诚信履约的，未能按要求提供书面说明或者提交相关证明材料，不能证明其报价合理性的；</w:t>
      </w:r>
    </w:p>
    <w:p>
      <w:pPr>
        <w:spacing w:line="360" w:lineRule="auto"/>
        <w:ind w:firstLine="240" w:firstLineChars="10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 xml:space="preserve">  （15）投标人有恶意串通、妨碍其他投标人的竞争行为、损害采购人或者其他投标人的合法权益情形的；</w:t>
      </w:r>
    </w:p>
    <w:p>
      <w:pPr>
        <w:spacing w:line="360" w:lineRule="auto"/>
        <w:ind w:firstLine="480" w:firstLineChars="200"/>
        <w:outlineLvl w:val="4"/>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（16）投标文件不满足采购文件的其它实质性要求的；</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（17）</w:t>
      </w:r>
      <w:r>
        <w:rPr>
          <w:rFonts w:hint="eastAsia" w:ascii="仿宋" w:hAnsi="仿宋" w:eastAsia="仿宋" w:cs="仿宋"/>
          <w:bCs/>
          <w:color w:val="auto"/>
          <w:kern w:val="0"/>
          <w:sz w:val="24"/>
          <w:highlight w:val="none"/>
        </w:rPr>
        <w:t>法律、法规、规章（适用本市的）及省级以上规范性文件（适用本市的）规定的其他无效情形。</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2.2.2</w:t>
      </w:r>
      <w:r>
        <w:rPr>
          <w:rFonts w:hint="eastAsia" w:ascii="仿宋" w:hAnsi="仿宋" w:eastAsia="仿宋" w:cs="仿宋"/>
          <w:b/>
          <w:color w:val="auto"/>
          <w:sz w:val="24"/>
          <w:highlight w:val="none"/>
          <w:u w:val="single"/>
        </w:rPr>
        <w:t>▲有下列情形之一的，属于恶意串通，对投标人依照政府采购法第七十七条第一款的规定追究法律责任，对采购人、采购代理机构及其工作人员依照政府采购法第七十二条的规定追究法律责任</w:t>
      </w:r>
      <w:r>
        <w:rPr>
          <w:rFonts w:hint="eastAsia" w:ascii="仿宋" w:hAnsi="仿宋" w:eastAsia="仿宋" w:cs="仿宋"/>
          <w:b/>
          <w:color w:val="auto"/>
          <w:sz w:val="24"/>
          <w:highlight w:val="none"/>
        </w:rPr>
        <w:t>：</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（1）投标人直接或者间接从采购人或者采购代理机构处获得其他投标人的相关情况并修改其投标文件的；</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（2）投标人按照采购人或者采购代理机构的授意撤换、修改投标文件的；</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（3）投标人之间协商报价、技术方案等投标文件或者响应文件的实质性内容；</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（4）属于同一集团、协会、商会等组织成员的投标人按照该组织要求协同参加政府采购活动；</w:t>
      </w:r>
    </w:p>
    <w:p>
      <w:pPr>
        <w:snapToGrid w:val="0"/>
        <w:spacing w:line="360" w:lineRule="auto"/>
        <w:ind w:firstLine="480" w:firstLineChars="200"/>
        <w:jc w:val="left"/>
        <w:outlineLvl w:val="4"/>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（5）投标人之间事先约定由某一特定投标人中标、成交；</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（6）投标人之间商定部分投标人放弃参加政府采购活动或者放弃中标、成交；</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（7）投标人与采购人或者采购代理机构之间、投标人相互之间，为谋求特定投标人中标、成交或者排斥其他投标人的其他串通行为。</w:t>
      </w:r>
    </w:p>
    <w:p>
      <w:pPr>
        <w:snapToGrid w:val="0"/>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2.2.3</w:t>
      </w:r>
      <w:r>
        <w:rPr>
          <w:rFonts w:hint="eastAsia" w:ascii="仿宋" w:hAnsi="仿宋" w:eastAsia="仿宋" w:cs="仿宋"/>
          <w:b/>
          <w:color w:val="auto"/>
          <w:sz w:val="24"/>
          <w:highlight w:val="none"/>
          <w:u w:val="single"/>
        </w:rPr>
        <w:t>▲有下列情形之一的，视为投标人串通投标，其投标无效</w:t>
      </w:r>
      <w:r>
        <w:rPr>
          <w:rFonts w:hint="eastAsia" w:ascii="仿宋" w:hAnsi="仿宋" w:eastAsia="仿宋" w:cs="仿宋"/>
          <w:b/>
          <w:color w:val="auto"/>
          <w:sz w:val="24"/>
          <w:highlight w:val="none"/>
        </w:rPr>
        <w:t>：</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（1）不同投标人的投标文件由同一单位或者个人编制；</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（2）不同投标人委托同一单位或者个人办理投标事宜；</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（3）不同投标人的投标文件载明的项目管理成员或者联系人员为同一人；</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（4）不同投标人的投标文件异常一致或者投标报价呈规律性差异；</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（5）不同投标人的投标文件相互混装；</w:t>
      </w:r>
    </w:p>
    <w:p>
      <w:pPr>
        <w:snapToGrid w:val="0"/>
        <w:spacing w:line="360" w:lineRule="auto"/>
        <w:ind w:firstLine="480" w:firstLineChars="200"/>
        <w:jc w:val="left"/>
        <w:outlineLvl w:val="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2.2.4符合性审查其他要求见评标办法前附表。</w:t>
      </w:r>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2.2.5实质上没有响应招标文件要求的投标将被否决，投标人不得通过修正或撤消不合要求的偏离或保留从而使其投标成为实质上响应的投标。</w:t>
      </w:r>
    </w:p>
    <w:p>
      <w:pPr>
        <w:pStyle w:val="7"/>
        <w:widowControl/>
        <w:snapToGrid w:val="0"/>
        <w:spacing w:before="0" w:after="0" w:line="360" w:lineRule="auto"/>
        <w:ind w:left="888" w:leftChars="260" w:hanging="342" w:hangingChars="142"/>
        <w:jc w:val="left"/>
        <w:outlineLvl w:val="3"/>
        <w:rPr>
          <w:rFonts w:hint="eastAsia" w:ascii="仿宋" w:hAnsi="仿宋" w:eastAsia="仿宋" w:cs="仿宋"/>
          <w:color w:val="auto"/>
          <w:sz w:val="24"/>
          <w:szCs w:val="24"/>
          <w:highlight w:val="none"/>
        </w:rPr>
      </w:pPr>
      <w:bookmarkStart w:id="429" w:name="_Toc31606"/>
      <w:bookmarkStart w:id="430" w:name="_Toc5724"/>
      <w:bookmarkStart w:id="431" w:name="_Toc63189379"/>
      <w:bookmarkStart w:id="432" w:name="_Toc55375024"/>
      <w:bookmarkStart w:id="433" w:name="_Toc55302377"/>
      <w:r>
        <w:rPr>
          <w:rFonts w:hint="eastAsia" w:ascii="仿宋" w:hAnsi="仿宋" w:eastAsia="仿宋" w:cs="仿宋"/>
          <w:color w:val="auto"/>
          <w:sz w:val="24"/>
          <w:szCs w:val="24"/>
          <w:highlight w:val="none"/>
        </w:rPr>
        <w:t>2.3比较与评价（适用于综合评分法）</w:t>
      </w:r>
      <w:bookmarkEnd w:id="429"/>
    </w:p>
    <w:bookmarkEnd w:id="430"/>
    <w:bookmarkEnd w:id="431"/>
    <w:bookmarkEnd w:id="432"/>
    <w:bookmarkEnd w:id="433"/>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2.3.1分值权重构成，见评标办法前附表。</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2.3.2商务技术评分标准，见评标办法前附表。</w:t>
      </w:r>
    </w:p>
    <w:p>
      <w:pPr>
        <w:pStyle w:val="2"/>
        <w:snapToGrid w:val="0"/>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2.3.3报价评分标准，见评标办法前附表。</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2.3.4评分分值计算保留小数点后两位，小数点后第三位“四舍五入”。</w:t>
      </w:r>
    </w:p>
    <w:p>
      <w:pPr>
        <w:snapToGrid w:val="0"/>
        <w:spacing w:line="360" w:lineRule="auto"/>
        <w:ind w:firstLine="480" w:firstLineChars="200"/>
        <w:jc w:val="left"/>
        <w:outlineLvl w:val="4"/>
        <w:rPr>
          <w:rFonts w:hint="eastAsia" w:ascii="仿宋" w:hAnsi="仿宋" w:eastAsia="仿宋" w:cs="仿宋"/>
          <w:color w:val="auto"/>
          <w:sz w:val="24"/>
          <w:highlight w:val="none"/>
        </w:rPr>
      </w:pPr>
      <w:r>
        <w:rPr>
          <w:rFonts w:hint="eastAsia" w:ascii="仿宋" w:hAnsi="仿宋" w:eastAsia="仿宋" w:cs="仿宋"/>
          <w:color w:val="auto"/>
          <w:sz w:val="24"/>
          <w:highlight w:val="none"/>
        </w:rPr>
        <w:t>2.3.5投标人综合得分=商务技术得分+报价得分。</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2.3.6</w:t>
      </w:r>
      <w:r>
        <w:rPr>
          <w:rFonts w:hint="eastAsia" w:ascii="仿宋" w:hAnsi="仿宋" w:eastAsia="仿宋" w:cs="仿宋"/>
          <w:b/>
          <w:color w:val="auto"/>
          <w:sz w:val="24"/>
          <w:highlight w:val="none"/>
        </w:rPr>
        <w:t>评标委员会发现投标投标人的报价明显低于其他投标报价，使得其投标报价可能低于其个别成本的，应当要求该投标人作出书面说明并提供相应的证明材料。投标投标人不能合理说明或者不能提供相应证明材料的，评标委员会应当认定该投标人以低于成本报价竞标，并否决其投标</w:t>
      </w:r>
      <w:r>
        <w:rPr>
          <w:rFonts w:hint="eastAsia" w:ascii="仿宋" w:hAnsi="仿宋" w:eastAsia="仿宋" w:cs="仿宋"/>
          <w:color w:val="auto"/>
          <w:sz w:val="24"/>
          <w:highlight w:val="none"/>
        </w:rPr>
        <w:t>。</w:t>
      </w:r>
    </w:p>
    <w:p>
      <w:pPr>
        <w:pStyle w:val="7"/>
        <w:widowControl/>
        <w:snapToGrid w:val="0"/>
        <w:spacing w:before="0" w:after="0" w:line="360" w:lineRule="auto"/>
        <w:ind w:left="0" w:firstLine="480" w:firstLineChars="200"/>
        <w:jc w:val="left"/>
        <w:outlineLvl w:val="3"/>
        <w:rPr>
          <w:rFonts w:hint="eastAsia" w:ascii="仿宋" w:hAnsi="仿宋" w:eastAsia="仿宋" w:cs="仿宋"/>
          <w:b w:val="0"/>
          <w:color w:val="auto"/>
          <w:sz w:val="24"/>
          <w:szCs w:val="24"/>
          <w:highlight w:val="none"/>
        </w:rPr>
      </w:pPr>
      <w:bookmarkStart w:id="434" w:name="_Toc11195"/>
      <w:bookmarkStart w:id="435" w:name="_Toc5272"/>
      <w:bookmarkStart w:id="436" w:name="_Toc55375025"/>
      <w:bookmarkStart w:id="437" w:name="_Toc55302378"/>
      <w:bookmarkStart w:id="438" w:name="_Toc63189380"/>
      <w:r>
        <w:rPr>
          <w:rFonts w:hint="eastAsia" w:ascii="仿宋" w:hAnsi="仿宋" w:eastAsia="仿宋" w:cs="仿宋"/>
          <w:b w:val="0"/>
          <w:color w:val="auto"/>
          <w:sz w:val="24"/>
          <w:szCs w:val="24"/>
          <w:highlight w:val="none"/>
        </w:rPr>
        <w:t>2.4投标文件的澄清</w:t>
      </w:r>
      <w:bookmarkEnd w:id="434"/>
      <w:bookmarkEnd w:id="435"/>
      <w:bookmarkEnd w:id="436"/>
      <w:bookmarkEnd w:id="437"/>
      <w:bookmarkEnd w:id="438"/>
    </w:p>
    <w:p>
      <w:pPr>
        <w:snapToGrid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2.4.1为有助于投标文件的审查、评价和比较，评标委员会可以在“政采云平台”在线询标或其他有效形式要求投标人对同一份投标文件含义不明确或同类问题表述不一致的内容（招标文件另有规定处理方法的除外）作必要的澄清或说明，投标人应采用在线回复或其他有效形式在询标规定时间内进行澄清或说明（需盖电子签章或实体公章）。</w:t>
      </w:r>
    </w:p>
    <w:p>
      <w:pPr>
        <w:pStyle w:val="354"/>
        <w:snapToGrid w:val="0"/>
        <w:spacing w:before="0"/>
        <w:ind w:firstLine="480"/>
        <w:outlineLvl w:val="4"/>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2.4.2投标文件报价出现前后不一致的，按照下列规定修正：</w:t>
      </w:r>
    </w:p>
    <w:p>
      <w:pPr>
        <w:pStyle w:val="354"/>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（1）投标文件中开标一览表(报价表)内容与投标文件中相应内容不一致的，以开标一览表(报价表)为准;</w:t>
      </w:r>
    </w:p>
    <w:p>
      <w:pPr>
        <w:pStyle w:val="354"/>
        <w:snapToGrid w:val="0"/>
        <w:spacing w:before="0"/>
        <w:ind w:firstLine="480"/>
        <w:outlineLvl w:val="5"/>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（2）大写金额和小写金额不一致的，以大写金额为准;</w:t>
      </w:r>
    </w:p>
    <w:p>
      <w:pPr>
        <w:pStyle w:val="354"/>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（3）单价金额小数点或者百分比有明显错位的，以开标一览表的总价为准，并修改单价;</w:t>
      </w:r>
    </w:p>
    <w:p>
      <w:pPr>
        <w:pStyle w:val="354"/>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（4）总价金额与按单价汇总金额不一致的，以单价金额计算结果为准。</w:t>
      </w:r>
    </w:p>
    <w:p>
      <w:pPr>
        <w:pStyle w:val="354"/>
        <w:snapToGrid w:val="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（5）同时出现两种以上不一致的，按照上述规定的顺序修正。修正后的报价经投标人确认后产生约束力。</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2.4.3澄清、说明或补正不得超出投标文件的范围且不得改变投标文件的实质性内容，并构成投标文件的组成部分。</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2.4.4评标委员会对投标人提交的澄清、说明或补正有疑问的，可以要求投标人进一步澄清、说明或补正，直至满足评标委员会的要求。</w:t>
      </w:r>
    </w:p>
    <w:p>
      <w:pPr>
        <w:snapToGrid w:val="0"/>
        <w:spacing w:line="360" w:lineRule="auto"/>
        <w:jc w:val="left"/>
        <w:outlineLvl w:val="2"/>
        <w:rPr>
          <w:rStyle w:val="83"/>
          <w:rFonts w:hint="eastAsia" w:ascii="仿宋" w:eastAsia="仿宋" w:cs="仿宋"/>
          <w:color w:val="auto"/>
          <w:sz w:val="24"/>
          <w:szCs w:val="24"/>
          <w:highlight w:val="none"/>
        </w:rPr>
      </w:pPr>
      <w:bookmarkStart w:id="439" w:name="_Toc55302379"/>
      <w:bookmarkStart w:id="440" w:name="_Toc11850"/>
      <w:bookmarkStart w:id="441" w:name="_Toc63189381"/>
      <w:bookmarkStart w:id="442" w:name="_Toc25603"/>
      <w:r>
        <w:rPr>
          <w:rStyle w:val="83"/>
          <w:rFonts w:hint="eastAsia" w:ascii="仿宋" w:eastAsia="仿宋" w:cs="仿宋"/>
          <w:color w:val="auto"/>
          <w:sz w:val="24"/>
          <w:szCs w:val="24"/>
          <w:highlight w:val="none"/>
        </w:rPr>
        <w:t>3.评标结果</w:t>
      </w:r>
      <w:bookmarkEnd w:id="439"/>
      <w:bookmarkEnd w:id="440"/>
      <w:bookmarkEnd w:id="441"/>
    </w:p>
    <w:bookmarkEnd w:id="442"/>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3.1采用综合评分法的，评标委员会按照投标人综合得分由高到低的顺序推荐中标候选人。</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sz w:val="24"/>
          <w:highlight w:val="none"/>
        </w:rPr>
        <w:t>3.2 评标委员会完成评标后，应当向采购人提交书面评标报告和中标候选人名单。</w:t>
      </w:r>
    </w:p>
    <w:p>
      <w:pPr>
        <w:snapToGrid w:val="0"/>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jc w:val="left"/>
        <w:outlineLvl w:val="2"/>
        <w:rPr>
          <w:rStyle w:val="83"/>
          <w:rFonts w:hint="eastAsia" w:ascii="仿宋" w:eastAsia="仿宋" w:cs="仿宋"/>
          <w:color w:val="auto"/>
          <w:sz w:val="24"/>
          <w:szCs w:val="24"/>
          <w:highlight w:val="none"/>
        </w:rPr>
      </w:pPr>
      <w:bookmarkStart w:id="443" w:name="_Toc12976"/>
      <w:r>
        <w:rPr>
          <w:rStyle w:val="83"/>
          <w:rFonts w:hint="eastAsia" w:ascii="仿宋" w:eastAsia="仿宋" w:cs="仿宋"/>
          <w:color w:val="auto"/>
          <w:sz w:val="24"/>
          <w:szCs w:val="24"/>
          <w:highlight w:val="none"/>
          <w:lang w:val="en-US"/>
        </w:rPr>
        <w:t>4.</w:t>
      </w:r>
      <w:r>
        <w:rPr>
          <w:rStyle w:val="83"/>
          <w:rFonts w:hint="eastAsia" w:ascii="仿宋" w:eastAsia="仿宋" w:cs="仿宋"/>
          <w:color w:val="auto"/>
          <w:sz w:val="24"/>
          <w:szCs w:val="24"/>
          <w:highlight w:val="none"/>
        </w:rPr>
        <w:t>其他</w:t>
      </w:r>
    </w:p>
    <w:bookmarkEnd w:id="443"/>
    <w:p>
      <w:pPr>
        <w:widowControl/>
        <w:shd w:val="clear" w:color="auto" w:fill="FFFFFF"/>
        <w:snapToGrid w:val="0"/>
        <w:spacing w:line="360" w:lineRule="auto"/>
        <w:ind w:firstLine="480" w:firstLineChars="200"/>
        <w:jc w:val="left"/>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4.1废标</w:t>
      </w:r>
    </w:p>
    <w:p>
      <w:pPr>
        <w:widowControl/>
        <w:shd w:val="clear" w:color="auto" w:fill="FFFFFF"/>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（1）符合专业条件的投标人或者对招标文件作实质响应的投标人不足3家的；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（2）出现影响采购公正的违法、违规行为的；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（3）投标人的报价均超过了采购预算，采购人不能支付的；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（4）因重大变故，采购任务取消的。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6"/>
        <w:snapToGrid w:val="0"/>
        <w:spacing w:line="360" w:lineRule="auto"/>
        <w:outlineLvl w:val="3"/>
        <w:rPr>
          <w:rFonts w:hint="eastAsia" w:ascii="仿宋" w:hAnsi="仿宋" w:eastAsia="仿宋" w:cs="仿宋"/>
          <w:color w:val="auto"/>
          <w:highlight w:val="none"/>
        </w:rPr>
      </w:pPr>
      <w:r>
        <w:rPr>
          <w:rFonts w:hint="eastAsia" w:ascii="仿宋" w:hAnsi="仿宋" w:eastAsia="仿宋" w:cs="仿宋"/>
          <w:color w:val="auto"/>
          <w:highlight w:val="none"/>
        </w:rPr>
        <w:t>4.2修改招标文件，重新组织采购活动。</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bookmarkEnd w:id="422"/>
    </w:p>
    <w:bookmarkEnd w:id="421"/>
    <w:p>
      <w:pPr>
        <w:pStyle w:val="26"/>
        <w:snapToGrid w:val="0"/>
        <w:spacing w:line="360" w:lineRule="auto"/>
        <w:ind w:firstLine="0" w:firstLineChars="0"/>
        <w:rPr>
          <w:rFonts w:hint="eastAsia" w:ascii="仿宋" w:hAnsi="仿宋" w:eastAsia="仿宋" w:cs="仿宋"/>
          <w:color w:val="auto"/>
          <w:highlight w:val="none"/>
        </w:rPr>
      </w:pPr>
    </w:p>
    <w:bookmarkEnd w:id="51"/>
    <w:p>
      <w:pPr>
        <w:pStyle w:val="6"/>
        <w:jc w:val="center"/>
        <w:rPr>
          <w:rFonts w:hint="eastAsia" w:ascii="仿宋" w:eastAsia="仿宋" w:cs="仿宋"/>
          <w:color w:val="auto"/>
          <w:highlight w:val="none"/>
          <w:lang w:eastAsia="zh-CN"/>
        </w:rPr>
      </w:pPr>
      <w:bookmarkStart w:id="444" w:name="第五部分"/>
      <w:bookmarkStart w:id="445" w:name="_Toc86217003"/>
      <w:r>
        <w:rPr>
          <w:rFonts w:hint="eastAsia" w:ascii="仿宋" w:eastAsia="仿宋" w:cs="仿宋"/>
          <w:color w:val="auto"/>
          <w:highlight w:val="none"/>
          <w:lang w:eastAsia="zh-CN"/>
        </w:rPr>
        <w:br w:type="page"/>
      </w:r>
      <w:bookmarkStart w:id="446" w:name="_Toc9682"/>
      <w:r>
        <w:rPr>
          <w:rFonts w:hint="eastAsia" w:ascii="仿宋" w:eastAsia="仿宋" w:cs="仿宋"/>
          <w:color w:val="auto"/>
          <w:highlight w:val="none"/>
          <w:lang w:eastAsia="zh-CN"/>
        </w:rPr>
        <w:t>第五部分 拟签订的合同文本</w:t>
      </w:r>
      <w:bookmarkEnd w:id="446"/>
    </w:p>
    <w:p>
      <w:pPr>
        <w:spacing w:line="360" w:lineRule="auto"/>
        <w:jc w:val="both"/>
        <w:outlineLvl w:val="2"/>
        <w:rPr>
          <w:rFonts w:hint="eastAsia" w:ascii="仿宋" w:hAnsi="仿宋" w:eastAsia="仿宋" w:cs="仿宋"/>
          <w:b/>
          <w:bCs/>
          <w:color w:val="auto"/>
          <w:sz w:val="32"/>
          <w:szCs w:val="32"/>
          <w:highlight w:val="none"/>
        </w:rPr>
      </w:pPr>
    </w:p>
    <w:p>
      <w:pPr>
        <w:spacing w:line="360" w:lineRule="auto"/>
        <w:jc w:val="center"/>
        <w:outlineLvl w:val="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 xml:space="preserve">合同编号： </w:t>
      </w:r>
      <w:r>
        <w:rPr>
          <w:rFonts w:ascii="仿宋" w:hAnsi="仿宋" w:eastAsia="仿宋"/>
          <w:b/>
          <w:bCs/>
          <w:color w:val="auto"/>
          <w:sz w:val="32"/>
          <w:szCs w:val="32"/>
          <w:highlight w:val="none"/>
        </w:rPr>
        <w:t xml:space="preserve">                              </w:t>
      </w:r>
      <w:r>
        <w:rPr>
          <w:rFonts w:hint="eastAsia" w:ascii="仿宋" w:hAnsi="仿宋" w:eastAsia="仿宋"/>
          <w:b/>
          <w:bCs/>
          <w:color w:val="auto"/>
          <w:sz w:val="32"/>
          <w:szCs w:val="32"/>
          <w:highlight w:val="none"/>
        </w:rPr>
        <w:t>密级：</w:t>
      </w:r>
    </w:p>
    <w:p>
      <w:pPr>
        <w:spacing w:line="360" w:lineRule="auto"/>
        <w:jc w:val="center"/>
        <w:rPr>
          <w:rFonts w:hint="eastAsia"/>
          <w:color w:val="auto"/>
          <w:highlight w:val="none"/>
        </w:rPr>
      </w:pPr>
    </w:p>
    <w:p>
      <w:pPr>
        <w:spacing w:line="360" w:lineRule="auto"/>
        <w:jc w:val="center"/>
        <w:rPr>
          <w:rFonts w:hint="eastAsia"/>
          <w:color w:val="auto"/>
          <w:highlight w:val="none"/>
        </w:rPr>
      </w:pPr>
    </w:p>
    <w:p>
      <w:pPr>
        <w:spacing w:line="360" w:lineRule="auto"/>
        <w:jc w:val="center"/>
        <w:rPr>
          <w:rFonts w:hint="eastAsia"/>
          <w:color w:val="auto"/>
          <w:highlight w:val="none"/>
        </w:rPr>
      </w:pPr>
    </w:p>
    <w:p>
      <w:pPr>
        <w:spacing w:line="360" w:lineRule="auto"/>
        <w:jc w:val="center"/>
        <w:outlineLvl w:val="0"/>
        <w:rPr>
          <w:rFonts w:hint="eastAsia" w:ascii="黑体" w:hAnsi="微软雅黑" w:eastAsia="黑体"/>
          <w:b/>
          <w:color w:val="auto"/>
          <w:sz w:val="72"/>
          <w:szCs w:val="72"/>
          <w:highlight w:val="none"/>
        </w:rPr>
      </w:pPr>
      <w:r>
        <w:rPr>
          <w:rFonts w:hint="eastAsia" w:ascii="黑体" w:hAnsi="微软雅黑" w:eastAsia="黑体"/>
          <w:b/>
          <w:color w:val="auto"/>
          <w:sz w:val="72"/>
          <w:szCs w:val="72"/>
          <w:highlight w:val="none"/>
        </w:rPr>
        <w:t>温州市公安局</w:t>
      </w:r>
    </w:p>
    <w:p>
      <w:pPr>
        <w:spacing w:line="360" w:lineRule="auto"/>
        <w:jc w:val="center"/>
        <w:outlineLvl w:val="0"/>
        <w:rPr>
          <w:rFonts w:hint="eastAsia" w:ascii="黑体" w:hAnsi="微软雅黑" w:eastAsia="黑体"/>
          <w:b/>
          <w:color w:val="auto"/>
          <w:sz w:val="72"/>
          <w:szCs w:val="72"/>
          <w:highlight w:val="none"/>
        </w:rPr>
      </w:pPr>
      <w:r>
        <w:rPr>
          <w:rFonts w:hint="eastAsia" w:ascii="黑体" w:hAnsi="微软雅黑" w:eastAsia="黑体"/>
          <w:b/>
          <w:color w:val="auto"/>
          <w:sz w:val="72"/>
          <w:szCs w:val="72"/>
          <w:highlight w:val="none"/>
        </w:rPr>
        <w:t>系统及设备维护服务合同</w:t>
      </w:r>
    </w:p>
    <w:p>
      <w:pPr>
        <w:spacing w:line="360" w:lineRule="auto"/>
        <w:jc w:val="center"/>
        <w:outlineLvl w:val="0"/>
        <w:rPr>
          <w:rFonts w:hint="eastAsia" w:ascii="仿宋" w:hAnsi="仿宋" w:eastAsia="仿宋" w:cs="仿宋"/>
          <w:b/>
          <w:bCs w:val="0"/>
          <w:i/>
          <w:iCs/>
          <w:color w:val="auto"/>
          <w:sz w:val="44"/>
          <w:szCs w:val="44"/>
          <w:highlight w:val="none"/>
          <w:u w:val="single"/>
          <w:lang w:eastAsia="zh-CN"/>
        </w:rPr>
      </w:pPr>
      <w:r>
        <w:rPr>
          <w:rFonts w:hint="eastAsia" w:ascii="仿宋" w:hAnsi="仿宋" w:eastAsia="仿宋" w:cs="仿宋"/>
          <w:b/>
          <w:bCs w:val="0"/>
          <w:i/>
          <w:iCs/>
          <w:color w:val="auto"/>
          <w:sz w:val="44"/>
          <w:szCs w:val="44"/>
          <w:highlight w:val="none"/>
          <w:lang w:eastAsia="zh-CN"/>
        </w:rPr>
        <w:t>（</w:t>
      </w:r>
      <w:r>
        <w:rPr>
          <w:rFonts w:hint="eastAsia" w:ascii="仿宋" w:hAnsi="仿宋" w:eastAsia="仿宋" w:cs="仿宋"/>
          <w:b/>
          <w:bCs w:val="0"/>
          <w:i/>
          <w:iCs/>
          <w:color w:val="auto"/>
          <w:sz w:val="44"/>
          <w:szCs w:val="44"/>
          <w:highlight w:val="none"/>
          <w:u w:val="single"/>
          <w:lang w:val="en-US" w:eastAsia="zh-CN"/>
        </w:rPr>
        <w:t>适用于标项一、二、三、四</w:t>
      </w:r>
      <w:r>
        <w:rPr>
          <w:rFonts w:hint="eastAsia" w:ascii="仿宋" w:hAnsi="仿宋" w:eastAsia="仿宋" w:cs="仿宋"/>
          <w:b/>
          <w:bCs w:val="0"/>
          <w:i/>
          <w:iCs/>
          <w:color w:val="auto"/>
          <w:sz w:val="44"/>
          <w:szCs w:val="44"/>
          <w:highlight w:val="none"/>
          <w:u w:val="single"/>
          <w:lang w:eastAsia="zh-CN"/>
        </w:rPr>
        <w:t>）</w:t>
      </w:r>
    </w:p>
    <w:p>
      <w:pPr>
        <w:pStyle w:val="2"/>
        <w:rPr>
          <w:rFonts w:hint="eastAsia"/>
          <w:color w:val="auto"/>
          <w:highlight w:val="none"/>
        </w:rPr>
      </w:pPr>
    </w:p>
    <w:p>
      <w:pPr>
        <w:spacing w:line="360" w:lineRule="auto"/>
        <w:jc w:val="left"/>
        <w:rPr>
          <w:rFonts w:hint="eastAsia"/>
          <w:color w:val="auto"/>
          <w:highlight w:val="none"/>
        </w:rPr>
      </w:pPr>
    </w:p>
    <w:p>
      <w:pPr>
        <w:spacing w:line="360" w:lineRule="auto"/>
        <w:jc w:val="left"/>
        <w:rPr>
          <w:rFonts w:hint="eastAsia"/>
          <w:color w:val="auto"/>
          <w:highlight w:val="none"/>
        </w:rPr>
      </w:pPr>
    </w:p>
    <w:p>
      <w:pPr>
        <w:spacing w:line="360" w:lineRule="auto"/>
        <w:jc w:val="left"/>
        <w:rPr>
          <w:rFonts w:hint="eastAsia"/>
          <w:color w:val="auto"/>
          <w:highlight w:val="none"/>
        </w:rPr>
      </w:pPr>
    </w:p>
    <w:p>
      <w:pPr>
        <w:spacing w:line="360" w:lineRule="auto"/>
        <w:jc w:val="left"/>
        <w:rPr>
          <w:rFonts w:hint="eastAsia"/>
          <w:color w:val="auto"/>
          <w:highlight w:val="none"/>
        </w:rPr>
      </w:pPr>
    </w:p>
    <w:p>
      <w:pPr>
        <w:spacing w:line="360" w:lineRule="auto"/>
        <w:jc w:val="left"/>
        <w:rPr>
          <w:rFonts w:hint="eastAsia"/>
          <w:color w:val="auto"/>
          <w:highlight w:val="none"/>
        </w:rPr>
      </w:pPr>
    </w:p>
    <w:p>
      <w:pPr>
        <w:spacing w:line="360" w:lineRule="auto"/>
        <w:jc w:val="left"/>
        <w:rPr>
          <w:rFonts w:hint="eastAsia"/>
          <w:color w:val="auto"/>
          <w:highlight w:val="none"/>
        </w:rPr>
      </w:pPr>
    </w:p>
    <w:p>
      <w:pPr>
        <w:ind w:firstLine="420"/>
        <w:outlineLvl w:val="0"/>
        <w:rPr>
          <w:rFonts w:hint="eastAsia" w:ascii="黑体" w:hAnsi="黑体" w:eastAsia="黑体"/>
          <w:b/>
          <w:bCs/>
          <w:color w:val="auto"/>
          <w:sz w:val="36"/>
          <w:szCs w:val="36"/>
          <w:highlight w:val="none"/>
        </w:rPr>
      </w:pPr>
      <w:r>
        <w:rPr>
          <w:rFonts w:hint="eastAsia" w:ascii="黑体" w:hAnsi="黑体" w:eastAsia="黑体"/>
          <w:b/>
          <w:bCs/>
          <w:color w:val="auto"/>
          <w:sz w:val="36"/>
          <w:szCs w:val="36"/>
          <w:highlight w:val="none"/>
        </w:rPr>
        <w:t>项目名称：</w:t>
      </w:r>
      <w:r>
        <w:rPr>
          <w:rFonts w:hint="eastAsia" w:ascii="黑体" w:hAnsi="黑体" w:eastAsia="黑体"/>
          <w:color w:val="auto"/>
          <w:sz w:val="36"/>
          <w:szCs w:val="36"/>
          <w:highlight w:val="none"/>
          <w:u w:val="single"/>
        </w:rPr>
        <w:t xml:space="preserve">                                    </w:t>
      </w:r>
    </w:p>
    <w:p>
      <w:pPr>
        <w:ind w:firstLine="420"/>
        <w:outlineLvl w:val="0"/>
        <w:rPr>
          <w:rFonts w:hint="eastAsia" w:ascii="黑体" w:hAnsi="黑体" w:eastAsia="黑体"/>
          <w:color w:val="auto"/>
          <w:sz w:val="36"/>
          <w:szCs w:val="36"/>
          <w:highlight w:val="none"/>
          <w:u w:val="single"/>
        </w:rPr>
      </w:pPr>
      <w:r>
        <w:rPr>
          <w:rFonts w:hint="eastAsia" w:ascii="黑体" w:hAnsi="黑体" w:eastAsia="黑体"/>
          <w:b/>
          <w:bCs/>
          <w:color w:val="auto"/>
          <w:sz w:val="36"/>
          <w:szCs w:val="36"/>
          <w:highlight w:val="none"/>
        </w:rPr>
        <w:t>委托方（甲方）：</w:t>
      </w:r>
      <w:r>
        <w:rPr>
          <w:rFonts w:hint="eastAsia" w:ascii="黑体" w:hAnsi="黑体" w:eastAsia="黑体"/>
          <w:color w:val="auto"/>
          <w:sz w:val="36"/>
          <w:szCs w:val="36"/>
          <w:highlight w:val="none"/>
          <w:u w:val="single"/>
        </w:rPr>
        <w:t xml:space="preserve">                                 </w:t>
      </w:r>
    </w:p>
    <w:p>
      <w:pPr>
        <w:ind w:firstLine="420"/>
        <w:outlineLvl w:val="0"/>
        <w:rPr>
          <w:rFonts w:hint="eastAsia" w:ascii="黑体" w:hAnsi="黑体" w:eastAsia="黑体"/>
          <w:color w:val="auto"/>
          <w:sz w:val="36"/>
          <w:szCs w:val="36"/>
          <w:highlight w:val="none"/>
          <w:u w:val="single"/>
        </w:rPr>
      </w:pPr>
      <w:r>
        <w:rPr>
          <w:rFonts w:hint="eastAsia" w:ascii="黑体" w:hAnsi="黑体" w:eastAsia="黑体"/>
          <w:b/>
          <w:bCs/>
          <w:color w:val="auto"/>
          <w:sz w:val="36"/>
          <w:szCs w:val="36"/>
          <w:highlight w:val="none"/>
        </w:rPr>
        <w:t>受托方（乙方）：</w:t>
      </w:r>
      <w:r>
        <w:rPr>
          <w:rFonts w:hint="eastAsia" w:ascii="黑体" w:hAnsi="黑体" w:eastAsia="黑体"/>
          <w:color w:val="auto"/>
          <w:sz w:val="36"/>
          <w:szCs w:val="36"/>
          <w:highlight w:val="none"/>
          <w:u w:val="single"/>
        </w:rPr>
        <w:t xml:space="preserve">                                 </w:t>
      </w:r>
    </w:p>
    <w:p>
      <w:pPr>
        <w:ind w:firstLine="420"/>
        <w:outlineLvl w:val="0"/>
        <w:rPr>
          <w:rFonts w:hint="eastAsia" w:ascii="黑体" w:hAnsi="黑体" w:eastAsia="黑体"/>
          <w:color w:val="auto"/>
          <w:sz w:val="36"/>
          <w:szCs w:val="36"/>
          <w:highlight w:val="none"/>
          <w:u w:val="single"/>
        </w:rPr>
      </w:pPr>
      <w:r>
        <w:rPr>
          <w:rFonts w:hint="eastAsia" w:ascii="黑体" w:hAnsi="黑体" w:eastAsia="黑体"/>
          <w:b/>
          <w:bCs/>
          <w:color w:val="auto"/>
          <w:sz w:val="36"/>
          <w:szCs w:val="36"/>
          <w:highlight w:val="none"/>
        </w:rPr>
        <w:t>签订时间：</w:t>
      </w:r>
      <w:r>
        <w:rPr>
          <w:rFonts w:hint="eastAsia" w:ascii="黑体" w:hAnsi="黑体" w:eastAsia="黑体"/>
          <w:color w:val="auto"/>
          <w:sz w:val="36"/>
          <w:szCs w:val="36"/>
          <w:highlight w:val="none"/>
          <w:u w:val="single"/>
        </w:rPr>
        <w:t xml:space="preserve">           年       月        </w:t>
      </w:r>
    </w:p>
    <w:p>
      <w:pPr>
        <w:ind w:firstLine="420"/>
        <w:outlineLvl w:val="0"/>
        <w:rPr>
          <w:rFonts w:hint="eastAsia" w:ascii="黑体" w:hAnsi="黑体" w:eastAsia="黑体"/>
          <w:color w:val="auto"/>
          <w:sz w:val="36"/>
          <w:szCs w:val="36"/>
          <w:highlight w:val="none"/>
          <w:u w:val="single"/>
        </w:rPr>
      </w:pPr>
      <w:r>
        <w:rPr>
          <w:rFonts w:hint="eastAsia" w:ascii="黑体" w:hAnsi="黑体" w:eastAsia="黑体"/>
          <w:b/>
          <w:bCs/>
          <w:color w:val="auto"/>
          <w:sz w:val="36"/>
          <w:szCs w:val="36"/>
          <w:highlight w:val="none"/>
        </w:rPr>
        <w:t>签订地点：</w:t>
      </w:r>
      <w:r>
        <w:rPr>
          <w:rFonts w:hint="eastAsia" w:ascii="黑体" w:hAnsi="黑体" w:eastAsia="黑体"/>
          <w:color w:val="auto"/>
          <w:sz w:val="36"/>
          <w:szCs w:val="36"/>
          <w:highlight w:val="none"/>
          <w:u w:val="single"/>
        </w:rPr>
        <w:t xml:space="preserve">          </w:t>
      </w:r>
      <w:r>
        <w:rPr>
          <w:rFonts w:hint="eastAsia" w:ascii="黑体" w:hAnsi="黑体" w:eastAsia="黑体" w:cs="宋体"/>
          <w:color w:val="auto"/>
          <w:kern w:val="0"/>
          <w:sz w:val="36"/>
          <w:szCs w:val="36"/>
          <w:highlight w:val="none"/>
          <w:u w:val="single"/>
        </w:rPr>
        <w:t>温州市鹿城区</w:t>
      </w:r>
      <w:r>
        <w:rPr>
          <w:rFonts w:hint="eastAsia" w:ascii="黑体" w:hAnsi="黑体" w:eastAsia="黑体"/>
          <w:color w:val="auto"/>
          <w:sz w:val="36"/>
          <w:szCs w:val="36"/>
          <w:highlight w:val="none"/>
          <w:u w:val="single"/>
        </w:rPr>
        <w:t xml:space="preserve">             </w:t>
      </w:r>
      <w:r>
        <w:rPr>
          <w:rFonts w:ascii="黑体" w:hAnsi="黑体" w:eastAsia="黑体"/>
          <w:color w:val="auto"/>
          <w:sz w:val="36"/>
          <w:szCs w:val="36"/>
          <w:highlight w:val="none"/>
          <w:u w:val="single"/>
        </w:rPr>
        <w:t xml:space="preserve"> </w:t>
      </w:r>
    </w:p>
    <w:p>
      <w:pPr>
        <w:ind w:firstLine="420"/>
        <w:outlineLvl w:val="0"/>
        <w:rPr>
          <w:rFonts w:ascii="黑体" w:hAnsi="黑体" w:eastAsia="黑体"/>
          <w:b/>
          <w:bCs/>
          <w:color w:val="auto"/>
          <w:sz w:val="36"/>
          <w:szCs w:val="36"/>
          <w:highlight w:val="none"/>
        </w:rPr>
      </w:pPr>
      <w:r>
        <w:rPr>
          <w:rFonts w:hint="eastAsia" w:ascii="黑体" w:hAnsi="黑体" w:eastAsia="黑体"/>
          <w:b/>
          <w:bCs/>
          <w:color w:val="auto"/>
          <w:sz w:val="36"/>
          <w:szCs w:val="36"/>
          <w:highlight w:val="none"/>
        </w:rPr>
        <w:t>有效期限：</w:t>
      </w:r>
      <w:r>
        <w:rPr>
          <w:rFonts w:hint="eastAsia" w:ascii="黑体" w:hAnsi="黑体" w:eastAsia="黑体"/>
          <w:color w:val="auto"/>
          <w:sz w:val="36"/>
          <w:szCs w:val="36"/>
          <w:highlight w:val="none"/>
          <w:u w:val="single"/>
        </w:rPr>
        <w:t xml:space="preserve">                                      </w:t>
      </w:r>
    </w:p>
    <w:p>
      <w:pPr>
        <w:ind w:firstLine="590" w:firstLineChars="196"/>
        <w:jc w:val="center"/>
        <w:rPr>
          <w:rFonts w:hint="eastAsia" w:ascii="仿宋" w:hAnsi="仿宋" w:eastAsia="仿宋" w:cs="仿宋"/>
          <w:b/>
          <w:color w:val="auto"/>
          <w:sz w:val="30"/>
          <w:szCs w:val="30"/>
          <w:highlight w:val="none"/>
        </w:rPr>
      </w:pPr>
    </w:p>
    <w:p>
      <w:pPr>
        <w:ind w:firstLine="590" w:firstLineChars="196"/>
        <w:jc w:val="center"/>
        <w:outlineLvl w:val="1"/>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使用说明</w:t>
      </w:r>
    </w:p>
    <w:p>
      <w:pPr>
        <w:ind w:firstLine="590" w:firstLineChars="196"/>
        <w:jc w:val="center"/>
        <w:rPr>
          <w:rFonts w:hint="eastAsia" w:ascii="仿宋" w:hAnsi="仿宋" w:eastAsia="仿宋" w:cs="仿宋"/>
          <w:b/>
          <w:color w:val="auto"/>
          <w:sz w:val="30"/>
          <w:szCs w:val="30"/>
          <w:highlight w:val="none"/>
        </w:rPr>
      </w:pPr>
    </w:p>
    <w:p>
      <w:pPr>
        <w:ind w:firstLine="588" w:firstLineChars="196"/>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第一，本《合同》供温州市公安局市本级科技项目运行维护项目外包服务合同双方参照使用，各区县公安局运行维护项目外包服务合同双方可参照使用；</w:t>
      </w:r>
    </w:p>
    <w:p>
      <w:pPr>
        <w:ind w:firstLine="588" w:firstLineChars="196"/>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第二，有关空格的数字、百分比及内容，由合同双方根据实际情况填写，双方也可根据实际需要，对有关条款进行修改、增补或者删减；</w:t>
      </w:r>
    </w:p>
    <w:p>
      <w:pPr>
        <w:ind w:firstLine="588" w:firstLineChars="196"/>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第三，在使用本《合同》时应当结合具体情况正确选择文本中所提供的相关内容；</w:t>
      </w:r>
    </w:p>
    <w:p>
      <w:pPr>
        <w:ind w:firstLine="588" w:firstLineChars="196"/>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第四，应当注意保持合同的完整性，在正文中不能表述清楚的内容可以附件的形式进行表述；</w:t>
      </w:r>
    </w:p>
    <w:p>
      <w:pPr>
        <w:ind w:firstLine="588" w:firstLineChars="196"/>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第五，在订立重大的或者内容复杂的合同时，应当向法律专家咨询。</w:t>
      </w:r>
    </w:p>
    <w:p>
      <w:pPr>
        <w:ind w:firstLine="590" w:firstLineChars="196"/>
        <w:jc w:val="center"/>
        <w:rPr>
          <w:rFonts w:hint="eastAsia" w:ascii="仿宋" w:hAnsi="仿宋" w:eastAsia="仿宋" w:cs="仿宋"/>
          <w:b/>
          <w:color w:val="auto"/>
          <w:sz w:val="30"/>
          <w:szCs w:val="30"/>
          <w:highlight w:val="none"/>
        </w:rPr>
      </w:pPr>
    </w:p>
    <w:p>
      <w:pPr>
        <w:ind w:firstLine="590" w:firstLineChars="196"/>
        <w:jc w:val="center"/>
        <w:rPr>
          <w:rFonts w:hint="eastAsia" w:ascii="仿宋" w:hAnsi="仿宋" w:eastAsia="仿宋" w:cs="仿宋"/>
          <w:b/>
          <w:color w:val="auto"/>
          <w:sz w:val="30"/>
          <w:szCs w:val="30"/>
          <w:highlight w:val="none"/>
        </w:rPr>
      </w:pPr>
    </w:p>
    <w:p>
      <w:pPr>
        <w:ind w:firstLine="590" w:firstLineChars="196"/>
        <w:jc w:val="center"/>
        <w:rPr>
          <w:rFonts w:hint="eastAsia" w:ascii="仿宋" w:hAnsi="仿宋" w:eastAsia="仿宋" w:cs="仿宋"/>
          <w:b/>
          <w:color w:val="auto"/>
          <w:sz w:val="30"/>
          <w:szCs w:val="30"/>
          <w:highlight w:val="none"/>
        </w:rPr>
      </w:pPr>
    </w:p>
    <w:p>
      <w:pPr>
        <w:ind w:firstLine="590" w:firstLineChars="196"/>
        <w:jc w:val="center"/>
        <w:rPr>
          <w:rFonts w:hint="eastAsia" w:ascii="仿宋" w:hAnsi="仿宋" w:eastAsia="仿宋" w:cs="仿宋"/>
          <w:b/>
          <w:color w:val="auto"/>
          <w:sz w:val="30"/>
          <w:szCs w:val="30"/>
          <w:highlight w:val="none"/>
        </w:rPr>
      </w:pPr>
    </w:p>
    <w:p>
      <w:pPr>
        <w:ind w:firstLine="590" w:firstLineChars="196"/>
        <w:jc w:val="center"/>
        <w:rPr>
          <w:rFonts w:hint="eastAsia" w:ascii="仿宋" w:hAnsi="仿宋" w:eastAsia="仿宋" w:cs="仿宋"/>
          <w:b/>
          <w:color w:val="auto"/>
          <w:sz w:val="30"/>
          <w:szCs w:val="30"/>
          <w:highlight w:val="none"/>
        </w:rPr>
      </w:pPr>
    </w:p>
    <w:p>
      <w:pPr>
        <w:ind w:firstLine="590" w:firstLineChars="196"/>
        <w:jc w:val="center"/>
        <w:rPr>
          <w:rFonts w:hint="eastAsia" w:ascii="仿宋" w:hAnsi="仿宋" w:eastAsia="仿宋" w:cs="仿宋"/>
          <w:b/>
          <w:color w:val="auto"/>
          <w:sz w:val="30"/>
          <w:szCs w:val="30"/>
          <w:highlight w:val="none"/>
        </w:rPr>
      </w:pPr>
    </w:p>
    <w:p>
      <w:pPr>
        <w:ind w:firstLine="590" w:firstLineChars="196"/>
        <w:jc w:val="center"/>
        <w:rPr>
          <w:rFonts w:hint="eastAsia" w:ascii="仿宋" w:hAnsi="仿宋" w:eastAsia="仿宋" w:cs="仿宋"/>
          <w:b/>
          <w:color w:val="auto"/>
          <w:sz w:val="30"/>
          <w:szCs w:val="30"/>
          <w:highlight w:val="none"/>
        </w:rPr>
      </w:pPr>
    </w:p>
    <w:p>
      <w:pPr>
        <w:ind w:firstLine="590" w:firstLineChars="196"/>
        <w:jc w:val="center"/>
        <w:rPr>
          <w:rFonts w:hint="eastAsia" w:ascii="仿宋" w:hAnsi="仿宋" w:eastAsia="仿宋" w:cs="仿宋"/>
          <w:b/>
          <w:color w:val="auto"/>
          <w:sz w:val="30"/>
          <w:szCs w:val="30"/>
          <w:highlight w:val="none"/>
        </w:rPr>
      </w:pPr>
    </w:p>
    <w:p>
      <w:pPr>
        <w:rPr>
          <w:rFonts w:hint="eastAsia" w:ascii="仿宋" w:hAnsi="仿宋" w:eastAsia="仿宋" w:cs="仿宋"/>
          <w:b/>
          <w:color w:val="auto"/>
          <w:sz w:val="30"/>
          <w:szCs w:val="30"/>
          <w:highlight w:val="none"/>
        </w:rPr>
      </w:pPr>
    </w:p>
    <w:p>
      <w:pPr>
        <w:ind w:firstLine="590" w:firstLineChars="196"/>
        <w:jc w:val="center"/>
        <w:outlineLvl w:val="1"/>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br w:type="page"/>
      </w:r>
      <w:r>
        <w:rPr>
          <w:rFonts w:hint="eastAsia" w:ascii="仿宋" w:hAnsi="仿宋" w:eastAsia="仿宋" w:cs="仿宋"/>
          <w:b/>
          <w:color w:val="auto"/>
          <w:sz w:val="30"/>
          <w:szCs w:val="30"/>
          <w:highlight w:val="none"/>
        </w:rPr>
        <w:t>目   录</w:t>
      </w:r>
    </w:p>
    <w:p>
      <w:pPr>
        <w:ind w:firstLine="590" w:firstLineChars="196"/>
        <w:jc w:val="center"/>
        <w:rPr>
          <w:rFonts w:hint="eastAsia" w:ascii="仿宋" w:hAnsi="仿宋" w:eastAsia="仿宋" w:cs="仿宋"/>
          <w:b/>
          <w:color w:val="auto"/>
          <w:sz w:val="30"/>
          <w:szCs w:val="30"/>
          <w:highlight w:val="none"/>
        </w:rPr>
      </w:pP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运维目标、服务内容、范围与技术要求</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服务期限与服务地点</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维护确认与验收</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价格与付款方式</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义务与责任</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所有权、知识产权和使用权</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保密与竞争限制</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服务变更</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不可抗力</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违约责任</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争议解决</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项目合同附件清单</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合同的生效</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w:t>
      </w:r>
    </w:p>
    <w:p>
      <w:pPr>
        <w:numPr>
          <w:ilvl w:val="0"/>
          <w:numId w:val="9"/>
        </w:numPr>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项目合同签章</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spacing w:before="312" w:beforeLines="100" w:after="312" w:afterLines="100"/>
        <w:ind w:firstLine="472" w:firstLineChars="196"/>
        <w:jc w:val="center"/>
        <w:outlineLvl w:val="1"/>
        <w:rPr>
          <w:rFonts w:hint="eastAsia" w:ascii="仿宋" w:hAnsi="仿宋" w:eastAsia="仿宋" w:cs="仿宋"/>
          <w:b/>
          <w:color w:val="auto"/>
          <w:sz w:val="24"/>
          <w:szCs w:val="24"/>
          <w:highlight w:val="none"/>
        </w:rPr>
      </w:pPr>
    </w:p>
    <w:p>
      <w:pPr>
        <w:spacing w:before="312" w:beforeLines="100" w:after="312" w:afterLines="100"/>
        <w:ind w:firstLine="472" w:firstLineChars="196"/>
        <w:jc w:val="center"/>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r>
        <w:rPr>
          <w:rFonts w:hint="eastAsia" w:ascii="仿宋" w:hAnsi="仿宋" w:eastAsia="仿宋" w:cs="仿宋"/>
          <w:b/>
          <w:color w:val="auto"/>
          <w:sz w:val="24"/>
          <w:szCs w:val="24"/>
          <w:highlight w:val="none"/>
        </w:rPr>
        <w:t>系统及设备维护服务合同</w:t>
      </w:r>
    </w:p>
    <w:p>
      <w:pPr>
        <w:spacing w:line="460" w:lineRule="exact"/>
        <w:ind w:firstLine="56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本合同甲方委托乙方就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项目进行技术支持维护服务，并支付相应的技术服务报酬。双方经过平等协商，在真实、充分地表达各自意愿的基础上，根据《中华人民共和国民法典》、</w:t>
      </w:r>
      <w:r>
        <w:rPr>
          <w:rFonts w:hint="eastAsia" w:ascii="仿宋" w:hAnsi="仿宋" w:eastAsia="仿宋" w:cs="仿宋"/>
          <w:color w:val="auto"/>
          <w:kern w:val="0"/>
          <w:sz w:val="24"/>
          <w:szCs w:val="24"/>
          <w:highlight w:val="none"/>
        </w:rPr>
        <w:t>《中华人民共和国政府采购法》等法律法规和本合同的招标文件、投标文件及其投标中的承诺，经双方协商，同意按下述条款和条件签订本合同，共同遵守。</w:t>
      </w:r>
    </w:p>
    <w:p>
      <w:pPr>
        <w:spacing w:line="460" w:lineRule="exact"/>
        <w:ind w:firstLine="482" w:firstLineChars="200"/>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一、运维目标、服务内容、范围与技术要求</w:t>
      </w:r>
    </w:p>
    <w:p>
      <w:pPr>
        <w:spacing w:line="460" w:lineRule="exact"/>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w:t>
      </w:r>
    </w:p>
    <w:p>
      <w:pPr>
        <w:spacing w:line="460" w:lineRule="exact"/>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w:t>
      </w:r>
    </w:p>
    <w:p>
      <w:pPr>
        <w:spacing w:line="460" w:lineRule="exact"/>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w:t>
      </w:r>
    </w:p>
    <w:p>
      <w:pPr>
        <w:spacing w:line="460" w:lineRule="exact"/>
        <w:ind w:firstLine="470" w:firstLineChars="196"/>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（四）</w:t>
      </w:r>
    </w:p>
    <w:p>
      <w:pPr>
        <w:spacing w:line="460" w:lineRule="exact"/>
        <w:ind w:firstLine="472" w:firstLineChars="196"/>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二、服务期限与服务地点</w:t>
      </w:r>
    </w:p>
    <w:p>
      <w:pPr>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（一）服务期限</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本合同约定的维护服务期从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日（含）起,至</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日止。</w:t>
      </w:r>
    </w:p>
    <w:p>
      <w:pPr>
        <w:spacing w:line="460" w:lineRule="exact"/>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（二）服务地点</w:t>
      </w:r>
    </w:p>
    <w:p>
      <w:pPr>
        <w:spacing w:line="460" w:lineRule="exact"/>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本合同约定的维护服务地点为：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460" w:lineRule="exact"/>
        <w:ind w:firstLine="472" w:firstLineChars="196"/>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三、维护确认与验收</w:t>
      </w:r>
    </w:p>
    <w:p>
      <w:pPr>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（一）维护人员</w:t>
      </w:r>
    </w:p>
    <w:p>
      <w:pPr>
        <w:tabs>
          <w:tab w:val="left" w:pos="431"/>
        </w:tabs>
        <w:spacing w:line="460" w:lineRule="exact"/>
        <w:ind w:firstLine="720" w:firstLineChars="3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甲、乙双方指派专人组成本合同维护项目的管理小组，管理和实施本项目。管理小组成员名单和通讯方式见附件。通常情况下，甲方可以根据具体情况更换本方管理小组的成员；如乙方更换原小组成员的，应当事先征得甲方的书面同意。双方应当在合理和维护双方利益的基础上讨论人员更换事宜。参与项目的所有人员都应当受本合同第七条各条款的约束。</w:t>
      </w:r>
    </w:p>
    <w:p>
      <w:pPr>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（二）维护确认</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1.维护确认每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进行一次，本合同期间共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次。维护确认前，乙方应当根据附件中的检验规格和标准，对维护项目进行功能和运行检验。乙方应当在每次维护确认前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工作日内，以书面方式提请甲方按照合同及其附件所约定的内容进行维护确认。重大维护内容发生后，乙方应当及时以书面方式提请甲方进行维护确认。提请对应用软件维护项目进行维护确认的，乙方还应当提交相应的软件维护文档，所提交的文档应当包括纸质版和电子版各一份。</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2.甲方应当在接到乙方书面材料的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工作日内进行维护确认。如甲方无正当理由而不进行维护确认，则视为甲方已经确认，双方对此另有约定的除外。维护确认的内容包括但不限于系统故障现象、原因、故障排除过程、更换配件情况、恢复状况等。</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3.乙方每次维护时应严格按照附件四的验收标准执行，否则，每违反一项扣</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元（如未对一项设备未检查一次，即算违反一项），甲方有权直接在</w:t>
      </w:r>
      <w:r>
        <w:rPr>
          <w:rFonts w:hint="eastAsia" w:ascii="仿宋" w:hAnsi="仿宋" w:eastAsia="仿宋" w:cs="仿宋"/>
          <w:color w:val="auto"/>
          <w:kern w:val="0"/>
          <w:sz w:val="24"/>
          <w:szCs w:val="24"/>
          <w:highlight w:val="none"/>
        </w:rPr>
        <w:t>履约保函（或履约保证金）</w:t>
      </w:r>
      <w:r>
        <w:rPr>
          <w:rFonts w:hint="eastAsia" w:ascii="仿宋" w:hAnsi="仿宋" w:eastAsia="仿宋" w:cs="仿宋"/>
          <w:color w:val="auto"/>
          <w:sz w:val="24"/>
          <w:szCs w:val="24"/>
          <w:highlight w:val="none"/>
        </w:rPr>
        <w:t>中予以扣除。</w:t>
      </w:r>
    </w:p>
    <w:p>
      <w:pPr>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（三）验收</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1.维护项目按合同规定完成后，甲方应当及时进行验收。乙方应当以书面方式向甲方递交维护项目验收申请书，甲方在收到验收申请书后的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个工作日内，确定具体日期，由双方按照本合同规定的验收标准完成验收，验收标准见附件。</w:t>
      </w:r>
    </w:p>
    <w:p>
      <w:pPr>
        <w:spacing w:line="460" w:lineRule="exact"/>
        <w:ind w:firstLine="56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2.如属于乙方原因致使维护项目未能通过验收，乙方应当排除故障，并自行承担相关费用，同时延长</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个工作日，直至符合验收标准。若延长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个工作日内无法通过验收的，甲方除有权解除合同外，还有权向乙方收取合同总金额20%的赔偿金。</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3.如由于甲方的原因致使维护项目未能通过验收，甲方应当在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个工作日内排除故障，</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日内再次进行验收，直至通过验收为止。若延长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个工作日内无法通过验收的，应依法予以乙方赔偿。</w:t>
      </w:r>
    </w:p>
    <w:p>
      <w:pPr>
        <w:widowControl/>
        <w:snapToGrid w:val="0"/>
        <w:spacing w:line="400" w:lineRule="exact"/>
        <w:ind w:firstLine="422" w:firstLineChars="176"/>
        <w:jc w:val="left"/>
        <w:outlineLvl w:val="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4、履约验收费用（包含第三方检测及评审费用）由供应商承担，因供应商原因造成验收不通过的，再次验收的费用仍由供应商承担。</w:t>
      </w:r>
    </w:p>
    <w:p>
      <w:pPr>
        <w:spacing w:line="460" w:lineRule="exact"/>
        <w:ind w:left="141" w:leftChars="67" w:firstLine="360" w:firstLineChars="150"/>
        <w:rPr>
          <w:rFonts w:hint="eastAsia" w:ascii="仿宋" w:hAnsi="仿宋" w:eastAsia="仿宋" w:cs="仿宋"/>
          <w:color w:val="auto"/>
          <w:sz w:val="24"/>
          <w:szCs w:val="24"/>
          <w:highlight w:val="none"/>
        </w:rPr>
      </w:pPr>
    </w:p>
    <w:p>
      <w:pPr>
        <w:spacing w:line="460" w:lineRule="exact"/>
        <w:ind w:left="420"/>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四、价格与付款方式</w:t>
      </w:r>
    </w:p>
    <w:p>
      <w:pPr>
        <w:widowControl/>
        <w:snapToGrid w:val="0"/>
        <w:spacing w:line="460" w:lineRule="exact"/>
        <w:ind w:firstLine="240" w:firstLineChars="100"/>
        <w:jc w:val="left"/>
        <w:outlineLvl w:val="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（一）本合同中提及金额均为含税价。</w:t>
      </w:r>
    </w:p>
    <w:p>
      <w:pPr>
        <w:widowControl/>
        <w:snapToGrid w:val="0"/>
        <w:spacing w:line="460" w:lineRule="exact"/>
        <w:ind w:firstLine="240" w:firstLineChars="100"/>
        <w:jc w:val="left"/>
        <w:outlineLvl w:val="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（二）合同总金额为：人民币：</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元（大写：</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元整）</w:t>
      </w:r>
    </w:p>
    <w:p>
      <w:pPr>
        <w:widowControl/>
        <w:snapToGrid w:val="0"/>
        <w:spacing w:line="460" w:lineRule="exact"/>
        <w:ind w:firstLine="240" w:firstLineChars="100"/>
        <w:jc w:val="left"/>
        <w:outlineLvl w:val="1"/>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（三）维护详细价格清单</w:t>
      </w:r>
    </w:p>
    <w:tbl>
      <w:tblPr>
        <w:tblStyle w:val="63"/>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3780"/>
        <w:gridCol w:w="360"/>
        <w:gridCol w:w="108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Borders>
              <w:top w:val="double" w:color="auto" w:sz="4" w:space="0"/>
              <w:left w:val="double" w:color="auto" w:sz="4" w:space="0"/>
            </w:tcBorders>
            <w:noWrap w:val="0"/>
            <w:vAlign w:val="center"/>
          </w:tcPr>
          <w:p>
            <w:pPr>
              <w:widowControl/>
              <w:spacing w:line="460" w:lineRule="exact"/>
              <w:jc w:val="center"/>
              <w:rPr>
                <w:rFonts w:hint="eastAsia" w:ascii="仿宋" w:hAnsi="仿宋" w:eastAsia="仿宋" w:cs="仿宋"/>
                <w:caps/>
                <w:color w:val="auto"/>
                <w:kern w:val="0"/>
                <w:sz w:val="24"/>
                <w:szCs w:val="24"/>
                <w:highlight w:val="none"/>
              </w:rPr>
            </w:pPr>
            <w:r>
              <w:rPr>
                <w:rFonts w:hint="eastAsia" w:ascii="仿宋" w:hAnsi="仿宋" w:eastAsia="仿宋" w:cs="仿宋"/>
                <w:caps/>
                <w:color w:val="auto"/>
                <w:kern w:val="0"/>
                <w:sz w:val="24"/>
                <w:szCs w:val="24"/>
                <w:highlight w:val="none"/>
              </w:rPr>
              <w:t>序号</w:t>
            </w:r>
          </w:p>
        </w:tc>
        <w:tc>
          <w:tcPr>
            <w:tcW w:w="3780" w:type="dxa"/>
            <w:tcBorders>
              <w:top w:val="double" w:color="auto" w:sz="4" w:space="0"/>
            </w:tcBorders>
            <w:noWrap w:val="0"/>
            <w:vAlign w:val="center"/>
          </w:tcPr>
          <w:p>
            <w:pPr>
              <w:widowControl/>
              <w:spacing w:line="460" w:lineRule="exact"/>
              <w:jc w:val="center"/>
              <w:rPr>
                <w:rFonts w:hint="eastAsia" w:ascii="仿宋" w:hAnsi="仿宋" w:eastAsia="仿宋" w:cs="仿宋"/>
                <w:caps/>
                <w:color w:val="auto"/>
                <w:kern w:val="0"/>
                <w:sz w:val="24"/>
                <w:szCs w:val="24"/>
                <w:highlight w:val="none"/>
              </w:rPr>
            </w:pPr>
            <w:r>
              <w:rPr>
                <w:rFonts w:hint="eastAsia" w:ascii="仿宋" w:hAnsi="仿宋" w:eastAsia="仿宋" w:cs="仿宋"/>
                <w:caps/>
                <w:color w:val="auto"/>
                <w:kern w:val="0"/>
                <w:sz w:val="24"/>
                <w:szCs w:val="24"/>
                <w:highlight w:val="none"/>
              </w:rPr>
              <w:t>内容</w:t>
            </w:r>
          </w:p>
        </w:tc>
        <w:tc>
          <w:tcPr>
            <w:tcW w:w="360" w:type="dxa"/>
            <w:tcBorders>
              <w:top w:val="double" w:color="auto" w:sz="4" w:space="0"/>
            </w:tcBorders>
            <w:noWrap w:val="0"/>
            <w:vAlign w:val="center"/>
          </w:tcPr>
          <w:p>
            <w:pPr>
              <w:widowControl/>
              <w:spacing w:line="460" w:lineRule="exact"/>
              <w:jc w:val="center"/>
              <w:rPr>
                <w:rFonts w:hint="eastAsia" w:ascii="仿宋" w:hAnsi="仿宋" w:eastAsia="仿宋" w:cs="仿宋"/>
                <w:caps/>
                <w:color w:val="auto"/>
                <w:kern w:val="0"/>
                <w:sz w:val="24"/>
                <w:szCs w:val="24"/>
                <w:highlight w:val="none"/>
              </w:rPr>
            </w:pPr>
            <w:r>
              <w:rPr>
                <w:rFonts w:hint="eastAsia" w:ascii="仿宋" w:hAnsi="仿宋" w:eastAsia="仿宋" w:cs="仿宋"/>
                <w:caps/>
                <w:color w:val="auto"/>
                <w:kern w:val="0"/>
                <w:sz w:val="24"/>
                <w:szCs w:val="24"/>
                <w:highlight w:val="none"/>
              </w:rPr>
              <w:t>数量</w:t>
            </w:r>
          </w:p>
        </w:tc>
        <w:tc>
          <w:tcPr>
            <w:tcW w:w="1080" w:type="dxa"/>
            <w:tcBorders>
              <w:top w:val="double" w:color="auto" w:sz="4" w:space="0"/>
            </w:tcBorders>
            <w:noWrap w:val="0"/>
            <w:vAlign w:val="center"/>
          </w:tcPr>
          <w:p>
            <w:pPr>
              <w:widowControl/>
              <w:spacing w:line="460" w:lineRule="exact"/>
              <w:jc w:val="center"/>
              <w:rPr>
                <w:rFonts w:hint="eastAsia" w:ascii="仿宋" w:hAnsi="仿宋" w:eastAsia="仿宋" w:cs="仿宋"/>
                <w:caps/>
                <w:color w:val="auto"/>
                <w:kern w:val="0"/>
                <w:sz w:val="24"/>
                <w:szCs w:val="24"/>
                <w:highlight w:val="none"/>
              </w:rPr>
            </w:pPr>
            <w:r>
              <w:rPr>
                <w:rFonts w:hint="eastAsia" w:ascii="仿宋" w:hAnsi="仿宋" w:eastAsia="仿宋" w:cs="仿宋"/>
                <w:caps/>
                <w:color w:val="auto"/>
                <w:kern w:val="0"/>
                <w:sz w:val="24"/>
                <w:szCs w:val="24"/>
                <w:highlight w:val="none"/>
              </w:rPr>
              <w:t>单价</w:t>
            </w:r>
          </w:p>
        </w:tc>
        <w:tc>
          <w:tcPr>
            <w:tcW w:w="900" w:type="dxa"/>
            <w:tcBorders>
              <w:top w:val="double" w:color="auto" w:sz="4" w:space="0"/>
            </w:tcBorders>
            <w:noWrap w:val="0"/>
            <w:vAlign w:val="center"/>
          </w:tcPr>
          <w:p>
            <w:pPr>
              <w:widowControl/>
              <w:spacing w:line="460" w:lineRule="exact"/>
              <w:jc w:val="center"/>
              <w:rPr>
                <w:rFonts w:hint="eastAsia" w:ascii="仿宋" w:hAnsi="仿宋" w:eastAsia="仿宋" w:cs="仿宋"/>
                <w:caps/>
                <w:color w:val="auto"/>
                <w:kern w:val="0"/>
                <w:sz w:val="24"/>
                <w:szCs w:val="24"/>
                <w:highlight w:val="none"/>
              </w:rPr>
            </w:pPr>
            <w:r>
              <w:rPr>
                <w:rFonts w:hint="eastAsia" w:ascii="仿宋" w:hAnsi="仿宋" w:eastAsia="仿宋" w:cs="仿宋"/>
                <w:caps/>
                <w:color w:val="auto"/>
                <w:kern w:val="0"/>
                <w:sz w:val="24"/>
                <w:szCs w:val="24"/>
                <w:highlight w:val="none"/>
              </w:rPr>
              <w:t>总价</w:t>
            </w:r>
          </w:p>
        </w:tc>
        <w:tc>
          <w:tcPr>
            <w:tcW w:w="1260" w:type="dxa"/>
            <w:tcBorders>
              <w:top w:val="double" w:color="auto" w:sz="4" w:space="0"/>
              <w:right w:val="double" w:color="auto" w:sz="4" w:space="0"/>
            </w:tcBorders>
            <w:noWrap w:val="0"/>
            <w:vAlign w:val="center"/>
          </w:tcPr>
          <w:p>
            <w:pPr>
              <w:widowControl/>
              <w:spacing w:line="460" w:lineRule="exact"/>
              <w:jc w:val="center"/>
              <w:rPr>
                <w:rFonts w:hint="eastAsia" w:ascii="仿宋" w:hAnsi="仿宋" w:eastAsia="仿宋" w:cs="仿宋"/>
                <w:caps/>
                <w:color w:val="auto"/>
                <w:kern w:val="0"/>
                <w:sz w:val="24"/>
                <w:szCs w:val="24"/>
                <w:highlight w:val="none"/>
              </w:rPr>
            </w:pPr>
            <w:r>
              <w:rPr>
                <w:rFonts w:hint="eastAsia" w:ascii="仿宋" w:hAnsi="仿宋" w:eastAsia="仿宋" w:cs="仿宋"/>
                <w:cap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Borders>
              <w:left w:val="double" w:color="auto" w:sz="4" w:space="0"/>
            </w:tcBorders>
            <w:noWrap w:val="0"/>
            <w:vAlign w:val="center"/>
          </w:tcPr>
          <w:p>
            <w:pPr>
              <w:spacing w:line="460" w:lineRule="exact"/>
              <w:rPr>
                <w:rFonts w:hint="eastAsia" w:ascii="仿宋" w:hAnsi="仿宋" w:eastAsia="仿宋" w:cs="仿宋"/>
                <w:color w:val="auto"/>
                <w:sz w:val="24"/>
                <w:szCs w:val="24"/>
                <w:highlight w:val="none"/>
              </w:rPr>
            </w:pPr>
          </w:p>
        </w:tc>
        <w:tc>
          <w:tcPr>
            <w:tcW w:w="3780" w:type="dxa"/>
            <w:noWrap w:val="0"/>
            <w:vAlign w:val="center"/>
          </w:tcPr>
          <w:p>
            <w:pPr>
              <w:spacing w:line="460" w:lineRule="exact"/>
              <w:rPr>
                <w:rFonts w:hint="eastAsia" w:ascii="仿宋" w:hAnsi="仿宋" w:eastAsia="仿宋" w:cs="仿宋"/>
                <w:color w:val="auto"/>
                <w:sz w:val="24"/>
                <w:szCs w:val="24"/>
                <w:highlight w:val="none"/>
              </w:rPr>
            </w:pPr>
          </w:p>
        </w:tc>
        <w:tc>
          <w:tcPr>
            <w:tcW w:w="360" w:type="dxa"/>
            <w:noWrap w:val="0"/>
            <w:vAlign w:val="center"/>
          </w:tcPr>
          <w:p>
            <w:pPr>
              <w:spacing w:line="460" w:lineRule="exact"/>
              <w:jc w:val="center"/>
              <w:rPr>
                <w:rFonts w:hint="eastAsia" w:ascii="仿宋" w:hAnsi="仿宋" w:eastAsia="仿宋" w:cs="仿宋"/>
                <w:color w:val="auto"/>
                <w:sz w:val="24"/>
                <w:szCs w:val="24"/>
                <w:highlight w:val="none"/>
              </w:rPr>
            </w:pPr>
          </w:p>
        </w:tc>
        <w:tc>
          <w:tcPr>
            <w:tcW w:w="1080" w:type="dxa"/>
            <w:noWrap w:val="0"/>
            <w:vAlign w:val="center"/>
          </w:tcPr>
          <w:p>
            <w:pPr>
              <w:spacing w:line="460" w:lineRule="exact"/>
              <w:jc w:val="right"/>
              <w:rPr>
                <w:rFonts w:hint="eastAsia" w:ascii="仿宋" w:hAnsi="仿宋" w:eastAsia="仿宋" w:cs="仿宋"/>
                <w:color w:val="auto"/>
                <w:sz w:val="24"/>
                <w:szCs w:val="24"/>
                <w:highlight w:val="none"/>
              </w:rPr>
            </w:pPr>
          </w:p>
        </w:tc>
        <w:tc>
          <w:tcPr>
            <w:tcW w:w="900" w:type="dxa"/>
            <w:noWrap w:val="0"/>
            <w:vAlign w:val="center"/>
          </w:tcPr>
          <w:p>
            <w:pPr>
              <w:spacing w:line="460" w:lineRule="exact"/>
              <w:jc w:val="right"/>
              <w:rPr>
                <w:rFonts w:hint="eastAsia" w:ascii="仿宋" w:hAnsi="仿宋" w:eastAsia="仿宋" w:cs="仿宋"/>
                <w:color w:val="auto"/>
                <w:sz w:val="24"/>
                <w:szCs w:val="24"/>
                <w:highlight w:val="none"/>
              </w:rPr>
            </w:pPr>
          </w:p>
        </w:tc>
        <w:tc>
          <w:tcPr>
            <w:tcW w:w="1260" w:type="dxa"/>
            <w:tcBorders>
              <w:right w:val="double" w:color="auto" w:sz="4" w:space="0"/>
            </w:tcBorders>
            <w:noWrap w:val="0"/>
            <w:vAlign w:val="center"/>
          </w:tcPr>
          <w:p>
            <w:pPr>
              <w:pStyle w:val="34"/>
              <w:tabs>
                <w:tab w:val="left" w:pos="8540"/>
              </w:tabs>
              <w:spacing w:line="460" w:lineRule="exac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Borders>
              <w:left w:val="double" w:color="auto" w:sz="4" w:space="0"/>
            </w:tcBorders>
            <w:noWrap w:val="0"/>
            <w:vAlign w:val="center"/>
          </w:tcPr>
          <w:p>
            <w:pPr>
              <w:spacing w:line="460" w:lineRule="exact"/>
              <w:rPr>
                <w:rFonts w:hint="eastAsia" w:ascii="仿宋" w:hAnsi="仿宋" w:eastAsia="仿宋" w:cs="仿宋"/>
                <w:color w:val="auto"/>
                <w:sz w:val="24"/>
                <w:szCs w:val="24"/>
                <w:highlight w:val="none"/>
              </w:rPr>
            </w:pPr>
          </w:p>
        </w:tc>
        <w:tc>
          <w:tcPr>
            <w:tcW w:w="3780" w:type="dxa"/>
            <w:noWrap w:val="0"/>
            <w:vAlign w:val="center"/>
          </w:tcPr>
          <w:p>
            <w:pPr>
              <w:spacing w:line="460" w:lineRule="exact"/>
              <w:rPr>
                <w:rFonts w:hint="eastAsia" w:ascii="仿宋" w:hAnsi="仿宋" w:eastAsia="仿宋" w:cs="仿宋"/>
                <w:color w:val="auto"/>
                <w:sz w:val="24"/>
                <w:szCs w:val="24"/>
                <w:highlight w:val="none"/>
              </w:rPr>
            </w:pPr>
          </w:p>
        </w:tc>
        <w:tc>
          <w:tcPr>
            <w:tcW w:w="360" w:type="dxa"/>
            <w:noWrap w:val="0"/>
            <w:vAlign w:val="center"/>
          </w:tcPr>
          <w:p>
            <w:pPr>
              <w:spacing w:line="460" w:lineRule="exact"/>
              <w:jc w:val="center"/>
              <w:rPr>
                <w:rFonts w:hint="eastAsia" w:ascii="仿宋" w:hAnsi="仿宋" w:eastAsia="仿宋" w:cs="仿宋"/>
                <w:color w:val="auto"/>
                <w:sz w:val="24"/>
                <w:szCs w:val="24"/>
                <w:highlight w:val="none"/>
              </w:rPr>
            </w:pPr>
          </w:p>
        </w:tc>
        <w:tc>
          <w:tcPr>
            <w:tcW w:w="1080" w:type="dxa"/>
            <w:noWrap w:val="0"/>
            <w:vAlign w:val="center"/>
          </w:tcPr>
          <w:p>
            <w:pPr>
              <w:spacing w:line="460" w:lineRule="exact"/>
              <w:jc w:val="right"/>
              <w:rPr>
                <w:rFonts w:hint="eastAsia" w:ascii="仿宋" w:hAnsi="仿宋" w:eastAsia="仿宋" w:cs="仿宋"/>
                <w:color w:val="auto"/>
                <w:sz w:val="24"/>
                <w:szCs w:val="24"/>
                <w:highlight w:val="none"/>
              </w:rPr>
            </w:pPr>
          </w:p>
        </w:tc>
        <w:tc>
          <w:tcPr>
            <w:tcW w:w="900" w:type="dxa"/>
            <w:noWrap w:val="0"/>
            <w:vAlign w:val="center"/>
          </w:tcPr>
          <w:p>
            <w:pPr>
              <w:spacing w:line="460" w:lineRule="exact"/>
              <w:jc w:val="right"/>
              <w:rPr>
                <w:rFonts w:hint="eastAsia" w:ascii="仿宋" w:hAnsi="仿宋" w:eastAsia="仿宋" w:cs="仿宋"/>
                <w:color w:val="auto"/>
                <w:sz w:val="24"/>
                <w:szCs w:val="24"/>
                <w:highlight w:val="none"/>
              </w:rPr>
            </w:pPr>
          </w:p>
        </w:tc>
        <w:tc>
          <w:tcPr>
            <w:tcW w:w="1260" w:type="dxa"/>
            <w:tcBorders>
              <w:right w:val="double" w:color="auto" w:sz="4" w:space="0"/>
            </w:tcBorders>
            <w:noWrap w:val="0"/>
            <w:vAlign w:val="center"/>
          </w:tcPr>
          <w:p>
            <w:pPr>
              <w:pStyle w:val="34"/>
              <w:tabs>
                <w:tab w:val="left" w:pos="8540"/>
              </w:tabs>
              <w:spacing w:line="460" w:lineRule="exac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Borders>
              <w:left w:val="double" w:color="auto" w:sz="4" w:space="0"/>
            </w:tcBorders>
            <w:noWrap w:val="0"/>
            <w:vAlign w:val="center"/>
          </w:tcPr>
          <w:p>
            <w:pPr>
              <w:spacing w:line="460" w:lineRule="exact"/>
              <w:rPr>
                <w:rFonts w:hint="eastAsia" w:ascii="仿宋" w:hAnsi="仿宋" w:eastAsia="仿宋" w:cs="仿宋"/>
                <w:color w:val="auto"/>
                <w:sz w:val="24"/>
                <w:szCs w:val="24"/>
                <w:highlight w:val="none"/>
              </w:rPr>
            </w:pPr>
          </w:p>
        </w:tc>
        <w:tc>
          <w:tcPr>
            <w:tcW w:w="3780" w:type="dxa"/>
            <w:noWrap w:val="0"/>
            <w:vAlign w:val="center"/>
          </w:tcPr>
          <w:p>
            <w:pPr>
              <w:spacing w:line="460" w:lineRule="exact"/>
              <w:rPr>
                <w:rFonts w:hint="eastAsia" w:ascii="仿宋" w:hAnsi="仿宋" w:eastAsia="仿宋" w:cs="仿宋"/>
                <w:color w:val="auto"/>
                <w:sz w:val="24"/>
                <w:szCs w:val="24"/>
                <w:highlight w:val="none"/>
              </w:rPr>
            </w:pPr>
          </w:p>
        </w:tc>
        <w:tc>
          <w:tcPr>
            <w:tcW w:w="360" w:type="dxa"/>
            <w:noWrap w:val="0"/>
            <w:vAlign w:val="center"/>
          </w:tcPr>
          <w:p>
            <w:pPr>
              <w:spacing w:line="460" w:lineRule="exact"/>
              <w:jc w:val="center"/>
              <w:rPr>
                <w:rFonts w:hint="eastAsia" w:ascii="仿宋" w:hAnsi="仿宋" w:eastAsia="仿宋" w:cs="仿宋"/>
                <w:color w:val="auto"/>
                <w:sz w:val="24"/>
                <w:szCs w:val="24"/>
                <w:highlight w:val="none"/>
              </w:rPr>
            </w:pPr>
          </w:p>
        </w:tc>
        <w:tc>
          <w:tcPr>
            <w:tcW w:w="1080" w:type="dxa"/>
            <w:noWrap w:val="0"/>
            <w:vAlign w:val="center"/>
          </w:tcPr>
          <w:p>
            <w:pPr>
              <w:spacing w:line="460" w:lineRule="exact"/>
              <w:jc w:val="right"/>
              <w:rPr>
                <w:rFonts w:hint="eastAsia" w:ascii="仿宋" w:hAnsi="仿宋" w:eastAsia="仿宋" w:cs="仿宋"/>
                <w:color w:val="auto"/>
                <w:sz w:val="24"/>
                <w:szCs w:val="24"/>
                <w:highlight w:val="none"/>
              </w:rPr>
            </w:pPr>
          </w:p>
        </w:tc>
        <w:tc>
          <w:tcPr>
            <w:tcW w:w="900" w:type="dxa"/>
            <w:noWrap w:val="0"/>
            <w:vAlign w:val="center"/>
          </w:tcPr>
          <w:p>
            <w:pPr>
              <w:spacing w:line="460" w:lineRule="exact"/>
              <w:jc w:val="right"/>
              <w:rPr>
                <w:rFonts w:hint="eastAsia" w:ascii="仿宋" w:hAnsi="仿宋" w:eastAsia="仿宋" w:cs="仿宋"/>
                <w:color w:val="auto"/>
                <w:sz w:val="24"/>
                <w:szCs w:val="24"/>
                <w:highlight w:val="none"/>
              </w:rPr>
            </w:pPr>
          </w:p>
        </w:tc>
        <w:tc>
          <w:tcPr>
            <w:tcW w:w="1260" w:type="dxa"/>
            <w:tcBorders>
              <w:right w:val="double" w:color="auto" w:sz="4" w:space="0"/>
            </w:tcBorders>
            <w:noWrap w:val="0"/>
            <w:vAlign w:val="center"/>
          </w:tcPr>
          <w:p>
            <w:pPr>
              <w:pStyle w:val="34"/>
              <w:tabs>
                <w:tab w:val="left" w:pos="8540"/>
              </w:tabs>
              <w:spacing w:line="460" w:lineRule="exac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5" w:type="dxa"/>
            <w:tcBorders>
              <w:left w:val="double" w:color="auto" w:sz="4" w:space="0"/>
            </w:tcBorders>
            <w:noWrap w:val="0"/>
            <w:vAlign w:val="center"/>
          </w:tcPr>
          <w:p>
            <w:pPr>
              <w:spacing w:line="460" w:lineRule="exact"/>
              <w:rPr>
                <w:rFonts w:hint="eastAsia" w:ascii="仿宋" w:hAnsi="仿宋" w:eastAsia="仿宋" w:cs="仿宋"/>
                <w:color w:val="auto"/>
                <w:sz w:val="24"/>
                <w:szCs w:val="24"/>
                <w:highlight w:val="none"/>
              </w:rPr>
            </w:pPr>
          </w:p>
        </w:tc>
        <w:tc>
          <w:tcPr>
            <w:tcW w:w="3780" w:type="dxa"/>
            <w:noWrap w:val="0"/>
            <w:vAlign w:val="center"/>
          </w:tcPr>
          <w:p>
            <w:pPr>
              <w:spacing w:line="460" w:lineRule="exact"/>
              <w:rPr>
                <w:rFonts w:hint="eastAsia" w:ascii="仿宋" w:hAnsi="仿宋" w:eastAsia="仿宋" w:cs="仿宋"/>
                <w:color w:val="auto"/>
                <w:sz w:val="24"/>
                <w:szCs w:val="24"/>
                <w:highlight w:val="none"/>
              </w:rPr>
            </w:pPr>
          </w:p>
        </w:tc>
        <w:tc>
          <w:tcPr>
            <w:tcW w:w="360" w:type="dxa"/>
            <w:noWrap w:val="0"/>
            <w:vAlign w:val="center"/>
          </w:tcPr>
          <w:p>
            <w:pPr>
              <w:spacing w:line="460" w:lineRule="exact"/>
              <w:jc w:val="center"/>
              <w:rPr>
                <w:rFonts w:hint="eastAsia" w:ascii="仿宋" w:hAnsi="仿宋" w:eastAsia="仿宋" w:cs="仿宋"/>
                <w:color w:val="auto"/>
                <w:sz w:val="24"/>
                <w:szCs w:val="24"/>
                <w:highlight w:val="none"/>
              </w:rPr>
            </w:pPr>
          </w:p>
        </w:tc>
        <w:tc>
          <w:tcPr>
            <w:tcW w:w="1080" w:type="dxa"/>
            <w:noWrap w:val="0"/>
            <w:vAlign w:val="center"/>
          </w:tcPr>
          <w:p>
            <w:pPr>
              <w:spacing w:line="460" w:lineRule="exact"/>
              <w:jc w:val="right"/>
              <w:rPr>
                <w:rFonts w:hint="eastAsia" w:ascii="仿宋" w:hAnsi="仿宋" w:eastAsia="仿宋" w:cs="仿宋"/>
                <w:color w:val="auto"/>
                <w:sz w:val="24"/>
                <w:szCs w:val="24"/>
                <w:highlight w:val="none"/>
              </w:rPr>
            </w:pPr>
          </w:p>
        </w:tc>
        <w:tc>
          <w:tcPr>
            <w:tcW w:w="900" w:type="dxa"/>
            <w:noWrap w:val="0"/>
            <w:vAlign w:val="center"/>
          </w:tcPr>
          <w:p>
            <w:pPr>
              <w:spacing w:line="460" w:lineRule="exact"/>
              <w:jc w:val="right"/>
              <w:rPr>
                <w:rFonts w:hint="eastAsia" w:ascii="仿宋" w:hAnsi="仿宋" w:eastAsia="仿宋" w:cs="仿宋"/>
                <w:color w:val="auto"/>
                <w:sz w:val="24"/>
                <w:szCs w:val="24"/>
                <w:highlight w:val="none"/>
              </w:rPr>
            </w:pPr>
          </w:p>
        </w:tc>
        <w:tc>
          <w:tcPr>
            <w:tcW w:w="1260" w:type="dxa"/>
            <w:tcBorders>
              <w:right w:val="double" w:color="auto" w:sz="4" w:space="0"/>
            </w:tcBorders>
            <w:noWrap w:val="0"/>
            <w:vAlign w:val="center"/>
          </w:tcPr>
          <w:p>
            <w:pPr>
              <w:pStyle w:val="34"/>
              <w:tabs>
                <w:tab w:val="left" w:pos="8540"/>
              </w:tabs>
              <w:spacing w:line="460" w:lineRule="exact"/>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85" w:type="dxa"/>
            <w:tcBorders>
              <w:left w:val="double" w:color="auto" w:sz="4" w:space="0"/>
              <w:bottom w:val="double" w:color="auto" w:sz="4" w:space="0"/>
            </w:tcBorders>
            <w:noWrap w:val="0"/>
            <w:vAlign w:val="center"/>
          </w:tcPr>
          <w:p>
            <w:pPr>
              <w:pStyle w:val="34"/>
              <w:tabs>
                <w:tab w:val="left" w:pos="8540"/>
              </w:tabs>
              <w:spacing w:line="4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合计总价</w:t>
            </w:r>
          </w:p>
        </w:tc>
        <w:tc>
          <w:tcPr>
            <w:tcW w:w="5220" w:type="dxa"/>
            <w:gridSpan w:val="3"/>
            <w:tcBorders>
              <w:bottom w:val="double" w:color="auto" w:sz="4" w:space="0"/>
            </w:tcBorders>
            <w:noWrap w:val="0"/>
            <w:vAlign w:val="center"/>
          </w:tcPr>
          <w:p>
            <w:pPr>
              <w:pStyle w:val="34"/>
              <w:tabs>
                <w:tab w:val="left" w:pos="8540"/>
              </w:tabs>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p>
        </w:tc>
        <w:tc>
          <w:tcPr>
            <w:tcW w:w="2160" w:type="dxa"/>
            <w:gridSpan w:val="2"/>
            <w:tcBorders>
              <w:bottom w:val="double" w:color="auto" w:sz="4" w:space="0"/>
              <w:right w:val="double" w:color="auto" w:sz="4" w:space="0"/>
            </w:tcBorders>
            <w:noWrap w:val="0"/>
            <w:vAlign w:val="center"/>
          </w:tcPr>
          <w:p>
            <w:pPr>
              <w:pStyle w:val="34"/>
              <w:tabs>
                <w:tab w:val="left" w:pos="8540"/>
              </w:tabs>
              <w:spacing w:line="4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r>
    </w:tbl>
    <w:p>
      <w:pPr>
        <w:widowControl/>
        <w:snapToGrid w:val="0"/>
        <w:spacing w:line="460" w:lineRule="exact"/>
        <w:jc w:val="left"/>
        <w:rPr>
          <w:rFonts w:hint="eastAsia" w:ascii="仿宋" w:hAnsi="仿宋" w:eastAsia="仿宋" w:cs="仿宋"/>
          <w:color w:val="auto"/>
          <w:kern w:val="0"/>
          <w:sz w:val="24"/>
          <w:szCs w:val="24"/>
          <w:highlight w:val="none"/>
        </w:rPr>
      </w:pPr>
    </w:p>
    <w:p>
      <w:pPr>
        <w:widowControl/>
        <w:snapToGrid w:val="0"/>
        <w:spacing w:line="46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（四）款项支付：</w:t>
      </w:r>
    </w:p>
    <w:p>
      <w:pPr>
        <w:widowControl/>
        <w:snapToGrid w:val="0"/>
        <w:spacing w:line="400" w:lineRule="exact"/>
        <w:ind w:firstLine="424" w:firstLineChars="177"/>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（1）第一笔款：合同签订生效后，甲方在收到乙方提供的下列单据7个工作日内，向乙方支付合同总价的</w:t>
      </w:r>
      <w:r>
        <w:rPr>
          <w:rFonts w:hint="eastAsia" w:ascii="仿宋" w:hAnsi="仿宋" w:eastAsia="仿宋" w:cs="仿宋"/>
          <w:color w:val="auto"/>
          <w:kern w:val="0"/>
          <w:sz w:val="24"/>
          <w:szCs w:val="24"/>
          <w:highlight w:val="none"/>
          <w:u w:val="single"/>
          <w:lang w:val="en-US" w:eastAsia="zh-CN"/>
        </w:rPr>
        <w:t xml:space="preserve"> 70 </w:t>
      </w:r>
      <w:r>
        <w:rPr>
          <w:rFonts w:hint="eastAsia" w:ascii="仿宋" w:hAnsi="仿宋" w:eastAsia="仿宋" w:cs="仿宋"/>
          <w:color w:val="auto"/>
          <w:kern w:val="0"/>
          <w:sz w:val="24"/>
          <w:szCs w:val="24"/>
          <w:highlight w:val="none"/>
        </w:rPr>
        <w:t>%，即人民币：</w:t>
      </w:r>
      <w:r>
        <w:rPr>
          <w:rFonts w:hint="eastAsia" w:ascii="仿宋" w:hAnsi="仿宋" w:eastAsia="仿宋" w:cs="仿宋"/>
          <w:b/>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元</w:t>
      </w:r>
      <w:r>
        <w:rPr>
          <w:rFonts w:hint="eastAsia" w:ascii="仿宋" w:hAnsi="仿宋" w:eastAsia="仿宋" w:cs="仿宋"/>
          <w:b/>
          <w:color w:val="auto"/>
          <w:kern w:val="0"/>
          <w:sz w:val="24"/>
          <w:szCs w:val="24"/>
          <w:highlight w:val="none"/>
        </w:rPr>
        <w:t>（</w:t>
      </w:r>
      <w:r>
        <w:rPr>
          <w:rFonts w:hint="eastAsia" w:ascii="仿宋" w:hAnsi="仿宋" w:eastAsia="仿宋" w:cs="仿宋"/>
          <w:color w:val="auto"/>
          <w:kern w:val="0"/>
          <w:sz w:val="24"/>
          <w:szCs w:val="24"/>
          <w:highlight w:val="none"/>
        </w:rPr>
        <w:t>大写：</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元整）；</w:t>
      </w:r>
    </w:p>
    <w:p>
      <w:pPr>
        <w:widowControl/>
        <w:snapToGrid w:val="0"/>
        <w:spacing w:line="40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下列单据包括：</w:t>
      </w:r>
    </w:p>
    <w:p>
      <w:pPr>
        <w:widowControl/>
        <w:snapToGrid w:val="0"/>
        <w:spacing w:line="40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1.等额</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(普通或者专用) 增值税发票一份；</w:t>
      </w:r>
    </w:p>
    <w:p>
      <w:pPr>
        <w:widowControl/>
        <w:snapToGrid w:val="0"/>
        <w:spacing w:line="400" w:lineRule="exact"/>
        <w:ind w:firstLine="424" w:firstLineChars="177"/>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（2）第二笔款：服务期满，且运维项目通过验收后，甲方在收到乙方提供的下列单据7个工作日内，向乙方支付合同总价的</w:t>
      </w:r>
      <w:r>
        <w:rPr>
          <w:rFonts w:hint="eastAsia" w:ascii="仿宋" w:hAnsi="仿宋" w:eastAsia="仿宋" w:cs="仿宋"/>
          <w:color w:val="auto"/>
          <w:kern w:val="0"/>
          <w:sz w:val="24"/>
          <w:szCs w:val="24"/>
          <w:highlight w:val="none"/>
          <w:u w:val="single"/>
          <w:lang w:val="en-US" w:eastAsia="zh-CN"/>
        </w:rPr>
        <w:t xml:space="preserve"> 30 </w:t>
      </w:r>
      <w:r>
        <w:rPr>
          <w:rFonts w:hint="eastAsia" w:ascii="仿宋" w:hAnsi="仿宋" w:eastAsia="仿宋" w:cs="仿宋"/>
          <w:color w:val="auto"/>
          <w:kern w:val="0"/>
          <w:sz w:val="24"/>
          <w:szCs w:val="24"/>
          <w:highlight w:val="none"/>
        </w:rPr>
        <w:t>%，即人民币：</w:t>
      </w:r>
      <w:r>
        <w:rPr>
          <w:rFonts w:hint="eastAsia" w:ascii="仿宋" w:hAnsi="仿宋" w:eastAsia="仿宋" w:cs="仿宋"/>
          <w:b/>
          <w:color w:val="auto"/>
          <w:kern w:val="0"/>
          <w:sz w:val="24"/>
          <w:szCs w:val="24"/>
          <w:highlight w:val="none"/>
          <w:u w:val="single"/>
        </w:rPr>
        <w:t xml:space="preserve">        </w:t>
      </w:r>
      <w:r>
        <w:rPr>
          <w:rFonts w:hint="eastAsia" w:ascii="仿宋" w:hAnsi="仿宋" w:eastAsia="仿宋" w:cs="仿宋"/>
          <w:color w:val="auto"/>
          <w:kern w:val="0"/>
          <w:sz w:val="24"/>
          <w:szCs w:val="24"/>
          <w:highlight w:val="none"/>
        </w:rPr>
        <w:t xml:space="preserve"> 元</w:t>
      </w:r>
      <w:r>
        <w:rPr>
          <w:rFonts w:hint="eastAsia" w:ascii="仿宋" w:hAnsi="仿宋" w:eastAsia="仿宋" w:cs="仿宋"/>
          <w:b/>
          <w:color w:val="auto"/>
          <w:kern w:val="0"/>
          <w:sz w:val="24"/>
          <w:szCs w:val="24"/>
          <w:highlight w:val="none"/>
        </w:rPr>
        <w:t>（</w:t>
      </w:r>
      <w:r>
        <w:rPr>
          <w:rFonts w:hint="eastAsia" w:ascii="仿宋" w:hAnsi="仿宋" w:eastAsia="仿宋" w:cs="仿宋"/>
          <w:color w:val="auto"/>
          <w:kern w:val="0"/>
          <w:sz w:val="24"/>
          <w:szCs w:val="24"/>
          <w:highlight w:val="none"/>
        </w:rPr>
        <w:t>大写：</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元整）；</w:t>
      </w:r>
    </w:p>
    <w:p>
      <w:pPr>
        <w:widowControl/>
        <w:snapToGrid w:val="0"/>
        <w:spacing w:line="40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下列单据包括：</w:t>
      </w:r>
    </w:p>
    <w:p>
      <w:pPr>
        <w:widowControl/>
        <w:snapToGrid w:val="0"/>
        <w:spacing w:line="40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1.等额</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(普通或者专用) 增值税发票一份；</w:t>
      </w:r>
    </w:p>
    <w:p>
      <w:pPr>
        <w:widowControl/>
        <w:snapToGrid w:val="0"/>
        <w:spacing w:line="40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color w:val="auto"/>
          <w:kern w:val="0"/>
          <w:sz w:val="24"/>
          <w:szCs w:val="24"/>
          <w:highlight w:val="none"/>
        </w:rPr>
        <w:t>项目的验收报告。</w:t>
      </w:r>
    </w:p>
    <w:p>
      <w:pPr>
        <w:spacing w:line="460" w:lineRule="exact"/>
        <w:ind w:firstLine="482" w:firstLineChars="200"/>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五、义务与责任</w:t>
      </w:r>
    </w:p>
    <w:p>
      <w:pPr>
        <w:spacing w:line="460" w:lineRule="exact"/>
        <w:ind w:firstLine="480" w:firstLineChars="200"/>
        <w:outlineLvl w:val="1"/>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（一）甲方</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1.甲方应当向乙方提供必要的工作条件，包括必要的技术资料、技术准备，协助乙方做好维护服务。</w:t>
      </w:r>
    </w:p>
    <w:p>
      <w:pPr>
        <w:tabs>
          <w:tab w:val="left" w:pos="1346"/>
        </w:tabs>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2.甲方应当保证其要求乙方维护的软件、硬件以及相关的文档未侵犯第三方知识产权。</w:t>
      </w:r>
    </w:p>
    <w:p>
      <w:pPr>
        <w:widowControl/>
        <w:snapToGrid w:val="0"/>
        <w:spacing w:line="400" w:lineRule="exact"/>
        <w:ind w:firstLine="424" w:firstLineChars="177"/>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3.甲方应当配合由乙方提供的技术培训工作；</w:t>
      </w:r>
    </w:p>
    <w:p>
      <w:pPr>
        <w:widowControl/>
        <w:snapToGrid w:val="0"/>
        <w:spacing w:line="400" w:lineRule="exact"/>
        <w:ind w:firstLine="424" w:firstLineChars="177"/>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4.甲方负责协调最终甲方和乙方的关系，并提供最终甲方的联系方式；</w:t>
      </w:r>
    </w:p>
    <w:p>
      <w:pPr>
        <w:widowControl/>
        <w:snapToGrid w:val="0"/>
        <w:spacing w:line="400" w:lineRule="exact"/>
        <w:ind w:firstLine="424" w:firstLineChars="177"/>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5.甲方</w:t>
      </w:r>
      <w:bookmarkStart w:id="447" w:name="_Hlk126742933"/>
      <w:r>
        <w:rPr>
          <w:rFonts w:hint="eastAsia" w:ascii="仿宋" w:hAnsi="仿宋" w:eastAsia="仿宋" w:cs="仿宋"/>
          <w:color w:val="auto"/>
          <w:sz w:val="24"/>
          <w:szCs w:val="24"/>
          <w:highlight w:val="none"/>
        </w:rPr>
        <w:t>在服务期内</w:t>
      </w:r>
      <w:bookmarkEnd w:id="447"/>
      <w:r>
        <w:rPr>
          <w:rFonts w:hint="eastAsia" w:ascii="仿宋" w:hAnsi="仿宋" w:eastAsia="仿宋" w:cs="仿宋"/>
          <w:color w:val="auto"/>
          <w:sz w:val="24"/>
          <w:szCs w:val="24"/>
          <w:highlight w:val="none"/>
        </w:rPr>
        <w:t>对乙方向甲方提供的内部资料予以保密，且不向任何第三方泄露乙方的商业机密和技术机密。</w:t>
      </w:r>
    </w:p>
    <w:p>
      <w:pPr>
        <w:tabs>
          <w:tab w:val="left" w:pos="1346"/>
        </w:tabs>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w:t>
      </w:r>
    </w:p>
    <w:p>
      <w:pPr>
        <w:tabs>
          <w:tab w:val="left" w:pos="1346"/>
        </w:tabs>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1.乙方保证维护工作的过程未侵犯第三方合法权益，如甲方因此而被追诉的，所有责任与损失均有乙方承担，如甲方先行承担的，有权向乙方追偿。</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经乙方维护更新后的软件，其任何部分如被依法认定为侵犯第三方合法权利，或者任何由乙方授予的权利被认定为侵权，乙方应当承担相应的责任，并应当用相同功能的合法软件替换该软件，或者取得相关授权，确保甲方能够继续享有本合同所规定的各项权利，并且乙方应当赔偿甲方由此而造成的损失。</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所承担的维护项目的质量标准应当符合国家标准、行业标准以及制造企业的标准。若无国家标准、行业标准或者制造企业的标准的，以符合合同目的的其他标准作为质量标准。除此之外还应当符合温州市有关安全、环保、卫生等地方性法规、政策有关规定。</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 在履行合同的过程中，乙方不得转包项目，乙方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（可以/不可以）分包该项目。（如果选择可以分包，分包仅对本项目的非主体、非关键性内容，本项目的主体、关键性内容是指</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，本项目可分包内容是指</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接受分包方应当具备相应的资格条件，并不得再次分包，且乙方应就分包项目向甲方负责，并与分包供应商就分包项目向甲方承担连带责任。否则甲方可以书面通知违约方解除本合同，并要求乙方支付本合同总价</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%赔偿损失。）。</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5.乙方应对甲方提供的或系统运行中获取的包括但不限于甲方联系方式等内部资料采取必要的保密技术手段，不得运用于乙方任何研发、销售、技术分析等用途，且</w:t>
      </w:r>
      <w:bookmarkStart w:id="448" w:name="_Hlk126742954"/>
      <w:r>
        <w:rPr>
          <w:rFonts w:hint="eastAsia" w:ascii="仿宋" w:hAnsi="仿宋" w:eastAsia="仿宋" w:cs="仿宋"/>
          <w:color w:val="auto"/>
          <w:sz w:val="24"/>
          <w:szCs w:val="24"/>
          <w:highlight w:val="none"/>
        </w:rPr>
        <w:t>永久</w:t>
      </w:r>
      <w:bookmarkEnd w:id="448"/>
      <w:r>
        <w:rPr>
          <w:rFonts w:hint="eastAsia" w:ascii="仿宋" w:hAnsi="仿宋" w:eastAsia="仿宋" w:cs="仿宋"/>
          <w:color w:val="auto"/>
          <w:sz w:val="24"/>
          <w:szCs w:val="24"/>
          <w:highlight w:val="none"/>
        </w:rPr>
        <w:t>不得向任何第三方泄露甲方的任何内部资料。</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乙方派驻到甲方的人员安全问题（包含伤病），均由乙方自行负责配备符合工作、劳动条件的设备、装置、器具、保障其饮食起居等问题，乙方对此类人员的人身安全负全部责任。甲方概不负责，如甲方先行偿付的，有权向乙方追偿。</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乙方在满足上述产品质量标准，并保证该软件硬件的运行不影响甲方内部网络信息安全性和保密性，因乙方没有履行上述义务造成甲方被第三方追责或损失的，所有责任与损失均由乙方承担，如甲方先行承担的，有权向乙方追偿。乙方应当同时用相同功能的合法软件硬件进行替换，或者取得相关授权，确保能够继续履行本合同所规定的各项权利，并且乙方应当赔偿甲方由此而造成的损失。</w:t>
      </w:r>
    </w:p>
    <w:p>
      <w:pPr>
        <w:spacing w:line="460" w:lineRule="exact"/>
        <w:ind w:firstLine="472" w:firstLineChars="196"/>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六、所有权、知识产权和使用权</w:t>
      </w:r>
    </w:p>
    <w:p>
      <w:pPr>
        <w:spacing w:line="460" w:lineRule="exact"/>
        <w:ind w:firstLine="470" w:firstLineChars="196"/>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（一）所有权</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本合同中所列设备，除</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外，不论维护前还是维护后，其所有权均归甲方所有，维护过程中所更换配件的所有权均归甲方所有。保密义务在本合同期满、变更、解除或终止后仍然有效。</w:t>
      </w:r>
    </w:p>
    <w:p>
      <w:pPr>
        <w:spacing w:line="460" w:lineRule="exact"/>
        <w:ind w:firstLine="470" w:firstLineChars="196"/>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（二）知识产权</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本合同中维护的软件（定制开发类）知识产权归</w:t>
      </w:r>
      <w:r>
        <w:rPr>
          <w:rFonts w:hint="eastAsia" w:ascii="仿宋" w:hAnsi="仿宋" w:eastAsia="仿宋" w:cs="仿宋"/>
          <w:color w:val="auto"/>
          <w:sz w:val="24"/>
          <w:szCs w:val="24"/>
          <w:highlight w:val="none"/>
          <w:u w:val="single"/>
        </w:rPr>
        <w:t>甲</w:t>
      </w:r>
      <w:r>
        <w:rPr>
          <w:rFonts w:hint="eastAsia" w:ascii="仿宋" w:hAnsi="仿宋" w:eastAsia="仿宋" w:cs="仿宋"/>
          <w:color w:val="auto"/>
          <w:sz w:val="24"/>
          <w:szCs w:val="24"/>
          <w:highlight w:val="none"/>
        </w:rPr>
        <w:t>方所有，另一方非经对方同意，不得以任何方式向第三方披露、转让，</w:t>
      </w:r>
      <w:bookmarkStart w:id="449" w:name="_Hlk126743001"/>
      <w:r>
        <w:rPr>
          <w:rFonts w:hint="eastAsia" w:ascii="仿宋" w:hAnsi="仿宋" w:eastAsia="仿宋" w:cs="仿宋"/>
          <w:color w:val="auto"/>
          <w:sz w:val="24"/>
          <w:szCs w:val="24"/>
          <w:highlight w:val="none"/>
        </w:rPr>
        <w:t>不得以任何方式进行利用</w:t>
      </w:r>
      <w:bookmarkEnd w:id="449"/>
      <w:r>
        <w:rPr>
          <w:rFonts w:hint="eastAsia" w:ascii="仿宋" w:hAnsi="仿宋" w:eastAsia="仿宋" w:cs="仿宋"/>
          <w:color w:val="auto"/>
          <w:sz w:val="24"/>
          <w:szCs w:val="24"/>
          <w:highlight w:val="none"/>
        </w:rPr>
        <w:t>。</w:t>
      </w:r>
    </w:p>
    <w:p>
      <w:pPr>
        <w:spacing w:line="460" w:lineRule="exact"/>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（三）使用权</w:t>
      </w:r>
    </w:p>
    <w:p>
      <w:pPr>
        <w:spacing w:line="460" w:lineRule="exact"/>
        <w:ind w:firstLine="49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甲方拥有合同中所列产品的正版使用权，乙方仅可在与项目有关的维护工作中使用，任何情况下不得以复制或者其他方法供自己使用或者提供给第三方。</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甲方使用乙方提供的第三方软件，应当依照乙方与第三方对该软件使用的约定进行。乙方应当将该约定的书面文件的原件交甲方核对，复印件交甲方存档。</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如乙方违反本条（二）、（三）款的，一经发现，甲方有权立即解除合同，要求乙方返还甲方已支付的全部合同款，并向甲方支付合同总价款的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%作为违约金。若因乙方原因导致甲方被追索的，由乙方承担全部责任。</w:t>
      </w:r>
    </w:p>
    <w:p>
      <w:pPr>
        <w:spacing w:line="460" w:lineRule="exact"/>
        <w:ind w:firstLine="472" w:firstLineChars="196"/>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七、保密与竞争限制</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（一）信息传递</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在本合同的履行期内，乙方获得与本项目有关甲方的保密信息，应谨慎接受并不得向第三方披露。</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（二）信息披露</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获取甲方保密信息的一方仅可将该信息用于履行其在本合同项下的义务，且只能由相关的工程技术人员使用。乙方应当采取合理有效的方式保护所获取的信息，未经授权不得使用、传播或者公开。除非有甲方的书面许可，或者该信息已被拥有方认为不再是保密信息，或者已在社会上公开，否则该信息永远不得对外披露。</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（三）保密措施</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乙双方同意采取相应的安全措施，遵守和履行上述约定。经双方协商，甲方有权检查对方所采取的安全措施是否符合上述约定。乙方造成的泄失密事件，乙方应承担违约责任，向甲方支付违约金，违约金数额为本合同总价，若泄密事件造成甲方的实际经济损失大于违约金数额，则乙方应赔偿甲方实际经济损失；构成刑事犯罪的，还应依法追究刑事责任。</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（四）竞争限制</w:t>
      </w:r>
    </w:p>
    <w:p>
      <w:pPr>
        <w:spacing w:line="460" w:lineRule="exact"/>
        <w:ind w:firstLine="480" w:firstLineChars="200"/>
        <w:rPr>
          <w:rFonts w:hint="eastAsia" w:ascii="仿宋" w:hAnsi="仿宋" w:eastAsia="仿宋" w:cs="仿宋"/>
          <w:color w:val="auto"/>
          <w:spacing w:val="-4"/>
          <w:sz w:val="24"/>
          <w:szCs w:val="24"/>
          <w:highlight w:val="none"/>
        </w:rPr>
      </w:pPr>
      <w:r>
        <w:rPr>
          <w:rFonts w:hint="eastAsia" w:ascii="仿宋" w:hAnsi="仿宋" w:eastAsia="仿宋" w:cs="仿宋"/>
          <w:color w:val="auto"/>
          <w:sz w:val="24"/>
          <w:szCs w:val="24"/>
          <w:highlight w:val="none"/>
        </w:rPr>
        <w:t>乙方</w:t>
      </w:r>
      <w:r>
        <w:rPr>
          <w:rFonts w:hint="eastAsia" w:ascii="仿宋" w:hAnsi="仿宋" w:eastAsia="仿宋" w:cs="仿宋"/>
          <w:color w:val="auto"/>
          <w:spacing w:val="-4"/>
          <w:sz w:val="24"/>
          <w:szCs w:val="24"/>
          <w:highlight w:val="none"/>
        </w:rPr>
        <w:t>承诺，本合同履行过程中以及本合同履行完毕后，</w:t>
      </w:r>
      <w:r>
        <w:rPr>
          <w:rFonts w:hint="eastAsia" w:ascii="仿宋" w:hAnsi="仿宋" w:eastAsia="仿宋" w:cs="仿宋"/>
          <w:color w:val="auto"/>
          <w:sz w:val="24"/>
          <w:szCs w:val="24"/>
          <w:highlight w:val="none"/>
          <w:u w:val="single"/>
        </w:rPr>
        <w:t>永久</w:t>
      </w:r>
      <w:r>
        <w:rPr>
          <w:rFonts w:hint="eastAsia" w:ascii="仿宋" w:hAnsi="仿宋" w:eastAsia="仿宋" w:cs="仿宋"/>
          <w:color w:val="auto"/>
          <w:spacing w:val="-4"/>
          <w:sz w:val="24"/>
          <w:szCs w:val="24"/>
          <w:highlight w:val="none"/>
        </w:rPr>
        <w:t>不得使用在履行本项目过程中得到的甲方保密信息，从事与甲方有竞争性的业务，也不得采取任何方式聘用本项目中的对方相关技术或者管理人员。</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（五）乙方应与甲方签订安全保密协议（附件六），甲方有权对乙方进行资格审查，开展安全教育，落实安全监管措施，指派具有相应技术能力的人员对乙方操作行为全程监督、严格审计。</w:t>
      </w:r>
    </w:p>
    <w:p>
      <w:pPr>
        <w:spacing w:line="460" w:lineRule="exact"/>
        <w:ind w:firstLine="472" w:firstLineChars="196"/>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八、服务变更</w:t>
      </w:r>
    </w:p>
    <w:p>
      <w:pPr>
        <w:spacing w:line="460" w:lineRule="exact"/>
        <w:ind w:firstLine="464" w:firstLineChars="200"/>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项目建设过程中原则上不能进行合同变更、修改和补充。若确需变更，经合同双方协商一致后，由项目建设部门向温州市公安局科技信息化局提交变更申请。并经警保、法制、审计等部门论证、审核。只有在双方授权的代表签署书面文件后才有效，并作为附件成为本合同不可分割的组成部分。</w:t>
      </w:r>
    </w:p>
    <w:p>
      <w:pPr>
        <w:spacing w:line="460" w:lineRule="exact"/>
        <w:ind w:firstLine="472" w:firstLineChars="196"/>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九、不可抗力</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（一）由于台风、水灾、火灾、地震等不可抗力因素，直接影响本合同的履行或者不能按照合同的约定履行时，可以免除遇有不可抗力的一方的相关合同责任。但遇有不可抗力的一方应当及时通知对方，并在 14 日之内提供不可抗力的详细情况及合同不能履行或者部分不能履行或者需要延期履行的理由和有效的证明文件。双方根据不可抗力因素对合同履行的影响程度，协商决定是否解除合同，或者部分免除履行合同的义务，或者延期履行合同。</w:t>
      </w:r>
    </w:p>
    <w:p>
      <w:pPr>
        <w:spacing w:line="460" w:lineRule="exact"/>
        <w:ind w:firstLine="56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遇有不可抗力的一方，应当尽可能地采取必要的措施减轻不可抗力对本合同的履行所造成的影响。由于未采取适当措施致使另一方损失扩大的，可以就扩大损失的部分要求免除本方责任；由于未采取适当措施致使本方损失扩大的，也不得向对方要求赔偿。</w:t>
      </w:r>
    </w:p>
    <w:p>
      <w:pPr>
        <w:spacing w:line="460" w:lineRule="exact"/>
        <w:ind w:firstLine="56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一旦不可抗力事件的影响持续预计120天以上，双方应通过友好协商30天的时间内达成进一步履行合同的协议，如不能达成共识，甲方也有权单方解除合同，不付给乙方其他经济补偿，对乙方已经履行的符合合同约定的部分内容不付任何价款，乙方应当返还甲方先前支付给乙方的全部预付款。</w:t>
      </w:r>
    </w:p>
    <w:p>
      <w:pPr>
        <w:spacing w:line="460" w:lineRule="exact"/>
        <w:ind w:firstLine="472" w:firstLineChars="196"/>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十、违约责任                                                                                                                                                                                                                                                                       </w:t>
      </w:r>
    </w:p>
    <w:p>
      <w:pPr>
        <w:tabs>
          <w:tab w:val="left" w:pos="1346"/>
        </w:tabs>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（一）在履行合同的过程中，如果乙方遇到除不可抗力因素外的情形将不能按照合同规定的时间完成系统实施和提供服务时，应当在情况发生时</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时内以书面形式将拖延的事实、可能拖延的时间和原因通知甲方。甲方在收到乙方通知后，应尽快对情况进行评价，并确定是否酌情延长交货时间和提供服务以及是否收取误期赔偿费。延期应通过书面方式由双方认可。</w:t>
      </w:r>
    </w:p>
    <w:p>
      <w:pPr>
        <w:spacing w:line="460" w:lineRule="exact"/>
        <w:ind w:firstLine="56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（二）合同签订后，如乙方不支付履约保函（或履约保证金）或者拒绝履行合同或者不履行合同主要义务导致合同目的不能实现的。甲方除有权解除合同外，还有权向乙方收取合同总金额20%的赔偿金。</w:t>
      </w:r>
    </w:p>
    <w:p>
      <w:pPr>
        <w:spacing w:line="460" w:lineRule="exact"/>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如乙方违反本合同第七条保密与竞争限制条款造成的泄失密事件或违反竞争限制聘任对方人员，乙方应承担违约责任，向甲方支付违约金，违约金额为本合同总价款，若泄密事件造成甲方的实际经济损失大于违约金数额，则乙方应赔偿甲方实际经济损失；构成刑事犯罪的，还应依法追究刑事责任。</w:t>
      </w:r>
    </w:p>
    <w:p>
      <w:pPr>
        <w:spacing w:line="460" w:lineRule="exact"/>
        <w:ind w:firstLine="56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乙方应提供项目所需的软件硬件符合国家、部门、行业相关技术标准的证明，且不侵犯任何第三方包括但不限于知识产权等任何权益，并保证该软件硬件的运行不影响甲方内部网络信息安全性和保密性问题，因乙方没有履行上述义务造成甲方被第三方追责或损失的，所有责任与损失均由乙方承担，如甲方先行承担的，有权向乙方追偿。乙方应当同时用相同功能的合法软件硬件进行替换，或者取得相关授权，确保能够继续履行本合同所规定的各项权利，并且乙方应当赔偿甲方由此而造成的损失。</w:t>
      </w:r>
    </w:p>
    <w:p>
      <w:pPr>
        <w:spacing w:line="460" w:lineRule="exact"/>
        <w:ind w:firstLine="56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（五）甲方要按照付款方式要求及时支付合同资金，甲方逾期支付的，乙方有权向甲方提出赔偿，赔偿金额按照中国人民银行规定的金融机构计收逾期利息的标准计算。</w:t>
      </w:r>
    </w:p>
    <w:p>
      <w:pPr>
        <w:spacing w:line="460" w:lineRule="exact"/>
        <w:ind w:firstLine="472" w:firstLineChars="196"/>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十一、争议解决</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（一）合同的实施或与合同有关的一切争端应通过双方友好协商解决。如果友好协商自争端出现之日起60天后还不能解决，任何一方都可依法提交甲方所在地</w:t>
      </w:r>
      <w:r>
        <w:rPr>
          <w:rFonts w:hint="eastAsia" w:ascii="仿宋" w:hAnsi="仿宋" w:eastAsia="仿宋" w:cs="仿宋"/>
          <w:color w:val="auto"/>
          <w:kern w:val="0"/>
          <w:sz w:val="24"/>
          <w:szCs w:val="24"/>
          <w:highlight w:val="none"/>
        </w:rPr>
        <w:t>有管辖权的</w:t>
      </w:r>
      <w:r>
        <w:rPr>
          <w:rFonts w:hint="eastAsia" w:ascii="仿宋" w:hAnsi="仿宋" w:eastAsia="仿宋" w:cs="仿宋"/>
          <w:color w:val="auto"/>
          <w:sz w:val="24"/>
          <w:szCs w:val="24"/>
          <w:highlight w:val="none"/>
        </w:rPr>
        <w:t>人民法院解决。</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（二）由此产生的所有费用，包括但不限于诉讼费、律师费、公告费、保全费、差旅费等一切费用由败诉方承担。</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（三）在诉讼期间，除正在进行诉讼的部分以外，双方应继续执行合同的其余部分。</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（四）本合同适用中华人民共和国法律。</w:t>
      </w:r>
    </w:p>
    <w:p>
      <w:pPr>
        <w:spacing w:line="460" w:lineRule="exact"/>
        <w:ind w:firstLine="361" w:firstLineChars="150"/>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十二、项目合同附件清单</w:t>
      </w:r>
    </w:p>
    <w:p>
      <w:pPr>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附件一：招标文件</w:t>
      </w:r>
    </w:p>
    <w:p>
      <w:pPr>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附件二：投标书</w:t>
      </w:r>
    </w:p>
    <w:p>
      <w:pPr>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附件三：维护项目价格组成</w:t>
      </w:r>
    </w:p>
    <w:p>
      <w:pPr>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附件四：维护项目检验规格和验收标准 </w:t>
      </w:r>
    </w:p>
    <w:p>
      <w:pPr>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附件五：项目管理小组与驻场人员名单成员（包含但不限于驻场人员姓名、资质证书、身份证号码、联系方式、职务、社保证明等）</w:t>
      </w:r>
    </w:p>
    <w:p>
      <w:pPr>
        <w:spacing w:line="460" w:lineRule="exact"/>
        <w:ind w:firstLine="480" w:firstLineChars="200"/>
        <w:outlineLvl w:val="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附件六：温州市公安局系统建设、运维安全保密协议</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(根据项目实际情况可以</w:t>
      </w:r>
      <w:r>
        <w:rPr>
          <w:rFonts w:hint="eastAsia" w:ascii="仿宋" w:hAnsi="仿宋" w:eastAsia="仿宋" w:cs="仿宋"/>
          <w:b/>
          <w:bCs/>
          <w:color w:val="auto"/>
          <w:sz w:val="24"/>
          <w:szCs w:val="24"/>
          <w:highlight w:val="none"/>
        </w:rPr>
        <w:t>增加备品备件清单、培训计划，维保人员清单等</w:t>
      </w:r>
      <w:r>
        <w:rPr>
          <w:rFonts w:hint="eastAsia" w:ascii="仿宋" w:hAnsi="仿宋" w:eastAsia="仿宋" w:cs="仿宋"/>
          <w:color w:val="auto"/>
          <w:sz w:val="24"/>
          <w:szCs w:val="24"/>
          <w:highlight w:val="none"/>
        </w:rPr>
        <w:t>附件）</w:t>
      </w:r>
    </w:p>
    <w:p>
      <w:pPr>
        <w:spacing w:line="460" w:lineRule="exact"/>
        <w:ind w:firstLine="361" w:firstLineChars="150"/>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十三、合同的生效</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（一）本合同经双方各自指定的代表签字并加盖单位公章后生效。</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（二）本合同一经签署，未经双方同意，任何一方不得随意更改。本合同所列的附件加盖单位公章成为本合同的组成部分。</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（三）本合同一式</w:t>
      </w:r>
      <w:r>
        <w:rPr>
          <w:rFonts w:hint="eastAsia" w:ascii="仿宋" w:hAnsi="仿宋" w:eastAsia="仿宋" w:cs="仿宋"/>
          <w:color w:val="auto"/>
          <w:sz w:val="24"/>
          <w:szCs w:val="24"/>
          <w:highlight w:val="none"/>
          <w:u w:val="single"/>
        </w:rPr>
        <w:t>陆</w:t>
      </w:r>
      <w:r>
        <w:rPr>
          <w:rFonts w:hint="eastAsia" w:ascii="仿宋" w:hAnsi="仿宋" w:eastAsia="仿宋" w:cs="仿宋"/>
          <w:color w:val="auto"/>
          <w:sz w:val="24"/>
          <w:szCs w:val="24"/>
          <w:highlight w:val="none"/>
        </w:rPr>
        <w:t>份，甲方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份，乙方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份，具有同等法律效力。合同附件及招标文件、乙方投标书等是合同不可分割的一部分，具有同等法律效力。</w:t>
      </w:r>
    </w:p>
    <w:p>
      <w:pPr>
        <w:widowControl/>
        <w:snapToGrid w:val="0"/>
        <w:spacing w:line="46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（四）送达条款</w:t>
      </w:r>
    </w:p>
    <w:p>
      <w:pPr>
        <w:widowControl/>
        <w:snapToGrid w:val="0"/>
        <w:spacing w:line="46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14.4.1 本合同项下任何一方向对方发出的通知、信件、数据电文等，应当发送至本合同（首部/附件/下列）约定的地址、联系人和通信终端。一方当事人变更名称、地址、联系人或通信终端的，应当在变更后3日内及时书面通知对方当事人，对方当事人实际收到变更通知前的送达仍为有效送达，电子送达与书面送达具有同等法律效力。</w:t>
      </w:r>
    </w:p>
    <w:p>
      <w:pPr>
        <w:widowControl/>
        <w:snapToGrid w:val="0"/>
        <w:spacing w:line="46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14.4.2 任何一方当事人向对/他方所发出的信件，自信件【尽量约定为邮政特快专递】交邮后的第7日视为送达；发出的短信/传真/微信/电子邮件，自前述电子文件内容在发送方正确填写地址且未被系统退回的情况下，视为进入对方数据电文接收系统即视为送达。若送达日为非工作日, 则视为在下一工作日送达。</w:t>
      </w:r>
    </w:p>
    <w:p>
      <w:pPr>
        <w:widowControl/>
        <w:snapToGrid w:val="0"/>
        <w:spacing w:line="46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14.4.3 本合同（首部/附件/第1.1条）约定的地址、联系人及电子通信终端亦为双方工作联系往来、法律文书及争议解决时人民法院和/或仲裁机构的法律文书送达地址，人民法院和/或仲裁机构的诉讼文书（含裁判文书）向任何合同任何一方当事人的上述地址和/或工商登记公示地址（居民身份证登记地址）送达的，视为有效送达。当事人对电子通信终端的联系送达适用于争议解决时的送达。</w:t>
      </w:r>
    </w:p>
    <w:p>
      <w:pPr>
        <w:widowControl/>
        <w:snapToGrid w:val="0"/>
        <w:spacing w:line="46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14.4.4 合同送达条款与争议解决条款均为独立条款，不受合同整体或其他条款的效力的影响。</w:t>
      </w:r>
    </w:p>
    <w:p>
      <w:pPr>
        <w:spacing w:line="460" w:lineRule="exact"/>
        <w:ind w:firstLine="472" w:firstLineChars="196"/>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十四、其他</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（一）如一方改变通讯地址，应当提前以书面方式通知另一方，本合同落款处地址为双方确认的接受文件通讯地址。</w:t>
      </w:r>
    </w:p>
    <w:p>
      <w:pPr>
        <w:spacing w:line="46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（二）本合同未尽事宜，双方可以另行协商，商定内容经双方代表签字并加盖单位公章</w:t>
      </w:r>
      <w:r>
        <w:rPr>
          <w:rFonts w:hint="eastAsia" w:ascii="仿宋" w:hAnsi="仿宋" w:eastAsia="仿宋" w:cs="仿宋"/>
          <w:color w:val="auto"/>
          <w:sz w:val="24"/>
          <w:szCs w:val="24"/>
          <w:highlight w:val="none"/>
          <w:lang w:val="en-US" w:eastAsia="zh-CN"/>
        </w:rPr>
        <w:t>后</w:t>
      </w:r>
      <w:r>
        <w:rPr>
          <w:rFonts w:hint="eastAsia" w:ascii="仿宋" w:hAnsi="仿宋" w:eastAsia="仿宋" w:cs="仿宋"/>
          <w:color w:val="auto"/>
          <w:sz w:val="24"/>
          <w:szCs w:val="24"/>
          <w:highlight w:val="none"/>
        </w:rPr>
        <w:t>与本合同具有同等效力。</w:t>
      </w:r>
    </w:p>
    <w:p>
      <w:pPr>
        <w:spacing w:line="460" w:lineRule="exact"/>
        <w:ind w:firstLine="472" w:firstLineChars="196"/>
        <w:outlineLvl w:val="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十五、项目合同签章</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甲方：温州市公安局 </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法定（委托）代表人（签字）：</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电话：               </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地址：温州市鹿城区惠民路十二涧桥温州公安科技大楼</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日期：　  年 　 月　  日                      </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乙方：           </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法定（委托）代表人（签字）：</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电话：               </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p>
      <w:pPr>
        <w:spacing w:line="460" w:lineRule="exact"/>
        <w:rPr>
          <w:rFonts w:hint="eastAsia" w:ascii="仿宋" w:hAnsi="仿宋" w:eastAsia="仿宋" w:cs="仿宋"/>
          <w:color w:val="auto"/>
          <w:sz w:val="30"/>
          <w:szCs w:val="30"/>
          <w:highlight w:val="none"/>
        </w:rPr>
      </w:pPr>
      <w:r>
        <w:rPr>
          <w:rFonts w:hint="eastAsia" w:ascii="仿宋" w:hAnsi="仿宋" w:eastAsia="仿宋" w:cs="仿宋"/>
          <w:color w:val="auto"/>
          <w:sz w:val="24"/>
          <w:szCs w:val="24"/>
          <w:highlight w:val="none"/>
        </w:rPr>
        <w:t xml:space="preserve">日期：　  年 　 月　  日         </w:t>
      </w:r>
      <w:r>
        <w:rPr>
          <w:rFonts w:hint="eastAsia" w:ascii="仿宋" w:hAnsi="仿宋" w:eastAsia="仿宋" w:cs="仿宋"/>
          <w:color w:val="auto"/>
          <w:sz w:val="30"/>
          <w:szCs w:val="30"/>
          <w:highlight w:val="none"/>
        </w:rPr>
        <w:t xml:space="preserve">             </w:t>
      </w:r>
    </w:p>
    <w:p>
      <w:pPr>
        <w:widowControl/>
        <w:spacing w:line="460" w:lineRule="exact"/>
        <w:jc w:val="left"/>
        <w:rPr>
          <w:rFonts w:hint="eastAsia" w:ascii="仿宋" w:hAnsi="仿宋" w:eastAsia="仿宋" w:cs="仿宋"/>
          <w:color w:val="auto"/>
          <w:kern w:val="0"/>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b/>
          <w:bCs/>
          <w:color w:val="auto"/>
          <w:kern w:val="0"/>
          <w:sz w:val="30"/>
          <w:szCs w:val="30"/>
          <w:highlight w:val="none"/>
        </w:rPr>
        <w:t>附件一</w:t>
      </w:r>
    </w:p>
    <w:p>
      <w:pPr>
        <w:widowControl/>
        <w:spacing w:line="460" w:lineRule="exact"/>
        <w:jc w:val="center"/>
        <w:rPr>
          <w:rFonts w:hint="eastAsia" w:ascii="仿宋" w:hAnsi="仿宋" w:eastAsia="仿宋" w:cs="仿宋"/>
          <w:color w:val="auto"/>
          <w:kern w:val="0"/>
          <w:sz w:val="30"/>
          <w:szCs w:val="30"/>
          <w:highlight w:val="none"/>
        </w:rPr>
      </w:pPr>
    </w:p>
    <w:p>
      <w:pPr>
        <w:widowControl/>
        <w:spacing w:line="460" w:lineRule="exact"/>
        <w:jc w:val="center"/>
        <w:outlineLvl w:val="0"/>
        <w:rPr>
          <w:rFonts w:hint="eastAsia" w:ascii="仿宋" w:hAnsi="仿宋" w:eastAsia="仿宋" w:cs="仿宋"/>
          <w:b/>
          <w:bCs/>
          <w:color w:val="auto"/>
          <w:kern w:val="0"/>
          <w:sz w:val="30"/>
          <w:szCs w:val="30"/>
          <w:highlight w:val="none"/>
        </w:rPr>
      </w:pPr>
      <w:r>
        <w:rPr>
          <w:rFonts w:hint="eastAsia" w:ascii="仿宋" w:hAnsi="仿宋" w:eastAsia="仿宋" w:cs="仿宋"/>
          <w:color w:val="auto"/>
          <w:kern w:val="0"/>
          <w:sz w:val="30"/>
          <w:szCs w:val="30"/>
          <w:highlight w:val="none"/>
        </w:rPr>
        <w:t>招标文件</w:t>
      </w:r>
    </w:p>
    <w:p>
      <w:pPr>
        <w:widowControl/>
        <w:spacing w:line="460" w:lineRule="exact"/>
        <w:jc w:val="center"/>
        <w:rPr>
          <w:rFonts w:hint="eastAsia" w:ascii="仿宋" w:hAnsi="仿宋" w:eastAsia="仿宋" w:cs="仿宋"/>
          <w:b/>
          <w:bCs/>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w:t>
      </w: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center"/>
        <w:outlineLvl w:val="1"/>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＿＿＿＿＿＿＿公司（印章）</w:t>
      </w: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widowControl/>
        <w:spacing w:before="120" w:line="460" w:lineRule="exact"/>
        <w:ind w:firstLine="1800" w:firstLineChars="600"/>
        <w:jc w:val="left"/>
        <w:outlineLvl w:val="1"/>
        <w:rPr>
          <w:rFonts w:hint="eastAsia" w:ascii="仿宋" w:hAnsi="仿宋" w:eastAsia="仿宋" w:cs="仿宋"/>
          <w:color w:val="auto"/>
          <w:kern w:val="0"/>
          <w:sz w:val="30"/>
          <w:szCs w:val="30"/>
          <w:highlight w:val="none"/>
        </w:rPr>
      </w:pPr>
    </w:p>
    <w:p>
      <w:pPr>
        <w:rPr>
          <w:rFonts w:hint="eastAsia" w:ascii="仿宋" w:hAnsi="仿宋" w:eastAsia="仿宋" w:cs="仿宋"/>
          <w:b/>
          <w:bCs/>
          <w:color w:val="auto"/>
          <w:kern w:val="0"/>
          <w:sz w:val="30"/>
          <w:szCs w:val="30"/>
          <w:highlight w:val="none"/>
        </w:rPr>
      </w:pPr>
      <w:r>
        <w:rPr>
          <w:rFonts w:hint="eastAsia" w:ascii="仿宋" w:hAnsi="仿宋" w:eastAsia="仿宋" w:cs="仿宋"/>
          <w:color w:val="auto"/>
          <w:kern w:val="0"/>
          <w:sz w:val="30"/>
          <w:szCs w:val="30"/>
          <w:highlight w:val="none"/>
        </w:rPr>
        <w:br w:type="page"/>
      </w:r>
      <w:r>
        <w:rPr>
          <w:rFonts w:hint="eastAsia" w:ascii="仿宋" w:hAnsi="仿宋" w:eastAsia="仿宋" w:cs="仿宋"/>
          <w:b/>
          <w:bCs/>
          <w:color w:val="auto"/>
          <w:kern w:val="0"/>
          <w:sz w:val="30"/>
          <w:szCs w:val="30"/>
          <w:highlight w:val="none"/>
        </w:rPr>
        <w:t>附件二</w:t>
      </w:r>
    </w:p>
    <w:p>
      <w:pPr>
        <w:widowControl/>
        <w:spacing w:line="460" w:lineRule="exact"/>
        <w:jc w:val="center"/>
        <w:rPr>
          <w:rFonts w:hint="eastAsia" w:ascii="仿宋" w:hAnsi="仿宋" w:eastAsia="仿宋" w:cs="仿宋"/>
          <w:color w:val="auto"/>
          <w:kern w:val="0"/>
          <w:sz w:val="30"/>
          <w:szCs w:val="30"/>
          <w:highlight w:val="none"/>
        </w:rPr>
      </w:pPr>
    </w:p>
    <w:p>
      <w:pPr>
        <w:widowControl/>
        <w:spacing w:line="460" w:lineRule="exact"/>
        <w:jc w:val="center"/>
        <w:outlineLvl w:val="0"/>
        <w:rPr>
          <w:rFonts w:hint="eastAsia" w:ascii="仿宋" w:hAnsi="仿宋" w:eastAsia="仿宋" w:cs="仿宋"/>
          <w:b/>
          <w:bCs/>
          <w:color w:val="auto"/>
          <w:kern w:val="0"/>
          <w:sz w:val="30"/>
          <w:szCs w:val="30"/>
          <w:highlight w:val="none"/>
        </w:rPr>
      </w:pPr>
      <w:r>
        <w:rPr>
          <w:rFonts w:hint="eastAsia" w:ascii="仿宋" w:hAnsi="仿宋" w:eastAsia="仿宋" w:cs="仿宋"/>
          <w:color w:val="auto"/>
          <w:kern w:val="0"/>
          <w:sz w:val="30"/>
          <w:szCs w:val="30"/>
          <w:highlight w:val="none"/>
        </w:rPr>
        <w:t>乙方投标书</w:t>
      </w: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line="460" w:lineRule="exact"/>
        <w:jc w:val="center"/>
        <w:rPr>
          <w:rFonts w:hint="eastAsia" w:ascii="仿宋" w:hAnsi="仿宋" w:eastAsia="仿宋" w:cs="仿宋"/>
          <w:b/>
          <w:bCs/>
          <w:color w:val="auto"/>
          <w:kern w:val="0"/>
          <w:sz w:val="30"/>
          <w:szCs w:val="30"/>
          <w:highlight w:val="none"/>
        </w:rPr>
      </w:pPr>
    </w:p>
    <w:p>
      <w:pPr>
        <w:widowControl/>
        <w:spacing w:before="120" w:line="460" w:lineRule="exact"/>
        <w:ind w:firstLine="2550" w:firstLineChars="850"/>
        <w:outlineLvl w:val="1"/>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＿＿＿＿＿＿＿公司（印章）</w:t>
      </w:r>
    </w:p>
    <w:p>
      <w:pPr>
        <w:widowControl/>
        <w:spacing w:before="120" w:line="460" w:lineRule="exact"/>
        <w:jc w:val="left"/>
        <w:rPr>
          <w:rFonts w:hint="eastAsia" w:ascii="仿宋" w:hAnsi="仿宋" w:eastAsia="仿宋" w:cs="仿宋"/>
          <w:color w:val="auto"/>
          <w:kern w:val="0"/>
          <w:sz w:val="30"/>
          <w:szCs w:val="30"/>
          <w:highlight w:val="none"/>
        </w:rPr>
      </w:pPr>
    </w:p>
    <w:p>
      <w:pPr>
        <w:widowControl/>
        <w:spacing w:before="120" w:line="460" w:lineRule="exact"/>
        <w:jc w:val="left"/>
        <w:rPr>
          <w:rFonts w:hint="eastAsia" w:ascii="仿宋" w:hAnsi="仿宋" w:eastAsia="仿宋" w:cs="仿宋"/>
          <w:color w:val="auto"/>
          <w:kern w:val="0"/>
          <w:sz w:val="30"/>
          <w:szCs w:val="30"/>
          <w:highlight w:val="none"/>
        </w:rPr>
      </w:pPr>
    </w:p>
    <w:p>
      <w:pPr>
        <w:widowControl/>
        <w:spacing w:before="120" w:line="460" w:lineRule="exact"/>
        <w:jc w:val="left"/>
        <w:rPr>
          <w:rFonts w:hint="eastAsia" w:ascii="仿宋" w:hAnsi="仿宋" w:eastAsia="仿宋" w:cs="仿宋"/>
          <w:color w:val="auto"/>
          <w:kern w:val="0"/>
          <w:sz w:val="30"/>
          <w:szCs w:val="30"/>
          <w:highlight w:val="none"/>
        </w:rPr>
      </w:pPr>
    </w:p>
    <w:p>
      <w:pPr>
        <w:widowControl/>
        <w:spacing w:before="120" w:line="460" w:lineRule="exact"/>
        <w:jc w:val="left"/>
        <w:rPr>
          <w:rFonts w:hint="eastAsia" w:ascii="仿宋" w:hAnsi="仿宋" w:eastAsia="仿宋" w:cs="仿宋"/>
          <w:color w:val="auto"/>
          <w:kern w:val="0"/>
          <w:sz w:val="30"/>
          <w:szCs w:val="30"/>
          <w:highlight w:val="none"/>
        </w:rPr>
      </w:pPr>
    </w:p>
    <w:p>
      <w:pPr>
        <w:widowControl/>
        <w:spacing w:before="120" w:line="460" w:lineRule="exact"/>
        <w:jc w:val="left"/>
        <w:rPr>
          <w:rFonts w:hint="eastAsia" w:ascii="仿宋" w:hAnsi="仿宋" w:eastAsia="仿宋" w:cs="仿宋"/>
          <w:color w:val="auto"/>
          <w:kern w:val="0"/>
          <w:sz w:val="30"/>
          <w:szCs w:val="30"/>
          <w:highlight w:val="none"/>
        </w:rPr>
      </w:pPr>
    </w:p>
    <w:p>
      <w:pPr>
        <w:rPr>
          <w:rFonts w:hint="eastAsia" w:ascii="仿宋" w:hAnsi="仿宋" w:eastAsia="仿宋" w:cs="仿宋"/>
          <w:b/>
          <w:bCs/>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b/>
          <w:bCs/>
          <w:color w:val="auto"/>
          <w:sz w:val="30"/>
          <w:szCs w:val="30"/>
          <w:highlight w:val="none"/>
        </w:rPr>
        <w:t>附件三：</w:t>
      </w:r>
    </w:p>
    <w:tbl>
      <w:tblPr>
        <w:tblStyle w:val="63"/>
        <w:tblW w:w="10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664"/>
        <w:gridCol w:w="1112"/>
        <w:gridCol w:w="2653"/>
        <w:gridCol w:w="736"/>
        <w:gridCol w:w="1058"/>
        <w:gridCol w:w="1059"/>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891" w:type="dxa"/>
            <w:noWrap w:val="0"/>
            <w:vAlign w:val="center"/>
          </w:tcPr>
          <w:p>
            <w:pPr>
              <w:spacing w:line="380" w:lineRule="exact"/>
              <w:ind w:left="880" w:hanging="803" w:hangingChars="400"/>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序号</w:t>
            </w:r>
          </w:p>
        </w:tc>
        <w:tc>
          <w:tcPr>
            <w:tcW w:w="1664" w:type="dxa"/>
            <w:noWrap w:val="0"/>
            <w:vAlign w:val="center"/>
          </w:tcPr>
          <w:p>
            <w:pPr>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名称</w:t>
            </w:r>
          </w:p>
        </w:tc>
        <w:tc>
          <w:tcPr>
            <w:tcW w:w="1112" w:type="dxa"/>
            <w:noWrap w:val="0"/>
            <w:vAlign w:val="center"/>
          </w:tcPr>
          <w:p>
            <w:pPr>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品牌（如果有）</w:t>
            </w:r>
          </w:p>
        </w:tc>
        <w:tc>
          <w:tcPr>
            <w:tcW w:w="2653" w:type="dxa"/>
            <w:noWrap w:val="0"/>
            <w:vAlign w:val="center"/>
          </w:tcPr>
          <w:p>
            <w:pPr>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规格型号（或具体服务）</w:t>
            </w:r>
          </w:p>
        </w:tc>
        <w:tc>
          <w:tcPr>
            <w:tcW w:w="736" w:type="dxa"/>
            <w:noWrap w:val="0"/>
            <w:vAlign w:val="center"/>
          </w:tcPr>
          <w:p>
            <w:pPr>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数量</w:t>
            </w:r>
          </w:p>
        </w:tc>
        <w:tc>
          <w:tcPr>
            <w:tcW w:w="1058" w:type="dxa"/>
            <w:noWrap w:val="0"/>
            <w:vAlign w:val="center"/>
          </w:tcPr>
          <w:p>
            <w:pPr>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单价</w:t>
            </w:r>
          </w:p>
        </w:tc>
        <w:tc>
          <w:tcPr>
            <w:tcW w:w="1059" w:type="dxa"/>
            <w:noWrap w:val="0"/>
            <w:vAlign w:val="center"/>
          </w:tcPr>
          <w:p>
            <w:pPr>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总价</w:t>
            </w:r>
          </w:p>
        </w:tc>
        <w:tc>
          <w:tcPr>
            <w:tcW w:w="1163" w:type="dxa"/>
            <w:noWrap w:val="0"/>
            <w:vAlign w:val="center"/>
          </w:tcPr>
          <w:p>
            <w:pPr>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20"/>
                <w:szCs w:val="20"/>
                <w:highlight w:val="none"/>
              </w:rPr>
              <w:t>服务要求（</w:t>
            </w:r>
            <w:r>
              <w:rPr>
                <w:rFonts w:hint="eastAsia" w:ascii="仿宋" w:hAnsi="仿宋" w:eastAsia="仿宋" w:cs="仿宋"/>
                <w:b/>
                <w:bCs/>
                <w:color w:val="auto"/>
                <w:sz w:val="20"/>
                <w:szCs w:val="20"/>
                <w:highlight w:val="none"/>
                <w:lang w:val="en-US" w:eastAsia="zh-CN"/>
              </w:rPr>
              <w:t>时</w:t>
            </w:r>
            <w:r>
              <w:rPr>
                <w:rFonts w:hint="eastAsia" w:ascii="仿宋" w:hAnsi="仿宋" w:eastAsia="仿宋" w:cs="仿宋"/>
                <w:b/>
                <w:bCs/>
                <w:color w:val="auto"/>
                <w:sz w:val="20"/>
                <w:szCs w:val="20"/>
                <w:highlight w:val="none"/>
              </w:rPr>
              <w:t>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10336" w:type="dxa"/>
            <w:gridSpan w:val="8"/>
            <w:noWrap w:val="0"/>
            <w:vAlign w:val="center"/>
          </w:tcPr>
          <w:p>
            <w:pPr>
              <w:jc w:val="left"/>
              <w:rPr>
                <w:rFonts w:hint="eastAsia" w:ascii="仿宋" w:hAnsi="仿宋" w:eastAsia="仿宋" w:cs="仿宋"/>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91" w:type="dxa"/>
            <w:shd w:val="clear" w:color="auto" w:fill="auto"/>
            <w:noWrap w:val="0"/>
            <w:vAlign w:val="center"/>
          </w:tcPr>
          <w:p>
            <w:pPr>
              <w:jc w:val="center"/>
              <w:rPr>
                <w:rFonts w:hint="eastAsia" w:ascii="仿宋" w:hAnsi="仿宋" w:eastAsia="仿宋" w:cs="仿宋"/>
                <w:color w:val="auto"/>
                <w:kern w:val="0"/>
                <w:sz w:val="20"/>
                <w:szCs w:val="20"/>
                <w:highlight w:val="none"/>
              </w:rPr>
            </w:pPr>
          </w:p>
        </w:tc>
        <w:tc>
          <w:tcPr>
            <w:tcW w:w="1664" w:type="dxa"/>
            <w:shd w:val="clear" w:color="auto" w:fill="FFFFFF"/>
            <w:noWrap w:val="0"/>
            <w:vAlign w:val="center"/>
          </w:tcPr>
          <w:p>
            <w:pPr>
              <w:jc w:val="center"/>
              <w:rPr>
                <w:rFonts w:hint="eastAsia" w:ascii="仿宋" w:hAnsi="仿宋" w:eastAsia="仿宋" w:cs="仿宋"/>
                <w:color w:val="auto"/>
                <w:kern w:val="0"/>
                <w:sz w:val="20"/>
                <w:szCs w:val="20"/>
                <w:highlight w:val="none"/>
              </w:rPr>
            </w:pPr>
          </w:p>
        </w:tc>
        <w:tc>
          <w:tcPr>
            <w:tcW w:w="1112" w:type="dxa"/>
            <w:noWrap w:val="0"/>
            <w:vAlign w:val="center"/>
          </w:tcPr>
          <w:p>
            <w:pPr>
              <w:jc w:val="center"/>
              <w:rPr>
                <w:rFonts w:hint="eastAsia" w:ascii="仿宋" w:hAnsi="仿宋" w:eastAsia="仿宋" w:cs="仿宋"/>
                <w:color w:val="auto"/>
                <w:kern w:val="0"/>
                <w:sz w:val="20"/>
                <w:szCs w:val="20"/>
                <w:highlight w:val="none"/>
              </w:rPr>
            </w:pPr>
          </w:p>
        </w:tc>
        <w:tc>
          <w:tcPr>
            <w:tcW w:w="2653" w:type="dxa"/>
            <w:noWrap w:val="0"/>
            <w:vAlign w:val="center"/>
          </w:tcPr>
          <w:p>
            <w:pPr>
              <w:jc w:val="center"/>
              <w:rPr>
                <w:rFonts w:hint="eastAsia" w:ascii="仿宋" w:hAnsi="仿宋" w:eastAsia="仿宋" w:cs="仿宋"/>
                <w:color w:val="auto"/>
                <w:kern w:val="0"/>
                <w:sz w:val="20"/>
                <w:szCs w:val="20"/>
                <w:highlight w:val="none"/>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163" w:type="dxa"/>
            <w:noWrap w:val="0"/>
            <w:vAlign w:val="center"/>
          </w:tcPr>
          <w:p>
            <w:pPr>
              <w:jc w:val="center"/>
              <w:rPr>
                <w:rFonts w:hint="eastAsia" w:ascii="仿宋" w:hAnsi="仿宋" w:eastAsia="仿宋" w:cs="仿宋"/>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91" w:type="dxa"/>
            <w:shd w:val="clear" w:color="auto" w:fill="auto"/>
            <w:noWrap w:val="0"/>
            <w:vAlign w:val="center"/>
          </w:tcPr>
          <w:p>
            <w:pPr>
              <w:jc w:val="center"/>
              <w:rPr>
                <w:rFonts w:hint="eastAsia" w:ascii="仿宋" w:hAnsi="仿宋" w:eastAsia="仿宋" w:cs="仿宋"/>
                <w:color w:val="auto"/>
                <w:kern w:val="0"/>
                <w:sz w:val="20"/>
                <w:szCs w:val="20"/>
                <w:highlight w:val="none"/>
              </w:rPr>
            </w:pPr>
          </w:p>
        </w:tc>
        <w:tc>
          <w:tcPr>
            <w:tcW w:w="1664" w:type="dxa"/>
            <w:shd w:val="clear" w:color="auto" w:fill="FFFFFF"/>
            <w:noWrap w:val="0"/>
            <w:vAlign w:val="center"/>
          </w:tcPr>
          <w:p>
            <w:pPr>
              <w:jc w:val="center"/>
              <w:rPr>
                <w:rFonts w:hint="eastAsia" w:ascii="仿宋" w:hAnsi="仿宋" w:eastAsia="仿宋" w:cs="仿宋"/>
                <w:color w:val="auto"/>
                <w:kern w:val="0"/>
                <w:sz w:val="20"/>
                <w:szCs w:val="20"/>
                <w:highlight w:val="none"/>
              </w:rPr>
            </w:pPr>
          </w:p>
        </w:tc>
        <w:tc>
          <w:tcPr>
            <w:tcW w:w="1112" w:type="dxa"/>
            <w:noWrap w:val="0"/>
            <w:vAlign w:val="center"/>
          </w:tcPr>
          <w:p>
            <w:pPr>
              <w:jc w:val="center"/>
              <w:rPr>
                <w:rFonts w:hint="eastAsia" w:ascii="仿宋" w:hAnsi="仿宋" w:eastAsia="仿宋" w:cs="仿宋"/>
                <w:color w:val="auto"/>
                <w:kern w:val="0"/>
                <w:sz w:val="20"/>
                <w:szCs w:val="20"/>
                <w:highlight w:val="none"/>
              </w:rPr>
            </w:pPr>
          </w:p>
        </w:tc>
        <w:tc>
          <w:tcPr>
            <w:tcW w:w="2653" w:type="dxa"/>
            <w:noWrap w:val="0"/>
            <w:vAlign w:val="center"/>
          </w:tcPr>
          <w:p>
            <w:pPr>
              <w:jc w:val="center"/>
              <w:rPr>
                <w:rFonts w:hint="eastAsia" w:ascii="仿宋" w:hAnsi="仿宋" w:eastAsia="仿宋" w:cs="仿宋"/>
                <w:color w:val="auto"/>
                <w:kern w:val="0"/>
                <w:sz w:val="20"/>
                <w:szCs w:val="20"/>
                <w:highlight w:val="none"/>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163" w:type="dxa"/>
            <w:noWrap w:val="0"/>
            <w:vAlign w:val="center"/>
          </w:tcPr>
          <w:p>
            <w:pPr>
              <w:jc w:val="center"/>
              <w:rPr>
                <w:rFonts w:hint="eastAsia" w:ascii="仿宋" w:hAnsi="仿宋" w:eastAsia="仿宋" w:cs="仿宋"/>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91" w:type="dxa"/>
            <w:shd w:val="clear" w:color="auto" w:fill="auto"/>
            <w:noWrap w:val="0"/>
            <w:vAlign w:val="center"/>
          </w:tcPr>
          <w:p>
            <w:pPr>
              <w:jc w:val="center"/>
              <w:rPr>
                <w:rFonts w:hint="eastAsia" w:ascii="仿宋" w:hAnsi="仿宋" w:eastAsia="仿宋" w:cs="仿宋"/>
                <w:color w:val="auto"/>
                <w:kern w:val="0"/>
                <w:sz w:val="20"/>
                <w:szCs w:val="20"/>
                <w:highlight w:val="none"/>
              </w:rPr>
            </w:pPr>
          </w:p>
        </w:tc>
        <w:tc>
          <w:tcPr>
            <w:tcW w:w="1664" w:type="dxa"/>
            <w:shd w:val="clear" w:color="auto" w:fill="FFFFFF"/>
            <w:noWrap w:val="0"/>
            <w:vAlign w:val="center"/>
          </w:tcPr>
          <w:p>
            <w:pPr>
              <w:jc w:val="center"/>
              <w:rPr>
                <w:rFonts w:hint="eastAsia" w:ascii="仿宋" w:hAnsi="仿宋" w:eastAsia="仿宋" w:cs="仿宋"/>
                <w:color w:val="auto"/>
                <w:kern w:val="0"/>
                <w:sz w:val="20"/>
                <w:szCs w:val="20"/>
                <w:highlight w:val="none"/>
                <w:lang w:val="en-US" w:eastAsia="zh-CN"/>
              </w:rPr>
            </w:pPr>
          </w:p>
        </w:tc>
        <w:tc>
          <w:tcPr>
            <w:tcW w:w="1112" w:type="dxa"/>
            <w:noWrap w:val="0"/>
            <w:vAlign w:val="center"/>
          </w:tcPr>
          <w:p>
            <w:pPr>
              <w:jc w:val="center"/>
              <w:rPr>
                <w:rFonts w:hint="eastAsia" w:ascii="仿宋" w:hAnsi="仿宋" w:eastAsia="仿宋" w:cs="仿宋"/>
                <w:color w:val="auto"/>
                <w:kern w:val="0"/>
                <w:sz w:val="20"/>
                <w:szCs w:val="20"/>
                <w:highlight w:val="none"/>
              </w:rPr>
            </w:pPr>
          </w:p>
        </w:tc>
        <w:tc>
          <w:tcPr>
            <w:tcW w:w="2653" w:type="dxa"/>
            <w:noWrap w:val="0"/>
            <w:vAlign w:val="center"/>
          </w:tcPr>
          <w:p>
            <w:pPr>
              <w:jc w:val="center"/>
              <w:rPr>
                <w:rFonts w:hint="eastAsia" w:ascii="仿宋" w:hAnsi="仿宋" w:eastAsia="仿宋" w:cs="仿宋"/>
                <w:color w:val="auto"/>
                <w:kern w:val="0"/>
                <w:sz w:val="20"/>
                <w:szCs w:val="20"/>
                <w:highlight w:val="none"/>
                <w:lang w:val="en-US" w:eastAsia="zh-CN"/>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auto"/>
                <w:kern w:val="0"/>
                <w:sz w:val="20"/>
                <w:szCs w:val="20"/>
                <w:highlight w:val="none"/>
                <w:u w:val="none"/>
                <w:lang w:val="en-US" w:eastAsia="zh-CN" w:bidi="ar"/>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163" w:type="dxa"/>
            <w:noWrap w:val="0"/>
            <w:vAlign w:val="center"/>
          </w:tcPr>
          <w:p>
            <w:pPr>
              <w:jc w:val="center"/>
              <w:rPr>
                <w:rFonts w:hint="eastAsia" w:ascii="仿宋" w:hAnsi="仿宋" w:eastAsia="仿宋" w:cs="仿宋"/>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91" w:type="dxa"/>
            <w:shd w:val="clear" w:color="auto" w:fill="auto"/>
            <w:noWrap w:val="0"/>
            <w:vAlign w:val="center"/>
          </w:tcPr>
          <w:p>
            <w:pPr>
              <w:jc w:val="center"/>
              <w:rPr>
                <w:rFonts w:hint="eastAsia" w:ascii="仿宋" w:hAnsi="仿宋" w:eastAsia="仿宋" w:cs="仿宋"/>
                <w:color w:val="auto"/>
                <w:kern w:val="0"/>
                <w:sz w:val="20"/>
                <w:szCs w:val="20"/>
                <w:highlight w:val="none"/>
              </w:rPr>
            </w:pPr>
          </w:p>
        </w:tc>
        <w:tc>
          <w:tcPr>
            <w:tcW w:w="1664" w:type="dxa"/>
            <w:shd w:val="clear" w:color="auto" w:fill="FFFFFF"/>
            <w:noWrap w:val="0"/>
            <w:vAlign w:val="center"/>
          </w:tcPr>
          <w:p>
            <w:pPr>
              <w:jc w:val="center"/>
              <w:rPr>
                <w:rFonts w:hint="eastAsia" w:ascii="仿宋" w:hAnsi="仿宋" w:eastAsia="仿宋" w:cs="仿宋"/>
                <w:color w:val="auto"/>
                <w:kern w:val="0"/>
                <w:sz w:val="20"/>
                <w:szCs w:val="20"/>
                <w:highlight w:val="none"/>
              </w:rPr>
            </w:pPr>
          </w:p>
        </w:tc>
        <w:tc>
          <w:tcPr>
            <w:tcW w:w="1112" w:type="dxa"/>
            <w:noWrap w:val="0"/>
            <w:vAlign w:val="center"/>
          </w:tcPr>
          <w:p>
            <w:pPr>
              <w:jc w:val="center"/>
              <w:rPr>
                <w:rFonts w:hint="eastAsia" w:ascii="仿宋" w:hAnsi="仿宋" w:eastAsia="仿宋" w:cs="仿宋"/>
                <w:color w:val="auto"/>
                <w:kern w:val="0"/>
                <w:sz w:val="20"/>
                <w:szCs w:val="20"/>
                <w:highlight w:val="none"/>
              </w:rPr>
            </w:pPr>
          </w:p>
        </w:tc>
        <w:tc>
          <w:tcPr>
            <w:tcW w:w="2653" w:type="dxa"/>
            <w:noWrap w:val="0"/>
            <w:vAlign w:val="center"/>
          </w:tcPr>
          <w:p>
            <w:pPr>
              <w:jc w:val="center"/>
              <w:rPr>
                <w:rFonts w:hint="eastAsia" w:ascii="仿宋" w:hAnsi="仿宋" w:eastAsia="仿宋" w:cs="仿宋"/>
                <w:color w:val="auto"/>
                <w:kern w:val="0"/>
                <w:sz w:val="20"/>
                <w:szCs w:val="20"/>
                <w:highlight w:val="none"/>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163" w:type="dxa"/>
            <w:noWrap w:val="0"/>
            <w:vAlign w:val="center"/>
          </w:tcPr>
          <w:p>
            <w:pPr>
              <w:jc w:val="center"/>
              <w:rPr>
                <w:rFonts w:hint="eastAsia" w:ascii="仿宋" w:hAnsi="仿宋" w:eastAsia="仿宋" w:cs="仿宋"/>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91" w:type="dxa"/>
            <w:shd w:val="clear" w:color="auto" w:fill="auto"/>
            <w:noWrap w:val="0"/>
            <w:vAlign w:val="center"/>
          </w:tcPr>
          <w:p>
            <w:pPr>
              <w:jc w:val="center"/>
              <w:rPr>
                <w:rFonts w:hint="eastAsia" w:ascii="仿宋" w:hAnsi="仿宋" w:eastAsia="仿宋" w:cs="仿宋"/>
                <w:color w:val="auto"/>
                <w:kern w:val="0"/>
                <w:sz w:val="20"/>
                <w:szCs w:val="20"/>
                <w:highlight w:val="none"/>
              </w:rPr>
            </w:pPr>
          </w:p>
        </w:tc>
        <w:tc>
          <w:tcPr>
            <w:tcW w:w="7223"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kern w:val="0"/>
                <w:sz w:val="20"/>
                <w:szCs w:val="20"/>
                <w:highlight w:val="none"/>
                <w:lang w:val="en-US" w:eastAsia="zh-CN"/>
              </w:rPr>
            </w:pPr>
            <w:r>
              <w:rPr>
                <w:rFonts w:hint="eastAsia" w:ascii="仿宋" w:hAnsi="仿宋" w:eastAsia="仿宋" w:cs="仿宋"/>
                <w:b w:val="0"/>
                <w:bCs w:val="0"/>
                <w:color w:val="auto"/>
                <w:kern w:val="0"/>
                <w:sz w:val="20"/>
                <w:szCs w:val="20"/>
                <w:highlight w:val="none"/>
                <w:lang w:val="en-US" w:eastAsia="zh-CN"/>
              </w:rPr>
              <w:t>小计：</w:t>
            </w: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kern w:val="0"/>
                <w:sz w:val="20"/>
                <w:szCs w:val="20"/>
                <w:highlight w:val="none"/>
                <w:lang w:val="en-US" w:eastAsia="zh-CN"/>
              </w:rPr>
            </w:pPr>
          </w:p>
        </w:tc>
        <w:tc>
          <w:tcPr>
            <w:tcW w:w="1163" w:type="dxa"/>
            <w:noWrap w:val="0"/>
            <w:vAlign w:val="center"/>
          </w:tcPr>
          <w:p>
            <w:pPr>
              <w:jc w:val="center"/>
              <w:rPr>
                <w:rFonts w:hint="eastAsia" w:ascii="仿宋" w:hAnsi="仿宋" w:eastAsia="仿宋" w:cs="仿宋"/>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10336" w:type="dxa"/>
            <w:gridSpan w:val="8"/>
            <w:noWrap w:val="0"/>
            <w:vAlign w:val="center"/>
          </w:tcPr>
          <w:p>
            <w:pPr>
              <w:jc w:val="left"/>
              <w:rPr>
                <w:rFonts w:hint="eastAsia" w:ascii="仿宋" w:hAnsi="仿宋" w:eastAsia="仿宋" w:cs="仿宋"/>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9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center"/>
              <w:textAlignment w:val="auto"/>
              <w:rPr>
                <w:rFonts w:hint="eastAsia" w:ascii="仿宋" w:hAnsi="仿宋" w:eastAsia="仿宋" w:cs="仿宋"/>
                <w:color w:val="auto"/>
                <w:kern w:val="0"/>
                <w:sz w:val="20"/>
                <w:szCs w:val="20"/>
                <w:highlight w:val="none"/>
              </w:rPr>
            </w:pPr>
          </w:p>
        </w:tc>
        <w:tc>
          <w:tcPr>
            <w:tcW w:w="16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center"/>
              <w:textAlignment w:val="auto"/>
              <w:rPr>
                <w:rFonts w:hint="eastAsia" w:ascii="仿宋" w:hAnsi="仿宋" w:eastAsia="仿宋" w:cs="仿宋"/>
                <w:color w:val="auto"/>
                <w:kern w:val="0"/>
                <w:sz w:val="20"/>
                <w:szCs w:val="20"/>
                <w:highlight w:val="none"/>
                <w:lang w:val="en-US" w:eastAsia="zh-CN"/>
              </w:rPr>
            </w:pPr>
          </w:p>
        </w:tc>
        <w:tc>
          <w:tcPr>
            <w:tcW w:w="1112" w:type="dxa"/>
            <w:noWrap w:val="0"/>
            <w:vAlign w:val="center"/>
          </w:tcPr>
          <w:p>
            <w:pPr>
              <w:jc w:val="center"/>
              <w:rPr>
                <w:rFonts w:hint="eastAsia" w:ascii="仿宋" w:hAnsi="仿宋" w:eastAsia="仿宋" w:cs="仿宋"/>
                <w:color w:val="auto"/>
                <w:kern w:val="0"/>
                <w:sz w:val="20"/>
                <w:szCs w:val="20"/>
                <w:highlight w:val="none"/>
              </w:rPr>
            </w:pPr>
          </w:p>
        </w:tc>
        <w:tc>
          <w:tcPr>
            <w:tcW w:w="2653" w:type="dxa"/>
            <w:noWrap w:val="0"/>
            <w:vAlign w:val="center"/>
          </w:tcPr>
          <w:p>
            <w:pPr>
              <w:jc w:val="center"/>
              <w:rPr>
                <w:rFonts w:hint="eastAsia" w:ascii="仿宋" w:hAnsi="仿宋" w:eastAsia="仿宋" w:cs="仿宋"/>
                <w:color w:val="auto"/>
                <w:kern w:val="0"/>
                <w:sz w:val="20"/>
                <w:szCs w:val="20"/>
                <w:highlight w:val="none"/>
                <w:lang w:val="en-US" w:eastAsia="zh-CN"/>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163" w:type="dxa"/>
            <w:noWrap w:val="0"/>
            <w:vAlign w:val="center"/>
          </w:tcPr>
          <w:p>
            <w:pPr>
              <w:jc w:val="center"/>
              <w:rPr>
                <w:rFonts w:hint="eastAsia" w:ascii="仿宋" w:hAnsi="仿宋" w:eastAsia="仿宋" w:cs="仿宋"/>
                <w:color w:val="auto"/>
                <w:kern w:val="0"/>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9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center"/>
              <w:textAlignment w:val="auto"/>
              <w:rPr>
                <w:rFonts w:hint="eastAsia" w:ascii="仿宋" w:hAnsi="仿宋" w:eastAsia="仿宋" w:cs="仿宋"/>
                <w:color w:val="auto"/>
                <w:kern w:val="0"/>
                <w:sz w:val="20"/>
                <w:szCs w:val="20"/>
                <w:highlight w:val="none"/>
              </w:rPr>
            </w:pPr>
          </w:p>
        </w:tc>
        <w:tc>
          <w:tcPr>
            <w:tcW w:w="16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center"/>
              <w:textAlignment w:val="auto"/>
              <w:rPr>
                <w:rFonts w:hint="eastAsia" w:ascii="仿宋" w:hAnsi="仿宋" w:eastAsia="仿宋" w:cs="仿宋"/>
                <w:color w:val="auto"/>
                <w:kern w:val="0"/>
                <w:sz w:val="20"/>
                <w:szCs w:val="20"/>
                <w:highlight w:val="none"/>
                <w:lang w:val="en-US" w:eastAsia="zh-CN"/>
              </w:rPr>
            </w:pPr>
          </w:p>
        </w:tc>
        <w:tc>
          <w:tcPr>
            <w:tcW w:w="1112" w:type="dxa"/>
            <w:noWrap w:val="0"/>
            <w:vAlign w:val="center"/>
          </w:tcPr>
          <w:p>
            <w:pPr>
              <w:jc w:val="center"/>
              <w:rPr>
                <w:rFonts w:hint="eastAsia" w:ascii="仿宋" w:hAnsi="仿宋" w:eastAsia="仿宋" w:cs="仿宋"/>
                <w:color w:val="auto"/>
                <w:kern w:val="0"/>
                <w:sz w:val="20"/>
                <w:szCs w:val="20"/>
                <w:highlight w:val="none"/>
              </w:rPr>
            </w:pPr>
          </w:p>
        </w:tc>
        <w:tc>
          <w:tcPr>
            <w:tcW w:w="2653" w:type="dxa"/>
            <w:noWrap w:val="0"/>
            <w:vAlign w:val="center"/>
          </w:tcPr>
          <w:p>
            <w:pPr>
              <w:jc w:val="center"/>
              <w:rPr>
                <w:rFonts w:hint="eastAsia" w:ascii="仿宋" w:hAnsi="仿宋" w:eastAsia="仿宋" w:cs="仿宋"/>
                <w:color w:val="auto"/>
                <w:kern w:val="0"/>
                <w:sz w:val="20"/>
                <w:szCs w:val="20"/>
                <w:highlight w:val="none"/>
                <w:lang w:val="en-US" w:eastAsia="zh-CN"/>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163" w:type="dxa"/>
            <w:noWrap w:val="0"/>
            <w:vAlign w:val="center"/>
          </w:tcPr>
          <w:p>
            <w:pPr>
              <w:jc w:val="center"/>
              <w:rPr>
                <w:rFonts w:hint="eastAsia" w:ascii="仿宋" w:hAnsi="仿宋" w:eastAsia="仿宋" w:cs="仿宋"/>
                <w:color w:val="auto"/>
                <w:kern w:val="0"/>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9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center"/>
              <w:textAlignment w:val="auto"/>
              <w:rPr>
                <w:rFonts w:hint="eastAsia" w:ascii="仿宋" w:hAnsi="仿宋" w:eastAsia="仿宋" w:cs="仿宋"/>
                <w:color w:val="auto"/>
                <w:kern w:val="0"/>
                <w:sz w:val="20"/>
                <w:szCs w:val="20"/>
                <w:highlight w:val="none"/>
              </w:rPr>
            </w:pPr>
          </w:p>
        </w:tc>
        <w:tc>
          <w:tcPr>
            <w:tcW w:w="1664"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leftChars="0" w:right="0" w:rightChars="0" w:firstLine="0" w:firstLineChars="0"/>
              <w:jc w:val="center"/>
              <w:textAlignment w:val="auto"/>
              <w:rPr>
                <w:rFonts w:hint="eastAsia" w:ascii="仿宋" w:hAnsi="仿宋" w:eastAsia="仿宋" w:cs="仿宋"/>
                <w:color w:val="auto"/>
                <w:kern w:val="0"/>
                <w:sz w:val="20"/>
                <w:szCs w:val="20"/>
                <w:highlight w:val="none"/>
                <w:lang w:val="en-US" w:eastAsia="zh-CN"/>
              </w:rPr>
            </w:pPr>
          </w:p>
        </w:tc>
        <w:tc>
          <w:tcPr>
            <w:tcW w:w="1112" w:type="dxa"/>
            <w:noWrap w:val="0"/>
            <w:vAlign w:val="center"/>
          </w:tcPr>
          <w:p>
            <w:pPr>
              <w:jc w:val="center"/>
              <w:rPr>
                <w:rFonts w:hint="eastAsia" w:ascii="仿宋" w:hAnsi="仿宋" w:eastAsia="仿宋" w:cs="仿宋"/>
                <w:color w:val="auto"/>
                <w:kern w:val="0"/>
                <w:sz w:val="20"/>
                <w:szCs w:val="20"/>
                <w:highlight w:val="none"/>
              </w:rPr>
            </w:pPr>
          </w:p>
        </w:tc>
        <w:tc>
          <w:tcPr>
            <w:tcW w:w="2653" w:type="dxa"/>
            <w:noWrap w:val="0"/>
            <w:vAlign w:val="center"/>
          </w:tcPr>
          <w:p>
            <w:pPr>
              <w:jc w:val="center"/>
              <w:rPr>
                <w:rFonts w:hint="eastAsia" w:ascii="仿宋" w:hAnsi="仿宋" w:eastAsia="仿宋" w:cs="仿宋"/>
                <w:color w:val="auto"/>
                <w:kern w:val="0"/>
                <w:sz w:val="20"/>
                <w:szCs w:val="20"/>
                <w:highlight w:val="none"/>
                <w:lang w:val="en-US" w:eastAsia="zh-CN"/>
              </w:rPr>
            </w:pPr>
          </w:p>
        </w:tc>
        <w:tc>
          <w:tcPr>
            <w:tcW w:w="7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20"/>
                <w:szCs w:val="20"/>
                <w:highlight w:val="none"/>
                <w:lang w:val="en-US" w:eastAsia="zh-CN"/>
              </w:rPr>
            </w:pPr>
          </w:p>
        </w:tc>
        <w:tc>
          <w:tcPr>
            <w:tcW w:w="1163" w:type="dxa"/>
            <w:noWrap w:val="0"/>
            <w:vAlign w:val="center"/>
          </w:tcPr>
          <w:p>
            <w:pPr>
              <w:jc w:val="center"/>
              <w:rPr>
                <w:rFonts w:hint="eastAsia" w:ascii="仿宋" w:hAnsi="仿宋" w:eastAsia="仿宋" w:cs="仿宋"/>
                <w:color w:val="auto"/>
                <w:kern w:val="0"/>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891" w:type="dxa"/>
            <w:shd w:val="clear" w:color="auto" w:fill="auto"/>
            <w:noWrap w:val="0"/>
            <w:vAlign w:val="center"/>
          </w:tcPr>
          <w:p>
            <w:pPr>
              <w:jc w:val="center"/>
              <w:rPr>
                <w:rFonts w:hint="eastAsia" w:ascii="仿宋" w:hAnsi="仿宋" w:eastAsia="仿宋" w:cs="仿宋"/>
                <w:color w:val="auto"/>
                <w:kern w:val="0"/>
                <w:sz w:val="20"/>
                <w:szCs w:val="20"/>
                <w:highlight w:val="none"/>
                <w:lang w:val="en-US" w:eastAsia="zh-CN" w:bidi="ar-SA"/>
              </w:rPr>
            </w:pPr>
          </w:p>
        </w:tc>
        <w:tc>
          <w:tcPr>
            <w:tcW w:w="7223"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kern w:val="0"/>
                <w:sz w:val="20"/>
                <w:szCs w:val="20"/>
                <w:highlight w:val="none"/>
                <w:lang w:val="en-US" w:eastAsia="zh-CN"/>
              </w:rPr>
            </w:pPr>
            <w:r>
              <w:rPr>
                <w:rFonts w:hint="eastAsia" w:ascii="仿宋" w:hAnsi="仿宋" w:eastAsia="仿宋" w:cs="仿宋"/>
                <w:b w:val="0"/>
                <w:bCs w:val="0"/>
                <w:color w:val="auto"/>
                <w:kern w:val="0"/>
                <w:sz w:val="20"/>
                <w:szCs w:val="20"/>
                <w:highlight w:val="none"/>
                <w:lang w:val="en-US" w:eastAsia="zh-CN"/>
              </w:rPr>
              <w:t>小计：</w:t>
            </w:r>
          </w:p>
        </w:tc>
        <w:tc>
          <w:tcPr>
            <w:tcW w:w="10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kern w:val="0"/>
                <w:sz w:val="20"/>
                <w:szCs w:val="20"/>
                <w:highlight w:val="none"/>
                <w:lang w:val="en-US" w:eastAsia="zh-CN"/>
              </w:rPr>
            </w:pPr>
          </w:p>
        </w:tc>
        <w:tc>
          <w:tcPr>
            <w:tcW w:w="1163" w:type="dxa"/>
            <w:noWrap w:val="0"/>
            <w:vAlign w:val="center"/>
          </w:tcPr>
          <w:p>
            <w:pPr>
              <w:jc w:val="center"/>
              <w:rPr>
                <w:rFonts w:hint="eastAsia" w:ascii="仿宋" w:hAnsi="仿宋" w:eastAsia="仿宋" w:cs="仿宋"/>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320" w:type="dxa"/>
            <w:gridSpan w:val="4"/>
            <w:noWrap w:val="0"/>
            <w:vAlign w:val="center"/>
          </w:tcPr>
          <w:p>
            <w:pPr>
              <w:widowControl/>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合计</w:t>
            </w:r>
            <w:r>
              <w:rPr>
                <w:rFonts w:hint="eastAsia" w:ascii="仿宋" w:hAnsi="仿宋" w:eastAsia="仿宋" w:cs="仿宋"/>
                <w:color w:val="auto"/>
                <w:kern w:val="0"/>
                <w:sz w:val="20"/>
                <w:szCs w:val="20"/>
                <w:highlight w:val="none"/>
              </w:rPr>
              <w:t>总价（小写）</w:t>
            </w:r>
          </w:p>
        </w:tc>
        <w:tc>
          <w:tcPr>
            <w:tcW w:w="4016" w:type="dxa"/>
            <w:gridSpan w:val="4"/>
            <w:noWrap w:val="0"/>
            <w:vAlign w:val="center"/>
          </w:tcPr>
          <w:p>
            <w:pPr>
              <w:jc w:val="center"/>
              <w:rPr>
                <w:rFonts w:hint="eastAsia" w:ascii="仿宋" w:hAnsi="仿宋" w:eastAsia="仿宋" w:cs="仿宋"/>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320" w:type="dxa"/>
            <w:gridSpan w:val="4"/>
            <w:noWrap w:val="0"/>
            <w:vAlign w:val="center"/>
          </w:tcPr>
          <w:p>
            <w:pPr>
              <w:widowControl/>
              <w:jc w:val="center"/>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lang w:val="en-US" w:eastAsia="zh-CN"/>
              </w:rPr>
              <w:t>合计</w:t>
            </w:r>
            <w:r>
              <w:rPr>
                <w:rFonts w:hint="eastAsia" w:ascii="仿宋" w:hAnsi="仿宋" w:eastAsia="仿宋" w:cs="仿宋"/>
                <w:color w:val="auto"/>
                <w:kern w:val="0"/>
                <w:sz w:val="20"/>
                <w:szCs w:val="20"/>
                <w:highlight w:val="none"/>
              </w:rPr>
              <w:t>总价（大写）</w:t>
            </w:r>
          </w:p>
        </w:tc>
        <w:tc>
          <w:tcPr>
            <w:tcW w:w="4016" w:type="dxa"/>
            <w:gridSpan w:val="4"/>
            <w:noWrap w:val="0"/>
            <w:vAlign w:val="center"/>
          </w:tcPr>
          <w:p>
            <w:pPr>
              <w:autoSpaceDE w:val="0"/>
              <w:autoSpaceDN w:val="0"/>
              <w:spacing w:line="380" w:lineRule="atLeast"/>
              <w:ind w:right="-200" w:rightChars="0"/>
              <w:jc w:val="center"/>
              <w:rPr>
                <w:rFonts w:hint="eastAsia" w:ascii="仿宋" w:hAnsi="仿宋" w:eastAsia="仿宋" w:cs="仿宋"/>
                <w:color w:val="auto"/>
                <w:sz w:val="20"/>
                <w:szCs w:val="20"/>
                <w:highlight w:val="none"/>
              </w:rPr>
            </w:pPr>
          </w:p>
        </w:tc>
      </w:tr>
    </w:tbl>
    <w:p>
      <w:pPr>
        <w:spacing w:line="460" w:lineRule="exact"/>
        <w:rPr>
          <w:rFonts w:hint="eastAsia" w:ascii="仿宋" w:hAnsi="仿宋" w:eastAsia="仿宋" w:cs="仿宋"/>
          <w:color w:val="auto"/>
          <w:sz w:val="30"/>
          <w:szCs w:val="30"/>
          <w:highlight w:val="none"/>
        </w:rPr>
      </w:pP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br w:type="page"/>
      </w:r>
    </w:p>
    <w:p>
      <w:pPr>
        <w:spacing w:line="460" w:lineRule="exac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备件清单:</w:t>
      </w:r>
    </w:p>
    <w:tbl>
      <w:tblPr>
        <w:tblStyle w:val="63"/>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92"/>
        <w:gridCol w:w="2089"/>
        <w:gridCol w:w="668"/>
        <w:gridCol w:w="2364"/>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blHeader/>
          <w:jc w:val="center"/>
        </w:trPr>
        <w:tc>
          <w:tcPr>
            <w:tcW w:w="737" w:type="dxa"/>
            <w:shd w:val="clear" w:color="auto" w:fill="FFFFFF"/>
            <w:noWrap w:val="0"/>
            <w:vAlign w:val="center"/>
          </w:tcPr>
          <w:p>
            <w:pPr>
              <w:spacing w:line="400" w:lineRule="exact"/>
              <w:jc w:val="center"/>
              <w:rPr>
                <w:rFonts w:ascii="宋体" w:hAnsi="宋体" w:eastAsia="宋体" w:cs="Times New Roman"/>
                <w:b/>
                <w:bCs/>
                <w:color w:val="auto"/>
                <w:sz w:val="22"/>
                <w:highlight w:val="none"/>
              </w:rPr>
            </w:pPr>
            <w:r>
              <w:rPr>
                <w:rFonts w:hint="eastAsia" w:ascii="宋体" w:hAnsi="宋体" w:eastAsia="宋体"/>
                <w:b/>
                <w:bCs/>
                <w:color w:val="auto"/>
                <w:sz w:val="22"/>
                <w:szCs w:val="22"/>
                <w:highlight w:val="none"/>
              </w:rPr>
              <w:t>序号</w:t>
            </w:r>
          </w:p>
        </w:tc>
        <w:tc>
          <w:tcPr>
            <w:tcW w:w="1892" w:type="dxa"/>
            <w:shd w:val="clear" w:color="auto" w:fill="FFFFFF"/>
            <w:noWrap w:val="0"/>
            <w:vAlign w:val="center"/>
          </w:tcPr>
          <w:p>
            <w:pPr>
              <w:spacing w:line="400" w:lineRule="exact"/>
              <w:jc w:val="center"/>
              <w:rPr>
                <w:rFonts w:ascii="宋体" w:hAnsi="宋体" w:eastAsia="宋体" w:cs="Times New Roman"/>
                <w:b/>
                <w:bCs/>
                <w:color w:val="auto"/>
                <w:sz w:val="22"/>
                <w:highlight w:val="none"/>
              </w:rPr>
            </w:pPr>
            <w:r>
              <w:rPr>
                <w:rFonts w:hint="eastAsia" w:ascii="宋体" w:hAnsi="宋体" w:eastAsia="宋体"/>
                <w:b/>
                <w:bCs/>
                <w:color w:val="auto"/>
                <w:sz w:val="22"/>
                <w:szCs w:val="22"/>
                <w:highlight w:val="none"/>
              </w:rPr>
              <w:t>名称</w:t>
            </w:r>
          </w:p>
        </w:tc>
        <w:tc>
          <w:tcPr>
            <w:tcW w:w="2089" w:type="dxa"/>
            <w:shd w:val="clear" w:color="auto" w:fill="FFFFFF"/>
            <w:noWrap w:val="0"/>
            <w:vAlign w:val="center"/>
          </w:tcPr>
          <w:p>
            <w:pPr>
              <w:spacing w:line="400" w:lineRule="exact"/>
              <w:jc w:val="center"/>
              <w:rPr>
                <w:rFonts w:ascii="宋体" w:hAnsi="宋体" w:eastAsia="宋体" w:cs="Times New Roman"/>
                <w:b/>
                <w:bCs/>
                <w:color w:val="auto"/>
                <w:sz w:val="22"/>
                <w:highlight w:val="none"/>
              </w:rPr>
            </w:pPr>
            <w:r>
              <w:rPr>
                <w:rFonts w:hint="eastAsia" w:ascii="宋体" w:hAnsi="宋体" w:eastAsia="宋体"/>
                <w:b/>
                <w:bCs/>
                <w:color w:val="auto"/>
                <w:sz w:val="22"/>
                <w:szCs w:val="22"/>
                <w:highlight w:val="none"/>
              </w:rPr>
              <w:t>规格型号</w:t>
            </w:r>
          </w:p>
        </w:tc>
        <w:tc>
          <w:tcPr>
            <w:tcW w:w="668" w:type="dxa"/>
            <w:shd w:val="clear" w:color="auto" w:fill="FFFFFF"/>
            <w:noWrap w:val="0"/>
            <w:vAlign w:val="center"/>
          </w:tcPr>
          <w:p>
            <w:pPr>
              <w:spacing w:line="400" w:lineRule="exact"/>
              <w:jc w:val="center"/>
              <w:rPr>
                <w:rFonts w:ascii="宋体" w:hAnsi="宋体" w:eastAsia="宋体" w:cs="Times New Roman"/>
                <w:b/>
                <w:bCs/>
                <w:color w:val="auto"/>
                <w:sz w:val="22"/>
                <w:highlight w:val="none"/>
              </w:rPr>
            </w:pPr>
            <w:r>
              <w:rPr>
                <w:rFonts w:hint="eastAsia" w:ascii="宋体" w:hAnsi="宋体" w:eastAsia="宋体"/>
                <w:b/>
                <w:bCs/>
                <w:color w:val="auto"/>
                <w:sz w:val="22"/>
                <w:szCs w:val="22"/>
                <w:highlight w:val="none"/>
              </w:rPr>
              <w:t>数量</w:t>
            </w:r>
          </w:p>
        </w:tc>
        <w:tc>
          <w:tcPr>
            <w:tcW w:w="2364" w:type="dxa"/>
            <w:shd w:val="clear" w:color="auto" w:fill="FFFFFF"/>
            <w:noWrap w:val="0"/>
            <w:vAlign w:val="center"/>
          </w:tcPr>
          <w:p>
            <w:pPr>
              <w:spacing w:line="400" w:lineRule="exact"/>
              <w:jc w:val="center"/>
              <w:rPr>
                <w:rFonts w:ascii="宋体" w:hAnsi="宋体" w:eastAsia="宋体" w:cs="Times New Roman"/>
                <w:b/>
                <w:bCs/>
                <w:color w:val="auto"/>
                <w:sz w:val="22"/>
                <w:highlight w:val="none"/>
              </w:rPr>
            </w:pPr>
            <w:r>
              <w:rPr>
                <w:rFonts w:hint="eastAsia" w:ascii="宋体" w:hAnsi="宋体" w:eastAsia="宋体"/>
                <w:b/>
                <w:bCs/>
                <w:color w:val="auto"/>
                <w:sz w:val="22"/>
                <w:szCs w:val="22"/>
                <w:highlight w:val="none"/>
              </w:rPr>
              <w:t>原产地</w:t>
            </w:r>
            <w:r>
              <w:rPr>
                <w:rFonts w:ascii="宋体" w:hAnsi="宋体" w:eastAsia="宋体"/>
                <w:b/>
                <w:bCs/>
                <w:color w:val="auto"/>
                <w:sz w:val="22"/>
                <w:szCs w:val="22"/>
                <w:highlight w:val="none"/>
              </w:rPr>
              <w:t>/</w:t>
            </w:r>
            <w:r>
              <w:rPr>
                <w:rFonts w:hint="eastAsia" w:ascii="宋体" w:hAnsi="宋体" w:eastAsia="宋体"/>
                <w:b/>
                <w:bCs/>
                <w:color w:val="auto"/>
                <w:sz w:val="22"/>
                <w:szCs w:val="22"/>
                <w:highlight w:val="none"/>
              </w:rPr>
              <w:t>制造商</w:t>
            </w:r>
          </w:p>
        </w:tc>
        <w:tc>
          <w:tcPr>
            <w:tcW w:w="760" w:type="dxa"/>
            <w:shd w:val="clear" w:color="auto" w:fill="FFFFFF"/>
            <w:noWrap w:val="0"/>
            <w:vAlign w:val="center"/>
          </w:tcPr>
          <w:p>
            <w:pPr>
              <w:spacing w:line="400" w:lineRule="exact"/>
              <w:jc w:val="center"/>
              <w:rPr>
                <w:rFonts w:hint="default" w:ascii="宋体" w:hAnsi="宋体" w:eastAsia="宋体" w:cs="Times New Roman"/>
                <w:b/>
                <w:bCs/>
                <w:color w:val="auto"/>
                <w:sz w:val="22"/>
                <w:highlight w:val="none"/>
                <w:lang w:val="en-US" w:eastAsia="zh-CN"/>
              </w:rPr>
            </w:pPr>
            <w:r>
              <w:rPr>
                <w:rFonts w:hint="eastAsia" w:ascii="宋体" w:hAnsi="宋体" w:eastAsia="宋体" w:cs="Times New Roman"/>
                <w:b/>
                <w:bCs/>
                <w:color w:val="auto"/>
                <w:sz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7" w:type="dxa"/>
            <w:noWrap w:val="0"/>
            <w:vAlign w:val="center"/>
          </w:tcPr>
          <w:p>
            <w:pPr>
              <w:widowControl/>
              <w:jc w:val="center"/>
              <w:textAlignment w:val="center"/>
              <w:rPr>
                <w:color w:val="auto"/>
                <w:kern w:val="0"/>
                <w:sz w:val="18"/>
                <w:szCs w:val="18"/>
                <w:highlight w:val="none"/>
                <w:lang w:bidi="ar"/>
              </w:rPr>
            </w:pPr>
          </w:p>
        </w:tc>
        <w:tc>
          <w:tcPr>
            <w:tcW w:w="1892" w:type="dxa"/>
            <w:noWrap w:val="0"/>
            <w:vAlign w:val="center"/>
          </w:tcPr>
          <w:p>
            <w:pPr>
              <w:widowControl/>
              <w:jc w:val="center"/>
              <w:textAlignment w:val="center"/>
              <w:rPr>
                <w:color w:val="auto"/>
                <w:kern w:val="0"/>
                <w:sz w:val="18"/>
                <w:szCs w:val="18"/>
                <w:highlight w:val="none"/>
                <w:lang w:bidi="ar"/>
              </w:rPr>
            </w:pPr>
          </w:p>
        </w:tc>
        <w:tc>
          <w:tcPr>
            <w:tcW w:w="2089" w:type="dxa"/>
            <w:noWrap w:val="0"/>
            <w:vAlign w:val="center"/>
          </w:tcPr>
          <w:p>
            <w:pPr>
              <w:widowControl/>
              <w:jc w:val="center"/>
              <w:textAlignment w:val="center"/>
              <w:rPr>
                <w:color w:val="auto"/>
                <w:kern w:val="0"/>
                <w:sz w:val="18"/>
                <w:szCs w:val="18"/>
                <w:highlight w:val="none"/>
                <w:lang w:bidi="ar"/>
              </w:rPr>
            </w:pPr>
          </w:p>
        </w:tc>
        <w:tc>
          <w:tcPr>
            <w:tcW w:w="668" w:type="dxa"/>
            <w:noWrap w:val="0"/>
            <w:vAlign w:val="center"/>
          </w:tcPr>
          <w:p>
            <w:pPr>
              <w:widowControl/>
              <w:jc w:val="center"/>
              <w:textAlignment w:val="center"/>
              <w:rPr>
                <w:color w:val="auto"/>
                <w:kern w:val="0"/>
                <w:sz w:val="18"/>
                <w:szCs w:val="18"/>
                <w:highlight w:val="none"/>
                <w:lang w:bidi="ar"/>
              </w:rPr>
            </w:pPr>
          </w:p>
        </w:tc>
        <w:tc>
          <w:tcPr>
            <w:tcW w:w="2364" w:type="dxa"/>
            <w:noWrap w:val="0"/>
            <w:vAlign w:val="center"/>
          </w:tcPr>
          <w:p>
            <w:pPr>
              <w:widowControl/>
              <w:jc w:val="center"/>
              <w:textAlignment w:val="center"/>
              <w:rPr>
                <w:color w:val="auto"/>
                <w:kern w:val="0"/>
                <w:sz w:val="18"/>
                <w:szCs w:val="18"/>
                <w:highlight w:val="none"/>
                <w:lang w:bidi="ar"/>
              </w:rPr>
            </w:pPr>
          </w:p>
        </w:tc>
        <w:tc>
          <w:tcPr>
            <w:tcW w:w="760" w:type="dxa"/>
            <w:noWrap w:val="0"/>
            <w:vAlign w:val="top"/>
          </w:tcPr>
          <w:p>
            <w:pPr>
              <w:jc w:val="center"/>
              <w:rPr>
                <w:rFonts w:hint="default" w:eastAsia="宋体"/>
                <w:color w:val="auto"/>
                <w:kern w:val="0"/>
                <w:sz w:val="18"/>
                <w:szCs w:val="1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7" w:type="dxa"/>
            <w:noWrap w:val="0"/>
            <w:vAlign w:val="center"/>
          </w:tcPr>
          <w:p>
            <w:pPr>
              <w:widowControl/>
              <w:jc w:val="center"/>
              <w:textAlignment w:val="center"/>
              <w:rPr>
                <w:color w:val="auto"/>
                <w:kern w:val="0"/>
                <w:sz w:val="18"/>
                <w:szCs w:val="18"/>
                <w:highlight w:val="none"/>
                <w:lang w:bidi="ar"/>
              </w:rPr>
            </w:pPr>
          </w:p>
        </w:tc>
        <w:tc>
          <w:tcPr>
            <w:tcW w:w="1892" w:type="dxa"/>
            <w:noWrap w:val="0"/>
            <w:vAlign w:val="center"/>
          </w:tcPr>
          <w:p>
            <w:pPr>
              <w:widowControl/>
              <w:jc w:val="center"/>
              <w:textAlignment w:val="center"/>
              <w:rPr>
                <w:color w:val="auto"/>
                <w:kern w:val="0"/>
                <w:sz w:val="18"/>
                <w:szCs w:val="18"/>
                <w:highlight w:val="none"/>
                <w:lang w:bidi="ar"/>
              </w:rPr>
            </w:pPr>
          </w:p>
        </w:tc>
        <w:tc>
          <w:tcPr>
            <w:tcW w:w="2089" w:type="dxa"/>
            <w:noWrap w:val="0"/>
            <w:vAlign w:val="center"/>
          </w:tcPr>
          <w:p>
            <w:pPr>
              <w:widowControl/>
              <w:jc w:val="center"/>
              <w:textAlignment w:val="center"/>
              <w:rPr>
                <w:color w:val="auto"/>
                <w:kern w:val="0"/>
                <w:sz w:val="18"/>
                <w:szCs w:val="18"/>
                <w:highlight w:val="none"/>
                <w:lang w:bidi="ar"/>
              </w:rPr>
            </w:pPr>
          </w:p>
        </w:tc>
        <w:tc>
          <w:tcPr>
            <w:tcW w:w="668" w:type="dxa"/>
            <w:noWrap w:val="0"/>
            <w:vAlign w:val="center"/>
          </w:tcPr>
          <w:p>
            <w:pPr>
              <w:widowControl/>
              <w:jc w:val="center"/>
              <w:textAlignment w:val="center"/>
              <w:rPr>
                <w:color w:val="auto"/>
                <w:kern w:val="0"/>
                <w:sz w:val="18"/>
                <w:szCs w:val="18"/>
                <w:highlight w:val="none"/>
                <w:lang w:bidi="ar"/>
              </w:rPr>
            </w:pPr>
          </w:p>
        </w:tc>
        <w:tc>
          <w:tcPr>
            <w:tcW w:w="2364" w:type="dxa"/>
            <w:noWrap w:val="0"/>
            <w:vAlign w:val="center"/>
          </w:tcPr>
          <w:p>
            <w:pPr>
              <w:widowControl/>
              <w:jc w:val="center"/>
              <w:textAlignment w:val="center"/>
              <w:rPr>
                <w:color w:val="auto"/>
                <w:kern w:val="0"/>
                <w:sz w:val="18"/>
                <w:szCs w:val="18"/>
                <w:highlight w:val="none"/>
                <w:lang w:bidi="ar"/>
              </w:rPr>
            </w:pPr>
          </w:p>
        </w:tc>
        <w:tc>
          <w:tcPr>
            <w:tcW w:w="760" w:type="dxa"/>
            <w:noWrap w:val="0"/>
            <w:vAlign w:val="top"/>
          </w:tcPr>
          <w:p>
            <w:pPr>
              <w:jc w:val="center"/>
              <w:rPr>
                <w:color w:val="auto"/>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37" w:type="dxa"/>
            <w:noWrap w:val="0"/>
            <w:vAlign w:val="center"/>
          </w:tcPr>
          <w:p>
            <w:pPr>
              <w:widowControl/>
              <w:jc w:val="center"/>
              <w:textAlignment w:val="center"/>
              <w:rPr>
                <w:color w:val="auto"/>
                <w:kern w:val="0"/>
                <w:sz w:val="18"/>
                <w:szCs w:val="18"/>
                <w:highlight w:val="none"/>
                <w:lang w:bidi="ar"/>
              </w:rPr>
            </w:pPr>
          </w:p>
        </w:tc>
        <w:tc>
          <w:tcPr>
            <w:tcW w:w="1892" w:type="dxa"/>
            <w:noWrap w:val="0"/>
            <w:vAlign w:val="center"/>
          </w:tcPr>
          <w:p>
            <w:pPr>
              <w:widowControl/>
              <w:jc w:val="center"/>
              <w:textAlignment w:val="center"/>
              <w:rPr>
                <w:color w:val="auto"/>
                <w:kern w:val="0"/>
                <w:sz w:val="18"/>
                <w:szCs w:val="18"/>
                <w:highlight w:val="none"/>
                <w:lang w:bidi="ar"/>
              </w:rPr>
            </w:pPr>
          </w:p>
        </w:tc>
        <w:tc>
          <w:tcPr>
            <w:tcW w:w="2089" w:type="dxa"/>
            <w:noWrap w:val="0"/>
            <w:vAlign w:val="center"/>
          </w:tcPr>
          <w:p>
            <w:pPr>
              <w:widowControl/>
              <w:jc w:val="center"/>
              <w:textAlignment w:val="center"/>
              <w:rPr>
                <w:color w:val="auto"/>
                <w:kern w:val="0"/>
                <w:sz w:val="18"/>
                <w:szCs w:val="18"/>
                <w:highlight w:val="none"/>
                <w:lang w:bidi="ar"/>
              </w:rPr>
            </w:pPr>
          </w:p>
        </w:tc>
        <w:tc>
          <w:tcPr>
            <w:tcW w:w="668" w:type="dxa"/>
            <w:noWrap w:val="0"/>
            <w:vAlign w:val="center"/>
          </w:tcPr>
          <w:p>
            <w:pPr>
              <w:widowControl/>
              <w:jc w:val="center"/>
              <w:textAlignment w:val="center"/>
              <w:rPr>
                <w:color w:val="auto"/>
                <w:kern w:val="0"/>
                <w:sz w:val="18"/>
                <w:szCs w:val="18"/>
                <w:highlight w:val="none"/>
                <w:lang w:bidi="ar"/>
              </w:rPr>
            </w:pPr>
          </w:p>
        </w:tc>
        <w:tc>
          <w:tcPr>
            <w:tcW w:w="2364" w:type="dxa"/>
            <w:noWrap w:val="0"/>
            <w:vAlign w:val="center"/>
          </w:tcPr>
          <w:p>
            <w:pPr>
              <w:widowControl/>
              <w:jc w:val="center"/>
              <w:textAlignment w:val="center"/>
              <w:rPr>
                <w:color w:val="auto"/>
                <w:kern w:val="0"/>
                <w:sz w:val="18"/>
                <w:szCs w:val="18"/>
                <w:highlight w:val="none"/>
                <w:lang w:bidi="ar"/>
              </w:rPr>
            </w:pPr>
          </w:p>
        </w:tc>
        <w:tc>
          <w:tcPr>
            <w:tcW w:w="760" w:type="dxa"/>
            <w:noWrap w:val="0"/>
            <w:vAlign w:val="top"/>
          </w:tcPr>
          <w:p>
            <w:pPr>
              <w:jc w:val="center"/>
              <w:rPr>
                <w:color w:val="auto"/>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7" w:type="dxa"/>
            <w:noWrap w:val="0"/>
            <w:vAlign w:val="center"/>
          </w:tcPr>
          <w:p>
            <w:pPr>
              <w:widowControl/>
              <w:jc w:val="center"/>
              <w:textAlignment w:val="center"/>
              <w:rPr>
                <w:color w:val="auto"/>
                <w:kern w:val="0"/>
                <w:sz w:val="18"/>
                <w:szCs w:val="18"/>
                <w:highlight w:val="none"/>
                <w:lang w:bidi="ar"/>
              </w:rPr>
            </w:pPr>
          </w:p>
        </w:tc>
        <w:tc>
          <w:tcPr>
            <w:tcW w:w="1892" w:type="dxa"/>
            <w:noWrap w:val="0"/>
            <w:vAlign w:val="center"/>
          </w:tcPr>
          <w:p>
            <w:pPr>
              <w:widowControl/>
              <w:jc w:val="center"/>
              <w:textAlignment w:val="center"/>
              <w:rPr>
                <w:color w:val="auto"/>
                <w:kern w:val="0"/>
                <w:sz w:val="18"/>
                <w:szCs w:val="18"/>
                <w:highlight w:val="none"/>
                <w:lang w:bidi="ar"/>
              </w:rPr>
            </w:pPr>
          </w:p>
        </w:tc>
        <w:tc>
          <w:tcPr>
            <w:tcW w:w="2089" w:type="dxa"/>
            <w:noWrap w:val="0"/>
            <w:vAlign w:val="center"/>
          </w:tcPr>
          <w:p>
            <w:pPr>
              <w:widowControl/>
              <w:jc w:val="center"/>
              <w:textAlignment w:val="center"/>
              <w:rPr>
                <w:color w:val="auto"/>
                <w:kern w:val="0"/>
                <w:sz w:val="18"/>
                <w:szCs w:val="18"/>
                <w:highlight w:val="none"/>
                <w:lang w:bidi="ar"/>
              </w:rPr>
            </w:pPr>
          </w:p>
        </w:tc>
        <w:tc>
          <w:tcPr>
            <w:tcW w:w="668" w:type="dxa"/>
            <w:noWrap w:val="0"/>
            <w:vAlign w:val="center"/>
          </w:tcPr>
          <w:p>
            <w:pPr>
              <w:widowControl/>
              <w:jc w:val="center"/>
              <w:textAlignment w:val="center"/>
              <w:rPr>
                <w:color w:val="auto"/>
                <w:kern w:val="0"/>
                <w:sz w:val="18"/>
                <w:szCs w:val="18"/>
                <w:highlight w:val="none"/>
                <w:lang w:bidi="ar"/>
              </w:rPr>
            </w:pPr>
          </w:p>
        </w:tc>
        <w:tc>
          <w:tcPr>
            <w:tcW w:w="2364" w:type="dxa"/>
            <w:noWrap w:val="0"/>
            <w:vAlign w:val="center"/>
          </w:tcPr>
          <w:p>
            <w:pPr>
              <w:widowControl/>
              <w:jc w:val="center"/>
              <w:textAlignment w:val="center"/>
              <w:rPr>
                <w:color w:val="auto"/>
                <w:kern w:val="0"/>
                <w:sz w:val="18"/>
                <w:szCs w:val="18"/>
                <w:highlight w:val="none"/>
                <w:lang w:bidi="ar"/>
              </w:rPr>
            </w:pPr>
          </w:p>
        </w:tc>
        <w:tc>
          <w:tcPr>
            <w:tcW w:w="760" w:type="dxa"/>
            <w:noWrap w:val="0"/>
            <w:vAlign w:val="top"/>
          </w:tcPr>
          <w:p>
            <w:pPr>
              <w:jc w:val="center"/>
              <w:rPr>
                <w:color w:val="auto"/>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7" w:type="dxa"/>
            <w:noWrap w:val="0"/>
            <w:vAlign w:val="center"/>
          </w:tcPr>
          <w:p>
            <w:pPr>
              <w:widowControl/>
              <w:jc w:val="center"/>
              <w:textAlignment w:val="center"/>
              <w:rPr>
                <w:color w:val="auto"/>
                <w:kern w:val="0"/>
                <w:sz w:val="18"/>
                <w:szCs w:val="18"/>
                <w:highlight w:val="none"/>
                <w:lang w:bidi="ar"/>
              </w:rPr>
            </w:pPr>
          </w:p>
        </w:tc>
        <w:tc>
          <w:tcPr>
            <w:tcW w:w="1892" w:type="dxa"/>
            <w:noWrap w:val="0"/>
            <w:vAlign w:val="center"/>
          </w:tcPr>
          <w:p>
            <w:pPr>
              <w:widowControl/>
              <w:jc w:val="center"/>
              <w:textAlignment w:val="center"/>
              <w:rPr>
                <w:color w:val="auto"/>
                <w:kern w:val="0"/>
                <w:sz w:val="18"/>
                <w:szCs w:val="18"/>
                <w:highlight w:val="none"/>
                <w:lang w:bidi="ar"/>
              </w:rPr>
            </w:pPr>
          </w:p>
        </w:tc>
        <w:tc>
          <w:tcPr>
            <w:tcW w:w="2089" w:type="dxa"/>
            <w:noWrap w:val="0"/>
            <w:vAlign w:val="center"/>
          </w:tcPr>
          <w:p>
            <w:pPr>
              <w:widowControl/>
              <w:jc w:val="center"/>
              <w:textAlignment w:val="center"/>
              <w:rPr>
                <w:color w:val="auto"/>
                <w:kern w:val="0"/>
                <w:sz w:val="18"/>
                <w:szCs w:val="18"/>
                <w:highlight w:val="none"/>
                <w:lang w:bidi="ar"/>
              </w:rPr>
            </w:pPr>
          </w:p>
        </w:tc>
        <w:tc>
          <w:tcPr>
            <w:tcW w:w="668" w:type="dxa"/>
            <w:noWrap w:val="0"/>
            <w:vAlign w:val="center"/>
          </w:tcPr>
          <w:p>
            <w:pPr>
              <w:widowControl/>
              <w:jc w:val="center"/>
              <w:textAlignment w:val="center"/>
              <w:rPr>
                <w:color w:val="auto"/>
                <w:kern w:val="0"/>
                <w:sz w:val="18"/>
                <w:szCs w:val="18"/>
                <w:highlight w:val="none"/>
                <w:lang w:bidi="ar"/>
              </w:rPr>
            </w:pPr>
          </w:p>
        </w:tc>
        <w:tc>
          <w:tcPr>
            <w:tcW w:w="2364" w:type="dxa"/>
            <w:noWrap w:val="0"/>
            <w:vAlign w:val="center"/>
          </w:tcPr>
          <w:p>
            <w:pPr>
              <w:widowControl/>
              <w:jc w:val="center"/>
              <w:textAlignment w:val="center"/>
              <w:rPr>
                <w:color w:val="auto"/>
                <w:kern w:val="0"/>
                <w:sz w:val="18"/>
                <w:szCs w:val="18"/>
                <w:highlight w:val="none"/>
                <w:lang w:bidi="ar"/>
              </w:rPr>
            </w:pPr>
          </w:p>
        </w:tc>
        <w:tc>
          <w:tcPr>
            <w:tcW w:w="760" w:type="dxa"/>
            <w:noWrap w:val="0"/>
            <w:vAlign w:val="top"/>
          </w:tcPr>
          <w:p>
            <w:pPr>
              <w:jc w:val="center"/>
              <w:rPr>
                <w:color w:val="auto"/>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7" w:type="dxa"/>
            <w:noWrap w:val="0"/>
            <w:vAlign w:val="center"/>
          </w:tcPr>
          <w:p>
            <w:pPr>
              <w:widowControl/>
              <w:jc w:val="center"/>
              <w:textAlignment w:val="center"/>
              <w:rPr>
                <w:color w:val="auto"/>
                <w:kern w:val="0"/>
                <w:sz w:val="18"/>
                <w:szCs w:val="18"/>
                <w:highlight w:val="none"/>
                <w:lang w:bidi="ar"/>
              </w:rPr>
            </w:pPr>
          </w:p>
        </w:tc>
        <w:tc>
          <w:tcPr>
            <w:tcW w:w="1892" w:type="dxa"/>
            <w:noWrap w:val="0"/>
            <w:vAlign w:val="center"/>
          </w:tcPr>
          <w:p>
            <w:pPr>
              <w:widowControl/>
              <w:jc w:val="center"/>
              <w:textAlignment w:val="center"/>
              <w:rPr>
                <w:color w:val="auto"/>
                <w:kern w:val="0"/>
                <w:sz w:val="18"/>
                <w:szCs w:val="18"/>
                <w:highlight w:val="none"/>
                <w:lang w:bidi="ar"/>
              </w:rPr>
            </w:pPr>
          </w:p>
        </w:tc>
        <w:tc>
          <w:tcPr>
            <w:tcW w:w="2089" w:type="dxa"/>
            <w:noWrap w:val="0"/>
            <w:vAlign w:val="center"/>
          </w:tcPr>
          <w:p>
            <w:pPr>
              <w:widowControl/>
              <w:jc w:val="center"/>
              <w:textAlignment w:val="center"/>
              <w:rPr>
                <w:color w:val="auto"/>
                <w:kern w:val="0"/>
                <w:sz w:val="18"/>
                <w:szCs w:val="18"/>
                <w:highlight w:val="none"/>
                <w:lang w:bidi="ar"/>
              </w:rPr>
            </w:pPr>
          </w:p>
        </w:tc>
        <w:tc>
          <w:tcPr>
            <w:tcW w:w="668" w:type="dxa"/>
            <w:noWrap w:val="0"/>
            <w:vAlign w:val="center"/>
          </w:tcPr>
          <w:p>
            <w:pPr>
              <w:widowControl/>
              <w:jc w:val="center"/>
              <w:textAlignment w:val="center"/>
              <w:rPr>
                <w:color w:val="auto"/>
                <w:kern w:val="0"/>
                <w:sz w:val="18"/>
                <w:szCs w:val="18"/>
                <w:highlight w:val="none"/>
                <w:lang w:bidi="ar"/>
              </w:rPr>
            </w:pPr>
          </w:p>
        </w:tc>
        <w:tc>
          <w:tcPr>
            <w:tcW w:w="2364" w:type="dxa"/>
            <w:noWrap w:val="0"/>
            <w:vAlign w:val="center"/>
          </w:tcPr>
          <w:p>
            <w:pPr>
              <w:widowControl/>
              <w:jc w:val="center"/>
              <w:textAlignment w:val="center"/>
              <w:rPr>
                <w:color w:val="auto"/>
                <w:kern w:val="0"/>
                <w:sz w:val="18"/>
                <w:szCs w:val="18"/>
                <w:highlight w:val="none"/>
                <w:lang w:bidi="ar"/>
              </w:rPr>
            </w:pPr>
          </w:p>
        </w:tc>
        <w:tc>
          <w:tcPr>
            <w:tcW w:w="760" w:type="dxa"/>
            <w:noWrap w:val="0"/>
            <w:vAlign w:val="top"/>
          </w:tcPr>
          <w:p>
            <w:pPr>
              <w:jc w:val="center"/>
              <w:rPr>
                <w:rFonts w:ascii="宋体" w:hAnsi="宋体" w:eastAsia="宋体" w:cs="宋体"/>
                <w:bCs/>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7" w:type="dxa"/>
            <w:noWrap w:val="0"/>
            <w:vAlign w:val="center"/>
          </w:tcPr>
          <w:p>
            <w:pPr>
              <w:widowControl/>
              <w:jc w:val="center"/>
              <w:textAlignment w:val="center"/>
              <w:rPr>
                <w:color w:val="auto"/>
                <w:kern w:val="0"/>
                <w:sz w:val="18"/>
                <w:szCs w:val="18"/>
                <w:highlight w:val="none"/>
                <w:lang w:bidi="ar"/>
              </w:rPr>
            </w:pPr>
          </w:p>
        </w:tc>
        <w:tc>
          <w:tcPr>
            <w:tcW w:w="1892" w:type="dxa"/>
            <w:noWrap w:val="0"/>
            <w:vAlign w:val="center"/>
          </w:tcPr>
          <w:p>
            <w:pPr>
              <w:widowControl/>
              <w:jc w:val="center"/>
              <w:textAlignment w:val="center"/>
              <w:rPr>
                <w:color w:val="auto"/>
                <w:kern w:val="0"/>
                <w:sz w:val="18"/>
                <w:szCs w:val="18"/>
                <w:highlight w:val="none"/>
                <w:lang w:bidi="ar"/>
              </w:rPr>
            </w:pPr>
          </w:p>
        </w:tc>
        <w:tc>
          <w:tcPr>
            <w:tcW w:w="2089" w:type="dxa"/>
            <w:noWrap w:val="0"/>
            <w:vAlign w:val="center"/>
          </w:tcPr>
          <w:p>
            <w:pPr>
              <w:widowControl/>
              <w:jc w:val="center"/>
              <w:textAlignment w:val="center"/>
              <w:rPr>
                <w:color w:val="auto"/>
                <w:kern w:val="0"/>
                <w:sz w:val="18"/>
                <w:szCs w:val="18"/>
                <w:highlight w:val="none"/>
                <w:lang w:bidi="ar"/>
              </w:rPr>
            </w:pPr>
          </w:p>
        </w:tc>
        <w:tc>
          <w:tcPr>
            <w:tcW w:w="668" w:type="dxa"/>
            <w:noWrap w:val="0"/>
            <w:vAlign w:val="center"/>
          </w:tcPr>
          <w:p>
            <w:pPr>
              <w:widowControl/>
              <w:jc w:val="center"/>
              <w:textAlignment w:val="center"/>
              <w:rPr>
                <w:color w:val="auto"/>
                <w:kern w:val="0"/>
                <w:sz w:val="18"/>
                <w:szCs w:val="18"/>
                <w:highlight w:val="none"/>
                <w:lang w:bidi="ar"/>
              </w:rPr>
            </w:pPr>
          </w:p>
        </w:tc>
        <w:tc>
          <w:tcPr>
            <w:tcW w:w="2364" w:type="dxa"/>
            <w:noWrap w:val="0"/>
            <w:vAlign w:val="center"/>
          </w:tcPr>
          <w:p>
            <w:pPr>
              <w:widowControl/>
              <w:jc w:val="center"/>
              <w:textAlignment w:val="center"/>
              <w:rPr>
                <w:color w:val="auto"/>
                <w:kern w:val="0"/>
                <w:sz w:val="18"/>
                <w:szCs w:val="18"/>
                <w:highlight w:val="none"/>
                <w:lang w:bidi="ar"/>
              </w:rPr>
            </w:pPr>
          </w:p>
        </w:tc>
        <w:tc>
          <w:tcPr>
            <w:tcW w:w="760" w:type="dxa"/>
            <w:noWrap w:val="0"/>
            <w:vAlign w:val="top"/>
          </w:tcPr>
          <w:p>
            <w:pPr>
              <w:jc w:val="center"/>
              <w:rPr>
                <w:rFonts w:ascii="宋体" w:hAnsi="宋体" w:eastAsia="宋体" w:cs="宋体"/>
                <w:bCs/>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7" w:type="dxa"/>
            <w:noWrap w:val="0"/>
            <w:vAlign w:val="center"/>
          </w:tcPr>
          <w:p>
            <w:pPr>
              <w:widowControl/>
              <w:jc w:val="center"/>
              <w:textAlignment w:val="center"/>
              <w:rPr>
                <w:color w:val="auto"/>
                <w:kern w:val="0"/>
                <w:sz w:val="18"/>
                <w:szCs w:val="18"/>
                <w:highlight w:val="none"/>
                <w:lang w:bidi="ar"/>
              </w:rPr>
            </w:pPr>
          </w:p>
        </w:tc>
        <w:tc>
          <w:tcPr>
            <w:tcW w:w="1892" w:type="dxa"/>
            <w:noWrap w:val="0"/>
            <w:vAlign w:val="center"/>
          </w:tcPr>
          <w:p>
            <w:pPr>
              <w:widowControl/>
              <w:jc w:val="center"/>
              <w:textAlignment w:val="center"/>
              <w:rPr>
                <w:color w:val="auto"/>
                <w:kern w:val="0"/>
                <w:sz w:val="18"/>
                <w:szCs w:val="18"/>
                <w:highlight w:val="none"/>
                <w:lang w:bidi="ar"/>
              </w:rPr>
            </w:pPr>
          </w:p>
        </w:tc>
        <w:tc>
          <w:tcPr>
            <w:tcW w:w="2089" w:type="dxa"/>
            <w:noWrap w:val="0"/>
            <w:vAlign w:val="center"/>
          </w:tcPr>
          <w:p>
            <w:pPr>
              <w:widowControl/>
              <w:jc w:val="center"/>
              <w:textAlignment w:val="center"/>
              <w:rPr>
                <w:color w:val="auto"/>
                <w:kern w:val="0"/>
                <w:sz w:val="18"/>
                <w:szCs w:val="18"/>
                <w:highlight w:val="none"/>
                <w:lang w:bidi="ar"/>
              </w:rPr>
            </w:pPr>
          </w:p>
        </w:tc>
        <w:tc>
          <w:tcPr>
            <w:tcW w:w="668" w:type="dxa"/>
            <w:noWrap w:val="0"/>
            <w:vAlign w:val="center"/>
          </w:tcPr>
          <w:p>
            <w:pPr>
              <w:widowControl/>
              <w:jc w:val="center"/>
              <w:textAlignment w:val="center"/>
              <w:rPr>
                <w:color w:val="auto"/>
                <w:kern w:val="0"/>
                <w:sz w:val="18"/>
                <w:szCs w:val="18"/>
                <w:highlight w:val="none"/>
                <w:lang w:bidi="ar"/>
              </w:rPr>
            </w:pPr>
          </w:p>
        </w:tc>
        <w:tc>
          <w:tcPr>
            <w:tcW w:w="2364" w:type="dxa"/>
            <w:noWrap w:val="0"/>
            <w:vAlign w:val="center"/>
          </w:tcPr>
          <w:p>
            <w:pPr>
              <w:widowControl/>
              <w:jc w:val="center"/>
              <w:textAlignment w:val="center"/>
              <w:rPr>
                <w:color w:val="auto"/>
                <w:kern w:val="0"/>
                <w:sz w:val="18"/>
                <w:szCs w:val="18"/>
                <w:highlight w:val="none"/>
                <w:lang w:bidi="ar"/>
              </w:rPr>
            </w:pPr>
          </w:p>
        </w:tc>
        <w:tc>
          <w:tcPr>
            <w:tcW w:w="760" w:type="dxa"/>
            <w:noWrap w:val="0"/>
            <w:vAlign w:val="top"/>
          </w:tcPr>
          <w:p>
            <w:pPr>
              <w:jc w:val="center"/>
              <w:rPr>
                <w:rFonts w:ascii="宋体" w:hAnsi="宋体" w:eastAsia="宋体" w:cs="宋体"/>
                <w:bCs/>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7" w:type="dxa"/>
            <w:noWrap w:val="0"/>
            <w:vAlign w:val="center"/>
          </w:tcPr>
          <w:p>
            <w:pPr>
              <w:widowControl/>
              <w:jc w:val="center"/>
              <w:textAlignment w:val="center"/>
              <w:rPr>
                <w:color w:val="auto"/>
                <w:kern w:val="0"/>
                <w:sz w:val="18"/>
                <w:szCs w:val="18"/>
                <w:highlight w:val="none"/>
                <w:lang w:bidi="ar"/>
              </w:rPr>
            </w:pPr>
          </w:p>
        </w:tc>
        <w:tc>
          <w:tcPr>
            <w:tcW w:w="1892" w:type="dxa"/>
            <w:noWrap w:val="0"/>
            <w:vAlign w:val="center"/>
          </w:tcPr>
          <w:p>
            <w:pPr>
              <w:widowControl/>
              <w:jc w:val="center"/>
              <w:textAlignment w:val="center"/>
              <w:rPr>
                <w:color w:val="auto"/>
                <w:kern w:val="0"/>
                <w:sz w:val="18"/>
                <w:szCs w:val="18"/>
                <w:highlight w:val="none"/>
                <w:lang w:bidi="ar"/>
              </w:rPr>
            </w:pPr>
          </w:p>
        </w:tc>
        <w:tc>
          <w:tcPr>
            <w:tcW w:w="2089" w:type="dxa"/>
            <w:noWrap w:val="0"/>
            <w:vAlign w:val="center"/>
          </w:tcPr>
          <w:p>
            <w:pPr>
              <w:widowControl/>
              <w:jc w:val="center"/>
              <w:textAlignment w:val="center"/>
              <w:rPr>
                <w:color w:val="auto"/>
                <w:kern w:val="0"/>
                <w:sz w:val="18"/>
                <w:szCs w:val="18"/>
                <w:highlight w:val="none"/>
                <w:lang w:bidi="ar"/>
              </w:rPr>
            </w:pPr>
          </w:p>
        </w:tc>
        <w:tc>
          <w:tcPr>
            <w:tcW w:w="668" w:type="dxa"/>
            <w:noWrap w:val="0"/>
            <w:vAlign w:val="center"/>
          </w:tcPr>
          <w:p>
            <w:pPr>
              <w:widowControl/>
              <w:jc w:val="center"/>
              <w:textAlignment w:val="center"/>
              <w:rPr>
                <w:color w:val="auto"/>
                <w:kern w:val="0"/>
                <w:sz w:val="18"/>
                <w:szCs w:val="18"/>
                <w:highlight w:val="none"/>
                <w:lang w:bidi="ar"/>
              </w:rPr>
            </w:pPr>
          </w:p>
        </w:tc>
        <w:tc>
          <w:tcPr>
            <w:tcW w:w="2364" w:type="dxa"/>
            <w:noWrap w:val="0"/>
            <w:vAlign w:val="center"/>
          </w:tcPr>
          <w:p>
            <w:pPr>
              <w:widowControl/>
              <w:jc w:val="center"/>
              <w:textAlignment w:val="center"/>
              <w:rPr>
                <w:color w:val="auto"/>
                <w:kern w:val="0"/>
                <w:sz w:val="18"/>
                <w:szCs w:val="18"/>
                <w:highlight w:val="none"/>
                <w:lang w:bidi="ar"/>
              </w:rPr>
            </w:pPr>
          </w:p>
        </w:tc>
        <w:tc>
          <w:tcPr>
            <w:tcW w:w="760" w:type="dxa"/>
            <w:noWrap w:val="0"/>
            <w:vAlign w:val="top"/>
          </w:tcPr>
          <w:p>
            <w:pPr>
              <w:jc w:val="center"/>
              <w:rPr>
                <w:rFonts w:ascii="宋体" w:hAnsi="宋体" w:eastAsia="宋体" w:cs="宋体"/>
                <w:bCs/>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37" w:type="dxa"/>
            <w:noWrap w:val="0"/>
            <w:vAlign w:val="center"/>
          </w:tcPr>
          <w:p>
            <w:pPr>
              <w:widowControl/>
              <w:jc w:val="center"/>
              <w:textAlignment w:val="center"/>
              <w:rPr>
                <w:color w:val="auto"/>
                <w:kern w:val="0"/>
                <w:sz w:val="18"/>
                <w:szCs w:val="18"/>
                <w:highlight w:val="none"/>
                <w:lang w:bidi="ar"/>
              </w:rPr>
            </w:pPr>
          </w:p>
        </w:tc>
        <w:tc>
          <w:tcPr>
            <w:tcW w:w="1892" w:type="dxa"/>
            <w:noWrap w:val="0"/>
            <w:vAlign w:val="center"/>
          </w:tcPr>
          <w:p>
            <w:pPr>
              <w:widowControl/>
              <w:jc w:val="center"/>
              <w:textAlignment w:val="center"/>
              <w:rPr>
                <w:color w:val="auto"/>
                <w:kern w:val="0"/>
                <w:sz w:val="18"/>
                <w:szCs w:val="18"/>
                <w:highlight w:val="none"/>
                <w:lang w:bidi="ar"/>
              </w:rPr>
            </w:pPr>
          </w:p>
        </w:tc>
        <w:tc>
          <w:tcPr>
            <w:tcW w:w="2089" w:type="dxa"/>
            <w:noWrap w:val="0"/>
            <w:vAlign w:val="center"/>
          </w:tcPr>
          <w:p>
            <w:pPr>
              <w:widowControl/>
              <w:jc w:val="center"/>
              <w:textAlignment w:val="center"/>
              <w:rPr>
                <w:color w:val="auto"/>
                <w:kern w:val="0"/>
                <w:sz w:val="18"/>
                <w:szCs w:val="18"/>
                <w:highlight w:val="none"/>
                <w:lang w:bidi="ar"/>
              </w:rPr>
            </w:pPr>
          </w:p>
        </w:tc>
        <w:tc>
          <w:tcPr>
            <w:tcW w:w="668" w:type="dxa"/>
            <w:noWrap w:val="0"/>
            <w:vAlign w:val="center"/>
          </w:tcPr>
          <w:p>
            <w:pPr>
              <w:widowControl/>
              <w:jc w:val="center"/>
              <w:textAlignment w:val="center"/>
              <w:rPr>
                <w:color w:val="auto"/>
                <w:kern w:val="0"/>
                <w:sz w:val="18"/>
                <w:szCs w:val="18"/>
                <w:highlight w:val="none"/>
                <w:lang w:bidi="ar"/>
              </w:rPr>
            </w:pPr>
          </w:p>
        </w:tc>
        <w:tc>
          <w:tcPr>
            <w:tcW w:w="2364" w:type="dxa"/>
            <w:noWrap w:val="0"/>
            <w:vAlign w:val="center"/>
          </w:tcPr>
          <w:p>
            <w:pPr>
              <w:widowControl/>
              <w:jc w:val="center"/>
              <w:textAlignment w:val="center"/>
              <w:rPr>
                <w:color w:val="auto"/>
                <w:kern w:val="0"/>
                <w:sz w:val="18"/>
                <w:szCs w:val="18"/>
                <w:highlight w:val="none"/>
                <w:lang w:bidi="ar"/>
              </w:rPr>
            </w:pPr>
          </w:p>
        </w:tc>
        <w:tc>
          <w:tcPr>
            <w:tcW w:w="760" w:type="dxa"/>
            <w:noWrap w:val="0"/>
            <w:vAlign w:val="top"/>
          </w:tcPr>
          <w:p>
            <w:pPr>
              <w:jc w:val="center"/>
              <w:rPr>
                <w:rFonts w:ascii="宋体" w:hAnsi="宋体" w:eastAsia="宋体" w:cs="宋体"/>
                <w:bCs/>
                <w:color w:val="auto"/>
                <w:kern w:val="0"/>
                <w:sz w:val="20"/>
                <w:szCs w:val="20"/>
                <w:highlight w:val="none"/>
              </w:rPr>
            </w:pPr>
          </w:p>
        </w:tc>
      </w:tr>
    </w:tbl>
    <w:p>
      <w:pPr>
        <w:spacing w:line="460" w:lineRule="exact"/>
        <w:rPr>
          <w:rFonts w:hint="eastAsia" w:ascii="仿宋" w:hAnsi="仿宋" w:eastAsia="仿宋" w:cs="仿宋"/>
          <w:color w:val="auto"/>
          <w:sz w:val="30"/>
          <w:szCs w:val="30"/>
          <w:highlight w:val="none"/>
        </w:rPr>
      </w:pPr>
    </w:p>
    <w:p>
      <w:pPr>
        <w:spacing w:line="460" w:lineRule="exact"/>
        <w:rPr>
          <w:rFonts w:hint="eastAsia" w:ascii="仿宋" w:hAnsi="仿宋" w:eastAsia="仿宋" w:cs="仿宋"/>
          <w:color w:val="auto"/>
          <w:sz w:val="30"/>
          <w:szCs w:val="30"/>
          <w:highlight w:val="none"/>
        </w:rPr>
      </w:pPr>
    </w:p>
    <w:p>
      <w:pPr>
        <w:spacing w:line="460" w:lineRule="exact"/>
        <w:outlineLvl w:val="1"/>
        <w:rPr>
          <w:rFonts w:hint="eastAsia" w:ascii="仿宋" w:hAnsi="仿宋" w:eastAsia="仿宋" w:cs="仿宋"/>
          <w:color w:val="auto"/>
          <w:sz w:val="30"/>
          <w:szCs w:val="30"/>
          <w:highlight w:val="none"/>
        </w:rPr>
      </w:pPr>
    </w:p>
    <w:p>
      <w:pPr>
        <w:spacing w:line="460" w:lineRule="exact"/>
        <w:outlineLvl w:val="1"/>
        <w:rPr>
          <w:rFonts w:hint="eastAsia" w:ascii="仿宋" w:hAnsi="仿宋" w:eastAsia="仿宋" w:cs="仿宋"/>
          <w:color w:val="auto"/>
          <w:sz w:val="30"/>
          <w:szCs w:val="30"/>
          <w:highlight w:val="none"/>
        </w:rPr>
      </w:pPr>
    </w:p>
    <w:p>
      <w:pPr>
        <w:spacing w:line="460" w:lineRule="exact"/>
        <w:outlineLvl w:val="1"/>
        <w:rPr>
          <w:rFonts w:hint="eastAsia" w:ascii="仿宋" w:hAnsi="仿宋" w:eastAsia="仿宋" w:cs="仿宋"/>
          <w:color w:val="auto"/>
          <w:sz w:val="30"/>
          <w:szCs w:val="30"/>
          <w:highlight w:val="none"/>
        </w:rPr>
      </w:pPr>
    </w:p>
    <w:p>
      <w:pPr>
        <w:rPr>
          <w:rFonts w:hint="eastAsia" w:ascii="仿宋" w:hAnsi="仿宋" w:eastAsia="仿宋" w:cs="仿宋"/>
          <w:b/>
          <w:bCs/>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b/>
          <w:bCs/>
          <w:color w:val="auto"/>
          <w:sz w:val="30"/>
          <w:szCs w:val="30"/>
          <w:highlight w:val="none"/>
        </w:rPr>
        <w:t>附件四：维护项目检验规格和验收标准</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对运维工作的考核是为了确保温州市本级公共安全视频</w:t>
      </w:r>
      <w:r>
        <w:rPr>
          <w:rFonts w:hint="eastAsia" w:ascii="仿宋" w:hAnsi="仿宋" w:eastAsia="仿宋" w:cs="仿宋"/>
          <w:color w:val="auto"/>
          <w:sz w:val="24"/>
          <w:szCs w:val="24"/>
          <w:highlight w:val="none"/>
          <w:lang w:val="en-US" w:eastAsia="zh-CN"/>
        </w:rPr>
        <w:t>监控</w:t>
      </w:r>
      <w:r>
        <w:rPr>
          <w:rFonts w:hint="eastAsia" w:ascii="仿宋" w:hAnsi="仿宋" w:eastAsia="仿宋" w:cs="仿宋"/>
          <w:color w:val="auto"/>
          <w:sz w:val="24"/>
          <w:szCs w:val="24"/>
          <w:highlight w:val="none"/>
        </w:rPr>
        <w:t>系统运行情况满足上级部门考核要求并符合公安日常业务实战化开展的需要，同时延长系统使用寿命降低后续新建项目建设投入。通过设置科学合理的考核指标体系，使运维工作过程中的约束管理措施有效，考核督查结果有力。</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运维技术考核指标</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业主单位通过视频监控网管平台发现业务点发生故障向运维服务方提出申告时，运维服务方承诺：经故障判断后确认是系统平台（包括存储，下同）和光纤链路故障（确认时间为申告后2小时），在4小时内恢复；确认是前端设备如摄像机被盗或损坏、线缆被剪断等故障，在12小时内恢复。如超过承诺恢复时间，每超过1小时运维服务方将减免该业务点当月使用费的1%直至该业务点恢复为止。运维服务方承诺每个业务点每月的累计故障时间不超过36小时，超过36小时的，每超过1小时运维服务方将减免该业务点当月使用费的2%直至该业务点恢复为止（未恢复前，减免费用将一直累加，不受单个点位的月使用费或年使用费限制）。</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业主单位通过卡口网管平台发现业务点发生故障向运维服务方提出申告时，运维服务方承诺：经故障判断后确认是系统平台（包括存储，下同）和光纤链路故障（确认时间为申告后2小时），在4小时内恢复；确认是前端设备如抓拍摄像机抓拍角度不佳、被盗或损坏、线缆被剪断等故障，在24小时内恢复。如超过承诺恢复时间，每超过24小时运维服务方将减免该业务点当月使用费的1%直至该业务点恢复为止.</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业主单位对运维服务方的平台不能正常运行或因平台技术维护原因造成图像数据丢失有权要求运维服务方及时改进和承担违约责任。如遇运维服务方平台技术升级、承载网链路割接等，并在征得业主单位同意的基础上，运维服务方应提前48小时通知业主单位，说明可能造成的影响和范围，并确保每次平台技术升级和承载网链路割接在6小时内完成，在此时间内所造成的图像数据丢失，运维服务方不承担违约责任。如超过6小时，每超过1小时（不满1小时按1小时计算，下同）运维服务方将被扣除被影响范围内当月使用费的1%直至被影响范围恢复为止。</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4、运维技术考核指标</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（1）基础信息校验合格率不低于100％，每低1％扣除月服务费的5％；</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（2）视频监控点位、卡口抓拍设备、人脸抓拍机月出图、录像完好率不低于98％，每低1％扣除月服务费的5％；车载出图率不低于98％，每低1％扣除月服务费的5％；</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卡口抓拍率白天不低于99%，每低1％扣除月服务费的5％，抓拍率晚上不低于95%，每低1％扣除月服务费的5％；识别率白天不低于95%，每低1％扣除月服务费的5％；晚上不低于90%，每低1％扣除月服务费的5％；人脸（环保）识别率不低于95%，每低1％扣除月服务费的5％；</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人脸抓拍机、车载数据接入率不低于100％，每低1％扣除月服务费的5％；人脸抓拍机、车载建档率不低于100％，每低1％扣除月服务费的5％，人脸抓拍机、车载画面质量不低于98%，每低1％扣除月服务费的5％；</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（5）专网链路完好率不低于99%，每低1％扣除月服务费的5％；</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（6）以上服务费扣款不重复计算。</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（7）其他非系统软硬件自身原因导致无法达到指标且可以不纳入考核范围的情况由双方另行协商。</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运维服务方</w:t>
      </w:r>
      <w:r>
        <w:rPr>
          <w:rFonts w:hint="eastAsia" w:ascii="仿宋" w:hAnsi="仿宋" w:eastAsia="仿宋" w:cs="仿宋"/>
          <w:color w:val="auto"/>
          <w:sz w:val="24"/>
          <w:szCs w:val="24"/>
          <w:highlight w:val="none"/>
          <w:lang w:val="en-US" w:eastAsia="zh-CN"/>
        </w:rPr>
        <w:t>根据招投标文件要求，开展培训工作并提供相关培训资料。</w:t>
      </w: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spacing w:line="460" w:lineRule="exact"/>
        <w:ind w:firstLine="600" w:firstLineChars="200"/>
        <w:rPr>
          <w:rFonts w:hint="eastAsia" w:ascii="仿宋" w:hAnsi="仿宋" w:eastAsia="仿宋" w:cs="仿宋"/>
          <w:color w:val="auto"/>
          <w:sz w:val="30"/>
          <w:szCs w:val="30"/>
          <w:highlight w:val="none"/>
        </w:rPr>
      </w:pP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b/>
          <w:bCs/>
          <w:color w:val="auto"/>
          <w:sz w:val="30"/>
          <w:szCs w:val="30"/>
          <w:highlight w:val="none"/>
        </w:rPr>
        <w:t>附件五：项目管理小组成员</w:t>
      </w:r>
      <w:r>
        <w:rPr>
          <w:rFonts w:hint="eastAsia" w:ascii="仿宋" w:hAnsi="仿宋" w:eastAsia="仿宋" w:cs="仿宋"/>
          <w:color w:val="auto"/>
          <w:sz w:val="30"/>
          <w:szCs w:val="30"/>
          <w:highlight w:val="none"/>
        </w:rPr>
        <w:t xml:space="preserve"> </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甲方成员：                    乙方成员：</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姓名：                        姓名：</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职务：                        职务：</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负责内容：                    负责内容：</w:t>
      </w:r>
    </w:p>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                    联系方式：</w:t>
      </w:r>
    </w:p>
    <w:p>
      <w:pPr>
        <w:spacing w:line="460" w:lineRule="exact"/>
        <w:outlineLvl w:val="1"/>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b/>
          <w:bCs/>
          <w:color w:val="auto"/>
          <w:sz w:val="30"/>
          <w:szCs w:val="30"/>
          <w:highlight w:val="none"/>
        </w:rPr>
        <w:t>附件六：</w:t>
      </w:r>
    </w:p>
    <w:p>
      <w:pPr>
        <w:spacing w:line="600" w:lineRule="exact"/>
        <w:ind w:left="0" w:leftChars="0" w:firstLine="0" w:firstLineChars="0"/>
        <w:jc w:val="center"/>
        <w:rPr>
          <w:rFonts w:hint="eastAsia" w:ascii="仿宋" w:hAnsi="仿宋" w:eastAsia="仿宋" w:cs="仿宋"/>
          <w:b/>
          <w:bCs w:val="0"/>
          <w:color w:val="auto"/>
          <w:sz w:val="36"/>
          <w:szCs w:val="36"/>
          <w:highlight w:val="none"/>
        </w:rPr>
      </w:pPr>
      <w:r>
        <w:rPr>
          <w:rFonts w:hint="eastAsia" w:ascii="仿宋" w:hAnsi="仿宋" w:eastAsia="仿宋" w:cs="仿宋"/>
          <w:b/>
          <w:bCs w:val="0"/>
          <w:color w:val="auto"/>
          <w:sz w:val="36"/>
          <w:szCs w:val="36"/>
          <w:highlight w:val="none"/>
          <w:lang w:val="en-US" w:eastAsia="zh-CN"/>
        </w:rPr>
        <w:t>温州市公安局</w:t>
      </w:r>
      <w:r>
        <w:rPr>
          <w:rFonts w:hint="eastAsia" w:ascii="仿宋" w:hAnsi="仿宋" w:eastAsia="仿宋" w:cs="仿宋"/>
          <w:b/>
          <w:bCs w:val="0"/>
          <w:color w:val="auto"/>
          <w:sz w:val="36"/>
          <w:szCs w:val="36"/>
          <w:highlight w:val="none"/>
        </w:rPr>
        <w:t>建设运维项目</w:t>
      </w:r>
    </w:p>
    <w:p>
      <w:pPr>
        <w:spacing w:line="600" w:lineRule="exact"/>
        <w:ind w:left="0" w:leftChars="0" w:firstLine="0" w:firstLineChars="0"/>
        <w:jc w:val="center"/>
        <w:rPr>
          <w:rFonts w:hint="eastAsia" w:ascii="仿宋" w:hAnsi="仿宋" w:eastAsia="仿宋" w:cs="仿宋"/>
          <w:b/>
          <w:bCs w:val="0"/>
          <w:color w:val="auto"/>
          <w:sz w:val="36"/>
          <w:szCs w:val="36"/>
          <w:highlight w:val="none"/>
        </w:rPr>
      </w:pPr>
      <w:r>
        <w:rPr>
          <w:rFonts w:hint="eastAsia" w:ascii="仿宋" w:hAnsi="仿宋" w:eastAsia="仿宋" w:cs="仿宋"/>
          <w:b/>
          <w:bCs w:val="0"/>
          <w:color w:val="auto"/>
          <w:sz w:val="36"/>
          <w:szCs w:val="36"/>
          <w:highlight w:val="none"/>
        </w:rPr>
        <w:t>安全保密协议</w:t>
      </w:r>
    </w:p>
    <w:p>
      <w:pPr>
        <w:rPr>
          <w:rFonts w:eastAsia="仿宋_GB2312"/>
          <w:color w:val="auto"/>
          <w:sz w:val="30"/>
          <w:szCs w:val="30"/>
          <w:highlight w:val="none"/>
        </w:rPr>
      </w:pPr>
    </w:p>
    <w:p>
      <w:pPr>
        <w:keepNext w:val="0"/>
        <w:keepLines w:val="0"/>
        <w:pageBreakBefore w:val="0"/>
        <w:kinsoku/>
        <w:wordWrap/>
        <w:overflowPunct/>
        <w:topLinePunct w:val="0"/>
        <w:bidi w:val="0"/>
        <w:adjustRightInd w:val="0"/>
        <w:snapToGrid/>
        <w:spacing w:line="460" w:lineRule="exact"/>
        <w:textAlignment w:val="auto"/>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rPr>
        <w:t xml:space="preserve">甲方（项目责任单位）： </w:t>
      </w:r>
      <w:r>
        <w:rPr>
          <w:rFonts w:hint="eastAsia" w:ascii="仿宋" w:hAnsi="仿宋" w:eastAsia="仿宋" w:cs="仿宋"/>
          <w:color w:val="auto"/>
          <w:sz w:val="24"/>
          <w:szCs w:val="24"/>
          <w:highlight w:val="none"/>
          <w:u w:val="single"/>
          <w:lang w:val="en-US" w:eastAsia="zh-CN"/>
        </w:rPr>
        <w:t xml:space="preserve">温州市公安局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（部门）</w:t>
      </w:r>
      <w:r>
        <w:rPr>
          <w:rFonts w:hint="eastAsia" w:ascii="仿宋" w:hAnsi="仿宋" w:eastAsia="仿宋" w:cs="仿宋"/>
          <w:color w:val="auto"/>
          <w:sz w:val="24"/>
          <w:szCs w:val="24"/>
          <w:highlight w:val="none"/>
          <w:u w:val="none"/>
          <w:lang w:val="en-US" w:eastAsia="zh-CN"/>
        </w:rPr>
        <w:t xml:space="preserve">   </w:t>
      </w:r>
    </w:p>
    <w:p>
      <w:pPr>
        <w:keepNext w:val="0"/>
        <w:keepLines w:val="0"/>
        <w:pageBreakBefore w:val="0"/>
        <w:kinsoku/>
        <w:wordWrap/>
        <w:overflowPunct/>
        <w:topLinePunct w:val="0"/>
        <w:bidi w:val="0"/>
        <w:adjustRightInd w:val="0"/>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乙方（项目建设运维单位）：</w:t>
      </w:r>
      <w:r>
        <w:rPr>
          <w:rFonts w:hint="eastAsia" w:ascii="仿宋" w:hAnsi="仿宋" w:eastAsia="仿宋" w:cs="仿宋"/>
          <w:color w:val="auto"/>
          <w:sz w:val="24"/>
          <w:szCs w:val="24"/>
          <w:highlight w:val="none"/>
          <w:u w:val="single"/>
        </w:rPr>
        <w:t xml:space="preserve">                  公司</w:t>
      </w:r>
    </w:p>
    <w:p>
      <w:pPr>
        <w:pStyle w:val="59"/>
        <w:keepNext w:val="0"/>
        <w:keepLines w:val="0"/>
        <w:pageBreakBefore w:val="0"/>
        <w:kinsoku/>
        <w:wordWrap/>
        <w:overflowPunct/>
        <w:topLinePunct w:val="0"/>
        <w:bidi w:val="0"/>
        <w:adjustRightInd w:val="0"/>
        <w:snapToGrid/>
        <w:spacing w:before="0" w:beforeAutospacing="0" w:after="0" w:afterAutospacing="0" w:line="460" w:lineRule="exact"/>
        <w:ind w:firstLine="787"/>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为做好“</w:t>
      </w:r>
      <w:r>
        <w:rPr>
          <w:rFonts w:hint="eastAsia" w:ascii="仿宋" w:hAnsi="仿宋" w:eastAsia="仿宋" w:cs="仿宋"/>
          <w:color w:val="auto"/>
          <w:sz w:val="24"/>
          <w:szCs w:val="24"/>
          <w:highlight w:val="none"/>
          <w:u w:val="single"/>
        </w:rPr>
        <w:t xml:space="preserve">                    项目</w:t>
      </w:r>
      <w:r>
        <w:rPr>
          <w:rFonts w:hint="eastAsia" w:ascii="仿宋" w:hAnsi="仿宋" w:eastAsia="仿宋" w:cs="仿宋"/>
          <w:color w:val="auto"/>
          <w:sz w:val="24"/>
          <w:szCs w:val="24"/>
          <w:highlight w:val="none"/>
        </w:rPr>
        <w:t>”（以下简称项目）的安全保密工作，确保国家秘密和**工作秘密的安全，根据《中华人民共和国保守国家秘密法》《中华人民共和国数据安全法》《中华人民共和国网络安全法》，公安部、国家保密局关于《公安工作国家秘密范围的规定》（公通字〔2019〕3号）《公安机关**工作秘密范围的规定》（公通字〔2019〕2号）等相关文件规定，甲乙双方就本项目有关安全保密事宜达成如下协议：</w:t>
      </w:r>
    </w:p>
    <w:p>
      <w:pPr>
        <w:keepNext w:val="0"/>
        <w:keepLines w:val="0"/>
        <w:pageBreakBefore w:val="0"/>
        <w:kinsoku/>
        <w:wordWrap/>
        <w:overflowPunct/>
        <w:topLinePunct w:val="0"/>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一、本项目涉密等级为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w:t>
      </w:r>
      <w:r>
        <w:rPr>
          <w:rFonts w:hint="eastAsia" w:ascii="仿宋" w:hAnsi="仿宋" w:eastAsia="仿宋" w:cs="仿宋"/>
          <w:color w:val="auto"/>
          <w:sz w:val="24"/>
          <w:szCs w:val="24"/>
          <w:highlight w:val="none"/>
        </w:rPr>
        <w:t>保密内容包括：</w:t>
      </w:r>
      <w:r>
        <w:rPr>
          <w:rFonts w:hint="eastAsia" w:ascii="仿宋" w:hAnsi="仿宋" w:eastAsia="仿宋" w:cs="仿宋"/>
          <w:color w:val="auto"/>
          <w:sz w:val="24"/>
          <w:szCs w:val="24"/>
          <w:highlight w:val="none"/>
          <w:u w:val="single"/>
        </w:rPr>
        <w:t>本项目的各类信息数据、文件资料，以及公安内部网络信息和工作中接触到的其他需保密的信息</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none"/>
        </w:rPr>
        <w:t>（下划线部分，系涉密涉敏项目需视情写明的内容，且需根据具体情况作调整）</w:t>
      </w:r>
    </w:p>
    <w:p>
      <w:pPr>
        <w:keepNext w:val="0"/>
        <w:keepLines w:val="0"/>
        <w:pageBreakBefore w:val="0"/>
        <w:kinsoku/>
        <w:wordWrap/>
        <w:overflowPunct/>
        <w:topLinePunct w:val="0"/>
        <w:bidi w:val="0"/>
        <w:adjustRightInd w:val="0"/>
        <w:snapToGrid/>
        <w:spacing w:line="460" w:lineRule="exact"/>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二、乙方应明确本项目的安全保密管理责任体系，公司法定代表人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（姓名）为本项目安全保密管理第一责任人，具体承担项目事项的乙方部门主要负责人</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（姓名）</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（职务）为本项目的安全保密管理直接责任人。</w:t>
      </w:r>
    </w:p>
    <w:p>
      <w:pPr>
        <w:keepNext w:val="0"/>
        <w:keepLines w:val="0"/>
        <w:pageBreakBefore w:val="0"/>
        <w:kinsoku/>
        <w:wordWrap/>
        <w:overflowPunct/>
        <w:topLinePunct w:val="0"/>
        <w:bidi w:val="0"/>
        <w:adjustRightInd w:val="0"/>
        <w:snapToGrid/>
        <w:spacing w:line="46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三、乙方应遵守国家保密法律法规和公安机关有关信息化合作安全保密规定要求，履行安全保密义务与责任，并按年度提交本项目安全保密工作情况报告。</w:t>
      </w:r>
    </w:p>
    <w:p>
      <w:pPr>
        <w:keepNext w:val="0"/>
        <w:keepLines w:val="0"/>
        <w:pageBreakBefore w:val="0"/>
        <w:kinsoku/>
        <w:wordWrap/>
        <w:overflowPunct/>
        <w:topLinePunct w:val="0"/>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四、甲方应当加强对乙方及参与本项目工作人员的安全保密监管和教育，及时督促乙方整改安全保密问题隐患。</w:t>
      </w:r>
    </w:p>
    <w:p>
      <w:pPr>
        <w:keepNext w:val="0"/>
        <w:keepLines w:val="0"/>
        <w:pageBreakBefore w:val="0"/>
        <w:tabs>
          <w:tab w:val="left" w:pos="360"/>
        </w:tabs>
        <w:kinsoku/>
        <w:wordWrap/>
        <w:overflowPunct/>
        <w:topLinePunct w:val="0"/>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五、乙方应派遣符合甲方要求的工作人员参加项目工作，对项目工作人员登记造册，并承担法律上的担保责任。</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六、乙方应当建立安全保密管理制度，认真做好本项目建设运维期间的安全保密管理工作。</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（一）工作人员管理方面</w:t>
      </w:r>
    </w:p>
    <w:p>
      <w:pPr>
        <w:keepNext w:val="0"/>
        <w:keepLines w:val="0"/>
        <w:pageBreakBefore w:val="0"/>
        <w:kinsoku/>
        <w:wordWrap/>
        <w:overflowPunct/>
        <w:topLinePunct w:val="0"/>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1.常态化开展工作人员的安全保密教育培训、安全保密检查、安全保密提醒谈话和保密岗位考核，掌握现实表现、思想动态，增强其安全保密法纪观念、责任意识、知识技能；</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2.集中登记保管工作人员的出国（境）证件，同时应在出国（境）前15个工作日报甲、监督方同意；</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3.工作人员中途更换（需经甲方同意）或因工作完成而离岗的，要落实账号注销、授权取消、证件、信息设备、文件资料等清退，并做好保密提醒谈话、签订离岗承诺书等工作；</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b/>
          <w:bCs/>
          <w:color w:val="auto"/>
          <w:sz w:val="24"/>
          <w:szCs w:val="24"/>
          <w:highlight w:val="none"/>
          <w:u w:val="single"/>
        </w:rPr>
      </w:pPr>
      <w:r>
        <w:rPr>
          <w:rFonts w:hint="eastAsia" w:ascii="仿宋" w:hAnsi="仿宋" w:eastAsia="仿宋" w:cs="仿宋"/>
          <w:b w:val="0"/>
          <w:bCs w:val="0"/>
          <w:color w:val="auto"/>
          <w:sz w:val="24"/>
          <w:szCs w:val="24"/>
          <w:highlight w:val="none"/>
          <w:u w:val="single"/>
        </w:rPr>
        <w:t>4.参与涉密项目的工作人员，应为已向保密行政管理部门报备的涉密人员</w:t>
      </w:r>
      <w:r>
        <w:rPr>
          <w:rFonts w:hint="eastAsia" w:ascii="仿宋" w:hAnsi="仿宋" w:eastAsia="仿宋" w:cs="仿宋"/>
          <w:b/>
          <w:bCs/>
          <w:color w:val="auto"/>
          <w:sz w:val="24"/>
          <w:szCs w:val="24"/>
          <w:highlight w:val="none"/>
          <w:u w:val="single"/>
        </w:rPr>
        <w:t>。（本条系涉密项目的要求）</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5.涉密项目应加强离岗的工作人员脱密期管理。（本条系涉密项目的要求）     </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（二）场所载体管理方面</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1.工作人员应在甲方指定的工作场所和设备环境下开展工作，使用甲方提供或指定的计算机等设备；未经甲方许可，不得以任何形式将公安信息、数据等传输或复制到其它计算机、信息设备、存储介质中。</w:t>
      </w:r>
    </w:p>
    <w:p>
      <w:pPr>
        <w:keepNext w:val="0"/>
        <w:keepLines w:val="0"/>
        <w:pageBreakBefore w:val="0"/>
        <w:tabs>
          <w:tab w:val="left" w:pos="360"/>
        </w:tabs>
        <w:kinsoku/>
        <w:wordWrap/>
        <w:overflowPunct/>
        <w:topLinePunct w:val="0"/>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未经甲方批准，不得擅自将计算机、信息设备、存储介质等带入甲方工作场所或者接入公安内部网络，确因工作需要经甲方审批而联入公安内部网络的计算机设备，应严格按照公安内部网络安全管理的要求，严禁“一机两用”，并不得擅自带离甲方工作场所。</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（三）网络及数据安全管理方面</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1.不得使用无正规版权、无安全保障的开发工具、基础软件等，不得交付留有系统后门或带有恶意代码的应用软件，不得侵犯公安机关知识产权，不得隐匿、篡改或拒不提供开发文档、软件源代码；</w:t>
      </w:r>
      <w:r>
        <w:rPr>
          <w:rFonts w:hint="eastAsia" w:ascii="仿宋" w:hAnsi="仿宋" w:eastAsia="仿宋" w:cs="仿宋"/>
          <w:color w:val="auto"/>
          <w:sz w:val="24"/>
          <w:szCs w:val="24"/>
          <w:highlight w:val="none"/>
          <w:u w:val="single"/>
        </w:rPr>
        <w:t>（本条系科技建设运维项目的要求）</w:t>
      </w:r>
    </w:p>
    <w:p>
      <w:pPr>
        <w:keepNext w:val="0"/>
        <w:keepLines w:val="0"/>
        <w:pageBreakBefore w:val="0"/>
        <w:kinsoku/>
        <w:wordWrap/>
        <w:overflowPunct/>
        <w:topLinePunct w:val="0"/>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得在互联网环境下测试开发公安信息系统，不得以任何方式将公安信息、数据提供给第三方或用于其他商业目的，同时应根据项目进展，及时主动向甲方清退文件资料，当甲方要求乙方交回文件资料时，乙方应当立即交回，不以任何形式保留或擅自处理，不得将项目的具体内容或案例信息作为公司业绩对外宣传；</w:t>
      </w:r>
    </w:p>
    <w:p>
      <w:pPr>
        <w:keepNext w:val="0"/>
        <w:keepLines w:val="0"/>
        <w:pageBreakBefore w:val="0"/>
        <w:kinsoku/>
        <w:wordWrap/>
        <w:overflowPunct/>
        <w:topLinePunct w:val="0"/>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3.不得通过公共社交软件、通联工具谈论或处理、传输可能涉密涉敏的本项目情况；</w:t>
      </w:r>
    </w:p>
    <w:p>
      <w:pPr>
        <w:pStyle w:val="2"/>
        <w:keepNext w:val="0"/>
        <w:keepLines w:val="0"/>
        <w:pageBreakBefore w:val="0"/>
        <w:kinsoku/>
        <w:wordWrap/>
        <w:overflowPunct/>
        <w:topLinePunct w:val="0"/>
        <w:bidi w:val="0"/>
        <w:adjustRightInd w:val="0"/>
        <w:snapToGrid/>
        <w:spacing w:after="0" w:line="46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4.不得入侵、篡改、泄露或擅自使用公安信息系统，不得擅自浏览、下载、泄露公安内部网络信息；</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5.不得私接网络边界通道或者未经审批超范围使用边界通道，不得跨网进行运行维护操作；</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6.不得私自持有使用公安数据库权限，不得未经允许导出数据，不得在互联网、政务外网存储、处理未经脱密脱敏处理的公安信息数据；</w:t>
      </w:r>
    </w:p>
    <w:p>
      <w:pPr>
        <w:pStyle w:val="2"/>
        <w:keepNext w:val="0"/>
        <w:keepLines w:val="0"/>
        <w:pageBreakBefore w:val="0"/>
        <w:kinsoku/>
        <w:wordWrap/>
        <w:overflowPunct/>
        <w:topLinePunct w:val="0"/>
        <w:bidi w:val="0"/>
        <w:adjustRightInd w:val="0"/>
        <w:snapToGrid/>
        <w:spacing w:line="460" w:lineRule="exact"/>
        <w:ind w:left="0" w:leftChars="0"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7.在项目建设运维过程中，应制定本项目的网络安全保障方案和网络安全事件应急预案，严格遵守公安有关信息系统建设开发及数据安全的操作规范，采取必要的技术、管理措施，确保公安信息系统及数据安全。</w:t>
      </w:r>
      <w:r>
        <w:rPr>
          <w:rFonts w:hint="eastAsia" w:ascii="仿宋" w:hAnsi="仿宋" w:eastAsia="仿宋" w:cs="仿宋"/>
          <w:color w:val="auto"/>
          <w:sz w:val="24"/>
          <w:szCs w:val="24"/>
          <w:highlight w:val="none"/>
          <w:u w:val="single"/>
        </w:rPr>
        <w:t>（非科技建设运维项目无需制定应急预案）</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（四）其他</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1.在合同确定的服务范围内开展工作，不得涉及与本项目无关的业务及信息；</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2.自愿接受甲方安全保密监管及检查，对于检查中发现的问题，在限定期间内落实整改；</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主动加强本项目的安全保密管理和技术管控措施，一旦发现网络安全事件或者存在失泄密风险隐患的，立即予以补救、整改，及时向甲方报告，为甲方提供查找失泄密原因的线索和证据，并开展批评教育、责任追究等工作；</w:t>
      </w:r>
    </w:p>
    <w:p>
      <w:pPr>
        <w:keepNext w:val="0"/>
        <w:keepLines w:val="0"/>
        <w:pageBreakBefore w:val="0"/>
        <w:kinsoku/>
        <w:wordWrap/>
        <w:overflowPunct/>
        <w:topLinePunct w:val="0"/>
        <w:bidi w:val="0"/>
        <w:adjustRightInd w:val="0"/>
        <w:snapToGrid/>
        <w:spacing w:line="460" w:lineRule="exact"/>
        <w:ind w:firstLine="64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4.不得有其他影响安全保密的行为。</w:t>
      </w:r>
    </w:p>
    <w:p>
      <w:pPr>
        <w:keepNext w:val="0"/>
        <w:keepLines w:val="0"/>
        <w:pageBreakBefore w:val="0"/>
        <w:tabs>
          <w:tab w:val="left" w:pos="360"/>
        </w:tabs>
        <w:kinsoku/>
        <w:wordWrap/>
        <w:overflowPunct/>
        <w:topLinePunct w:val="0"/>
        <w:bidi w:val="0"/>
        <w:adjustRightInd w:val="0"/>
        <w:snapToGrid/>
        <w:spacing w:line="4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七、乙方单位及人员违反本协议的，由甲方责令其立即整改；导致严重后果的，依据有关规定追究经济、行政等责任；构成犯罪的，依法追究刑事责任。</w:t>
      </w:r>
    </w:p>
    <w:p>
      <w:pPr>
        <w:keepNext w:val="0"/>
        <w:keepLines w:val="0"/>
        <w:pageBreakBefore w:val="0"/>
        <w:kinsoku/>
        <w:wordWrap/>
        <w:overflowPunct/>
        <w:topLinePunct w:val="0"/>
        <w:bidi w:val="0"/>
        <w:adjustRightInd w:val="0"/>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八、本协议双方签字盖章后生效。本协议一式三份，甲乙双方各执一份，甲方保密工作机构一份。乙方不得将本协议向第三方展示或提供给第三方，不得通过互联网等进行处理、传输。</w:t>
      </w:r>
    </w:p>
    <w:p>
      <w:pPr>
        <w:keepNext w:val="0"/>
        <w:keepLines w:val="0"/>
        <w:pageBreakBefore w:val="0"/>
        <w:kinsoku/>
        <w:wordWrap/>
        <w:overflowPunct/>
        <w:topLinePunct w:val="0"/>
        <w:bidi w:val="0"/>
        <w:adjustRightInd w:val="0"/>
        <w:snapToGrid/>
        <w:spacing w:line="460" w:lineRule="exact"/>
        <w:ind w:firstLine="240" w:firstLineChars="100"/>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bidi w:val="0"/>
        <w:adjustRightInd w:val="0"/>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甲方代表签字：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乙方代表签字：</w:t>
      </w:r>
    </w:p>
    <w:p>
      <w:pPr>
        <w:keepNext w:val="0"/>
        <w:keepLines w:val="0"/>
        <w:pageBreakBefore w:val="0"/>
        <w:kinsoku/>
        <w:wordWrap/>
        <w:overflowPunct/>
        <w:topLinePunct w:val="0"/>
        <w:bidi w:val="0"/>
        <w:adjustRightInd w:val="0"/>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单位盖章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单位盖章</w:t>
      </w:r>
    </w:p>
    <w:p>
      <w:pPr>
        <w:keepNext w:val="0"/>
        <w:keepLines w:val="0"/>
        <w:pageBreakBefore w:val="0"/>
        <w:kinsoku/>
        <w:wordWrap/>
        <w:overflowPunct/>
        <w:topLinePunct w:val="0"/>
        <w:bidi w:val="0"/>
        <w:adjustRightInd w:val="0"/>
        <w:snapToGrid/>
        <w:spacing w:line="4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日期：</w:t>
      </w:r>
    </w:p>
    <w:p>
      <w:pPr>
        <w:widowControl/>
        <w:snapToGrid w:val="0"/>
        <w:spacing w:line="400" w:lineRule="exact"/>
        <w:ind w:firstLine="600" w:firstLineChars="200"/>
        <w:jc w:val="left"/>
        <w:rPr>
          <w:rFonts w:hint="eastAsia" w:ascii="仿宋" w:hAnsi="仿宋" w:eastAsia="仿宋" w:cs="仿宋_GB2312"/>
          <w:color w:val="auto"/>
          <w:kern w:val="0"/>
          <w:sz w:val="24"/>
          <w:highlight w:val="none"/>
        </w:rPr>
      </w:pPr>
      <w:r>
        <w:rPr>
          <w:rFonts w:hint="eastAsia" w:ascii="仿宋" w:hAnsi="仿宋" w:eastAsia="仿宋" w:cs="仿宋"/>
          <w:color w:val="auto"/>
          <w:sz w:val="30"/>
          <w:szCs w:val="30"/>
          <w:highlight w:val="none"/>
        </w:rPr>
        <w:br w:type="page"/>
      </w:r>
    </w:p>
    <w:p>
      <w:pPr>
        <w:widowControl/>
        <w:snapToGrid w:val="0"/>
        <w:spacing w:line="400" w:lineRule="exact"/>
        <w:ind w:firstLine="480" w:firstLineChars="200"/>
        <w:jc w:val="left"/>
        <w:rPr>
          <w:rFonts w:hint="eastAsia" w:ascii="仿宋" w:hAnsi="仿宋" w:eastAsia="仿宋" w:cs="仿宋_GB2312"/>
          <w:color w:val="auto"/>
          <w:kern w:val="0"/>
          <w:sz w:val="24"/>
          <w:highlight w:val="none"/>
        </w:rPr>
      </w:pPr>
    </w:p>
    <w:p>
      <w:pPr>
        <w:widowControl/>
        <w:snapToGrid w:val="0"/>
        <w:spacing w:line="400" w:lineRule="exact"/>
        <w:ind w:firstLine="480" w:firstLineChars="200"/>
        <w:jc w:val="left"/>
        <w:rPr>
          <w:rFonts w:hint="eastAsia"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项目合同编号：                         密级：</w:t>
      </w:r>
    </w:p>
    <w:p>
      <w:pPr>
        <w:widowControl/>
        <w:snapToGrid w:val="0"/>
        <w:spacing w:line="400" w:lineRule="exact"/>
        <w:ind w:firstLine="480" w:firstLineChars="200"/>
        <w:jc w:val="left"/>
        <w:rPr>
          <w:rFonts w:ascii="仿宋" w:hAnsi="仿宋" w:eastAsia="仿宋" w:cs="宋体"/>
          <w:color w:val="auto"/>
          <w:kern w:val="0"/>
          <w:sz w:val="24"/>
          <w:highlight w:val="none"/>
        </w:rPr>
      </w:pPr>
    </w:p>
    <w:p>
      <w:pPr>
        <w:widowControl/>
        <w:snapToGrid w:val="0"/>
        <w:spacing w:line="400" w:lineRule="exact"/>
        <w:ind w:firstLine="480" w:firstLineChars="200"/>
        <w:jc w:val="left"/>
        <w:rPr>
          <w:rFonts w:ascii="仿宋" w:hAnsi="仿宋" w:eastAsia="仿宋" w:cs="宋体"/>
          <w:color w:val="auto"/>
          <w:kern w:val="0"/>
          <w:sz w:val="24"/>
          <w:highlight w:val="none"/>
        </w:rPr>
      </w:pPr>
    </w:p>
    <w:p>
      <w:pPr>
        <w:widowControl/>
        <w:snapToGrid w:val="0"/>
        <w:spacing w:line="400" w:lineRule="exact"/>
        <w:ind w:firstLine="480" w:firstLineChars="200"/>
        <w:jc w:val="left"/>
        <w:rPr>
          <w:rFonts w:ascii="仿宋" w:hAnsi="仿宋" w:eastAsia="仿宋" w:cs="宋体"/>
          <w:color w:val="auto"/>
          <w:kern w:val="0"/>
          <w:sz w:val="24"/>
          <w:highlight w:val="none"/>
        </w:rPr>
      </w:pPr>
    </w:p>
    <w:p>
      <w:pPr>
        <w:widowControl/>
        <w:snapToGrid w:val="0"/>
        <w:spacing w:line="400" w:lineRule="exact"/>
        <w:ind w:firstLine="480" w:firstLineChars="200"/>
        <w:jc w:val="left"/>
        <w:rPr>
          <w:rFonts w:ascii="仿宋" w:hAnsi="仿宋" w:eastAsia="仿宋" w:cs="宋体"/>
          <w:color w:val="auto"/>
          <w:kern w:val="0"/>
          <w:sz w:val="24"/>
          <w:highlight w:val="none"/>
        </w:rPr>
      </w:pPr>
    </w:p>
    <w:p>
      <w:pPr>
        <w:widowControl/>
        <w:snapToGrid w:val="0"/>
        <w:spacing w:line="360" w:lineRule="auto"/>
        <w:jc w:val="center"/>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温州市公安局科技项目</w:t>
      </w:r>
    </w:p>
    <w:p>
      <w:pPr>
        <w:widowControl/>
        <w:snapToGrid w:val="0"/>
        <w:spacing w:line="360" w:lineRule="auto"/>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采购合同</w:t>
      </w:r>
    </w:p>
    <w:p>
      <w:pPr>
        <w:spacing w:line="360" w:lineRule="auto"/>
        <w:jc w:val="center"/>
        <w:outlineLvl w:val="0"/>
        <w:rPr>
          <w:rFonts w:hint="eastAsia" w:ascii="仿宋" w:hAnsi="仿宋" w:eastAsia="仿宋" w:cs="仿宋"/>
          <w:b/>
          <w:bCs w:val="0"/>
          <w:i/>
          <w:iCs/>
          <w:color w:val="auto"/>
          <w:sz w:val="32"/>
          <w:szCs w:val="32"/>
          <w:highlight w:val="none"/>
          <w:u w:val="single"/>
          <w:lang w:eastAsia="zh-CN"/>
        </w:rPr>
      </w:pPr>
      <w:r>
        <w:rPr>
          <w:rFonts w:hint="eastAsia" w:ascii="仿宋" w:hAnsi="仿宋" w:eastAsia="仿宋" w:cs="仿宋"/>
          <w:b/>
          <w:bCs w:val="0"/>
          <w:i/>
          <w:iCs/>
          <w:color w:val="auto"/>
          <w:sz w:val="32"/>
          <w:szCs w:val="32"/>
          <w:highlight w:val="none"/>
          <w:lang w:eastAsia="zh-CN"/>
        </w:rPr>
        <w:t>（</w:t>
      </w:r>
      <w:r>
        <w:rPr>
          <w:rFonts w:hint="eastAsia" w:ascii="仿宋" w:hAnsi="仿宋" w:eastAsia="仿宋" w:cs="仿宋"/>
          <w:b/>
          <w:bCs w:val="0"/>
          <w:i/>
          <w:iCs/>
          <w:color w:val="auto"/>
          <w:sz w:val="32"/>
          <w:szCs w:val="32"/>
          <w:highlight w:val="none"/>
          <w:u w:val="single"/>
          <w:lang w:val="en-US" w:eastAsia="zh-CN"/>
        </w:rPr>
        <w:t>适用于标项五</w:t>
      </w:r>
      <w:r>
        <w:rPr>
          <w:rFonts w:hint="eastAsia" w:ascii="仿宋" w:hAnsi="仿宋" w:eastAsia="仿宋" w:cs="仿宋"/>
          <w:b/>
          <w:bCs w:val="0"/>
          <w:i/>
          <w:iCs/>
          <w:color w:val="auto"/>
          <w:sz w:val="32"/>
          <w:szCs w:val="32"/>
          <w:highlight w:val="none"/>
          <w:u w:val="single"/>
          <w:lang w:eastAsia="zh-CN"/>
        </w:rPr>
        <w:t>）</w:t>
      </w:r>
    </w:p>
    <w:p>
      <w:pPr>
        <w:widowControl/>
        <w:snapToGrid w:val="0"/>
        <w:spacing w:line="400" w:lineRule="exact"/>
        <w:ind w:firstLine="480" w:firstLineChars="200"/>
        <w:jc w:val="left"/>
        <w:rPr>
          <w:rFonts w:ascii="仿宋" w:hAnsi="仿宋" w:eastAsia="仿宋" w:cs="宋体"/>
          <w:color w:val="auto"/>
          <w:kern w:val="0"/>
          <w:sz w:val="24"/>
          <w:highlight w:val="none"/>
        </w:rPr>
      </w:pPr>
    </w:p>
    <w:p>
      <w:pPr>
        <w:widowControl/>
        <w:snapToGrid w:val="0"/>
        <w:spacing w:line="400" w:lineRule="exact"/>
        <w:ind w:firstLine="480" w:firstLineChars="200"/>
        <w:jc w:val="left"/>
        <w:rPr>
          <w:rFonts w:ascii="仿宋" w:hAnsi="仿宋" w:eastAsia="仿宋" w:cs="宋体"/>
          <w:color w:val="auto"/>
          <w:kern w:val="0"/>
          <w:sz w:val="24"/>
          <w:highlight w:val="none"/>
        </w:rPr>
      </w:pPr>
    </w:p>
    <w:p>
      <w:pPr>
        <w:widowControl/>
        <w:snapToGrid w:val="0"/>
        <w:spacing w:line="360" w:lineRule="auto"/>
        <w:ind w:firstLine="560" w:firstLineChars="200"/>
        <w:jc w:val="left"/>
        <w:rPr>
          <w:rFonts w:hint="eastAsia" w:ascii="仿宋" w:hAnsi="仿宋" w:eastAsia="仿宋" w:cs="宋体"/>
          <w:color w:val="auto"/>
          <w:kern w:val="0"/>
          <w:sz w:val="28"/>
          <w:szCs w:val="28"/>
          <w:highlight w:val="none"/>
          <w:u w:val="single"/>
        </w:rPr>
      </w:pPr>
      <w:r>
        <w:rPr>
          <w:rFonts w:hint="eastAsia" w:ascii="仿宋" w:hAnsi="仿宋" w:eastAsia="仿宋" w:cs="宋体"/>
          <w:color w:val="auto"/>
          <w:kern w:val="0"/>
          <w:sz w:val="28"/>
          <w:szCs w:val="28"/>
          <w:highlight w:val="none"/>
        </w:rPr>
        <w:t>项目名称：________________________________</w:t>
      </w:r>
    </w:p>
    <w:p>
      <w:pPr>
        <w:widowControl/>
        <w:snapToGrid w:val="0"/>
        <w:spacing w:line="360" w:lineRule="auto"/>
        <w:ind w:firstLine="560" w:firstLineChars="200"/>
        <w:jc w:val="left"/>
        <w:rPr>
          <w:rFonts w:hint="eastAsia" w:ascii="仿宋" w:hAnsi="仿宋" w:eastAsia="仿宋" w:cs="宋体"/>
          <w:color w:val="auto"/>
          <w:kern w:val="0"/>
          <w:sz w:val="28"/>
          <w:szCs w:val="28"/>
          <w:highlight w:val="none"/>
          <w:u w:val="single"/>
        </w:rPr>
      </w:pPr>
      <w:r>
        <w:rPr>
          <w:rFonts w:hint="eastAsia" w:ascii="仿宋" w:hAnsi="仿宋" w:eastAsia="仿宋" w:cs="宋体"/>
          <w:color w:val="auto"/>
          <w:kern w:val="0"/>
          <w:sz w:val="28"/>
          <w:szCs w:val="28"/>
          <w:highlight w:val="none"/>
        </w:rPr>
        <w:t>甲方（盖章）：</w:t>
      </w:r>
      <w:r>
        <w:rPr>
          <w:rFonts w:hint="eastAsia" w:ascii="仿宋" w:hAnsi="仿宋" w:eastAsia="仿宋" w:cs="宋体"/>
          <w:color w:val="auto"/>
          <w:kern w:val="0"/>
          <w:sz w:val="28"/>
          <w:szCs w:val="28"/>
          <w:highlight w:val="none"/>
          <w:u w:val="single"/>
        </w:rPr>
        <w:t xml:space="preserve">       温州市公安局         </w:t>
      </w:r>
    </w:p>
    <w:p>
      <w:pPr>
        <w:widowControl/>
        <w:snapToGrid w:val="0"/>
        <w:spacing w:line="360" w:lineRule="auto"/>
        <w:ind w:firstLine="560" w:firstLineChars="200"/>
        <w:jc w:val="left"/>
        <w:rPr>
          <w:rFonts w:hint="eastAsia"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乙方（盖章）：____________________________</w:t>
      </w:r>
    </w:p>
    <w:p>
      <w:pPr>
        <w:widowControl/>
        <w:snapToGrid w:val="0"/>
        <w:spacing w:line="360" w:lineRule="auto"/>
        <w:ind w:firstLine="560" w:firstLineChars="200"/>
        <w:jc w:val="left"/>
        <w:rPr>
          <w:rFonts w:hint="eastAsia" w:ascii="仿宋" w:hAnsi="仿宋" w:eastAsia="仿宋" w:cs="宋体"/>
          <w:color w:val="auto"/>
          <w:kern w:val="0"/>
          <w:sz w:val="28"/>
          <w:szCs w:val="28"/>
          <w:highlight w:val="none"/>
          <w:u w:val="single"/>
        </w:rPr>
      </w:pPr>
      <w:r>
        <w:rPr>
          <w:rFonts w:hint="eastAsia" w:ascii="仿宋" w:hAnsi="仿宋" w:eastAsia="仿宋" w:cs="宋体"/>
          <w:color w:val="auto"/>
          <w:kern w:val="0"/>
          <w:sz w:val="28"/>
          <w:szCs w:val="28"/>
          <w:highlight w:val="none"/>
        </w:rPr>
        <w:t>签署时间：_________________________________</w:t>
      </w:r>
    </w:p>
    <w:p>
      <w:pPr>
        <w:widowControl/>
        <w:snapToGrid w:val="0"/>
        <w:spacing w:line="360" w:lineRule="auto"/>
        <w:ind w:firstLine="560" w:firstLineChars="200"/>
        <w:jc w:val="left"/>
        <w:rPr>
          <w:rFonts w:hint="eastAsia" w:ascii="仿宋" w:hAnsi="仿宋" w:eastAsia="仿宋" w:cs="宋体"/>
          <w:color w:val="auto"/>
          <w:kern w:val="0"/>
          <w:sz w:val="28"/>
          <w:szCs w:val="28"/>
          <w:highlight w:val="none"/>
          <w:u w:val="single"/>
        </w:rPr>
        <w:sectPr>
          <w:headerReference r:id="rId7" w:type="default"/>
          <w:footerReference r:id="rId8" w:type="default"/>
          <w:pgSz w:w="12240" w:h="15840"/>
          <w:pgMar w:top="1440" w:right="1080" w:bottom="1440" w:left="1080" w:header="567" w:footer="567" w:gutter="0"/>
          <w:cols w:space="720" w:num="1"/>
        </w:sectPr>
      </w:pPr>
      <w:r>
        <w:rPr>
          <w:rFonts w:hint="eastAsia" w:ascii="仿宋" w:hAnsi="仿宋" w:eastAsia="仿宋" w:cs="宋体"/>
          <w:color w:val="auto"/>
          <w:kern w:val="0"/>
          <w:sz w:val="28"/>
          <w:szCs w:val="28"/>
          <w:highlight w:val="none"/>
        </w:rPr>
        <w:t>签署地点：</w:t>
      </w:r>
      <w:r>
        <w:rPr>
          <w:rFonts w:hint="eastAsia" w:ascii="仿宋" w:hAnsi="仿宋" w:eastAsia="仿宋" w:cs="宋体"/>
          <w:color w:val="auto"/>
          <w:kern w:val="0"/>
          <w:sz w:val="28"/>
          <w:szCs w:val="28"/>
          <w:highlight w:val="none"/>
          <w:u w:val="single"/>
        </w:rPr>
        <w:t xml:space="preserve">           温州市鹿城区          </w:t>
      </w:r>
    </w:p>
    <w:p>
      <w:pPr>
        <w:widowControl/>
        <w:tabs>
          <w:tab w:val="left" w:pos="720"/>
        </w:tabs>
        <w:snapToGrid w:val="0"/>
        <w:spacing w:line="400" w:lineRule="exact"/>
        <w:ind w:left="720" w:firstLine="482" w:firstLineChars="200"/>
        <w:jc w:val="left"/>
        <w:rPr>
          <w:rFonts w:ascii="仿宋" w:hAnsi="仿宋" w:eastAsia="仿宋"/>
          <w:b/>
          <w:bCs/>
          <w:color w:val="auto"/>
          <w:kern w:val="0"/>
          <w:sz w:val="24"/>
          <w:highlight w:val="none"/>
        </w:rPr>
      </w:pPr>
    </w:p>
    <w:p>
      <w:pPr>
        <w:widowControl/>
        <w:tabs>
          <w:tab w:val="left" w:pos="720"/>
        </w:tabs>
        <w:snapToGrid w:val="0"/>
        <w:spacing w:line="400" w:lineRule="exact"/>
        <w:ind w:left="720" w:firstLine="482" w:firstLineChars="200"/>
        <w:jc w:val="left"/>
        <w:rPr>
          <w:rFonts w:ascii="仿宋" w:hAnsi="仿宋" w:eastAsia="仿宋"/>
          <w:b/>
          <w:bCs/>
          <w:color w:val="auto"/>
          <w:kern w:val="0"/>
          <w:sz w:val="24"/>
          <w:highlight w:val="none"/>
        </w:rPr>
      </w:pP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ascii="仿宋" w:hAnsi="仿宋" w:eastAsia="仿宋"/>
          <w:b/>
          <w:bCs/>
          <w:color w:val="auto"/>
          <w:kern w:val="0"/>
          <w:sz w:val="24"/>
          <w:highlight w:val="none"/>
        </w:rPr>
        <w:t>一、</w:t>
      </w:r>
      <w:r>
        <w:rPr>
          <w:rFonts w:ascii="Calibri" w:hAnsi="Calibri" w:eastAsia="仿宋" w:cs="Calibri"/>
          <w:b/>
          <w:bCs/>
          <w:color w:val="auto"/>
          <w:kern w:val="0"/>
          <w:sz w:val="24"/>
          <w:highlight w:val="none"/>
        </w:rPr>
        <w:t>  </w:t>
      </w:r>
      <w:r>
        <w:rPr>
          <w:rFonts w:hint="eastAsia" w:ascii="仿宋" w:hAnsi="仿宋" w:eastAsia="仿宋"/>
          <w:b/>
          <w:bCs/>
          <w:color w:val="auto"/>
          <w:kern w:val="0"/>
          <w:sz w:val="24"/>
          <w:highlight w:val="none"/>
        </w:rPr>
        <w:t xml:space="preserve"> </w:t>
      </w:r>
      <w:r>
        <w:rPr>
          <w:rFonts w:hint="eastAsia" w:ascii="仿宋" w:hAnsi="仿宋" w:eastAsia="仿宋" w:cs="宋体"/>
          <w:b/>
          <w:bCs/>
          <w:color w:val="auto"/>
          <w:kern w:val="0"/>
          <w:sz w:val="24"/>
          <w:highlight w:val="none"/>
        </w:rPr>
        <w:t>总则</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ascii="仿宋" w:hAnsi="仿宋" w:eastAsia="仿宋"/>
          <w:b/>
          <w:bCs/>
          <w:color w:val="auto"/>
          <w:kern w:val="0"/>
          <w:sz w:val="24"/>
          <w:highlight w:val="none"/>
        </w:rPr>
        <w:t>二、</w:t>
      </w:r>
      <w:r>
        <w:rPr>
          <w:rFonts w:ascii="Calibri" w:hAnsi="Calibri" w:eastAsia="仿宋" w:cs="Calibri"/>
          <w:b/>
          <w:bCs/>
          <w:color w:val="auto"/>
          <w:kern w:val="0"/>
          <w:sz w:val="24"/>
          <w:highlight w:val="none"/>
        </w:rPr>
        <w:t>  </w:t>
      </w:r>
      <w:r>
        <w:rPr>
          <w:rFonts w:hint="eastAsia" w:ascii="仿宋" w:hAnsi="仿宋" w:eastAsia="仿宋"/>
          <w:b/>
          <w:bCs/>
          <w:color w:val="auto"/>
          <w:kern w:val="0"/>
          <w:sz w:val="24"/>
          <w:highlight w:val="none"/>
        </w:rPr>
        <w:t xml:space="preserve"> </w:t>
      </w:r>
      <w:r>
        <w:rPr>
          <w:rFonts w:hint="eastAsia" w:ascii="仿宋" w:hAnsi="仿宋" w:eastAsia="仿宋" w:cs="宋体"/>
          <w:b/>
          <w:bCs/>
          <w:color w:val="auto"/>
          <w:kern w:val="0"/>
          <w:sz w:val="24"/>
          <w:highlight w:val="none"/>
        </w:rPr>
        <w:t>甲方责任</w:t>
      </w:r>
    </w:p>
    <w:p>
      <w:pPr>
        <w:widowControl/>
        <w:tabs>
          <w:tab w:val="left" w:pos="720"/>
        </w:tabs>
        <w:snapToGrid w:val="0"/>
        <w:spacing w:line="400" w:lineRule="exact"/>
        <w:ind w:left="720" w:firstLine="482" w:firstLineChars="200"/>
        <w:jc w:val="left"/>
        <w:rPr>
          <w:rFonts w:hint="eastAsia" w:ascii="仿宋" w:hAnsi="仿宋" w:eastAsia="仿宋" w:cs="宋体"/>
          <w:b/>
          <w:bCs/>
          <w:color w:val="auto"/>
          <w:kern w:val="0"/>
          <w:sz w:val="24"/>
          <w:highlight w:val="none"/>
        </w:rPr>
      </w:pPr>
      <w:r>
        <w:rPr>
          <w:rFonts w:ascii="仿宋" w:hAnsi="仿宋" w:eastAsia="仿宋"/>
          <w:b/>
          <w:bCs/>
          <w:color w:val="auto"/>
          <w:kern w:val="0"/>
          <w:sz w:val="24"/>
          <w:highlight w:val="none"/>
        </w:rPr>
        <w:t>三、</w:t>
      </w:r>
      <w:r>
        <w:rPr>
          <w:rFonts w:ascii="Calibri" w:hAnsi="Calibri" w:eastAsia="仿宋" w:cs="Calibri"/>
          <w:b/>
          <w:bCs/>
          <w:color w:val="auto"/>
          <w:kern w:val="0"/>
          <w:sz w:val="24"/>
          <w:highlight w:val="none"/>
        </w:rPr>
        <w:t>  </w:t>
      </w:r>
      <w:r>
        <w:rPr>
          <w:rFonts w:hint="eastAsia" w:ascii="仿宋" w:hAnsi="仿宋" w:eastAsia="仿宋"/>
          <w:b/>
          <w:bCs/>
          <w:color w:val="auto"/>
          <w:kern w:val="0"/>
          <w:sz w:val="24"/>
          <w:highlight w:val="none"/>
        </w:rPr>
        <w:t xml:space="preserve"> </w:t>
      </w:r>
      <w:r>
        <w:rPr>
          <w:rFonts w:hint="eastAsia" w:ascii="仿宋" w:hAnsi="仿宋" w:eastAsia="仿宋" w:cs="宋体"/>
          <w:b/>
          <w:bCs/>
          <w:color w:val="auto"/>
          <w:kern w:val="0"/>
          <w:sz w:val="24"/>
          <w:highlight w:val="none"/>
        </w:rPr>
        <w:t>乙方责任</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ascii="仿宋" w:hAnsi="仿宋" w:eastAsia="仿宋"/>
          <w:b/>
          <w:bCs/>
          <w:color w:val="auto"/>
          <w:kern w:val="0"/>
          <w:sz w:val="24"/>
          <w:highlight w:val="none"/>
        </w:rPr>
        <w:t>四、</w:t>
      </w:r>
      <w:r>
        <w:rPr>
          <w:rFonts w:ascii="Calibri" w:hAnsi="Calibri" w:eastAsia="仿宋" w:cs="Calibri"/>
          <w:b/>
          <w:bCs/>
          <w:color w:val="auto"/>
          <w:kern w:val="0"/>
          <w:sz w:val="24"/>
          <w:highlight w:val="none"/>
        </w:rPr>
        <w:t>  </w:t>
      </w:r>
      <w:r>
        <w:rPr>
          <w:rFonts w:hint="eastAsia" w:ascii="仿宋" w:hAnsi="仿宋" w:eastAsia="仿宋"/>
          <w:b/>
          <w:bCs/>
          <w:color w:val="auto"/>
          <w:kern w:val="0"/>
          <w:sz w:val="24"/>
          <w:highlight w:val="none"/>
        </w:rPr>
        <w:t xml:space="preserve"> </w:t>
      </w:r>
      <w:r>
        <w:rPr>
          <w:rFonts w:hint="eastAsia" w:ascii="仿宋" w:hAnsi="仿宋" w:eastAsia="仿宋" w:cs="宋体"/>
          <w:b/>
          <w:bCs/>
          <w:color w:val="auto"/>
          <w:kern w:val="0"/>
          <w:sz w:val="24"/>
          <w:highlight w:val="none"/>
        </w:rPr>
        <w:t>项目进度</w:t>
      </w:r>
    </w:p>
    <w:p>
      <w:pPr>
        <w:widowControl/>
        <w:tabs>
          <w:tab w:val="left" w:pos="720"/>
        </w:tabs>
        <w:snapToGrid w:val="0"/>
        <w:spacing w:line="400" w:lineRule="exact"/>
        <w:ind w:left="720" w:firstLine="482" w:firstLineChars="200"/>
        <w:jc w:val="left"/>
        <w:rPr>
          <w:rFonts w:hint="eastAsia" w:ascii="仿宋" w:hAnsi="仿宋" w:eastAsia="仿宋" w:cs="宋体"/>
          <w:b/>
          <w:bCs/>
          <w:color w:val="auto"/>
          <w:kern w:val="0"/>
          <w:sz w:val="24"/>
          <w:highlight w:val="none"/>
        </w:rPr>
      </w:pPr>
      <w:r>
        <w:rPr>
          <w:rFonts w:ascii="仿宋" w:hAnsi="仿宋" w:eastAsia="仿宋"/>
          <w:b/>
          <w:bCs/>
          <w:color w:val="auto"/>
          <w:kern w:val="0"/>
          <w:sz w:val="24"/>
          <w:highlight w:val="none"/>
        </w:rPr>
        <w:t>五、</w:t>
      </w:r>
      <w:r>
        <w:rPr>
          <w:rFonts w:ascii="Calibri" w:hAnsi="Calibri" w:eastAsia="仿宋" w:cs="Calibri"/>
          <w:b/>
          <w:bCs/>
          <w:color w:val="auto"/>
          <w:kern w:val="0"/>
          <w:sz w:val="24"/>
          <w:highlight w:val="none"/>
        </w:rPr>
        <w:t>  </w:t>
      </w:r>
      <w:r>
        <w:rPr>
          <w:rFonts w:hint="eastAsia" w:ascii="仿宋" w:hAnsi="仿宋" w:eastAsia="仿宋" w:cs="宋体"/>
          <w:b/>
          <w:bCs/>
          <w:color w:val="auto"/>
          <w:kern w:val="0"/>
          <w:sz w:val="24"/>
          <w:highlight w:val="none"/>
        </w:rPr>
        <w:t xml:space="preserve"> 技术培训和售后服务</w:t>
      </w:r>
    </w:p>
    <w:p>
      <w:pPr>
        <w:widowControl/>
        <w:tabs>
          <w:tab w:val="left" w:pos="720"/>
        </w:tabs>
        <w:snapToGrid w:val="0"/>
        <w:spacing w:line="400" w:lineRule="exact"/>
        <w:ind w:left="720" w:firstLine="482" w:firstLineChars="200"/>
        <w:jc w:val="left"/>
        <w:rPr>
          <w:rFonts w:hint="eastAsia" w:ascii="仿宋" w:hAnsi="仿宋" w:eastAsia="仿宋" w:cs="宋体"/>
          <w:b/>
          <w:bCs/>
          <w:color w:val="auto"/>
          <w:kern w:val="0"/>
          <w:sz w:val="24"/>
          <w:highlight w:val="none"/>
        </w:rPr>
      </w:pPr>
      <w:r>
        <w:rPr>
          <w:rFonts w:hint="eastAsia" w:ascii="仿宋" w:hAnsi="仿宋" w:eastAsia="仿宋"/>
          <w:b/>
          <w:bCs/>
          <w:color w:val="auto"/>
          <w:kern w:val="0"/>
          <w:sz w:val="24"/>
          <w:highlight w:val="none"/>
        </w:rPr>
        <w:t>六</w:t>
      </w:r>
      <w:r>
        <w:rPr>
          <w:rFonts w:ascii="仿宋" w:hAnsi="仿宋" w:eastAsia="仿宋"/>
          <w:b/>
          <w:bCs/>
          <w:color w:val="auto"/>
          <w:kern w:val="0"/>
          <w:sz w:val="24"/>
          <w:highlight w:val="none"/>
        </w:rPr>
        <w:t>、</w:t>
      </w:r>
      <w:r>
        <w:rPr>
          <w:rFonts w:ascii="Calibri" w:hAnsi="Calibri" w:eastAsia="仿宋" w:cs="Calibri"/>
          <w:b/>
          <w:bCs/>
          <w:color w:val="auto"/>
          <w:kern w:val="0"/>
          <w:sz w:val="24"/>
          <w:highlight w:val="none"/>
        </w:rPr>
        <w:t>  </w:t>
      </w:r>
      <w:r>
        <w:rPr>
          <w:rFonts w:hint="eastAsia" w:ascii="仿宋" w:hAnsi="仿宋" w:eastAsia="仿宋"/>
          <w:b/>
          <w:bCs/>
          <w:color w:val="auto"/>
          <w:kern w:val="0"/>
          <w:sz w:val="24"/>
          <w:highlight w:val="none"/>
        </w:rPr>
        <w:t xml:space="preserve"> </w:t>
      </w:r>
      <w:r>
        <w:rPr>
          <w:rFonts w:hint="eastAsia" w:ascii="仿宋" w:hAnsi="仿宋" w:eastAsia="仿宋" w:cs="宋体"/>
          <w:b/>
          <w:bCs/>
          <w:color w:val="auto"/>
          <w:kern w:val="0"/>
          <w:sz w:val="24"/>
          <w:highlight w:val="none"/>
        </w:rPr>
        <w:t>项目合同金额</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hint="eastAsia" w:ascii="仿宋" w:hAnsi="仿宋" w:eastAsia="仿宋"/>
          <w:b/>
          <w:bCs/>
          <w:color w:val="auto"/>
          <w:kern w:val="0"/>
          <w:sz w:val="24"/>
          <w:highlight w:val="none"/>
        </w:rPr>
        <w:t>七</w:t>
      </w:r>
      <w:r>
        <w:rPr>
          <w:rFonts w:ascii="仿宋" w:hAnsi="仿宋" w:eastAsia="仿宋"/>
          <w:b/>
          <w:bCs/>
          <w:color w:val="auto"/>
          <w:kern w:val="0"/>
          <w:sz w:val="24"/>
          <w:highlight w:val="none"/>
        </w:rPr>
        <w:t>、</w:t>
      </w:r>
      <w:r>
        <w:rPr>
          <w:rFonts w:ascii="Calibri" w:hAnsi="Calibri" w:eastAsia="仿宋" w:cs="Calibri"/>
          <w:b/>
          <w:bCs/>
          <w:color w:val="auto"/>
          <w:kern w:val="0"/>
          <w:sz w:val="24"/>
          <w:highlight w:val="none"/>
        </w:rPr>
        <w:t>  </w:t>
      </w:r>
      <w:r>
        <w:rPr>
          <w:rFonts w:hint="eastAsia" w:ascii="仿宋" w:hAnsi="仿宋" w:eastAsia="仿宋"/>
          <w:b/>
          <w:bCs/>
          <w:color w:val="auto"/>
          <w:kern w:val="0"/>
          <w:sz w:val="24"/>
          <w:highlight w:val="none"/>
        </w:rPr>
        <w:t xml:space="preserve"> </w:t>
      </w:r>
      <w:r>
        <w:rPr>
          <w:rFonts w:hint="eastAsia" w:ascii="仿宋" w:hAnsi="仿宋" w:eastAsia="仿宋" w:cs="宋体"/>
          <w:b/>
          <w:bCs/>
          <w:color w:val="auto"/>
          <w:kern w:val="0"/>
          <w:sz w:val="24"/>
          <w:highlight w:val="none"/>
        </w:rPr>
        <w:t>项目合同支付条款</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hint="eastAsia" w:ascii="仿宋" w:hAnsi="仿宋" w:eastAsia="仿宋"/>
          <w:b/>
          <w:bCs/>
          <w:color w:val="auto"/>
          <w:kern w:val="0"/>
          <w:sz w:val="24"/>
          <w:highlight w:val="none"/>
        </w:rPr>
        <w:t>八</w:t>
      </w:r>
      <w:r>
        <w:rPr>
          <w:rFonts w:ascii="仿宋" w:hAnsi="仿宋" w:eastAsia="仿宋"/>
          <w:b/>
          <w:bCs/>
          <w:color w:val="auto"/>
          <w:kern w:val="0"/>
          <w:sz w:val="24"/>
          <w:highlight w:val="none"/>
        </w:rPr>
        <w:t>、</w:t>
      </w:r>
      <w:r>
        <w:rPr>
          <w:rFonts w:ascii="Calibri" w:hAnsi="Calibri" w:eastAsia="仿宋" w:cs="Calibri"/>
          <w:b/>
          <w:bCs/>
          <w:color w:val="auto"/>
          <w:kern w:val="0"/>
          <w:sz w:val="24"/>
          <w:highlight w:val="none"/>
        </w:rPr>
        <w:t>  </w:t>
      </w:r>
      <w:r>
        <w:rPr>
          <w:rFonts w:hint="eastAsia" w:ascii="仿宋" w:hAnsi="仿宋" w:eastAsia="仿宋"/>
          <w:b/>
          <w:bCs/>
          <w:color w:val="auto"/>
          <w:kern w:val="0"/>
          <w:sz w:val="24"/>
          <w:highlight w:val="none"/>
        </w:rPr>
        <w:t xml:space="preserve"> </w:t>
      </w:r>
      <w:r>
        <w:rPr>
          <w:rFonts w:hint="eastAsia" w:ascii="仿宋" w:hAnsi="仿宋" w:eastAsia="仿宋" w:cs="宋体"/>
          <w:b/>
          <w:bCs/>
          <w:color w:val="auto"/>
          <w:kern w:val="0"/>
          <w:sz w:val="24"/>
          <w:highlight w:val="none"/>
        </w:rPr>
        <w:t>项目合同修改</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hint="eastAsia" w:ascii="仿宋" w:hAnsi="仿宋" w:eastAsia="仿宋"/>
          <w:b/>
          <w:bCs/>
          <w:color w:val="auto"/>
          <w:kern w:val="0"/>
          <w:sz w:val="24"/>
          <w:highlight w:val="none"/>
        </w:rPr>
        <w:t>九</w:t>
      </w:r>
      <w:r>
        <w:rPr>
          <w:rFonts w:ascii="仿宋" w:hAnsi="仿宋" w:eastAsia="仿宋"/>
          <w:b/>
          <w:bCs/>
          <w:color w:val="auto"/>
          <w:kern w:val="0"/>
          <w:sz w:val="24"/>
          <w:highlight w:val="none"/>
        </w:rPr>
        <w:t>、</w:t>
      </w:r>
      <w:r>
        <w:rPr>
          <w:rFonts w:ascii="Calibri" w:hAnsi="Calibri" w:eastAsia="仿宋" w:cs="Calibri"/>
          <w:b/>
          <w:bCs/>
          <w:color w:val="auto"/>
          <w:kern w:val="0"/>
          <w:sz w:val="24"/>
          <w:highlight w:val="none"/>
        </w:rPr>
        <w:t>  </w:t>
      </w:r>
      <w:r>
        <w:rPr>
          <w:rFonts w:hint="eastAsia" w:ascii="仿宋" w:hAnsi="仿宋" w:eastAsia="仿宋"/>
          <w:b/>
          <w:bCs/>
          <w:color w:val="auto"/>
          <w:kern w:val="0"/>
          <w:sz w:val="24"/>
          <w:highlight w:val="none"/>
        </w:rPr>
        <w:t xml:space="preserve"> </w:t>
      </w:r>
      <w:r>
        <w:rPr>
          <w:rFonts w:hint="eastAsia" w:ascii="仿宋" w:hAnsi="仿宋" w:eastAsia="仿宋" w:cs="宋体"/>
          <w:b/>
          <w:bCs/>
          <w:color w:val="auto"/>
          <w:kern w:val="0"/>
          <w:sz w:val="24"/>
          <w:highlight w:val="none"/>
        </w:rPr>
        <w:t>违约责任</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ascii="仿宋" w:hAnsi="仿宋" w:eastAsia="仿宋"/>
          <w:b/>
          <w:bCs/>
          <w:color w:val="auto"/>
          <w:kern w:val="0"/>
          <w:sz w:val="24"/>
          <w:highlight w:val="none"/>
        </w:rPr>
        <w:t>十、</w:t>
      </w:r>
      <w:r>
        <w:rPr>
          <w:rFonts w:hint="eastAsia" w:ascii="仿宋" w:hAnsi="仿宋" w:eastAsia="仿宋"/>
          <w:b/>
          <w:bCs/>
          <w:color w:val="auto"/>
          <w:kern w:val="0"/>
          <w:sz w:val="24"/>
          <w:highlight w:val="none"/>
        </w:rPr>
        <w:t xml:space="preserve"> </w:t>
      </w:r>
      <w:r>
        <w:rPr>
          <w:rFonts w:ascii="仿宋" w:hAnsi="仿宋" w:eastAsia="仿宋"/>
          <w:b/>
          <w:bCs/>
          <w:color w:val="auto"/>
          <w:kern w:val="0"/>
          <w:sz w:val="24"/>
          <w:highlight w:val="none"/>
        </w:rPr>
        <w:t xml:space="preserve"> </w:t>
      </w:r>
      <w:r>
        <w:rPr>
          <w:rFonts w:hint="eastAsia" w:ascii="仿宋" w:hAnsi="仿宋" w:eastAsia="仿宋" w:cs="宋体"/>
          <w:b/>
          <w:bCs/>
          <w:color w:val="auto"/>
          <w:kern w:val="0"/>
          <w:sz w:val="24"/>
          <w:highlight w:val="none"/>
        </w:rPr>
        <w:t>项目合同终止</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ascii="仿宋" w:hAnsi="仿宋" w:eastAsia="仿宋"/>
          <w:b/>
          <w:bCs/>
          <w:color w:val="auto"/>
          <w:kern w:val="0"/>
          <w:sz w:val="24"/>
          <w:highlight w:val="none"/>
        </w:rPr>
        <w:t>十</w:t>
      </w:r>
      <w:r>
        <w:rPr>
          <w:rFonts w:hint="eastAsia" w:ascii="仿宋" w:hAnsi="仿宋" w:eastAsia="仿宋"/>
          <w:b/>
          <w:bCs/>
          <w:color w:val="auto"/>
          <w:kern w:val="0"/>
          <w:sz w:val="24"/>
          <w:highlight w:val="none"/>
        </w:rPr>
        <w:t>一</w:t>
      </w:r>
      <w:r>
        <w:rPr>
          <w:rFonts w:ascii="仿宋" w:hAnsi="仿宋" w:eastAsia="仿宋"/>
          <w:b/>
          <w:bCs/>
          <w:color w:val="auto"/>
          <w:kern w:val="0"/>
          <w:sz w:val="24"/>
          <w:highlight w:val="none"/>
        </w:rPr>
        <w:t>、</w:t>
      </w:r>
      <w:r>
        <w:rPr>
          <w:rFonts w:hint="eastAsia" w:ascii="仿宋" w:hAnsi="仿宋" w:eastAsia="仿宋" w:cs="宋体"/>
          <w:b/>
          <w:bCs/>
          <w:color w:val="auto"/>
          <w:kern w:val="0"/>
          <w:sz w:val="24"/>
          <w:highlight w:val="none"/>
        </w:rPr>
        <w:t>不可抗力</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ascii="仿宋" w:hAnsi="仿宋" w:eastAsia="仿宋"/>
          <w:b/>
          <w:bCs/>
          <w:color w:val="auto"/>
          <w:kern w:val="0"/>
          <w:sz w:val="24"/>
          <w:highlight w:val="none"/>
        </w:rPr>
        <w:t>十</w:t>
      </w:r>
      <w:r>
        <w:rPr>
          <w:rFonts w:hint="eastAsia" w:ascii="仿宋" w:hAnsi="仿宋" w:eastAsia="仿宋"/>
          <w:b/>
          <w:bCs/>
          <w:color w:val="auto"/>
          <w:kern w:val="0"/>
          <w:sz w:val="24"/>
          <w:highlight w:val="none"/>
        </w:rPr>
        <w:t>二</w:t>
      </w:r>
      <w:r>
        <w:rPr>
          <w:rFonts w:ascii="仿宋" w:hAnsi="仿宋" w:eastAsia="仿宋"/>
          <w:b/>
          <w:bCs/>
          <w:color w:val="auto"/>
          <w:kern w:val="0"/>
          <w:sz w:val="24"/>
          <w:highlight w:val="none"/>
        </w:rPr>
        <w:t>、</w:t>
      </w:r>
      <w:r>
        <w:rPr>
          <w:rFonts w:hint="eastAsia" w:ascii="仿宋" w:hAnsi="仿宋" w:eastAsia="仿宋" w:cs="宋体"/>
          <w:b/>
          <w:bCs/>
          <w:color w:val="auto"/>
          <w:kern w:val="0"/>
          <w:sz w:val="24"/>
          <w:highlight w:val="none"/>
        </w:rPr>
        <w:t>项目保密</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ascii="仿宋" w:hAnsi="仿宋" w:eastAsia="仿宋"/>
          <w:b/>
          <w:bCs/>
          <w:color w:val="auto"/>
          <w:kern w:val="0"/>
          <w:sz w:val="24"/>
          <w:highlight w:val="none"/>
        </w:rPr>
        <w:t>十</w:t>
      </w:r>
      <w:r>
        <w:rPr>
          <w:rFonts w:hint="eastAsia" w:ascii="仿宋" w:hAnsi="仿宋" w:eastAsia="仿宋"/>
          <w:b/>
          <w:bCs/>
          <w:color w:val="auto"/>
          <w:kern w:val="0"/>
          <w:sz w:val="24"/>
          <w:highlight w:val="none"/>
        </w:rPr>
        <w:t>三</w:t>
      </w:r>
      <w:r>
        <w:rPr>
          <w:rFonts w:ascii="仿宋" w:hAnsi="仿宋" w:eastAsia="仿宋"/>
          <w:b/>
          <w:bCs/>
          <w:color w:val="auto"/>
          <w:kern w:val="0"/>
          <w:sz w:val="24"/>
          <w:highlight w:val="none"/>
        </w:rPr>
        <w:t>、</w:t>
      </w:r>
      <w:r>
        <w:rPr>
          <w:rFonts w:hint="eastAsia" w:ascii="仿宋" w:hAnsi="仿宋" w:eastAsia="仿宋" w:cs="宋体"/>
          <w:b/>
          <w:bCs/>
          <w:color w:val="auto"/>
          <w:kern w:val="0"/>
          <w:sz w:val="24"/>
          <w:highlight w:val="none"/>
        </w:rPr>
        <w:t>争议解决方式</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ascii="仿宋" w:hAnsi="仿宋" w:eastAsia="仿宋"/>
          <w:b/>
          <w:bCs/>
          <w:color w:val="auto"/>
          <w:kern w:val="0"/>
          <w:sz w:val="24"/>
          <w:highlight w:val="none"/>
        </w:rPr>
        <w:t>十</w:t>
      </w:r>
      <w:r>
        <w:rPr>
          <w:rFonts w:hint="eastAsia" w:ascii="仿宋" w:hAnsi="仿宋" w:eastAsia="仿宋"/>
          <w:b/>
          <w:bCs/>
          <w:color w:val="auto"/>
          <w:kern w:val="0"/>
          <w:sz w:val="24"/>
          <w:highlight w:val="none"/>
        </w:rPr>
        <w:t>四</w:t>
      </w:r>
      <w:r>
        <w:rPr>
          <w:rFonts w:ascii="仿宋" w:hAnsi="仿宋" w:eastAsia="仿宋"/>
          <w:b/>
          <w:bCs/>
          <w:color w:val="auto"/>
          <w:kern w:val="0"/>
          <w:sz w:val="24"/>
          <w:highlight w:val="none"/>
        </w:rPr>
        <w:t>、</w:t>
      </w:r>
      <w:r>
        <w:rPr>
          <w:rFonts w:hint="eastAsia" w:ascii="仿宋" w:hAnsi="仿宋" w:eastAsia="仿宋" w:cs="宋体"/>
          <w:b/>
          <w:bCs/>
          <w:color w:val="auto"/>
          <w:kern w:val="0"/>
          <w:sz w:val="24"/>
          <w:highlight w:val="none"/>
        </w:rPr>
        <w:t>项目合同附件清单</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ascii="仿宋" w:hAnsi="仿宋" w:eastAsia="仿宋"/>
          <w:b/>
          <w:bCs/>
          <w:color w:val="auto"/>
          <w:kern w:val="0"/>
          <w:sz w:val="24"/>
          <w:highlight w:val="none"/>
        </w:rPr>
        <w:t>十</w:t>
      </w:r>
      <w:r>
        <w:rPr>
          <w:rFonts w:hint="eastAsia" w:ascii="仿宋" w:hAnsi="仿宋" w:eastAsia="仿宋"/>
          <w:b/>
          <w:bCs/>
          <w:color w:val="auto"/>
          <w:kern w:val="0"/>
          <w:sz w:val="24"/>
          <w:highlight w:val="none"/>
        </w:rPr>
        <w:t>五</w:t>
      </w:r>
      <w:r>
        <w:rPr>
          <w:rFonts w:ascii="仿宋" w:hAnsi="仿宋" w:eastAsia="仿宋"/>
          <w:b/>
          <w:bCs/>
          <w:color w:val="auto"/>
          <w:kern w:val="0"/>
          <w:sz w:val="24"/>
          <w:highlight w:val="none"/>
        </w:rPr>
        <w:t>、</w:t>
      </w:r>
      <w:r>
        <w:rPr>
          <w:rFonts w:hint="eastAsia" w:ascii="仿宋" w:hAnsi="仿宋" w:eastAsia="仿宋" w:cs="宋体"/>
          <w:b/>
          <w:bCs/>
          <w:color w:val="auto"/>
          <w:kern w:val="0"/>
          <w:sz w:val="24"/>
          <w:highlight w:val="none"/>
        </w:rPr>
        <w:t>项目合同生效及其它</w:t>
      </w:r>
    </w:p>
    <w:p>
      <w:pPr>
        <w:widowControl/>
        <w:tabs>
          <w:tab w:val="left" w:pos="720"/>
        </w:tabs>
        <w:snapToGrid w:val="0"/>
        <w:spacing w:line="400" w:lineRule="exact"/>
        <w:ind w:left="720" w:firstLine="482" w:firstLineChars="200"/>
        <w:jc w:val="left"/>
        <w:rPr>
          <w:rFonts w:ascii="仿宋" w:hAnsi="仿宋" w:eastAsia="仿宋" w:cs="宋体"/>
          <w:b/>
          <w:bCs/>
          <w:color w:val="auto"/>
          <w:kern w:val="0"/>
          <w:sz w:val="24"/>
          <w:highlight w:val="none"/>
        </w:rPr>
      </w:pPr>
      <w:r>
        <w:rPr>
          <w:rFonts w:ascii="仿宋" w:hAnsi="仿宋" w:eastAsia="仿宋"/>
          <w:b/>
          <w:bCs/>
          <w:color w:val="auto"/>
          <w:kern w:val="0"/>
          <w:sz w:val="24"/>
          <w:highlight w:val="none"/>
        </w:rPr>
        <w:t>十</w:t>
      </w:r>
      <w:r>
        <w:rPr>
          <w:rFonts w:hint="eastAsia" w:ascii="仿宋" w:hAnsi="仿宋" w:eastAsia="仿宋"/>
          <w:b/>
          <w:bCs/>
          <w:color w:val="auto"/>
          <w:kern w:val="0"/>
          <w:sz w:val="24"/>
          <w:highlight w:val="none"/>
        </w:rPr>
        <w:t>六</w:t>
      </w:r>
      <w:r>
        <w:rPr>
          <w:rFonts w:ascii="仿宋" w:hAnsi="仿宋" w:eastAsia="仿宋"/>
          <w:b/>
          <w:bCs/>
          <w:color w:val="auto"/>
          <w:kern w:val="0"/>
          <w:sz w:val="24"/>
          <w:highlight w:val="none"/>
        </w:rPr>
        <w:t>、</w:t>
      </w:r>
      <w:r>
        <w:rPr>
          <w:rFonts w:hint="eastAsia" w:ascii="仿宋" w:hAnsi="仿宋" w:eastAsia="仿宋" w:cs="宋体"/>
          <w:b/>
          <w:bCs/>
          <w:color w:val="auto"/>
          <w:kern w:val="0"/>
          <w:sz w:val="24"/>
          <w:highlight w:val="none"/>
        </w:rPr>
        <w:t>项目合同签字及签章</w:t>
      </w:r>
    </w:p>
    <w:p>
      <w:pPr>
        <w:widowControl/>
        <w:snapToGrid w:val="0"/>
        <w:spacing w:line="400" w:lineRule="exact"/>
        <w:ind w:firstLine="480" w:firstLineChars="200"/>
        <w:jc w:val="left"/>
        <w:rPr>
          <w:rFonts w:hint="eastAsia" w:ascii="仿宋" w:hAnsi="仿宋" w:eastAsia="仿宋" w:cs="宋体"/>
          <w:color w:val="auto"/>
          <w:kern w:val="0"/>
          <w:sz w:val="24"/>
          <w:highlight w:val="none"/>
        </w:rPr>
      </w:pPr>
    </w:p>
    <w:p>
      <w:pPr>
        <w:widowControl/>
        <w:snapToGrid w:val="0"/>
        <w:spacing w:line="400" w:lineRule="exact"/>
        <w:ind w:firstLine="480" w:firstLineChars="200"/>
        <w:jc w:val="left"/>
        <w:rPr>
          <w:rFonts w:hint="eastAsia" w:ascii="仿宋" w:hAnsi="仿宋" w:eastAsia="仿宋" w:cs="宋体"/>
          <w:color w:val="auto"/>
          <w:kern w:val="0"/>
          <w:sz w:val="24"/>
          <w:highlight w:val="none"/>
        </w:rPr>
      </w:pPr>
    </w:p>
    <w:p>
      <w:pPr>
        <w:widowControl/>
        <w:snapToGrid w:val="0"/>
        <w:spacing w:line="400" w:lineRule="exact"/>
        <w:ind w:firstLine="480" w:firstLineChars="200"/>
        <w:jc w:val="left"/>
        <w:rPr>
          <w:rFonts w:hint="eastAsia" w:ascii="仿宋" w:hAnsi="仿宋" w:eastAsia="仿宋" w:cs="宋体"/>
          <w:color w:val="auto"/>
          <w:kern w:val="0"/>
          <w:sz w:val="24"/>
          <w:highlight w:val="none"/>
        </w:rPr>
      </w:pPr>
    </w:p>
    <w:p>
      <w:pPr>
        <w:widowControl/>
        <w:tabs>
          <w:tab w:val="left" w:pos="495"/>
        </w:tabs>
        <w:snapToGrid w:val="0"/>
        <w:spacing w:line="400" w:lineRule="exact"/>
        <w:ind w:left="495" w:firstLine="480" w:firstLineChars="200"/>
        <w:jc w:val="left"/>
        <w:rPr>
          <w:rFonts w:hint="eastAsia" w:ascii="仿宋" w:hAnsi="仿宋" w:eastAsia="仿宋" w:cs="黑体"/>
          <w:color w:val="auto"/>
          <w:kern w:val="0"/>
          <w:sz w:val="24"/>
          <w:highlight w:val="none"/>
        </w:rPr>
        <w:sectPr>
          <w:footerReference r:id="rId9" w:type="default"/>
          <w:pgSz w:w="12240" w:h="15840"/>
          <w:pgMar w:top="1440" w:right="1080" w:bottom="1440" w:left="1080" w:header="720" w:footer="720" w:gutter="0"/>
          <w:cols w:space="720" w:num="1"/>
        </w:sectPr>
      </w:pPr>
    </w:p>
    <w:p>
      <w:pPr>
        <w:widowControl/>
        <w:tabs>
          <w:tab w:val="left" w:pos="495"/>
        </w:tabs>
        <w:snapToGrid w:val="0"/>
        <w:spacing w:line="400" w:lineRule="exact"/>
        <w:ind w:left="-2" w:leftChars="-1" w:firstLine="391" w:firstLineChars="177"/>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一、总则</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 xml:space="preserve">（一） </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年</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月</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日在温州市公安局的</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（招标采购或自行采购）中，甲方接受乙方对本次</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项目的投标，甲、乙双方根据《中华人民共和国民法典》、《中华人民共和国政府采购法》等法律法规和本合同的招标文件、投标文件及其投标中的承诺，经双方协商，同意按下述条款和条件签订本合同，共同遵守；</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（二）项目服务目标：（根据招标文件、投标文件内容填写）；</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（三）项目服务内容：（根据招标文件、投标文件内容填写）。</w:t>
      </w:r>
    </w:p>
    <w:p>
      <w:pPr>
        <w:widowControl/>
        <w:tabs>
          <w:tab w:val="left" w:pos="495"/>
        </w:tabs>
        <w:snapToGrid w:val="0"/>
        <w:spacing w:line="400" w:lineRule="exact"/>
        <w:ind w:left="-2" w:leftChars="-1" w:firstLine="391" w:firstLineChars="177"/>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二、甲方责任</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（一）甲方提出</w:t>
      </w:r>
      <w:r>
        <w:rPr>
          <w:rFonts w:hint="eastAsia" w:ascii="仿宋" w:hAnsi="仿宋" w:eastAsia="仿宋" w:cs="仿宋"/>
          <w:color w:val="auto"/>
          <w:kern w:val="0"/>
          <w:sz w:val="22"/>
          <w:szCs w:val="22"/>
          <w:highlight w:val="none"/>
          <w:lang w:val="en-US" w:eastAsia="zh-CN"/>
        </w:rPr>
        <w:t>咨询监理</w:t>
      </w:r>
      <w:r>
        <w:rPr>
          <w:rFonts w:hint="eastAsia" w:ascii="仿宋" w:hAnsi="仿宋" w:eastAsia="仿宋" w:cs="仿宋"/>
          <w:color w:val="auto"/>
          <w:kern w:val="0"/>
          <w:sz w:val="22"/>
          <w:szCs w:val="22"/>
          <w:highlight w:val="none"/>
        </w:rPr>
        <w:t>服务的需求，负责总体组织工作，并保留根据实际工作需求，对</w:t>
      </w:r>
      <w:r>
        <w:rPr>
          <w:rFonts w:hint="eastAsia" w:ascii="仿宋" w:hAnsi="仿宋" w:eastAsia="仿宋" w:cs="仿宋"/>
          <w:color w:val="auto"/>
          <w:kern w:val="0"/>
          <w:sz w:val="22"/>
          <w:szCs w:val="22"/>
          <w:highlight w:val="none"/>
          <w:lang w:val="en-US" w:eastAsia="zh-CN"/>
        </w:rPr>
        <w:t>咨询监理</w:t>
      </w:r>
      <w:r>
        <w:rPr>
          <w:rFonts w:hint="eastAsia" w:ascii="仿宋" w:hAnsi="仿宋" w:eastAsia="仿宋" w:cs="仿宋"/>
          <w:color w:val="auto"/>
          <w:kern w:val="0"/>
          <w:sz w:val="22"/>
          <w:szCs w:val="22"/>
          <w:highlight w:val="none"/>
        </w:rPr>
        <w:t>服务提出适当调整的权利；</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（二）甲方应为乙方工作提供必要的工作环境；</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（三）甲方负责协调最终甲方和乙方的关系，并提供最终甲方的联系方式；</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（四）甲方对乙方向甲方提供的内部资料予以保密，且不向任何第三方泄露乙方的商业机密和技术机密。</w:t>
      </w:r>
    </w:p>
    <w:p>
      <w:pPr>
        <w:widowControl/>
        <w:snapToGrid w:val="0"/>
        <w:spacing w:before="156" w:line="400" w:lineRule="exact"/>
        <w:ind w:firstLine="389" w:firstLineChars="176"/>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三、乙方责任</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（一）乙方应根据项目招标文件中服务要求细化服务方案，并根据投标文件中的服务要求负责项目的具体工作；</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（二）乙方根据招标文件的服务要求完成</w:t>
      </w:r>
      <w:r>
        <w:rPr>
          <w:rFonts w:hint="eastAsia" w:ascii="仿宋" w:hAnsi="仿宋" w:eastAsia="仿宋" w:cs="仿宋"/>
          <w:color w:val="auto"/>
          <w:kern w:val="0"/>
          <w:sz w:val="22"/>
          <w:szCs w:val="22"/>
          <w:highlight w:val="none"/>
          <w:lang w:val="en-US" w:eastAsia="zh-CN"/>
        </w:rPr>
        <w:t>深化设计方案、</w:t>
      </w:r>
      <w:r>
        <w:rPr>
          <w:rFonts w:hint="eastAsia" w:ascii="仿宋" w:hAnsi="仿宋" w:eastAsia="仿宋" w:cs="仿宋"/>
          <w:color w:val="auto"/>
          <w:sz w:val="22"/>
          <w:szCs w:val="22"/>
          <w:highlight w:val="none"/>
          <w:lang w:val="en-US" w:eastAsia="zh-CN"/>
        </w:rPr>
        <w:t>事前绩效评估报告、事后绩效评估报告等文档编制并提供咨询监理等相关服务</w:t>
      </w:r>
      <w:r>
        <w:rPr>
          <w:rFonts w:hint="eastAsia" w:ascii="仿宋" w:hAnsi="仿宋" w:eastAsia="仿宋" w:cs="仿宋"/>
          <w:color w:val="auto"/>
          <w:kern w:val="0"/>
          <w:sz w:val="22"/>
          <w:szCs w:val="22"/>
          <w:highlight w:val="none"/>
        </w:rPr>
        <w:t>；</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（三）乙方保证按合同规定时间完工；</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四）未经甲方书面授权或同意，乙方不得以任何方式将项目部分或全部转交第三方或由第三方提供相关服务。否则一经发现，甲方有权立即单方解除合同，乙方应立即返还甲方已经支付的全部项目款，并赔偿甲方合同总价 5 %的违约金；</w:t>
      </w:r>
    </w:p>
    <w:p>
      <w:pPr>
        <w:widowControl/>
        <w:tabs>
          <w:tab w:val="left" w:pos="495"/>
        </w:tabs>
        <w:snapToGrid w:val="0"/>
        <w:spacing w:line="400" w:lineRule="exact"/>
        <w:ind w:firstLine="389" w:firstLineChars="176"/>
        <w:jc w:val="left"/>
        <w:outlineLvl w:val="0"/>
        <w:rPr>
          <w:rFonts w:hint="eastAsia" w:ascii="仿宋" w:hAnsi="仿宋" w:eastAsia="仿宋" w:cs="仿宋"/>
          <w:color w:val="auto"/>
          <w:kern w:val="0"/>
          <w:sz w:val="22"/>
          <w:szCs w:val="22"/>
          <w:highlight w:val="none"/>
        </w:rPr>
      </w:pPr>
      <w:r>
        <w:rPr>
          <w:rFonts w:hint="eastAsia" w:ascii="仿宋" w:hAnsi="仿宋" w:eastAsia="仿宋" w:cs="仿宋"/>
          <w:b/>
          <w:bCs/>
          <w:color w:val="auto"/>
          <w:kern w:val="0"/>
          <w:sz w:val="22"/>
          <w:szCs w:val="22"/>
          <w:highlight w:val="none"/>
        </w:rPr>
        <w:t>四、项目工期与验收</w:t>
      </w:r>
    </w:p>
    <w:p>
      <w:pPr>
        <w:widowControl/>
        <w:tabs>
          <w:tab w:val="left" w:pos="495"/>
        </w:tabs>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1、服务时间：。</w:t>
      </w:r>
    </w:p>
    <w:p>
      <w:pPr>
        <w:widowControl/>
        <w:tabs>
          <w:tab w:val="left" w:pos="495"/>
        </w:tabs>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2、项目履约验收：。</w:t>
      </w:r>
    </w:p>
    <w:p>
      <w:pPr>
        <w:widowControl/>
        <w:snapToGrid w:val="0"/>
        <w:spacing w:line="400" w:lineRule="exact"/>
        <w:ind w:firstLine="389" w:firstLineChars="176"/>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五、技术</w:t>
      </w:r>
      <w:r>
        <w:rPr>
          <w:rFonts w:hint="eastAsia" w:ascii="仿宋" w:hAnsi="仿宋" w:eastAsia="仿宋" w:cs="仿宋"/>
          <w:b/>
          <w:bCs/>
          <w:color w:val="auto"/>
          <w:kern w:val="0"/>
          <w:sz w:val="22"/>
          <w:szCs w:val="22"/>
          <w:highlight w:val="none"/>
          <w:lang w:val="en-US" w:eastAsia="zh-CN"/>
        </w:rPr>
        <w:t>支持</w:t>
      </w:r>
      <w:r>
        <w:rPr>
          <w:rFonts w:hint="eastAsia" w:ascii="仿宋" w:hAnsi="仿宋" w:eastAsia="仿宋" w:cs="仿宋"/>
          <w:b/>
          <w:bCs/>
          <w:color w:val="auto"/>
          <w:kern w:val="0"/>
          <w:sz w:val="22"/>
          <w:szCs w:val="22"/>
          <w:highlight w:val="none"/>
        </w:rPr>
        <w:t>和售后服务</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乙方应按附件《技术支持和售后服务方案》的内容为甲方提供免费技术</w:t>
      </w:r>
      <w:r>
        <w:rPr>
          <w:rFonts w:hint="eastAsia" w:ascii="仿宋" w:hAnsi="仿宋" w:eastAsia="仿宋" w:cs="仿宋"/>
          <w:color w:val="auto"/>
          <w:kern w:val="0"/>
          <w:sz w:val="22"/>
          <w:szCs w:val="22"/>
          <w:highlight w:val="none"/>
          <w:lang w:val="en-US" w:eastAsia="zh-CN"/>
        </w:rPr>
        <w:t>支持</w:t>
      </w:r>
      <w:r>
        <w:rPr>
          <w:rFonts w:hint="eastAsia" w:ascii="仿宋" w:hAnsi="仿宋" w:eastAsia="仿宋" w:cs="仿宋"/>
          <w:color w:val="auto"/>
          <w:kern w:val="0"/>
          <w:sz w:val="22"/>
          <w:szCs w:val="22"/>
          <w:highlight w:val="none"/>
        </w:rPr>
        <w:t>和售后服务。</w:t>
      </w:r>
    </w:p>
    <w:p>
      <w:pPr>
        <w:widowControl/>
        <w:snapToGrid w:val="0"/>
        <w:spacing w:line="400" w:lineRule="exact"/>
        <w:ind w:firstLine="389" w:firstLineChars="176"/>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六、项目合同金额</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（一）本合同中提及金额均为含税价；</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（二）合同总金额为：人民币：</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元（大写：</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元整）；</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（三）服务清单：</w:t>
      </w:r>
    </w:p>
    <w:p>
      <w:pPr>
        <w:widowControl/>
        <w:snapToGrid w:val="0"/>
        <w:spacing w:line="400" w:lineRule="exact"/>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七、项目合同支付条款</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（一）第一笔款：合同签订生效后，甲方在收到乙方提供的下列单据7个工作日内，向乙方支付合同总价的</w:t>
      </w:r>
      <w:r>
        <w:rPr>
          <w:rFonts w:hint="eastAsia" w:ascii="仿宋" w:hAnsi="仿宋" w:eastAsia="仿宋" w:cs="仿宋"/>
          <w:color w:val="auto"/>
          <w:kern w:val="0"/>
          <w:sz w:val="22"/>
          <w:szCs w:val="22"/>
          <w:highlight w:val="none"/>
          <w:u w:val="single"/>
          <w:lang w:val="en-US" w:eastAsia="zh-CN"/>
        </w:rPr>
        <w:t xml:space="preserve">  70 </w:t>
      </w:r>
      <w:r>
        <w:rPr>
          <w:rFonts w:hint="eastAsia" w:ascii="仿宋" w:hAnsi="仿宋" w:eastAsia="仿宋" w:cs="仿宋"/>
          <w:color w:val="auto"/>
          <w:kern w:val="0"/>
          <w:sz w:val="22"/>
          <w:szCs w:val="22"/>
          <w:highlight w:val="none"/>
        </w:rPr>
        <w:t>%，即人民币：</w:t>
      </w:r>
      <w:r>
        <w:rPr>
          <w:rFonts w:hint="eastAsia" w:ascii="仿宋" w:hAnsi="仿宋" w:eastAsia="仿宋" w:cs="仿宋"/>
          <w:b/>
          <w:color w:val="auto"/>
          <w:kern w:val="0"/>
          <w:sz w:val="22"/>
          <w:szCs w:val="22"/>
          <w:highlight w:val="none"/>
          <w:u w:val="single"/>
        </w:rPr>
        <w:t xml:space="preserve">        </w:t>
      </w:r>
      <w:r>
        <w:rPr>
          <w:rFonts w:hint="eastAsia" w:ascii="仿宋" w:hAnsi="仿宋" w:eastAsia="仿宋" w:cs="仿宋"/>
          <w:color w:val="auto"/>
          <w:kern w:val="0"/>
          <w:sz w:val="22"/>
          <w:szCs w:val="22"/>
          <w:highlight w:val="none"/>
        </w:rPr>
        <w:t xml:space="preserve"> 元</w:t>
      </w:r>
      <w:r>
        <w:rPr>
          <w:rFonts w:hint="eastAsia" w:ascii="仿宋" w:hAnsi="仿宋" w:eastAsia="仿宋" w:cs="仿宋"/>
          <w:b/>
          <w:color w:val="auto"/>
          <w:kern w:val="0"/>
          <w:sz w:val="22"/>
          <w:szCs w:val="22"/>
          <w:highlight w:val="none"/>
        </w:rPr>
        <w:t>（</w:t>
      </w:r>
      <w:r>
        <w:rPr>
          <w:rFonts w:hint="eastAsia" w:ascii="仿宋" w:hAnsi="仿宋" w:eastAsia="仿宋" w:cs="仿宋"/>
          <w:color w:val="auto"/>
          <w:kern w:val="0"/>
          <w:sz w:val="22"/>
          <w:szCs w:val="22"/>
          <w:highlight w:val="none"/>
        </w:rPr>
        <w:t>大写：</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元整）；</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下列单据包括：</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1.等额</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(普通或者专用)商业发票一份；</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w:t>
      </w:r>
      <w:r>
        <w:rPr>
          <w:rFonts w:hint="eastAsia" w:ascii="仿宋" w:hAnsi="仿宋" w:eastAsia="仿宋" w:cs="仿宋"/>
          <w:color w:val="auto"/>
          <w:kern w:val="0"/>
          <w:sz w:val="22"/>
          <w:szCs w:val="22"/>
          <w:highlight w:val="none"/>
          <w:lang w:val="en-US" w:eastAsia="zh-CN"/>
        </w:rPr>
        <w:t>二</w:t>
      </w:r>
      <w:r>
        <w:rPr>
          <w:rFonts w:hint="eastAsia" w:ascii="仿宋" w:hAnsi="仿宋" w:eastAsia="仿宋" w:cs="仿宋"/>
          <w:color w:val="auto"/>
          <w:kern w:val="0"/>
          <w:sz w:val="22"/>
          <w:szCs w:val="22"/>
          <w:highlight w:val="none"/>
        </w:rPr>
        <w:t>）第</w:t>
      </w:r>
      <w:r>
        <w:rPr>
          <w:rFonts w:hint="eastAsia" w:ascii="仿宋" w:hAnsi="仿宋" w:eastAsia="仿宋" w:cs="仿宋"/>
          <w:color w:val="auto"/>
          <w:kern w:val="0"/>
          <w:sz w:val="22"/>
          <w:szCs w:val="22"/>
          <w:highlight w:val="none"/>
          <w:lang w:val="en-US" w:eastAsia="zh-CN"/>
        </w:rPr>
        <w:t>二</w:t>
      </w:r>
      <w:r>
        <w:rPr>
          <w:rFonts w:hint="eastAsia" w:ascii="仿宋" w:hAnsi="仿宋" w:eastAsia="仿宋" w:cs="仿宋"/>
          <w:color w:val="auto"/>
          <w:kern w:val="0"/>
          <w:sz w:val="22"/>
          <w:szCs w:val="22"/>
          <w:highlight w:val="none"/>
        </w:rPr>
        <w:t>笔款：所有服务项目通过终验后，甲方在收到乙方提供的下列单据7个工作日内，向乙方支付合同总价的</w:t>
      </w:r>
      <w:r>
        <w:rPr>
          <w:rFonts w:hint="eastAsia" w:ascii="仿宋" w:hAnsi="仿宋" w:eastAsia="仿宋" w:cs="仿宋"/>
          <w:color w:val="auto"/>
          <w:kern w:val="0"/>
          <w:sz w:val="22"/>
          <w:szCs w:val="22"/>
          <w:highlight w:val="none"/>
          <w:u w:val="single"/>
          <w:lang w:val="en-US" w:eastAsia="zh-CN"/>
        </w:rPr>
        <w:t xml:space="preserve">  30 </w:t>
      </w:r>
      <w:r>
        <w:rPr>
          <w:rFonts w:hint="eastAsia" w:ascii="仿宋" w:hAnsi="仿宋" w:eastAsia="仿宋" w:cs="仿宋"/>
          <w:color w:val="auto"/>
          <w:kern w:val="0"/>
          <w:sz w:val="22"/>
          <w:szCs w:val="22"/>
          <w:highlight w:val="none"/>
        </w:rPr>
        <w:t>%，即人民币：</w:t>
      </w:r>
      <w:r>
        <w:rPr>
          <w:rFonts w:hint="eastAsia" w:ascii="仿宋" w:hAnsi="仿宋" w:eastAsia="仿宋" w:cs="仿宋"/>
          <w:b/>
          <w:color w:val="auto"/>
          <w:kern w:val="0"/>
          <w:sz w:val="22"/>
          <w:szCs w:val="22"/>
          <w:highlight w:val="none"/>
          <w:u w:val="single"/>
        </w:rPr>
        <w:t xml:space="preserve">        </w:t>
      </w:r>
      <w:r>
        <w:rPr>
          <w:rFonts w:hint="eastAsia" w:ascii="仿宋" w:hAnsi="仿宋" w:eastAsia="仿宋" w:cs="仿宋"/>
          <w:color w:val="auto"/>
          <w:kern w:val="0"/>
          <w:sz w:val="22"/>
          <w:szCs w:val="22"/>
          <w:highlight w:val="none"/>
        </w:rPr>
        <w:t xml:space="preserve"> 元</w:t>
      </w:r>
      <w:r>
        <w:rPr>
          <w:rFonts w:hint="eastAsia" w:ascii="仿宋" w:hAnsi="仿宋" w:eastAsia="仿宋" w:cs="仿宋"/>
          <w:b/>
          <w:color w:val="auto"/>
          <w:kern w:val="0"/>
          <w:sz w:val="22"/>
          <w:szCs w:val="22"/>
          <w:highlight w:val="none"/>
        </w:rPr>
        <w:t>（</w:t>
      </w:r>
      <w:r>
        <w:rPr>
          <w:rFonts w:hint="eastAsia" w:ascii="仿宋" w:hAnsi="仿宋" w:eastAsia="仿宋" w:cs="仿宋"/>
          <w:color w:val="auto"/>
          <w:kern w:val="0"/>
          <w:sz w:val="22"/>
          <w:szCs w:val="22"/>
          <w:highlight w:val="none"/>
        </w:rPr>
        <w:t>大写：</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元整</w:t>
      </w:r>
      <w:r>
        <w:rPr>
          <w:rFonts w:hint="eastAsia" w:ascii="仿宋" w:hAnsi="仿宋" w:eastAsia="仿宋" w:cs="仿宋"/>
          <w:b/>
          <w:color w:val="auto"/>
          <w:kern w:val="0"/>
          <w:sz w:val="22"/>
          <w:szCs w:val="22"/>
          <w:highlight w:val="none"/>
        </w:rPr>
        <w:t>）</w:t>
      </w:r>
      <w:r>
        <w:rPr>
          <w:rFonts w:hint="eastAsia" w:ascii="仿宋" w:hAnsi="仿宋" w:eastAsia="仿宋" w:cs="仿宋"/>
          <w:color w:val="auto"/>
          <w:kern w:val="0"/>
          <w:sz w:val="22"/>
          <w:szCs w:val="22"/>
          <w:highlight w:val="none"/>
        </w:rPr>
        <w:t>；</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下列单据包括：</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1.等额</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(普通或者专用)商业发票一份；</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2.项目的终验报告。</w:t>
      </w:r>
    </w:p>
    <w:p>
      <w:pPr>
        <w:widowControl/>
        <w:snapToGrid w:val="0"/>
        <w:spacing w:line="400" w:lineRule="exact"/>
        <w:ind w:firstLine="389" w:firstLineChars="176"/>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八、项目合同修改</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项目建设过程中原则上不能进行合同变更、修改和补充。若确需变更，经合同双方协商一致后，由项目建设部门向温州市公安局科技信息化局提交变更申请，并经警保、法制、审计等部门论证、审核。只有在双方授权的代表签署书面文件后才有效，并作为附件成为本合同不可分割的组成部分。</w:t>
      </w:r>
    </w:p>
    <w:p>
      <w:pPr>
        <w:widowControl/>
        <w:snapToGrid w:val="0"/>
        <w:spacing w:line="400" w:lineRule="exact"/>
        <w:ind w:firstLine="389" w:firstLineChars="176"/>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九、违约责任</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（一）在履行合同的过程中，如果乙方遇到除不可抗力因素外的情形将不能按照合同规定的时间完成服务时，应当在情况发生时</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日内以书面形式将拖延的事实、可能拖延的时间和原因通知甲方。甲方在收到乙方通知后，应在</w:t>
      </w:r>
      <w:r>
        <w:rPr>
          <w:rFonts w:hint="eastAsia" w:ascii="仿宋" w:hAnsi="仿宋" w:eastAsia="仿宋" w:cs="仿宋"/>
          <w:color w:val="auto"/>
          <w:kern w:val="0"/>
          <w:sz w:val="22"/>
          <w:szCs w:val="22"/>
          <w:highlight w:val="none"/>
          <w:u w:val="single"/>
        </w:rPr>
        <w:t xml:space="preserve"> 7 </w:t>
      </w:r>
      <w:r>
        <w:rPr>
          <w:rFonts w:hint="eastAsia" w:ascii="仿宋" w:hAnsi="仿宋" w:eastAsia="仿宋" w:cs="仿宋"/>
          <w:color w:val="auto"/>
          <w:kern w:val="0"/>
          <w:sz w:val="22"/>
          <w:szCs w:val="22"/>
          <w:highlight w:val="none"/>
        </w:rPr>
        <w:t>日内对情况进行评价，并确定是否酌情延长服务以及是否收取误期赔偿费。延期应由双方书面确认；</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（二）除了合同条款第十一条的情况外，除非延期是根据合同条款第九条第（一）的规定取得甲方的同意而不收取误期赔偿费之外，若乙方违反本合同约定提供服务，</w:t>
      </w:r>
      <w:r>
        <w:rPr>
          <w:rFonts w:hint="eastAsia" w:ascii="仿宋" w:hAnsi="仿宋" w:eastAsia="仿宋" w:cs="仿宋"/>
          <w:color w:val="auto"/>
          <w:sz w:val="22"/>
          <w:szCs w:val="22"/>
          <w:highlight w:val="none"/>
        </w:rPr>
        <w:t>甲方可要求乙方支付违约金，违约金按每迟延一日按合同总价的</w:t>
      </w:r>
      <w:r>
        <w:rPr>
          <w:rFonts w:hint="eastAsia" w:ascii="仿宋" w:hAnsi="仿宋" w:eastAsia="仿宋" w:cs="仿宋"/>
          <w:color w:val="auto"/>
          <w:sz w:val="22"/>
          <w:szCs w:val="22"/>
          <w:highlight w:val="none"/>
          <w:u w:val="single"/>
        </w:rPr>
        <w:t xml:space="preserve">  </w:t>
      </w:r>
      <w:r>
        <w:rPr>
          <w:rFonts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%计算，最高限额为本合同总价的</w:t>
      </w:r>
      <w:r>
        <w:rPr>
          <w:rFonts w:hint="eastAsia" w:ascii="仿宋" w:hAnsi="仿宋" w:eastAsia="仿宋" w:cs="仿宋"/>
          <w:color w:val="auto"/>
          <w:sz w:val="22"/>
          <w:szCs w:val="22"/>
          <w:highlight w:val="none"/>
          <w:u w:val="single"/>
        </w:rPr>
        <w:t xml:space="preserve"> </w:t>
      </w:r>
      <w:r>
        <w:rPr>
          <w:rFonts w:ascii="仿宋" w:hAnsi="仿宋" w:eastAsia="仿宋" w:cs="仿宋"/>
          <w:color w:val="auto"/>
          <w:sz w:val="22"/>
          <w:szCs w:val="22"/>
          <w:highlight w:val="none"/>
          <w:u w:val="single"/>
        </w:rPr>
        <w:t xml:space="preserve"> 20</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%；延期的违约金计算数额达到前述最高限额之日起，甲方有权在要求乙方支付违约金的同时，书面通知乙方解除本合同；</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（三）</w:t>
      </w:r>
      <w:r>
        <w:rPr>
          <w:rFonts w:hint="eastAsia" w:ascii="仿宋" w:hAnsi="仿宋" w:eastAsia="仿宋" w:cs="仿宋"/>
          <w:color w:val="auto"/>
          <w:sz w:val="22"/>
          <w:szCs w:val="22"/>
          <w:highlight w:val="none"/>
        </w:rPr>
        <w:t>除不可抗力外，如果甲方没有按照本合同约定的付款方式付款，那么乙方可要求甲方支付违约金，违约金按每迟延一日按合同总价的</w:t>
      </w:r>
      <w:r>
        <w:rPr>
          <w:rFonts w:hint="eastAsia" w:ascii="仿宋" w:hAnsi="仿宋" w:eastAsia="仿宋" w:cs="仿宋"/>
          <w:color w:val="auto"/>
          <w:sz w:val="22"/>
          <w:szCs w:val="22"/>
          <w:highlight w:val="none"/>
          <w:u w:val="single"/>
        </w:rPr>
        <w:t xml:space="preserve">  </w:t>
      </w:r>
      <w:r>
        <w:rPr>
          <w:rFonts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%计算，最高限额为本合同总价的</w:t>
      </w:r>
      <w:r>
        <w:rPr>
          <w:rFonts w:hint="eastAsia" w:ascii="仿宋" w:hAnsi="仿宋" w:eastAsia="仿宋" w:cs="仿宋"/>
          <w:color w:val="auto"/>
          <w:sz w:val="22"/>
          <w:szCs w:val="22"/>
          <w:highlight w:val="none"/>
          <w:u w:val="single"/>
        </w:rPr>
        <w:t xml:space="preserve"> </w:t>
      </w:r>
      <w:r>
        <w:rPr>
          <w:rFonts w:ascii="仿宋" w:hAnsi="仿宋" w:eastAsia="仿宋" w:cs="仿宋"/>
          <w:color w:val="auto"/>
          <w:sz w:val="22"/>
          <w:szCs w:val="22"/>
          <w:highlight w:val="none"/>
          <w:u w:val="single"/>
        </w:rPr>
        <w:t xml:space="preserve"> 20</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%；迟延付款的违约金计算数额达到前述最高限额之日起，乙方有权在要求甲方支付违约金的同时，书面通知甲方解除本合同；</w:t>
      </w:r>
    </w:p>
    <w:p>
      <w:pPr>
        <w:spacing w:line="400" w:lineRule="exact"/>
        <w:ind w:firstLine="389" w:firstLineChars="177"/>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四）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并要求按本合同总价</w:t>
      </w:r>
      <w:r>
        <w:rPr>
          <w:rFonts w:ascii="仿宋" w:hAnsi="仿宋" w:eastAsia="仿宋" w:cs="仿宋"/>
          <w:color w:val="auto"/>
          <w:sz w:val="22"/>
          <w:szCs w:val="22"/>
          <w:highlight w:val="none"/>
          <w:u w:val="single"/>
        </w:rPr>
        <w:t>20</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%进行赔偿损失。</w:t>
      </w:r>
    </w:p>
    <w:p>
      <w:pPr>
        <w:spacing w:line="400" w:lineRule="exact"/>
        <w:ind w:firstLine="389" w:firstLineChars="177"/>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（五） 任何一方按照前述约定要求违约方支付违约金的同时，仍有权要求违约方继续履行合同、采取补救措施，当违约金不足以弥补所造成的损失时，可要求违约方按照实际损失进行赔偿；任何一方按照前述约定要求解除本合同的同时，仍有权要求违约方支付违约金，当违约金不足以弥补所造成的损失时，可要求违约方按照实际损失进行赔偿；且守约方行使的任何权利救济方式均不视为其放弃了其他法定或者约定的权利救济方式；</w:t>
      </w:r>
    </w:p>
    <w:p>
      <w:pPr>
        <w:spacing w:line="400" w:lineRule="exact"/>
        <w:ind w:firstLine="389" w:firstLineChars="177"/>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（六）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00" w:lineRule="exact"/>
        <w:ind w:firstLine="389" w:firstLineChars="177"/>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（七） </w:t>
      </w:r>
      <w:r>
        <w:rPr>
          <w:rFonts w:hint="eastAsia" w:ascii="仿宋" w:hAnsi="仿宋" w:eastAsia="仿宋" w:cs="仿宋"/>
          <w:color w:val="auto"/>
          <w:kern w:val="0"/>
          <w:sz w:val="22"/>
          <w:szCs w:val="22"/>
          <w:highlight w:val="none"/>
        </w:rPr>
        <w:t>在履行合同的过程中，</w:t>
      </w:r>
      <w:r>
        <w:rPr>
          <w:rFonts w:hint="eastAsia" w:ascii="仿宋" w:hAnsi="仿宋" w:eastAsia="仿宋" w:cs="仿宋"/>
          <w:color w:val="auto"/>
          <w:sz w:val="22"/>
          <w:szCs w:val="22"/>
          <w:highlight w:val="none"/>
        </w:rPr>
        <w:t>乙方不得转包项目，乙方</w:t>
      </w:r>
      <w:r>
        <w:rPr>
          <w:rFonts w:hint="eastAsia" w:ascii="仿宋" w:hAnsi="仿宋" w:eastAsia="仿宋" w:cs="仿宋"/>
          <w:color w:val="auto"/>
          <w:sz w:val="22"/>
          <w:szCs w:val="22"/>
          <w:highlight w:val="none"/>
          <w:u w:val="single"/>
          <w:lang w:val="en-US" w:eastAsia="zh-CN"/>
        </w:rPr>
        <w:t>不可以</w:t>
      </w:r>
      <w:r>
        <w:rPr>
          <w:rFonts w:hint="eastAsia" w:ascii="仿宋" w:hAnsi="仿宋" w:eastAsia="仿宋" w:cs="仿宋"/>
          <w:color w:val="auto"/>
          <w:sz w:val="22"/>
          <w:szCs w:val="22"/>
          <w:highlight w:val="none"/>
        </w:rPr>
        <w:t>分包该项目。否则甲方可以书面通知违约方解除本合同，并要求乙方支付本合同总价</w:t>
      </w:r>
      <w:r>
        <w:rPr>
          <w:rFonts w:hint="eastAsia" w:ascii="仿宋" w:hAnsi="仿宋" w:eastAsia="仿宋" w:cs="仿宋"/>
          <w:color w:val="auto"/>
          <w:sz w:val="22"/>
          <w:szCs w:val="22"/>
          <w:highlight w:val="none"/>
          <w:u w:val="single"/>
        </w:rPr>
        <w:t xml:space="preserve"> </w:t>
      </w:r>
      <w:r>
        <w:rPr>
          <w:rFonts w:ascii="仿宋" w:hAnsi="仿宋" w:eastAsia="仿宋" w:cs="仿宋"/>
          <w:color w:val="auto"/>
          <w:sz w:val="22"/>
          <w:szCs w:val="22"/>
          <w:highlight w:val="none"/>
          <w:u w:val="single"/>
        </w:rPr>
        <w:t>20</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%赔偿损失。</w:t>
      </w:r>
    </w:p>
    <w:p>
      <w:pPr>
        <w:spacing w:line="400" w:lineRule="exact"/>
        <w:ind w:firstLine="389" w:firstLineChars="177"/>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（八）如果出现政府采购监督管理部门在处理投诉事项期间，书面通知甲方暂停采购活动的情形，或者询问或质疑事项可能影响中标结果的，导致甲方中止履行合同的情形，均不视为甲方违约</w:t>
      </w:r>
      <w:r>
        <w:rPr>
          <w:rFonts w:hint="eastAsia" w:ascii="仿宋" w:hAnsi="仿宋" w:eastAsia="仿宋" w:cs="仿宋"/>
          <w:color w:val="auto"/>
          <w:sz w:val="22"/>
          <w:szCs w:val="22"/>
          <w:highlight w:val="none"/>
          <w:lang w:eastAsia="zh-CN"/>
        </w:rPr>
        <w:t>。</w:t>
      </w:r>
    </w:p>
    <w:p>
      <w:pPr>
        <w:widowControl/>
        <w:snapToGrid w:val="0"/>
        <w:spacing w:line="400" w:lineRule="exact"/>
        <w:ind w:firstLine="389" w:firstLineChars="176"/>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十、项目合同终止</w:t>
      </w:r>
    </w:p>
    <w:p>
      <w:pPr>
        <w:widowControl/>
        <w:numPr>
          <w:ilvl w:val="0"/>
          <w:numId w:val="10"/>
        </w:numPr>
        <w:snapToGrid w:val="0"/>
        <w:spacing w:line="400" w:lineRule="exact"/>
        <w:ind w:left="0" w:firstLine="389" w:firstLineChars="177"/>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双方当事人不得擅自中止或者终止合同； </w:t>
      </w:r>
    </w:p>
    <w:p>
      <w:pPr>
        <w:widowControl/>
        <w:numPr>
          <w:ilvl w:val="0"/>
          <w:numId w:val="10"/>
        </w:numPr>
        <w:snapToGrid w:val="0"/>
        <w:spacing w:line="400" w:lineRule="exact"/>
        <w:ind w:left="0" w:firstLine="389" w:firstLineChars="177"/>
        <w:jc w:val="left"/>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合同继续履行将损害国家利益和社会公共利益的，双方当事人应当中止或者终止合同。有过错的一方应当承担赔偿责任，双方当事人都有过错的，各自承担相应的责任；</w:t>
      </w:r>
    </w:p>
    <w:p>
      <w:pPr>
        <w:numPr>
          <w:ilvl w:val="0"/>
          <w:numId w:val="10"/>
        </w:numPr>
        <w:spacing w:line="400" w:lineRule="exact"/>
        <w:ind w:left="142" w:firstLine="259" w:firstLineChars="118"/>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idowControl/>
        <w:snapToGrid w:val="0"/>
        <w:spacing w:line="400" w:lineRule="exact"/>
        <w:ind w:firstLine="389" w:firstLineChars="176"/>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十一、不可抗力</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本合同规定的不可抗力事件是指甲乙双方在缔结合同时所不能预见的，并且它的发生及其后果是无法避免和无法克服的事件，诸如战争和严重的风灾、水灾、雪灾、地震等自然灾害，以及政策性等不由双方控制的，也包括双方同意的其他不可抗力事件；</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（二）签约双方任一方由于受不可抗力事件的影响而不能执行合同时，履行合同的期限应予以延长，其延长的期限应相当于事件所影响的时间；</w:t>
      </w:r>
    </w:p>
    <w:p>
      <w:pPr>
        <w:spacing w:line="400" w:lineRule="exact"/>
        <w:ind w:firstLine="389" w:firstLineChars="177"/>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三）因不可抗力事件受阻一方应在不可抗力事件发生后尽快用书面方式或电报、传真通知对方，并于事件发生后7天内将有关国家职能机关或具有国家授权认定的机构出具的证明文件及其他说明材料用特快专递或挂号信寄给对方审阅确认，一旦不可抗力事件的影响预计持续60天以上，双方应通过友好协商15天的时间内达成进一步履行合同的协议，如不能达成共识，任何一方有权单方解除合同，由另一方给予受不可抗力影响的一方适当补偿。</w:t>
      </w:r>
    </w:p>
    <w:p>
      <w:pPr>
        <w:widowControl/>
        <w:snapToGrid w:val="0"/>
        <w:spacing w:line="400" w:lineRule="exact"/>
        <w:ind w:firstLine="389" w:firstLineChars="176"/>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十二、项目保密</w:t>
      </w:r>
    </w:p>
    <w:p>
      <w:pPr>
        <w:widowControl/>
        <w:tabs>
          <w:tab w:val="left" w:pos="0"/>
        </w:tabs>
        <w:spacing w:line="400" w:lineRule="exact"/>
        <w:ind w:firstLine="389" w:firstLineChars="177"/>
        <w:jc w:val="left"/>
        <w:rPr>
          <w:rFonts w:hint="eastAsia" w:ascii="仿宋" w:hAnsi="仿宋" w:eastAsia="仿宋" w:cs="仿宋"/>
          <w:color w:val="auto"/>
          <w:sz w:val="22"/>
          <w:szCs w:val="22"/>
          <w:highlight w:val="none"/>
        </w:rPr>
      </w:pPr>
      <w:bookmarkStart w:id="450" w:name="_Hlk95233671"/>
      <w:r>
        <w:rPr>
          <w:rFonts w:hint="eastAsia" w:ascii="仿宋" w:hAnsi="仿宋" w:eastAsia="仿宋" w:cs="仿宋"/>
          <w:color w:val="auto"/>
          <w:sz w:val="22"/>
          <w:szCs w:val="22"/>
          <w:highlight w:val="none"/>
          <w:shd w:val="clear" w:color="auto" w:fill="FFFFFF"/>
        </w:rPr>
        <w:t>（一）甲方向乙方提供的所有资料，仅供本项目小组人员参考使用，乙方须严守资料中所涉秘密、妥善保管，不得遗失、不得向本项目小组以外的单位或个人转借、复印等，不得用于与本项目研发、运行无关的用途。乙方更换本项目小组成员时应获得甲方书面同意，并立即向项目小组成员收回甲方提供的所以资料，否则</w:t>
      </w:r>
      <w:bookmarkEnd w:id="450"/>
      <w:r>
        <w:rPr>
          <w:rFonts w:hint="eastAsia" w:ascii="仿宋" w:hAnsi="仿宋" w:eastAsia="仿宋" w:cs="仿宋"/>
          <w:color w:val="auto"/>
          <w:kern w:val="0"/>
          <w:sz w:val="22"/>
          <w:szCs w:val="22"/>
          <w:highlight w:val="none"/>
        </w:rPr>
        <w:t>乙方应承担违约责任，向甲方支付违约金，违约金数额为本合同总价的20%；</w:t>
      </w:r>
    </w:p>
    <w:p>
      <w:pPr>
        <w:widowControl/>
        <w:tabs>
          <w:tab w:val="left" w:pos="0"/>
        </w:tabs>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（二）乙方发现甲方的保密事项已经泄露或可能泄露时，应当立即采取补救措施，并及时书面报告甲方；</w:t>
      </w:r>
    </w:p>
    <w:p>
      <w:pPr>
        <w:widowControl/>
        <w:tabs>
          <w:tab w:val="left" w:pos="0"/>
        </w:tabs>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（三）本项目完成后15天内，乙方应主动退还本项目过程中甲方提供的全部资料；</w:t>
      </w:r>
    </w:p>
    <w:p>
      <w:pPr>
        <w:widowControl/>
        <w:tabs>
          <w:tab w:val="left" w:pos="560"/>
        </w:tabs>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（四）乙方在接受和退还涉密内容的资料时建立登记制度；</w:t>
      </w:r>
    </w:p>
    <w:p>
      <w:pPr>
        <w:widowControl/>
        <w:tabs>
          <w:tab w:val="left" w:pos="560"/>
        </w:tabs>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五）乙方造成的泄失密事件，乙方应承担违约责任，向甲方支付违约金，违约金数额为本合同总价的20%，若泄密事件造成甲方的实际经济损失大于违约金数额，则乙方应赔偿甲方实际经济损失；构成刑事犯罪的，还应依法追究刑事责任；</w:t>
      </w:r>
    </w:p>
    <w:p>
      <w:pPr>
        <w:widowControl/>
        <w:tabs>
          <w:tab w:val="left" w:pos="0"/>
        </w:tabs>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六）本项目所有文档及本项目所接触的双方资料，未经对方授权代表书面许可，不得向与合同无关的其他方泄漏任何技术文件或与合同有关的数据，包括合同本身。不论本协议或合同是否期满、变更、解除、终止，本条款均有效；</w:t>
      </w:r>
    </w:p>
    <w:p>
      <w:pPr>
        <w:widowControl/>
        <w:tabs>
          <w:tab w:val="left" w:pos="0"/>
        </w:tabs>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（七）乙方应与甲方签订安全保密协议（附件</w:t>
      </w:r>
      <w:r>
        <w:rPr>
          <w:rFonts w:hint="eastAsia" w:ascii="仿宋" w:hAnsi="仿宋" w:eastAsia="仿宋" w:cs="仿宋"/>
          <w:color w:val="auto"/>
          <w:kern w:val="0"/>
          <w:sz w:val="22"/>
          <w:szCs w:val="22"/>
          <w:highlight w:val="none"/>
          <w:lang w:val="en-US" w:eastAsia="zh-CN"/>
        </w:rPr>
        <w:t>五</w:t>
      </w:r>
      <w:r>
        <w:rPr>
          <w:rFonts w:hint="eastAsia" w:ascii="仿宋" w:hAnsi="仿宋" w:eastAsia="仿宋" w:cs="仿宋"/>
          <w:color w:val="auto"/>
          <w:kern w:val="0"/>
          <w:sz w:val="22"/>
          <w:szCs w:val="22"/>
          <w:highlight w:val="none"/>
        </w:rPr>
        <w:t>），甲方有权对乙方进行资格审查，开展安全教育，落实安全监管措施，指派具有相应技术能力的人员对乙方操作行为全程监督、严格审计。</w:t>
      </w:r>
    </w:p>
    <w:p>
      <w:pPr>
        <w:spacing w:line="400" w:lineRule="exact"/>
        <w:ind w:firstLine="389" w:firstLineChars="176"/>
        <w:outlineLvl w:val="0"/>
        <w:rPr>
          <w:rFonts w:hint="eastAsia" w:ascii="仿宋" w:hAnsi="仿宋" w:eastAsia="仿宋" w:cs="仿宋"/>
          <w:b/>
          <w:color w:val="auto"/>
          <w:kern w:val="0"/>
          <w:sz w:val="22"/>
          <w:szCs w:val="22"/>
          <w:highlight w:val="none"/>
        </w:rPr>
      </w:pPr>
      <w:r>
        <w:rPr>
          <w:rFonts w:hint="eastAsia" w:ascii="仿宋" w:hAnsi="仿宋" w:eastAsia="仿宋" w:cs="仿宋"/>
          <w:b/>
          <w:color w:val="auto"/>
          <w:kern w:val="0"/>
          <w:sz w:val="22"/>
          <w:szCs w:val="22"/>
          <w:highlight w:val="none"/>
        </w:rPr>
        <w:t>十三、争议解决方式</w:t>
      </w:r>
    </w:p>
    <w:p>
      <w:pPr>
        <w:spacing w:line="400" w:lineRule="exact"/>
        <w:ind w:firstLine="389" w:firstLineChars="177"/>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（一）合同的实施或与合同有关的一切争端应通过双方友好协商解决。如果友好协商自争端出现之日起60天后还不能解决，任何一方都可依法提交甲方所在地有管辖权的人民法院解决；</w:t>
      </w:r>
    </w:p>
    <w:p>
      <w:pPr>
        <w:spacing w:line="400" w:lineRule="exact"/>
        <w:ind w:firstLine="389" w:firstLineChars="177"/>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（二）由此产生的所有费用，包括但不限于诉讼费、律师费、公告费、保全费、差旅费等一切费用由败诉方承担；</w:t>
      </w:r>
    </w:p>
    <w:p>
      <w:pPr>
        <w:spacing w:line="400" w:lineRule="exact"/>
        <w:ind w:firstLine="389" w:firstLineChars="177"/>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（三）在诉讼期间，除正在进行诉讼的部分以外，双方应继续执行合同的其余部分；</w:t>
      </w:r>
    </w:p>
    <w:p>
      <w:pPr>
        <w:spacing w:line="400" w:lineRule="exact"/>
        <w:ind w:firstLine="389" w:firstLineChars="177"/>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（四）本合同适用中华人民共和国法律。</w:t>
      </w:r>
    </w:p>
    <w:p>
      <w:pPr>
        <w:widowControl/>
        <w:snapToGrid w:val="0"/>
        <w:spacing w:line="400" w:lineRule="exact"/>
        <w:ind w:firstLine="389" w:firstLineChars="176"/>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十四、项目合同附件清单</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附件一：招标文件</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附件二：乙方投标书</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附件三：《技术支持和售后服务方案》</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附件</w:t>
      </w:r>
      <w:r>
        <w:rPr>
          <w:rFonts w:hint="eastAsia" w:ascii="仿宋" w:hAnsi="仿宋" w:eastAsia="仿宋" w:cs="仿宋"/>
          <w:color w:val="auto"/>
          <w:kern w:val="0"/>
          <w:sz w:val="22"/>
          <w:szCs w:val="22"/>
          <w:highlight w:val="none"/>
          <w:lang w:val="en-US" w:eastAsia="zh-CN"/>
        </w:rPr>
        <w:t>四</w:t>
      </w:r>
      <w:r>
        <w:rPr>
          <w:rFonts w:hint="eastAsia" w:ascii="仿宋" w:hAnsi="仿宋" w:eastAsia="仿宋" w:cs="仿宋"/>
          <w:color w:val="auto"/>
          <w:kern w:val="0"/>
          <w:sz w:val="22"/>
          <w:szCs w:val="22"/>
          <w:highlight w:val="none"/>
        </w:rPr>
        <w:t>：</w:t>
      </w:r>
      <w:r>
        <w:rPr>
          <w:rFonts w:hint="eastAsia" w:ascii="仿宋" w:hAnsi="仿宋" w:eastAsia="仿宋" w:cs="仿宋"/>
          <w:color w:val="auto"/>
          <w:sz w:val="22"/>
          <w:szCs w:val="22"/>
          <w:highlight w:val="none"/>
        </w:rPr>
        <w:t>项目管理小组与驻场人员名单成员（包含但不限于驻场人员姓名、资质证书、身份证号码、联系方式、职务、社保证明等）</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附件</w:t>
      </w:r>
      <w:r>
        <w:rPr>
          <w:rFonts w:hint="eastAsia" w:ascii="仿宋" w:hAnsi="仿宋" w:eastAsia="仿宋" w:cs="仿宋"/>
          <w:color w:val="auto"/>
          <w:kern w:val="0"/>
          <w:sz w:val="22"/>
          <w:szCs w:val="22"/>
          <w:highlight w:val="none"/>
          <w:lang w:val="en-US" w:eastAsia="zh-CN"/>
        </w:rPr>
        <w:t>五</w:t>
      </w:r>
      <w:r>
        <w:rPr>
          <w:rFonts w:hint="eastAsia" w:ascii="仿宋" w:hAnsi="仿宋" w:eastAsia="仿宋" w:cs="仿宋"/>
          <w:color w:val="auto"/>
          <w:kern w:val="0"/>
          <w:sz w:val="22"/>
          <w:szCs w:val="22"/>
          <w:highlight w:val="none"/>
        </w:rPr>
        <w:t>：保密协议</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（可按项目实际</w:t>
      </w:r>
      <w:r>
        <w:rPr>
          <w:rFonts w:hint="eastAsia" w:ascii="仿宋" w:hAnsi="仿宋" w:eastAsia="仿宋" w:cs="仿宋"/>
          <w:b/>
          <w:bCs/>
          <w:color w:val="auto"/>
          <w:kern w:val="0"/>
          <w:sz w:val="22"/>
          <w:szCs w:val="22"/>
          <w:highlight w:val="none"/>
        </w:rPr>
        <w:t>增加</w:t>
      </w:r>
      <w:r>
        <w:rPr>
          <w:rFonts w:hint="eastAsia" w:ascii="仿宋" w:hAnsi="仿宋" w:eastAsia="仿宋" w:cs="仿宋"/>
          <w:color w:val="auto"/>
          <w:kern w:val="0"/>
          <w:sz w:val="22"/>
          <w:szCs w:val="22"/>
          <w:highlight w:val="none"/>
        </w:rPr>
        <w:t>附件内容）</w:t>
      </w:r>
    </w:p>
    <w:p>
      <w:pPr>
        <w:widowControl/>
        <w:snapToGrid w:val="0"/>
        <w:spacing w:line="400" w:lineRule="exact"/>
        <w:ind w:firstLine="389" w:firstLineChars="176"/>
        <w:jc w:val="left"/>
        <w:outlineLvl w:val="0"/>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十五、项目合同生效及其它</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（一）本合同自双方授权代表签字并加盖公章之日起生效；</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（二）本合同一式</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份，甲方执</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份，乙方执</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份，代理执</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份。</w:t>
      </w:r>
      <w:r>
        <w:rPr>
          <w:rFonts w:hint="eastAsia" w:ascii="仿宋" w:hAnsi="仿宋" w:eastAsia="仿宋" w:cs="仿宋"/>
          <w:bCs/>
          <w:color w:val="auto"/>
          <w:kern w:val="0"/>
          <w:sz w:val="22"/>
          <w:szCs w:val="22"/>
          <w:highlight w:val="none"/>
        </w:rPr>
        <w:t>本项目合同附件及招标文件、乙方投标书等是合同不可分</w:t>
      </w:r>
      <w:r>
        <w:rPr>
          <w:rFonts w:hint="eastAsia" w:ascii="仿宋" w:hAnsi="仿宋" w:eastAsia="仿宋" w:cs="仿宋"/>
          <w:color w:val="auto"/>
          <w:kern w:val="0"/>
          <w:sz w:val="22"/>
          <w:szCs w:val="22"/>
          <w:highlight w:val="none"/>
        </w:rPr>
        <w:t>割的一部分，具有同等法律效力；</w:t>
      </w:r>
    </w:p>
    <w:p>
      <w:pPr>
        <w:widowControl/>
        <w:snapToGrid w:val="0"/>
        <w:spacing w:line="400" w:lineRule="exact"/>
        <w:ind w:firstLine="389" w:firstLineChars="177"/>
        <w:jc w:val="left"/>
        <w:rPr>
          <w:rFonts w:hint="eastAsia" w:ascii="仿宋" w:hAnsi="仿宋" w:eastAsia="仿宋" w:cs="仿宋"/>
          <w:bCs/>
          <w:color w:val="auto"/>
          <w:kern w:val="0"/>
          <w:sz w:val="22"/>
          <w:szCs w:val="22"/>
          <w:highlight w:val="none"/>
        </w:rPr>
      </w:pPr>
      <w:r>
        <w:rPr>
          <w:rFonts w:hint="eastAsia" w:ascii="仿宋" w:hAnsi="仿宋" w:eastAsia="仿宋" w:cs="仿宋"/>
          <w:bCs/>
          <w:color w:val="auto"/>
          <w:kern w:val="0"/>
          <w:sz w:val="22"/>
          <w:szCs w:val="22"/>
          <w:highlight w:val="none"/>
        </w:rPr>
        <w:t>（三）本合同终止日期为设备及系统保修期的结束日期，到期后自行终止；</w:t>
      </w:r>
    </w:p>
    <w:p>
      <w:pPr>
        <w:widowControl/>
        <w:snapToGrid w:val="0"/>
        <w:spacing w:line="400" w:lineRule="exact"/>
        <w:ind w:firstLine="389" w:firstLineChars="177"/>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（四）送达条款。</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16.4.1 本合同项下任何一方向对方发出的通知、信件、数据电文等，应当发送至本合同（首部/附件/下列）约定的地址、联系人和通信终端。一方当事人变更名称、地址、联系人或通信终端的，应当在变更后3日内及时书面通知对方当事人，对方当事人实际收到变更通知前的送达仍为有效送达，电子送达与书面送达具有同等法律效力。</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16.4.2 任何一方当事人向对/他方所发出的信件，自信件【尽量约定为邮政特快专递】交邮后的第7日视为送达；发出的短信/传真/微信/电子邮件，自前述电子文件内容在发送方正确填写地址且未被系统退回的情况下，视为进入对方数据电文接收系统即视为送达。若送达日为非工作日, 则视为在下一工作日送达。</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16.4.3 本合同（首部/附件/第1.1条）约定的地址、联系人及电子通信终端亦为双方工作联系往来、法律文书及争议解决时人民法院和/或仲裁机构的法律文书送达地址，人民法院和/或仲裁机构的诉讼文书（含裁判文书）向任何合同任何一方当事人的上述地址和/或工商登记公示地址（居民身份证登记地址）送达的，视为有效送达。当事人对电子通信终端的联系送达适用于争议解决时的送达。</w:t>
      </w:r>
    </w:p>
    <w:p>
      <w:pPr>
        <w:widowControl/>
        <w:snapToGrid w:val="0"/>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16.4.4 合同送达条款与争议解决条款均为独立条款，不受合同整体或其他条款的效力的影响。</w:t>
      </w:r>
    </w:p>
    <w:p>
      <w:pPr>
        <w:widowControl/>
        <w:snapToGrid w:val="0"/>
        <w:spacing w:line="400" w:lineRule="exact"/>
        <w:ind w:firstLine="440" w:firstLineChars="200"/>
        <w:jc w:val="left"/>
        <w:rPr>
          <w:rFonts w:hint="eastAsia" w:ascii="仿宋" w:hAnsi="仿宋" w:eastAsia="仿宋" w:cs="仿宋"/>
          <w:bCs/>
          <w:color w:val="auto"/>
          <w:kern w:val="0"/>
          <w:sz w:val="22"/>
          <w:szCs w:val="22"/>
          <w:highlight w:val="none"/>
        </w:rPr>
      </w:pPr>
    </w:p>
    <w:p>
      <w:pPr>
        <w:widowControl/>
        <w:snapToGrid w:val="0"/>
        <w:spacing w:line="400" w:lineRule="exact"/>
        <w:ind w:firstLine="389" w:firstLineChars="176"/>
        <w:jc w:val="left"/>
        <w:rPr>
          <w:rFonts w:hint="eastAsia" w:ascii="仿宋" w:hAnsi="仿宋" w:eastAsia="仿宋" w:cs="仿宋"/>
          <w:bCs/>
          <w:color w:val="auto"/>
          <w:kern w:val="0"/>
          <w:sz w:val="22"/>
          <w:szCs w:val="22"/>
          <w:highlight w:val="none"/>
        </w:rPr>
      </w:pPr>
      <w:r>
        <w:rPr>
          <w:rFonts w:hint="eastAsia" w:ascii="仿宋" w:hAnsi="仿宋" w:eastAsia="仿宋" w:cs="仿宋"/>
          <w:b/>
          <w:bCs/>
          <w:color w:val="auto"/>
          <w:kern w:val="0"/>
          <w:sz w:val="22"/>
          <w:szCs w:val="22"/>
          <w:highlight w:val="none"/>
        </w:rPr>
        <w:t>十六、项目合同签字并盖章</w:t>
      </w:r>
    </w:p>
    <w:p>
      <w:pPr>
        <w:widowControl/>
        <w:spacing w:line="400" w:lineRule="exact"/>
        <w:ind w:left="5280" w:firstLine="440" w:firstLineChars="200"/>
        <w:jc w:val="left"/>
        <w:rPr>
          <w:rFonts w:hint="eastAsia" w:ascii="仿宋" w:hAnsi="仿宋" w:eastAsia="仿宋" w:cs="仿宋"/>
          <w:color w:val="auto"/>
          <w:kern w:val="0"/>
          <w:sz w:val="22"/>
          <w:szCs w:val="22"/>
          <w:highlight w:val="none"/>
        </w:rPr>
      </w:pPr>
    </w:p>
    <w:p>
      <w:pPr>
        <w:widowControl/>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 xml:space="preserve">甲方：温州市公安局                   乙方： </w:t>
      </w:r>
    </w:p>
    <w:p>
      <w:pPr>
        <w:widowControl/>
        <w:spacing w:line="400" w:lineRule="exact"/>
        <w:ind w:firstLine="440" w:firstLineChars="200"/>
        <w:jc w:val="left"/>
        <w:rPr>
          <w:rFonts w:hint="eastAsia" w:ascii="仿宋" w:hAnsi="仿宋" w:eastAsia="仿宋" w:cs="仿宋"/>
          <w:color w:val="auto"/>
          <w:kern w:val="0"/>
          <w:sz w:val="22"/>
          <w:szCs w:val="22"/>
          <w:highlight w:val="none"/>
        </w:rPr>
      </w:pPr>
    </w:p>
    <w:p>
      <w:pPr>
        <w:widowControl/>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法定（委托）代表人（签字）：         法定（委托）代表人（签字）：</w:t>
      </w:r>
    </w:p>
    <w:p>
      <w:pPr>
        <w:widowControl/>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项目联系人：                         项目联系人：</w:t>
      </w:r>
    </w:p>
    <w:p>
      <w:pPr>
        <w:widowControl/>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 xml:space="preserve">通信地址：                           通信地址： </w:t>
      </w:r>
    </w:p>
    <w:p>
      <w:pPr>
        <w:widowControl/>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电话：                               电话：</w:t>
      </w:r>
    </w:p>
    <w:p>
      <w:pPr>
        <w:widowControl/>
        <w:spacing w:line="4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传真：                               传真：</w:t>
      </w:r>
    </w:p>
    <w:p>
      <w:pPr>
        <w:widowControl/>
        <w:spacing w:line="500" w:lineRule="exact"/>
        <w:ind w:firstLine="440" w:firstLineChars="200"/>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签字日期：    年   月   日       签字日期：    年   月   日</w:t>
      </w:r>
      <w:bookmarkStart w:id="451" w:name="_Toc63837503"/>
    </w:p>
    <w:p>
      <w:pPr>
        <w:widowControl/>
        <w:spacing w:line="500" w:lineRule="exact"/>
        <w:ind w:firstLine="0" w:firstLineChars="0"/>
        <w:jc w:val="left"/>
        <w:rPr>
          <w:rFonts w:hint="eastAsia" w:ascii="仿宋" w:hAnsi="仿宋" w:eastAsia="仿宋" w:cs="宋体"/>
          <w:color w:val="auto"/>
          <w:kern w:val="0"/>
          <w:sz w:val="44"/>
          <w:szCs w:val="44"/>
          <w:highlight w:val="none"/>
        </w:rPr>
      </w:pPr>
      <w:r>
        <w:rPr>
          <w:rFonts w:hint="eastAsia" w:ascii="仿宋" w:hAnsi="仿宋" w:eastAsia="仿宋" w:cs="仿宋"/>
          <w:color w:val="auto"/>
          <w:kern w:val="0"/>
          <w:sz w:val="22"/>
          <w:szCs w:val="22"/>
          <w:highlight w:val="none"/>
        </w:rPr>
        <w:br w:type="page"/>
      </w:r>
      <w:r>
        <w:rPr>
          <w:rFonts w:hint="eastAsia" w:ascii="仿宋" w:hAnsi="仿宋" w:eastAsia="仿宋" w:cs="宋体"/>
          <w:color w:val="auto"/>
          <w:kern w:val="0"/>
          <w:sz w:val="30"/>
          <w:szCs w:val="30"/>
          <w:highlight w:val="none"/>
        </w:rPr>
        <w:t>附件一</w:t>
      </w:r>
    </w:p>
    <w:p>
      <w:pPr>
        <w:widowControl/>
        <w:spacing w:line="500" w:lineRule="exact"/>
        <w:ind w:firstLine="880" w:firstLineChars="200"/>
        <w:jc w:val="left"/>
        <w:rPr>
          <w:rFonts w:ascii="仿宋" w:hAnsi="仿宋" w:eastAsia="仿宋" w:cs="宋体"/>
          <w:color w:val="auto"/>
          <w:kern w:val="0"/>
          <w:sz w:val="44"/>
          <w:szCs w:val="44"/>
          <w:highlight w:val="none"/>
        </w:rPr>
      </w:pPr>
    </w:p>
    <w:p>
      <w:pPr>
        <w:widowControl/>
        <w:spacing w:line="500" w:lineRule="exact"/>
        <w:ind w:firstLine="880" w:firstLineChars="200"/>
        <w:jc w:val="left"/>
        <w:rPr>
          <w:rFonts w:hint="eastAsia" w:ascii="仿宋" w:hAnsi="仿宋" w:eastAsia="仿宋" w:cs="宋体"/>
          <w:color w:val="auto"/>
          <w:kern w:val="0"/>
          <w:sz w:val="44"/>
          <w:szCs w:val="44"/>
          <w:highlight w:val="none"/>
        </w:rPr>
      </w:pPr>
    </w:p>
    <w:p>
      <w:pPr>
        <w:widowControl/>
        <w:spacing w:line="500" w:lineRule="exact"/>
        <w:ind w:firstLine="880" w:firstLineChars="200"/>
        <w:jc w:val="center"/>
        <w:rPr>
          <w:rFonts w:hint="eastAsia" w:ascii="仿宋" w:hAnsi="仿宋" w:eastAsia="仿宋" w:cs="宋体"/>
          <w:color w:val="auto"/>
          <w:kern w:val="0"/>
          <w:sz w:val="44"/>
          <w:szCs w:val="44"/>
          <w:highlight w:val="none"/>
        </w:rPr>
      </w:pPr>
    </w:p>
    <w:p>
      <w:pPr>
        <w:widowControl/>
        <w:spacing w:line="500" w:lineRule="exact"/>
        <w:ind w:firstLine="880" w:firstLineChars="200"/>
        <w:jc w:val="center"/>
        <w:rPr>
          <w:rFonts w:hint="eastAsia" w:ascii="仿宋" w:hAnsi="仿宋" w:eastAsia="仿宋" w:cs="宋体"/>
          <w:color w:val="auto"/>
          <w:kern w:val="0"/>
          <w:sz w:val="44"/>
          <w:szCs w:val="44"/>
          <w:highlight w:val="none"/>
        </w:rPr>
      </w:pPr>
      <w:r>
        <w:rPr>
          <w:rFonts w:hint="eastAsia" w:ascii="仿宋" w:hAnsi="仿宋" w:eastAsia="仿宋" w:cs="宋体"/>
          <w:color w:val="auto"/>
          <w:kern w:val="0"/>
          <w:sz w:val="44"/>
          <w:szCs w:val="44"/>
          <w:highlight w:val="none"/>
        </w:rPr>
        <w:t>招标文件</w:t>
      </w:r>
    </w:p>
    <w:p>
      <w:pPr>
        <w:widowControl/>
        <w:spacing w:line="500" w:lineRule="exact"/>
        <w:ind w:firstLine="480" w:firstLineChars="200"/>
        <w:jc w:val="center"/>
        <w:rPr>
          <w:rFonts w:hint="eastAsia" w:ascii="仿宋" w:hAnsi="仿宋" w:eastAsia="仿宋" w:cs="宋体"/>
          <w:color w:val="auto"/>
          <w:kern w:val="0"/>
          <w:sz w:val="24"/>
          <w:highlight w:val="none"/>
        </w:rPr>
      </w:pPr>
    </w:p>
    <w:p>
      <w:pPr>
        <w:widowControl/>
        <w:spacing w:before="120" w:line="500" w:lineRule="exact"/>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 </w:t>
      </w:r>
    </w:p>
    <w:p>
      <w:pPr>
        <w:widowControl/>
        <w:spacing w:before="120" w:line="500" w:lineRule="exact"/>
        <w:ind w:firstLine="480" w:firstLineChars="200"/>
        <w:jc w:val="left"/>
        <w:rPr>
          <w:rFonts w:ascii="仿宋" w:hAnsi="仿宋" w:eastAsia="仿宋" w:cs="宋体"/>
          <w:color w:val="auto"/>
          <w:kern w:val="0"/>
          <w:sz w:val="24"/>
          <w:highlight w:val="none"/>
        </w:rPr>
      </w:pPr>
    </w:p>
    <w:p>
      <w:pPr>
        <w:widowControl/>
        <w:spacing w:before="120" w:line="500" w:lineRule="exact"/>
        <w:ind w:firstLine="480" w:firstLineChars="200"/>
        <w:jc w:val="left"/>
        <w:rPr>
          <w:rFonts w:ascii="仿宋" w:hAnsi="仿宋" w:eastAsia="仿宋" w:cs="宋体"/>
          <w:color w:val="auto"/>
          <w:kern w:val="0"/>
          <w:sz w:val="24"/>
          <w:highlight w:val="none"/>
        </w:rPr>
      </w:pPr>
    </w:p>
    <w:p>
      <w:pPr>
        <w:widowControl/>
        <w:spacing w:before="120" w:line="500" w:lineRule="exact"/>
        <w:ind w:firstLine="480" w:firstLineChars="200"/>
        <w:jc w:val="left"/>
        <w:rPr>
          <w:rFonts w:ascii="仿宋" w:hAnsi="仿宋" w:eastAsia="仿宋" w:cs="宋体"/>
          <w:color w:val="auto"/>
          <w:kern w:val="0"/>
          <w:sz w:val="24"/>
          <w:highlight w:val="none"/>
        </w:rPr>
      </w:pPr>
    </w:p>
    <w:p>
      <w:pPr>
        <w:widowControl/>
        <w:spacing w:before="120" w:line="500" w:lineRule="exact"/>
        <w:ind w:firstLine="480" w:firstLineChars="200"/>
        <w:jc w:val="left"/>
        <w:rPr>
          <w:rFonts w:ascii="仿宋" w:hAnsi="仿宋" w:eastAsia="仿宋" w:cs="宋体"/>
          <w:color w:val="auto"/>
          <w:kern w:val="0"/>
          <w:sz w:val="24"/>
          <w:highlight w:val="none"/>
        </w:rPr>
      </w:pPr>
    </w:p>
    <w:p>
      <w:pPr>
        <w:widowControl/>
        <w:spacing w:before="120" w:line="500" w:lineRule="exact"/>
        <w:ind w:firstLine="480" w:firstLineChars="200"/>
        <w:jc w:val="left"/>
        <w:rPr>
          <w:rFonts w:ascii="仿宋" w:hAnsi="仿宋" w:eastAsia="仿宋" w:cs="宋体"/>
          <w:color w:val="auto"/>
          <w:kern w:val="0"/>
          <w:sz w:val="24"/>
          <w:highlight w:val="none"/>
        </w:rPr>
      </w:pPr>
    </w:p>
    <w:p>
      <w:pPr>
        <w:widowControl/>
        <w:spacing w:before="120" w:line="500" w:lineRule="exact"/>
        <w:ind w:firstLine="480" w:firstLineChars="200"/>
        <w:jc w:val="left"/>
        <w:rPr>
          <w:rFonts w:ascii="仿宋" w:hAnsi="仿宋" w:eastAsia="仿宋" w:cs="宋体"/>
          <w:color w:val="auto"/>
          <w:kern w:val="0"/>
          <w:sz w:val="24"/>
          <w:highlight w:val="none"/>
        </w:rPr>
      </w:pPr>
    </w:p>
    <w:p>
      <w:pPr>
        <w:widowControl/>
        <w:spacing w:before="120" w:line="500" w:lineRule="exact"/>
        <w:ind w:firstLine="480" w:firstLineChars="200"/>
        <w:jc w:val="left"/>
        <w:rPr>
          <w:rFonts w:ascii="仿宋" w:hAnsi="仿宋" w:eastAsia="仿宋" w:cs="宋体"/>
          <w:color w:val="auto"/>
          <w:kern w:val="0"/>
          <w:sz w:val="24"/>
          <w:highlight w:val="none"/>
        </w:rPr>
      </w:pPr>
    </w:p>
    <w:p>
      <w:pPr>
        <w:widowControl/>
        <w:spacing w:before="120" w:line="500" w:lineRule="exact"/>
        <w:ind w:firstLine="480" w:firstLineChars="200"/>
        <w:jc w:val="left"/>
        <w:rPr>
          <w:rFonts w:ascii="仿宋" w:hAnsi="仿宋" w:eastAsia="仿宋" w:cs="宋体"/>
          <w:color w:val="auto"/>
          <w:kern w:val="0"/>
          <w:sz w:val="24"/>
          <w:highlight w:val="none"/>
        </w:rPr>
      </w:pPr>
    </w:p>
    <w:p>
      <w:pPr>
        <w:widowControl/>
        <w:spacing w:before="120" w:line="500" w:lineRule="exact"/>
        <w:ind w:firstLine="480" w:firstLineChars="200"/>
        <w:jc w:val="left"/>
        <w:rPr>
          <w:rFonts w:ascii="仿宋" w:hAnsi="仿宋" w:eastAsia="仿宋" w:cs="宋体"/>
          <w:color w:val="auto"/>
          <w:kern w:val="0"/>
          <w:sz w:val="24"/>
          <w:highlight w:val="none"/>
        </w:rPr>
      </w:pPr>
    </w:p>
    <w:p>
      <w:pPr>
        <w:widowControl/>
        <w:spacing w:line="500" w:lineRule="exact"/>
        <w:ind w:firstLine="880" w:firstLineChars="200"/>
        <w:jc w:val="center"/>
        <w:rPr>
          <w:rFonts w:hint="eastAsia" w:ascii="仿宋" w:hAnsi="仿宋" w:eastAsia="仿宋" w:cs="宋体"/>
          <w:color w:val="auto"/>
          <w:kern w:val="0"/>
          <w:sz w:val="44"/>
          <w:szCs w:val="44"/>
          <w:highlight w:val="none"/>
        </w:rPr>
      </w:pPr>
      <w:r>
        <w:rPr>
          <w:rFonts w:hint="eastAsia" w:ascii="仿宋" w:hAnsi="仿宋" w:eastAsia="仿宋" w:cs="宋体"/>
          <w:color w:val="auto"/>
          <w:kern w:val="0"/>
          <w:sz w:val="44"/>
          <w:szCs w:val="44"/>
          <w:highlight w:val="none"/>
        </w:rPr>
        <w:t>＿＿＿＿＿＿＿公司（印章）</w:t>
      </w:r>
    </w:p>
    <w:p>
      <w:pPr>
        <w:widowControl/>
        <w:spacing w:before="120" w:line="400" w:lineRule="exact"/>
        <w:ind w:firstLine="480" w:firstLineChars="200"/>
        <w:jc w:val="left"/>
        <w:rPr>
          <w:rFonts w:ascii="仿宋" w:hAnsi="仿宋" w:eastAsia="仿宋" w:cs="宋体"/>
          <w:color w:val="auto"/>
          <w:kern w:val="0"/>
          <w:sz w:val="24"/>
          <w:highlight w:val="none"/>
        </w:rPr>
      </w:pPr>
    </w:p>
    <w:p>
      <w:pPr>
        <w:widowControl/>
        <w:spacing w:before="120" w:line="400" w:lineRule="exact"/>
        <w:ind w:firstLine="480" w:firstLineChars="200"/>
        <w:jc w:val="left"/>
        <w:rPr>
          <w:rFonts w:ascii="仿宋" w:hAnsi="仿宋" w:eastAsia="仿宋" w:cs="宋体"/>
          <w:color w:val="auto"/>
          <w:kern w:val="0"/>
          <w:sz w:val="24"/>
          <w:highlight w:val="none"/>
        </w:rPr>
      </w:pPr>
    </w:p>
    <w:p>
      <w:pPr>
        <w:widowControl/>
        <w:spacing w:before="120" w:line="400" w:lineRule="exact"/>
        <w:ind w:firstLine="480" w:firstLineChars="200"/>
        <w:jc w:val="left"/>
        <w:rPr>
          <w:rFonts w:ascii="仿宋" w:hAnsi="仿宋" w:eastAsia="仿宋" w:cs="宋体"/>
          <w:color w:val="auto"/>
          <w:kern w:val="0"/>
          <w:sz w:val="24"/>
          <w:highlight w:val="none"/>
        </w:rPr>
      </w:pPr>
    </w:p>
    <w:p>
      <w:pPr>
        <w:widowControl/>
        <w:spacing w:before="120" w:line="400" w:lineRule="exact"/>
        <w:ind w:firstLine="480" w:firstLineChars="200"/>
        <w:jc w:val="left"/>
        <w:rPr>
          <w:rFonts w:ascii="仿宋" w:hAnsi="仿宋" w:eastAsia="仿宋" w:cs="宋体"/>
          <w:color w:val="auto"/>
          <w:kern w:val="0"/>
          <w:sz w:val="24"/>
          <w:highlight w:val="none"/>
        </w:rPr>
      </w:pPr>
    </w:p>
    <w:p>
      <w:pPr>
        <w:widowControl/>
        <w:spacing w:before="120" w:line="400" w:lineRule="exact"/>
        <w:ind w:firstLine="480" w:firstLineChars="200"/>
        <w:jc w:val="left"/>
        <w:rPr>
          <w:rFonts w:ascii="仿宋" w:hAnsi="仿宋" w:eastAsia="仿宋" w:cs="宋体"/>
          <w:color w:val="auto"/>
          <w:kern w:val="0"/>
          <w:sz w:val="24"/>
          <w:highlight w:val="none"/>
        </w:rPr>
      </w:pPr>
    </w:p>
    <w:p>
      <w:pPr>
        <w:widowControl/>
        <w:spacing w:before="120" w:line="400" w:lineRule="exact"/>
        <w:ind w:firstLine="480" w:firstLineChars="200"/>
        <w:jc w:val="left"/>
        <w:rPr>
          <w:rFonts w:hint="eastAsia" w:ascii="仿宋" w:hAnsi="仿宋" w:eastAsia="仿宋" w:cs="宋体"/>
          <w:color w:val="auto"/>
          <w:kern w:val="0"/>
          <w:sz w:val="24"/>
          <w:highlight w:val="none"/>
        </w:rPr>
      </w:pPr>
    </w:p>
    <w:p>
      <w:pPr>
        <w:widowControl/>
        <w:spacing w:line="500" w:lineRule="exact"/>
        <w:jc w:val="left"/>
        <w:rPr>
          <w:rFonts w:hint="eastAsia" w:ascii="仿宋" w:hAnsi="仿宋" w:eastAsia="仿宋" w:cs="宋体"/>
          <w:color w:val="auto"/>
          <w:kern w:val="0"/>
          <w:sz w:val="30"/>
          <w:szCs w:val="30"/>
          <w:highlight w:val="none"/>
        </w:rPr>
      </w:pPr>
      <w:r>
        <w:rPr>
          <w:rFonts w:hint="eastAsia" w:ascii="仿宋" w:hAnsi="仿宋" w:eastAsia="仿宋" w:cs="宋体"/>
          <w:color w:val="auto"/>
          <w:kern w:val="0"/>
          <w:sz w:val="30"/>
          <w:szCs w:val="30"/>
          <w:highlight w:val="none"/>
        </w:rPr>
        <w:t>附件二</w:t>
      </w:r>
    </w:p>
    <w:p>
      <w:pPr>
        <w:widowControl/>
        <w:spacing w:line="500" w:lineRule="exact"/>
        <w:ind w:firstLine="880" w:firstLineChars="200"/>
        <w:jc w:val="left"/>
        <w:rPr>
          <w:rFonts w:hint="eastAsia" w:ascii="仿宋" w:hAnsi="仿宋" w:eastAsia="仿宋" w:cs="宋体"/>
          <w:color w:val="auto"/>
          <w:kern w:val="0"/>
          <w:sz w:val="44"/>
          <w:szCs w:val="44"/>
          <w:highlight w:val="none"/>
        </w:rPr>
      </w:pPr>
    </w:p>
    <w:p>
      <w:pPr>
        <w:widowControl/>
        <w:spacing w:line="500" w:lineRule="exact"/>
        <w:ind w:firstLine="880" w:firstLineChars="200"/>
        <w:jc w:val="left"/>
        <w:rPr>
          <w:rFonts w:hint="eastAsia" w:ascii="仿宋" w:hAnsi="仿宋" w:eastAsia="仿宋" w:cs="宋体"/>
          <w:color w:val="auto"/>
          <w:kern w:val="0"/>
          <w:sz w:val="44"/>
          <w:szCs w:val="44"/>
          <w:highlight w:val="none"/>
        </w:rPr>
      </w:pPr>
    </w:p>
    <w:p>
      <w:pPr>
        <w:widowControl/>
        <w:spacing w:line="500" w:lineRule="exact"/>
        <w:ind w:firstLine="880" w:firstLineChars="200"/>
        <w:jc w:val="left"/>
        <w:rPr>
          <w:rFonts w:hint="eastAsia" w:ascii="仿宋" w:hAnsi="仿宋" w:eastAsia="仿宋" w:cs="宋体"/>
          <w:color w:val="auto"/>
          <w:kern w:val="0"/>
          <w:sz w:val="44"/>
          <w:szCs w:val="44"/>
          <w:highlight w:val="none"/>
        </w:rPr>
      </w:pPr>
    </w:p>
    <w:p>
      <w:pPr>
        <w:widowControl/>
        <w:spacing w:line="500" w:lineRule="exact"/>
        <w:ind w:firstLine="880" w:firstLineChars="200"/>
        <w:jc w:val="center"/>
        <w:rPr>
          <w:rFonts w:hint="eastAsia" w:ascii="仿宋" w:hAnsi="仿宋" w:eastAsia="仿宋" w:cs="宋体"/>
          <w:color w:val="auto"/>
          <w:kern w:val="0"/>
          <w:sz w:val="44"/>
          <w:szCs w:val="44"/>
          <w:highlight w:val="none"/>
        </w:rPr>
      </w:pPr>
      <w:r>
        <w:rPr>
          <w:rFonts w:hint="eastAsia" w:ascii="仿宋" w:hAnsi="仿宋" w:eastAsia="仿宋" w:cs="宋体"/>
          <w:color w:val="auto"/>
          <w:kern w:val="0"/>
          <w:sz w:val="44"/>
          <w:szCs w:val="44"/>
          <w:highlight w:val="none"/>
        </w:rPr>
        <w:t>乙方投标书</w:t>
      </w: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hint="eastAsia" w:ascii="仿宋" w:hAnsi="仿宋" w:eastAsia="仿宋" w:cs="宋体"/>
          <w:color w:val="auto"/>
          <w:kern w:val="0"/>
          <w:sz w:val="24"/>
          <w:highlight w:val="none"/>
        </w:rPr>
      </w:pPr>
    </w:p>
    <w:p>
      <w:pPr>
        <w:pStyle w:val="18"/>
        <w:rPr>
          <w:rFonts w:hint="eastAsia" w:ascii="仿宋" w:hAnsi="仿宋" w:eastAsia="仿宋" w:cs="宋体"/>
          <w:color w:val="auto"/>
          <w:kern w:val="0"/>
          <w:sz w:val="24"/>
          <w:highlight w:val="none"/>
        </w:rPr>
      </w:pPr>
    </w:p>
    <w:p>
      <w:pPr>
        <w:rPr>
          <w:rFonts w:hint="eastAsia" w:ascii="仿宋" w:hAnsi="仿宋" w:eastAsia="仿宋" w:cs="宋体"/>
          <w:color w:val="auto"/>
          <w:kern w:val="0"/>
          <w:sz w:val="24"/>
          <w:highlight w:val="none"/>
        </w:rPr>
      </w:pPr>
    </w:p>
    <w:p>
      <w:pPr>
        <w:pStyle w:val="18"/>
        <w:rPr>
          <w:rFonts w:hint="eastAsia" w:ascii="仿宋" w:hAnsi="仿宋" w:eastAsia="仿宋" w:cs="宋体"/>
          <w:color w:val="auto"/>
          <w:kern w:val="0"/>
          <w:sz w:val="24"/>
          <w:highlight w:val="none"/>
        </w:rPr>
      </w:pPr>
    </w:p>
    <w:p>
      <w:pPr>
        <w:rPr>
          <w:rFonts w:hint="eastAsia"/>
          <w:color w:val="auto"/>
          <w:highlight w:val="none"/>
        </w:rPr>
      </w:pP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ascii="仿宋" w:hAnsi="仿宋" w:eastAsia="仿宋" w:cs="宋体"/>
          <w:color w:val="auto"/>
          <w:kern w:val="0"/>
          <w:sz w:val="24"/>
          <w:highlight w:val="none"/>
        </w:rPr>
      </w:pPr>
    </w:p>
    <w:p>
      <w:pPr>
        <w:widowControl/>
        <w:spacing w:line="400" w:lineRule="exact"/>
        <w:ind w:firstLine="480" w:firstLineChars="200"/>
        <w:jc w:val="center"/>
        <w:rPr>
          <w:rFonts w:hint="eastAsia" w:ascii="仿宋" w:hAnsi="仿宋" w:eastAsia="仿宋" w:cs="宋体"/>
          <w:color w:val="auto"/>
          <w:kern w:val="0"/>
          <w:sz w:val="24"/>
          <w:highlight w:val="none"/>
        </w:rPr>
      </w:pPr>
    </w:p>
    <w:p>
      <w:pPr>
        <w:widowControl/>
        <w:spacing w:line="500" w:lineRule="exact"/>
        <w:ind w:firstLine="880" w:firstLineChars="200"/>
        <w:jc w:val="center"/>
        <w:rPr>
          <w:rFonts w:hint="eastAsia" w:ascii="仿宋" w:hAnsi="仿宋" w:eastAsia="仿宋" w:cs="宋体"/>
          <w:color w:val="auto"/>
          <w:kern w:val="0"/>
          <w:sz w:val="44"/>
          <w:szCs w:val="44"/>
          <w:highlight w:val="none"/>
        </w:rPr>
      </w:pPr>
      <w:r>
        <w:rPr>
          <w:rFonts w:hint="eastAsia" w:ascii="仿宋" w:hAnsi="仿宋" w:eastAsia="仿宋" w:cs="宋体"/>
          <w:color w:val="auto"/>
          <w:kern w:val="0"/>
          <w:sz w:val="44"/>
          <w:szCs w:val="44"/>
          <w:highlight w:val="none"/>
        </w:rPr>
        <w:t>＿＿＿＿＿＿＿公司（印章）</w:t>
      </w:r>
    </w:p>
    <w:p>
      <w:pPr>
        <w:widowControl/>
        <w:spacing w:before="120" w:line="400" w:lineRule="exact"/>
        <w:ind w:firstLine="480" w:firstLineChars="200"/>
        <w:jc w:val="left"/>
        <w:rPr>
          <w:rFonts w:ascii="仿宋" w:hAnsi="仿宋" w:eastAsia="仿宋" w:cs="宋体"/>
          <w:color w:val="auto"/>
          <w:kern w:val="0"/>
          <w:sz w:val="24"/>
          <w:highlight w:val="none"/>
        </w:rPr>
      </w:pPr>
    </w:p>
    <w:p>
      <w:pPr>
        <w:widowControl/>
        <w:spacing w:before="120" w:line="400" w:lineRule="exact"/>
        <w:ind w:firstLine="480" w:firstLineChars="200"/>
        <w:jc w:val="left"/>
        <w:rPr>
          <w:rFonts w:ascii="仿宋" w:hAnsi="仿宋" w:eastAsia="仿宋" w:cs="宋体"/>
          <w:color w:val="auto"/>
          <w:kern w:val="0"/>
          <w:sz w:val="24"/>
          <w:highlight w:val="none"/>
        </w:rPr>
      </w:pPr>
    </w:p>
    <w:p>
      <w:pPr>
        <w:widowControl/>
        <w:spacing w:before="120" w:line="400" w:lineRule="exact"/>
        <w:ind w:firstLine="480" w:firstLineChars="200"/>
        <w:jc w:val="left"/>
        <w:rPr>
          <w:rFonts w:ascii="仿宋" w:hAnsi="仿宋" w:eastAsia="仿宋" w:cs="宋体"/>
          <w:color w:val="auto"/>
          <w:kern w:val="0"/>
          <w:sz w:val="24"/>
          <w:highlight w:val="none"/>
        </w:rPr>
      </w:pPr>
    </w:p>
    <w:p>
      <w:pPr>
        <w:widowControl/>
        <w:spacing w:before="120" w:line="400" w:lineRule="exact"/>
        <w:ind w:firstLine="480" w:firstLineChars="200"/>
        <w:jc w:val="left"/>
        <w:rPr>
          <w:rFonts w:ascii="仿宋" w:hAnsi="仿宋" w:eastAsia="仿宋" w:cs="宋体"/>
          <w:color w:val="auto"/>
          <w:kern w:val="0"/>
          <w:sz w:val="24"/>
          <w:highlight w:val="none"/>
        </w:rPr>
      </w:pPr>
    </w:p>
    <w:p>
      <w:pPr>
        <w:widowControl/>
        <w:spacing w:before="120" w:line="400" w:lineRule="exact"/>
        <w:ind w:firstLine="480" w:firstLineChars="200"/>
        <w:jc w:val="left"/>
        <w:rPr>
          <w:rFonts w:ascii="仿宋" w:hAnsi="仿宋" w:eastAsia="仿宋" w:cs="宋体"/>
          <w:color w:val="auto"/>
          <w:kern w:val="0"/>
          <w:sz w:val="24"/>
          <w:highlight w:val="none"/>
        </w:rPr>
      </w:pPr>
    </w:p>
    <w:p>
      <w:pPr>
        <w:widowControl/>
        <w:spacing w:before="120" w:line="400" w:lineRule="exact"/>
        <w:jc w:val="left"/>
        <w:rPr>
          <w:color w:val="auto"/>
          <w:highlight w:val="none"/>
        </w:rPr>
      </w:pPr>
    </w:p>
    <w:p>
      <w:pPr>
        <w:widowControl/>
        <w:spacing w:before="0" w:line="500" w:lineRule="exact"/>
        <w:jc w:val="left"/>
        <w:rPr>
          <w:rFonts w:hint="eastAsia" w:ascii="仿宋" w:hAnsi="仿宋" w:eastAsia="仿宋" w:cs="宋体"/>
          <w:color w:val="auto"/>
          <w:kern w:val="0"/>
          <w:sz w:val="30"/>
          <w:szCs w:val="30"/>
          <w:highlight w:val="none"/>
          <w:lang w:val="en-US" w:eastAsia="zh-CN"/>
        </w:rPr>
      </w:pPr>
      <w:r>
        <w:rPr>
          <w:rFonts w:hint="eastAsia" w:ascii="仿宋" w:hAnsi="仿宋" w:eastAsia="仿宋" w:cs="宋体"/>
          <w:color w:val="auto"/>
          <w:kern w:val="0"/>
          <w:sz w:val="30"/>
          <w:szCs w:val="30"/>
          <w:highlight w:val="none"/>
        </w:rPr>
        <w:t>附件</w:t>
      </w:r>
      <w:r>
        <w:rPr>
          <w:rFonts w:hint="eastAsia" w:ascii="仿宋" w:hAnsi="仿宋" w:eastAsia="仿宋" w:cs="宋体"/>
          <w:color w:val="auto"/>
          <w:kern w:val="0"/>
          <w:sz w:val="30"/>
          <w:szCs w:val="30"/>
          <w:highlight w:val="none"/>
          <w:lang w:val="en-US" w:eastAsia="zh-CN"/>
        </w:rPr>
        <w:t>三</w:t>
      </w:r>
    </w:p>
    <w:p>
      <w:pPr>
        <w:widowControl/>
        <w:snapToGrid w:val="0"/>
        <w:spacing w:line="400" w:lineRule="exact"/>
        <w:ind w:firstLine="480" w:firstLineChars="200"/>
        <w:rPr>
          <w:rFonts w:hint="eastAsia" w:ascii="仿宋" w:hAnsi="仿宋" w:eastAsia="仿宋" w:cs="宋体"/>
          <w:color w:val="auto"/>
          <w:kern w:val="0"/>
          <w:sz w:val="24"/>
          <w:highlight w:val="none"/>
        </w:rPr>
      </w:pPr>
    </w:p>
    <w:p>
      <w:pPr>
        <w:widowControl/>
        <w:spacing w:line="500" w:lineRule="exact"/>
        <w:jc w:val="left"/>
        <w:rPr>
          <w:rFonts w:hint="eastAsia" w:ascii="仿宋" w:hAnsi="仿宋" w:eastAsia="仿宋" w:cs="宋体"/>
          <w:color w:val="auto"/>
          <w:kern w:val="0"/>
          <w:sz w:val="44"/>
          <w:szCs w:val="44"/>
          <w:highlight w:val="none"/>
        </w:rPr>
      </w:pPr>
      <w:r>
        <w:rPr>
          <w:rFonts w:hint="eastAsia" w:ascii="仿宋" w:hAnsi="仿宋" w:eastAsia="仿宋" w:cs="宋体"/>
          <w:color w:val="auto"/>
          <w:kern w:val="0"/>
          <w:sz w:val="44"/>
          <w:szCs w:val="44"/>
          <w:highlight w:val="none"/>
        </w:rPr>
        <w:t>技术支持与售后服务方案</w:t>
      </w:r>
    </w:p>
    <w:p>
      <w:pPr>
        <w:widowControl/>
        <w:snapToGrid w:val="0"/>
        <w:spacing w:line="400" w:lineRule="exact"/>
        <w:ind w:firstLine="480" w:firstLineChars="200"/>
        <w:jc w:val="center"/>
        <w:rPr>
          <w:rFonts w:hint="eastAsia"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ascii="仿宋" w:hAnsi="仿宋" w:eastAsia="仿宋" w:cs="宋体"/>
          <w:color w:val="auto"/>
          <w:kern w:val="0"/>
          <w:sz w:val="24"/>
          <w:highlight w:val="none"/>
        </w:rPr>
      </w:pPr>
    </w:p>
    <w:p>
      <w:pPr>
        <w:widowControl/>
        <w:snapToGrid w:val="0"/>
        <w:spacing w:line="400" w:lineRule="exact"/>
        <w:ind w:firstLine="480" w:firstLineChars="200"/>
        <w:jc w:val="center"/>
        <w:rPr>
          <w:rFonts w:hint="eastAsia" w:ascii="仿宋" w:hAnsi="仿宋" w:eastAsia="仿宋" w:cs="宋体"/>
          <w:color w:val="auto"/>
          <w:kern w:val="0"/>
          <w:sz w:val="24"/>
          <w:highlight w:val="none"/>
        </w:rPr>
      </w:pPr>
    </w:p>
    <w:p>
      <w:pPr>
        <w:widowControl/>
        <w:spacing w:line="500" w:lineRule="exact"/>
        <w:jc w:val="center"/>
        <w:rPr>
          <w:rFonts w:hint="eastAsia" w:ascii="仿宋" w:hAnsi="仿宋" w:eastAsia="仿宋" w:cs="宋体"/>
          <w:color w:val="auto"/>
          <w:kern w:val="0"/>
          <w:sz w:val="44"/>
          <w:szCs w:val="44"/>
          <w:highlight w:val="none"/>
        </w:rPr>
      </w:pPr>
      <w:r>
        <w:rPr>
          <w:rFonts w:hint="eastAsia" w:ascii="仿宋" w:hAnsi="仿宋" w:eastAsia="仿宋" w:cs="宋体"/>
          <w:color w:val="auto"/>
          <w:kern w:val="0"/>
          <w:sz w:val="44"/>
          <w:szCs w:val="44"/>
          <w:highlight w:val="none"/>
        </w:rPr>
        <w:t>＿＿＿＿＿＿＿公司（印章）</w:t>
      </w:r>
    </w:p>
    <w:p>
      <w:pPr>
        <w:widowControl/>
        <w:snapToGrid w:val="0"/>
        <w:spacing w:line="400" w:lineRule="exact"/>
        <w:ind w:firstLine="480" w:firstLineChars="200"/>
        <w:rPr>
          <w:rFonts w:ascii="仿宋" w:hAnsi="仿宋" w:eastAsia="仿宋" w:cs="宋体"/>
          <w:color w:val="auto"/>
          <w:kern w:val="0"/>
          <w:sz w:val="24"/>
          <w:highlight w:val="none"/>
        </w:rPr>
      </w:pPr>
    </w:p>
    <w:p>
      <w:pPr>
        <w:widowControl/>
        <w:snapToGrid w:val="0"/>
        <w:spacing w:line="400" w:lineRule="exact"/>
        <w:ind w:firstLine="480" w:firstLineChars="200"/>
        <w:rPr>
          <w:rFonts w:ascii="仿宋" w:hAnsi="仿宋" w:eastAsia="仿宋" w:cs="宋体"/>
          <w:color w:val="auto"/>
          <w:kern w:val="0"/>
          <w:sz w:val="24"/>
          <w:highlight w:val="none"/>
        </w:rPr>
      </w:pPr>
    </w:p>
    <w:p>
      <w:pPr>
        <w:widowControl/>
        <w:snapToGrid w:val="0"/>
        <w:spacing w:line="400" w:lineRule="exact"/>
        <w:ind w:firstLine="480" w:firstLineChars="200"/>
        <w:rPr>
          <w:rFonts w:ascii="仿宋" w:hAnsi="仿宋" w:eastAsia="仿宋" w:cs="宋体"/>
          <w:color w:val="auto"/>
          <w:kern w:val="0"/>
          <w:sz w:val="24"/>
          <w:highlight w:val="none"/>
        </w:rPr>
      </w:pPr>
    </w:p>
    <w:p>
      <w:pPr>
        <w:widowControl/>
        <w:snapToGrid w:val="0"/>
        <w:spacing w:line="400" w:lineRule="exact"/>
        <w:ind w:firstLine="480" w:firstLineChars="200"/>
        <w:rPr>
          <w:rFonts w:ascii="仿宋" w:hAnsi="仿宋" w:eastAsia="仿宋" w:cs="宋体"/>
          <w:color w:val="auto"/>
          <w:kern w:val="0"/>
          <w:sz w:val="24"/>
          <w:highlight w:val="none"/>
        </w:rPr>
      </w:pPr>
    </w:p>
    <w:p>
      <w:pPr>
        <w:widowControl/>
        <w:snapToGrid w:val="0"/>
        <w:spacing w:line="400" w:lineRule="exact"/>
        <w:ind w:firstLine="480" w:firstLineChars="200"/>
        <w:rPr>
          <w:rFonts w:ascii="仿宋" w:hAnsi="仿宋" w:eastAsia="仿宋" w:cs="宋体"/>
          <w:color w:val="auto"/>
          <w:kern w:val="0"/>
          <w:sz w:val="24"/>
          <w:highlight w:val="none"/>
        </w:rPr>
      </w:pPr>
    </w:p>
    <w:p>
      <w:pPr>
        <w:pStyle w:val="2"/>
        <w:rPr>
          <w:rFonts w:ascii="仿宋" w:hAnsi="仿宋" w:eastAsia="仿宋" w:cs="宋体"/>
          <w:color w:val="auto"/>
          <w:kern w:val="0"/>
          <w:sz w:val="24"/>
          <w:highlight w:val="none"/>
        </w:rPr>
      </w:pPr>
    </w:p>
    <w:p>
      <w:pPr>
        <w:pStyle w:val="2"/>
        <w:rPr>
          <w:rFonts w:ascii="仿宋" w:hAnsi="仿宋" w:eastAsia="仿宋" w:cs="宋体"/>
          <w:color w:val="auto"/>
          <w:kern w:val="0"/>
          <w:sz w:val="24"/>
          <w:highlight w:val="none"/>
        </w:rPr>
      </w:pPr>
    </w:p>
    <w:p>
      <w:pPr>
        <w:widowControl/>
        <w:snapToGrid w:val="0"/>
        <w:spacing w:line="400" w:lineRule="exact"/>
        <w:ind w:firstLine="480" w:firstLineChars="200"/>
        <w:rPr>
          <w:rFonts w:ascii="仿宋" w:hAnsi="仿宋" w:eastAsia="仿宋" w:cs="宋体"/>
          <w:color w:val="auto"/>
          <w:kern w:val="0"/>
          <w:sz w:val="24"/>
          <w:highlight w:val="none"/>
        </w:rPr>
      </w:pPr>
    </w:p>
    <w:p>
      <w:pPr>
        <w:widowControl/>
        <w:snapToGrid w:val="0"/>
        <w:spacing w:line="400" w:lineRule="exact"/>
        <w:ind w:firstLine="480" w:firstLineChars="200"/>
        <w:rPr>
          <w:rFonts w:ascii="仿宋" w:hAnsi="仿宋" w:eastAsia="仿宋" w:cs="宋体"/>
          <w:color w:val="auto"/>
          <w:kern w:val="0"/>
          <w:sz w:val="24"/>
          <w:highlight w:val="none"/>
        </w:rPr>
      </w:pPr>
    </w:p>
    <w:p>
      <w:pPr>
        <w:widowControl/>
        <w:spacing w:line="500" w:lineRule="exact"/>
        <w:jc w:val="left"/>
        <w:rPr>
          <w:rFonts w:hint="eastAsia" w:ascii="仿宋" w:hAnsi="仿宋" w:eastAsia="仿宋" w:cs="宋体"/>
          <w:color w:val="auto"/>
          <w:kern w:val="0"/>
          <w:sz w:val="30"/>
          <w:szCs w:val="30"/>
          <w:highlight w:val="none"/>
        </w:rPr>
      </w:pPr>
      <w:r>
        <w:rPr>
          <w:rFonts w:ascii="仿宋" w:hAnsi="仿宋" w:eastAsia="仿宋" w:cs="宋体"/>
          <w:color w:val="auto"/>
          <w:kern w:val="0"/>
          <w:sz w:val="24"/>
          <w:highlight w:val="none"/>
        </w:rPr>
        <w:br w:type="page"/>
      </w:r>
      <w:r>
        <w:rPr>
          <w:rFonts w:hint="eastAsia" w:ascii="仿宋" w:hAnsi="仿宋" w:eastAsia="仿宋" w:cs="宋体"/>
          <w:color w:val="auto"/>
          <w:kern w:val="0"/>
          <w:sz w:val="30"/>
          <w:szCs w:val="30"/>
          <w:highlight w:val="none"/>
        </w:rPr>
        <w:t>附件</w:t>
      </w:r>
      <w:r>
        <w:rPr>
          <w:rFonts w:hint="eastAsia" w:ascii="仿宋" w:hAnsi="仿宋" w:eastAsia="仿宋" w:cs="宋体"/>
          <w:color w:val="auto"/>
          <w:kern w:val="0"/>
          <w:sz w:val="30"/>
          <w:szCs w:val="30"/>
          <w:highlight w:val="none"/>
          <w:lang w:val="en-US" w:eastAsia="zh-CN"/>
        </w:rPr>
        <w:t>四</w:t>
      </w:r>
      <w:r>
        <w:rPr>
          <w:rFonts w:hint="eastAsia" w:ascii="仿宋" w:hAnsi="仿宋" w:eastAsia="仿宋" w:cs="宋体"/>
          <w:color w:val="auto"/>
          <w:kern w:val="0"/>
          <w:sz w:val="30"/>
          <w:szCs w:val="30"/>
          <w:highlight w:val="none"/>
        </w:rPr>
        <w:t xml:space="preserve">：项目管理小组成员 </w:t>
      </w:r>
    </w:p>
    <w:p>
      <w:pPr>
        <w:spacing w:line="400" w:lineRule="exact"/>
        <w:ind w:firstLine="480" w:firstLineChars="200"/>
        <w:rPr>
          <w:rFonts w:hint="eastAsia" w:ascii="仿宋" w:hAnsi="仿宋" w:eastAsia="仿宋"/>
          <w:color w:val="auto"/>
          <w:sz w:val="24"/>
          <w:highlight w:val="none"/>
        </w:rPr>
      </w:pPr>
    </w:p>
    <w:p>
      <w:pPr>
        <w:numPr>
          <w:ilvl w:val="0"/>
          <w:numId w:val="11"/>
        </w:numPr>
        <w:spacing w:line="400" w:lineRule="exact"/>
        <w:rPr>
          <w:rFonts w:ascii="仿宋" w:hAnsi="仿宋" w:eastAsia="仿宋"/>
          <w:color w:val="auto"/>
          <w:sz w:val="24"/>
          <w:highlight w:val="none"/>
        </w:rPr>
      </w:pPr>
      <w:r>
        <w:rPr>
          <w:rFonts w:hint="eastAsia" w:ascii="仿宋" w:hAnsi="仿宋" w:eastAsia="仿宋"/>
          <w:color w:val="auto"/>
          <w:sz w:val="24"/>
          <w:highlight w:val="none"/>
        </w:rPr>
        <w:t xml:space="preserve">甲方成员：   </w:t>
      </w:r>
    </w:p>
    <w:tbl>
      <w:tblPr>
        <w:tblStyle w:val="63"/>
        <w:tblW w:w="7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31"/>
        <w:gridCol w:w="1531"/>
        <w:gridCol w:w="1531"/>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1"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序号</w:t>
            </w:r>
          </w:p>
        </w:tc>
        <w:tc>
          <w:tcPr>
            <w:tcW w:w="1531"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姓名</w:t>
            </w:r>
          </w:p>
        </w:tc>
        <w:tc>
          <w:tcPr>
            <w:tcW w:w="1531"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职务/职称</w:t>
            </w:r>
          </w:p>
        </w:tc>
        <w:tc>
          <w:tcPr>
            <w:tcW w:w="1531"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负责内容</w:t>
            </w:r>
          </w:p>
        </w:tc>
        <w:tc>
          <w:tcPr>
            <w:tcW w:w="1532"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2" w:type="dxa"/>
            <w:noWrap w:val="0"/>
            <w:vAlign w:val="top"/>
          </w:tcPr>
          <w:p>
            <w:pPr>
              <w:spacing w:line="400" w:lineRule="exact"/>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2" w:type="dxa"/>
            <w:noWrap w:val="0"/>
            <w:vAlign w:val="top"/>
          </w:tcPr>
          <w:p>
            <w:pPr>
              <w:spacing w:line="400" w:lineRule="exact"/>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2" w:type="dxa"/>
            <w:noWrap w:val="0"/>
            <w:vAlign w:val="top"/>
          </w:tcPr>
          <w:p>
            <w:pPr>
              <w:spacing w:line="400" w:lineRule="exact"/>
              <w:rPr>
                <w:rFonts w:ascii="仿宋" w:hAnsi="仿宋" w:eastAsia="仿宋"/>
                <w:color w:val="auto"/>
                <w:sz w:val="24"/>
                <w:highlight w:val="none"/>
              </w:rPr>
            </w:pPr>
          </w:p>
        </w:tc>
      </w:tr>
    </w:tbl>
    <w:p>
      <w:pPr>
        <w:spacing w:line="400" w:lineRule="exact"/>
        <w:rPr>
          <w:rFonts w:hint="eastAsia" w:ascii="仿宋" w:hAnsi="仿宋" w:eastAsia="仿宋"/>
          <w:color w:val="auto"/>
          <w:sz w:val="24"/>
          <w:highlight w:val="none"/>
        </w:rPr>
      </w:pPr>
    </w:p>
    <w:p>
      <w:pPr>
        <w:spacing w:line="400" w:lineRule="exact"/>
        <w:ind w:left="480"/>
        <w:rPr>
          <w:rFonts w:hint="eastAsia" w:ascii="仿宋" w:hAnsi="仿宋" w:eastAsia="仿宋"/>
          <w:color w:val="auto"/>
          <w:sz w:val="24"/>
          <w:highlight w:val="none"/>
        </w:rPr>
      </w:pPr>
      <w:r>
        <w:rPr>
          <w:rFonts w:hint="eastAsia" w:ascii="仿宋" w:hAnsi="仿宋" w:eastAsia="仿宋"/>
          <w:color w:val="auto"/>
          <w:sz w:val="24"/>
          <w:highlight w:val="none"/>
        </w:rPr>
        <w:t>（二）乙方成员：</w:t>
      </w:r>
    </w:p>
    <w:tbl>
      <w:tblPr>
        <w:tblStyle w:val="63"/>
        <w:tblW w:w="7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31"/>
        <w:gridCol w:w="1531"/>
        <w:gridCol w:w="1531"/>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1"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序号</w:t>
            </w:r>
          </w:p>
        </w:tc>
        <w:tc>
          <w:tcPr>
            <w:tcW w:w="1531"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姓名</w:t>
            </w:r>
          </w:p>
        </w:tc>
        <w:tc>
          <w:tcPr>
            <w:tcW w:w="1531"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职务/职称</w:t>
            </w:r>
          </w:p>
        </w:tc>
        <w:tc>
          <w:tcPr>
            <w:tcW w:w="1531"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负责内容</w:t>
            </w:r>
          </w:p>
        </w:tc>
        <w:tc>
          <w:tcPr>
            <w:tcW w:w="1532"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2" w:type="dxa"/>
            <w:noWrap w:val="0"/>
            <w:vAlign w:val="top"/>
          </w:tcPr>
          <w:p>
            <w:pPr>
              <w:spacing w:line="400" w:lineRule="exact"/>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2" w:type="dxa"/>
            <w:noWrap w:val="0"/>
            <w:vAlign w:val="top"/>
          </w:tcPr>
          <w:p>
            <w:pPr>
              <w:spacing w:line="400" w:lineRule="exact"/>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1" w:type="dxa"/>
            <w:noWrap w:val="0"/>
            <w:vAlign w:val="top"/>
          </w:tcPr>
          <w:p>
            <w:pPr>
              <w:spacing w:line="400" w:lineRule="exact"/>
              <w:rPr>
                <w:rFonts w:ascii="仿宋" w:hAnsi="仿宋" w:eastAsia="仿宋"/>
                <w:color w:val="auto"/>
                <w:sz w:val="24"/>
                <w:highlight w:val="none"/>
              </w:rPr>
            </w:pPr>
          </w:p>
        </w:tc>
        <w:tc>
          <w:tcPr>
            <w:tcW w:w="1532" w:type="dxa"/>
            <w:noWrap w:val="0"/>
            <w:vAlign w:val="top"/>
          </w:tcPr>
          <w:p>
            <w:pPr>
              <w:spacing w:line="400" w:lineRule="exact"/>
              <w:rPr>
                <w:rFonts w:ascii="仿宋" w:hAnsi="仿宋" w:eastAsia="仿宋"/>
                <w:color w:val="auto"/>
                <w:sz w:val="24"/>
                <w:highlight w:val="none"/>
              </w:rPr>
            </w:pPr>
          </w:p>
        </w:tc>
      </w:tr>
    </w:tbl>
    <w:p>
      <w:pPr>
        <w:spacing w:line="400" w:lineRule="exact"/>
        <w:ind w:firstLine="480" w:firstLineChars="200"/>
        <w:rPr>
          <w:rFonts w:ascii="仿宋" w:hAnsi="仿宋" w:eastAsia="仿宋"/>
          <w:color w:val="auto"/>
          <w:sz w:val="24"/>
          <w:highlight w:val="none"/>
        </w:rPr>
      </w:pPr>
    </w:p>
    <w:p>
      <w:pPr>
        <w:spacing w:line="400" w:lineRule="exact"/>
        <w:rPr>
          <w:rFonts w:hint="eastAsia" w:ascii="仿宋" w:hAnsi="仿宋" w:eastAsia="仿宋"/>
          <w:color w:val="auto"/>
          <w:sz w:val="24"/>
          <w:highlight w:val="none"/>
        </w:rPr>
      </w:pPr>
    </w:p>
    <w:p>
      <w:pPr>
        <w:spacing w:line="400" w:lineRule="exact"/>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（三）项目驻点人员情况（如有）：</w:t>
      </w:r>
    </w:p>
    <w:p>
      <w:pPr>
        <w:spacing w:line="400" w:lineRule="exact"/>
        <w:ind w:firstLine="480" w:firstLineChars="200"/>
        <w:rPr>
          <w:rFonts w:ascii="仿宋" w:hAnsi="仿宋" w:eastAsia="仿宋" w:cs="宋体"/>
          <w:color w:val="auto"/>
          <w:kern w:val="0"/>
          <w:sz w:val="24"/>
          <w:highlight w:val="none"/>
        </w:rPr>
      </w:pPr>
    </w:p>
    <w:tbl>
      <w:tblPr>
        <w:tblStyle w:val="63"/>
        <w:tblW w:w="7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285"/>
        <w:gridCol w:w="1285"/>
        <w:gridCol w:w="1285"/>
        <w:gridCol w:w="1285"/>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序号</w:t>
            </w:r>
          </w:p>
        </w:tc>
        <w:tc>
          <w:tcPr>
            <w:tcW w:w="1285"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姓名</w:t>
            </w:r>
          </w:p>
        </w:tc>
        <w:tc>
          <w:tcPr>
            <w:tcW w:w="1285"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职务/职称</w:t>
            </w:r>
          </w:p>
        </w:tc>
        <w:tc>
          <w:tcPr>
            <w:tcW w:w="1285"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负责内容</w:t>
            </w:r>
          </w:p>
        </w:tc>
        <w:tc>
          <w:tcPr>
            <w:tcW w:w="1285" w:type="dxa"/>
            <w:noWrap w:val="0"/>
            <w:vAlign w:val="top"/>
          </w:tcPr>
          <w:p>
            <w:pPr>
              <w:spacing w:line="400" w:lineRule="exact"/>
              <w:rPr>
                <w:rFonts w:ascii="仿宋" w:hAnsi="仿宋" w:eastAsia="仿宋"/>
                <w:color w:val="auto"/>
                <w:sz w:val="24"/>
                <w:highlight w:val="none"/>
              </w:rPr>
            </w:pPr>
            <w:r>
              <w:rPr>
                <w:rFonts w:hint="eastAsia" w:ascii="仿宋" w:hAnsi="仿宋" w:eastAsia="仿宋"/>
                <w:color w:val="auto"/>
                <w:sz w:val="24"/>
                <w:highlight w:val="none"/>
              </w:rPr>
              <w:t>联系方式</w:t>
            </w:r>
          </w:p>
        </w:tc>
        <w:tc>
          <w:tcPr>
            <w:tcW w:w="1232" w:type="dxa"/>
            <w:noWrap w:val="0"/>
            <w:vAlign w:val="top"/>
          </w:tcPr>
          <w:p>
            <w:pPr>
              <w:spacing w:line="400" w:lineRule="exact"/>
              <w:rPr>
                <w:rFonts w:hint="eastAsia" w:ascii="仿宋" w:hAnsi="仿宋" w:eastAsia="仿宋"/>
                <w:color w:val="auto"/>
                <w:sz w:val="24"/>
                <w:highlight w:val="none"/>
              </w:rPr>
            </w:pPr>
            <w:r>
              <w:rPr>
                <w:rFonts w:hint="eastAsia" w:ascii="仿宋" w:hAnsi="仿宋" w:eastAsia="仿宋"/>
                <w:color w:val="auto"/>
                <w:sz w:val="24"/>
                <w:highlight w:val="none"/>
              </w:rPr>
              <w:t>驻点周期（年）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32" w:type="dxa"/>
            <w:noWrap w:val="0"/>
            <w:vAlign w:val="top"/>
          </w:tcPr>
          <w:p>
            <w:pPr>
              <w:spacing w:line="400" w:lineRule="exact"/>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32" w:type="dxa"/>
            <w:noWrap w:val="0"/>
            <w:vAlign w:val="top"/>
          </w:tcPr>
          <w:p>
            <w:pPr>
              <w:spacing w:line="400" w:lineRule="exact"/>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4"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85" w:type="dxa"/>
            <w:noWrap w:val="0"/>
            <w:vAlign w:val="top"/>
          </w:tcPr>
          <w:p>
            <w:pPr>
              <w:spacing w:line="400" w:lineRule="exact"/>
              <w:rPr>
                <w:rFonts w:ascii="仿宋" w:hAnsi="仿宋" w:eastAsia="仿宋"/>
                <w:color w:val="auto"/>
                <w:sz w:val="24"/>
                <w:highlight w:val="none"/>
              </w:rPr>
            </w:pPr>
          </w:p>
        </w:tc>
        <w:tc>
          <w:tcPr>
            <w:tcW w:w="1232" w:type="dxa"/>
            <w:noWrap w:val="0"/>
            <w:vAlign w:val="top"/>
          </w:tcPr>
          <w:p>
            <w:pPr>
              <w:spacing w:line="400" w:lineRule="exact"/>
              <w:rPr>
                <w:rFonts w:ascii="仿宋" w:hAnsi="仿宋" w:eastAsia="仿宋"/>
                <w:color w:val="auto"/>
                <w:sz w:val="24"/>
                <w:highlight w:val="none"/>
              </w:rPr>
            </w:pPr>
          </w:p>
        </w:tc>
      </w:tr>
    </w:tbl>
    <w:p>
      <w:pPr>
        <w:spacing w:line="400" w:lineRule="exact"/>
        <w:ind w:firstLine="480" w:firstLineChars="200"/>
        <w:rPr>
          <w:rFonts w:hint="eastAsia" w:ascii="仿宋" w:hAnsi="仿宋" w:eastAsia="仿宋" w:cs="宋体"/>
          <w:color w:val="auto"/>
          <w:kern w:val="0"/>
          <w:sz w:val="24"/>
          <w:highlight w:val="none"/>
        </w:rPr>
        <w:sectPr>
          <w:footerReference r:id="rId10" w:type="default"/>
          <w:pgSz w:w="12240" w:h="15840"/>
          <w:pgMar w:top="1440" w:right="1080" w:bottom="1440" w:left="1080" w:header="720" w:footer="720" w:gutter="0"/>
          <w:cols w:space="720" w:num="1"/>
        </w:sectPr>
      </w:pPr>
    </w:p>
    <w:p>
      <w:pPr>
        <w:widowControl/>
        <w:spacing w:line="500" w:lineRule="exact"/>
        <w:jc w:val="left"/>
        <w:rPr>
          <w:rFonts w:hint="eastAsia" w:ascii="仿宋" w:hAnsi="仿宋" w:eastAsia="仿宋" w:cs="宋体"/>
          <w:color w:val="auto"/>
          <w:kern w:val="0"/>
          <w:sz w:val="30"/>
          <w:szCs w:val="30"/>
          <w:highlight w:val="none"/>
          <w:lang w:eastAsia="zh-CN"/>
        </w:rPr>
      </w:pPr>
      <w:r>
        <w:rPr>
          <w:rFonts w:hint="eastAsia" w:ascii="仿宋" w:hAnsi="仿宋" w:eastAsia="仿宋" w:cs="宋体"/>
          <w:color w:val="auto"/>
          <w:kern w:val="0"/>
          <w:sz w:val="30"/>
          <w:szCs w:val="30"/>
          <w:highlight w:val="none"/>
        </w:rPr>
        <w:t>附件</w:t>
      </w:r>
      <w:r>
        <w:rPr>
          <w:rFonts w:hint="eastAsia" w:ascii="仿宋" w:hAnsi="仿宋" w:eastAsia="仿宋" w:cs="宋体"/>
          <w:color w:val="auto"/>
          <w:kern w:val="0"/>
          <w:sz w:val="30"/>
          <w:szCs w:val="30"/>
          <w:highlight w:val="none"/>
          <w:lang w:val="en-US" w:eastAsia="zh-CN"/>
        </w:rPr>
        <w:t>五</w:t>
      </w:r>
    </w:p>
    <w:bookmarkEnd w:id="451"/>
    <w:p>
      <w:pPr>
        <w:spacing w:line="600" w:lineRule="exact"/>
        <w:ind w:firstLine="0" w:firstLineChars="0"/>
        <w:jc w:val="center"/>
        <w:rPr>
          <w:rFonts w:hint="eastAsia" w:ascii="仿宋" w:hAnsi="仿宋" w:eastAsia="仿宋" w:cs="仿宋"/>
          <w:b/>
          <w:bCs w:val="0"/>
          <w:color w:val="auto"/>
          <w:sz w:val="44"/>
          <w:szCs w:val="44"/>
          <w:highlight w:val="none"/>
        </w:rPr>
      </w:pPr>
      <w:r>
        <w:rPr>
          <w:rFonts w:hint="eastAsia" w:ascii="仿宋" w:hAnsi="仿宋" w:eastAsia="仿宋" w:cs="仿宋"/>
          <w:b/>
          <w:bCs w:val="0"/>
          <w:color w:val="auto"/>
          <w:sz w:val="44"/>
          <w:szCs w:val="44"/>
          <w:highlight w:val="none"/>
          <w:lang w:val="en-US" w:eastAsia="zh-CN"/>
        </w:rPr>
        <w:t>温州市公安局</w:t>
      </w:r>
      <w:r>
        <w:rPr>
          <w:rFonts w:hint="eastAsia" w:ascii="仿宋" w:hAnsi="仿宋" w:eastAsia="仿宋" w:cs="仿宋"/>
          <w:b/>
          <w:bCs w:val="0"/>
          <w:color w:val="auto"/>
          <w:sz w:val="44"/>
          <w:szCs w:val="44"/>
          <w:highlight w:val="none"/>
        </w:rPr>
        <w:t>建设运维项目</w:t>
      </w:r>
    </w:p>
    <w:p>
      <w:pPr>
        <w:spacing w:line="600" w:lineRule="exact"/>
        <w:jc w:val="center"/>
        <w:rPr>
          <w:rFonts w:hint="eastAsia" w:ascii="仿宋" w:hAnsi="仿宋" w:eastAsia="仿宋" w:cs="仿宋"/>
          <w:bCs/>
          <w:color w:val="auto"/>
          <w:sz w:val="44"/>
          <w:szCs w:val="44"/>
          <w:highlight w:val="none"/>
        </w:rPr>
      </w:pPr>
      <w:r>
        <w:rPr>
          <w:rFonts w:hint="eastAsia" w:ascii="仿宋" w:hAnsi="仿宋" w:eastAsia="仿宋" w:cs="仿宋"/>
          <w:b/>
          <w:bCs w:val="0"/>
          <w:color w:val="auto"/>
          <w:sz w:val="44"/>
          <w:szCs w:val="44"/>
          <w:highlight w:val="none"/>
        </w:rPr>
        <w:t>安全保密协议</w:t>
      </w:r>
    </w:p>
    <w:p>
      <w:pPr>
        <w:rPr>
          <w:rFonts w:eastAsia="仿宋_GB2312"/>
          <w:color w:val="auto"/>
          <w:sz w:val="30"/>
          <w:szCs w:val="30"/>
          <w:highlight w:val="none"/>
        </w:rPr>
      </w:pPr>
    </w:p>
    <w:p>
      <w:pPr>
        <w:spacing w:line="360" w:lineRule="auto"/>
        <w:rPr>
          <w:rFonts w:hint="eastAsia" w:ascii="仿宋" w:hAnsi="仿宋" w:eastAsia="仿宋" w:cs="仿宋"/>
          <w:color w:val="auto"/>
          <w:sz w:val="22"/>
          <w:szCs w:val="22"/>
          <w:highlight w:val="none"/>
          <w:u w:val="none"/>
          <w:lang w:val="en-US" w:eastAsia="zh-CN"/>
        </w:rPr>
      </w:pPr>
      <w:r>
        <w:rPr>
          <w:rFonts w:hint="eastAsia" w:ascii="仿宋" w:hAnsi="仿宋" w:eastAsia="仿宋" w:cs="仿宋"/>
          <w:color w:val="auto"/>
          <w:sz w:val="22"/>
          <w:szCs w:val="22"/>
          <w:highlight w:val="none"/>
        </w:rPr>
        <w:t xml:space="preserve">甲方（项目责任单位）： </w:t>
      </w:r>
      <w:r>
        <w:rPr>
          <w:rFonts w:hint="eastAsia" w:ascii="仿宋" w:hAnsi="仿宋" w:eastAsia="仿宋" w:cs="仿宋"/>
          <w:color w:val="auto"/>
          <w:sz w:val="22"/>
          <w:szCs w:val="22"/>
          <w:highlight w:val="none"/>
          <w:u w:val="single"/>
          <w:lang w:val="en-US" w:eastAsia="zh-CN"/>
        </w:rPr>
        <w:t xml:space="preserve">温州市公安局 </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u w:val="single"/>
          <w:lang w:val="en-US" w:eastAsia="zh-CN"/>
        </w:rPr>
        <w:t>（部门）</w:t>
      </w:r>
      <w:r>
        <w:rPr>
          <w:rFonts w:hint="eastAsia" w:ascii="仿宋" w:hAnsi="仿宋" w:eastAsia="仿宋" w:cs="仿宋"/>
          <w:color w:val="auto"/>
          <w:sz w:val="22"/>
          <w:szCs w:val="22"/>
          <w:highlight w:val="none"/>
          <w:u w:val="none"/>
          <w:lang w:val="en-US" w:eastAsia="zh-CN"/>
        </w:rPr>
        <w:t xml:space="preserve">  </w:t>
      </w: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乙方（项目建设运维单位）：</w:t>
      </w:r>
      <w:r>
        <w:rPr>
          <w:rFonts w:hint="eastAsia" w:ascii="仿宋" w:hAnsi="仿宋" w:eastAsia="仿宋" w:cs="仿宋"/>
          <w:color w:val="auto"/>
          <w:sz w:val="22"/>
          <w:szCs w:val="22"/>
          <w:highlight w:val="none"/>
          <w:u w:val="single"/>
        </w:rPr>
        <w:t xml:space="preserve">                  公司</w:t>
      </w:r>
    </w:p>
    <w:p>
      <w:pPr>
        <w:pStyle w:val="59"/>
        <w:spacing w:before="0" w:beforeAutospacing="0" w:after="0" w:afterAutospacing="0"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为做好“</w:t>
      </w:r>
      <w:r>
        <w:rPr>
          <w:rFonts w:hint="eastAsia" w:ascii="仿宋" w:hAnsi="仿宋" w:eastAsia="仿宋" w:cs="仿宋"/>
          <w:color w:val="auto"/>
          <w:sz w:val="22"/>
          <w:szCs w:val="22"/>
          <w:highlight w:val="none"/>
          <w:u w:val="single"/>
        </w:rPr>
        <w:t xml:space="preserve">                    项目</w:t>
      </w:r>
      <w:r>
        <w:rPr>
          <w:rFonts w:hint="eastAsia" w:ascii="仿宋" w:hAnsi="仿宋" w:eastAsia="仿宋" w:cs="仿宋"/>
          <w:color w:val="auto"/>
          <w:sz w:val="22"/>
          <w:szCs w:val="22"/>
          <w:highlight w:val="none"/>
        </w:rPr>
        <w:t>”（以下简称项目）的安全保密工作，确保国家秘密和**工作秘密的安全，根据《中华人民共和国保守国家秘密法》《中华人民共和国数据安全法》《中华人民共和国网络安全法》，公安部、国家保密局关于《公安工作国家秘密范围的规定》（公通字〔2019〕3号）《公安机关**工作秘密范围的规定》（公通字〔2019〕2号）等相关文件规定，甲乙双方就本项目有关安全保密事宜达成如下协议：</w:t>
      </w:r>
    </w:p>
    <w:p>
      <w:pPr>
        <w:spacing w:line="360" w:lineRule="auto"/>
        <w:ind w:firstLine="440" w:firstLineChars="200"/>
        <w:rPr>
          <w:rFonts w:hint="eastAsia" w:ascii="仿宋" w:hAnsi="仿宋" w:eastAsia="仿宋" w:cs="仿宋"/>
          <w:color w:val="auto"/>
          <w:sz w:val="22"/>
          <w:szCs w:val="22"/>
          <w:highlight w:val="none"/>
          <w:u w:val="none"/>
        </w:rPr>
      </w:pPr>
      <w:r>
        <w:rPr>
          <w:rFonts w:hint="eastAsia" w:ascii="仿宋" w:hAnsi="仿宋" w:eastAsia="仿宋" w:cs="仿宋"/>
          <w:color w:val="auto"/>
          <w:sz w:val="22"/>
          <w:szCs w:val="22"/>
          <w:highlight w:val="none"/>
          <w:u w:val="none"/>
        </w:rPr>
        <w:t>一、本项目涉密等级为</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 w:val="22"/>
          <w:szCs w:val="22"/>
          <w:highlight w:val="none"/>
          <w:u w:val="none"/>
          <w:lang w:val="en-US" w:eastAsia="zh-CN"/>
        </w:rPr>
        <w:t>。</w:t>
      </w:r>
      <w:r>
        <w:rPr>
          <w:rFonts w:hint="eastAsia" w:ascii="仿宋" w:hAnsi="仿宋" w:eastAsia="仿宋" w:cs="仿宋"/>
          <w:color w:val="auto"/>
          <w:sz w:val="22"/>
          <w:szCs w:val="22"/>
          <w:highlight w:val="none"/>
        </w:rPr>
        <w:t>保密内容包括：</w:t>
      </w:r>
      <w:r>
        <w:rPr>
          <w:rFonts w:hint="eastAsia" w:ascii="仿宋" w:hAnsi="仿宋" w:eastAsia="仿宋" w:cs="仿宋"/>
          <w:color w:val="auto"/>
          <w:sz w:val="22"/>
          <w:szCs w:val="22"/>
          <w:highlight w:val="none"/>
          <w:u w:val="single"/>
        </w:rPr>
        <w:t>本项目的各类信息数据、文件资料，以及公安内部网络信息和工作中接触到的其他需保密的信息</w:t>
      </w:r>
      <w:r>
        <w:rPr>
          <w:rFonts w:hint="eastAsia" w:ascii="仿宋" w:hAnsi="仿宋" w:eastAsia="仿宋" w:cs="仿宋"/>
          <w:color w:val="auto"/>
          <w:sz w:val="22"/>
          <w:szCs w:val="22"/>
          <w:highlight w:val="none"/>
        </w:rPr>
        <w:t>。</w:t>
      </w:r>
      <w:r>
        <w:rPr>
          <w:rFonts w:hint="eastAsia" w:ascii="仿宋" w:hAnsi="仿宋" w:eastAsia="仿宋" w:cs="仿宋"/>
          <w:color w:val="auto"/>
          <w:sz w:val="22"/>
          <w:szCs w:val="22"/>
          <w:highlight w:val="none"/>
          <w:u w:val="none"/>
        </w:rPr>
        <w:t>（下划线部分，系涉密涉敏项目需视情写明的内容，且需根据具体情况作调整）</w:t>
      </w:r>
    </w:p>
    <w:p>
      <w:pPr>
        <w:spacing w:line="360" w:lineRule="auto"/>
        <w:ind w:firstLine="440" w:firstLineChars="200"/>
        <w:jc w:val="left"/>
        <w:rPr>
          <w:rFonts w:hint="eastAsia"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rPr>
        <w:t>二、乙方应明确本项目的安全保密管理责任体系，公司法定代表人</w:t>
      </w:r>
      <w:r>
        <w:rPr>
          <w:rFonts w:hint="eastAsia" w:ascii="仿宋" w:hAnsi="仿宋" w:eastAsia="仿宋" w:cs="仿宋"/>
          <w:color w:val="auto"/>
          <w:kern w:val="2"/>
          <w:sz w:val="22"/>
          <w:szCs w:val="22"/>
          <w:highlight w:val="none"/>
          <w:u w:val="none"/>
        </w:rPr>
        <w:t xml:space="preserve">                 </w:t>
      </w:r>
      <w:r>
        <w:rPr>
          <w:rFonts w:hint="eastAsia" w:ascii="仿宋" w:hAnsi="仿宋" w:eastAsia="仿宋" w:cs="仿宋"/>
          <w:color w:val="auto"/>
          <w:kern w:val="2"/>
          <w:sz w:val="22"/>
          <w:szCs w:val="22"/>
          <w:highlight w:val="none"/>
        </w:rPr>
        <w:t>（姓名）为本项目安全保密管理第一责任人，具体承担项目事项的乙方部门主要负责人</w:t>
      </w:r>
    </w:p>
    <w:p>
      <w:pPr>
        <w:spacing w:line="360" w:lineRule="auto"/>
        <w:ind w:firstLine="440" w:firstLineChars="200"/>
        <w:jc w:val="left"/>
        <w:rPr>
          <w:rFonts w:hint="eastAsia" w:ascii="仿宋" w:hAnsi="仿宋" w:eastAsia="仿宋" w:cs="仿宋"/>
          <w:color w:val="auto"/>
          <w:kern w:val="2"/>
          <w:sz w:val="22"/>
          <w:szCs w:val="22"/>
          <w:highlight w:val="none"/>
        </w:rPr>
      </w:pPr>
      <w:r>
        <w:rPr>
          <w:rFonts w:hint="eastAsia" w:ascii="仿宋" w:hAnsi="仿宋" w:eastAsia="仿宋" w:cs="仿宋"/>
          <w:color w:val="auto"/>
          <w:kern w:val="2"/>
          <w:sz w:val="22"/>
          <w:szCs w:val="22"/>
          <w:highlight w:val="none"/>
          <w:u w:val="none"/>
        </w:rPr>
        <w:t xml:space="preserve">                </w:t>
      </w:r>
      <w:r>
        <w:rPr>
          <w:rFonts w:hint="eastAsia" w:ascii="仿宋" w:hAnsi="仿宋" w:eastAsia="仿宋" w:cs="仿宋"/>
          <w:color w:val="auto"/>
          <w:kern w:val="2"/>
          <w:sz w:val="22"/>
          <w:szCs w:val="22"/>
          <w:highlight w:val="none"/>
        </w:rPr>
        <w:t>（姓名）</w:t>
      </w:r>
      <w:r>
        <w:rPr>
          <w:rFonts w:hint="eastAsia" w:ascii="仿宋" w:hAnsi="仿宋" w:eastAsia="仿宋" w:cs="仿宋"/>
          <w:color w:val="auto"/>
          <w:kern w:val="2"/>
          <w:sz w:val="22"/>
          <w:szCs w:val="22"/>
          <w:highlight w:val="none"/>
          <w:u w:val="none"/>
        </w:rPr>
        <w:t xml:space="preserve">                </w:t>
      </w:r>
      <w:r>
        <w:rPr>
          <w:rFonts w:hint="eastAsia" w:ascii="仿宋" w:hAnsi="仿宋" w:eastAsia="仿宋" w:cs="仿宋"/>
          <w:color w:val="auto"/>
          <w:kern w:val="2"/>
          <w:sz w:val="22"/>
          <w:szCs w:val="22"/>
          <w:highlight w:val="none"/>
        </w:rPr>
        <w:t>（职务）为本项目的安全保密管理直接责任人。</w:t>
      </w:r>
    </w:p>
    <w:p>
      <w:pPr>
        <w:spacing w:line="360" w:lineRule="auto"/>
        <w:ind w:firstLine="440" w:firstLineChars="200"/>
        <w:jc w:val="left"/>
        <w:rPr>
          <w:rFonts w:hint="eastAsia" w:ascii="仿宋" w:hAnsi="仿宋" w:eastAsia="仿宋" w:cs="仿宋"/>
          <w:color w:val="auto"/>
          <w:sz w:val="22"/>
          <w:szCs w:val="22"/>
          <w:highlight w:val="none"/>
        </w:rPr>
      </w:pPr>
      <w:r>
        <w:rPr>
          <w:rFonts w:hint="eastAsia" w:ascii="仿宋" w:hAnsi="仿宋" w:eastAsia="仿宋" w:cs="仿宋"/>
          <w:color w:val="auto"/>
          <w:kern w:val="2"/>
          <w:sz w:val="22"/>
          <w:szCs w:val="22"/>
          <w:highlight w:val="none"/>
        </w:rPr>
        <w:t>三、乙方应遵守国家保密法律法规和公安机关有关信息化合作安全保密规定要求，履行安全保密义务与责任，并按年度提交本项目安全保密工作情况报告。</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四、甲方应当加强对乙方及参与本项目工作人员的安全保密监管和教育，及时督促乙方整改安全保密问题隐患。</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五、乙方应派遣符合甲方要求的工作人员参加项目工作，对项目工作人员登记造册，并承担法律上的担保责任。</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六、乙方应当建立安全保密管理制度，认真做好本项目建设运维期间的安全保密管理工作。</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（一）工作人员管理方面</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1.常态化开展工作人员的安全保密教育培训、安全保密检查、安全保密提醒谈话和保密岗位考核，掌握现实表现、思想动态，增强其安全保密法纪观念、责任意识、知识技能；</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2.集中登记保管工作人员的出国（境）证件，同时应在出国（境）前15个工作日报甲、监督方同意；</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3.工作人员中途更换（需经甲方同意）或因工作完成而离岗的，要落实账号注销、授权取消、证件、信息设备、文件资料等清退，并做好保密提醒谈话、签订离岗承诺书等工作；</w:t>
      </w:r>
    </w:p>
    <w:p>
      <w:pPr>
        <w:spacing w:line="360" w:lineRule="auto"/>
        <w:ind w:firstLine="440" w:firstLineChars="200"/>
        <w:rPr>
          <w:rFonts w:hint="eastAsia" w:ascii="仿宋" w:hAnsi="仿宋" w:eastAsia="仿宋" w:cs="仿宋"/>
          <w:b w:val="0"/>
          <w:bCs w:val="0"/>
          <w:color w:val="auto"/>
          <w:sz w:val="22"/>
          <w:szCs w:val="22"/>
          <w:highlight w:val="none"/>
          <w:u w:val="none"/>
        </w:rPr>
      </w:pPr>
      <w:r>
        <w:rPr>
          <w:rFonts w:hint="eastAsia" w:ascii="仿宋" w:hAnsi="仿宋" w:eastAsia="仿宋" w:cs="仿宋"/>
          <w:b w:val="0"/>
          <w:bCs w:val="0"/>
          <w:color w:val="auto"/>
          <w:sz w:val="22"/>
          <w:szCs w:val="22"/>
          <w:highlight w:val="none"/>
          <w:u w:val="none"/>
        </w:rPr>
        <w:t>4.参与涉密项目的工作人员，应为已向保密行政管理部门报备的涉密人员。（</w:t>
      </w:r>
      <w:r>
        <w:rPr>
          <w:rFonts w:hint="eastAsia" w:ascii="仿宋" w:hAnsi="仿宋" w:eastAsia="仿宋" w:cs="仿宋"/>
          <w:b/>
          <w:bCs/>
          <w:color w:val="auto"/>
          <w:sz w:val="22"/>
          <w:szCs w:val="22"/>
          <w:highlight w:val="none"/>
          <w:u w:val="none"/>
        </w:rPr>
        <w:t>本条系涉密项目的要求</w:t>
      </w:r>
      <w:r>
        <w:rPr>
          <w:rFonts w:hint="eastAsia" w:ascii="仿宋" w:hAnsi="仿宋" w:eastAsia="仿宋" w:cs="仿宋"/>
          <w:b w:val="0"/>
          <w:bCs w:val="0"/>
          <w:color w:val="auto"/>
          <w:sz w:val="22"/>
          <w:szCs w:val="22"/>
          <w:highlight w:val="none"/>
          <w:u w:val="none"/>
        </w:rPr>
        <w:t>）</w:t>
      </w:r>
    </w:p>
    <w:p>
      <w:pPr>
        <w:spacing w:line="360" w:lineRule="auto"/>
        <w:ind w:firstLine="440" w:firstLineChars="200"/>
        <w:rPr>
          <w:rFonts w:hint="eastAsia" w:ascii="仿宋" w:hAnsi="仿宋" w:eastAsia="仿宋" w:cs="仿宋"/>
          <w:color w:val="auto"/>
          <w:sz w:val="22"/>
          <w:szCs w:val="22"/>
          <w:highlight w:val="none"/>
          <w:u w:val="none"/>
        </w:rPr>
      </w:pPr>
      <w:r>
        <w:rPr>
          <w:rFonts w:hint="eastAsia" w:ascii="仿宋" w:hAnsi="仿宋" w:eastAsia="仿宋" w:cs="仿宋"/>
          <w:color w:val="auto"/>
          <w:sz w:val="22"/>
          <w:szCs w:val="22"/>
          <w:highlight w:val="none"/>
          <w:u w:val="none"/>
        </w:rPr>
        <w:t>5.涉密项目应加强离岗的工作人员脱密期管理。（</w:t>
      </w:r>
      <w:r>
        <w:rPr>
          <w:rFonts w:hint="eastAsia" w:ascii="仿宋" w:hAnsi="仿宋" w:eastAsia="仿宋" w:cs="仿宋"/>
          <w:b/>
          <w:bCs/>
          <w:color w:val="auto"/>
          <w:sz w:val="22"/>
          <w:szCs w:val="22"/>
          <w:highlight w:val="none"/>
          <w:u w:val="none"/>
        </w:rPr>
        <w:t>本条系涉密项目的要求</w:t>
      </w:r>
      <w:r>
        <w:rPr>
          <w:rFonts w:hint="eastAsia" w:ascii="仿宋" w:hAnsi="仿宋" w:eastAsia="仿宋" w:cs="仿宋"/>
          <w:color w:val="auto"/>
          <w:sz w:val="22"/>
          <w:szCs w:val="22"/>
          <w:highlight w:val="none"/>
          <w:u w:val="none"/>
        </w:rPr>
        <w:t xml:space="preserve">）     </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（二）场所载体管理方面</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1.工作人员应在甲方指定的工作场所和设备环境下开展工作，使用甲方提供或指定的计算机等设备；未经甲方许可，不得以任何形式将公安信息、数据等传输或复制到其它计算机、信息设备、存储介质中。</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未经甲方批准，不得擅自将计算机、信息设备、存储介质等带入甲方工作场所或者接入公安内部网络，确因工作需要经甲方审批而联入公安内部网络的计算机设备，应严格按照公安内部网络安全管理的要求，严禁“一机两用”，并不得擅自带离甲方工作场所。</w:t>
      </w:r>
    </w:p>
    <w:p>
      <w:pPr>
        <w:spacing w:line="360" w:lineRule="auto"/>
        <w:ind w:firstLine="440" w:firstLineChars="200"/>
        <w:rPr>
          <w:rFonts w:hint="eastAsia" w:ascii="仿宋" w:hAnsi="仿宋" w:eastAsia="仿宋" w:cs="仿宋"/>
          <w:color w:val="auto"/>
          <w:sz w:val="22"/>
          <w:szCs w:val="22"/>
          <w:highlight w:val="none"/>
          <w:u w:val="none"/>
        </w:rPr>
      </w:pPr>
      <w:r>
        <w:rPr>
          <w:rFonts w:hint="eastAsia" w:ascii="仿宋" w:hAnsi="仿宋" w:eastAsia="仿宋" w:cs="仿宋"/>
          <w:color w:val="auto"/>
          <w:sz w:val="22"/>
          <w:szCs w:val="22"/>
          <w:highlight w:val="none"/>
        </w:rPr>
        <w:t>（三）网络及数据安全管理方面</w:t>
      </w:r>
    </w:p>
    <w:p>
      <w:pPr>
        <w:spacing w:line="360" w:lineRule="auto"/>
        <w:ind w:firstLine="440" w:firstLineChars="200"/>
        <w:rPr>
          <w:rFonts w:hint="eastAsia" w:ascii="仿宋" w:hAnsi="仿宋" w:eastAsia="仿宋" w:cs="仿宋"/>
          <w:color w:val="auto"/>
          <w:sz w:val="22"/>
          <w:szCs w:val="22"/>
          <w:highlight w:val="none"/>
          <w:u w:val="none"/>
        </w:rPr>
      </w:pPr>
      <w:r>
        <w:rPr>
          <w:rFonts w:hint="eastAsia" w:ascii="仿宋" w:hAnsi="仿宋" w:eastAsia="仿宋" w:cs="仿宋"/>
          <w:color w:val="auto"/>
          <w:sz w:val="22"/>
          <w:szCs w:val="22"/>
          <w:highlight w:val="none"/>
        </w:rPr>
        <w:t>1.不得使用无正规版权、无安全保障的开发工具、基础软件等，不得交付留有系统后门或带有恶意代码的应用软件，不得侵犯公安机关知识产权，不得隐匿、篡改或拒不提供开发文档、软件源代码；</w:t>
      </w:r>
      <w:r>
        <w:rPr>
          <w:rFonts w:hint="eastAsia" w:ascii="仿宋" w:hAnsi="仿宋" w:eastAsia="仿宋" w:cs="仿宋"/>
          <w:color w:val="auto"/>
          <w:sz w:val="22"/>
          <w:szCs w:val="22"/>
          <w:highlight w:val="none"/>
          <w:u w:val="none"/>
        </w:rPr>
        <w:t xml:space="preserve"> （本条系科技建设运维项目的要求）</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不得在互联网环境下测试开发公安信息系统，不得以任何方式将公安信息、数据提供给第三方或用于其他商业目的，同时应根据项目进展，及时主动向甲方清退文件资料，当甲方要求乙方交回文件资料时，乙方应当立即交回，不以任何形式保留或擅自处理，不得将项目的具体内容或案例信息作为公司业绩对外宣传；</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3.不得通过公共社交软件、通联工具谈论或处理、传输可能涉密涉敏的本项目情况；</w:t>
      </w:r>
    </w:p>
    <w:p>
      <w:pPr>
        <w:spacing w:line="360" w:lineRule="auto"/>
        <w:ind w:firstLine="44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4.不得入侵、篡改、泄露或擅自使用公安信息系统，不得擅自浏览、下载、泄露公安内部网络信息；</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5.不得私接网络边界通道或者未经审批超范围使用边界通道，不得跨网进行运行维护操作；</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6.不得私自持有使用公安数据库权限，不得未经允许导出数据，不得在互联网、政务外网存储、处理未经脱密脱敏处理的公安信息数据；</w:t>
      </w:r>
    </w:p>
    <w:p>
      <w:pPr>
        <w:spacing w:line="360" w:lineRule="auto"/>
        <w:ind w:firstLine="440"/>
        <w:rPr>
          <w:rFonts w:hint="eastAsia" w:ascii="仿宋" w:hAnsi="仿宋" w:eastAsia="仿宋" w:cs="仿宋"/>
          <w:color w:val="auto"/>
          <w:sz w:val="22"/>
          <w:szCs w:val="22"/>
          <w:highlight w:val="none"/>
          <w:u w:val="none"/>
        </w:rPr>
      </w:pPr>
      <w:r>
        <w:rPr>
          <w:rFonts w:hint="eastAsia" w:ascii="仿宋" w:hAnsi="仿宋" w:eastAsia="仿宋" w:cs="仿宋"/>
          <w:color w:val="auto"/>
          <w:sz w:val="22"/>
          <w:szCs w:val="22"/>
          <w:highlight w:val="none"/>
        </w:rPr>
        <w:t>7.在项目建设运维过程中，应制定本项目的网络安全保障方案和网络安全事件应急预案，严格遵守公安有关信息系统建设开发及数据安全的操作规范，采取必要的技术、管理措施，确保公安信息系统及数据安全。</w:t>
      </w:r>
      <w:r>
        <w:rPr>
          <w:rFonts w:hint="eastAsia" w:ascii="仿宋" w:hAnsi="仿宋" w:eastAsia="仿宋" w:cs="仿宋"/>
          <w:color w:val="auto"/>
          <w:sz w:val="22"/>
          <w:szCs w:val="22"/>
          <w:highlight w:val="none"/>
          <w:u w:val="none"/>
        </w:rPr>
        <w:t>（非科技建设运维项目无需制定应急预案）</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（四）其他</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1.在合同确定的服务范围内开展工作，不得涉及与本项目无关的业务及信息；</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2.自愿接受甲方安全保密监管及检查，对于检查中发现的问题，在限定期间内落实整改；</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3.主动加强本项目的安全保密管理和技术管控措施，一旦发现网络安全事件或者存在失泄密风险隐患的，立即予以补救、整改，及时向甲方报告，为甲方提供查找失泄密原因的线索和证据，并开展批评教育、责任追究等工作；</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4.不得有其他影响安全保密的行为。</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七、乙方单位及人员违反本协议的，由甲方责令其立即整改；导致严重后果的，依据有关规定追究经济、行政等责任；构成犯罪的，依法追究刑事责任。</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八、本协议双方签字盖章后生效。本协议一式三份，甲乙双方各执一份，甲方保密工作机构一份。乙方不得将本协议向第三方展示或提供给第三方，不得通过互联网等进行处理、传输。</w:t>
      </w:r>
    </w:p>
    <w:p>
      <w:pPr>
        <w:spacing w:line="360" w:lineRule="auto"/>
        <w:ind w:firstLine="220" w:firstLineChars="100"/>
        <w:rPr>
          <w:rFonts w:hint="eastAsia" w:ascii="仿宋" w:hAnsi="仿宋" w:eastAsia="仿宋" w:cs="仿宋"/>
          <w:color w:val="auto"/>
          <w:sz w:val="22"/>
          <w:szCs w:val="22"/>
          <w:highlight w:val="none"/>
        </w:rPr>
      </w:pP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甲方代表签字：             </w:t>
      </w:r>
      <w:r>
        <w:rPr>
          <w:rFonts w:hint="eastAsia" w:ascii="仿宋" w:hAnsi="仿宋" w:eastAsia="仿宋" w:cs="仿宋"/>
          <w:color w:val="auto"/>
          <w:sz w:val="22"/>
          <w:szCs w:val="22"/>
          <w:highlight w:val="none"/>
          <w:lang w:val="en-US" w:eastAsia="zh-CN"/>
        </w:rPr>
        <w:t xml:space="preserve">        </w:t>
      </w:r>
      <w:r>
        <w:rPr>
          <w:rFonts w:hint="eastAsia" w:ascii="仿宋" w:hAnsi="仿宋" w:eastAsia="仿宋" w:cs="仿宋"/>
          <w:color w:val="auto"/>
          <w:sz w:val="22"/>
          <w:szCs w:val="22"/>
          <w:highlight w:val="none"/>
        </w:rPr>
        <w:t xml:space="preserve"> </w:t>
      </w:r>
      <w:r>
        <w:rPr>
          <w:rFonts w:hint="eastAsia" w:ascii="仿宋" w:hAnsi="仿宋" w:eastAsia="仿宋" w:cs="仿宋"/>
          <w:color w:val="auto"/>
          <w:sz w:val="22"/>
          <w:szCs w:val="22"/>
          <w:highlight w:val="none"/>
          <w:lang w:val="en-US" w:eastAsia="zh-CN"/>
        </w:rPr>
        <w:t xml:space="preserve">  </w:t>
      </w:r>
      <w:r>
        <w:rPr>
          <w:rFonts w:hint="eastAsia" w:ascii="仿宋" w:hAnsi="仿宋" w:eastAsia="仿宋" w:cs="仿宋"/>
          <w:color w:val="auto"/>
          <w:sz w:val="22"/>
          <w:szCs w:val="22"/>
          <w:highlight w:val="none"/>
        </w:rPr>
        <w:t>乙方代表签字：</w:t>
      </w:r>
    </w:p>
    <w:p>
      <w:pPr>
        <w:spacing w:line="360" w:lineRule="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单位盖章                      </w:t>
      </w:r>
      <w:r>
        <w:rPr>
          <w:rFonts w:hint="eastAsia" w:ascii="仿宋" w:hAnsi="仿宋" w:eastAsia="仿宋" w:cs="仿宋"/>
          <w:color w:val="auto"/>
          <w:sz w:val="22"/>
          <w:szCs w:val="22"/>
          <w:highlight w:val="none"/>
          <w:lang w:val="en-US" w:eastAsia="zh-CN"/>
        </w:rPr>
        <w:t xml:space="preserve">        </w:t>
      </w:r>
      <w:r>
        <w:rPr>
          <w:rFonts w:hint="eastAsia" w:ascii="仿宋" w:hAnsi="仿宋" w:eastAsia="仿宋" w:cs="仿宋"/>
          <w:color w:val="auto"/>
          <w:sz w:val="22"/>
          <w:szCs w:val="22"/>
          <w:highlight w:val="none"/>
        </w:rPr>
        <w:t>单位盖章</w:t>
      </w:r>
    </w:p>
    <w:p>
      <w:pPr>
        <w:spacing w:line="360" w:lineRule="auto"/>
        <w:rPr>
          <w:rFonts w:hint="eastAsia" w:eastAsia="仿宋_GB2312"/>
          <w:color w:val="auto"/>
          <w:sz w:val="30"/>
          <w:szCs w:val="30"/>
          <w:highlight w:val="none"/>
        </w:rPr>
      </w:pPr>
      <w:r>
        <w:rPr>
          <w:rFonts w:hint="eastAsia" w:ascii="仿宋" w:hAnsi="仿宋" w:eastAsia="仿宋" w:cs="仿宋"/>
          <w:color w:val="auto"/>
          <w:sz w:val="22"/>
          <w:szCs w:val="22"/>
          <w:highlight w:val="none"/>
        </w:rPr>
        <w:t>日期：　　　　　　　　　　　　</w:t>
      </w:r>
      <w:r>
        <w:rPr>
          <w:rFonts w:hint="eastAsia" w:ascii="仿宋" w:hAnsi="仿宋" w:eastAsia="仿宋" w:cs="仿宋"/>
          <w:color w:val="auto"/>
          <w:sz w:val="22"/>
          <w:szCs w:val="22"/>
          <w:highlight w:val="none"/>
          <w:lang w:val="en-US" w:eastAsia="zh-CN"/>
        </w:rPr>
        <w:t xml:space="preserve">        </w:t>
      </w:r>
      <w:r>
        <w:rPr>
          <w:rFonts w:hint="eastAsia" w:ascii="仿宋" w:hAnsi="仿宋" w:eastAsia="仿宋" w:cs="仿宋"/>
          <w:color w:val="auto"/>
          <w:sz w:val="22"/>
          <w:szCs w:val="22"/>
          <w:highlight w:val="none"/>
        </w:rPr>
        <w:t>日期：</w:t>
      </w:r>
    </w:p>
    <w:p>
      <w:pPr>
        <w:spacing w:line="560" w:lineRule="exact"/>
        <w:ind w:left="-420" w:leftChars="-200" w:right="-420" w:rightChars="-200" w:firstLine="480" w:firstLineChars="200"/>
        <w:rPr>
          <w:rFonts w:hint="eastAsia" w:ascii="仿宋" w:hAnsi="仿宋" w:eastAsia="仿宋" w:cs="仿宋"/>
          <w:color w:val="auto"/>
          <w:sz w:val="24"/>
          <w:highlight w:val="none"/>
        </w:rPr>
      </w:pPr>
    </w:p>
    <w:p>
      <w:pPr>
        <w:jc w:val="center"/>
        <w:rPr>
          <w:rFonts w:hint="eastAsia" w:ascii="仿宋" w:hAnsi="仿宋" w:eastAsia="仿宋" w:cs="仿宋"/>
          <w:b/>
          <w:bCs/>
          <w:color w:val="auto"/>
          <w:sz w:val="32"/>
          <w:szCs w:val="32"/>
          <w:highlight w:val="none"/>
        </w:rPr>
      </w:pPr>
      <w:r>
        <w:rPr>
          <w:rFonts w:hint="eastAsia" w:ascii="仿宋" w:hAnsi="仿宋" w:eastAsia="仿宋" w:cs="仿宋"/>
          <w:color w:val="auto"/>
          <w:highlight w:val="none"/>
        </w:rPr>
        <w:br w:type="page"/>
      </w:r>
      <w:r>
        <w:rPr>
          <w:rFonts w:hint="eastAsia" w:ascii="仿宋" w:hAnsi="仿宋" w:eastAsia="仿宋" w:cs="仿宋"/>
          <w:b/>
          <w:bCs/>
          <w:color w:val="auto"/>
          <w:sz w:val="32"/>
          <w:szCs w:val="32"/>
          <w:highlight w:val="none"/>
        </w:rPr>
        <w:t>政府采购履约验收书</w:t>
      </w:r>
    </w:p>
    <w:p>
      <w:pPr>
        <w:jc w:val="center"/>
        <w:outlineLvl w:val="1"/>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（参考模板）</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902"/>
        <w:gridCol w:w="1319"/>
        <w:gridCol w:w="217"/>
        <w:gridCol w:w="1176"/>
        <w:gridCol w:w="246"/>
        <w:gridCol w:w="631"/>
        <w:gridCol w:w="1335"/>
        <w:gridCol w:w="594"/>
        <w:gridCol w:w="744"/>
        <w:gridCol w:w="32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15" w:type="dxa"/>
            <w:gridSpan w:val="1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一、验收方案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15" w:type="dxa"/>
            <w:gridSpan w:val="1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p>
        </w:tc>
        <w:tc>
          <w:tcPr>
            <w:tcW w:w="3827" w:type="dxa"/>
            <w:gridSpan w:val="5"/>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w:t>
            </w:r>
          </w:p>
        </w:tc>
        <w:tc>
          <w:tcPr>
            <w:tcW w:w="2543" w:type="dxa"/>
            <w:gridSpan w:val="4"/>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3827" w:type="dxa"/>
            <w:gridSpan w:val="5"/>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合同编号</w:t>
            </w:r>
          </w:p>
        </w:tc>
        <w:tc>
          <w:tcPr>
            <w:tcW w:w="2543" w:type="dxa"/>
            <w:gridSpan w:val="4"/>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合同签订时间</w:t>
            </w:r>
          </w:p>
        </w:tc>
        <w:tc>
          <w:tcPr>
            <w:tcW w:w="3827" w:type="dxa"/>
            <w:gridSpan w:val="5"/>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合同规定验收时间</w:t>
            </w:r>
          </w:p>
        </w:tc>
        <w:tc>
          <w:tcPr>
            <w:tcW w:w="2543" w:type="dxa"/>
            <w:gridSpan w:val="4"/>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项目类型</w:t>
            </w:r>
          </w:p>
        </w:tc>
        <w:tc>
          <w:tcPr>
            <w:tcW w:w="3827" w:type="dxa"/>
            <w:gridSpan w:val="5"/>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货物/</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服务</w:t>
            </w: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合同金额</w:t>
            </w:r>
          </w:p>
        </w:tc>
        <w:tc>
          <w:tcPr>
            <w:tcW w:w="2543" w:type="dxa"/>
            <w:gridSpan w:val="4"/>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15" w:type="dxa"/>
            <w:gridSpan w:val="1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（二）验收方式与方法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验收组织方式</w:t>
            </w:r>
          </w:p>
        </w:tc>
        <w:tc>
          <w:tcPr>
            <w:tcW w:w="3827" w:type="dxa"/>
            <w:gridSpan w:val="5"/>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自行组织/</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委托代理</w:t>
            </w: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代理机构名称</w:t>
            </w:r>
          </w:p>
        </w:tc>
        <w:tc>
          <w:tcPr>
            <w:tcW w:w="2543" w:type="dxa"/>
            <w:gridSpan w:val="4"/>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验收方式</w:t>
            </w:r>
          </w:p>
        </w:tc>
        <w:tc>
          <w:tcPr>
            <w:tcW w:w="3827" w:type="dxa"/>
            <w:gridSpan w:val="5"/>
            <w:noWrap w:val="0"/>
            <w:vAlign w:val="center"/>
          </w:tcPr>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一般验收程序/ </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简易验收程序</w:t>
            </w: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选择简易验收理由</w:t>
            </w:r>
          </w:p>
        </w:tc>
        <w:tc>
          <w:tcPr>
            <w:tcW w:w="2543" w:type="dxa"/>
            <w:gridSpan w:val="4"/>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验收方法</w:t>
            </w:r>
          </w:p>
        </w:tc>
        <w:tc>
          <w:tcPr>
            <w:tcW w:w="3827" w:type="dxa"/>
            <w:gridSpan w:val="5"/>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一次性验收/</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分段验收/</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分期验收</w:t>
            </w: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选择非一次性验收理由</w:t>
            </w:r>
          </w:p>
        </w:tc>
        <w:tc>
          <w:tcPr>
            <w:tcW w:w="2543" w:type="dxa"/>
            <w:gridSpan w:val="4"/>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124" w:type="dxa"/>
            <w:gridSpan w:val="2"/>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大型或复杂项目</w:t>
            </w:r>
          </w:p>
        </w:tc>
        <w:tc>
          <w:tcPr>
            <w:tcW w:w="3827" w:type="dxa"/>
            <w:gridSpan w:val="5"/>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是/</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否</w:t>
            </w:r>
          </w:p>
        </w:tc>
        <w:tc>
          <w:tcPr>
            <w:tcW w:w="1421"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邀请本项目其他供应商</w:t>
            </w:r>
          </w:p>
        </w:tc>
        <w:tc>
          <w:tcPr>
            <w:tcW w:w="2543" w:type="dxa"/>
            <w:gridSpan w:val="4"/>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是/</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参与验收监测机构名称</w:t>
            </w:r>
          </w:p>
        </w:tc>
        <w:tc>
          <w:tcPr>
            <w:tcW w:w="2178" w:type="dxa"/>
            <w:gridSpan w:val="3"/>
            <w:noWrap w:val="0"/>
            <w:vAlign w:val="center"/>
          </w:tcPr>
          <w:p>
            <w:pPr>
              <w:jc w:val="center"/>
              <w:rPr>
                <w:rFonts w:hint="eastAsia" w:ascii="仿宋" w:hAnsi="仿宋" w:eastAsia="仿宋" w:cs="仿宋"/>
                <w:color w:val="auto"/>
                <w:sz w:val="24"/>
                <w:highlight w:val="none"/>
              </w:rPr>
            </w:pPr>
          </w:p>
        </w:tc>
        <w:tc>
          <w:tcPr>
            <w:tcW w:w="1421" w:type="dxa"/>
            <w:vMerge w:val="continue"/>
            <w:noWrap w:val="0"/>
            <w:vAlign w:val="center"/>
          </w:tcPr>
          <w:p>
            <w:pPr>
              <w:jc w:val="center"/>
              <w:rPr>
                <w:rFonts w:hint="eastAsia" w:ascii="仿宋" w:hAnsi="仿宋" w:eastAsia="仿宋" w:cs="仿宋"/>
                <w:color w:val="auto"/>
                <w:sz w:val="24"/>
                <w:highlight w:val="none"/>
              </w:rPr>
            </w:pP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参与验收供应商名称</w:t>
            </w: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24" w:type="dxa"/>
            <w:gridSpan w:val="2"/>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向社会公众提供的公共服务项目方式</w:t>
            </w:r>
          </w:p>
        </w:tc>
        <w:tc>
          <w:tcPr>
            <w:tcW w:w="3827" w:type="dxa"/>
            <w:gridSpan w:val="5"/>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是/</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否</w:t>
            </w:r>
          </w:p>
        </w:tc>
        <w:tc>
          <w:tcPr>
            <w:tcW w:w="1421" w:type="dxa"/>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采购人、使用人分离项目</w:t>
            </w:r>
          </w:p>
        </w:tc>
        <w:tc>
          <w:tcPr>
            <w:tcW w:w="2543" w:type="dxa"/>
            <w:gridSpan w:val="4"/>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是/</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参与验收服务对象</w:t>
            </w:r>
          </w:p>
        </w:tc>
        <w:tc>
          <w:tcPr>
            <w:tcW w:w="2178" w:type="dxa"/>
            <w:gridSpan w:val="3"/>
            <w:noWrap w:val="0"/>
            <w:vAlign w:val="center"/>
          </w:tcPr>
          <w:p>
            <w:pPr>
              <w:jc w:val="center"/>
              <w:rPr>
                <w:rFonts w:hint="eastAsia" w:ascii="仿宋" w:hAnsi="仿宋" w:eastAsia="仿宋" w:cs="仿宋"/>
                <w:color w:val="auto"/>
                <w:sz w:val="24"/>
                <w:highlight w:val="none"/>
              </w:rPr>
            </w:pPr>
          </w:p>
        </w:tc>
        <w:tc>
          <w:tcPr>
            <w:tcW w:w="1421" w:type="dxa"/>
            <w:vMerge w:val="continue"/>
            <w:noWrap w:val="0"/>
            <w:vAlign w:val="center"/>
          </w:tcPr>
          <w:p>
            <w:pPr>
              <w:jc w:val="center"/>
              <w:rPr>
                <w:rFonts w:hint="eastAsia" w:ascii="仿宋" w:hAnsi="仿宋" w:eastAsia="仿宋" w:cs="仿宋"/>
                <w:color w:val="auto"/>
                <w:sz w:val="24"/>
                <w:highlight w:val="none"/>
              </w:rPr>
            </w:pP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使用单位名称</w:t>
            </w: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15" w:type="dxa"/>
            <w:gridSpan w:val="1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（三）验收人员组成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验收小组总人数</w:t>
            </w:r>
          </w:p>
        </w:tc>
        <w:tc>
          <w:tcPr>
            <w:tcW w:w="1408" w:type="dxa"/>
            <w:noWrap w:val="0"/>
            <w:vAlign w:val="center"/>
          </w:tcPr>
          <w:p>
            <w:pPr>
              <w:jc w:val="center"/>
              <w:rPr>
                <w:rFonts w:hint="eastAsia" w:ascii="仿宋" w:hAnsi="仿宋" w:eastAsia="仿宋" w:cs="仿宋"/>
                <w:color w:val="auto"/>
                <w:sz w:val="24"/>
                <w:highlight w:val="none"/>
              </w:rPr>
            </w:pPr>
          </w:p>
        </w:tc>
        <w:tc>
          <w:tcPr>
            <w:tcW w:w="1485"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专业技术人员人数</w:t>
            </w:r>
          </w:p>
        </w:tc>
        <w:tc>
          <w:tcPr>
            <w:tcW w:w="934" w:type="dxa"/>
            <w:gridSpan w:val="2"/>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实际使用人人数（如有）</w:t>
            </w:r>
          </w:p>
        </w:tc>
        <w:tc>
          <w:tcPr>
            <w:tcW w:w="627" w:type="dxa"/>
            <w:noWrap w:val="0"/>
            <w:vAlign w:val="center"/>
          </w:tcPr>
          <w:p>
            <w:pPr>
              <w:jc w:val="center"/>
              <w:rPr>
                <w:rFonts w:hint="eastAsia" w:ascii="仿宋" w:hAnsi="仿宋" w:eastAsia="仿宋" w:cs="仿宋"/>
                <w:color w:val="auto"/>
                <w:sz w:val="24"/>
                <w:highlight w:val="none"/>
              </w:rPr>
            </w:pPr>
          </w:p>
        </w:tc>
        <w:tc>
          <w:tcPr>
            <w:tcW w:w="1147"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其他验收人员数量</w:t>
            </w:r>
          </w:p>
        </w:tc>
        <w:tc>
          <w:tcPr>
            <w:tcW w:w="769" w:type="dxa"/>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验收人员姓名</w:t>
            </w:r>
          </w:p>
        </w:tc>
        <w:tc>
          <w:tcPr>
            <w:tcW w:w="3827" w:type="dxa"/>
            <w:gridSpan w:val="5"/>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工作单位</w:t>
            </w: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职称（专业）</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联系方式</w:t>
            </w:r>
          </w:p>
        </w:tc>
        <w:tc>
          <w:tcPr>
            <w:tcW w:w="111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p>
        </w:tc>
        <w:tc>
          <w:tcPr>
            <w:tcW w:w="3827" w:type="dxa"/>
            <w:gridSpan w:val="5"/>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p>
        </w:tc>
        <w:tc>
          <w:tcPr>
            <w:tcW w:w="1424" w:type="dxa"/>
            <w:gridSpan w:val="2"/>
            <w:noWrap w:val="0"/>
            <w:vAlign w:val="center"/>
          </w:tcPr>
          <w:p>
            <w:pPr>
              <w:jc w:val="center"/>
              <w:rPr>
                <w:rFonts w:hint="eastAsia" w:ascii="仿宋" w:hAnsi="仿宋" w:eastAsia="仿宋" w:cs="仿宋"/>
                <w:color w:val="auto"/>
                <w:sz w:val="24"/>
                <w:highlight w:val="none"/>
              </w:rPr>
            </w:pP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p>
        </w:tc>
        <w:tc>
          <w:tcPr>
            <w:tcW w:w="3827" w:type="dxa"/>
            <w:gridSpan w:val="5"/>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p>
        </w:tc>
        <w:tc>
          <w:tcPr>
            <w:tcW w:w="1424" w:type="dxa"/>
            <w:gridSpan w:val="2"/>
            <w:noWrap w:val="0"/>
            <w:vAlign w:val="center"/>
          </w:tcPr>
          <w:p>
            <w:pPr>
              <w:jc w:val="center"/>
              <w:rPr>
                <w:rFonts w:hint="eastAsia" w:ascii="仿宋" w:hAnsi="仿宋" w:eastAsia="仿宋" w:cs="仿宋"/>
                <w:color w:val="auto"/>
                <w:sz w:val="24"/>
                <w:highlight w:val="none"/>
              </w:rPr>
            </w:pP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15" w:type="dxa"/>
            <w:gridSpan w:val="1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（四）验收主要指标和标准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962"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名称</w:t>
            </w: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合同履约时间、地点、方式</w:t>
            </w:r>
          </w:p>
        </w:tc>
        <w:tc>
          <w:tcPr>
            <w:tcW w:w="2178" w:type="dxa"/>
            <w:gridSpan w:val="3"/>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货物型号规格、标准及配置等（或服务内容、标准）</w:t>
            </w: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单价</w:t>
            </w:r>
          </w:p>
        </w:tc>
        <w:tc>
          <w:tcPr>
            <w:tcW w:w="111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2" w:type="dxa"/>
            <w:noWrap w:val="0"/>
            <w:vAlign w:val="center"/>
          </w:tcPr>
          <w:p>
            <w:pPr>
              <w:jc w:val="center"/>
              <w:rPr>
                <w:rFonts w:hint="eastAsia" w:ascii="仿宋" w:hAnsi="仿宋" w:eastAsia="仿宋" w:cs="仿宋"/>
                <w:color w:val="auto"/>
                <w:sz w:val="24"/>
                <w:highlight w:val="none"/>
              </w:rPr>
            </w:pPr>
          </w:p>
        </w:tc>
        <w:tc>
          <w:tcPr>
            <w:tcW w:w="962" w:type="dxa"/>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p>
        </w:tc>
        <w:tc>
          <w:tcPr>
            <w:tcW w:w="2178" w:type="dxa"/>
            <w:gridSpan w:val="3"/>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p>
        </w:tc>
        <w:tc>
          <w:tcPr>
            <w:tcW w:w="1424" w:type="dxa"/>
            <w:gridSpan w:val="2"/>
            <w:noWrap w:val="0"/>
            <w:vAlign w:val="center"/>
          </w:tcPr>
          <w:p>
            <w:pPr>
              <w:jc w:val="center"/>
              <w:rPr>
                <w:rFonts w:hint="eastAsia" w:ascii="仿宋" w:hAnsi="仿宋" w:eastAsia="仿宋" w:cs="仿宋"/>
                <w:color w:val="auto"/>
                <w:sz w:val="24"/>
                <w:highlight w:val="none"/>
              </w:rPr>
            </w:pP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2" w:type="dxa"/>
            <w:noWrap w:val="0"/>
            <w:vAlign w:val="center"/>
          </w:tcPr>
          <w:p>
            <w:pPr>
              <w:jc w:val="center"/>
              <w:rPr>
                <w:rFonts w:hint="eastAsia" w:ascii="仿宋" w:hAnsi="仿宋" w:eastAsia="仿宋" w:cs="仿宋"/>
                <w:color w:val="auto"/>
                <w:sz w:val="24"/>
                <w:highlight w:val="none"/>
              </w:rPr>
            </w:pPr>
          </w:p>
        </w:tc>
        <w:tc>
          <w:tcPr>
            <w:tcW w:w="962" w:type="dxa"/>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p>
        </w:tc>
        <w:tc>
          <w:tcPr>
            <w:tcW w:w="2178" w:type="dxa"/>
            <w:gridSpan w:val="3"/>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p>
        </w:tc>
        <w:tc>
          <w:tcPr>
            <w:tcW w:w="1424" w:type="dxa"/>
            <w:gridSpan w:val="2"/>
            <w:noWrap w:val="0"/>
            <w:vAlign w:val="center"/>
          </w:tcPr>
          <w:p>
            <w:pPr>
              <w:jc w:val="center"/>
              <w:rPr>
                <w:rFonts w:hint="eastAsia" w:ascii="仿宋" w:hAnsi="仿宋" w:eastAsia="仿宋" w:cs="仿宋"/>
                <w:color w:val="auto"/>
                <w:sz w:val="24"/>
                <w:highlight w:val="none"/>
              </w:rPr>
            </w:pP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2" w:type="dxa"/>
            <w:noWrap w:val="0"/>
            <w:vAlign w:val="center"/>
          </w:tcPr>
          <w:p>
            <w:pPr>
              <w:jc w:val="center"/>
              <w:rPr>
                <w:rFonts w:hint="eastAsia" w:ascii="仿宋" w:hAnsi="仿宋" w:eastAsia="仿宋" w:cs="仿宋"/>
                <w:color w:val="auto"/>
                <w:sz w:val="24"/>
                <w:highlight w:val="none"/>
              </w:rPr>
            </w:pPr>
          </w:p>
        </w:tc>
        <w:tc>
          <w:tcPr>
            <w:tcW w:w="962" w:type="dxa"/>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p>
        </w:tc>
        <w:tc>
          <w:tcPr>
            <w:tcW w:w="2178" w:type="dxa"/>
            <w:gridSpan w:val="3"/>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p>
        </w:tc>
        <w:tc>
          <w:tcPr>
            <w:tcW w:w="1424" w:type="dxa"/>
            <w:gridSpan w:val="2"/>
            <w:noWrap w:val="0"/>
            <w:vAlign w:val="center"/>
          </w:tcPr>
          <w:p>
            <w:pPr>
              <w:jc w:val="center"/>
              <w:rPr>
                <w:rFonts w:hint="eastAsia" w:ascii="仿宋" w:hAnsi="仿宋" w:eastAsia="仿宋" w:cs="仿宋"/>
                <w:color w:val="auto"/>
                <w:sz w:val="24"/>
                <w:highlight w:val="none"/>
              </w:rPr>
            </w:pP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15" w:type="dxa"/>
            <w:gridSpan w:val="1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二、验收情况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分期情况</w:t>
            </w:r>
          </w:p>
        </w:tc>
        <w:tc>
          <w:tcPr>
            <w:tcW w:w="3827" w:type="dxa"/>
            <w:gridSpan w:val="5"/>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共分 期，此为第  期验收</w:t>
            </w:r>
          </w:p>
        </w:tc>
        <w:tc>
          <w:tcPr>
            <w:tcW w:w="1421" w:type="dxa"/>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分段情况     </w:t>
            </w:r>
          </w:p>
        </w:tc>
        <w:tc>
          <w:tcPr>
            <w:tcW w:w="2543" w:type="dxa"/>
            <w:gridSpan w:val="4"/>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共分  段，此为   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第三方参考情况说明</w:t>
            </w: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评价对象</w:t>
            </w:r>
          </w:p>
        </w:tc>
        <w:tc>
          <w:tcPr>
            <w:tcW w:w="2178" w:type="dxa"/>
            <w:gridSpan w:val="3"/>
            <w:noWrap w:val="0"/>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评价结果</w:t>
            </w:r>
          </w:p>
        </w:tc>
        <w:tc>
          <w:tcPr>
            <w:tcW w:w="2845" w:type="dxa"/>
            <w:gridSpan w:val="3"/>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理由</w:t>
            </w:r>
          </w:p>
        </w:tc>
        <w:tc>
          <w:tcPr>
            <w:tcW w:w="111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检测机构</w:t>
            </w:r>
          </w:p>
        </w:tc>
        <w:tc>
          <w:tcPr>
            <w:tcW w:w="2178" w:type="dxa"/>
            <w:gridSpan w:val="3"/>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合格/</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2845" w:type="dxa"/>
            <w:gridSpan w:val="3"/>
            <w:noWrap w:val="0"/>
            <w:vAlign w:val="center"/>
          </w:tcPr>
          <w:p>
            <w:pPr>
              <w:jc w:val="center"/>
              <w:rPr>
                <w:rFonts w:hint="eastAsia" w:ascii="仿宋" w:hAnsi="仿宋" w:eastAsia="仿宋" w:cs="仿宋"/>
                <w:color w:val="auto"/>
                <w:sz w:val="24"/>
                <w:highlight w:val="none"/>
              </w:rPr>
            </w:pP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其他供应商</w:t>
            </w:r>
          </w:p>
        </w:tc>
        <w:tc>
          <w:tcPr>
            <w:tcW w:w="2178" w:type="dxa"/>
            <w:gridSpan w:val="3"/>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合格/</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2845" w:type="dxa"/>
            <w:gridSpan w:val="3"/>
            <w:noWrap w:val="0"/>
            <w:vAlign w:val="center"/>
          </w:tcPr>
          <w:p>
            <w:pPr>
              <w:jc w:val="center"/>
              <w:rPr>
                <w:rFonts w:hint="eastAsia" w:ascii="仿宋" w:hAnsi="仿宋" w:eastAsia="仿宋" w:cs="仿宋"/>
                <w:color w:val="auto"/>
                <w:sz w:val="24"/>
                <w:highlight w:val="none"/>
              </w:rPr>
            </w:pP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服务对象</w:t>
            </w:r>
          </w:p>
        </w:tc>
        <w:tc>
          <w:tcPr>
            <w:tcW w:w="2178" w:type="dxa"/>
            <w:gridSpan w:val="3"/>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合格/</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2845" w:type="dxa"/>
            <w:gridSpan w:val="3"/>
            <w:noWrap w:val="0"/>
            <w:vAlign w:val="center"/>
          </w:tcPr>
          <w:p>
            <w:pPr>
              <w:jc w:val="center"/>
              <w:rPr>
                <w:rFonts w:hint="eastAsia" w:ascii="仿宋" w:hAnsi="仿宋" w:eastAsia="仿宋" w:cs="仿宋"/>
                <w:color w:val="auto"/>
                <w:sz w:val="24"/>
                <w:highlight w:val="none"/>
              </w:rPr>
            </w:pP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货物类验收内容及验收情况</w:t>
            </w: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评价内容</w:t>
            </w:r>
          </w:p>
        </w:tc>
        <w:tc>
          <w:tcPr>
            <w:tcW w:w="124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评价情况</w:t>
            </w:r>
          </w:p>
        </w:tc>
        <w:tc>
          <w:tcPr>
            <w:tcW w:w="93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理由</w:t>
            </w: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评价内容</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评价情况</w:t>
            </w:r>
          </w:p>
        </w:tc>
        <w:tc>
          <w:tcPr>
            <w:tcW w:w="111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货物清单</w:t>
            </w:r>
          </w:p>
        </w:tc>
        <w:tc>
          <w:tcPr>
            <w:tcW w:w="124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934" w:type="dxa"/>
            <w:gridSpan w:val="2"/>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品牌、型号、规格、数量、及外观数量</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技术、性能指标</w:t>
            </w:r>
          </w:p>
        </w:tc>
        <w:tc>
          <w:tcPr>
            <w:tcW w:w="124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934" w:type="dxa"/>
            <w:gridSpan w:val="2"/>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运行状况及安装调试</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质量证明文件</w:t>
            </w:r>
          </w:p>
        </w:tc>
        <w:tc>
          <w:tcPr>
            <w:tcW w:w="124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934" w:type="dxa"/>
            <w:gridSpan w:val="2"/>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售后服务承诺</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安全标准</w:t>
            </w:r>
          </w:p>
        </w:tc>
        <w:tc>
          <w:tcPr>
            <w:tcW w:w="124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934" w:type="dxa"/>
            <w:gridSpan w:val="2"/>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合同履约时间、地点、方式</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服务类验收内容及结果</w:t>
            </w: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评价内容</w:t>
            </w:r>
          </w:p>
        </w:tc>
        <w:tc>
          <w:tcPr>
            <w:tcW w:w="124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评价情况</w:t>
            </w:r>
          </w:p>
        </w:tc>
        <w:tc>
          <w:tcPr>
            <w:tcW w:w="93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理由</w:t>
            </w: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评价内容</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评价情况</w:t>
            </w:r>
          </w:p>
        </w:tc>
        <w:tc>
          <w:tcPr>
            <w:tcW w:w="111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服务质量</w:t>
            </w:r>
          </w:p>
        </w:tc>
        <w:tc>
          <w:tcPr>
            <w:tcW w:w="124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934" w:type="dxa"/>
            <w:gridSpan w:val="2"/>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服务进度</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人员、设备配备情况</w:t>
            </w:r>
          </w:p>
        </w:tc>
        <w:tc>
          <w:tcPr>
            <w:tcW w:w="124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934" w:type="dxa"/>
            <w:gridSpan w:val="2"/>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安全标准</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1649"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服务承诺时限</w:t>
            </w:r>
          </w:p>
        </w:tc>
        <w:tc>
          <w:tcPr>
            <w:tcW w:w="124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934" w:type="dxa"/>
            <w:gridSpan w:val="2"/>
            <w:noWrap w:val="0"/>
            <w:vAlign w:val="center"/>
          </w:tcPr>
          <w:p>
            <w:pPr>
              <w:jc w:val="center"/>
              <w:rPr>
                <w:rFonts w:hint="eastAsia" w:ascii="仿宋" w:hAnsi="仿宋" w:eastAsia="仿宋" w:cs="仿宋"/>
                <w:color w:val="auto"/>
                <w:sz w:val="24"/>
                <w:highlight w:val="none"/>
              </w:rPr>
            </w:pPr>
          </w:p>
        </w:tc>
        <w:tc>
          <w:tcPr>
            <w:tcW w:w="1421"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合同履约时间、地点、方式</w:t>
            </w:r>
          </w:p>
        </w:tc>
        <w:tc>
          <w:tcPr>
            <w:tcW w:w="14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tc>
        <w:tc>
          <w:tcPr>
            <w:tcW w:w="1119" w:type="dxa"/>
            <w:gridSpan w:val="2"/>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15" w:type="dxa"/>
            <w:gridSpan w:val="1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三、验收结论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jc w:val="center"/>
        </w:trPr>
        <w:tc>
          <w:tcPr>
            <w:tcW w:w="2124" w:type="dxa"/>
            <w:gridSpan w:val="2"/>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存在问题和改进意见</w:t>
            </w:r>
          </w:p>
        </w:tc>
        <w:tc>
          <w:tcPr>
            <w:tcW w:w="7791" w:type="dxa"/>
            <w:gridSpan w:val="10"/>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vMerge w:val="restart"/>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验收小组意见</w:t>
            </w:r>
          </w:p>
        </w:tc>
        <w:tc>
          <w:tcPr>
            <w:tcW w:w="7791" w:type="dxa"/>
            <w:gridSpan w:val="10"/>
            <w:noWrap w:val="0"/>
            <w:vAlign w:val="center"/>
          </w:tcPr>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验收结论性意见：</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合  格                    </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不合格</w:t>
            </w: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其他需要说明的事项：</w:t>
            </w: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vMerge w:val="continue"/>
            <w:noWrap w:val="0"/>
            <w:vAlign w:val="center"/>
          </w:tcPr>
          <w:p>
            <w:pPr>
              <w:jc w:val="center"/>
              <w:rPr>
                <w:rFonts w:hint="eastAsia" w:ascii="仿宋" w:hAnsi="仿宋" w:eastAsia="仿宋" w:cs="仿宋"/>
                <w:color w:val="auto"/>
                <w:sz w:val="24"/>
                <w:highlight w:val="none"/>
              </w:rPr>
            </w:pPr>
          </w:p>
        </w:tc>
        <w:tc>
          <w:tcPr>
            <w:tcW w:w="7791" w:type="dxa"/>
            <w:gridSpan w:val="10"/>
            <w:noWrap w:val="0"/>
            <w:vAlign w:val="center"/>
          </w:tcPr>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有异议的意见和说明理由：</w:t>
            </w: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wordWrap w:val="0"/>
              <w:ind w:right="315"/>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15" w:type="dxa"/>
            <w:gridSpan w:val="12"/>
            <w:noWrap w:val="0"/>
            <w:vAlign w:val="center"/>
          </w:tcPr>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验收小组成员签字：</w:t>
            </w: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p>
            <w:pPr>
              <w:jc w:val="left"/>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5272" w:type="dxa"/>
            <w:gridSpan w:val="6"/>
            <w:noWrap w:val="0"/>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采购人意见：</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3"/>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经办人：       负责人：       （盖章）</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年  月  日</w:t>
            </w:r>
          </w:p>
          <w:p>
            <w:pPr>
              <w:rPr>
                <w:rFonts w:hint="eastAsia" w:ascii="仿宋" w:hAnsi="仿宋" w:eastAsia="仿宋" w:cs="仿宋"/>
                <w:color w:val="auto"/>
                <w:sz w:val="24"/>
                <w:highlight w:val="none"/>
              </w:rPr>
            </w:pPr>
          </w:p>
        </w:tc>
        <w:tc>
          <w:tcPr>
            <w:tcW w:w="4643" w:type="dxa"/>
            <w:gridSpan w:val="6"/>
            <w:noWrap w:val="0"/>
            <w:vAlign w:val="top"/>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供应商确认：</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pStyle w:val="3"/>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供应商盖章或授权代表签字：</w:t>
            </w:r>
          </w:p>
          <w:p>
            <w:pPr>
              <w:rPr>
                <w:rFonts w:hint="eastAsia" w:ascii="仿宋" w:hAnsi="仿宋" w:eastAsia="仿宋" w:cs="仿宋"/>
                <w:color w:val="auto"/>
                <w:sz w:val="24"/>
                <w:highlight w:val="none"/>
              </w:rPr>
            </w:pPr>
          </w:p>
          <w:p>
            <w:pPr>
              <w:ind w:firstLine="44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p>
          <w:p>
            <w:pPr>
              <w:ind w:firstLine="44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年  月  日              </w:t>
            </w:r>
          </w:p>
        </w:tc>
      </w:tr>
    </w:tbl>
    <w:p>
      <w:pPr>
        <w:pStyle w:val="4"/>
        <w:jc w:val="center"/>
        <w:rPr>
          <w:rFonts w:hint="eastAsia" w:ascii="仿宋" w:eastAsia="仿宋" w:cs="仿宋"/>
          <w:color w:val="auto"/>
          <w:highlight w:val="none"/>
          <w:lang w:eastAsia="zh-CN"/>
        </w:rPr>
      </w:pPr>
      <w:r>
        <w:rPr>
          <w:rFonts w:hint="eastAsia" w:ascii="仿宋" w:eastAsia="仿宋" w:cs="仿宋"/>
          <w:color w:val="auto"/>
          <w:highlight w:val="none"/>
          <w:lang w:eastAsia="zh-CN"/>
        </w:rPr>
        <w:br w:type="page"/>
      </w:r>
      <w:bookmarkStart w:id="452" w:name="_Toc12650"/>
      <w:r>
        <w:rPr>
          <w:rFonts w:hint="eastAsia" w:ascii="仿宋" w:eastAsia="仿宋" w:cs="仿宋"/>
          <w:color w:val="auto"/>
          <w:highlight w:val="none"/>
          <w:lang w:eastAsia="zh-CN"/>
        </w:rPr>
        <w:t>第六部分</w:t>
      </w:r>
      <w:bookmarkEnd w:id="444"/>
      <w:r>
        <w:rPr>
          <w:rFonts w:hint="eastAsia" w:ascii="仿宋" w:eastAsia="仿宋" w:cs="仿宋"/>
          <w:color w:val="auto"/>
          <w:highlight w:val="none"/>
          <w:lang w:eastAsia="zh-CN"/>
        </w:rPr>
        <w:t xml:space="preserve"> </w:t>
      </w:r>
      <w:bookmarkEnd w:id="445"/>
      <w:r>
        <w:rPr>
          <w:rFonts w:hint="eastAsia" w:ascii="仿宋" w:eastAsia="仿宋" w:cs="仿宋"/>
          <w:color w:val="auto"/>
          <w:highlight w:val="none"/>
          <w:lang w:eastAsia="zh-CN"/>
        </w:rPr>
        <w:t>应提交的有关格式范例</w:t>
      </w:r>
      <w:bookmarkEnd w:id="452"/>
    </w:p>
    <w:p>
      <w:pPr>
        <w:pStyle w:val="6"/>
        <w:jc w:val="center"/>
        <w:outlineLvl w:val="2"/>
        <w:rPr>
          <w:rFonts w:hint="eastAsia" w:ascii="仿宋" w:eastAsia="仿宋" w:cs="仿宋"/>
          <w:b w:val="0"/>
          <w:color w:val="auto"/>
          <w:szCs w:val="36"/>
          <w:highlight w:val="none"/>
        </w:rPr>
      </w:pPr>
      <w:bookmarkStart w:id="453" w:name="_Toc13322"/>
      <w:r>
        <w:rPr>
          <w:rFonts w:hint="eastAsia" w:ascii="仿宋" w:eastAsia="仿宋" w:cs="仿宋"/>
          <w:color w:val="auto"/>
          <w:highlight w:val="none"/>
        </w:rPr>
        <w:t>资格文件部分</w:t>
      </w:r>
      <w:bookmarkEnd w:id="453"/>
    </w:p>
    <w:p>
      <w:pPr>
        <w:spacing w:line="360" w:lineRule="auto"/>
        <w:jc w:val="center"/>
        <w:outlineLvl w:val="9"/>
        <w:rPr>
          <w:rFonts w:hint="eastAsia" w:ascii="仿宋" w:hAnsi="仿宋" w:eastAsia="仿宋" w:cs="仿宋"/>
          <w:b/>
          <w:color w:val="auto"/>
          <w:kern w:val="0"/>
          <w:sz w:val="36"/>
          <w:szCs w:val="36"/>
          <w:highlight w:val="none"/>
        </w:rPr>
      </w:pPr>
      <w:bookmarkStart w:id="454" w:name="_Toc19552"/>
      <w:bookmarkStart w:id="455" w:name="_Toc3652"/>
      <w:bookmarkStart w:id="456" w:name="_Toc22497"/>
      <w:r>
        <w:rPr>
          <w:rFonts w:hint="eastAsia" w:ascii="仿宋" w:hAnsi="仿宋" w:eastAsia="仿宋" w:cs="仿宋"/>
          <w:b/>
          <w:color w:val="auto"/>
          <w:kern w:val="0"/>
          <w:sz w:val="36"/>
          <w:szCs w:val="36"/>
          <w:highlight w:val="none"/>
        </w:rPr>
        <w:t>目录</w:t>
      </w:r>
      <w:bookmarkEnd w:id="454"/>
      <w:bookmarkEnd w:id="455"/>
      <w:bookmarkEnd w:id="456"/>
    </w:p>
    <w:p>
      <w:pPr>
        <w:pStyle w:val="551"/>
        <w:spacing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（1）符合《中华人民共和国政府采购法》第二十二条规定的相关证明材料；</w:t>
      </w:r>
    </w:p>
    <w:p>
      <w:pPr>
        <w:pStyle w:val="551"/>
        <w:spacing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各投标人须在投标文件中出具对应证明材料。（商业信誉可提前自查，投标文件中可不提供）</w:t>
      </w:r>
    </w:p>
    <w:p>
      <w:pPr>
        <w:pStyle w:val="551"/>
        <w:spacing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a.具有独立承担民事责任能力的证明材料；</w:t>
      </w:r>
    </w:p>
    <w:p>
      <w:pPr>
        <w:pStyle w:val="551"/>
        <w:spacing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b.符合参与政府采购活动资格条件的承诺函；</w:t>
      </w:r>
    </w:p>
    <w:p>
      <w:pPr>
        <w:pStyle w:val="551"/>
        <w:spacing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c.商业信誉：</w:t>
      </w:r>
    </w:p>
    <w:p>
      <w:pPr>
        <w:pStyle w:val="551"/>
        <w:spacing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551"/>
        <w:spacing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对列入失信被执行人、重大税收违法案件当事人名单、政府采购严重违法失信行为记录名单的投标人，其投标将作无效标处理。</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w:t>
      </w:r>
      <w:r>
        <w:rPr>
          <w:rFonts w:hint="eastAsia" w:ascii="仿宋" w:hAnsi="仿宋" w:eastAsia="仿宋" w:cs="仿宋"/>
          <w:color w:val="auto"/>
          <w:sz w:val="24"/>
          <w:highlight w:val="none"/>
          <w:lang w:val="zh-CN"/>
        </w:rPr>
        <w:t>证明材料</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(3)本项目的特定资格</w:t>
      </w:r>
      <w:r>
        <w:rPr>
          <w:rFonts w:hint="eastAsia" w:ascii="仿宋" w:hAnsi="仿宋" w:eastAsia="仿宋" w:cs="仿宋"/>
          <w:color w:val="auto"/>
          <w:sz w:val="24"/>
          <w:highlight w:val="none"/>
          <w:lang w:val="zh-CN"/>
        </w:rPr>
        <w:t>证明材料。</w:t>
      </w:r>
    </w:p>
    <w:p>
      <w:pPr>
        <w:pStyle w:val="59"/>
        <w:tabs>
          <w:tab w:val="left" w:pos="630"/>
          <w:tab w:val="left" w:pos="840"/>
          <w:tab w:val="left" w:pos="1050"/>
        </w:tabs>
        <w:snapToGrid w:val="0"/>
        <w:spacing w:before="0" w:beforeAutospacing="0" w:after="0" w:afterAutospacing="0" w:line="360" w:lineRule="auto"/>
        <w:jc w:val="center"/>
        <w:outlineLvl w:val="2"/>
        <w:rPr>
          <w:rFonts w:hint="eastAsia" w:ascii="仿宋" w:hAnsi="仿宋" w:eastAsia="仿宋" w:cs="仿宋"/>
          <w:color w:val="auto"/>
          <w:sz w:val="32"/>
          <w:szCs w:val="32"/>
          <w:highlight w:val="none"/>
        </w:rPr>
      </w:pPr>
      <w:r>
        <w:rPr>
          <w:rFonts w:hint="eastAsia" w:ascii="仿宋" w:hAnsi="仿宋" w:eastAsia="仿宋" w:cs="仿宋"/>
          <w:color w:val="auto"/>
          <w:highlight w:val="none"/>
          <w:lang w:val="zh-CN"/>
        </w:rPr>
        <w:br w:type="page"/>
      </w:r>
      <w:r>
        <w:rPr>
          <w:rFonts w:hint="eastAsia" w:ascii="仿宋" w:hAnsi="仿宋" w:eastAsia="仿宋" w:cs="仿宋"/>
          <w:b/>
          <w:color w:val="auto"/>
          <w:sz w:val="32"/>
          <w:szCs w:val="32"/>
          <w:highlight w:val="none"/>
        </w:rPr>
        <w:t>一、</w:t>
      </w:r>
      <w:r>
        <w:rPr>
          <w:rFonts w:hint="eastAsia" w:ascii="仿宋" w:hAnsi="仿宋" w:eastAsia="仿宋" w:cs="仿宋"/>
          <w:color w:val="auto"/>
          <w:sz w:val="32"/>
          <w:szCs w:val="32"/>
          <w:highlight w:val="none"/>
        </w:rPr>
        <w:t>符合参与政府采购活动资格条件的承诺函：</w:t>
      </w:r>
    </w:p>
    <w:p>
      <w:pPr>
        <w:shd w:val="clear" w:color="auto" w:fill="FFFFFF"/>
        <w:snapToGrid w:val="0"/>
        <w:spacing w:line="440" w:lineRule="exact"/>
        <w:jc w:val="center"/>
        <w:outlineLvl w:val="3"/>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资格条件承诺函</w:t>
      </w:r>
    </w:p>
    <w:p>
      <w:pPr>
        <w:shd w:val="clear" w:color="auto" w:fill="FFFFFF"/>
        <w:snapToGrid w:val="0"/>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温州市公安局</w:t>
      </w:r>
    </w:p>
    <w:p>
      <w:pPr>
        <w:shd w:val="clear" w:color="auto" w:fill="FFFFFF"/>
        <w:snapToGrid w:val="0"/>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温州市华明招标代理有限公司</w:t>
      </w:r>
      <w:r>
        <w:rPr>
          <w:rFonts w:hint="eastAsia" w:ascii="仿宋" w:hAnsi="仿宋" w:eastAsia="仿宋" w:cs="仿宋"/>
          <w:color w:val="auto"/>
          <w:sz w:val="24"/>
          <w:highlight w:val="none"/>
        </w:rPr>
        <w:t>：</w:t>
      </w:r>
    </w:p>
    <w:p>
      <w:pPr>
        <w:widowControl/>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（采购项目名称、标项名称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编号）投标，现郑重承诺：</w:t>
      </w:r>
    </w:p>
    <w:p>
      <w:pPr>
        <w:widowControl/>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1、我方符合《中华人民共和国政府采购法》第22条规定的资格条件，即</w:t>
      </w:r>
    </w:p>
    <w:p>
      <w:pPr>
        <w:widowControl/>
        <w:snapToGrid w:val="0"/>
        <w:spacing w:line="440" w:lineRule="exact"/>
        <w:ind w:left="420" w:left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（1）我方具有独立承担民事责任的能力；</w:t>
      </w:r>
    </w:p>
    <w:p>
      <w:pPr>
        <w:widowControl/>
        <w:snapToGrid w:val="0"/>
        <w:spacing w:line="440" w:lineRule="exact"/>
        <w:ind w:left="420" w:left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（2）我方具有良好的商业信誉和健全的财务会计制度；</w:t>
      </w:r>
    </w:p>
    <w:p>
      <w:pPr>
        <w:widowControl/>
        <w:snapToGrid w:val="0"/>
        <w:spacing w:line="440" w:lineRule="exact"/>
        <w:ind w:left="420" w:left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（3）我方具有履行合同所必需的设备和专业技术能力；</w:t>
      </w:r>
    </w:p>
    <w:p>
      <w:pPr>
        <w:widowControl/>
        <w:snapToGrid w:val="0"/>
        <w:spacing w:line="440" w:lineRule="exact"/>
        <w:ind w:left="420" w:left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（4）我方有依法缴纳税收和社会保障资金的良好记录；</w:t>
      </w:r>
    </w:p>
    <w:p>
      <w:pPr>
        <w:widowControl/>
        <w:snapToGrid w:val="0"/>
        <w:spacing w:line="440" w:lineRule="exact"/>
        <w:ind w:left="1020" w:leftChars="200" w:hanging="600" w:hangingChars="2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pacing w:line="440" w:lineRule="exact"/>
        <w:ind w:left="283" w:hanging="283" w:hangingChars="118"/>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2、到本项目投标截止时间为止，我方未被“信用中国（</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HYPERLINK "http://www.creditchina.gov.cn）、" </w:instrText>
      </w:r>
      <w:r>
        <w:rPr>
          <w:rFonts w:hint="eastAsia" w:ascii="仿宋" w:hAnsi="仿宋" w:eastAsia="仿宋" w:cs="仿宋"/>
          <w:color w:val="auto"/>
          <w:kern w:val="0"/>
          <w:sz w:val="24"/>
          <w:highlight w:val="none"/>
        </w:rPr>
        <w:fldChar w:fldCharType="separate"/>
      </w:r>
      <w:r>
        <w:rPr>
          <w:rStyle w:val="77"/>
          <w:rFonts w:hint="eastAsia" w:ascii="仿宋" w:hAnsi="仿宋" w:eastAsia="仿宋" w:cs="仿宋"/>
          <w:color w:val="auto"/>
          <w:sz w:val="24"/>
          <w:highlight w:val="none"/>
        </w:rPr>
        <w:t>www.creditchina.gov.cn）、</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 xml:space="preserve"> 中国政府采购网（www.ccgp.gov.cn）列入失信被执行人名单、重大税收违法案件当事人名单、政府采购严重违法失信行为记录名单。</w:t>
      </w:r>
    </w:p>
    <w:p>
      <w:pPr>
        <w:widowControl/>
        <w:snapToGrid w:val="0"/>
        <w:spacing w:line="440" w:lineRule="exact"/>
        <w:ind w:firstLine="480" w:firstLineChars="200"/>
        <w:jc w:val="left"/>
        <w:rPr>
          <w:rFonts w:hint="eastAsia" w:ascii="仿宋" w:hAnsi="仿宋" w:eastAsia="仿宋" w:cs="仿宋"/>
          <w:color w:val="auto"/>
          <w:kern w:val="0"/>
          <w:sz w:val="24"/>
          <w:highlight w:val="none"/>
        </w:rPr>
      </w:pPr>
    </w:p>
    <w:p>
      <w:pPr>
        <w:widowControl/>
        <w:snapToGrid w:val="0"/>
        <w:spacing w:line="440" w:lineRule="exact"/>
        <w:ind w:left="210" w:leftChars="1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以上承诺如有虚假，</w:t>
      </w:r>
      <w:r>
        <w:rPr>
          <w:rFonts w:hint="eastAsia" w:ascii="仿宋" w:hAnsi="仿宋" w:eastAsia="仿宋" w:cs="仿宋"/>
          <w:color w:val="auto"/>
          <w:sz w:val="24"/>
          <w:highlight w:val="none"/>
        </w:rPr>
        <w:t>愿接受取消</w:t>
      </w:r>
      <w:r>
        <w:rPr>
          <w:rFonts w:hint="eastAsia" w:ascii="仿宋" w:hAnsi="仿宋" w:eastAsia="仿宋" w:cs="仿宋"/>
          <w:color w:val="auto"/>
          <w:kern w:val="0"/>
          <w:sz w:val="24"/>
          <w:highlight w:val="none"/>
        </w:rPr>
        <w:t>我方任何资格（投标/成交/签订合同）</w:t>
      </w:r>
      <w:r>
        <w:rPr>
          <w:rFonts w:hint="eastAsia" w:ascii="仿宋" w:hAnsi="仿宋" w:eastAsia="仿宋" w:cs="仿宋"/>
          <w:color w:val="auto"/>
          <w:sz w:val="24"/>
          <w:highlight w:val="none"/>
        </w:rPr>
        <w:t>及其他任何形式的处理。</w:t>
      </w:r>
    </w:p>
    <w:p>
      <w:pPr>
        <w:widowControl/>
        <w:snapToGrid w:val="0"/>
        <w:spacing w:line="440" w:lineRule="exact"/>
        <w:ind w:firstLine="480" w:firstLineChars="200"/>
        <w:jc w:val="left"/>
        <w:rPr>
          <w:rFonts w:hint="eastAsia" w:ascii="仿宋" w:hAnsi="仿宋" w:eastAsia="仿宋" w:cs="仿宋"/>
          <w:color w:val="auto"/>
          <w:kern w:val="0"/>
          <w:sz w:val="24"/>
          <w:highlight w:val="none"/>
        </w:rPr>
      </w:pPr>
    </w:p>
    <w:p>
      <w:pPr>
        <w:snapToGrid w:val="0"/>
        <w:spacing w:line="360" w:lineRule="auto"/>
        <w:ind w:firstLine="5520" w:firstLineChars="2300"/>
        <w:rPr>
          <w:rFonts w:hint="eastAsia" w:ascii="仿宋" w:hAnsi="仿宋" w:eastAsia="仿宋" w:cs="仿宋"/>
          <w:color w:val="auto"/>
          <w:kern w:val="0"/>
          <w:sz w:val="24"/>
          <w:highlight w:val="none"/>
          <w:lang w:val="zh-CN"/>
        </w:rPr>
      </w:pPr>
    </w:p>
    <w:p>
      <w:pPr>
        <w:tabs>
          <w:tab w:val="left" w:pos="5454"/>
        </w:tabs>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rPr>
          <w:rFonts w:hint="eastAsia" w:ascii="仿宋" w:hAnsi="仿宋" w:eastAsia="仿宋" w:cs="仿宋"/>
          <w:b/>
          <w:color w:val="auto"/>
          <w:kern w:val="0"/>
          <w:sz w:val="32"/>
          <w:szCs w:val="32"/>
          <w:highlight w:val="none"/>
        </w:rPr>
      </w:pPr>
    </w:p>
    <w:p>
      <w:pPr>
        <w:pStyle w:val="59"/>
        <w:tabs>
          <w:tab w:val="left" w:pos="630"/>
          <w:tab w:val="left" w:pos="840"/>
          <w:tab w:val="left" w:pos="1050"/>
        </w:tabs>
        <w:snapToGrid w:val="0"/>
        <w:spacing w:before="0" w:beforeAutospacing="0" w:after="0" w:afterAutospacing="0" w:line="360" w:lineRule="auto"/>
        <w:ind w:left="420"/>
        <w:rPr>
          <w:rFonts w:hint="eastAsia" w:ascii="仿宋" w:hAnsi="仿宋" w:eastAsia="仿宋" w:cs="仿宋"/>
          <w:bCs/>
          <w:color w:val="auto"/>
          <w:highlight w:val="none"/>
        </w:rPr>
      </w:pPr>
      <w:r>
        <w:rPr>
          <w:rFonts w:hint="eastAsia" w:ascii="仿宋" w:hAnsi="仿宋" w:eastAsia="仿宋" w:cs="仿宋"/>
          <w:color w:val="auto"/>
          <w:sz w:val="28"/>
          <w:szCs w:val="28"/>
          <w:highlight w:val="none"/>
        </w:rPr>
        <w:br w:type="page"/>
      </w:r>
      <w:r>
        <w:rPr>
          <w:rFonts w:hint="eastAsia" w:ascii="仿宋" w:hAnsi="仿宋" w:eastAsia="仿宋" w:cs="仿宋"/>
          <w:color w:val="auto"/>
          <w:sz w:val="28"/>
          <w:szCs w:val="28"/>
          <w:highlight w:val="none"/>
        </w:rPr>
        <w:t xml:space="preserve">   </w:t>
      </w:r>
      <w:r>
        <w:rPr>
          <w:rFonts w:hint="eastAsia" w:ascii="仿宋" w:hAnsi="仿宋" w:eastAsia="仿宋" w:cs="仿宋"/>
          <w:bCs/>
          <w:color w:val="auto"/>
          <w:highlight w:val="none"/>
        </w:rPr>
        <w:t>投标人须在投标文件中出具符合以下情况的证明材料复印件（五选一）：</w:t>
      </w:r>
    </w:p>
    <w:p>
      <w:pPr>
        <w:pStyle w:val="59"/>
        <w:numPr>
          <w:ilvl w:val="0"/>
          <w:numId w:val="12"/>
          <w:numberingChange w:id="0" w:author="ibm" w:date="2021-03-28T21:44:00Z" w:original="%1:1:28:　"/>
        </w:numPr>
        <w:tabs>
          <w:tab w:val="left" w:pos="312"/>
        </w:tabs>
        <w:snapToGrid w:val="0"/>
        <w:spacing w:before="0" w:beforeAutospacing="0" w:after="0" w:afterAutospacing="0" w:line="360" w:lineRule="auto"/>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如投标人是企业（包括合伙企业），提供在工商部门注册的有效“企业法人营业执照”或“营业执照”；</w:t>
      </w:r>
    </w:p>
    <w:p>
      <w:pPr>
        <w:pStyle w:val="59"/>
        <w:numPr>
          <w:ilvl w:val="0"/>
          <w:numId w:val="12"/>
          <w:numberingChange w:id="1" w:author="ibm" w:date="2021-03-28T21:44:00Z" w:original="%1:2:28:　"/>
        </w:numPr>
        <w:tabs>
          <w:tab w:val="left" w:pos="312"/>
        </w:tabs>
        <w:snapToGrid w:val="0"/>
        <w:spacing w:before="0" w:beforeAutospacing="0" w:after="0" w:afterAutospacing="0" w:line="360" w:lineRule="auto"/>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如投标人是事业单位，提供有效的“事业单位法人证书”；</w:t>
      </w:r>
    </w:p>
    <w:p>
      <w:pPr>
        <w:pStyle w:val="59"/>
        <w:numPr>
          <w:ilvl w:val="0"/>
          <w:numId w:val="12"/>
          <w:numberingChange w:id="2" w:author="ibm" w:date="2021-03-28T21:44:00Z" w:original="%1:3:28:　"/>
        </w:numPr>
        <w:tabs>
          <w:tab w:val="left" w:pos="312"/>
        </w:tabs>
        <w:snapToGrid w:val="0"/>
        <w:spacing w:before="0" w:beforeAutospacing="0" w:after="0" w:afterAutospacing="0" w:line="360" w:lineRule="auto"/>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如投标人是非企业专业服务机构的，提供执业许可证等证明文件；</w:t>
      </w:r>
    </w:p>
    <w:p>
      <w:pPr>
        <w:pStyle w:val="59"/>
        <w:numPr>
          <w:ilvl w:val="0"/>
          <w:numId w:val="12"/>
          <w:numberingChange w:id="3" w:author="ibm" w:date="2021-03-28T21:44:00Z" w:original="%1:4:28:　"/>
        </w:numPr>
        <w:tabs>
          <w:tab w:val="left" w:pos="312"/>
        </w:tabs>
        <w:snapToGrid w:val="0"/>
        <w:spacing w:before="0" w:beforeAutospacing="0" w:after="0" w:afterAutospacing="0" w:line="360" w:lineRule="auto"/>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如投标人是个体工商户，提供有效的“个体工商户营业执照”；</w:t>
      </w:r>
    </w:p>
    <w:p>
      <w:pPr>
        <w:pStyle w:val="59"/>
        <w:numPr>
          <w:ilvl w:val="0"/>
          <w:numId w:val="12"/>
          <w:numberingChange w:id="4" w:author="ibm" w:date="2021-03-28T21:44:00Z" w:original="%1:5:28:　"/>
        </w:numPr>
        <w:tabs>
          <w:tab w:val="left" w:pos="312"/>
        </w:tabs>
        <w:snapToGrid w:val="0"/>
        <w:spacing w:before="0" w:beforeAutospacing="0" w:after="0" w:afterAutospacing="0" w:line="360" w:lineRule="auto"/>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如投标人是自然人，提供有效的自然人身份证明（居民身份证正反面或公安机关出具的临时居民身份证正反面或港澳台胞证或护照）。</w:t>
      </w:r>
    </w:p>
    <w:p>
      <w:pPr>
        <w:pStyle w:val="59"/>
        <w:tabs>
          <w:tab w:val="left" w:pos="312"/>
        </w:tabs>
        <w:snapToGrid w:val="0"/>
        <w:spacing w:before="0" w:beforeAutospacing="0" w:after="0" w:afterAutospacing="0" w:line="360" w:lineRule="auto"/>
        <w:rPr>
          <w:rFonts w:hint="eastAsia" w:ascii="仿宋" w:hAnsi="仿宋" w:eastAsia="仿宋" w:cs="仿宋"/>
          <w:bCs/>
          <w:color w:val="auto"/>
          <w:sz w:val="21"/>
          <w:szCs w:val="21"/>
          <w:highlight w:val="none"/>
        </w:rPr>
      </w:pPr>
    </w:p>
    <w:p>
      <w:pPr>
        <w:pStyle w:val="551"/>
        <w:spacing w:line="360" w:lineRule="auto"/>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jc w:val="left"/>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outlineLvl w:val="2"/>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rPr>
        <w:t>二、落实政府采购政策需满足的资格要求证明材料</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w:t>
      </w:r>
    </w:p>
    <w:p>
      <w:pPr>
        <w:widowControl/>
        <w:spacing w:line="360" w:lineRule="auto"/>
        <w:ind w:left="150"/>
        <w:jc w:val="center"/>
        <w:outlineLvl w:val="2"/>
        <w:rPr>
          <w:rFonts w:hint="eastAsia" w:ascii="仿宋" w:hAnsi="仿宋" w:eastAsia="仿宋" w:cs="仿宋"/>
          <w:b/>
          <w:color w:val="auto"/>
          <w:kern w:val="0"/>
          <w:sz w:val="32"/>
          <w:szCs w:val="32"/>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kern w:val="0"/>
          <w:sz w:val="32"/>
          <w:szCs w:val="32"/>
          <w:highlight w:val="none"/>
        </w:rPr>
        <w:t>三、本项目的特定资格要求</w:t>
      </w:r>
    </w:p>
    <w:p>
      <w:pPr>
        <w:spacing w:line="360" w:lineRule="auto"/>
        <w:jc w:val="center"/>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9"/>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9"/>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9"/>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bookmarkStart w:id="457" w:name="_Toc31209"/>
      <w:r>
        <w:rPr>
          <w:rStyle w:val="83"/>
          <w:rFonts w:hint="eastAsia" w:ascii="仿宋" w:eastAsia="仿宋" w:cs="仿宋"/>
          <w:color w:val="auto"/>
          <w:highlight w:val="none"/>
        </w:rPr>
        <w:t>商务技术文件部分</w:t>
      </w:r>
      <w:bookmarkEnd w:id="457"/>
    </w:p>
    <w:p>
      <w:pPr>
        <w:spacing w:line="360" w:lineRule="auto"/>
        <w:jc w:val="center"/>
        <w:outlineLvl w:val="9"/>
        <w:rPr>
          <w:rFonts w:hint="eastAsia" w:ascii="仿宋" w:hAnsi="仿宋" w:eastAsia="仿宋" w:cs="仿宋"/>
          <w:b/>
          <w:color w:val="auto"/>
          <w:kern w:val="0"/>
          <w:sz w:val="24"/>
          <w:highlight w:val="none"/>
        </w:rPr>
      </w:pPr>
    </w:p>
    <w:p>
      <w:pPr>
        <w:spacing w:line="360" w:lineRule="auto"/>
        <w:jc w:val="center"/>
        <w:outlineLvl w:val="9"/>
        <w:rPr>
          <w:rFonts w:hint="eastAsia" w:ascii="仿宋" w:hAnsi="仿宋" w:eastAsia="仿宋" w:cs="仿宋"/>
          <w:b/>
          <w:color w:val="auto"/>
          <w:kern w:val="0"/>
          <w:sz w:val="28"/>
          <w:szCs w:val="28"/>
          <w:highlight w:val="none"/>
        </w:rPr>
      </w:pPr>
      <w:bookmarkStart w:id="458" w:name="_Toc23620"/>
      <w:bookmarkStart w:id="459" w:name="_Toc23572"/>
      <w:bookmarkStart w:id="460" w:name="_Toc11049"/>
      <w:r>
        <w:rPr>
          <w:rFonts w:hint="eastAsia" w:ascii="仿宋" w:hAnsi="仿宋" w:eastAsia="仿宋" w:cs="仿宋"/>
          <w:b/>
          <w:color w:val="auto"/>
          <w:kern w:val="0"/>
          <w:sz w:val="28"/>
          <w:szCs w:val="28"/>
          <w:highlight w:val="none"/>
        </w:rPr>
        <w:t>目录</w:t>
      </w:r>
      <w:bookmarkEnd w:id="458"/>
      <w:bookmarkEnd w:id="459"/>
      <w:bookmarkEnd w:id="460"/>
    </w:p>
    <w:p>
      <w:pPr>
        <w:numPr>
          <w:ilvl w:val="0"/>
          <w:numId w:val="13"/>
        </w:num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投标函</w:t>
      </w:r>
      <w:r>
        <w:rPr>
          <w:rFonts w:hint="eastAsia" w:ascii="仿宋" w:hAnsi="仿宋" w:eastAsia="仿宋" w:cs="仿宋"/>
          <w:color w:val="auto"/>
          <w:highlight w:val="none"/>
        </w:rPr>
        <w:t>…………………………………………………………………………………（页码）</w:t>
      </w:r>
    </w:p>
    <w:p>
      <w:pPr>
        <w:numPr>
          <w:ilvl w:val="0"/>
          <w:numId w:val="13"/>
        </w:num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）商务技术偏离表</w:t>
      </w:r>
      <w:r>
        <w:rPr>
          <w:rFonts w:hint="eastAsia" w:ascii="仿宋" w:hAnsi="仿宋" w:eastAsia="仿宋" w:cs="仿宋"/>
          <w:color w:val="auto"/>
          <w:highlight w:val="none"/>
        </w:rPr>
        <w:t>………………………………………………………………………（页码）</w:t>
      </w:r>
    </w:p>
    <w:p>
      <w:pPr>
        <w:snapToGrid w:val="0"/>
        <w:spacing w:line="360" w:lineRule="auto"/>
        <w:ind w:left="479" w:leftChars="228"/>
        <w:outlineLvl w:val="3"/>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9"/>
        <w:rPr>
          <w:rFonts w:hint="eastAsia" w:ascii="仿宋" w:hAnsi="仿宋" w:eastAsia="仿宋" w:cs="仿宋"/>
          <w:b/>
          <w:color w:val="auto"/>
          <w:kern w:val="0"/>
          <w:sz w:val="32"/>
          <w:szCs w:val="32"/>
          <w:highlight w:val="none"/>
        </w:rPr>
      </w:pPr>
    </w:p>
    <w:p>
      <w:pPr>
        <w:snapToGrid w:val="0"/>
        <w:spacing w:line="360" w:lineRule="auto"/>
        <w:jc w:val="center"/>
        <w:outlineLvl w:val="9"/>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outlineLvl w:val="9"/>
        <w:rPr>
          <w:rFonts w:hint="eastAsia" w:ascii="仿宋" w:hAnsi="仿宋" w:eastAsia="仿宋" w:cs="仿宋"/>
          <w:b/>
          <w:color w:val="auto"/>
          <w:kern w:val="0"/>
          <w:sz w:val="32"/>
          <w:szCs w:val="32"/>
          <w:highlight w:val="none"/>
        </w:rPr>
      </w:pPr>
    </w:p>
    <w:p>
      <w:pPr>
        <w:snapToGrid w:val="0"/>
        <w:spacing w:line="360" w:lineRule="auto"/>
        <w:jc w:val="center"/>
        <w:outlineLvl w:val="2"/>
        <w:rPr>
          <w:rFonts w:hint="eastAsia" w:ascii="仿宋" w:hAnsi="仿宋" w:eastAsia="仿宋" w:cs="仿宋"/>
          <w:b/>
          <w:color w:val="auto"/>
          <w:sz w:val="32"/>
          <w:szCs w:val="32"/>
          <w:highlight w:val="none"/>
        </w:rPr>
      </w:pPr>
      <w:bookmarkStart w:id="461" w:name="_Toc26161"/>
      <w:bookmarkStart w:id="462" w:name="_Toc25202"/>
      <w:bookmarkStart w:id="463" w:name="_Toc21536"/>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bookmarkEnd w:id="461"/>
      <w:bookmarkEnd w:id="462"/>
      <w:bookmarkEnd w:id="463"/>
    </w:p>
    <w:p>
      <w:pPr>
        <w:snapToGri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温州市公安局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温州市华明招标代理有限公司</w:t>
      </w:r>
      <w:r>
        <w:rPr>
          <w:rFonts w:hint="eastAsia" w:ascii="仿宋" w:hAnsi="仿宋" w:eastAsia="仿宋" w:cs="仿宋"/>
          <w:color w:val="auto"/>
          <w:sz w:val="24"/>
          <w:highlight w:val="none"/>
        </w:rPr>
        <w:t>：</w:t>
      </w:r>
    </w:p>
    <w:p>
      <w:pPr>
        <w:snapToGrid w:val="0"/>
        <w:spacing w:line="4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w:t>
      </w:r>
      <w:r>
        <w:rPr>
          <w:rFonts w:hint="eastAsia" w:ascii="仿宋" w:hAnsi="仿宋" w:eastAsia="仿宋" w:cs="仿宋"/>
          <w:color w:val="auto"/>
          <w:sz w:val="24"/>
          <w:highlight w:val="none"/>
          <w:lang w:eastAsia="zh-CN"/>
        </w:rPr>
        <w:t>温州市本级2023年度公共视频监控一体化运维项目</w:t>
      </w:r>
      <w:r>
        <w:rPr>
          <w:rFonts w:hint="eastAsia" w:ascii="仿宋" w:hAnsi="仿宋" w:eastAsia="仿宋" w:cs="仿宋"/>
          <w:color w:val="auto"/>
          <w:sz w:val="24"/>
          <w:highlight w:val="none"/>
        </w:rPr>
        <w:t>（标项名称：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HMZB20231071</w:t>
      </w:r>
      <w:r>
        <w:rPr>
          <w:rFonts w:hint="eastAsia" w:ascii="仿宋" w:hAnsi="仿宋" w:eastAsia="仿宋" w:cs="仿宋"/>
          <w:color w:val="auto"/>
          <w:sz w:val="24"/>
          <w:highlight w:val="none"/>
        </w:rPr>
        <w:t>】招标的有关活动，并对此项目进行投标。为此：</w:t>
      </w:r>
    </w:p>
    <w:p>
      <w:pPr>
        <w:snapToGrid w:val="0"/>
        <w:spacing w:line="4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420" w:lineRule="exact"/>
        <w:ind w:firstLine="480" w:firstLineChars="200"/>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420" w:lineRule="exact"/>
        <w:ind w:left="210" w:leftChars="100" w:firstLine="480" w:firstLineChars="200"/>
        <w:outlineLvl w:val="4"/>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420" w:lineRule="exact"/>
        <w:ind w:left="210" w:leftChars="100" w:firstLine="480" w:firstLineChars="200"/>
        <w:outlineLvl w:val="4"/>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420" w:lineRule="exact"/>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420" w:lineRule="exact"/>
        <w:ind w:left="210" w:leftChars="100" w:firstLine="480" w:firstLineChars="200"/>
        <w:outlineLvl w:val="4"/>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w:t>
      </w:r>
    </w:p>
    <w:p>
      <w:pPr>
        <w:snapToGrid w:val="0"/>
        <w:spacing w:line="420" w:lineRule="exact"/>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4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420" w:lineRule="exact"/>
        <w:ind w:firstLine="480" w:firstLineChars="200"/>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420" w:lineRule="exact"/>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420" w:lineRule="exact"/>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420" w:lineRule="exact"/>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 xml:space="preserve">在合同约定的期限内完成合同规定的全部义务。 </w:t>
      </w:r>
    </w:p>
    <w:p>
      <w:pPr>
        <w:snapToGrid w:val="0"/>
        <w:spacing w:line="420" w:lineRule="exact"/>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420" w:lineRule="exact"/>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4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outlineLvl w:val="2"/>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温州市公安局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温州市华明招标代理有限公司</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lang w:eastAsia="zh-CN"/>
        </w:rPr>
        <w:t>温州市本级2023年度公共视频监控一体化运维项目</w:t>
      </w:r>
      <w:r>
        <w:rPr>
          <w:rFonts w:hint="eastAsia" w:ascii="仿宋" w:hAnsi="仿宋" w:eastAsia="仿宋" w:cs="仿宋"/>
          <w:color w:val="auto"/>
          <w:sz w:val="24"/>
          <w:highlight w:val="none"/>
        </w:rPr>
        <w:t>（标项名称：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HMZB20231071</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br w:type="page"/>
      </w: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366"/>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366"/>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366"/>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lang w:val="zh-CN"/>
        </w:rPr>
        <w:t xml:space="preserve">                   日期：  年  月  日</w:t>
      </w:r>
    </w:p>
    <w:p>
      <w:pPr>
        <w:snapToGrid w:val="0"/>
        <w:spacing w:line="360" w:lineRule="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outlineLvl w:val="2"/>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lang w:val="en-US" w:eastAsia="zh-CN"/>
        </w:rPr>
        <w:t>三</w:t>
      </w:r>
      <w:r>
        <w:rPr>
          <w:rFonts w:hint="eastAsia" w:ascii="仿宋" w:hAnsi="仿宋" w:eastAsia="仿宋" w:cs="仿宋"/>
          <w:b/>
          <w:color w:val="auto"/>
          <w:kern w:val="0"/>
          <w:sz w:val="32"/>
          <w:szCs w:val="32"/>
          <w:highlight w:val="none"/>
        </w:rPr>
        <w:t>、评标标准相应的商务技术资料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jc w:val="center"/>
        <w:outlineLvl w:val="2"/>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r>
        <w:rPr>
          <w:rFonts w:hint="eastAsia" w:ascii="仿宋" w:hAnsi="仿宋" w:eastAsia="仿宋" w:cs="仿宋"/>
          <w:b/>
          <w:color w:val="auto"/>
          <w:kern w:val="0"/>
          <w:sz w:val="32"/>
          <w:szCs w:val="32"/>
          <w:highlight w:val="none"/>
          <w:lang w:val="en-US" w:eastAsia="zh-CN"/>
        </w:rPr>
        <w:t>四</w:t>
      </w:r>
      <w:r>
        <w:rPr>
          <w:rFonts w:hint="eastAsia" w:ascii="仿宋" w:hAnsi="仿宋" w:eastAsia="仿宋" w:cs="仿宋"/>
          <w:b/>
          <w:color w:val="auto"/>
          <w:kern w:val="0"/>
          <w:sz w:val="32"/>
          <w:szCs w:val="32"/>
          <w:highlight w:val="none"/>
        </w:rPr>
        <w:t>、商务技术偏离表</w:t>
      </w:r>
    </w:p>
    <w:tbl>
      <w:tblPr>
        <w:tblStyle w:val="63"/>
        <w:tblW w:w="928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jc w:val="center"/>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序号</w:t>
            </w:r>
          </w:p>
        </w:tc>
        <w:tc>
          <w:tcPr>
            <w:tcW w:w="1656" w:type="dxa"/>
            <w:noWrap w:val="0"/>
            <w:vAlign w:val="center"/>
          </w:tcPr>
          <w:p>
            <w:pPr>
              <w:snapToGrid w:val="0"/>
              <w:spacing w:line="400" w:lineRule="exact"/>
              <w:jc w:val="center"/>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采购文件要求</w:t>
            </w:r>
          </w:p>
        </w:tc>
        <w:tc>
          <w:tcPr>
            <w:tcW w:w="3219" w:type="dxa"/>
            <w:noWrap w:val="0"/>
            <w:vAlign w:val="center"/>
          </w:tcPr>
          <w:p>
            <w:pPr>
              <w:snapToGrid w:val="0"/>
              <w:spacing w:line="400" w:lineRule="exact"/>
              <w:jc w:val="center"/>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投标文件对应规范</w:t>
            </w:r>
          </w:p>
        </w:tc>
        <w:tc>
          <w:tcPr>
            <w:tcW w:w="1822" w:type="dxa"/>
            <w:noWrap w:val="0"/>
            <w:vAlign w:val="center"/>
          </w:tcPr>
          <w:p>
            <w:pPr>
              <w:snapToGrid w:val="0"/>
              <w:spacing w:line="400" w:lineRule="exact"/>
              <w:jc w:val="center"/>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是否偏离</w:t>
            </w:r>
          </w:p>
          <w:p>
            <w:pPr>
              <w:snapToGrid w:val="0"/>
              <w:spacing w:line="400" w:lineRule="exact"/>
              <w:jc w:val="center"/>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（提供说明）</w:t>
            </w:r>
          </w:p>
        </w:tc>
        <w:tc>
          <w:tcPr>
            <w:tcW w:w="1735" w:type="dxa"/>
            <w:noWrap w:val="0"/>
            <w:vAlign w:val="center"/>
          </w:tcPr>
          <w:p>
            <w:pPr>
              <w:snapToGrid w:val="0"/>
              <w:spacing w:line="400" w:lineRule="exact"/>
              <w:jc w:val="center"/>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3" w:type="dxa"/>
            <w:gridSpan w:val="5"/>
            <w:noWrap w:val="0"/>
            <w:vAlign w:val="center"/>
          </w:tcPr>
          <w:p>
            <w:pPr>
              <w:snapToGrid w:val="0"/>
              <w:spacing w:line="400" w:lineRule="exact"/>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商务部分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656"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3219"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822"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735"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656"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3219"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822"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735"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656"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3219"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822"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735"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656"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3219"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822"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735"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rPr>
                <w:rFonts w:hint="eastAsia" w:ascii="仿宋" w:hAnsi="仿宋" w:eastAsia="仿宋" w:cs="仿宋"/>
                <w:color w:val="auto"/>
                <w:spacing w:val="-6"/>
                <w:sz w:val="24"/>
                <w:highlight w:val="none"/>
              </w:rPr>
            </w:pPr>
          </w:p>
        </w:tc>
        <w:tc>
          <w:tcPr>
            <w:tcW w:w="1656" w:type="dxa"/>
            <w:noWrap w:val="0"/>
            <w:vAlign w:val="center"/>
          </w:tcPr>
          <w:p>
            <w:pPr>
              <w:snapToGrid w:val="0"/>
              <w:spacing w:line="400" w:lineRule="exact"/>
              <w:rPr>
                <w:rFonts w:hint="eastAsia" w:ascii="仿宋" w:hAnsi="仿宋" w:eastAsia="仿宋" w:cs="仿宋"/>
                <w:color w:val="auto"/>
                <w:spacing w:val="-6"/>
                <w:sz w:val="24"/>
                <w:highlight w:val="none"/>
              </w:rPr>
            </w:pPr>
          </w:p>
        </w:tc>
        <w:tc>
          <w:tcPr>
            <w:tcW w:w="3219"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822"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735"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3" w:type="dxa"/>
            <w:gridSpan w:val="5"/>
            <w:noWrap w:val="0"/>
            <w:vAlign w:val="center"/>
          </w:tcPr>
          <w:p>
            <w:pPr>
              <w:snapToGrid w:val="0"/>
              <w:spacing w:line="400" w:lineRule="exact"/>
              <w:rPr>
                <w:rFonts w:hint="eastAsia" w:ascii="仿宋" w:hAnsi="仿宋" w:eastAsia="仿宋" w:cs="仿宋"/>
                <w:color w:val="auto"/>
                <w:spacing w:val="-6"/>
                <w:sz w:val="24"/>
                <w:highlight w:val="none"/>
              </w:rPr>
            </w:pPr>
            <w:r>
              <w:rPr>
                <w:rFonts w:hint="eastAsia" w:ascii="仿宋" w:hAnsi="仿宋" w:eastAsia="仿宋" w:cs="仿宋"/>
                <w:color w:val="auto"/>
                <w:spacing w:val="-6"/>
                <w:sz w:val="24"/>
                <w:highlight w:val="none"/>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rPr>
                <w:rFonts w:hint="eastAsia" w:ascii="仿宋" w:hAnsi="仿宋" w:eastAsia="仿宋" w:cs="仿宋"/>
                <w:color w:val="auto"/>
                <w:spacing w:val="-6"/>
                <w:sz w:val="24"/>
                <w:highlight w:val="none"/>
              </w:rPr>
            </w:pPr>
          </w:p>
        </w:tc>
        <w:tc>
          <w:tcPr>
            <w:tcW w:w="1656" w:type="dxa"/>
            <w:noWrap w:val="0"/>
            <w:vAlign w:val="center"/>
          </w:tcPr>
          <w:p>
            <w:pPr>
              <w:snapToGrid w:val="0"/>
              <w:spacing w:line="400" w:lineRule="exact"/>
              <w:rPr>
                <w:rFonts w:hint="eastAsia" w:ascii="仿宋" w:hAnsi="仿宋" w:eastAsia="仿宋" w:cs="仿宋"/>
                <w:color w:val="auto"/>
                <w:spacing w:val="-6"/>
                <w:sz w:val="24"/>
                <w:highlight w:val="none"/>
              </w:rPr>
            </w:pPr>
          </w:p>
        </w:tc>
        <w:tc>
          <w:tcPr>
            <w:tcW w:w="3219"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822"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735"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656"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3219"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822"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735"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656"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3219"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822"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735"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656"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3219"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822"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735"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656"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3219"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822"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c>
          <w:tcPr>
            <w:tcW w:w="1735" w:type="dxa"/>
            <w:noWrap w:val="0"/>
            <w:vAlign w:val="center"/>
          </w:tcPr>
          <w:p>
            <w:pPr>
              <w:snapToGrid w:val="0"/>
              <w:spacing w:line="400" w:lineRule="exact"/>
              <w:jc w:val="center"/>
              <w:rPr>
                <w:rFonts w:hint="eastAsia" w:ascii="仿宋" w:hAnsi="仿宋" w:eastAsia="仿宋" w:cs="仿宋"/>
                <w:color w:val="auto"/>
                <w:spacing w:val="-6"/>
                <w:sz w:val="24"/>
                <w:highlight w:val="none"/>
              </w:rPr>
            </w:pPr>
          </w:p>
        </w:tc>
      </w:tr>
    </w:tbl>
    <w:p>
      <w:pPr>
        <w:jc w:val="left"/>
        <w:rPr>
          <w:rFonts w:hint="eastAsia" w:ascii="仿宋" w:hAnsi="仿宋" w:eastAsia="仿宋" w:cs="仿宋"/>
          <w:color w:val="auto"/>
          <w:kern w:val="0"/>
          <w:sz w:val="24"/>
          <w:highlight w:val="none"/>
        </w:rPr>
      </w:pPr>
    </w:p>
    <w:p>
      <w:pPr>
        <w:snapToGrid w:val="0"/>
        <w:spacing w:line="400" w:lineRule="exact"/>
        <w:jc w:val="left"/>
        <w:rPr>
          <w:rFonts w:hint="eastAsia"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注意：1.逐项按照采购文件要求填写响应规格；如不填写或留空，则视为完全响应采购文件的要求</w:t>
      </w:r>
      <w:r>
        <w:rPr>
          <w:rFonts w:hint="eastAsia" w:ascii="仿宋" w:hAnsi="仿宋" w:eastAsia="仿宋" w:cs="仿宋"/>
          <w:b/>
          <w:color w:val="auto"/>
          <w:spacing w:val="-6"/>
          <w:sz w:val="24"/>
          <w:highlight w:val="none"/>
        </w:rPr>
        <w:t>，自行承担投标响应风险</w:t>
      </w:r>
      <w:r>
        <w:rPr>
          <w:rFonts w:hint="eastAsia" w:ascii="仿宋" w:hAnsi="仿宋" w:eastAsia="仿宋" w:cs="仿宋"/>
          <w:b/>
          <w:bCs/>
          <w:color w:val="auto"/>
          <w:spacing w:val="-6"/>
          <w:sz w:val="24"/>
          <w:szCs w:val="22"/>
          <w:highlight w:val="none"/>
        </w:rPr>
        <w:t>。</w:t>
      </w:r>
    </w:p>
    <w:p>
      <w:pPr>
        <w:snapToGrid w:val="0"/>
        <w:spacing w:line="400" w:lineRule="exact"/>
        <w:ind w:firstLine="687" w:firstLineChars="300"/>
        <w:jc w:val="left"/>
        <w:rPr>
          <w:rFonts w:hint="eastAsia"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2.偏离说明是指对采购文件要求存在不同之处的解释说明。偏离系指：正偏离（高于采购需求）、负偏离（低于采购需求或未按采购需求提供相应证明材料的）、无偏离（满足采购需求）；</w:t>
      </w:r>
    </w:p>
    <w:p>
      <w:pPr>
        <w:snapToGrid w:val="0"/>
        <w:spacing w:line="400" w:lineRule="exact"/>
        <w:ind w:firstLine="687" w:firstLineChars="300"/>
        <w:jc w:val="left"/>
        <w:rPr>
          <w:rFonts w:hint="eastAsia"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3.建议供应商准备采购需求中要求的证明材料（如证书、检测报告等）条目索引，要求清晰提供的证明材料（如证书、检测报告等），由不清晰或者模糊造成无法判断证明材料是否符合要求的风险由供应商自行承担。</w:t>
      </w:r>
    </w:p>
    <w:p>
      <w:pPr>
        <w:jc w:val="left"/>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lang w:val="en-US" w:eastAsia="zh-CN"/>
        </w:rPr>
      </w:pPr>
    </w:p>
    <w:p>
      <w:pPr>
        <w:ind w:firstLine="1911" w:firstLineChars="595"/>
        <w:outlineLvl w:val="2"/>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br w:type="page"/>
      </w:r>
      <w:r>
        <w:rPr>
          <w:rFonts w:hint="eastAsia" w:ascii="仿宋" w:hAnsi="仿宋" w:eastAsia="仿宋" w:cs="仿宋"/>
          <w:b/>
          <w:color w:val="auto"/>
          <w:kern w:val="0"/>
          <w:sz w:val="32"/>
          <w:szCs w:val="32"/>
          <w:highlight w:val="none"/>
          <w:lang w:val="en-US" w:eastAsia="zh-CN"/>
        </w:rPr>
        <w:t>五</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温州市公安局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温州市华明招标代理有限公司</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outlineLvl w:val="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numPr>
          <w:ilvl w:val="0"/>
          <w:numId w:val="14"/>
        </w:numPr>
        <w:spacing w:line="360" w:lineRule="auto"/>
        <w:jc w:val="center"/>
        <w:outlineLvl w:val="2"/>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rPr>
        <w:br w:type="page"/>
      </w:r>
      <w:r>
        <w:rPr>
          <w:rFonts w:hint="eastAsia" w:ascii="仿宋" w:hAnsi="仿宋" w:eastAsia="仿宋" w:cs="仿宋"/>
          <w:b/>
          <w:bCs w:val="0"/>
          <w:color w:val="auto"/>
          <w:kern w:val="0"/>
          <w:sz w:val="32"/>
          <w:szCs w:val="32"/>
          <w:highlight w:val="none"/>
          <w:lang w:val="en-US" w:eastAsia="zh-CN"/>
        </w:rPr>
        <w:t>承诺函（适用于标项一、二、三、四）</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温州市公安局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温州市华明招标代理有限公司</w:t>
      </w:r>
      <w:r>
        <w:rPr>
          <w:rFonts w:hint="eastAsia" w:ascii="仿宋" w:hAnsi="仿宋" w:eastAsia="仿宋" w:cs="仿宋"/>
          <w:color w:val="auto"/>
          <w:kern w:val="0"/>
          <w:sz w:val="24"/>
          <w:highlight w:val="none"/>
          <w:lang w:val="zh-CN"/>
        </w:rPr>
        <w:t>：</w:t>
      </w:r>
    </w:p>
    <w:p>
      <w:pPr>
        <w:pStyle w:val="26"/>
        <w:widowControl w:val="0"/>
        <w:numPr>
          <w:ilvl w:val="0"/>
          <w:numId w:val="0"/>
        </w:numPr>
        <w:adjustRightInd w:val="0"/>
        <w:spacing w:line="480" w:lineRule="exact"/>
        <w:ind w:firstLine="420" w:firstLineChars="0"/>
        <w:jc w:val="both"/>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sz w:val="24"/>
          <w:highlight w:val="none"/>
          <w:lang w:eastAsia="zh-CN"/>
        </w:rPr>
        <w:t>温州市本级2023年度公共视频监控一体化运维项目</w:t>
      </w:r>
      <w:r>
        <w:rPr>
          <w:rFonts w:hint="eastAsia" w:ascii="仿宋" w:hAnsi="仿宋" w:eastAsia="仿宋" w:cs="仿宋"/>
          <w:color w:val="auto"/>
          <w:sz w:val="24"/>
          <w:highlight w:val="none"/>
        </w:rPr>
        <w:t>（标项名称：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HMZB20231071</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招标要求参加投标。我</w:t>
      </w:r>
      <w:r>
        <w:rPr>
          <w:rFonts w:hint="eastAsia" w:ascii="仿宋" w:hAnsi="仿宋" w:eastAsia="仿宋" w:cs="仿宋"/>
          <w:color w:val="auto"/>
          <w:kern w:val="0"/>
          <w:sz w:val="24"/>
          <w:highlight w:val="none"/>
          <w:lang w:val="en-US" w:eastAsia="zh-CN"/>
        </w:rPr>
        <w:t>单位</w:t>
      </w:r>
      <w:r>
        <w:rPr>
          <w:rFonts w:hint="eastAsia" w:ascii="仿宋" w:hAnsi="仿宋" w:eastAsia="仿宋" w:cs="仿宋"/>
          <w:color w:val="auto"/>
          <w:kern w:val="0"/>
          <w:sz w:val="24"/>
          <w:highlight w:val="none"/>
          <w:lang w:val="zh-CN"/>
        </w:rPr>
        <w:t>承诺：</w:t>
      </w:r>
    </w:p>
    <w:p>
      <w:pPr>
        <w:rPr>
          <w:rFonts w:hint="eastAsia"/>
          <w:color w:val="auto"/>
          <w:highlight w:val="none"/>
          <w:lang w:val="zh-CN"/>
        </w:rPr>
      </w:pP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16"/>
        <w:gridCol w:w="411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616" w:type="dxa"/>
            <w:noWrap w:val="0"/>
            <w:vAlign w:val="center"/>
          </w:tcPr>
          <w:p>
            <w:pPr>
              <w:autoSpaceDE w:val="0"/>
              <w:autoSpaceDN w:val="0"/>
              <w:spacing w:line="360" w:lineRule="auto"/>
              <w:jc w:val="center"/>
              <w:rPr>
                <w:rFonts w:hint="default" w:ascii="仿宋" w:hAnsi="仿宋" w:eastAsia="仿宋" w:cs="仿宋"/>
                <w:b/>
                <w:bCs/>
                <w:color w:val="auto"/>
                <w:kern w:val="0"/>
                <w:sz w:val="24"/>
                <w:highlight w:val="none"/>
                <w:vertAlign w:val="baseline"/>
                <w:lang w:val="en-US" w:eastAsia="zh-CN"/>
              </w:rPr>
            </w:pPr>
            <w:r>
              <w:rPr>
                <w:rFonts w:hint="eastAsia" w:ascii="仿宋" w:hAnsi="仿宋" w:eastAsia="仿宋" w:cs="仿宋"/>
                <w:b/>
                <w:bCs/>
                <w:color w:val="auto"/>
                <w:kern w:val="0"/>
                <w:sz w:val="24"/>
                <w:highlight w:val="none"/>
                <w:vertAlign w:val="baseline"/>
                <w:lang w:val="en-US" w:eastAsia="zh-CN"/>
              </w:rPr>
              <w:t>承诺要求</w:t>
            </w:r>
          </w:p>
        </w:tc>
        <w:tc>
          <w:tcPr>
            <w:tcW w:w="4110" w:type="dxa"/>
            <w:noWrap w:val="0"/>
            <w:vAlign w:val="center"/>
          </w:tcPr>
          <w:p>
            <w:pPr>
              <w:autoSpaceDE w:val="0"/>
              <w:autoSpaceDN w:val="0"/>
              <w:spacing w:line="360" w:lineRule="auto"/>
              <w:jc w:val="center"/>
              <w:rPr>
                <w:rFonts w:hint="default" w:ascii="仿宋" w:hAnsi="仿宋" w:eastAsia="仿宋" w:cs="仿宋"/>
                <w:b/>
                <w:bCs/>
                <w:color w:val="auto"/>
                <w:kern w:val="0"/>
                <w:sz w:val="24"/>
                <w:highlight w:val="none"/>
                <w:vertAlign w:val="baseline"/>
                <w:lang w:val="en-US" w:eastAsia="zh-CN"/>
              </w:rPr>
            </w:pPr>
            <w:r>
              <w:rPr>
                <w:rFonts w:hint="eastAsia" w:ascii="仿宋" w:hAnsi="仿宋" w:eastAsia="仿宋" w:cs="仿宋"/>
                <w:b/>
                <w:bCs/>
                <w:color w:val="auto"/>
                <w:kern w:val="0"/>
                <w:sz w:val="24"/>
                <w:highlight w:val="none"/>
                <w:vertAlign w:val="baseline"/>
                <w:lang w:val="en-US" w:eastAsia="zh-CN"/>
              </w:rPr>
              <w:t>承诺情况</w:t>
            </w:r>
          </w:p>
        </w:tc>
        <w:tc>
          <w:tcPr>
            <w:tcW w:w="1559" w:type="dxa"/>
            <w:noWrap w:val="0"/>
            <w:vAlign w:val="center"/>
          </w:tcPr>
          <w:p>
            <w:pPr>
              <w:autoSpaceDE w:val="0"/>
              <w:autoSpaceDN w:val="0"/>
              <w:spacing w:line="360" w:lineRule="auto"/>
              <w:jc w:val="center"/>
              <w:rPr>
                <w:rFonts w:hint="eastAsia" w:ascii="仿宋" w:hAnsi="仿宋" w:eastAsia="仿宋" w:cs="仿宋"/>
                <w:b/>
                <w:bCs/>
                <w:color w:val="auto"/>
                <w:kern w:val="0"/>
                <w:sz w:val="24"/>
                <w:highlight w:val="none"/>
                <w:vertAlign w:val="baseline"/>
                <w:lang w:val="en-US" w:eastAsia="zh-CN"/>
              </w:rPr>
            </w:pPr>
            <w:r>
              <w:rPr>
                <w:rFonts w:hint="eastAsia" w:ascii="仿宋" w:hAnsi="仿宋" w:eastAsia="仿宋" w:cs="仿宋"/>
                <w:b/>
                <w:bCs/>
                <w:color w:val="auto"/>
                <w:kern w:val="0"/>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3616" w:type="dxa"/>
            <w:noWrap w:val="0"/>
            <w:vAlign w:val="center"/>
          </w:tcPr>
          <w:p>
            <w:pPr>
              <w:autoSpaceDE w:val="0"/>
              <w:autoSpaceDN w:val="0"/>
              <w:spacing w:line="360" w:lineRule="auto"/>
              <w:jc w:val="center"/>
              <w:rPr>
                <w:rFonts w:hint="eastAsia" w:ascii="仿宋" w:hAnsi="仿宋" w:eastAsia="仿宋" w:cs="仿宋"/>
                <w:color w:val="auto"/>
                <w:kern w:val="0"/>
                <w:sz w:val="24"/>
                <w:highlight w:val="none"/>
                <w:vertAlign w:val="baseline"/>
                <w:lang w:val="en-US" w:eastAsia="zh-CN"/>
              </w:rPr>
            </w:pPr>
            <w:r>
              <w:rPr>
                <w:rFonts w:hint="eastAsia" w:ascii="仿宋" w:hAnsi="仿宋" w:eastAsia="仿宋" w:cs="仿宋"/>
                <w:b w:val="0"/>
                <w:bCs/>
                <w:color w:val="auto"/>
                <w:sz w:val="22"/>
                <w:szCs w:val="22"/>
                <w:highlight w:val="none"/>
                <w:lang w:val="en-US" w:eastAsia="zh-CN"/>
              </w:rPr>
              <w:t>具备系统建设、运行所需的管道、光纤资源（不具备的必须提供地市级网络资源运营商授予投标人对本项目相关管道、光纤资源的使用协议（协议约定资源使用区域为温州全域、周期与项目服务期一致））</w:t>
            </w:r>
          </w:p>
        </w:tc>
        <w:tc>
          <w:tcPr>
            <w:tcW w:w="4110" w:type="dxa"/>
            <w:noWrap w:val="0"/>
            <w:vAlign w:val="center"/>
          </w:tcPr>
          <w:p>
            <w:pPr>
              <w:autoSpaceDE w:val="0"/>
              <w:autoSpaceDN w:val="0"/>
              <w:spacing w:line="360" w:lineRule="auto"/>
              <w:jc w:val="center"/>
              <w:rPr>
                <w:rFonts w:hint="default" w:ascii="仿宋" w:hAnsi="仿宋" w:eastAsia="仿宋" w:cs="仿宋"/>
                <w:color w:val="auto"/>
                <w:kern w:val="0"/>
                <w:sz w:val="24"/>
                <w:highlight w:val="none"/>
                <w:vertAlign w:val="baseline"/>
                <w:lang w:val="en-US" w:eastAsia="zh-CN"/>
              </w:rPr>
            </w:pPr>
            <w:r>
              <w:rPr>
                <w:rFonts w:hint="eastAsia" w:ascii="仿宋" w:hAnsi="仿宋" w:eastAsia="仿宋" w:cs="仿宋"/>
                <w:color w:val="auto"/>
                <w:kern w:val="0"/>
                <w:sz w:val="24"/>
                <w:highlight w:val="none"/>
                <w:vertAlign w:val="baseline"/>
                <w:lang w:val="en-US" w:eastAsia="zh-CN"/>
              </w:rPr>
              <w:t>我单位</w:t>
            </w:r>
            <w:r>
              <w:rPr>
                <w:rFonts w:hint="eastAsia" w:ascii="仿宋" w:hAnsi="仿宋" w:eastAsia="仿宋" w:cs="仿宋"/>
                <w:color w:val="auto"/>
                <w:kern w:val="0"/>
                <w:sz w:val="24"/>
                <w:highlight w:val="none"/>
                <w:u w:val="single"/>
                <w:vertAlign w:val="baseline"/>
                <w:lang w:val="en-US" w:eastAsia="zh-CN"/>
              </w:rPr>
              <w:t xml:space="preserve">           （</w:t>
            </w:r>
            <w:r>
              <w:rPr>
                <w:rFonts w:hint="eastAsia" w:ascii="仿宋" w:hAnsi="仿宋" w:eastAsia="仿宋" w:cs="仿宋"/>
                <w:b w:val="0"/>
                <w:bCs/>
                <w:i/>
                <w:iCs/>
                <w:color w:val="auto"/>
                <w:sz w:val="22"/>
                <w:szCs w:val="22"/>
                <w:highlight w:val="none"/>
                <w:u w:val="single"/>
                <w:lang w:val="en-US" w:eastAsia="zh-CN"/>
              </w:rPr>
              <w:t>具备系统建设、运行所需的管道、光纤资源</w:t>
            </w:r>
            <w:r>
              <w:rPr>
                <w:rFonts w:hint="eastAsia" w:ascii="仿宋" w:hAnsi="仿宋" w:eastAsia="仿宋" w:cs="仿宋"/>
                <w:b/>
                <w:bCs w:val="0"/>
                <w:i/>
                <w:iCs/>
                <w:color w:val="auto"/>
                <w:sz w:val="22"/>
                <w:szCs w:val="22"/>
                <w:highlight w:val="none"/>
                <w:u w:val="single"/>
                <w:lang w:val="en-US" w:eastAsia="zh-CN"/>
              </w:rPr>
              <w:t>/</w:t>
            </w:r>
            <w:r>
              <w:rPr>
                <w:rFonts w:hint="eastAsia" w:ascii="仿宋" w:hAnsi="仿宋" w:eastAsia="仿宋" w:cs="仿宋"/>
                <w:b w:val="0"/>
                <w:bCs/>
                <w:i/>
                <w:iCs/>
                <w:color w:val="auto"/>
                <w:sz w:val="22"/>
                <w:szCs w:val="22"/>
                <w:highlight w:val="none"/>
                <w:u w:val="single"/>
                <w:lang w:val="en-US" w:eastAsia="zh-CN"/>
              </w:rPr>
              <w:t>提供地市级网络资源运营商授予投标人对本项目相关管道、光纤资源的使用协议）</w:t>
            </w:r>
          </w:p>
        </w:tc>
        <w:tc>
          <w:tcPr>
            <w:tcW w:w="1559" w:type="dxa"/>
            <w:noWrap w:val="0"/>
            <w:vAlign w:val="center"/>
          </w:tcPr>
          <w:p>
            <w:pPr>
              <w:autoSpaceDE w:val="0"/>
              <w:autoSpaceDN w:val="0"/>
              <w:spacing w:line="360" w:lineRule="auto"/>
              <w:jc w:val="center"/>
              <w:rPr>
                <w:rFonts w:hint="default" w:ascii="仿宋" w:hAnsi="仿宋" w:eastAsia="仿宋" w:cs="仿宋"/>
                <w:color w:val="auto"/>
                <w:kern w:val="0"/>
                <w:sz w:val="24"/>
                <w:highlight w:val="none"/>
                <w:vertAlign w:val="baseline"/>
                <w:lang w:val="en-US" w:eastAsia="zh-CN"/>
              </w:rPr>
            </w:pPr>
            <w:r>
              <w:rPr>
                <w:rFonts w:hint="eastAsia" w:ascii="仿宋" w:hAnsi="仿宋" w:eastAsia="仿宋" w:cs="仿宋"/>
                <w:color w:val="auto"/>
                <w:kern w:val="0"/>
                <w:sz w:val="24"/>
                <w:highlight w:val="none"/>
                <w:vertAlign w:val="baseline"/>
                <w:lang w:val="en-US" w:eastAsia="zh-CN"/>
              </w:rPr>
              <w:t>如以协议方式响应，须附协议扫描件。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3616" w:type="dxa"/>
            <w:noWrap w:val="0"/>
            <w:vAlign w:val="center"/>
          </w:tcPr>
          <w:p>
            <w:pPr>
              <w:pStyle w:val="2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 w:hAnsi="仿宋" w:eastAsia="仿宋" w:cs="仿宋"/>
                <w:bCs/>
                <w:color w:val="auto"/>
                <w:kern w:val="0"/>
                <w:sz w:val="22"/>
                <w:szCs w:val="22"/>
                <w:highlight w:val="none"/>
                <w:lang w:val="en-US" w:eastAsia="zh-CN"/>
              </w:rPr>
            </w:pPr>
            <w:bookmarkStart w:id="464" w:name="_Toc29762"/>
            <w:r>
              <w:rPr>
                <w:rFonts w:hint="eastAsia" w:ascii="仿宋" w:hAnsi="仿宋" w:eastAsia="仿宋" w:cs="仿宋"/>
                <w:bCs/>
                <w:color w:val="auto"/>
                <w:kern w:val="0"/>
                <w:sz w:val="22"/>
                <w:szCs w:val="22"/>
                <w:highlight w:val="none"/>
                <w:lang w:val="en-US" w:eastAsia="zh-CN"/>
              </w:rPr>
              <w:t>根据招标人提供的标段点位清单，结合已有的链路资源完成调通所需时间。</w:t>
            </w:r>
          </w:p>
          <w:p>
            <w:pPr>
              <w:autoSpaceDE w:val="0"/>
              <w:autoSpaceDN w:val="0"/>
              <w:spacing w:line="360" w:lineRule="auto"/>
              <w:jc w:val="center"/>
              <w:rPr>
                <w:rFonts w:hint="eastAsia" w:ascii="仿宋" w:hAnsi="仿宋" w:eastAsia="仿宋" w:cs="仿宋"/>
                <w:color w:val="auto"/>
                <w:kern w:val="0"/>
                <w:sz w:val="24"/>
                <w:highlight w:val="none"/>
                <w:vertAlign w:val="baseline"/>
                <w:lang w:val="en-US" w:eastAsia="zh-CN"/>
              </w:rPr>
            </w:pPr>
          </w:p>
        </w:tc>
        <w:tc>
          <w:tcPr>
            <w:tcW w:w="4110" w:type="dxa"/>
            <w:noWrap w:val="0"/>
            <w:vAlign w:val="center"/>
          </w:tcPr>
          <w:p>
            <w:pPr>
              <w:autoSpaceDE w:val="0"/>
              <w:autoSpaceDN w:val="0"/>
              <w:spacing w:line="360" w:lineRule="auto"/>
              <w:jc w:val="center"/>
              <w:rPr>
                <w:rFonts w:hint="default" w:ascii="仿宋" w:hAnsi="仿宋" w:eastAsia="仿宋" w:cs="仿宋"/>
                <w:color w:val="auto"/>
                <w:kern w:val="0"/>
                <w:sz w:val="24"/>
                <w:highlight w:val="none"/>
                <w:vertAlign w:val="baseline"/>
                <w:lang w:val="en-US" w:eastAsia="zh-CN"/>
              </w:rPr>
            </w:pPr>
            <w:r>
              <w:rPr>
                <w:rFonts w:hint="eastAsia" w:ascii="仿宋" w:hAnsi="仿宋" w:eastAsia="仿宋" w:cs="仿宋"/>
                <w:color w:val="auto"/>
                <w:kern w:val="0"/>
                <w:sz w:val="24"/>
                <w:highlight w:val="none"/>
                <w:vertAlign w:val="baseline"/>
                <w:lang w:val="en-US" w:eastAsia="zh-CN"/>
              </w:rPr>
              <w:t>我单位</w:t>
            </w:r>
            <w:r>
              <w:rPr>
                <w:rFonts w:hint="eastAsia" w:ascii="仿宋" w:hAnsi="仿宋" w:eastAsia="仿宋" w:cs="仿宋"/>
                <w:bCs/>
                <w:color w:val="auto"/>
                <w:kern w:val="0"/>
                <w:sz w:val="22"/>
                <w:szCs w:val="22"/>
                <w:highlight w:val="none"/>
                <w:lang w:val="en-US" w:eastAsia="zh-CN"/>
              </w:rPr>
              <w:t>完成调通所需时间：</w:t>
            </w:r>
            <w:r>
              <w:rPr>
                <w:rFonts w:hint="eastAsia" w:ascii="仿宋" w:hAnsi="仿宋" w:eastAsia="仿宋" w:cs="仿宋"/>
                <w:bCs/>
                <w:color w:val="auto"/>
                <w:kern w:val="0"/>
                <w:sz w:val="22"/>
                <w:szCs w:val="22"/>
                <w:highlight w:val="none"/>
                <w:u w:val="single"/>
                <w:lang w:val="en-US" w:eastAsia="zh-CN"/>
              </w:rPr>
              <w:t xml:space="preserve">    </w:t>
            </w:r>
            <w:r>
              <w:rPr>
                <w:rFonts w:hint="eastAsia" w:ascii="仿宋" w:hAnsi="仿宋" w:eastAsia="仿宋" w:cs="仿宋"/>
                <w:bCs/>
                <w:color w:val="auto"/>
                <w:kern w:val="0"/>
                <w:sz w:val="22"/>
                <w:szCs w:val="22"/>
                <w:highlight w:val="none"/>
                <w:u w:val="none"/>
                <w:lang w:val="en-US" w:eastAsia="zh-CN"/>
              </w:rPr>
              <w:t>个</w:t>
            </w:r>
            <w:r>
              <w:rPr>
                <w:rFonts w:hint="eastAsia" w:ascii="仿宋" w:hAnsi="仿宋" w:eastAsia="仿宋" w:cs="仿宋"/>
                <w:bCs/>
                <w:color w:val="auto"/>
                <w:kern w:val="0"/>
                <w:sz w:val="22"/>
                <w:szCs w:val="22"/>
                <w:highlight w:val="none"/>
                <w:lang w:val="en-US" w:eastAsia="zh-CN"/>
              </w:rPr>
              <w:t>月内。</w:t>
            </w:r>
          </w:p>
        </w:tc>
        <w:tc>
          <w:tcPr>
            <w:tcW w:w="1559" w:type="dxa"/>
            <w:noWrap w:val="0"/>
            <w:vAlign w:val="center"/>
          </w:tcPr>
          <w:p>
            <w:pPr>
              <w:autoSpaceDE w:val="0"/>
              <w:autoSpaceDN w:val="0"/>
              <w:spacing w:line="360" w:lineRule="auto"/>
              <w:jc w:val="center"/>
              <w:rPr>
                <w:rFonts w:hint="default" w:ascii="仿宋" w:hAnsi="仿宋" w:eastAsia="仿宋" w:cs="仿宋"/>
                <w:color w:val="auto"/>
                <w:kern w:val="0"/>
                <w:sz w:val="24"/>
                <w:highlight w:val="none"/>
                <w:vertAlign w:val="baseline"/>
                <w:lang w:val="en-US" w:eastAsia="zh-CN"/>
              </w:rPr>
            </w:pPr>
            <w:r>
              <w:rPr>
                <w:rFonts w:hint="eastAsia" w:ascii="仿宋" w:hAnsi="仿宋" w:eastAsia="仿宋" w:cs="仿宋"/>
                <w:bCs/>
                <w:color w:val="auto"/>
                <w:kern w:val="0"/>
                <w:sz w:val="22"/>
                <w:szCs w:val="22"/>
                <w:highlight w:val="none"/>
                <w:lang w:val="en-US" w:eastAsia="zh-CN"/>
              </w:rPr>
              <w:t>填写整数</w:t>
            </w:r>
          </w:p>
        </w:tc>
      </w:tr>
    </w:tbl>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如违反上述承诺，你单位有权立即取消我单位投标、中标资格，并通报市财政局。由此引起的相应损失均由我单位承担。</w:t>
      </w:r>
    </w:p>
    <w:p>
      <w:pPr>
        <w:autoSpaceDE w:val="0"/>
        <w:autoSpaceDN w:val="0"/>
        <w:spacing w:line="360" w:lineRule="auto"/>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pStyle w:val="6"/>
        <w:jc w:val="center"/>
        <w:outlineLvl w:val="2"/>
        <w:rPr>
          <w:rFonts w:hint="eastAsia" w:ascii="仿宋" w:hAnsi="仿宋" w:eastAsia="仿宋" w:cs="仿宋"/>
          <w:color w:val="auto"/>
          <w:highlight w:val="none"/>
          <w:lang w:val="en-US" w:eastAsia="zh-CN"/>
        </w:rPr>
      </w:pPr>
      <w:r>
        <w:rPr>
          <w:rFonts w:hint="eastAsia" w:ascii="仿宋" w:eastAsia="仿宋" w:cs="仿宋"/>
          <w:color w:val="auto"/>
          <w:highlight w:val="none"/>
        </w:rPr>
        <w:br w:type="page"/>
      </w:r>
      <w:r>
        <w:rPr>
          <w:rFonts w:hint="eastAsia" w:ascii="仿宋" w:hAnsi="仿宋" w:eastAsia="仿宋" w:cs="仿宋"/>
          <w:color w:val="auto"/>
          <w:highlight w:val="none"/>
          <w:lang w:val="en-US" w:eastAsia="zh-CN"/>
        </w:rPr>
        <w:t>七、</w:t>
      </w:r>
      <w:r>
        <w:rPr>
          <w:rFonts w:hint="eastAsia" w:ascii="仿宋" w:hAnsi="仿宋" w:eastAsia="仿宋" w:cs="仿宋"/>
          <w:b/>
          <w:color w:val="auto"/>
          <w:szCs w:val="21"/>
          <w:highlight w:val="none"/>
        </w:rPr>
        <w:t>项目实施人员一览表</w:t>
      </w:r>
    </w:p>
    <w:p>
      <w:pPr>
        <w:snapToGrid w:val="0"/>
        <w:ind w:firstLine="420"/>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项目实施人员一览表</w:t>
      </w:r>
    </w:p>
    <w:p>
      <w:pPr>
        <w:snapToGrid w:val="0"/>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标项：</w:t>
      </w:r>
    </w:p>
    <w:tbl>
      <w:tblPr>
        <w:tblStyle w:val="63"/>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970"/>
        <w:gridCol w:w="709"/>
        <w:gridCol w:w="1254"/>
        <w:gridCol w:w="1454"/>
        <w:gridCol w:w="1134"/>
        <w:gridCol w:w="1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项目组所任职务</w:t>
            </w: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姓名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职称</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专业技术资格</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专业技术资格证书编号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从事本工作时间</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典型业务</w:t>
            </w:r>
          </w:p>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与技术专长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40"/>
              <w:ind w:firstLine="0" w:firstLineChars="0"/>
              <w:jc w:val="center"/>
              <w:rPr>
                <w:rFonts w:hint="eastAsia" w:ascii="仿宋" w:hAnsi="仿宋" w:eastAsia="仿宋" w:cs="仿宋"/>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40"/>
              <w:ind w:firstLine="0" w:firstLineChars="0"/>
              <w:jc w:val="center"/>
              <w:rPr>
                <w:rFonts w:hint="eastAsia" w:ascii="仿宋" w:hAnsi="仿宋" w:eastAsia="仿宋" w:cs="仿宋"/>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40"/>
              <w:ind w:firstLine="0" w:firstLineChars="0"/>
              <w:jc w:val="center"/>
              <w:rPr>
                <w:rFonts w:hint="eastAsia" w:ascii="仿宋" w:hAnsi="仿宋" w:eastAsia="仿宋" w:cs="仿宋"/>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454" w:type="dxa"/>
            <w:tcBorders>
              <w:top w:val="single" w:color="auto" w:sz="4" w:space="0"/>
              <w:left w:val="single" w:color="auto" w:sz="4" w:space="0"/>
              <w:bottom w:val="single" w:color="auto" w:sz="4" w:space="0"/>
              <w:right w:val="single" w:color="auto" w:sz="4" w:space="0"/>
            </w:tcBorders>
            <w:noWrap w:val="0"/>
            <w:vAlign w:val="top"/>
          </w:tcPr>
          <w:p>
            <w:pPr>
              <w:pStyle w:val="40"/>
              <w:ind w:firstLine="0" w:firstLineChars="0"/>
              <w:jc w:val="center"/>
              <w:rPr>
                <w:rFonts w:hint="eastAsia" w:ascii="仿宋" w:hAnsi="仿宋" w:eastAsia="仿宋" w:cs="仿宋"/>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40"/>
              <w:ind w:firstLine="0" w:firstLineChars="0"/>
              <w:jc w:val="center"/>
              <w:rPr>
                <w:rFonts w:hint="eastAsia" w:ascii="仿宋" w:hAnsi="仿宋" w:eastAsia="仿宋" w:cs="仿宋"/>
                <w:color w:val="auto"/>
                <w:sz w:val="21"/>
                <w:szCs w:val="21"/>
                <w:highlight w:val="none"/>
              </w:rPr>
            </w:pPr>
          </w:p>
        </w:tc>
      </w:tr>
    </w:tbl>
    <w:p>
      <w:pPr>
        <w:ind w:firstLine="420"/>
        <w:rPr>
          <w:rFonts w:hint="eastAsia" w:ascii="仿宋" w:hAnsi="仿宋" w:eastAsia="仿宋" w:cs="仿宋"/>
          <w:b/>
          <w:color w:val="auto"/>
          <w:szCs w:val="21"/>
          <w:highlight w:val="none"/>
        </w:rPr>
      </w:pPr>
      <w:r>
        <w:rPr>
          <w:rFonts w:hint="eastAsia" w:ascii="仿宋" w:hAnsi="仿宋" w:eastAsia="仿宋" w:cs="仿宋"/>
          <w:color w:val="auto"/>
          <w:szCs w:val="21"/>
          <w:highlight w:val="none"/>
        </w:rPr>
        <w:t>注：</w:t>
      </w:r>
      <w:r>
        <w:rPr>
          <w:rFonts w:hint="eastAsia" w:ascii="仿宋" w:hAnsi="仿宋" w:eastAsia="仿宋" w:cs="仿宋"/>
          <w:b/>
          <w:color w:val="auto"/>
          <w:szCs w:val="21"/>
          <w:highlight w:val="none"/>
        </w:rPr>
        <w:t>1、“项目实施人员”指投标人</w:t>
      </w:r>
      <w:r>
        <w:rPr>
          <w:rFonts w:hint="eastAsia" w:ascii="仿宋" w:hAnsi="仿宋" w:eastAsia="仿宋" w:cs="仿宋"/>
          <w:b/>
          <w:color w:val="auto"/>
          <w:szCs w:val="21"/>
          <w:highlight w:val="none"/>
          <w:lang w:val="en-US" w:eastAsia="zh-CN"/>
        </w:rPr>
        <w:t>拟投入</w:t>
      </w:r>
      <w:r>
        <w:rPr>
          <w:rFonts w:hint="eastAsia" w:ascii="仿宋" w:hAnsi="仿宋" w:eastAsia="仿宋" w:cs="仿宋"/>
          <w:b/>
          <w:color w:val="auto"/>
          <w:szCs w:val="21"/>
          <w:highlight w:val="none"/>
        </w:rPr>
        <w:t>完成本项目所配备的人员。2、附各专业人员相关证明材料复印件；3、表格不够填写可添加。</w:t>
      </w:r>
    </w:p>
    <w:p>
      <w:pPr>
        <w:snapToGrid w:val="0"/>
        <w:ind w:firstLine="420"/>
        <w:rPr>
          <w:rFonts w:hint="eastAsia" w:ascii="仿宋" w:hAnsi="仿宋" w:eastAsia="仿宋" w:cs="仿宋"/>
          <w:color w:val="auto"/>
          <w:szCs w:val="21"/>
          <w:highlight w:val="none"/>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b/>
          <w:bCs/>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pStyle w:val="6"/>
        <w:jc w:val="center"/>
        <w:outlineLvl w:val="3"/>
        <w:rPr>
          <w:rFonts w:hint="eastAsia" w:ascii="仿宋" w:eastAsia="仿宋" w:cs="仿宋"/>
          <w:b w:val="0"/>
          <w:color w:val="auto"/>
          <w:szCs w:val="36"/>
          <w:highlight w:val="none"/>
        </w:rPr>
      </w:pPr>
      <w:r>
        <w:rPr>
          <w:rFonts w:hint="eastAsia" w:ascii="仿宋" w:eastAsia="仿宋" w:cs="仿宋"/>
          <w:color w:val="auto"/>
          <w:highlight w:val="none"/>
        </w:rPr>
        <w:br w:type="page"/>
      </w:r>
      <w:r>
        <w:rPr>
          <w:rFonts w:hint="eastAsia" w:ascii="仿宋" w:eastAsia="仿宋" w:cs="仿宋"/>
          <w:color w:val="auto"/>
          <w:highlight w:val="none"/>
        </w:rPr>
        <w:t>报价文件部分</w:t>
      </w:r>
      <w:bookmarkEnd w:id="464"/>
    </w:p>
    <w:p>
      <w:pPr>
        <w:spacing w:line="360" w:lineRule="auto"/>
        <w:jc w:val="center"/>
        <w:outlineLvl w:val="9"/>
        <w:rPr>
          <w:rFonts w:hint="eastAsia" w:ascii="仿宋" w:hAnsi="仿宋" w:eastAsia="仿宋" w:cs="仿宋"/>
          <w:b/>
          <w:color w:val="auto"/>
          <w:kern w:val="0"/>
          <w:sz w:val="36"/>
          <w:szCs w:val="36"/>
          <w:highlight w:val="none"/>
        </w:rPr>
      </w:pPr>
      <w:bookmarkStart w:id="465" w:name="_Toc24830"/>
      <w:bookmarkStart w:id="466" w:name="_Toc14052"/>
      <w:bookmarkStart w:id="467" w:name="_Toc9713"/>
      <w:r>
        <w:rPr>
          <w:rFonts w:hint="eastAsia" w:ascii="仿宋" w:hAnsi="仿宋" w:eastAsia="仿宋" w:cs="仿宋"/>
          <w:b/>
          <w:color w:val="auto"/>
          <w:kern w:val="0"/>
          <w:sz w:val="36"/>
          <w:szCs w:val="36"/>
          <w:highlight w:val="none"/>
        </w:rPr>
        <w:t>目录</w:t>
      </w:r>
      <w:bookmarkEnd w:id="465"/>
      <w:bookmarkEnd w:id="466"/>
      <w:bookmarkEnd w:id="467"/>
    </w:p>
    <w:p>
      <w:pPr>
        <w:spacing w:line="360" w:lineRule="auto"/>
        <w:jc w:val="center"/>
        <w:outlineLvl w:val="9"/>
        <w:rPr>
          <w:rFonts w:hint="eastAsia" w:ascii="仿宋" w:hAnsi="仿宋" w:eastAsia="仿宋" w:cs="仿宋"/>
          <w:b/>
          <w:color w:val="auto"/>
          <w:kern w:val="0"/>
          <w:sz w:val="36"/>
          <w:szCs w:val="36"/>
          <w:highlight w:val="none"/>
        </w:rPr>
      </w:pPr>
    </w:p>
    <w:p>
      <w:pPr>
        <w:numPr>
          <w:ilvl w:val="0"/>
          <w:numId w:val="15"/>
        </w:num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开标一览表………………………………………………………（页码）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（2）分项报价表 ………………………………………………………（页码）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rPr>
          <w:rFonts w:hint="eastAsia" w:ascii="仿宋" w:hAnsi="仿宋" w:eastAsia="仿宋" w:cs="仿宋"/>
          <w:b/>
          <w:color w:val="auto"/>
          <w:kern w:val="0"/>
          <w:sz w:val="32"/>
          <w:szCs w:val="32"/>
          <w:highlight w:val="none"/>
        </w:rPr>
      </w:pPr>
    </w:p>
    <w:p>
      <w:pPr>
        <w:pStyle w:val="74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pStyle w:val="743"/>
        <w:keepNext w:val="0"/>
        <w:pageBreakBefore w:val="0"/>
        <w:tabs>
          <w:tab w:val="clear" w:pos="720"/>
        </w:tabs>
        <w:snapToGrid w:val="0"/>
        <w:spacing w:before="120" w:after="120"/>
        <w:ind w:firstLine="643"/>
        <w:outlineLvl w:val="2"/>
        <w:rPr>
          <w:rFonts w:hint="eastAsia" w:ascii="仿宋" w:hAnsi="仿宋" w:eastAsia="仿宋" w:cs="仿宋"/>
          <w:color w:val="auto"/>
          <w:kern w:val="2"/>
          <w:sz w:val="32"/>
          <w:szCs w:val="32"/>
          <w:highlight w:val="none"/>
        </w:rPr>
      </w:pPr>
      <w:bookmarkStart w:id="468" w:name="_Toc17889"/>
      <w:bookmarkStart w:id="469" w:name="_Toc23337"/>
      <w:bookmarkStart w:id="470" w:name="_Toc24274"/>
      <w:r>
        <w:rPr>
          <w:rFonts w:hint="eastAsia" w:ascii="仿宋" w:hAnsi="仿宋" w:eastAsia="仿宋" w:cs="仿宋"/>
          <w:color w:val="auto"/>
          <w:kern w:val="2"/>
          <w:sz w:val="32"/>
          <w:szCs w:val="32"/>
          <w:highlight w:val="none"/>
        </w:rPr>
        <w:t>一、开标一览表</w:t>
      </w:r>
      <w:bookmarkEnd w:id="468"/>
      <w:bookmarkEnd w:id="469"/>
      <w:bookmarkEnd w:id="470"/>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温州市公安局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温州市华明招标代理有限公司</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按你方招标文件要求，我们，本投标文件签字方，谨此向你方发出要约如下：如你方接受本投标，我方承诺按照如下开标一览表的价格完成</w:t>
      </w:r>
      <w:r>
        <w:rPr>
          <w:rFonts w:hint="eastAsia" w:ascii="仿宋" w:hAnsi="仿宋" w:eastAsia="仿宋" w:cs="仿宋"/>
          <w:color w:val="auto"/>
          <w:sz w:val="24"/>
          <w:highlight w:val="none"/>
          <w:lang w:eastAsia="zh-CN"/>
        </w:rPr>
        <w:t>温州市本级2023年度公共视频监控一体化运维项目</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lang w:eastAsia="zh-CN"/>
        </w:rPr>
        <w:t>HMZB20231071</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tbl>
      <w:tblPr>
        <w:tblStyle w:val="63"/>
        <w:tblW w:w="4932"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782"/>
        <w:gridCol w:w="4522"/>
        <w:gridCol w:w="2793"/>
        <w:gridCol w:w="623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6" w:hRule="atLeast"/>
        </w:trPr>
        <w:tc>
          <w:tcPr>
            <w:tcW w:w="273" w:type="pct"/>
            <w:noWrap w:val="0"/>
            <w:tcMar>
              <w:top w:w="0" w:type="dxa"/>
              <w:left w:w="108" w:type="dxa"/>
              <w:bottom w:w="0" w:type="dxa"/>
              <w:right w:w="108" w:type="dxa"/>
            </w:tcMar>
            <w:vAlign w:val="center"/>
          </w:tcPr>
          <w:p>
            <w:pPr>
              <w:widowControl/>
              <w:spacing w:before="60" w:after="60"/>
              <w:ind w:left="60" w:right="60"/>
              <w:jc w:val="center"/>
              <w:rPr>
                <w:rFonts w:hint="eastAsia" w:ascii="仿宋" w:hAnsi="仿宋" w:eastAsia="仿宋" w:cs="仿宋"/>
                <w:b/>
                <w:color w:val="auto"/>
                <w:kern w:val="0"/>
                <w:sz w:val="22"/>
                <w:szCs w:val="22"/>
                <w:highlight w:val="none"/>
              </w:rPr>
            </w:pPr>
            <w:r>
              <w:rPr>
                <w:rFonts w:hint="eastAsia" w:ascii="仿宋" w:hAnsi="仿宋" w:eastAsia="仿宋" w:cs="仿宋"/>
                <w:b/>
                <w:color w:val="auto"/>
                <w:kern w:val="0"/>
                <w:sz w:val="22"/>
                <w:szCs w:val="22"/>
                <w:highlight w:val="none"/>
              </w:rPr>
              <w:t>序号</w:t>
            </w:r>
          </w:p>
        </w:tc>
        <w:tc>
          <w:tcPr>
            <w:tcW w:w="1577" w:type="pct"/>
            <w:noWrap w:val="0"/>
            <w:tcMar>
              <w:top w:w="0" w:type="dxa"/>
              <w:left w:w="108" w:type="dxa"/>
              <w:bottom w:w="0" w:type="dxa"/>
              <w:right w:w="108" w:type="dxa"/>
            </w:tcMar>
            <w:vAlign w:val="center"/>
          </w:tcPr>
          <w:p>
            <w:pPr>
              <w:widowControl/>
              <w:spacing w:before="60" w:after="60"/>
              <w:ind w:left="60" w:right="60"/>
              <w:jc w:val="center"/>
              <w:rPr>
                <w:rFonts w:hint="default" w:ascii="仿宋" w:hAnsi="仿宋" w:eastAsia="仿宋" w:cs="仿宋"/>
                <w:b/>
                <w:color w:val="auto"/>
                <w:kern w:val="0"/>
                <w:sz w:val="22"/>
                <w:szCs w:val="22"/>
                <w:highlight w:val="none"/>
                <w:lang w:val="en-US" w:eastAsia="zh-CN"/>
              </w:rPr>
            </w:pPr>
            <w:r>
              <w:rPr>
                <w:rFonts w:hint="eastAsia" w:ascii="仿宋" w:hAnsi="仿宋" w:eastAsia="仿宋" w:cs="仿宋"/>
                <w:b/>
                <w:color w:val="auto"/>
                <w:kern w:val="0"/>
                <w:sz w:val="22"/>
                <w:szCs w:val="22"/>
                <w:highlight w:val="none"/>
                <w:lang w:val="en-US" w:eastAsia="zh-CN"/>
              </w:rPr>
              <w:t>项目名称</w:t>
            </w:r>
          </w:p>
        </w:tc>
        <w:tc>
          <w:tcPr>
            <w:tcW w:w="974" w:type="pct"/>
            <w:noWrap w:val="0"/>
            <w:tcMar>
              <w:top w:w="0" w:type="dxa"/>
              <w:left w:w="108" w:type="dxa"/>
              <w:bottom w:w="0" w:type="dxa"/>
              <w:right w:w="108" w:type="dxa"/>
            </w:tcMar>
            <w:vAlign w:val="center"/>
          </w:tcPr>
          <w:p>
            <w:pPr>
              <w:widowControl/>
              <w:spacing w:before="60" w:after="60"/>
              <w:ind w:left="60" w:right="60"/>
              <w:jc w:val="center"/>
              <w:rPr>
                <w:rFonts w:hint="default" w:ascii="仿宋" w:hAnsi="仿宋" w:eastAsia="仿宋" w:cs="仿宋"/>
                <w:b/>
                <w:color w:val="auto"/>
                <w:kern w:val="0"/>
                <w:sz w:val="22"/>
                <w:szCs w:val="22"/>
                <w:highlight w:val="none"/>
                <w:lang w:val="en-US" w:eastAsia="zh-CN"/>
              </w:rPr>
            </w:pPr>
            <w:r>
              <w:rPr>
                <w:rFonts w:hint="eastAsia" w:ascii="仿宋" w:hAnsi="仿宋" w:eastAsia="仿宋" w:cs="仿宋"/>
                <w:b/>
                <w:color w:val="auto"/>
                <w:kern w:val="0"/>
                <w:sz w:val="22"/>
                <w:szCs w:val="22"/>
                <w:highlight w:val="none"/>
                <w:lang w:val="en-US" w:eastAsia="zh-CN"/>
              </w:rPr>
              <w:t>标项名称</w:t>
            </w:r>
          </w:p>
        </w:tc>
        <w:tc>
          <w:tcPr>
            <w:tcW w:w="2175" w:type="pct"/>
            <w:noWrap w:val="0"/>
            <w:tcMar>
              <w:top w:w="0" w:type="dxa"/>
              <w:left w:w="108" w:type="dxa"/>
              <w:bottom w:w="0" w:type="dxa"/>
              <w:right w:w="108" w:type="dxa"/>
            </w:tcMar>
            <w:vAlign w:val="center"/>
          </w:tcPr>
          <w:p>
            <w:pPr>
              <w:widowControl/>
              <w:spacing w:before="60" w:after="60"/>
              <w:ind w:left="60" w:right="60"/>
              <w:jc w:val="center"/>
              <w:rPr>
                <w:rFonts w:hint="eastAsia" w:ascii="仿宋" w:hAnsi="仿宋" w:eastAsia="仿宋" w:cs="仿宋"/>
                <w:b/>
                <w:color w:val="auto"/>
                <w:kern w:val="0"/>
                <w:sz w:val="22"/>
                <w:szCs w:val="22"/>
                <w:highlight w:val="none"/>
              </w:rPr>
            </w:pPr>
            <w:r>
              <w:rPr>
                <w:rFonts w:hint="eastAsia" w:ascii="仿宋" w:hAnsi="仿宋" w:eastAsia="仿宋" w:cs="仿宋"/>
                <w:b/>
                <w:color w:val="auto"/>
                <w:kern w:val="0"/>
                <w:sz w:val="22"/>
                <w:szCs w:val="22"/>
                <w:highlight w:val="none"/>
              </w:rPr>
              <w:t>投标总价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24" w:hRule="atLeast"/>
        </w:trPr>
        <w:tc>
          <w:tcPr>
            <w:tcW w:w="273" w:type="pct"/>
            <w:noWrap w:val="0"/>
            <w:tcMar>
              <w:top w:w="0" w:type="dxa"/>
              <w:left w:w="108" w:type="dxa"/>
              <w:bottom w:w="0" w:type="dxa"/>
              <w:right w:w="108" w:type="dxa"/>
            </w:tcMar>
            <w:vAlign w:val="center"/>
          </w:tcPr>
          <w:p>
            <w:pPr>
              <w:widowControl/>
              <w:spacing w:before="60" w:after="6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577" w:type="pct"/>
            <w:noWrap w:val="0"/>
            <w:tcMar>
              <w:top w:w="0" w:type="dxa"/>
              <w:left w:w="108" w:type="dxa"/>
              <w:bottom w:w="0" w:type="dxa"/>
              <w:right w:w="108" w:type="dxa"/>
            </w:tcMar>
            <w:vAlign w:val="center"/>
          </w:tcPr>
          <w:p>
            <w:pPr>
              <w:widowControl/>
              <w:spacing w:before="60" w:after="60"/>
              <w:jc w:val="center"/>
              <w:rPr>
                <w:rFonts w:hint="eastAsia" w:ascii="仿宋" w:hAnsi="仿宋" w:eastAsia="仿宋" w:cs="仿宋"/>
                <w:bCs/>
                <w:color w:val="auto"/>
                <w:kern w:val="0"/>
                <w:sz w:val="22"/>
                <w:szCs w:val="22"/>
                <w:highlight w:val="none"/>
              </w:rPr>
            </w:pPr>
            <w:r>
              <w:rPr>
                <w:rFonts w:hint="eastAsia" w:ascii="仿宋" w:hAnsi="仿宋" w:eastAsia="仿宋" w:cs="仿宋"/>
                <w:color w:val="auto"/>
                <w:sz w:val="22"/>
                <w:szCs w:val="22"/>
                <w:highlight w:val="none"/>
              </w:rPr>
              <w:t xml:space="preserve"> </w:t>
            </w:r>
          </w:p>
        </w:tc>
        <w:tc>
          <w:tcPr>
            <w:tcW w:w="974" w:type="pct"/>
            <w:noWrap w:val="0"/>
            <w:tcMar>
              <w:top w:w="0" w:type="dxa"/>
              <w:left w:w="108" w:type="dxa"/>
              <w:bottom w:w="0" w:type="dxa"/>
              <w:right w:w="108" w:type="dxa"/>
            </w:tcMar>
            <w:vAlign w:val="center"/>
          </w:tcPr>
          <w:p>
            <w:pPr>
              <w:widowControl/>
              <w:spacing w:before="60" w:after="60"/>
              <w:rPr>
                <w:rFonts w:hint="eastAsia" w:ascii="仿宋" w:hAnsi="仿宋" w:eastAsia="仿宋" w:cs="仿宋"/>
                <w:b/>
                <w:bCs/>
                <w:color w:val="auto"/>
                <w:kern w:val="0"/>
                <w:sz w:val="22"/>
                <w:szCs w:val="22"/>
                <w:highlight w:val="none"/>
              </w:rPr>
            </w:pPr>
          </w:p>
        </w:tc>
        <w:tc>
          <w:tcPr>
            <w:tcW w:w="2175" w:type="pct"/>
            <w:noWrap w:val="0"/>
            <w:tcMar>
              <w:top w:w="0" w:type="dxa"/>
              <w:left w:w="108" w:type="dxa"/>
              <w:bottom w:w="0" w:type="dxa"/>
              <w:right w:w="108" w:type="dxa"/>
            </w:tcMar>
            <w:vAlign w:val="center"/>
          </w:tcPr>
          <w:p>
            <w:pPr>
              <w:autoSpaceDE w:val="0"/>
              <w:autoSpaceDN w:val="0"/>
              <w:spacing w:line="380" w:lineRule="atLeast"/>
              <w:ind w:right="349"/>
              <w:jc w:val="left"/>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（大写）：</w:t>
            </w:r>
          </w:p>
          <w:p>
            <w:pPr>
              <w:autoSpaceDE w:val="0"/>
              <w:autoSpaceDN w:val="0"/>
              <w:spacing w:line="380" w:lineRule="atLeast"/>
              <w:ind w:right="349" w:firstLine="331"/>
              <w:jc w:val="left"/>
              <w:rPr>
                <w:rFonts w:hint="eastAsia" w:ascii="仿宋" w:hAnsi="仿宋" w:eastAsia="仿宋" w:cs="仿宋"/>
                <w:b/>
                <w:bCs/>
                <w:color w:val="auto"/>
                <w:kern w:val="0"/>
                <w:sz w:val="22"/>
                <w:szCs w:val="22"/>
                <w:highlight w:val="none"/>
              </w:rPr>
            </w:pPr>
          </w:p>
          <w:p>
            <w:pPr>
              <w:widowControl/>
              <w:spacing w:before="60" w:after="60"/>
              <w:rPr>
                <w:rFonts w:hint="eastAsia" w:ascii="仿宋" w:hAnsi="仿宋" w:eastAsia="仿宋" w:cs="仿宋"/>
                <w:bCs/>
                <w:color w:val="auto"/>
                <w:kern w:val="0"/>
                <w:sz w:val="22"/>
                <w:szCs w:val="22"/>
                <w:highlight w:val="none"/>
              </w:rPr>
            </w:pPr>
            <w:r>
              <w:rPr>
                <w:rFonts w:hint="eastAsia" w:ascii="仿宋" w:hAnsi="仿宋" w:eastAsia="仿宋" w:cs="仿宋"/>
                <w:b/>
                <w:bCs/>
                <w:color w:val="auto"/>
                <w:kern w:val="0"/>
                <w:sz w:val="22"/>
                <w:szCs w:val="22"/>
                <w:highlight w:val="none"/>
              </w:rPr>
              <w:t>（小写）：¥</w:t>
            </w:r>
          </w:p>
        </w:tc>
      </w:tr>
    </w:tbl>
    <w:p>
      <w:pPr>
        <w:overflowPunct w:val="0"/>
        <w:spacing w:line="380" w:lineRule="exact"/>
        <w:rPr>
          <w:rFonts w:hint="eastAsia" w:ascii="仿宋" w:hAnsi="仿宋" w:eastAsia="仿宋" w:cs="仿宋"/>
          <w:bCs/>
          <w:color w:val="auto"/>
          <w:sz w:val="22"/>
          <w:szCs w:val="22"/>
          <w:highlight w:val="none"/>
        </w:rPr>
      </w:pPr>
    </w:p>
    <w:p>
      <w:pPr>
        <w:overflowPunct w:val="0"/>
        <w:spacing w:line="460" w:lineRule="exact"/>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说明：</w:t>
      </w:r>
    </w:p>
    <w:p>
      <w:pPr>
        <w:spacing w:line="380" w:lineRule="exact"/>
        <w:ind w:left="12" w:hanging="12" w:hangingChars="5"/>
        <w:rPr>
          <w:rFonts w:hint="eastAsia" w:ascii="仿宋" w:hAnsi="仿宋" w:eastAsia="仿宋" w:cs="仿宋"/>
          <w:b/>
          <w:color w:val="auto"/>
          <w:sz w:val="22"/>
          <w:highlight w:val="none"/>
          <w:u w:val="thick"/>
        </w:rPr>
      </w:pPr>
      <w:r>
        <w:rPr>
          <w:rFonts w:hint="eastAsia" w:ascii="仿宋" w:hAnsi="仿宋" w:eastAsia="仿宋" w:cs="仿宋"/>
          <w:color w:val="auto"/>
          <w:sz w:val="24"/>
          <w:szCs w:val="20"/>
          <w:highlight w:val="none"/>
          <w:u w:val="thick"/>
        </w:rPr>
        <w:t>▲</w:t>
      </w:r>
      <w:r>
        <w:rPr>
          <w:rFonts w:hint="eastAsia" w:ascii="仿宋" w:hAnsi="仿宋" w:eastAsia="仿宋" w:cs="仿宋"/>
          <w:b/>
          <w:color w:val="auto"/>
          <w:sz w:val="22"/>
          <w:highlight w:val="none"/>
          <w:u w:val="thick"/>
        </w:rPr>
        <w:t>此栏内投标总价应与“分项报价表”中投标报价相一致。</w:t>
      </w:r>
    </w:p>
    <w:p>
      <w:pPr>
        <w:autoSpaceDE w:val="0"/>
        <w:autoSpaceDN w:val="0"/>
        <w:spacing w:line="360" w:lineRule="auto"/>
        <w:ind w:right="1120"/>
        <w:jc w:val="left"/>
        <w:rPr>
          <w:rFonts w:hint="eastAsia" w:ascii="仿宋" w:hAnsi="仿宋" w:eastAsia="仿宋" w:cs="仿宋"/>
          <w:color w:val="auto"/>
          <w:kern w:val="0"/>
          <w:sz w:val="24"/>
          <w:highlight w:val="none"/>
          <w:lang w:val="zh-CN"/>
        </w:rPr>
      </w:pPr>
    </w:p>
    <w:p>
      <w:pPr>
        <w:autoSpaceDE w:val="0"/>
        <w:autoSpaceDN w:val="0"/>
        <w:spacing w:line="360" w:lineRule="auto"/>
        <w:ind w:right="112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32"/>
          <w:szCs w:val="32"/>
          <w:highlight w:val="none"/>
        </w:rPr>
        <w:br w:type="page"/>
      </w:r>
      <w:r>
        <w:rPr>
          <w:rFonts w:hint="eastAsia" w:ascii="仿宋" w:hAnsi="仿宋" w:eastAsia="仿宋" w:cs="仿宋"/>
          <w:color w:val="auto"/>
          <w:sz w:val="24"/>
          <w:highlight w:val="none"/>
          <w:lang w:eastAsia="zh-CN"/>
        </w:rPr>
        <w:t>温州市公安局</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温州市华明招标代理有限公司</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eastAsia="zh-CN"/>
        </w:rPr>
      </w:pPr>
      <w:r>
        <w:rPr>
          <w:rFonts w:hint="eastAsia" w:ascii="仿宋" w:hAnsi="仿宋" w:eastAsia="仿宋" w:cs="仿宋"/>
          <w:color w:val="auto"/>
          <w:sz w:val="32"/>
          <w:szCs w:val="32"/>
          <w:highlight w:val="none"/>
        </w:rPr>
        <w:t xml:space="preserve">分项报价表 </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标项</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lang w:eastAsia="zh-CN"/>
        </w:rPr>
        <w:t>）</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417"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843" w:type="dxa"/>
            <w:noWrap w:val="0"/>
            <w:vAlign w:val="top"/>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3118"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规格型号（或具体服务）</w:t>
            </w:r>
          </w:p>
        </w:tc>
        <w:tc>
          <w:tcPr>
            <w:tcW w:w="993"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3119" w:type="dxa"/>
            <w:noWrap w:val="0"/>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417"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1843"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311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993"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1559" w:type="dxa"/>
            <w:noWrap w:val="0"/>
            <w:vAlign w:val="center"/>
          </w:tcPr>
          <w:p>
            <w:pPr>
              <w:spacing w:line="360" w:lineRule="auto"/>
              <w:jc w:val="center"/>
              <w:rPr>
                <w:rFonts w:hint="eastAsia" w:ascii="仿宋" w:hAnsi="仿宋" w:eastAsia="仿宋" w:cs="仿宋"/>
                <w:color w:val="auto"/>
                <w:sz w:val="24"/>
                <w:highlight w:val="none"/>
              </w:rPr>
            </w:pPr>
          </w:p>
        </w:tc>
        <w:tc>
          <w:tcPr>
            <w:tcW w:w="1984" w:type="dxa"/>
            <w:noWrap w:val="0"/>
            <w:vAlign w:val="center"/>
          </w:tcPr>
          <w:p>
            <w:pPr>
              <w:spacing w:line="360" w:lineRule="auto"/>
              <w:jc w:val="center"/>
              <w:rPr>
                <w:rFonts w:hint="eastAsia" w:ascii="仿宋" w:hAnsi="仿宋" w:eastAsia="仿宋" w:cs="仿宋"/>
                <w:color w:val="auto"/>
                <w:sz w:val="24"/>
                <w:highlight w:val="none"/>
              </w:rPr>
            </w:pPr>
          </w:p>
        </w:tc>
        <w:tc>
          <w:tcPr>
            <w:tcW w:w="3119" w:type="dxa"/>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417"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1843"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311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993"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1559" w:type="dxa"/>
            <w:noWrap w:val="0"/>
            <w:vAlign w:val="center"/>
          </w:tcPr>
          <w:p>
            <w:pPr>
              <w:spacing w:line="360" w:lineRule="auto"/>
              <w:jc w:val="center"/>
              <w:rPr>
                <w:rFonts w:hint="eastAsia" w:ascii="仿宋" w:hAnsi="仿宋" w:eastAsia="仿宋" w:cs="仿宋"/>
                <w:color w:val="auto"/>
                <w:sz w:val="24"/>
                <w:highlight w:val="none"/>
              </w:rPr>
            </w:pPr>
          </w:p>
        </w:tc>
        <w:tc>
          <w:tcPr>
            <w:tcW w:w="1984" w:type="dxa"/>
            <w:noWrap w:val="0"/>
            <w:vAlign w:val="center"/>
          </w:tcPr>
          <w:p>
            <w:pPr>
              <w:spacing w:line="360" w:lineRule="auto"/>
              <w:jc w:val="center"/>
              <w:rPr>
                <w:rFonts w:hint="eastAsia" w:ascii="仿宋" w:hAnsi="仿宋" w:eastAsia="仿宋" w:cs="仿宋"/>
                <w:color w:val="auto"/>
                <w:sz w:val="24"/>
                <w:highlight w:val="none"/>
              </w:rPr>
            </w:pPr>
          </w:p>
        </w:tc>
        <w:tc>
          <w:tcPr>
            <w:tcW w:w="3119" w:type="dxa"/>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417"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1843"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311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993"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1559" w:type="dxa"/>
            <w:noWrap w:val="0"/>
            <w:vAlign w:val="center"/>
          </w:tcPr>
          <w:p>
            <w:pPr>
              <w:spacing w:line="360" w:lineRule="auto"/>
              <w:jc w:val="center"/>
              <w:rPr>
                <w:rFonts w:hint="eastAsia" w:ascii="仿宋" w:hAnsi="仿宋" w:eastAsia="仿宋" w:cs="仿宋"/>
                <w:color w:val="auto"/>
                <w:sz w:val="24"/>
                <w:highlight w:val="none"/>
              </w:rPr>
            </w:pPr>
          </w:p>
        </w:tc>
        <w:tc>
          <w:tcPr>
            <w:tcW w:w="1984" w:type="dxa"/>
            <w:noWrap w:val="0"/>
            <w:vAlign w:val="center"/>
          </w:tcPr>
          <w:p>
            <w:pPr>
              <w:spacing w:line="360" w:lineRule="auto"/>
              <w:jc w:val="center"/>
              <w:rPr>
                <w:rFonts w:hint="eastAsia" w:ascii="仿宋" w:hAnsi="仿宋" w:eastAsia="仿宋" w:cs="仿宋"/>
                <w:color w:val="auto"/>
                <w:sz w:val="24"/>
                <w:highlight w:val="none"/>
              </w:rPr>
            </w:pPr>
          </w:p>
        </w:tc>
        <w:tc>
          <w:tcPr>
            <w:tcW w:w="3119" w:type="dxa"/>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 w:hAnsi="仿宋" w:eastAsia="仿宋" w:cs="仿宋"/>
                <w:color w:val="auto"/>
                <w:sz w:val="24"/>
                <w:highlight w:val="none"/>
              </w:rPr>
            </w:pPr>
          </w:p>
        </w:tc>
        <w:tc>
          <w:tcPr>
            <w:tcW w:w="1417"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1843"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3118"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993" w:type="dxa"/>
            <w:noWrap w:val="0"/>
            <w:vAlign w:val="center"/>
          </w:tcPr>
          <w:p>
            <w:pPr>
              <w:snapToGrid w:val="0"/>
              <w:spacing w:line="360" w:lineRule="auto"/>
              <w:jc w:val="center"/>
              <w:rPr>
                <w:rFonts w:hint="eastAsia" w:ascii="仿宋" w:hAnsi="仿宋" w:eastAsia="仿宋" w:cs="仿宋"/>
                <w:color w:val="auto"/>
                <w:sz w:val="24"/>
                <w:highlight w:val="none"/>
              </w:rPr>
            </w:pPr>
          </w:p>
        </w:tc>
        <w:tc>
          <w:tcPr>
            <w:tcW w:w="1559" w:type="dxa"/>
            <w:noWrap w:val="0"/>
            <w:vAlign w:val="center"/>
          </w:tcPr>
          <w:p>
            <w:pPr>
              <w:spacing w:line="360" w:lineRule="auto"/>
              <w:jc w:val="center"/>
              <w:rPr>
                <w:rFonts w:hint="eastAsia" w:ascii="仿宋" w:hAnsi="仿宋" w:eastAsia="仿宋" w:cs="仿宋"/>
                <w:color w:val="auto"/>
                <w:sz w:val="24"/>
                <w:highlight w:val="none"/>
              </w:rPr>
            </w:pPr>
          </w:p>
        </w:tc>
        <w:tc>
          <w:tcPr>
            <w:tcW w:w="1984" w:type="dxa"/>
            <w:noWrap w:val="0"/>
            <w:vAlign w:val="center"/>
          </w:tcPr>
          <w:p>
            <w:pPr>
              <w:spacing w:line="360" w:lineRule="auto"/>
              <w:jc w:val="center"/>
              <w:rPr>
                <w:rFonts w:hint="eastAsia" w:ascii="仿宋" w:hAnsi="仿宋" w:eastAsia="仿宋" w:cs="仿宋"/>
                <w:color w:val="auto"/>
                <w:sz w:val="24"/>
                <w:highlight w:val="none"/>
              </w:rPr>
            </w:pPr>
          </w:p>
        </w:tc>
        <w:tc>
          <w:tcPr>
            <w:tcW w:w="3119" w:type="dxa"/>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noWrap w:val="0"/>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noWrap w:val="0"/>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noWrap w:val="0"/>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sz w:val="24"/>
          <w:szCs w:val="20"/>
          <w:highlight w:val="none"/>
          <w:u w:val="thick"/>
        </w:rPr>
        <w:t>▲</w:t>
      </w:r>
      <w:r>
        <w:rPr>
          <w:rFonts w:hint="eastAsia" w:ascii="仿宋" w:hAnsi="仿宋" w:eastAsia="仿宋" w:cs="仿宋"/>
          <w:color w:val="auto"/>
          <w:kern w:val="0"/>
          <w:sz w:val="24"/>
          <w:highlight w:val="none"/>
          <w:u w:val="thick"/>
          <w:lang w:val="zh-CN"/>
        </w:rPr>
        <w:t>1、不提供此表的报价，视为没有实质性响应采购文件要求。</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outlineLvl w:val="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6、本表可在不改变格式的情况下根据具体需要自行增减。</w:t>
      </w:r>
    </w:p>
    <w:p>
      <w:pPr>
        <w:autoSpaceDE w:val="0"/>
        <w:autoSpaceDN w:val="0"/>
        <w:spacing w:line="360" w:lineRule="auto"/>
        <w:ind w:right="1120"/>
        <w:jc w:val="left"/>
        <w:rPr>
          <w:rFonts w:hint="eastAsia" w:ascii="仿宋" w:hAnsi="仿宋" w:eastAsia="仿宋" w:cs="仿宋"/>
          <w:color w:val="auto"/>
          <w:kern w:val="0"/>
          <w:sz w:val="24"/>
          <w:highlight w:val="none"/>
          <w:lang w:val="zh-CN"/>
        </w:rPr>
      </w:pPr>
    </w:p>
    <w:p>
      <w:pPr>
        <w:autoSpaceDE w:val="0"/>
        <w:autoSpaceDN w:val="0"/>
        <w:spacing w:line="360" w:lineRule="auto"/>
        <w:ind w:right="112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pStyle w:val="74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74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743"/>
        <w:keepNext w:val="0"/>
        <w:pageBreakBefore w:val="0"/>
        <w:tabs>
          <w:tab w:val="clear" w:pos="720"/>
        </w:tabs>
        <w:snapToGrid w:val="0"/>
        <w:spacing w:before="120" w:after="120"/>
        <w:ind w:firstLine="643"/>
        <w:outlineLvl w:val="2"/>
        <w:rPr>
          <w:rFonts w:hint="eastAsia" w:ascii="仿宋" w:hAnsi="仿宋" w:eastAsia="仿宋" w:cs="仿宋"/>
          <w:color w:val="auto"/>
          <w:sz w:val="32"/>
          <w:szCs w:val="32"/>
          <w:highlight w:val="none"/>
        </w:rPr>
      </w:pPr>
      <w:bookmarkStart w:id="471" w:name="_Toc9978"/>
      <w:bookmarkStart w:id="472" w:name="_Toc11456"/>
      <w:bookmarkStart w:id="473" w:name="_Toc28168"/>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bookmarkEnd w:id="471"/>
      <w:bookmarkEnd w:id="472"/>
      <w:r>
        <w:rPr>
          <w:rFonts w:hint="eastAsia" w:ascii="仿宋" w:hAnsi="仿宋" w:eastAsia="仿宋" w:cs="仿宋"/>
          <w:color w:val="auto"/>
          <w:sz w:val="32"/>
          <w:szCs w:val="32"/>
          <w:highlight w:val="none"/>
        </w:rPr>
        <w:t>（残疾人福利性单位声明函、监狱企业提供的相关证明材料）</w:t>
      </w:r>
      <w:bookmarkEnd w:id="473"/>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743"/>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rPr>
          <w:rFonts w:hint="eastAsia" w:ascii="仿宋" w:hAnsi="仿宋" w:eastAsia="仿宋" w:cs="仿宋"/>
          <w:b/>
          <w:color w:val="auto"/>
          <w:kern w:val="0"/>
          <w:sz w:val="36"/>
          <w:szCs w:val="36"/>
          <w:highlight w:val="none"/>
        </w:rPr>
      </w:pPr>
    </w:p>
    <w:p>
      <w:pPr>
        <w:pStyle w:val="4"/>
        <w:keepNext w:val="0"/>
        <w:keepLines w:val="0"/>
        <w:pageBreakBefore/>
        <w:widowControl/>
        <w:spacing w:before="100" w:beforeAutospacing="1" w:after="100" w:afterAutospacing="1" w:line="360" w:lineRule="auto"/>
        <w:ind w:left="1290" w:firstLine="3092" w:firstLineChars="700"/>
        <w:outlineLvl w:val="3"/>
        <w:rPr>
          <w:rFonts w:hint="eastAsia" w:ascii="仿宋" w:hAnsi="仿宋" w:eastAsia="仿宋" w:cs="仿宋"/>
          <w:color w:val="auto"/>
          <w:highlight w:val="none"/>
        </w:rPr>
      </w:pPr>
      <w:bookmarkStart w:id="474" w:name="_Toc465665161"/>
      <w:bookmarkStart w:id="475" w:name="_Toc10456"/>
      <w:bookmarkStart w:id="476" w:name="_Toc24602"/>
      <w:bookmarkStart w:id="477" w:name="_Toc22695"/>
      <w:r>
        <w:rPr>
          <w:rFonts w:hint="eastAsia" w:ascii="仿宋" w:hAnsi="仿宋" w:eastAsia="仿宋" w:cs="仿宋"/>
          <w:color w:val="auto"/>
          <w:highlight w:val="none"/>
        </w:rPr>
        <w:t>附件</w:t>
      </w:r>
      <w:bookmarkEnd w:id="474"/>
      <w:bookmarkEnd w:id="475"/>
      <w:bookmarkEnd w:id="476"/>
      <w:bookmarkEnd w:id="477"/>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78" w:name="OLE_LINK14"/>
      <w:bookmarkStart w:id="479" w:name="OLE_LINK13"/>
      <w:r>
        <w:rPr>
          <w:rFonts w:hint="eastAsia" w:ascii="仿宋" w:hAnsi="仿宋" w:eastAsia="仿宋" w:cs="仿宋"/>
          <w:b/>
          <w:color w:val="auto"/>
          <w:spacing w:val="6"/>
          <w:sz w:val="32"/>
          <w:szCs w:val="32"/>
          <w:highlight w:val="none"/>
        </w:rPr>
        <w:t>残疾人福利性单位声明函</w:t>
      </w:r>
    </w:p>
    <w:bookmarkEnd w:id="478"/>
    <w:bookmarkEnd w:id="479"/>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outlineLvl w:val="2"/>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outlineLvl w:val="2"/>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outlineLvl w:val="2"/>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outlineLvl w:val="2"/>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pStyle w:val="2"/>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7.以书面形式提交的，应按招标文件规定送达指定地点；以</w:t>
      </w:r>
      <w:r>
        <w:rPr>
          <w:rFonts w:hint="eastAsia" w:ascii="仿宋" w:hAnsi="仿宋" w:eastAsia="仿宋" w:cs="仿宋"/>
          <w:color w:val="auto"/>
          <w:highlight w:val="none"/>
          <w:lang w:eastAsia="zh-CN"/>
        </w:rPr>
        <w:t>政采云平台（https://www.zcygov.cn/）通过“询问质疑投诉”栏提交的，应正确填写质疑供应商基本信息、被质疑人信息、质疑事项具体内容、质疑请求，并上传书面质疑函扫描件。</w:t>
      </w:r>
    </w:p>
    <w:p>
      <w:pPr>
        <w:spacing w:line="360" w:lineRule="auto"/>
        <w:jc w:val="left"/>
        <w:rPr>
          <w:rFonts w:hint="eastAsia" w:ascii="仿宋" w:hAnsi="仿宋" w:eastAsia="仿宋" w:cs="仿宋"/>
          <w:b/>
          <w:color w:val="auto"/>
          <w:spacing w:val="6"/>
          <w:sz w:val="32"/>
          <w:szCs w:val="32"/>
          <w:highlight w:val="none"/>
        </w:rPr>
      </w:pPr>
    </w:p>
    <w:p>
      <w:pPr>
        <w:spacing w:line="360" w:lineRule="auto"/>
        <w:jc w:val="center"/>
        <w:outlineLvl w:val="2"/>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pStyle w:val="8"/>
        <w:ind w:left="0" w:firstLine="0"/>
        <w:outlineLvl w:val="9"/>
        <w:rPr>
          <w:rFonts w:hint="eastAsia"/>
          <w:color w:val="auto"/>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outlineLvl w:val="3"/>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outlineLvl w:val="9"/>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br w:type="page"/>
      </w: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outlineLvl w:val="1"/>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u w:val="single"/>
          <w:lang w:eastAsia="zh-CN"/>
        </w:rPr>
        <w:t>温州市公安局</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温州市华明招标代理有限公司</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lang w:eastAsia="zh-CN"/>
        </w:rPr>
        <w:t>温州市本级2023年度公共视频监控一体化运维项目</w:t>
      </w:r>
      <w:r>
        <w:rPr>
          <w:rFonts w:hint="eastAsia" w:ascii="仿宋" w:hAnsi="仿宋" w:eastAsia="仿宋" w:cs="仿宋"/>
          <w:color w:val="auto"/>
          <w:sz w:val="24"/>
          <w:highlight w:val="none"/>
        </w:rPr>
        <w:t>项目【招标编号：</w:t>
      </w:r>
      <w:r>
        <w:rPr>
          <w:rFonts w:hint="eastAsia" w:ascii="仿宋" w:hAnsi="仿宋" w:eastAsia="仿宋" w:cs="仿宋"/>
          <w:color w:val="auto"/>
          <w:sz w:val="24"/>
          <w:highlight w:val="none"/>
          <w:lang w:eastAsia="zh-CN"/>
        </w:rPr>
        <w:t>HMZB20231071</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 AQAADwAAAGRycy9kb3ducmV2LnhtbE2PMU/DMBSEdyT+g/WQ2KidFhoa4nQAFYmxTRe2l/iRBOLn KHbawK/HTGU83enuu3w7216caPSdYw3JQoEgrp3puNFwLHd3jyB8QDbYOyYN3+RhW1xf5ZgZd+Y9 nQ6hEbGEfYYa2hCGTEpft2TRL9xAHL0PN1oMUY6NNCOeY7nt5VKptbTYcVxocaDnluqvw2Q1VN3y iD/78lXZzW4V3ubyc3p/0fr2JlFPIALN4RKGP/yIDkVkqtzExotew32aRvSg4WGdgIiBjVqlIKro JIkCWeTy/4XiF1BLAwQUAAAACACHTuJA2jgFaPsBAAAxBAAADgAAAGRycy9lMm9Eb2MueG1srVNN k9MwDL0zw3/w+E6Thm0XMk33QCkXBnZY+AGq4ySe8ReW27T/Htnpdj/g0AM5OJItP+k9yau7o9Hs IAMqZxs+n5WcSStcq2zf8F8/t+8+cIYRbAvaWdnwk0R+t377ZjX6WlZucLqVgRGIxXr0DR9i9HVR oBikAZw5Ly0ddi4YiOSGvmgDjIRudFGV5bIYXWh9cEIi0u5mOuRnxHANoOs6JeTGib2RNk6oQWqI RAkH5ZGvc7VdJ0X83nUoI9MNJ6Yxr5SE7F1ai/UK6j6AH5Q4lwDXlPCKkwFlKekFagMR2D6ov6CM EsGh6+JMOFNMRLIixGJevtLmYQAvMxeSGv1FdPx/sOLb4T4w1dIkcGbBUMN/kGhgey3Z/DbpM3qs KezB34ezh2QmsscumPQnGuyYNT1dNJXHyARtVrflzc1ywZmgs6pavF/OFwm1eLruA8Yv0hmWjIYH yp+1hMNXjFPoY0jKhk6rdqu0zk7od590YAegBm/zd0Z/EaYtGxv+cVGlQoCmtqNpIdN4Yo62z/le 3MDnwGX+/gWcCtsADlMBGSGFQW1UlCFbg4T2s21ZPHlS19Kj4qkYI1vOtKQ3mKwcGUHpayJJO21J wtSZqRfJ2rn2RL0caZiJ0+89BEq090H1A6k6z9WnOJqkLP956tOoPvcz7tNLX/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AAAAAGRycy9Q SwECFAAUAAAACACHTuJAcc/4wdgAAAAKAQAADwAAAAAAAAABACAAAAAiAAAAZHJzL2Rvd25yZXYu eG1sUEsBAhQAFAAAAAgAh07iQNo4BWj7AQAAMQQAAA4AAAAAAAAAAQAgAAAAJwEAAGRycy9lMm9E b2MueG1sUEsFBgAAAAAGAAYAWQEAAJQFAAAAAA== ">
                <v:fill on="t" focussize="0,0"/>
                <v:stroke color="#000000"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 AQAADwAAAGRycy9kb3ducmV2LnhtbE2PwU6DQBCG7ya+w2ZMvLW7ICVKWXrQ1MRjSy/eBtgCys4S dmnRp3c86e2fzJd/vsl3ix3ExUy+d6QhWisQhmrX9NRqOJX71SMIH5AaHBwZDV/Gw664vckxa9yV DuZyDK3gEvIZauhCGDMpfd0Zi37tRkO8O7vJYuBxamUz4ZXL7SBjpVJpsSe+0OFonjtTfx5nq6Hq 4xN+H8pXZZ/2D+FtKT/m9xet7+8itQURzBL+YPjVZ3Uo2KlyMzVeDBpWUZIwqiFVKQgGEhVzqDhE mw3IIpf/Xyh+AFBLAwQUAAAACACHTuJACKXFwfsBAAAxBAAADgAAAGRycy9lMm9Eb2MueG1srVNN k9MwDL0zw3/w+M6mDbSwmaZ7oJQLAzss/ADVdhLP+AvZbdp/j+yU7gcceiAHR7LlJ70neXV3tIYd FEbtXcvnNzPOlBNeate3/OeP7ZsPnMUEToLxTrX8pCK/W79+tRpDo2o/eCMVMgJxsRlDy4eUQlNV UQzKQrzxQTk67DxaSORiX0mEkdCtqerZbFmNHmVAL1SMtLuZDvkZEa8B9F2nhdp4sbfKpQkVlYFE lOKgQ+TrUm3XKZG+dV1UiZmWE9NUVkpC9i6v1XoFTY8QBi3OJcA1JbzgZEE7SnqB2kACtkf9F5TV An30XboR3lYTkaIIsZjPXmjzMEBQhQtJHcNF9Pj/YMXXwz0yLVtec+bAUsO/k2jgeqPYfJn1GUNs KOwh3OPZi2RmsscObf4TDXYsmp4umqpjYoI26+W797cLklvQWV0v3i7ni4xaPV4PGNNn5S3LRsuR 8hct4fAlpin0T0jOFr3RcquNKQ72u48G2QGowdvyndGfhRnHxpbfLuoFFQI0tR1NC5k2EPPo+pLv 2Y34FHhWvn8B58I2EIepgIKQw6CxOiks1qBAfnKSpVMgdR09Kp6LsUpyZhS9wWyVyATaXBNJ2hlH EubOTL3I1s7LE/VypGEmTr/2gJRoH1D3A6k6L9XnOJqkIv956vOoPvUL7uNLX/8G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AAAAAGRycy9Q SwECFAAUAAAACACHTuJAndOwWNgAAAAKAQAADwAAAAAAAAABACAAAAAiAAAAZHJzL2Rvd25yZXYu eG1sUEsBAhQAFAAAAAgAh07iQAilxcH7AQAAMQQAAA4AAAAAAAAAAQAgAAAAJwEAAGRycy9lMm9E b2MueG1sUEsFBgAAAAAGAAYAWQEAAJQFAAAAAA== ">
                <v:fill on="t" focussize="0,0"/>
                <v:stroke color="#000000"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br w:type="page"/>
      </w: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outlineLvl w:val="1"/>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（单位名称） 的 </w:t>
      </w:r>
      <w:r>
        <w:rPr>
          <w:rFonts w:hint="eastAsia" w:ascii="仿宋" w:hAnsi="仿宋" w:eastAsia="仿宋" w:cs="仿宋"/>
          <w:color w:val="auto"/>
          <w:sz w:val="24"/>
          <w:highlight w:val="none"/>
          <w:lang w:eastAsia="zh-CN"/>
        </w:rPr>
        <w:t>温州市本级2023年度公共视频监控一体化运维项目</w:t>
      </w:r>
      <w:r>
        <w:rPr>
          <w:rFonts w:hint="eastAsia" w:ascii="仿宋" w:hAnsi="仿宋" w:eastAsia="仿宋" w:cs="仿宋"/>
          <w:color w:val="auto"/>
          <w:sz w:val="24"/>
          <w:highlight w:val="none"/>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outlineLvl w:val="9"/>
        <w:rPr>
          <w:rFonts w:hint="eastAsia" w:asci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sectPr>
      <w:headerReference r:id="rId16" w:type="first"/>
      <w:footerReference r:id="rId19" w:type="first"/>
      <w:headerReference r:id="rId15" w:type="default"/>
      <w:footerReference r:id="rId17" w:type="default"/>
      <w:footerReference r:id="rId18"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auto"/>
    <w:pitch w:val="default"/>
    <w:sig w:usb0="00000287" w:usb1="00000000" w:usb2="00000000" w:usb3="00000000" w:csb0="2000009F" w:csb1="DFD70000"/>
  </w:font>
  <w:font w:name="Lucida Sans">
    <w:panose1 w:val="020B0602030504020204"/>
    <w:charset w:val="00"/>
    <w:family w:val="auto"/>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Futura Bk">
    <w:altName w:val="Segoe Print"/>
    <w:panose1 w:val="00000000000000000000"/>
    <w:charset w:val="00"/>
    <w:family w:val="auto"/>
    <w:pitch w:val="default"/>
    <w:sig w:usb0="00000000" w:usb1="00000000" w:usb2="00000000" w:usb3="00000000" w:csb0="00000011" w:csb1="00000000"/>
  </w:font>
  <w:font w:name="ˎ̥">
    <w:altName w:val="微软雅黑"/>
    <w:panose1 w:val="00000000000000000000"/>
    <w:charset w:val="00"/>
    <w:family w:val="auto"/>
    <w:pitch w:val="default"/>
    <w:sig w:usb0="00000000" w:usb1="00000000" w:usb2="00000000"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FHLHE E+ Futura Bk">
    <w:altName w:val="宋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Futura Hv">
    <w:altName w:val="Lucida Sans Unicode"/>
    <w:panose1 w:val="00000000000000000000"/>
    <w:charset w:val="00"/>
    <w:family w:val="auto"/>
    <w:pitch w:val="default"/>
    <w:sig w:usb0="00000000" w:usb1="00000000" w:usb2="00000000" w:usb3="00000000" w:csb0="000001FB" w:csb1="00000000"/>
  </w:font>
  <w:font w:name="Arial (W1)">
    <w:altName w:val="Arial"/>
    <w:panose1 w:val="00000000000000000000"/>
    <w:charset w:val="00"/>
    <w:family w:val="auto"/>
    <w:pitch w:val="default"/>
    <w:sig w:usb0="00000000" w:usb1="00000000" w:usb2="00000008" w:usb3="00000000" w:csb0="000001FF" w:csb1="00000000"/>
  </w:font>
  <w:font w:name="Arial Narrow">
    <w:panose1 w:val="020B0606020202030204"/>
    <w:charset w:val="00"/>
    <w:family w:val="swiss"/>
    <w:pitch w:val="default"/>
    <w:sig w:usb0="00000287" w:usb1="00000800" w:usb2="00000000" w:usb3="00000000" w:csb0="2000009F" w:csb1="DFD7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Aldine401 BT">
    <w:altName w:val="Segoe Print"/>
    <w:panose1 w:val="00000000000000000000"/>
    <w:charset w:val="00"/>
    <w:family w:val="auto"/>
    <w:pitch w:val="default"/>
    <w:sig w:usb0="00000000" w:usb1="00000000" w:usb2="00000000" w:usb3="00000000" w:csb0="00000011" w:csb1="00000000"/>
  </w:font>
  <w:font w:name="楷体">
    <w:panose1 w:val="02010609060101010101"/>
    <w:charset w:val="86"/>
    <w:family w:val="modern"/>
    <w:pitch w:val="default"/>
    <w:sig w:usb0="800002BF" w:usb1="38CF7CFA" w:usb2="00000016" w:usb3="00000000" w:csb0="00040001" w:csb1="00000000"/>
  </w:font>
  <w:font w:name=".PingFang SC">
    <w:altName w:val="宋体"/>
    <w:panose1 w:val="00000000000000000000"/>
    <w:charset w:val="86"/>
    <w:family w:val="auto"/>
    <w:pitch w:val="default"/>
    <w:sig w:usb0="00000000" w:usb1="00000000" w:usb2="00000000"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创艺简仿宋">
    <w:altName w:val="仿宋"/>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46</w:t>
                          </w:r>
                          <w:r>
                            <w:rPr>
                              <w:sz w:val="24"/>
                              <w:szCs w:val="24"/>
                            </w:rPr>
                            <w:fldChar w:fldCharType="end"/>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qKAz/TAQAApAMAAA4AAABkcnMvZTJvRG9jLnhtbK1TS27bMBDd F8gdCO5rKUbTKoLloIWRoEDRFkh6AJoiLQL8gUNb8gXaG3TVTfc9l8+RISU5RbrJohtqhjN8M+/N aHUzGE0OIoBytqGXi5ISYblrld019NvD7euKEojMtkw7Kxp6FEBv1hevVr2vxdJ1TrciEASxUPe+ oV2Mvi4K4J0wDBbOC4tB6YJhEd2wK9rAekQ3uliW5duid6H1wXEBgLebMUgnxPASQCel4mLj+N4I G0fUIDSLSAk65YGuc7dSCh6/SAkiEt1QZBrziUXQ3qazWK9YvQvMd4pPLbCXtPCMk2HKYtEz1IZF RvZB/QNlFA8OnIwL7kwxEsmKIIvL8pk29x3zInNBqcGfRYf/B8s/H74GotqGvqHEMoMDP/38cfr1 5/T7O1leJ316DzWm3XtMjMMHN+DWzPeAl4n2IINJXyREMI7qHs/qiiESnh5Vy6oqMcQxNjuIXzw9 9wHinXCGJKOhAceXVWWHTxDH1DklVbPuVmmdR6gt6RH1qnp3lV+cQ4iuLRZJLMZukxWH7TBR27r2 iMx63IGGWlx5SvRHixKndZmNMBvb2dj7oHZd3qfUCvj3+4jt5C5ThRF2KozDyzynRUvb8befs55+ rvUj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HqKAz/TAQAApAMAAA4AAAAAAAAAAQAgAAAA IgEAAGRycy9lMm9Eb2MueG1sUEsFBgAAAAAGAAYAWQEAAGcFAAAAAA== ">
              <v:fill on="f" focussize="0,0"/>
              <v:stroke on="f" weight="1.25pt"/>
              <v:imagedata o:title=""/>
              <o:lock v:ext="edit" aspectratio="f"/>
              <v:textbox inset="0mm,0mm,0mm,0mm" style="mso-fit-shape-to-text:t;">
                <w:txbxContent>
                  <w:p>
                    <w:pPr>
                      <w:pStyle w:val="41"/>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46</w:t>
                    </w:r>
                    <w:r>
                      <w:rPr>
                        <w:sz w:val="24"/>
                        <w:szCs w:val="24"/>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83</w:t>
                          </w:r>
                          <w:r>
                            <w:fldChar w:fldCharType="end"/>
                          </w:r>
                        </w:p>
                      </w:txbxContent>
                    </wps:txbx>
                    <wps:bodyPr wrap="none" lIns="0" tIns="0" rIns="0" bIns="0" upright="0">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cOO2PTAQAApQMAAA4AAABkcnMvZTJvRG9jLnhtbK1TS27bMBDd F8gdCO5jKS7SCoLlIIWRIEDRFkh7AJoiLQL8gUNb8gXaG3TVTfc9l8/RISU5RbrJIhtqhjN8M+/N aHUzGE0OIoBytqFXi5ISYblrld019NvXu8uKEojMtkw7Kxp6FEBv1hdvVr2vxdJ1TrciEASxUPe+ oV2Mvi4K4J0wDBbOC4tB6YJhEd2wK9rAekQ3uliW5buid6H1wXEBgLebMUgnxPASQCel4mLj+N4I G0fUIDSLSAk65YGuc7dSCh4/SwkiEt1QZBrziUXQ3qazWK9YvQvMd4pPLbCXtPCMk2HKYtEz1IZF RvZB/QdlFA8OnIwL7kwxEsmKIIur8pk2jx3zInNBqcGfRYfXg+WfDl8CUS1uwpISywxO/PTzx+nX n9Pv7+RtlQTqPdSY9+gxMw4f3IDJ8z3gZeI9yGDSFxkRjKO8x7O8YoiEp0fVsqpKDHGMzQ7iF0/P fYB4L5whyWhowPllWdnhI8QxdU5J1ay7U1rnGWpLekS9rt5f5xfnEKJri0USi7HbZMVhO0zUtq49 IrMel6ChFneeEv1gUeO0L7MRZmM7G3sf1K7LC5VaAX+7j9hO7jJVGGGnwji9zHPatLQe//o56+nv Wv8F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DcOO2PTAQAApQMAAA4AAAAAAAAAAQAgAAAA IgEAAGRycy9lMm9Eb2MueG1sUEsFBgAAAAAGAAYAWQEAAGcFAAAAAA== ">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AvrjpfRAQAApAMAAA4AAABkcnMvZTJvRG9jLnhtbK1TzY7TMBC+ I/EOlu802aJCFDVdLaoWISFAWngA17EbS/6Tx23SF4A34MSFO8/V52DsJC1aLnvYizPjGX8z3zeT 9e1gNDmKAMrZht4sSkqE5a5Vdt/Qb1/vX1WUQGS2ZdpZ0dCTAHq7efli3ftaLF3ndCsCQRALde8b 2sXo66IA3gnDYOG8sBiULhgW0Q37og2sR3Sji2VZvil6F1ofHBcAeLsdg3RCDE8BdFIqLraOH4yw cUQNQrOIlKBTHugmdyul4PGzlCAi0Q1FpjGfWATtXTqLzZrV+8B8p/jUAntKC484GaYsFr1AbVlk 5BDUf1BG8eDAybjgzhQjkawIsrgpH2nz0DEvMheUGvxFdHg+WP7p+CUQ1TZ0RYllBgd+/vnj/OvP +fd38jrr03uoMe3BY2Ic3rkBtybplu4BLxPtQQaTvkiIYBzVPV3UFUMkPD2qllVVYohjbHYQp7g+ 9wHie+EMSUZDA44vq8qOHyGOqXNKqmbdvdI6j1Bb0iPqqnq7yi8uIUTXFotcu01WHHbDRGHn2hMy 63EHGmpx5SnRHyxKnNZlNsJs7Gbj4IPad3mfUivg7w4R28ldpgoj7FQYh5d5TouWtuNfP2ddf67N X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AL646X0QEAAKQDAAAOAAAAAAAAAAEAIAAAACIB AABkcnMvZTJvRG9jLnhtbFBLBQYAAAAABgAGAFkBAABlBQAAAAA= ">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41"/>
                          </w:pPr>
                          <w:r>
                            <w:fldChar w:fldCharType="begin"/>
                          </w:r>
                          <w:r>
                            <w:instrText xml:space="preserve"> PAGE  \* MERGEFORMAT </w:instrText>
                          </w:r>
                          <w:r>
                            <w:fldChar w:fldCharType="separate"/>
                          </w:r>
                          <w:r>
                            <w:t>21</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E5kuMsPAgAAEAQAAA4AAABkcnMvZTJvRG9jLnhtbK1TS27bMBDdF+gd CO5rWbETNILlII3hokD6AdIegKYoi6jEIYa0JfcA7Q26yqb7nsvnyJCS3DTdZNGNMCJn3sx787i4 6pqa7RU6DSbn6WTKmTISCm22Of/yef3qNWfOC1OIGozK+UE5frV8+WLR2kydQQV1oZARiHFZa3Ne eW+zJHGyUo1wE7DK0GUJ2AhPv7hNChQtoTd1cjadXiQtYGERpHKOTlf9JR8Q8TmAUJZaqhXIXaOM 71FR1cITJVdp6/gyTluWSvqPZemUZ3XOiamPX2pC8SZ8k+VCZFsUttJyGEE8Z4QnnBqhDTU9Qa2E F2yH+h+oRksEB6WfSGiSnkhUhFik0yfa3FXCqsiFpHb2JLr7f7Dyw/4TMl3k/IIzIxpa+PHnj+P9 7+Ov72wW5GmtyyjrzlKe795AR6aJVJ29BfnVMQM3lTBbdY0IbaVEQeOloTJ5VNrjuACyad9DQX3E zkME6kpsgnakBiN0Ws3htBrVeSZDy3R+OTvnTNJVOkvn8/PYQWRjsUXn3ypoWAhyjrT5CC72t86H YUQ2poReBta6ruP2a/PXASX2JyraZ6gOVML0PQ/fbbpBmg0UByKF0FuLHhYFFeA3zlqyVc4NvSLO 6neGZAkOHAMcg80YCCOpMOeesz688b1Tdxb1tiLcUfhrkm6tI60wWD/DIDgZJbIdTB2c+Pg/Zv15 yMsH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eAQAAFtDb250ZW50X1R5cGVzXS54bWxQSwECFAAKAAAAAACHTuJAAAAAAAAAAAAAAAAABgAAAAAA AAAAABAAAABaAwAAX3JlbHMvUEsBAhQAFAAAAAgAh07iQIoUZjzRAAAAlAEAAAsAAAAAAAAAAQAg AAAAfgMAAF9yZWxzLy5yZWxzUEsBAhQACgAAAAAAh07iQAAAAAAAAAAAAAAAAAQAAAAAAAAAAAAQ AAAAAAAAAGRycy9QSwECFAAUAAAACACHTuJAQ+V+SdAAAAADAQAADwAAAAAAAAABACAAAAAiAAAA ZHJzL2Rvd25yZXYueG1sUEsBAhQAFAAAAAgAh07iQE5kuMsPAgAAEAQAAA4AAAAAAAAAAQAgAAAA HwEAAGRycy9lMm9Eb2MueG1sUEsFBgAAAAAGAAYAWQEAAKAFAAAAAA== ">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41"/>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AFX2e8OAgAAEAQAAA4AAABkcnMvZTJvRG9jLnhtbK1TzY7TMBC+I/EO lu80TbeLIGq6WrYqQlp+pIUHcBynsUg81thtUh4A3oATF+48V5+DsZOUZbnsgUs0sWe+me+bz6ur vm3YQaHTYHKezuacKSOh1GaX808ft89ecOa8MKVowKicH5XjV+unT1adzdQCamhKhYxAjMs6m/Pa e5sliZO1aoWbgVWGLivAVnj6xV1SougIvW2SxXz+POkAS4sglXN0uhku+YiIjwGEqtJSbUDuW2X8 gIqqEZ4ouVpbx9dx2qpS0r+vKqc8a3JOTH38UhOKi/BN1iuR7VDYWstxBPGYER5waoU21PQMtRFe sD3qf6BaLREcVH4moU0GIlERYpHOH2hzVwurIheS2tmz6O7/wcp3hw/IdJlzWrsRLS389P3b6cev 08+vbBHk6azLKOvOUp7vX0FPpolUnb0F+dkxAze1MDt1jQhdrURJ46WhMrlXOuC4AFJ0b6GkPmLv IQL1FbZBO1KDETqt5nhejeo9k6Flunx5ccmZpKv0Il0uL2MHkU3FFp1/raBlIcg50uYjuDjcOh+G EdmUEnoZ2OqmidtvzF8HlDicqGifsTpQCdMPPHxf9KM0BZRHIoUwWIseFgU14BfOOrJVzg29Is6a N4ZkCQ6cApyCYgqEkVSYc8/ZEN74wal7i3pXE+4k/DVJt9WRVhhsmGEUnIwS2Y6mDk68/x+z/jzk 9W9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B3 BAAAW0NvbnRlbnRfVHlwZXNdLnhtbFBLAQIUAAoAAAAAAIdO4kAAAAAAAAAAAAAAAAAGAAAAAAAA AAAAEAAAAFkDAABfcmVscy9QSwECFAAUAAAACACHTuJAihRmPNEAAACUAQAACwAAAAAAAAABACAA AAB9AwAAX3JlbHMvLnJlbHNQSwECFAAKAAAAAACHTuJAAAAAAAAAAAAAAAAABAAAAAAAAAAAABAA AAAAAAAAZHJzL1BLAQIUABQAAAAIAIdO4kBD5X5J0AAAAAMBAAAPAAAAAAAAAAEAIAAAACIAAABk cnMvZG93bnJldi54bWxQSwECFAAUAAAACACHTuJAAVfZ7w4CAAAQBAAADgAAAAAAAAABACAAAAAf AQAAZHJzL2Uyb0RvYy54bWxQSwUGAAAAAAYABgBZAQAAnwUAAAAA ">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41"/>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DEb5tAPAgAAEAQAAA4AAABkcnMvZTJvRG9jLnhtbK1TS27bMBDdF+gd CO5rWYlTNILlII3hokD6AdIegKYoi6jIIYa0JfcA7Q26yqb7nsvn6JCy3DTdZNENMSRn3sx7fJxf 9aZlO4Vegy15PplypqyESttNyT9/Wr14xZkPwlaiBatKvleeXy2eP5t3rlBn0EBbKWQEYn3RuZI3 Ibgiy7xslBF+Ak5ZuqwBjQi0xU1WoegI3bTZ2XT6MusAK4cglfd0uhwu+RERnwIIda2lWoLcGmXD gIqqFYEo+UY7zxdp2rpWMnyoa68Ca0tOTENaqQnF67hmi7koNihco+VxBPGUER5xMkJbanqCWoog 2Bb1P1BGSwQPdZhIMNlAJClCLPLpI23uGuFU4kJSe3cS3f8/WPl+9xGZrkp+yZkVhh788OP74f7X 4ec3lkd5OucLyrpzlBf619CTaRJV725BfvHMwk0j7EZdI0LXKFHReKkye1A64PgIsu7eQUV9xDZA AuprNFE7UoMROj3N/vQ0qg9Mxpb57PL8gjNJV/l5PptdxNkyUYzFDn14o8CwGJQc6eUTuNjd+jCk jimxl4WVbtv0+q3964AwhxOV7HOsjlTi9AOP0K/7ozRrqPZECmGwFn0sChrAr5x1ZKuSW/pFnLVv LckSHTgGOAbrMRBWUmHJA2dDeBMGp24d6k1DuKPw1yTdSidacbBhBpIjbsgoSZijqaMTH+5T1p+P vPgN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eAQAAFtDb250ZW50X1R5cGVzXS54bWxQSwECFAAKAAAAAACHTuJAAAAAAAAAAAAAAAAABgAAAAAA AAAAABAAAABaAwAAX3JlbHMvUEsBAhQAFAAAAAgAh07iQIoUZjzRAAAAlAEAAAsAAAAAAAAAAQAg AAAAfgMAAF9yZWxzLy5yZWxzUEsBAhQACgAAAAAAh07iQAAAAAAAAAAAAAAAAAQAAAAAAAAAAAAQ AAAAAAAAAGRycy9QSwECFAAUAAAACACHTuJAQ+V+SdAAAAADAQAADwAAAAAAAAABACAAAAAiAAAA ZHJzL2Rvd25yZXYueG1sUEsBAhQAFAAAAAgAh07iQDEb5tAPAgAAEAQAAA4AAAAAAAAAAQAgAAAA HwEAAGRycy9lMm9Eb2MueG1sUEsFBgAAAAAGAAYAWQEAAKAFAAAAAA== ">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82</w:t>
                          </w:r>
                          <w:r>
                            <w:fldChar w:fldCharType="end"/>
                          </w:r>
                        </w:p>
                      </w:txbxContent>
                    </wps:txbx>
                    <wps:bodyPr wrap="none" lIns="0" tIns="0" rIns="0" bIns="0" upright="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D8TrjTAQAApAMAAA4AAABkcnMvZTJvRG9jLnhtbK1TzY7TMBC+ I/EOlu802aKyUdR0BaoWISFA2uUBXMduLPlPHrdJXwDegBMX7jxXn4Oxk3TR7mUPe3FmPONv5vtm sr4ZjCZHEUA529CrRUmJsNy1yu4b+v3+9k1FCURmW6adFQ09CaA3m9ev1r2vxdJ1TrciEASxUPe+ oV2Mvi4K4J0wDBbOC4tB6YJhEd2wL9rAekQ3uliW5buid6H1wXEBgLfbMUgnxPAcQCel4mLr+MEI G0fUIDSLSAk65YFucrdSCh6/SgkiEt1QZBrziUXQ3qWz2KxZvQ/Md4pPLbDntPCIk2HKYtEL1JZF Rg5BPYEyigcHTsYFd6YYiWRFkMVV+Uibu455kbmg1OAvosPLwfIvx2+BqLah15RYZnDg518/z7// nv/8IG9XSZ/eQ41pdx4T4/DBDbg18z3gZaI9yGDSFwkRjKO6p4u6YoiEp0fVsqpKDHGMzQ7iFw/P fYD4UThDktHQgOPLqrLjZ4hj6pySqll3q7TOI9SW9Ii6qq5X+cUlhOjaYpHEYuw2WXHYDRO1nWtP yKzHHWioxZWnRH+yKHFal9kIs7GbjYMPat/lfUqtgH9/iNhO7jJVGGGnwji8zHNatLQd//s56+Hn 2vwD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HD8TrjTAQAApAMAAA4AAAAAAAAAAQAgAAAA IgEAAGRycy9lMm9Eb2MueG1sUEsFBgAAAAAGAAYAWQEAAGcFAAAAAA== ">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82</w:t>
                    </w:r>
                    <w:r>
                      <w:fldChar w:fldCharType="end"/>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79</w:t>
                          </w:r>
                          <w:r>
                            <w:fldChar w:fldCharType="end"/>
                          </w:r>
                        </w:p>
                      </w:txbxContent>
                    </wps:txbx>
                    <wps:bodyPr wrap="none" lIns="0" tIns="0" rIns="0" bIns="0" upright="0">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Nm4XkLSAQAApQMAAA4AAABkcnMvZTJvRG9jLnhtbK1TS27bMBDd F8gdCO5jKQ6SCoLloIWRoEDRFkh6AJoiLQL8gUNb8gXaG3TVTfc9l8/RISU5RbrJohtqyBm+ee9x tLobjCYHEUA529CrRUmJsNy1yu4a+vXp/rKiBCKzLdPOioYeBdC79cWbVe9rsXSd060IBEEs1L1v aBejr4sCeCcMg4XzwmJSumBYxG3YFW1gPaIbXSzL8rboXWh9cFwA4OlmTNIJMbwG0EmpuNg4vjfC xhE1CM0iSoJOeaDrzFZKweNnKUFEohuKSmNesQnG27QW6xWrd4H5TvGJAnsNhReaDFMWm56hNiwy sg/qHyijeHDgZFxwZ4pRSHYEVVyVL7x57JgXWQtaDf5sOvw/WP7p8CUQ1eIkoCWWGXzx04/vp5+/ T7++kevbZFDvoca6R4+VcXjvBiyezwEPk+5BBpO+qIhgHrGOZ3vFEAlPl6plVZWY4pibN4hfPF/3 AeKDcIakoKEB3y/byg4fIY6lc0nqZt290jq/obakR9Sb6u1NvnFOIbq22CSpGNmmKA7bYZK2de0R lfU4BA21OPOU6A8WPUamcQ7CHGznYO+D2nV5oBIV8O/2EelklqnDCDs1xtfLOqdJS+Px9z5XPf9d 6z9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2bheQtIBAAClAwAADgAAAAAAAAABACAAAAAi AQAAZHJzL2Uyb0RvYy54bWxQSwUGAAAAAAYABgBZAQAAZgUAAAAA ">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79</w:t>
                    </w:r>
                    <w:r>
                      <w:fldChar w:fldCharType="end"/>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1"/>
                          </w:pPr>
                          <w:r>
                            <w:fldChar w:fldCharType="begin"/>
                          </w:r>
                          <w:r>
                            <w:instrText xml:space="preserve"> PAGE  \* MERGEFORMAT </w:instrText>
                          </w:r>
                          <w:r>
                            <w:fldChar w:fldCharType="separate"/>
                          </w:r>
                          <w:r>
                            <w:t>91</w:t>
                          </w:r>
                          <w:r>
                            <w:fldChar w:fldCharType="end"/>
                          </w:r>
                        </w:p>
                      </w:txbxContent>
                    </wps:txbx>
                    <wps:bodyPr wrap="none" lIns="0" tIns="0" rIns="0" bIns="0" upright="0">
                      <a:spAutoFit/>
                    </wps:bodyPr>
                  </wps:wsp>
                </a:graphicData>
              </a:graphic>
            </wp:anchor>
          </w:drawing>
        </mc:Choice>
        <mc:Fallback>
          <w:pict>
            <v:shape id="文本框 37"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8OzaLTAQAApQMAAA4AAABkcnMvZTJvRG9jLnhtbK1TzY7TMBC+ I/EOlu80adGyUdR0BaoWISFA2uUBXMduLPlPHrdJXwDegBMX7jxXn4Oxk3TR7mUPe3FmPONv5vtm sr4ZjCZHEUA529DloqREWO5aZfcN/X5/+6aiBCKzLdPOioaeBNCbzetX697XYuU6p1sRCIJYqHvf 0C5GXxcF8E4YBgvnhcWgdMGwiG7YF21gPaIbXazK8l3Ru9D64LgAwNvtGKQTYngOoJNScbF1/GCE jSNqEJpFpASd8kA3uVspBY9fpQQRiW4oMo35xCJo79JZbNas3gfmO8WnFthzWnjEyTBlsegFassi I4egnkAZxYMDJ+OCO1OMRLIiyGJZPtLmrmNeZC4oNfiL6PBysPzL8VsgqsVNWFJimcGJn3/9PP/+ e/7zg7y9TgL1HmrMu/OYGYcPbsDk+R7wMvEeZDDpi4wIxlHe00VeMUTC06NqVVUlhjjGZgfxi4fn PkD8KJwhyWhowPllWdnxM8QxdU5J1ay7VVrnGWpLekS9qq6v8otLCNG1xSKJxdhtsuKwGyZqO9ee kFmPS9BQiztPif5kUeO0L7MRZmM3Gwcf1L7LC5VaAf/+ELGd3GWqMMJOhXF6mee0aWk9/vdz1sPf tfkH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D8OzaLTAQAApQMAAA4AAAAAAAAAAQAgAAAA IgEAAGRycy9lMm9Eb2MueG1sUEsFBgAAAAAGAAYAWQEAAGcFAAAAAA== ">
              <v:fill on="f" focussize="0,0"/>
              <v:stroke on="f" weight="1.25pt"/>
              <v:imagedata o:title=""/>
              <o:lock v:ext="edit" aspectratio="f"/>
              <v:textbox inset="0mm,0mm,0mm,0mm" style="mso-fit-shape-to-text:t;">
                <w:txbxContent>
                  <w:p>
                    <w:pPr>
                      <w:pStyle w:val="41"/>
                    </w:pPr>
                    <w:r>
                      <w:fldChar w:fldCharType="begin"/>
                    </w:r>
                    <w:r>
                      <w:instrText xml:space="preserve"> PAGE  \* MERGEFORMAT </w:instrText>
                    </w:r>
                    <w:r>
                      <w:fldChar w:fldCharType="separate"/>
                    </w:r>
                    <w:r>
                      <w:t>91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spacing w:line="240" w:lineRule="atLeast"/>
      <w:rPr>
        <w:sz w:val="2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spacing w:line="240" w:lineRule="atLea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spacing w:line="240" w:lineRule="atLeast"/>
      <w:ind w:left="7920" w:hanging="4620" w:hangingChars="2200"/>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spacing w:line="240" w:lineRule="atLea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AB4B7"/>
    <w:multiLevelType w:val="singleLevel"/>
    <w:tmpl w:val="887AB4B7"/>
    <w:lvl w:ilvl="0" w:tentative="0">
      <w:start w:val="1"/>
      <w:numFmt w:val="decimal"/>
      <w:suff w:val="nothing"/>
      <w:lvlText w:val="（%1）"/>
      <w:lvlJc w:val="left"/>
    </w:lvl>
  </w:abstractNum>
  <w:abstractNum w:abstractNumId="1">
    <w:nsid w:val="8A6C0B99"/>
    <w:multiLevelType w:val="singleLevel"/>
    <w:tmpl w:val="8A6C0B99"/>
    <w:lvl w:ilvl="0" w:tentative="0">
      <w:start w:val="2"/>
      <w:numFmt w:val="chineseCounting"/>
      <w:suff w:val="nothing"/>
      <w:lvlText w:val="%1、"/>
      <w:lvlJc w:val="left"/>
      <w:rPr>
        <w:rFonts w:hint="eastAsia"/>
      </w:rPr>
    </w:lvl>
  </w:abstractNum>
  <w:abstractNum w:abstractNumId="2">
    <w:nsid w:val="9127B32D"/>
    <w:multiLevelType w:val="singleLevel"/>
    <w:tmpl w:val="9127B32D"/>
    <w:lvl w:ilvl="0" w:tentative="0">
      <w:start w:val="1"/>
      <w:numFmt w:val="decimal"/>
      <w:suff w:val="nothing"/>
      <w:lvlText w:val="%1、"/>
      <w:lvlJc w:val="left"/>
    </w:lvl>
  </w:abstractNum>
  <w:abstractNum w:abstractNumId="3">
    <w:nsid w:val="D0FF923F"/>
    <w:multiLevelType w:val="singleLevel"/>
    <w:tmpl w:val="D0FF923F"/>
    <w:lvl w:ilvl="0" w:tentative="0">
      <w:start w:val="6"/>
      <w:numFmt w:val="chineseCounting"/>
      <w:suff w:val="nothing"/>
      <w:lvlText w:val="%1、"/>
      <w:lvlJc w:val="left"/>
      <w:rPr>
        <w:rFonts w:hint="eastAsia" w:ascii="仿宋" w:hAnsi="仿宋" w:eastAsia="仿宋" w:cs="仿宋"/>
        <w:sz w:val="32"/>
        <w:szCs w:val="32"/>
      </w:rPr>
    </w:lvl>
  </w:abstractNum>
  <w:abstractNum w:abstractNumId="4">
    <w:nsid w:val="DBC5011F"/>
    <w:multiLevelType w:val="singleLevel"/>
    <w:tmpl w:val="DBC5011F"/>
    <w:lvl w:ilvl="0" w:tentative="0">
      <w:start w:val="3"/>
      <w:numFmt w:val="decimal"/>
      <w:lvlText w:val="%1."/>
      <w:lvlJc w:val="left"/>
      <w:pPr>
        <w:tabs>
          <w:tab w:val="left" w:pos="312"/>
        </w:tabs>
      </w:pPr>
    </w:lvl>
  </w:abstractNum>
  <w:abstractNum w:abstractNumId="5">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6">
    <w:nsid w:val="F9088F9A"/>
    <w:multiLevelType w:val="singleLevel"/>
    <w:tmpl w:val="F9088F9A"/>
    <w:lvl w:ilvl="0" w:tentative="0">
      <w:start w:val="1"/>
      <w:numFmt w:val="decimal"/>
      <w:suff w:val="nothing"/>
      <w:lvlText w:val="%1、"/>
      <w:lvlJc w:val="left"/>
    </w:lvl>
  </w:abstractNum>
  <w:abstractNum w:abstractNumId="7">
    <w:nsid w:val="00796303"/>
    <w:multiLevelType w:val="multilevel"/>
    <w:tmpl w:val="00796303"/>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152756F7"/>
    <w:multiLevelType w:val="singleLevel"/>
    <w:tmpl w:val="152756F7"/>
    <w:lvl w:ilvl="0" w:tentative="0">
      <w:start w:val="2"/>
      <w:numFmt w:val="chineseCounting"/>
      <w:suff w:val="space"/>
      <w:lvlText w:val="第%1部分"/>
      <w:lvlJc w:val="left"/>
      <w:rPr>
        <w:rFonts w:hint="eastAsia"/>
      </w:rPr>
    </w:lvl>
  </w:abstractNum>
  <w:abstractNum w:abstractNumId="9">
    <w:nsid w:val="2E881E68"/>
    <w:multiLevelType w:val="singleLevel"/>
    <w:tmpl w:val="2E881E68"/>
    <w:lvl w:ilvl="0" w:tentative="0">
      <w:start w:val="1"/>
      <w:numFmt w:val="chineseCounting"/>
      <w:suff w:val="nothing"/>
      <w:lvlText w:val="%1、"/>
      <w:lvlJc w:val="left"/>
      <w:pPr>
        <w:ind w:left="0" w:firstLine="420"/>
      </w:pPr>
      <w:rPr>
        <w:rFonts w:hint="eastAsia"/>
      </w:rPr>
    </w:lvl>
  </w:abstractNum>
  <w:abstractNum w:abstractNumId="10">
    <w:nsid w:val="4106C19B"/>
    <w:multiLevelType w:val="singleLevel"/>
    <w:tmpl w:val="4106C19B"/>
    <w:lvl w:ilvl="0" w:tentative="0">
      <w:start w:val="3"/>
      <w:numFmt w:val="chineseCounting"/>
      <w:suff w:val="nothing"/>
      <w:lvlText w:val="%1、"/>
      <w:lvlJc w:val="left"/>
      <w:rPr>
        <w:rFonts w:hint="eastAsia"/>
      </w:rPr>
    </w:lvl>
  </w:abstractNum>
  <w:abstractNum w:abstractNumId="11">
    <w:nsid w:val="58B55C79"/>
    <w:multiLevelType w:val="singleLevel"/>
    <w:tmpl w:val="58B55C79"/>
    <w:lvl w:ilvl="0" w:tentative="0">
      <w:start w:val="1"/>
      <w:numFmt w:val="decimal"/>
      <w:suff w:val="nothing"/>
      <w:lvlText w:val="（%1）"/>
      <w:lvlJc w:val="left"/>
    </w:lvl>
  </w:abstractNum>
  <w:abstractNum w:abstractNumId="12">
    <w:nsid w:val="634F0C85"/>
    <w:multiLevelType w:val="multilevel"/>
    <w:tmpl w:val="634F0C85"/>
    <w:lvl w:ilvl="0" w:tentative="0">
      <w:start w:val="1"/>
      <w:numFmt w:val="japaneseCounting"/>
      <w:lvlText w:val="（%1）"/>
      <w:lvlJc w:val="left"/>
      <w:pPr>
        <w:ind w:left="1430" w:hanging="720"/>
      </w:pPr>
      <w:rPr>
        <w:rFonts w:hint="default" w:ascii="新宋体" w:hAnsi="新宋体" w:eastAsia="新宋体" w:cs="宋体"/>
        <w:b w:val="0"/>
        <w:bCs/>
        <w:sz w:val="22"/>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3">
    <w:nsid w:val="6D91EDAE"/>
    <w:multiLevelType w:val="singleLevel"/>
    <w:tmpl w:val="6D91EDAE"/>
    <w:lvl w:ilvl="0" w:tentative="0">
      <w:start w:val="2"/>
      <w:numFmt w:val="decimal"/>
      <w:suff w:val="nothing"/>
      <w:lvlText w:val="（%1）"/>
      <w:lvlJc w:val="left"/>
    </w:lvl>
  </w:abstractNum>
  <w:abstractNum w:abstractNumId="14">
    <w:nsid w:val="7FB32AD5"/>
    <w:multiLevelType w:val="singleLevel"/>
    <w:tmpl w:val="7FB32AD5"/>
    <w:lvl w:ilvl="0" w:tentative="0">
      <w:start w:val="1"/>
      <w:numFmt w:val="chineseCounting"/>
      <w:suff w:val="nothing"/>
      <w:lvlText w:val="（%1）"/>
      <w:lvlJc w:val="left"/>
      <w:rPr>
        <w:rFonts w:hint="eastAsia"/>
      </w:rPr>
    </w:lvl>
  </w:abstractNum>
  <w:num w:numId="1">
    <w:abstractNumId w:val="4"/>
  </w:num>
  <w:num w:numId="2">
    <w:abstractNumId w:val="8"/>
  </w:num>
  <w:num w:numId="3">
    <w:abstractNumId w:val="13"/>
  </w:num>
  <w:num w:numId="4">
    <w:abstractNumId w:val="1"/>
  </w:num>
  <w:num w:numId="5">
    <w:abstractNumId w:val="10"/>
  </w:num>
  <w:num w:numId="6">
    <w:abstractNumId w:val="14"/>
  </w:num>
  <w:num w:numId="7">
    <w:abstractNumId w:val="6"/>
  </w:num>
  <w:num w:numId="8">
    <w:abstractNumId w:val="2"/>
  </w:num>
  <w:num w:numId="9">
    <w:abstractNumId w:val="9"/>
  </w:num>
  <w:num w:numId="10">
    <w:abstractNumId w:val="12"/>
  </w:num>
  <w:num w:numId="11">
    <w:abstractNumId w:val="7"/>
  </w:num>
  <w:num w:numId="12">
    <w:abstractNumId w:val="5"/>
  </w:num>
  <w:num w:numId="13">
    <w:abstractNumId w:val="0"/>
  </w:num>
  <w:num w:numId="14">
    <w:abstractNumId w:val="3"/>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bm">
    <w15:presenceInfo w15:providerId="None" w15:userId="i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MTcyNTBjMjQ0MGVkM2MwNmUxNGI0MmExOGM2Ym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0565"/>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BCA"/>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162"/>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1A7"/>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5CA"/>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872CB"/>
    <w:rsid w:val="011F6449"/>
    <w:rsid w:val="01236AFB"/>
    <w:rsid w:val="01525C87"/>
    <w:rsid w:val="019F7441"/>
    <w:rsid w:val="01B37585"/>
    <w:rsid w:val="01D55165"/>
    <w:rsid w:val="01DF6BF8"/>
    <w:rsid w:val="01EC2C57"/>
    <w:rsid w:val="02383874"/>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6058B"/>
    <w:rsid w:val="048F763B"/>
    <w:rsid w:val="049F330E"/>
    <w:rsid w:val="04AA775C"/>
    <w:rsid w:val="04AF1889"/>
    <w:rsid w:val="04F66F48"/>
    <w:rsid w:val="05251E14"/>
    <w:rsid w:val="054A2CD9"/>
    <w:rsid w:val="05A16594"/>
    <w:rsid w:val="05A7762D"/>
    <w:rsid w:val="060E5941"/>
    <w:rsid w:val="06110FAF"/>
    <w:rsid w:val="061C7403"/>
    <w:rsid w:val="06493CA7"/>
    <w:rsid w:val="06535AF2"/>
    <w:rsid w:val="065A6178"/>
    <w:rsid w:val="066F1CF3"/>
    <w:rsid w:val="06930BB8"/>
    <w:rsid w:val="07245D42"/>
    <w:rsid w:val="07264C62"/>
    <w:rsid w:val="0779354C"/>
    <w:rsid w:val="07902008"/>
    <w:rsid w:val="07D6114F"/>
    <w:rsid w:val="08061376"/>
    <w:rsid w:val="080C3F49"/>
    <w:rsid w:val="08452D77"/>
    <w:rsid w:val="086401F8"/>
    <w:rsid w:val="08751CAA"/>
    <w:rsid w:val="087E4C40"/>
    <w:rsid w:val="08B721CA"/>
    <w:rsid w:val="08D60F66"/>
    <w:rsid w:val="08D66AD6"/>
    <w:rsid w:val="08DA33A3"/>
    <w:rsid w:val="08E80F13"/>
    <w:rsid w:val="09335624"/>
    <w:rsid w:val="0944690F"/>
    <w:rsid w:val="09535675"/>
    <w:rsid w:val="095F057D"/>
    <w:rsid w:val="09642282"/>
    <w:rsid w:val="0972418C"/>
    <w:rsid w:val="09733572"/>
    <w:rsid w:val="09772C16"/>
    <w:rsid w:val="098353B5"/>
    <w:rsid w:val="09A92330"/>
    <w:rsid w:val="09B06B87"/>
    <w:rsid w:val="09C13146"/>
    <w:rsid w:val="09E04166"/>
    <w:rsid w:val="0A1C0718"/>
    <w:rsid w:val="0A3E7710"/>
    <w:rsid w:val="0A5B7E63"/>
    <w:rsid w:val="0AA374A5"/>
    <w:rsid w:val="0AAB7649"/>
    <w:rsid w:val="0ABC5606"/>
    <w:rsid w:val="0ABD5B8D"/>
    <w:rsid w:val="0AC44EDF"/>
    <w:rsid w:val="0B132767"/>
    <w:rsid w:val="0B30404E"/>
    <w:rsid w:val="0B4C6C14"/>
    <w:rsid w:val="0B6208F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749DB"/>
    <w:rsid w:val="0D184CFB"/>
    <w:rsid w:val="0D4A7419"/>
    <w:rsid w:val="0D827401"/>
    <w:rsid w:val="0D84094E"/>
    <w:rsid w:val="0D8A00E9"/>
    <w:rsid w:val="0D8D589E"/>
    <w:rsid w:val="0D9D24E2"/>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BE6938"/>
    <w:rsid w:val="10C26171"/>
    <w:rsid w:val="10F33360"/>
    <w:rsid w:val="10FC16EA"/>
    <w:rsid w:val="110F1D40"/>
    <w:rsid w:val="11266F33"/>
    <w:rsid w:val="118963A1"/>
    <w:rsid w:val="11C6522A"/>
    <w:rsid w:val="11E104CC"/>
    <w:rsid w:val="11E20309"/>
    <w:rsid w:val="11F87AB8"/>
    <w:rsid w:val="12255233"/>
    <w:rsid w:val="12530213"/>
    <w:rsid w:val="127723A9"/>
    <w:rsid w:val="12862074"/>
    <w:rsid w:val="12883966"/>
    <w:rsid w:val="129E45B4"/>
    <w:rsid w:val="12D81596"/>
    <w:rsid w:val="12FD27F6"/>
    <w:rsid w:val="13072A44"/>
    <w:rsid w:val="131612DA"/>
    <w:rsid w:val="135F4BE2"/>
    <w:rsid w:val="137C4750"/>
    <w:rsid w:val="1383086F"/>
    <w:rsid w:val="139B1A0A"/>
    <w:rsid w:val="139D25C7"/>
    <w:rsid w:val="13BF3CE4"/>
    <w:rsid w:val="141008D8"/>
    <w:rsid w:val="14125FE6"/>
    <w:rsid w:val="146D271E"/>
    <w:rsid w:val="14745477"/>
    <w:rsid w:val="14982588"/>
    <w:rsid w:val="149A5AD9"/>
    <w:rsid w:val="14A7619D"/>
    <w:rsid w:val="150536C3"/>
    <w:rsid w:val="150C1963"/>
    <w:rsid w:val="151447A0"/>
    <w:rsid w:val="154A6454"/>
    <w:rsid w:val="15520875"/>
    <w:rsid w:val="15762120"/>
    <w:rsid w:val="16A8729C"/>
    <w:rsid w:val="16B33777"/>
    <w:rsid w:val="16BC70A7"/>
    <w:rsid w:val="16C6339E"/>
    <w:rsid w:val="172F2D79"/>
    <w:rsid w:val="17557BEF"/>
    <w:rsid w:val="17D349C1"/>
    <w:rsid w:val="1816190D"/>
    <w:rsid w:val="1830729E"/>
    <w:rsid w:val="1870062C"/>
    <w:rsid w:val="18817102"/>
    <w:rsid w:val="18830A15"/>
    <w:rsid w:val="18852B28"/>
    <w:rsid w:val="188B5321"/>
    <w:rsid w:val="18FB512C"/>
    <w:rsid w:val="1902577A"/>
    <w:rsid w:val="19267F12"/>
    <w:rsid w:val="19932372"/>
    <w:rsid w:val="19A20DD5"/>
    <w:rsid w:val="19A52E4A"/>
    <w:rsid w:val="19AE03F1"/>
    <w:rsid w:val="19CC3D1B"/>
    <w:rsid w:val="1A071A03"/>
    <w:rsid w:val="1A1F16AE"/>
    <w:rsid w:val="1A3B5C77"/>
    <w:rsid w:val="1A984BAD"/>
    <w:rsid w:val="1AB8220E"/>
    <w:rsid w:val="1AE4166C"/>
    <w:rsid w:val="1AF06CFB"/>
    <w:rsid w:val="1AF11B8D"/>
    <w:rsid w:val="1B11359C"/>
    <w:rsid w:val="1B2A271F"/>
    <w:rsid w:val="1B530544"/>
    <w:rsid w:val="1B713184"/>
    <w:rsid w:val="1BA209CF"/>
    <w:rsid w:val="1BAA299A"/>
    <w:rsid w:val="1BB4777D"/>
    <w:rsid w:val="1BD75AB8"/>
    <w:rsid w:val="1C0459C2"/>
    <w:rsid w:val="1C1B3B4A"/>
    <w:rsid w:val="1C88086E"/>
    <w:rsid w:val="1D266CE1"/>
    <w:rsid w:val="1D3963AF"/>
    <w:rsid w:val="1D6A673C"/>
    <w:rsid w:val="1D9247AE"/>
    <w:rsid w:val="1D967740"/>
    <w:rsid w:val="1DB567EC"/>
    <w:rsid w:val="1DC803B3"/>
    <w:rsid w:val="1DF51A98"/>
    <w:rsid w:val="1E2702D2"/>
    <w:rsid w:val="1E3D060F"/>
    <w:rsid w:val="1E3F7D2E"/>
    <w:rsid w:val="1E4134E4"/>
    <w:rsid w:val="1E5062B3"/>
    <w:rsid w:val="1E523514"/>
    <w:rsid w:val="1E714A66"/>
    <w:rsid w:val="1E802593"/>
    <w:rsid w:val="1EA703CC"/>
    <w:rsid w:val="1EB7330C"/>
    <w:rsid w:val="1F0A0FF3"/>
    <w:rsid w:val="1F5771FF"/>
    <w:rsid w:val="1FB5190D"/>
    <w:rsid w:val="1FE868A9"/>
    <w:rsid w:val="20034907"/>
    <w:rsid w:val="20173E4B"/>
    <w:rsid w:val="204E48BC"/>
    <w:rsid w:val="20801F1B"/>
    <w:rsid w:val="208921B3"/>
    <w:rsid w:val="20973DEB"/>
    <w:rsid w:val="20B26522"/>
    <w:rsid w:val="20B44310"/>
    <w:rsid w:val="211116EB"/>
    <w:rsid w:val="216133FC"/>
    <w:rsid w:val="21B87BAD"/>
    <w:rsid w:val="21D14695"/>
    <w:rsid w:val="21D56769"/>
    <w:rsid w:val="21E52EF3"/>
    <w:rsid w:val="21FB5D7B"/>
    <w:rsid w:val="220B1C3D"/>
    <w:rsid w:val="221D1D20"/>
    <w:rsid w:val="22285BB6"/>
    <w:rsid w:val="22334A87"/>
    <w:rsid w:val="22BE6801"/>
    <w:rsid w:val="233500BF"/>
    <w:rsid w:val="23377FF7"/>
    <w:rsid w:val="2362069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656F45"/>
    <w:rsid w:val="289F7086"/>
    <w:rsid w:val="28C32028"/>
    <w:rsid w:val="28CC490F"/>
    <w:rsid w:val="28DE40AA"/>
    <w:rsid w:val="29345E77"/>
    <w:rsid w:val="294837F2"/>
    <w:rsid w:val="294C65AD"/>
    <w:rsid w:val="29772C95"/>
    <w:rsid w:val="29806583"/>
    <w:rsid w:val="298B3C4C"/>
    <w:rsid w:val="29F26D24"/>
    <w:rsid w:val="2A15033F"/>
    <w:rsid w:val="2A1662C1"/>
    <w:rsid w:val="2A1C7367"/>
    <w:rsid w:val="2A2815FA"/>
    <w:rsid w:val="2A6D6092"/>
    <w:rsid w:val="2A7D76B4"/>
    <w:rsid w:val="2AF74D8B"/>
    <w:rsid w:val="2B437463"/>
    <w:rsid w:val="2B7807EE"/>
    <w:rsid w:val="2B976C05"/>
    <w:rsid w:val="2BBF00EC"/>
    <w:rsid w:val="2BC37CFD"/>
    <w:rsid w:val="2BD5237F"/>
    <w:rsid w:val="2BE536CE"/>
    <w:rsid w:val="2BE758D9"/>
    <w:rsid w:val="2C09049E"/>
    <w:rsid w:val="2C0A653C"/>
    <w:rsid w:val="2C191F85"/>
    <w:rsid w:val="2C336B7F"/>
    <w:rsid w:val="2C401B81"/>
    <w:rsid w:val="2C440C54"/>
    <w:rsid w:val="2CE82D6F"/>
    <w:rsid w:val="2D343236"/>
    <w:rsid w:val="2DB52189"/>
    <w:rsid w:val="2DD15014"/>
    <w:rsid w:val="2DF72DE4"/>
    <w:rsid w:val="2E0220AF"/>
    <w:rsid w:val="2E4B082A"/>
    <w:rsid w:val="2E56075F"/>
    <w:rsid w:val="2E5D4E86"/>
    <w:rsid w:val="2E5D790B"/>
    <w:rsid w:val="2E695641"/>
    <w:rsid w:val="2E9A3C18"/>
    <w:rsid w:val="2EBB0FEE"/>
    <w:rsid w:val="2EC63002"/>
    <w:rsid w:val="2EFF76CA"/>
    <w:rsid w:val="2F0A6B38"/>
    <w:rsid w:val="2F946CCB"/>
    <w:rsid w:val="2FB576DB"/>
    <w:rsid w:val="2FD25781"/>
    <w:rsid w:val="2FFD7934"/>
    <w:rsid w:val="305457C7"/>
    <w:rsid w:val="30733ACD"/>
    <w:rsid w:val="308C3862"/>
    <w:rsid w:val="309379D8"/>
    <w:rsid w:val="30A270F7"/>
    <w:rsid w:val="30CC5E6E"/>
    <w:rsid w:val="30DF1478"/>
    <w:rsid w:val="30EC586F"/>
    <w:rsid w:val="319C6071"/>
    <w:rsid w:val="31A453E9"/>
    <w:rsid w:val="31AC537E"/>
    <w:rsid w:val="31E3679B"/>
    <w:rsid w:val="31E732FD"/>
    <w:rsid w:val="31EF65C4"/>
    <w:rsid w:val="3251507D"/>
    <w:rsid w:val="32517576"/>
    <w:rsid w:val="32BE5C2C"/>
    <w:rsid w:val="32FB6478"/>
    <w:rsid w:val="33263B3F"/>
    <w:rsid w:val="333C3FC5"/>
    <w:rsid w:val="336963EB"/>
    <w:rsid w:val="33816EEB"/>
    <w:rsid w:val="33EB55CD"/>
    <w:rsid w:val="33EC4C02"/>
    <w:rsid w:val="340D2360"/>
    <w:rsid w:val="3410665D"/>
    <w:rsid w:val="34211214"/>
    <w:rsid w:val="342E63AB"/>
    <w:rsid w:val="34533A5D"/>
    <w:rsid w:val="34950E68"/>
    <w:rsid w:val="34986E94"/>
    <w:rsid w:val="34AF62C9"/>
    <w:rsid w:val="34CB4388"/>
    <w:rsid w:val="34FA6E12"/>
    <w:rsid w:val="34FF2DAD"/>
    <w:rsid w:val="355B5373"/>
    <w:rsid w:val="358D5588"/>
    <w:rsid w:val="363A3B40"/>
    <w:rsid w:val="365302AE"/>
    <w:rsid w:val="36607A0A"/>
    <w:rsid w:val="366E227C"/>
    <w:rsid w:val="366F2E0D"/>
    <w:rsid w:val="367B6A5C"/>
    <w:rsid w:val="36A74ADA"/>
    <w:rsid w:val="36AD60D5"/>
    <w:rsid w:val="36B224F9"/>
    <w:rsid w:val="36EC0CC9"/>
    <w:rsid w:val="37064040"/>
    <w:rsid w:val="371F755C"/>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542ED"/>
    <w:rsid w:val="3C471448"/>
    <w:rsid w:val="3C5F759A"/>
    <w:rsid w:val="3C6C525A"/>
    <w:rsid w:val="3CCE23CB"/>
    <w:rsid w:val="3CD17D17"/>
    <w:rsid w:val="3D221CF0"/>
    <w:rsid w:val="3D2542A5"/>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07A62"/>
    <w:rsid w:val="3F060E16"/>
    <w:rsid w:val="3F1D1096"/>
    <w:rsid w:val="3F2F0234"/>
    <w:rsid w:val="3F6363FE"/>
    <w:rsid w:val="3F756B8F"/>
    <w:rsid w:val="3F95482B"/>
    <w:rsid w:val="4019356B"/>
    <w:rsid w:val="40592157"/>
    <w:rsid w:val="406E1CAE"/>
    <w:rsid w:val="40A0133A"/>
    <w:rsid w:val="40C31A53"/>
    <w:rsid w:val="40F331E0"/>
    <w:rsid w:val="40FF545D"/>
    <w:rsid w:val="410067C8"/>
    <w:rsid w:val="418F0D2A"/>
    <w:rsid w:val="41D01505"/>
    <w:rsid w:val="42474939"/>
    <w:rsid w:val="424C3C57"/>
    <w:rsid w:val="42613FF3"/>
    <w:rsid w:val="42660D96"/>
    <w:rsid w:val="428667D2"/>
    <w:rsid w:val="42A5582B"/>
    <w:rsid w:val="42CD1CE0"/>
    <w:rsid w:val="42E07F4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430038"/>
    <w:rsid w:val="4659254A"/>
    <w:rsid w:val="465B0637"/>
    <w:rsid w:val="465E3F0D"/>
    <w:rsid w:val="466A16E6"/>
    <w:rsid w:val="46893F2B"/>
    <w:rsid w:val="46C4686E"/>
    <w:rsid w:val="47370EBF"/>
    <w:rsid w:val="477B778F"/>
    <w:rsid w:val="478203EC"/>
    <w:rsid w:val="47B025FA"/>
    <w:rsid w:val="4809698F"/>
    <w:rsid w:val="4811697D"/>
    <w:rsid w:val="484A19DE"/>
    <w:rsid w:val="487A3E25"/>
    <w:rsid w:val="488B5503"/>
    <w:rsid w:val="48937E21"/>
    <w:rsid w:val="489A0361"/>
    <w:rsid w:val="48B94FF3"/>
    <w:rsid w:val="48E37AAB"/>
    <w:rsid w:val="48FD4B4C"/>
    <w:rsid w:val="490A68E0"/>
    <w:rsid w:val="491055FE"/>
    <w:rsid w:val="494D56FB"/>
    <w:rsid w:val="495F5B3E"/>
    <w:rsid w:val="496F77D7"/>
    <w:rsid w:val="497654FD"/>
    <w:rsid w:val="49B64211"/>
    <w:rsid w:val="49F6167F"/>
    <w:rsid w:val="4A064FA0"/>
    <w:rsid w:val="4A16615C"/>
    <w:rsid w:val="4A4424D7"/>
    <w:rsid w:val="4AB82D0F"/>
    <w:rsid w:val="4AEB7664"/>
    <w:rsid w:val="4AFD7C19"/>
    <w:rsid w:val="4B0567D1"/>
    <w:rsid w:val="4B236AAE"/>
    <w:rsid w:val="4B502C65"/>
    <w:rsid w:val="4B707271"/>
    <w:rsid w:val="4B7101F9"/>
    <w:rsid w:val="4B9739F7"/>
    <w:rsid w:val="4BEE2503"/>
    <w:rsid w:val="4C245A30"/>
    <w:rsid w:val="4C5264F9"/>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3A3CB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07E96"/>
    <w:rsid w:val="52615633"/>
    <w:rsid w:val="52977FD4"/>
    <w:rsid w:val="52A25790"/>
    <w:rsid w:val="52A96B6F"/>
    <w:rsid w:val="52B45975"/>
    <w:rsid w:val="52D94AA4"/>
    <w:rsid w:val="52EA3A62"/>
    <w:rsid w:val="52F50BB8"/>
    <w:rsid w:val="53097272"/>
    <w:rsid w:val="53270AC3"/>
    <w:rsid w:val="53544462"/>
    <w:rsid w:val="5397158E"/>
    <w:rsid w:val="53F63E1B"/>
    <w:rsid w:val="54013861"/>
    <w:rsid w:val="54213E55"/>
    <w:rsid w:val="54487265"/>
    <w:rsid w:val="544D6070"/>
    <w:rsid w:val="54566820"/>
    <w:rsid w:val="54605E1E"/>
    <w:rsid w:val="54B3506A"/>
    <w:rsid w:val="54CA0D16"/>
    <w:rsid w:val="54DD4057"/>
    <w:rsid w:val="54E7490F"/>
    <w:rsid w:val="55006BAB"/>
    <w:rsid w:val="550764A4"/>
    <w:rsid w:val="550B2BF6"/>
    <w:rsid w:val="55214EB5"/>
    <w:rsid w:val="55250D9C"/>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F559B"/>
    <w:rsid w:val="582855AB"/>
    <w:rsid w:val="58917D2F"/>
    <w:rsid w:val="5894085C"/>
    <w:rsid w:val="58AE4F0C"/>
    <w:rsid w:val="58B85899"/>
    <w:rsid w:val="58E363A9"/>
    <w:rsid w:val="595E1678"/>
    <w:rsid w:val="596D5BD4"/>
    <w:rsid w:val="597E3DD8"/>
    <w:rsid w:val="59DC7039"/>
    <w:rsid w:val="59F80043"/>
    <w:rsid w:val="5A09252F"/>
    <w:rsid w:val="5A0B2778"/>
    <w:rsid w:val="5A2A7C7B"/>
    <w:rsid w:val="5A3E2560"/>
    <w:rsid w:val="5A5D3B6E"/>
    <w:rsid w:val="5A637A76"/>
    <w:rsid w:val="5A6D33BA"/>
    <w:rsid w:val="5A792B1F"/>
    <w:rsid w:val="5A874767"/>
    <w:rsid w:val="5AAD6F28"/>
    <w:rsid w:val="5AD63A24"/>
    <w:rsid w:val="5B267382"/>
    <w:rsid w:val="5B2E1A1D"/>
    <w:rsid w:val="5B335E1A"/>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CE4ECA"/>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760D1A"/>
    <w:rsid w:val="617D634E"/>
    <w:rsid w:val="6182292A"/>
    <w:rsid w:val="619F7F92"/>
    <w:rsid w:val="61F94C26"/>
    <w:rsid w:val="62000E56"/>
    <w:rsid w:val="624F3E49"/>
    <w:rsid w:val="62632286"/>
    <w:rsid w:val="626B6209"/>
    <w:rsid w:val="62885958"/>
    <w:rsid w:val="62EF6021"/>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69761F"/>
    <w:rsid w:val="67A22552"/>
    <w:rsid w:val="67B22DCC"/>
    <w:rsid w:val="67BE71AA"/>
    <w:rsid w:val="67C1666E"/>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492930"/>
    <w:rsid w:val="69627681"/>
    <w:rsid w:val="6977531D"/>
    <w:rsid w:val="697B2927"/>
    <w:rsid w:val="69CC2BFF"/>
    <w:rsid w:val="69FD55B8"/>
    <w:rsid w:val="6A0B1C62"/>
    <w:rsid w:val="6A2406C8"/>
    <w:rsid w:val="6A8F6CF3"/>
    <w:rsid w:val="6A9D4F11"/>
    <w:rsid w:val="6ADE0BD1"/>
    <w:rsid w:val="6AE96859"/>
    <w:rsid w:val="6B147746"/>
    <w:rsid w:val="6B24787C"/>
    <w:rsid w:val="6B573233"/>
    <w:rsid w:val="6B5B6274"/>
    <w:rsid w:val="6B935D53"/>
    <w:rsid w:val="6C196F71"/>
    <w:rsid w:val="6C226FCB"/>
    <w:rsid w:val="6C31226F"/>
    <w:rsid w:val="6C552F0B"/>
    <w:rsid w:val="6C7F71DB"/>
    <w:rsid w:val="6C8C67B7"/>
    <w:rsid w:val="6C9D744C"/>
    <w:rsid w:val="6D167928"/>
    <w:rsid w:val="6D230C5E"/>
    <w:rsid w:val="6D26299B"/>
    <w:rsid w:val="6D4772EC"/>
    <w:rsid w:val="6D9078AF"/>
    <w:rsid w:val="6DAA3FEF"/>
    <w:rsid w:val="6DC0172B"/>
    <w:rsid w:val="6DCB690C"/>
    <w:rsid w:val="6DD41A5B"/>
    <w:rsid w:val="6DE617BB"/>
    <w:rsid w:val="6DF43C2E"/>
    <w:rsid w:val="6DF51CA3"/>
    <w:rsid w:val="6E8335BD"/>
    <w:rsid w:val="6E8E12EF"/>
    <w:rsid w:val="6E972936"/>
    <w:rsid w:val="6EBD2E8A"/>
    <w:rsid w:val="6ED446C5"/>
    <w:rsid w:val="6F2A7D94"/>
    <w:rsid w:val="6F3C69C1"/>
    <w:rsid w:val="6F8331F1"/>
    <w:rsid w:val="6FA103A4"/>
    <w:rsid w:val="6FAE1A09"/>
    <w:rsid w:val="6FD75BF8"/>
    <w:rsid w:val="706860DE"/>
    <w:rsid w:val="707723D0"/>
    <w:rsid w:val="70F5661B"/>
    <w:rsid w:val="71125911"/>
    <w:rsid w:val="712A1073"/>
    <w:rsid w:val="71360107"/>
    <w:rsid w:val="713B688E"/>
    <w:rsid w:val="71B57345"/>
    <w:rsid w:val="71D43752"/>
    <w:rsid w:val="71F1796A"/>
    <w:rsid w:val="72154626"/>
    <w:rsid w:val="72262B5D"/>
    <w:rsid w:val="72283FF7"/>
    <w:rsid w:val="722E7212"/>
    <w:rsid w:val="723A0474"/>
    <w:rsid w:val="725923E4"/>
    <w:rsid w:val="72864BF7"/>
    <w:rsid w:val="729023FC"/>
    <w:rsid w:val="73011790"/>
    <w:rsid w:val="73C0646E"/>
    <w:rsid w:val="742222F5"/>
    <w:rsid w:val="74476126"/>
    <w:rsid w:val="74706664"/>
    <w:rsid w:val="747F3682"/>
    <w:rsid w:val="74941BBE"/>
    <w:rsid w:val="749C4185"/>
    <w:rsid w:val="75067759"/>
    <w:rsid w:val="752E6DCD"/>
    <w:rsid w:val="7551380D"/>
    <w:rsid w:val="75600BE5"/>
    <w:rsid w:val="7564475C"/>
    <w:rsid w:val="7583797F"/>
    <w:rsid w:val="75D20F1D"/>
    <w:rsid w:val="75DA2C18"/>
    <w:rsid w:val="75F54412"/>
    <w:rsid w:val="761D08E0"/>
    <w:rsid w:val="763E60D4"/>
    <w:rsid w:val="765D347C"/>
    <w:rsid w:val="76826699"/>
    <w:rsid w:val="76C87133"/>
    <w:rsid w:val="76CD08D5"/>
    <w:rsid w:val="76DB4B92"/>
    <w:rsid w:val="77052AA4"/>
    <w:rsid w:val="77136511"/>
    <w:rsid w:val="7729583F"/>
    <w:rsid w:val="77340A39"/>
    <w:rsid w:val="77351FD0"/>
    <w:rsid w:val="77472422"/>
    <w:rsid w:val="777F31F2"/>
    <w:rsid w:val="77D1700D"/>
    <w:rsid w:val="77EC04CC"/>
    <w:rsid w:val="7860158C"/>
    <w:rsid w:val="78775729"/>
    <w:rsid w:val="78A42DB0"/>
    <w:rsid w:val="78A656AB"/>
    <w:rsid w:val="78B2245C"/>
    <w:rsid w:val="78E172CC"/>
    <w:rsid w:val="78EA1D1F"/>
    <w:rsid w:val="7904172F"/>
    <w:rsid w:val="7908740A"/>
    <w:rsid w:val="790F7E27"/>
    <w:rsid w:val="79202D48"/>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67692"/>
    <w:rsid w:val="7C881368"/>
    <w:rsid w:val="7CE27788"/>
    <w:rsid w:val="7D0C32F1"/>
    <w:rsid w:val="7D0F408D"/>
    <w:rsid w:val="7D491C6C"/>
    <w:rsid w:val="7D5429C0"/>
    <w:rsid w:val="7D6E6D43"/>
    <w:rsid w:val="7DB57A34"/>
    <w:rsid w:val="7DE60973"/>
    <w:rsid w:val="7DEF0916"/>
    <w:rsid w:val="7DFB3A10"/>
    <w:rsid w:val="7E1E5218"/>
    <w:rsid w:val="7E7F0F6E"/>
    <w:rsid w:val="7E9A4E1F"/>
    <w:rsid w:val="7EA7723A"/>
    <w:rsid w:val="7ED55164"/>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5"/>
    <w:link w:val="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link w:val="83"/>
    <w:qFormat/>
    <w:uiPriority w:val="0"/>
    <w:pPr>
      <w:keepNext/>
      <w:keepLines/>
      <w:tabs>
        <w:tab w:val="left" w:pos="432"/>
      </w:tabs>
      <w:adjustRightInd/>
      <w:spacing w:line="360" w:lineRule="auto"/>
      <w:ind w:left="432" w:hanging="432"/>
      <w:jc w:val="left"/>
      <w:outlineLvl w:val="1"/>
    </w:pPr>
    <w:rPr>
      <w:rFonts w:ascii="仿宋_GB2312" w:hAnsi="仿宋" w:eastAsia="仿宋_GB2312"/>
      <w:b/>
      <w:bCs/>
      <w:kern w:val="0"/>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5"/>
    <w:qFormat/>
    <w:uiPriority w:val="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uiPriority w:val="1"/>
  </w:style>
  <w:style w:type="table" w:default="1" w:styleId="63">
    <w:name w:val="Normal Table"/>
    <w:unhideWhenUsed/>
    <w:uiPriority w:val="99"/>
    <w:tblPr>
      <w:tblCellMar>
        <w:top w:w="0" w:type="dxa"/>
        <w:left w:w="108" w:type="dxa"/>
        <w:bottom w:w="0" w:type="dxa"/>
        <w:right w:w="108" w:type="dxa"/>
      </w:tblCellMar>
    </w:tblPr>
  </w:style>
  <w:style w:type="paragraph" w:styleId="2">
    <w:name w:val="Body Text First Indent"/>
    <w:basedOn w:val="3"/>
    <w:link w:val="81"/>
    <w:qFormat/>
    <w:uiPriority w:val="0"/>
    <w:pPr>
      <w:ind w:firstLine="420"/>
    </w:pPr>
    <w:rPr>
      <w:rFonts w:hAnsi="Times New Roman" w:cs="Times New Roman"/>
      <w:snapToGrid/>
      <w:szCs w:val="20"/>
    </w:rPr>
  </w:style>
  <w:style w:type="paragraph" w:styleId="3">
    <w:name w:val="Body Text"/>
    <w:basedOn w:val="1"/>
    <w:link w:val="80"/>
    <w:qFormat/>
    <w:uiPriority w:val="0"/>
    <w:pPr>
      <w:autoSpaceDE w:val="0"/>
      <w:autoSpaceDN w:val="0"/>
      <w:spacing w:line="360" w:lineRule="auto"/>
    </w:pPr>
    <w:rPr>
      <w:rFonts w:ascii="宋体" w:hAnsi="Arial" w:cs="Arial"/>
      <w:snapToGrid w:val="0"/>
      <w:sz w:val="24"/>
      <w:szCs w:val="21"/>
      <w:lang w:val="zh-CN"/>
    </w:rPr>
  </w:style>
  <w:style w:type="paragraph" w:customStyle="1" w:styleId="5">
    <w:name w:val="正"/>
    <w:qFormat/>
    <w:uiPriority w:val="0"/>
    <w:pPr>
      <w:widowControl w:val="0"/>
      <w:spacing w:line="360" w:lineRule="auto"/>
      <w:ind w:firstLine="480" w:firstLineChars="200"/>
      <w:contextualSpacing/>
      <w:jc w:val="both"/>
    </w:pPr>
    <w:rPr>
      <w:rFonts w:ascii="Times New Roman" w:hAnsi="Times New Roman" w:eastAsia="宋体" w:cs="Times New Roman"/>
      <w:sz w:val="24"/>
      <w:szCs w:val="24"/>
      <w:lang w:val="en-US" w:eastAsia="zh-CN" w:bidi="ar-SA"/>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next w:val="1"/>
    <w:link w:val="90"/>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9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92"/>
    <w:qFormat/>
    <w:uiPriority w:val="0"/>
    <w:pPr>
      <w:shd w:val="clear" w:color="auto" w:fill="000080"/>
    </w:pPr>
  </w:style>
  <w:style w:type="paragraph" w:styleId="22">
    <w:name w:val="annotation text"/>
    <w:basedOn w:val="1"/>
    <w:link w:val="93"/>
    <w:qFormat/>
    <w:uiPriority w:val="0"/>
    <w:pPr>
      <w:jc w:val="left"/>
    </w:pPr>
  </w:style>
  <w:style w:type="paragraph" w:styleId="23">
    <w:name w:val="Salutation"/>
    <w:basedOn w:val="1"/>
    <w:next w:val="1"/>
    <w:link w:val="94"/>
    <w:qFormat/>
    <w:uiPriority w:val="0"/>
    <w:rPr>
      <w:rFonts w:ascii="仿宋_GB2312" w:eastAsia="仿宋_GB2312"/>
      <w:sz w:val="28"/>
      <w:szCs w:val="20"/>
    </w:rPr>
  </w:style>
  <w:style w:type="paragraph" w:styleId="24">
    <w:name w:val="Body Text 3"/>
    <w:basedOn w:val="1"/>
    <w:link w:val="95"/>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96"/>
    <w:autoRedefine/>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97"/>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9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99"/>
    <w:autoRedefine/>
    <w:qFormat/>
    <w:uiPriority w:val="0"/>
    <w:pPr>
      <w:ind w:left="100" w:leftChars="2500"/>
    </w:pPr>
    <w:rPr>
      <w:rFonts w:ascii="宋体"/>
      <w:sz w:val="24"/>
      <w:szCs w:val="21"/>
      <w:lang w:val="zh-CN"/>
    </w:rPr>
  </w:style>
  <w:style w:type="paragraph" w:styleId="38">
    <w:name w:val="Body Text Indent 2"/>
    <w:basedOn w:val="1"/>
    <w:link w:val="100"/>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101"/>
    <w:autoRedefine/>
    <w:qFormat/>
    <w:uiPriority w:val="0"/>
    <w:rPr>
      <w:lang w:val="zh-CN"/>
    </w:rPr>
  </w:style>
  <w:style w:type="paragraph" w:styleId="40">
    <w:name w:val="Balloon Text"/>
    <w:basedOn w:val="1"/>
    <w:link w:val="102"/>
    <w:qFormat/>
    <w:uiPriority w:val="0"/>
    <w:rPr>
      <w:sz w:val="18"/>
      <w:szCs w:val="18"/>
    </w:rPr>
  </w:style>
  <w:style w:type="paragraph" w:styleId="41">
    <w:name w:val="footer"/>
    <w:basedOn w:val="1"/>
    <w:link w:val="103"/>
    <w:autoRedefine/>
    <w:qFormat/>
    <w:uiPriority w:val="99"/>
    <w:pPr>
      <w:tabs>
        <w:tab w:val="center" w:pos="4153"/>
        <w:tab w:val="right" w:pos="8306"/>
      </w:tabs>
      <w:snapToGrid w:val="0"/>
      <w:jc w:val="left"/>
    </w:pPr>
    <w:rPr>
      <w:sz w:val="18"/>
      <w:szCs w:val="18"/>
    </w:rPr>
  </w:style>
  <w:style w:type="paragraph" w:styleId="42">
    <w:name w:val="header"/>
    <w:basedOn w:val="1"/>
    <w:link w:val="104"/>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10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0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8"/>
    <w:link w:val="107"/>
    <w:qFormat/>
    <w:uiPriority w:val="0"/>
    <w:pPr>
      <w:adjustRightInd/>
      <w:snapToGrid/>
      <w:spacing w:before="60" w:after="60" w:line="300" w:lineRule="exact"/>
      <w:ind w:firstLine="0"/>
    </w:pPr>
    <w:rPr>
      <w:rFonts w:ascii="Times New Roman"/>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108"/>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109"/>
    <w:autoRedefine/>
    <w:qFormat/>
    <w:uiPriority w:val="0"/>
    <w:pPr>
      <w:spacing w:after="120" w:line="480" w:lineRule="auto"/>
    </w:pPr>
  </w:style>
  <w:style w:type="paragraph" w:styleId="58">
    <w:name w:val="HTML Preformatted"/>
    <w:basedOn w:val="1"/>
    <w:link w:val="11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11"/>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2"/>
    <w:next w:val="22"/>
    <w:link w:val="112"/>
    <w:autoRedefine/>
    <w:qFormat/>
    <w:uiPriority w:val="0"/>
    <w:rPr>
      <w:b/>
      <w:bCs/>
    </w:rPr>
  </w:style>
  <w:style w:type="paragraph" w:styleId="62">
    <w:name w:val="Body Text First Indent 2"/>
    <w:basedOn w:val="26"/>
    <w:next w:val="1"/>
    <w:link w:val="113"/>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basedOn w:val="70"/>
    <w:autoRedefine/>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character" w:customStyle="1" w:styleId="80">
    <w:name w:val="正文文本 Char1"/>
    <w:link w:val="3"/>
    <w:autoRedefine/>
    <w:qFormat/>
    <w:uiPriority w:val="0"/>
    <w:rPr>
      <w:rFonts w:ascii="宋体" w:hAnsi="Arial" w:eastAsia="宋体" w:cs="Arial"/>
      <w:snapToGrid w:val="0"/>
      <w:kern w:val="2"/>
      <w:sz w:val="24"/>
      <w:szCs w:val="21"/>
      <w:lang w:val="zh-CN" w:eastAsia="zh-CN" w:bidi="ar-SA"/>
    </w:rPr>
  </w:style>
  <w:style w:type="character" w:customStyle="1" w:styleId="81">
    <w:name w:val="正文首行缩进 Char"/>
    <w:link w:val="2"/>
    <w:qFormat/>
    <w:uiPriority w:val="0"/>
    <w:rPr>
      <w:rFonts w:ascii="宋体"/>
      <w:kern w:val="2"/>
      <w:sz w:val="24"/>
      <w:lang w:val="zh-CN"/>
    </w:rPr>
  </w:style>
  <w:style w:type="character" w:customStyle="1" w:styleId="82">
    <w:name w:val="标题 1 Char"/>
    <w:link w:val="4"/>
    <w:autoRedefine/>
    <w:qFormat/>
    <w:uiPriority w:val="9"/>
    <w:rPr>
      <w:b/>
      <w:bCs/>
      <w:kern w:val="44"/>
      <w:sz w:val="44"/>
      <w:szCs w:val="44"/>
    </w:rPr>
  </w:style>
  <w:style w:type="character" w:customStyle="1" w:styleId="83">
    <w:name w:val="标题 2 Char1"/>
    <w:link w:val="6"/>
    <w:autoRedefine/>
    <w:qFormat/>
    <w:uiPriority w:val="0"/>
    <w:rPr>
      <w:rFonts w:ascii="仿宋_GB2312" w:hAnsi="仿宋" w:eastAsia="仿宋_GB2312"/>
      <w:b/>
      <w:bCs/>
      <w:sz w:val="32"/>
      <w:szCs w:val="32"/>
      <w:lang w:val="zh-CN"/>
    </w:rPr>
  </w:style>
  <w:style w:type="character" w:customStyle="1" w:styleId="84">
    <w:name w:val="标题 4 Char2"/>
    <w:link w:val="8"/>
    <w:autoRedefine/>
    <w:qFormat/>
    <w:uiPriority w:val="9"/>
    <w:rPr>
      <w:rFonts w:ascii="Arial" w:hAnsi="Arial" w:eastAsia="黑体"/>
      <w:b/>
      <w:bCs/>
      <w:kern w:val="2"/>
      <w:sz w:val="28"/>
      <w:szCs w:val="28"/>
      <w:lang w:val="zh-CN"/>
    </w:rPr>
  </w:style>
  <w:style w:type="character" w:customStyle="1" w:styleId="85">
    <w:name w:val="标题 5 Char"/>
    <w:link w:val="9"/>
    <w:autoRedefine/>
    <w:qFormat/>
    <w:uiPriority w:val="9"/>
    <w:rPr>
      <w:b/>
      <w:bCs/>
      <w:kern w:val="2"/>
      <w:sz w:val="28"/>
      <w:szCs w:val="28"/>
    </w:rPr>
  </w:style>
  <w:style w:type="character" w:customStyle="1" w:styleId="86">
    <w:name w:val="标题 6 Char"/>
    <w:link w:val="10"/>
    <w:autoRedefine/>
    <w:qFormat/>
    <w:uiPriority w:val="0"/>
    <w:rPr>
      <w:rFonts w:ascii="Arial" w:hAnsi="Arial" w:eastAsia="黑体"/>
      <w:b/>
      <w:bCs/>
      <w:kern w:val="2"/>
      <w:sz w:val="24"/>
      <w:szCs w:val="24"/>
    </w:rPr>
  </w:style>
  <w:style w:type="character" w:customStyle="1" w:styleId="87">
    <w:name w:val="标题 7 Char"/>
    <w:link w:val="11"/>
    <w:autoRedefine/>
    <w:qFormat/>
    <w:uiPriority w:val="0"/>
    <w:rPr>
      <w:b/>
      <w:bCs/>
      <w:kern w:val="2"/>
      <w:sz w:val="24"/>
      <w:szCs w:val="24"/>
    </w:rPr>
  </w:style>
  <w:style w:type="character" w:customStyle="1" w:styleId="88">
    <w:name w:val="标题 8 Char"/>
    <w:link w:val="12"/>
    <w:autoRedefine/>
    <w:qFormat/>
    <w:uiPriority w:val="0"/>
    <w:rPr>
      <w:rFonts w:ascii="Arial" w:hAnsi="Arial" w:eastAsia="黑体"/>
      <w:kern w:val="2"/>
      <w:sz w:val="24"/>
      <w:szCs w:val="24"/>
    </w:rPr>
  </w:style>
  <w:style w:type="character" w:customStyle="1" w:styleId="89">
    <w:name w:val="标题 9 Char"/>
    <w:link w:val="13"/>
    <w:autoRedefine/>
    <w:qFormat/>
    <w:uiPriority w:val="0"/>
    <w:rPr>
      <w:rFonts w:ascii="Arial" w:hAnsi="Arial" w:eastAsia="黑体"/>
      <w:kern w:val="2"/>
      <w:sz w:val="21"/>
      <w:szCs w:val="21"/>
    </w:rPr>
  </w:style>
  <w:style w:type="character" w:customStyle="1" w:styleId="90">
    <w:name w:val="正文缩进 Char2"/>
    <w:link w:val="18"/>
    <w:autoRedefine/>
    <w:qFormat/>
    <w:uiPriority w:val="0"/>
    <w:rPr>
      <w:rFonts w:ascii="宋体" w:eastAsia="宋体"/>
      <w:snapToGrid w:val="0"/>
      <w:color w:val="000000"/>
      <w:kern w:val="28"/>
      <w:sz w:val="28"/>
      <w:lang w:val="en-US" w:eastAsia="zh-CN" w:bidi="ar-SA"/>
    </w:rPr>
  </w:style>
  <w:style w:type="character" w:customStyle="1" w:styleId="91">
    <w:name w:val="题注 Char"/>
    <w:link w:val="19"/>
    <w:autoRedefine/>
    <w:qFormat/>
    <w:uiPriority w:val="0"/>
    <w:rPr>
      <w:b/>
      <w:kern w:val="2"/>
      <w:sz w:val="28"/>
    </w:rPr>
  </w:style>
  <w:style w:type="character" w:customStyle="1" w:styleId="92">
    <w:name w:val="文档结构图 Char1"/>
    <w:link w:val="21"/>
    <w:autoRedefine/>
    <w:qFormat/>
    <w:uiPriority w:val="0"/>
    <w:rPr>
      <w:kern w:val="2"/>
      <w:sz w:val="21"/>
      <w:szCs w:val="24"/>
      <w:shd w:val="clear" w:color="auto" w:fill="000080"/>
    </w:rPr>
  </w:style>
  <w:style w:type="character" w:customStyle="1" w:styleId="93">
    <w:name w:val="批注文字 Char1"/>
    <w:link w:val="22"/>
    <w:autoRedefine/>
    <w:qFormat/>
    <w:uiPriority w:val="0"/>
    <w:rPr>
      <w:kern w:val="2"/>
      <w:sz w:val="21"/>
      <w:szCs w:val="24"/>
    </w:rPr>
  </w:style>
  <w:style w:type="character" w:customStyle="1" w:styleId="94">
    <w:name w:val="称呼 Char"/>
    <w:link w:val="23"/>
    <w:autoRedefine/>
    <w:qFormat/>
    <w:uiPriority w:val="0"/>
    <w:rPr>
      <w:rFonts w:ascii="仿宋_GB2312" w:eastAsia="仿宋_GB2312"/>
      <w:kern w:val="2"/>
      <w:sz w:val="28"/>
    </w:rPr>
  </w:style>
  <w:style w:type="character" w:customStyle="1" w:styleId="95">
    <w:name w:val="正文文本 3 Char"/>
    <w:link w:val="24"/>
    <w:autoRedefine/>
    <w:qFormat/>
    <w:uiPriority w:val="0"/>
    <w:rPr>
      <w:kern w:val="2"/>
      <w:sz w:val="21"/>
    </w:rPr>
  </w:style>
  <w:style w:type="character" w:customStyle="1" w:styleId="96">
    <w:name w:val="正文文本缩进 Char3"/>
    <w:link w:val="26"/>
    <w:autoRedefine/>
    <w:qFormat/>
    <w:uiPriority w:val="0"/>
    <w:rPr>
      <w:rFonts w:ascii="宋体" w:hAnsi="宋体"/>
      <w:kern w:val="2"/>
      <w:sz w:val="24"/>
      <w:szCs w:val="24"/>
    </w:rPr>
  </w:style>
  <w:style w:type="character" w:customStyle="1" w:styleId="97">
    <w:name w:val="HTML 地址 Char"/>
    <w:link w:val="31"/>
    <w:autoRedefine/>
    <w:qFormat/>
    <w:uiPriority w:val="0"/>
    <w:rPr>
      <w:rFonts w:ascii="宋体" w:hAnsi="宋体"/>
      <w:i/>
      <w:iCs/>
      <w:sz w:val="24"/>
      <w:szCs w:val="24"/>
    </w:rPr>
  </w:style>
  <w:style w:type="character" w:customStyle="1" w:styleId="98">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99">
    <w:name w:val="日期 Char"/>
    <w:link w:val="37"/>
    <w:autoRedefine/>
    <w:qFormat/>
    <w:uiPriority w:val="0"/>
    <w:rPr>
      <w:rFonts w:ascii="宋体"/>
      <w:kern w:val="2"/>
      <w:sz w:val="24"/>
      <w:szCs w:val="21"/>
      <w:lang w:val="zh-CN"/>
    </w:rPr>
  </w:style>
  <w:style w:type="character" w:customStyle="1" w:styleId="100">
    <w:name w:val="正文文本缩进 2 Char"/>
    <w:link w:val="38"/>
    <w:autoRedefine/>
    <w:qFormat/>
    <w:uiPriority w:val="0"/>
    <w:rPr>
      <w:rFonts w:ascii="宋体"/>
      <w:sz w:val="28"/>
    </w:rPr>
  </w:style>
  <w:style w:type="character" w:customStyle="1" w:styleId="101">
    <w:name w:val="尾注文本 Char"/>
    <w:link w:val="39"/>
    <w:autoRedefine/>
    <w:qFormat/>
    <w:uiPriority w:val="0"/>
    <w:rPr>
      <w:kern w:val="2"/>
      <w:sz w:val="21"/>
      <w:szCs w:val="24"/>
      <w:lang w:val="zh-CN"/>
    </w:rPr>
  </w:style>
  <w:style w:type="character" w:customStyle="1" w:styleId="102">
    <w:name w:val="批注框文本 Char"/>
    <w:link w:val="40"/>
    <w:autoRedefine/>
    <w:qFormat/>
    <w:uiPriority w:val="0"/>
    <w:rPr>
      <w:kern w:val="2"/>
      <w:sz w:val="18"/>
      <w:szCs w:val="18"/>
    </w:rPr>
  </w:style>
  <w:style w:type="character" w:customStyle="1" w:styleId="103">
    <w:name w:val="页脚 Char2"/>
    <w:link w:val="41"/>
    <w:autoRedefine/>
    <w:qFormat/>
    <w:locked/>
    <w:uiPriority w:val="99"/>
    <w:rPr>
      <w:kern w:val="2"/>
      <w:sz w:val="18"/>
      <w:szCs w:val="18"/>
    </w:rPr>
  </w:style>
  <w:style w:type="character" w:customStyle="1" w:styleId="104">
    <w:name w:val="页眉 Char2"/>
    <w:link w:val="42"/>
    <w:autoRedefine/>
    <w:qFormat/>
    <w:uiPriority w:val="99"/>
    <w:rPr>
      <w:kern w:val="2"/>
      <w:sz w:val="18"/>
      <w:szCs w:val="18"/>
    </w:rPr>
  </w:style>
  <w:style w:type="character" w:customStyle="1" w:styleId="105">
    <w:name w:val="签名 Char"/>
    <w:link w:val="43"/>
    <w:autoRedefine/>
    <w:qFormat/>
    <w:uiPriority w:val="0"/>
    <w:rPr>
      <w:rFonts w:eastAsia="仿宋_GB2312"/>
      <w:sz w:val="24"/>
    </w:rPr>
  </w:style>
  <w:style w:type="character" w:customStyle="1" w:styleId="106">
    <w:name w:val="副标题 Char"/>
    <w:link w:val="48"/>
    <w:autoRedefine/>
    <w:qFormat/>
    <w:uiPriority w:val="0"/>
    <w:rPr>
      <w:rFonts w:ascii="Arial" w:hAnsi="Arial" w:eastAsia="隶书"/>
      <w:b/>
      <w:bCs/>
      <w:kern w:val="28"/>
      <w:sz w:val="44"/>
      <w:szCs w:val="32"/>
      <w:lang w:val="en-US" w:eastAsia="zh-CN" w:bidi="ar-SA"/>
    </w:rPr>
  </w:style>
  <w:style w:type="character" w:customStyle="1" w:styleId="107">
    <w:name w:val="脚注文本 Char"/>
    <w:link w:val="51"/>
    <w:autoRedefine/>
    <w:qFormat/>
    <w:uiPriority w:val="0"/>
    <w:rPr>
      <w:color w:val="0000FF"/>
      <w:sz w:val="21"/>
    </w:rPr>
  </w:style>
  <w:style w:type="character" w:customStyle="1" w:styleId="108">
    <w:name w:val="正文文本缩进 3 Char"/>
    <w:link w:val="54"/>
    <w:autoRedefine/>
    <w:qFormat/>
    <w:uiPriority w:val="0"/>
    <w:rPr>
      <w:kern w:val="2"/>
      <w:sz w:val="24"/>
    </w:rPr>
  </w:style>
  <w:style w:type="character" w:customStyle="1" w:styleId="109">
    <w:name w:val="正文文本 2 Char1"/>
    <w:link w:val="57"/>
    <w:autoRedefine/>
    <w:qFormat/>
    <w:uiPriority w:val="0"/>
    <w:rPr>
      <w:kern w:val="2"/>
      <w:sz w:val="21"/>
      <w:szCs w:val="24"/>
    </w:rPr>
  </w:style>
  <w:style w:type="character" w:customStyle="1" w:styleId="110">
    <w:name w:val="HTML 预设格式 Char"/>
    <w:link w:val="58"/>
    <w:autoRedefine/>
    <w:qFormat/>
    <w:uiPriority w:val="0"/>
    <w:rPr>
      <w:rFonts w:ascii="黑体" w:hAnsi="Courier New" w:eastAsia="黑体"/>
    </w:rPr>
  </w:style>
  <w:style w:type="character" w:customStyle="1" w:styleId="111">
    <w:name w:val="标题 Char2"/>
    <w:link w:val="60"/>
    <w:autoRedefine/>
    <w:qFormat/>
    <w:uiPriority w:val="10"/>
    <w:rPr>
      <w:b/>
      <w:sz w:val="24"/>
    </w:rPr>
  </w:style>
  <w:style w:type="character" w:customStyle="1" w:styleId="112">
    <w:name w:val="批注主题 Char1"/>
    <w:link w:val="61"/>
    <w:autoRedefine/>
    <w:qFormat/>
    <w:uiPriority w:val="0"/>
    <w:rPr>
      <w:b/>
      <w:bCs/>
      <w:kern w:val="2"/>
      <w:sz w:val="21"/>
      <w:szCs w:val="24"/>
    </w:rPr>
  </w:style>
  <w:style w:type="character" w:customStyle="1" w:styleId="113">
    <w:name w:val="正文首行缩进 2 Char"/>
    <w:link w:val="62"/>
    <w:autoRedefine/>
    <w:qFormat/>
    <w:uiPriority w:val="0"/>
    <w:rPr>
      <w:rFonts w:ascii="宋体" w:hAnsi="宋体"/>
      <w:kern w:val="2"/>
      <w:sz w:val="21"/>
      <w:szCs w:val="24"/>
    </w:rPr>
  </w:style>
  <w:style w:type="character" w:customStyle="1" w:styleId="114">
    <w:name w:val="标题 2 Char"/>
    <w:autoRedefine/>
    <w:qFormat/>
    <w:uiPriority w:val="0"/>
    <w:rPr>
      <w:rFonts w:ascii="Arial" w:hAnsi="Arial" w:eastAsia="黑体"/>
      <w:b/>
      <w:kern w:val="2"/>
      <w:sz w:val="32"/>
      <w:lang w:val="en-US" w:eastAsia="zh-CN"/>
    </w:rPr>
  </w:style>
  <w:style w:type="character" w:customStyle="1" w:styleId="115">
    <w:name w:val="标题 4 Char"/>
    <w:autoRedefine/>
    <w:qFormat/>
    <w:uiPriority w:val="0"/>
    <w:rPr>
      <w:rFonts w:ascii="Arial" w:hAnsi="Arial" w:eastAsia="黑体"/>
      <w:b/>
      <w:kern w:val="2"/>
      <w:sz w:val="28"/>
    </w:rPr>
  </w:style>
  <w:style w:type="character" w:customStyle="1" w:styleId="116">
    <w:name w:val="批注文字 Char"/>
    <w:autoRedefine/>
    <w:qFormat/>
    <w:uiPriority w:val="99"/>
    <w:rPr>
      <w:kern w:val="2"/>
      <w:sz w:val="21"/>
      <w:szCs w:val="24"/>
    </w:rPr>
  </w:style>
  <w:style w:type="character" w:customStyle="1" w:styleId="117">
    <w:name w:val="页脚 Char"/>
    <w:autoRedefine/>
    <w:qFormat/>
    <w:uiPriority w:val="0"/>
    <w:rPr>
      <w:rFonts w:eastAsia="仿宋_GB2312"/>
      <w:kern w:val="2"/>
      <w:sz w:val="18"/>
      <w:lang w:val="en-US" w:eastAsia="zh-CN"/>
    </w:rPr>
  </w:style>
  <w:style w:type="character" w:customStyle="1" w:styleId="118">
    <w:name w:val="页眉 Char"/>
    <w:autoRedefine/>
    <w:qFormat/>
    <w:uiPriority w:val="0"/>
    <w:rPr>
      <w:rFonts w:eastAsia="仿宋_GB2312"/>
      <w:kern w:val="2"/>
      <w:sz w:val="18"/>
      <w:lang w:val="en-US" w:eastAsia="zh-CN"/>
    </w:rPr>
  </w:style>
  <w:style w:type="character" w:customStyle="1" w:styleId="119">
    <w:name w:val="批注主题 Char"/>
    <w:autoRedefine/>
    <w:qFormat/>
    <w:uiPriority w:val="0"/>
    <w:rPr>
      <w:rFonts w:eastAsia="宋体"/>
      <w:b/>
      <w:bCs/>
      <w:kern w:val="2"/>
      <w:sz w:val="21"/>
      <w:szCs w:val="24"/>
      <w:lang w:val="en-US" w:eastAsia="zh-CN" w:bidi="ar-SA"/>
    </w:rPr>
  </w:style>
  <w:style w:type="character" w:customStyle="1" w:styleId="120">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121">
    <w:name w:val="Char Char3"/>
    <w:autoRedefine/>
    <w:qFormat/>
    <w:uiPriority w:val="0"/>
    <w:rPr>
      <w:rFonts w:eastAsia="宋体"/>
      <w:kern w:val="2"/>
      <w:sz w:val="21"/>
      <w:szCs w:val="24"/>
      <w:lang w:val="en-US" w:eastAsia="zh-CN" w:bidi="ar-SA"/>
    </w:rPr>
  </w:style>
  <w:style w:type="character" w:customStyle="1" w:styleId="122">
    <w:name w:val="标准正文格式 Char"/>
    <w:autoRedefine/>
    <w:qFormat/>
    <w:uiPriority w:val="0"/>
    <w:rPr>
      <w:rFonts w:ascii="宋体" w:eastAsia="仿宋_GB2312" w:cs="宋体"/>
      <w:color w:val="000000"/>
      <w:sz w:val="24"/>
      <w:lang w:val="en-US" w:eastAsia="zh-CN" w:bidi="ar-SA"/>
    </w:rPr>
  </w:style>
  <w:style w:type="character" w:customStyle="1" w:styleId="123">
    <w:name w:val="文本正文 Char Char"/>
    <w:autoRedefine/>
    <w:qFormat/>
    <w:locked/>
    <w:uiPriority w:val="0"/>
    <w:rPr>
      <w:sz w:val="24"/>
      <w:lang w:bidi="ar-SA"/>
    </w:rPr>
  </w:style>
  <w:style w:type="character" w:customStyle="1" w:styleId="124">
    <w:name w:val="脚注文本 Char1"/>
    <w:autoRedefine/>
    <w:qFormat/>
    <w:uiPriority w:val="0"/>
    <w:rPr>
      <w:rFonts w:ascii="Times New Roman" w:hAnsi="Times New Roman" w:eastAsia="宋体" w:cs="Times New Roman"/>
      <w:sz w:val="18"/>
      <w:szCs w:val="18"/>
    </w:rPr>
  </w:style>
  <w:style w:type="character" w:customStyle="1" w:styleId="125">
    <w:name w:val="my正文 Char"/>
    <w:link w:val="126"/>
    <w:autoRedefine/>
    <w:qFormat/>
    <w:locked/>
    <w:uiPriority w:val="0"/>
    <w:rPr>
      <w:rFonts w:ascii="Tahoma" w:hAnsi="Tahoma"/>
      <w:sz w:val="24"/>
      <w:szCs w:val="24"/>
    </w:rPr>
  </w:style>
  <w:style w:type="paragraph" w:customStyle="1" w:styleId="126">
    <w:name w:val="my正文"/>
    <w:basedOn w:val="1"/>
    <w:link w:val="125"/>
    <w:autoRedefine/>
    <w:qFormat/>
    <w:uiPriority w:val="0"/>
    <w:pPr>
      <w:adjustRightInd/>
      <w:spacing w:line="360" w:lineRule="auto"/>
      <w:ind w:firstLine="480" w:firstLineChars="200"/>
    </w:pPr>
    <w:rPr>
      <w:rFonts w:ascii="Tahoma" w:hAnsi="Tahoma"/>
      <w:kern w:val="0"/>
      <w:sz w:val="24"/>
    </w:rPr>
  </w:style>
  <w:style w:type="character" w:customStyle="1" w:styleId="127">
    <w:name w:val="批注框文本 Char1"/>
    <w:autoRedefine/>
    <w:qFormat/>
    <w:uiPriority w:val="0"/>
    <w:rPr>
      <w:rFonts w:ascii="Times New Roman" w:hAnsi="Times New Roman" w:eastAsia="宋体" w:cs="Times New Roman"/>
      <w:sz w:val="18"/>
      <w:szCs w:val="18"/>
    </w:rPr>
  </w:style>
  <w:style w:type="character" w:customStyle="1" w:styleId="128">
    <w:name w:val="Footer-Even Char1"/>
    <w:autoRedefine/>
    <w:qFormat/>
    <w:uiPriority w:val="0"/>
    <w:rPr>
      <w:rFonts w:eastAsia="宋体"/>
      <w:kern w:val="2"/>
      <w:sz w:val="18"/>
      <w:szCs w:val="18"/>
      <w:lang w:val="en-US" w:eastAsia="zh-CN" w:bidi="ar-SA"/>
    </w:rPr>
  </w:style>
  <w:style w:type="character" w:customStyle="1" w:styleId="129">
    <w:name w:val="表格 Char Char"/>
    <w:autoRedefine/>
    <w:qFormat/>
    <w:uiPriority w:val="0"/>
    <w:rPr>
      <w:rFonts w:ascii="宋体" w:hAnsi="宋体" w:eastAsia="宋体"/>
      <w:lang w:bidi="ar-SA"/>
    </w:rPr>
  </w:style>
  <w:style w:type="character" w:customStyle="1" w:styleId="130">
    <w:name w:val="apple-converted-space"/>
    <w:autoRedefine/>
    <w:qFormat/>
    <w:uiPriority w:val="0"/>
  </w:style>
  <w:style w:type="character" w:customStyle="1" w:styleId="131">
    <w:name w:val="Char Char213"/>
    <w:autoRedefine/>
    <w:qFormat/>
    <w:uiPriority w:val="0"/>
    <w:rPr>
      <w:rFonts w:eastAsia="Century Gothic"/>
      <w:b/>
      <w:bCs/>
      <w:kern w:val="44"/>
      <w:sz w:val="32"/>
      <w:szCs w:val="44"/>
      <w:lang w:val="en-US" w:eastAsia="zh-CN" w:bidi="ar-SA"/>
    </w:rPr>
  </w:style>
  <w:style w:type="character" w:customStyle="1" w:styleId="132">
    <w:name w:val="正文首行缩进两字 Char"/>
    <w:autoRedefine/>
    <w:qFormat/>
    <w:uiPriority w:val="0"/>
    <w:rPr>
      <w:sz w:val="24"/>
      <w:szCs w:val="24"/>
      <w:lang w:val="en-US" w:eastAsia="zh-CN" w:bidi="ar-SA"/>
    </w:rPr>
  </w:style>
  <w:style w:type="character" w:customStyle="1" w:styleId="133">
    <w:name w:val="列出段落 Char1"/>
    <w:link w:val="134"/>
    <w:autoRedefine/>
    <w:qFormat/>
    <w:uiPriority w:val="0"/>
    <w:rPr>
      <w:rFonts w:ascii="Calibri" w:hAnsi="Calibri"/>
      <w:sz w:val="24"/>
      <w:lang w:eastAsia="en-US"/>
    </w:rPr>
  </w:style>
  <w:style w:type="paragraph" w:customStyle="1" w:styleId="134">
    <w:name w:val="列表1"/>
    <w:basedOn w:val="1"/>
    <w:next w:val="135"/>
    <w:link w:val="133"/>
    <w:autoRedefine/>
    <w:qFormat/>
    <w:uiPriority w:val="0"/>
    <w:pPr>
      <w:widowControl/>
      <w:adjustRightInd/>
      <w:spacing w:after="200" w:line="360" w:lineRule="auto"/>
      <w:ind w:left="720" w:firstLine="200" w:firstLineChars="200"/>
      <w:jc w:val="left"/>
    </w:pPr>
    <w:rPr>
      <w:rFonts w:ascii="Calibri" w:hAnsi="Calibri"/>
      <w:kern w:val="0"/>
      <w:sz w:val="24"/>
      <w:szCs w:val="20"/>
      <w:lang w:eastAsia="en-US"/>
    </w:rPr>
  </w:style>
  <w:style w:type="paragraph" w:customStyle="1" w:styleId="13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136">
    <w:name w:val="Char Char12"/>
    <w:autoRedefine/>
    <w:qFormat/>
    <w:uiPriority w:val="0"/>
    <w:rPr>
      <w:rFonts w:ascii="仿宋_GB2312" w:eastAsia="仿宋_GB2312"/>
      <w:b/>
      <w:bCs/>
      <w:kern w:val="2"/>
      <w:sz w:val="24"/>
      <w:szCs w:val="24"/>
      <w:lang w:val="zh-CN" w:eastAsia="zh-CN" w:bidi="ar-SA"/>
    </w:rPr>
  </w:style>
  <w:style w:type="character" w:customStyle="1" w:styleId="137">
    <w:name w:val="Char Char121"/>
    <w:autoRedefine/>
    <w:qFormat/>
    <w:uiPriority w:val="6"/>
    <w:rPr>
      <w:rFonts w:ascii="仿宋_GB2312" w:eastAsia="仿宋_GB2312"/>
      <w:b/>
      <w:bCs/>
      <w:kern w:val="2"/>
      <w:sz w:val="24"/>
      <w:szCs w:val="24"/>
      <w:lang w:val="zh-CN" w:eastAsia="zh-CN" w:bidi="ar-SA"/>
    </w:rPr>
  </w:style>
  <w:style w:type="character" w:customStyle="1" w:styleId="138">
    <w:name w:val="公文正文 Char"/>
    <w:autoRedefine/>
    <w:qFormat/>
    <w:uiPriority w:val="0"/>
    <w:rPr>
      <w:rFonts w:ascii="仿宋_GB2312" w:eastAsia="仿宋_GB2312"/>
      <w:kern w:val="2"/>
      <w:sz w:val="24"/>
      <w:szCs w:val="24"/>
      <w:lang w:val="en-US" w:eastAsia="zh-CN" w:bidi="ar-SA"/>
    </w:rPr>
  </w:style>
  <w:style w:type="character" w:customStyle="1" w:styleId="139">
    <w:name w:val="edui-unclickable"/>
    <w:autoRedefine/>
    <w:qFormat/>
    <w:uiPriority w:val="0"/>
    <w:rPr>
      <w:color w:val="808080"/>
    </w:rPr>
  </w:style>
  <w:style w:type="character" w:customStyle="1" w:styleId="140">
    <w:name w:val="正文（绿盟科技） Char"/>
    <w:link w:val="141"/>
    <w:autoRedefine/>
    <w:qFormat/>
    <w:uiPriority w:val="0"/>
    <w:rPr>
      <w:rFonts w:ascii="Arial" w:hAnsi="Arial"/>
      <w:sz w:val="21"/>
      <w:szCs w:val="21"/>
      <w:lang w:val="en-US" w:eastAsia="zh-CN" w:bidi="ar-SA"/>
    </w:rPr>
  </w:style>
  <w:style w:type="paragraph" w:customStyle="1" w:styleId="141">
    <w:name w:val="正文（绿盟科技）"/>
    <w:link w:val="140"/>
    <w:autoRedefine/>
    <w:qFormat/>
    <w:uiPriority w:val="0"/>
    <w:pPr>
      <w:spacing w:line="300" w:lineRule="auto"/>
    </w:pPr>
    <w:rPr>
      <w:rFonts w:ascii="Arial" w:hAnsi="Arial" w:eastAsia="宋体" w:cs="Times New Roman"/>
      <w:sz w:val="21"/>
      <w:szCs w:val="21"/>
      <w:lang w:val="en-US" w:eastAsia="zh-CN" w:bidi="ar-SA"/>
    </w:rPr>
  </w:style>
  <w:style w:type="character" w:customStyle="1" w:styleId="142">
    <w:name w:val="DO_NOT_TRANSLATE"/>
    <w:autoRedefine/>
    <w:qFormat/>
    <w:uiPriority w:val="0"/>
    <w:rPr>
      <w:rFonts w:ascii="Courier New" w:hAnsi="Courier New" w:cs="Courier New"/>
      <w:color w:val="800000"/>
      <w:lang w:val="en-US" w:eastAsia="zh-CN"/>
    </w:rPr>
  </w:style>
  <w:style w:type="character" w:customStyle="1" w:styleId="143">
    <w:name w:val="Ò³Ã¼ Char Char"/>
    <w:autoRedefine/>
    <w:qFormat/>
    <w:uiPriority w:val="0"/>
    <w:rPr>
      <w:rFonts w:eastAsia="宋体"/>
      <w:kern w:val="2"/>
      <w:sz w:val="18"/>
      <w:lang w:val="en-US" w:eastAsia="zh-CN" w:bidi="ar-SA"/>
    </w:rPr>
  </w:style>
  <w:style w:type="character" w:customStyle="1" w:styleId="144">
    <w:name w:val="Char Char10"/>
    <w:autoRedefine/>
    <w:semiHidden/>
    <w:qFormat/>
    <w:uiPriority w:val="0"/>
    <w:rPr>
      <w:rFonts w:ascii="宋体" w:hAnsi="宋体"/>
      <w:kern w:val="2"/>
      <w:sz w:val="21"/>
      <w:szCs w:val="24"/>
      <w:lang w:val="en-US" w:eastAsia="zh-CN"/>
    </w:rPr>
  </w:style>
  <w:style w:type="character" w:customStyle="1" w:styleId="145">
    <w:name w:val="标题4-dyf Char"/>
    <w:link w:val="146"/>
    <w:autoRedefine/>
    <w:qFormat/>
    <w:uiPriority w:val="0"/>
    <w:rPr>
      <w:rFonts w:ascii="Cambria" w:hAnsi="Cambria"/>
      <w:b/>
      <w:bCs/>
      <w:color w:val="000000"/>
      <w:kern w:val="2"/>
      <w:sz w:val="21"/>
      <w:szCs w:val="21"/>
    </w:rPr>
  </w:style>
  <w:style w:type="paragraph" w:customStyle="1" w:styleId="146">
    <w:name w:val="标题4-dyf"/>
    <w:basedOn w:val="8"/>
    <w:link w:val="14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47">
    <w:name w:val="pt9"/>
    <w:autoRedefine/>
    <w:qFormat/>
    <w:uiPriority w:val="0"/>
    <w:rPr>
      <w:rFonts w:ascii="仿宋_GB2312" w:eastAsia="微软雅黑"/>
      <w:b/>
      <w:kern w:val="2"/>
      <w:sz w:val="32"/>
      <w:szCs w:val="32"/>
      <w:lang w:val="en-US" w:eastAsia="zh-CN" w:bidi="ar-SA"/>
    </w:rPr>
  </w:style>
  <w:style w:type="character" w:customStyle="1" w:styleId="148">
    <w:name w:val="ksfind_class_select1"/>
    <w:basedOn w:val="70"/>
    <w:autoRedefine/>
    <w:qFormat/>
    <w:uiPriority w:val="0"/>
    <w:rPr>
      <w:color w:val="000000"/>
      <w:shd w:val="clear" w:color="auto" w:fill="EFD200"/>
    </w:rPr>
  </w:style>
  <w:style w:type="character" w:customStyle="1" w:styleId="149">
    <w:name w:val="tw4winInternal"/>
    <w:autoRedefine/>
    <w:qFormat/>
    <w:uiPriority w:val="0"/>
    <w:rPr>
      <w:rFonts w:ascii="Courier New" w:hAnsi="Courier New" w:cs="Courier New"/>
      <w:color w:val="FF0000"/>
      <w:lang w:val="en-US" w:eastAsia="zh-CN"/>
    </w:rPr>
  </w:style>
  <w:style w:type="character" w:customStyle="1" w:styleId="150">
    <w:name w:val="标题 4 字符"/>
    <w:autoRedefine/>
    <w:qFormat/>
    <w:uiPriority w:val="9"/>
    <w:rPr>
      <w:rFonts w:ascii="等线 Light" w:hAnsi="等线 Light" w:eastAsia="等线 Light" w:cs="Times New Roman"/>
      <w:b/>
      <w:bCs/>
      <w:snapToGrid w:val="0"/>
      <w:kern w:val="0"/>
      <w:sz w:val="28"/>
      <w:szCs w:val="28"/>
    </w:rPr>
  </w:style>
  <w:style w:type="character" w:customStyle="1" w:styleId="151">
    <w:name w:val="apple-style-span"/>
    <w:autoRedefine/>
    <w:qFormat/>
    <w:uiPriority w:val="0"/>
    <w:rPr>
      <w:rFonts w:ascii="Arial" w:hAnsi="Arial" w:eastAsia="黑体" w:cs="Arial"/>
      <w:snapToGrid w:val="0"/>
      <w:kern w:val="0"/>
      <w:szCs w:val="21"/>
    </w:rPr>
  </w:style>
  <w:style w:type="character" w:customStyle="1" w:styleId="152">
    <w:name w:val="正文文本 Char"/>
    <w:autoRedefine/>
    <w:qFormat/>
    <w:uiPriority w:val="0"/>
    <w:rPr>
      <w:rFonts w:eastAsia="宋体"/>
      <w:kern w:val="2"/>
      <w:sz w:val="24"/>
      <w:szCs w:val="24"/>
      <w:lang w:val="en-US" w:eastAsia="zh-CN" w:bidi="ar-SA"/>
    </w:rPr>
  </w:style>
  <w:style w:type="character" w:customStyle="1" w:styleId="153">
    <w:name w:val="Char Char212"/>
    <w:autoRedefine/>
    <w:qFormat/>
    <w:uiPriority w:val="0"/>
    <w:rPr>
      <w:rFonts w:eastAsia="宋体"/>
      <w:b/>
      <w:bCs/>
      <w:kern w:val="2"/>
      <w:sz w:val="21"/>
      <w:szCs w:val="24"/>
      <w:lang w:val="en-US" w:eastAsia="zh-CN" w:bidi="ar-SA"/>
    </w:rPr>
  </w:style>
  <w:style w:type="character" w:customStyle="1" w:styleId="154">
    <w:name w:val="Char Char72"/>
    <w:autoRedefine/>
    <w:qFormat/>
    <w:uiPriority w:val="0"/>
    <w:rPr>
      <w:rFonts w:eastAsia="宋体"/>
      <w:kern w:val="2"/>
      <w:sz w:val="21"/>
      <w:szCs w:val="24"/>
      <w:lang w:val="en-US" w:eastAsia="zh-CN" w:bidi="ar-SA"/>
    </w:rPr>
  </w:style>
  <w:style w:type="character" w:customStyle="1" w:styleId="155">
    <w:name w:val="仿宋正文 Char"/>
    <w:link w:val="156"/>
    <w:autoRedefine/>
    <w:qFormat/>
    <w:uiPriority w:val="0"/>
    <w:rPr>
      <w:rFonts w:ascii="仿宋_GB2312" w:eastAsia="仿宋_GB2312"/>
      <w:kern w:val="2"/>
      <w:sz w:val="24"/>
      <w:lang w:val="en-US" w:eastAsia="zh-CN" w:bidi="ar-SA"/>
    </w:rPr>
  </w:style>
  <w:style w:type="paragraph" w:customStyle="1" w:styleId="156">
    <w:name w:val="仿宋正文"/>
    <w:basedOn w:val="1"/>
    <w:link w:val="155"/>
    <w:autoRedefine/>
    <w:qFormat/>
    <w:uiPriority w:val="0"/>
    <w:pPr>
      <w:adjustRightInd/>
      <w:spacing w:line="360" w:lineRule="auto"/>
      <w:ind w:firstLine="480" w:firstLineChars="200"/>
    </w:pPr>
    <w:rPr>
      <w:rFonts w:ascii="仿宋_GB2312" w:eastAsia="仿宋_GB2312"/>
      <w:sz w:val="24"/>
      <w:szCs w:val="20"/>
    </w:rPr>
  </w:style>
  <w:style w:type="character" w:customStyle="1" w:styleId="157">
    <w:name w:val="Char Char102"/>
    <w:autoRedefine/>
    <w:semiHidden/>
    <w:qFormat/>
    <w:uiPriority w:val="0"/>
    <w:rPr>
      <w:rFonts w:ascii="宋体" w:hAnsi="宋体"/>
      <w:kern w:val="2"/>
      <w:sz w:val="21"/>
      <w:szCs w:val="24"/>
      <w:lang w:val="en-US" w:eastAsia="zh-CN"/>
    </w:rPr>
  </w:style>
  <w:style w:type="character" w:customStyle="1" w:styleId="158">
    <w:name w:val="dectext1"/>
    <w:autoRedefine/>
    <w:qFormat/>
    <w:uiPriority w:val="0"/>
    <w:rPr>
      <w:rFonts w:ascii="宋体" w:hAnsi="宋体" w:eastAsia="宋体"/>
      <w:color w:val="333333"/>
      <w:sz w:val="21"/>
      <w:szCs w:val="21"/>
      <w:u w:val="none"/>
    </w:rPr>
  </w:style>
  <w:style w:type="character" w:customStyle="1" w:styleId="159">
    <w:name w:val="gf正文1 Char"/>
    <w:autoRedefine/>
    <w:qFormat/>
    <w:uiPriority w:val="0"/>
    <w:rPr>
      <w:rFonts w:ascii="宋体" w:hAnsi="宋体" w:eastAsia="宋体" w:cs="宋体"/>
      <w:kern w:val="2"/>
      <w:sz w:val="24"/>
      <w:szCs w:val="24"/>
      <w:lang w:val="en-US" w:eastAsia="zh-CN" w:bidi="ar-SA"/>
    </w:rPr>
  </w:style>
  <w:style w:type="character" w:customStyle="1" w:styleId="160">
    <w:name w:val="纯文本 Char1"/>
    <w:link w:val="161"/>
    <w:autoRedefine/>
    <w:qFormat/>
    <w:uiPriority w:val="0"/>
    <w:rPr>
      <w:rFonts w:ascii="宋体" w:hAnsi="Courier New"/>
    </w:rPr>
  </w:style>
  <w:style w:type="paragraph" w:customStyle="1" w:styleId="161">
    <w:name w:val="纯文本1"/>
    <w:basedOn w:val="1"/>
    <w:link w:val="160"/>
    <w:autoRedefine/>
    <w:qFormat/>
    <w:uiPriority w:val="0"/>
    <w:pPr>
      <w:adjustRightInd/>
    </w:pPr>
    <w:rPr>
      <w:rFonts w:ascii="宋体" w:hAnsi="Courier New"/>
      <w:kern w:val="0"/>
      <w:sz w:val="20"/>
      <w:szCs w:val="20"/>
    </w:rPr>
  </w:style>
  <w:style w:type="character" w:customStyle="1" w:styleId="162">
    <w:name w:val="页眉 Char1"/>
    <w:autoRedefine/>
    <w:qFormat/>
    <w:uiPriority w:val="0"/>
    <w:rPr>
      <w:rFonts w:eastAsia="宋体"/>
      <w:kern w:val="2"/>
      <w:sz w:val="18"/>
      <w:szCs w:val="18"/>
      <w:lang w:val="en-US" w:eastAsia="zh-CN" w:bidi="ar-SA"/>
    </w:rPr>
  </w:style>
  <w:style w:type="character" w:customStyle="1" w:styleId="163">
    <w:name w:val="正文缩进 字符"/>
    <w:autoRedefine/>
    <w:qFormat/>
    <w:uiPriority w:val="0"/>
    <w:rPr>
      <w:rFonts w:ascii="宋体" w:eastAsia="宋体"/>
      <w:snapToGrid w:val="0"/>
      <w:color w:val="000000"/>
      <w:kern w:val="28"/>
      <w:sz w:val="28"/>
      <w:lang w:val="en-US" w:eastAsia="zh-CN" w:bidi="ar-SA"/>
    </w:rPr>
  </w:style>
  <w:style w:type="character" w:customStyle="1" w:styleId="164">
    <w:name w:val="Char Char13"/>
    <w:autoRedefine/>
    <w:qFormat/>
    <w:uiPriority w:val="6"/>
    <w:rPr>
      <w:rFonts w:ascii="宋体" w:hAnsi="宋体"/>
      <w:kern w:val="1"/>
      <w:sz w:val="21"/>
      <w:szCs w:val="24"/>
    </w:rPr>
  </w:style>
  <w:style w:type="character" w:customStyle="1" w:styleId="165">
    <w:name w:val="Normal Indent Char Char"/>
    <w:autoRedefine/>
    <w:qFormat/>
    <w:uiPriority w:val="0"/>
    <w:rPr>
      <w:rFonts w:eastAsia="宋体"/>
      <w:kern w:val="2"/>
      <w:sz w:val="21"/>
      <w:lang w:val="en-US" w:eastAsia="zh-CN" w:bidi="ar-SA"/>
    </w:rPr>
  </w:style>
  <w:style w:type="character" w:customStyle="1" w:styleId="166">
    <w:name w:val="myp11"/>
    <w:autoRedefine/>
    <w:qFormat/>
    <w:uiPriority w:val="0"/>
    <w:rPr>
      <w:rFonts w:ascii="仿宋_GB2312" w:eastAsia="微软雅黑"/>
      <w:b/>
      <w:kern w:val="2"/>
      <w:sz w:val="32"/>
      <w:szCs w:val="32"/>
      <w:lang w:val="en-US" w:eastAsia="zh-CN" w:bidi="ar-SA"/>
    </w:rPr>
  </w:style>
  <w:style w:type="character" w:customStyle="1" w:styleId="167">
    <w:name w:val="正文文本 字符1"/>
    <w:autoRedefine/>
    <w:qFormat/>
    <w:uiPriority w:val="0"/>
    <w:rPr>
      <w:rFonts w:ascii="Calibri" w:hAnsi="Calibri" w:eastAsia="黑体" w:cs="Arial"/>
      <w:snapToGrid w:val="0"/>
      <w:kern w:val="2"/>
      <w:sz w:val="28"/>
      <w:szCs w:val="21"/>
    </w:rPr>
  </w:style>
  <w:style w:type="character" w:customStyle="1" w:styleId="168">
    <w:name w:val="Char Char71"/>
    <w:autoRedefine/>
    <w:semiHidden/>
    <w:qFormat/>
    <w:uiPriority w:val="0"/>
    <w:rPr>
      <w:rFonts w:eastAsia="宋体"/>
      <w:kern w:val="2"/>
      <w:sz w:val="21"/>
      <w:szCs w:val="24"/>
      <w:lang w:val="en-US" w:eastAsia="zh-CN" w:bidi="ar-SA"/>
    </w:rPr>
  </w:style>
  <w:style w:type="character" w:customStyle="1" w:styleId="169">
    <w:name w:val="样式5 Char"/>
    <w:autoRedefine/>
    <w:qFormat/>
    <w:uiPriority w:val="0"/>
    <w:rPr>
      <w:rFonts w:ascii="仿宋_GB2312" w:hAnsi="仿宋" w:eastAsia="仿宋_GB2312"/>
      <w:kern w:val="2"/>
      <w:sz w:val="24"/>
      <w:szCs w:val="24"/>
    </w:rPr>
  </w:style>
  <w:style w:type="character" w:customStyle="1" w:styleId="170">
    <w:name w:val="正文段 Char"/>
    <w:link w:val="171"/>
    <w:autoRedefine/>
    <w:qFormat/>
    <w:uiPriority w:val="0"/>
    <w:rPr>
      <w:sz w:val="24"/>
    </w:rPr>
  </w:style>
  <w:style w:type="paragraph" w:customStyle="1" w:styleId="171">
    <w:name w:val="正文段"/>
    <w:basedOn w:val="1"/>
    <w:link w:val="170"/>
    <w:autoRedefine/>
    <w:qFormat/>
    <w:uiPriority w:val="0"/>
    <w:pPr>
      <w:widowControl/>
      <w:snapToGrid w:val="0"/>
      <w:spacing w:after="156" w:afterLines="50"/>
      <w:ind w:firstLine="200" w:firstLineChars="200"/>
    </w:pPr>
    <w:rPr>
      <w:kern w:val="0"/>
      <w:sz w:val="24"/>
      <w:szCs w:val="20"/>
    </w:rPr>
  </w:style>
  <w:style w:type="character" w:customStyle="1" w:styleId="172">
    <w:name w:val="Char Char101"/>
    <w:autoRedefine/>
    <w:qFormat/>
    <w:uiPriority w:val="6"/>
    <w:rPr>
      <w:rFonts w:ascii="宋体" w:hAnsi="宋体"/>
      <w:kern w:val="2"/>
      <w:sz w:val="21"/>
      <w:szCs w:val="24"/>
      <w:lang w:val="en-US" w:eastAsia="zh-CN"/>
    </w:rPr>
  </w:style>
  <w:style w:type="character" w:customStyle="1" w:styleId="173">
    <w:name w:val="mdeck"/>
    <w:autoRedefine/>
    <w:qFormat/>
    <w:uiPriority w:val="0"/>
    <w:rPr>
      <w:rFonts w:ascii="仿宋_GB2312" w:eastAsia="微软雅黑"/>
      <w:b/>
      <w:kern w:val="2"/>
      <w:sz w:val="32"/>
      <w:szCs w:val="32"/>
      <w:lang w:val="en-US" w:eastAsia="zh-CN" w:bidi="ar-SA"/>
    </w:rPr>
  </w:style>
  <w:style w:type="character" w:customStyle="1" w:styleId="174">
    <w:name w:val="首行缩进 Char"/>
    <w:autoRedefine/>
    <w:qFormat/>
    <w:uiPriority w:val="0"/>
    <w:rPr>
      <w:rFonts w:ascii="宋体" w:eastAsia="宋体"/>
      <w:kern w:val="2"/>
      <w:sz w:val="24"/>
      <w:lang w:val="en-US" w:eastAsia="zh-CN" w:bidi="ar-SA"/>
    </w:rPr>
  </w:style>
  <w:style w:type="character" w:customStyle="1" w:styleId="175">
    <w:name w:val="标书正文格式 Char"/>
    <w:autoRedefine/>
    <w:qFormat/>
    <w:uiPriority w:val="0"/>
    <w:rPr>
      <w:rFonts w:eastAsia="楷体_GB2312"/>
      <w:kern w:val="2"/>
      <w:sz w:val="24"/>
      <w:szCs w:val="24"/>
      <w:lang w:bidi="ar-SA"/>
    </w:rPr>
  </w:style>
  <w:style w:type="character" w:customStyle="1" w:styleId="176">
    <w:name w:val="图名 Char"/>
    <w:autoRedefine/>
    <w:qFormat/>
    <w:uiPriority w:val="0"/>
    <w:rPr>
      <w:rFonts w:ascii="Arial" w:hAnsi="Arial" w:eastAsia="黑体"/>
      <w:kern w:val="2"/>
      <w:sz w:val="24"/>
      <w:szCs w:val="24"/>
      <w:lang w:val="en-US" w:eastAsia="zh-CN" w:bidi="ar-SA"/>
    </w:rPr>
  </w:style>
  <w:style w:type="character" w:customStyle="1" w:styleId="177">
    <w:name w:val="样式3 Char"/>
    <w:basedOn w:val="178"/>
    <w:autoRedefine/>
    <w:qFormat/>
    <w:uiPriority w:val="0"/>
    <w:rPr>
      <w:rFonts w:ascii="仿宋_GB2312" w:hAnsi="仿宋" w:eastAsia="仿宋_GB2312" w:cs="仿宋_GB2312"/>
      <w:sz w:val="32"/>
      <w:szCs w:val="30"/>
      <w:lang w:val="zh-CN"/>
    </w:rPr>
  </w:style>
  <w:style w:type="character" w:customStyle="1" w:styleId="178">
    <w:name w:val="样式2 Char"/>
    <w:autoRedefine/>
    <w:qFormat/>
    <w:uiPriority w:val="0"/>
    <w:rPr>
      <w:rFonts w:ascii="仿宋_GB2312" w:hAnsi="仿宋" w:eastAsia="仿宋_GB2312" w:cs="仿宋_GB2312"/>
      <w:b/>
      <w:bCs/>
      <w:sz w:val="32"/>
      <w:szCs w:val="30"/>
      <w:lang w:val="zh-CN"/>
    </w:rPr>
  </w:style>
  <w:style w:type="character" w:customStyle="1" w:styleId="179">
    <w:name w:val="font61"/>
    <w:autoRedefine/>
    <w:qFormat/>
    <w:uiPriority w:val="0"/>
    <w:rPr>
      <w:rFonts w:hint="eastAsia" w:ascii="仿宋" w:hAnsi="仿宋" w:eastAsia="仿宋" w:cs="仿宋"/>
      <w:color w:val="000000"/>
      <w:sz w:val="20"/>
      <w:szCs w:val="20"/>
      <w:u w:val="none"/>
    </w:rPr>
  </w:style>
  <w:style w:type="character" w:customStyle="1" w:styleId="180">
    <w:name w:val="Char Char31"/>
    <w:autoRedefine/>
    <w:qFormat/>
    <w:uiPriority w:val="6"/>
    <w:rPr>
      <w:rFonts w:ascii="Arial" w:hAnsi="Arial" w:eastAsia="黑体"/>
      <w:kern w:val="1"/>
      <w:sz w:val="24"/>
      <w:szCs w:val="24"/>
    </w:rPr>
  </w:style>
  <w:style w:type="character" w:customStyle="1" w:styleId="181">
    <w:name w:val="Char Char51"/>
    <w:autoRedefine/>
    <w:qFormat/>
    <w:uiPriority w:val="0"/>
    <w:rPr>
      <w:rFonts w:ascii="宋体" w:hAnsi="Courier New" w:eastAsia="宋体"/>
      <w:kern w:val="2"/>
      <w:sz w:val="21"/>
      <w:lang w:val="en-US" w:eastAsia="zh-CN"/>
    </w:rPr>
  </w:style>
  <w:style w:type="character" w:customStyle="1" w:styleId="182">
    <w:name w:val="Char Char30"/>
    <w:autoRedefine/>
    <w:qFormat/>
    <w:uiPriority w:val="6"/>
    <w:rPr>
      <w:rFonts w:ascii="Arial" w:hAnsi="Arial" w:eastAsia="黑体"/>
      <w:kern w:val="1"/>
      <w:sz w:val="21"/>
      <w:szCs w:val="21"/>
    </w:rPr>
  </w:style>
  <w:style w:type="character" w:customStyle="1" w:styleId="183">
    <w:name w:val="样式6 Char"/>
    <w:autoRedefine/>
    <w:qFormat/>
    <w:uiPriority w:val="0"/>
    <w:rPr>
      <w:rFonts w:ascii="仿宋_GB2312" w:hAnsi="宋体" w:eastAsia="仿宋_GB2312"/>
      <w:b/>
      <w:bCs/>
      <w:kern w:val="2"/>
      <w:sz w:val="24"/>
      <w:szCs w:val="24"/>
      <w:lang w:val="en-US" w:eastAsia="zh-CN" w:bidi="ar-SA"/>
    </w:rPr>
  </w:style>
  <w:style w:type="character" w:customStyle="1" w:styleId="184">
    <w:name w:val="PI Char1"/>
    <w:autoRedefine/>
    <w:qFormat/>
    <w:uiPriority w:val="0"/>
    <w:rPr>
      <w:rFonts w:ascii="宋体" w:hAnsi="宋体"/>
      <w:kern w:val="2"/>
      <w:sz w:val="24"/>
      <w:szCs w:val="24"/>
    </w:rPr>
  </w:style>
  <w:style w:type="character" w:customStyle="1" w:styleId="185">
    <w:name w:val="15"/>
    <w:autoRedefine/>
    <w:qFormat/>
    <w:uiPriority w:val="0"/>
    <w:rPr>
      <w:rFonts w:hint="default" w:ascii="Calibri" w:hAnsi="Calibri"/>
      <w:color w:val="0000FF"/>
      <w:u w:val="single"/>
    </w:rPr>
  </w:style>
  <w:style w:type="character" w:customStyle="1" w:styleId="186">
    <w:name w:val="ca-131"/>
    <w:autoRedefine/>
    <w:qFormat/>
    <w:uiPriority w:val="0"/>
    <w:rPr>
      <w:rFonts w:hint="eastAsia" w:ascii="仿宋_GB2312" w:eastAsia="仿宋_GB2312"/>
      <w:b/>
      <w:bCs/>
      <w:color w:val="000000"/>
      <w:spacing w:val="-20"/>
      <w:sz w:val="24"/>
      <w:szCs w:val="24"/>
    </w:rPr>
  </w:style>
  <w:style w:type="character" w:customStyle="1" w:styleId="187">
    <w:name w:val="无间隔 Char"/>
    <w:link w:val="188"/>
    <w:autoRedefine/>
    <w:qFormat/>
    <w:uiPriority w:val="99"/>
    <w:rPr>
      <w:kern w:val="2"/>
      <w:sz w:val="21"/>
      <w:szCs w:val="22"/>
    </w:rPr>
  </w:style>
  <w:style w:type="paragraph" w:customStyle="1" w:styleId="188">
    <w:name w:val="No Spacing"/>
    <w:basedOn w:val="1"/>
    <w:link w:val="187"/>
    <w:autoRedefine/>
    <w:qFormat/>
    <w:uiPriority w:val="99"/>
    <w:rPr>
      <w:szCs w:val="22"/>
    </w:rPr>
  </w:style>
  <w:style w:type="character" w:customStyle="1" w:styleId="189">
    <w:name w:val="正文缩进 字符1"/>
    <w:autoRedefine/>
    <w:qFormat/>
    <w:uiPriority w:val="0"/>
    <w:rPr>
      <w:rFonts w:ascii="宋体" w:eastAsia="宋体"/>
      <w:snapToGrid w:val="0"/>
      <w:color w:val="000000"/>
      <w:kern w:val="28"/>
      <w:sz w:val="28"/>
      <w:lang w:val="en-US" w:eastAsia="zh-CN" w:bidi="ar-SA"/>
    </w:rPr>
  </w:style>
  <w:style w:type="character" w:customStyle="1" w:styleId="190">
    <w:name w:val="large1"/>
    <w:autoRedefine/>
    <w:qFormat/>
    <w:uiPriority w:val="0"/>
    <w:rPr>
      <w:rFonts w:hint="eastAsia" w:ascii="宋体" w:hAnsi="宋体" w:eastAsia="宋体"/>
      <w:sz w:val="21"/>
      <w:szCs w:val="21"/>
    </w:rPr>
  </w:style>
  <w:style w:type="character" w:customStyle="1" w:styleId="191">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192">
    <w:name w:val="bulletintext1"/>
    <w:autoRedefine/>
    <w:qFormat/>
    <w:uiPriority w:val="0"/>
    <w:rPr>
      <w:color w:val="000000"/>
      <w:sz w:val="18"/>
    </w:rPr>
  </w:style>
  <w:style w:type="character" w:customStyle="1" w:styleId="193">
    <w:name w:val="solutionfonts"/>
    <w:autoRedefine/>
    <w:qFormat/>
    <w:uiPriority w:val="0"/>
  </w:style>
  <w:style w:type="character" w:customStyle="1" w:styleId="194">
    <w:name w:val="标题 Char"/>
    <w:autoRedefine/>
    <w:qFormat/>
    <w:uiPriority w:val="0"/>
    <w:rPr>
      <w:rFonts w:eastAsia="宋体"/>
      <w:b/>
      <w:sz w:val="24"/>
      <w:lang w:eastAsia="zh-CN" w:bidi="ar-SA"/>
    </w:rPr>
  </w:style>
  <w:style w:type="character" w:customStyle="1" w:styleId="195">
    <w:name w:val="正文说明 Char"/>
    <w:link w:val="196"/>
    <w:autoRedefine/>
    <w:qFormat/>
    <w:uiPriority w:val="0"/>
    <w:rPr>
      <w:sz w:val="24"/>
      <w:szCs w:val="24"/>
    </w:rPr>
  </w:style>
  <w:style w:type="paragraph" w:customStyle="1" w:styleId="196">
    <w:name w:val="正文说明"/>
    <w:basedOn w:val="1"/>
    <w:link w:val="195"/>
    <w:autoRedefine/>
    <w:qFormat/>
    <w:uiPriority w:val="0"/>
    <w:pPr>
      <w:adjustRightInd/>
      <w:spacing w:line="360" w:lineRule="auto"/>
    </w:pPr>
    <w:rPr>
      <w:kern w:val="0"/>
      <w:sz w:val="24"/>
    </w:rPr>
  </w:style>
  <w:style w:type="character" w:customStyle="1" w:styleId="197">
    <w:name w:val="edui-clickable2"/>
    <w:autoRedefine/>
    <w:qFormat/>
    <w:uiPriority w:val="0"/>
    <w:rPr>
      <w:color w:val="0000FF"/>
      <w:u w:val="single"/>
    </w:rPr>
  </w:style>
  <w:style w:type="character" w:customStyle="1" w:styleId="198">
    <w:name w:val="段落 Char Char"/>
    <w:link w:val="199"/>
    <w:autoRedefine/>
    <w:qFormat/>
    <w:uiPriority w:val="0"/>
    <w:rPr>
      <w:rFonts w:ascii="宋体" w:hAnsi="宋体"/>
      <w:sz w:val="24"/>
    </w:rPr>
  </w:style>
  <w:style w:type="paragraph" w:customStyle="1" w:styleId="199">
    <w:name w:val="段落"/>
    <w:basedOn w:val="1"/>
    <w:link w:val="198"/>
    <w:autoRedefine/>
    <w:qFormat/>
    <w:uiPriority w:val="0"/>
    <w:pPr>
      <w:adjustRightInd/>
      <w:spacing w:line="360" w:lineRule="auto"/>
      <w:ind w:firstLine="480" w:firstLineChars="200"/>
    </w:pPr>
    <w:rPr>
      <w:rFonts w:ascii="宋体" w:hAnsi="宋体"/>
      <w:kern w:val="0"/>
      <w:sz w:val="24"/>
      <w:szCs w:val="20"/>
    </w:rPr>
  </w:style>
  <w:style w:type="character" w:customStyle="1" w:styleId="200">
    <w:name w:val="dandyren_title1"/>
    <w:autoRedefine/>
    <w:qFormat/>
    <w:uiPriority w:val="0"/>
    <w:rPr>
      <w:b/>
      <w:bCs/>
      <w:color w:val="FF6633"/>
      <w:sz w:val="18"/>
      <w:szCs w:val="18"/>
    </w:rPr>
  </w:style>
  <w:style w:type="character" w:customStyle="1" w:styleId="20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202">
    <w:name w:val="标书1 Char"/>
    <w:autoRedefine/>
    <w:qFormat/>
    <w:uiPriority w:val="0"/>
    <w:rPr>
      <w:rFonts w:eastAsia="宋体"/>
      <w:b/>
      <w:bCs/>
      <w:kern w:val="44"/>
      <w:sz w:val="44"/>
      <w:szCs w:val="44"/>
      <w:lang w:val="en-US" w:eastAsia="zh-CN" w:bidi="ar-SA"/>
    </w:rPr>
  </w:style>
  <w:style w:type="character" w:customStyle="1" w:styleId="203">
    <w:name w:val="表正文 Char1"/>
    <w:autoRedefine/>
    <w:qFormat/>
    <w:uiPriority w:val="0"/>
    <w:rPr>
      <w:rFonts w:ascii="宋体" w:eastAsia="宋体"/>
      <w:snapToGrid w:val="0"/>
      <w:color w:val="000000"/>
      <w:kern w:val="28"/>
      <w:sz w:val="28"/>
    </w:rPr>
  </w:style>
  <w:style w:type="character" w:customStyle="1" w:styleId="204">
    <w:name w:val="txt"/>
    <w:autoRedefine/>
    <w:qFormat/>
    <w:uiPriority w:val="0"/>
    <w:rPr>
      <w:rFonts w:ascii="仿宋_GB2312" w:eastAsia="微软雅黑"/>
      <w:b/>
      <w:kern w:val="2"/>
      <w:sz w:val="32"/>
      <w:szCs w:val="32"/>
      <w:lang w:val="en-US" w:eastAsia="zh-CN" w:bidi="ar-SA"/>
    </w:rPr>
  </w:style>
  <w:style w:type="character" w:customStyle="1" w:styleId="2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206">
    <w:name w:val="h4 Char"/>
    <w:autoRedefine/>
    <w:qFormat/>
    <w:uiPriority w:val="0"/>
    <w:rPr>
      <w:rFonts w:ascii="Arial" w:hAnsi="Arial" w:eastAsia="黑体"/>
      <w:b/>
      <w:bCs/>
      <w:kern w:val="2"/>
      <w:sz w:val="28"/>
      <w:szCs w:val="28"/>
      <w:lang w:val="zh-CN" w:eastAsia="zh-CN" w:bidi="ar-SA"/>
    </w:rPr>
  </w:style>
  <w:style w:type="character" w:customStyle="1" w:styleId="207">
    <w:name w:val="h3 Char1"/>
    <w:autoRedefine/>
    <w:qFormat/>
    <w:uiPriority w:val="0"/>
    <w:rPr>
      <w:rFonts w:eastAsia="宋体"/>
      <w:b/>
      <w:bCs/>
      <w:kern w:val="2"/>
      <w:sz w:val="32"/>
      <w:szCs w:val="32"/>
      <w:lang w:bidi="ar-SA"/>
    </w:rPr>
  </w:style>
  <w:style w:type="character" w:customStyle="1" w:styleId="208">
    <w:name w:val="普通文字 Char Char1"/>
    <w:autoRedefine/>
    <w:qFormat/>
    <w:uiPriority w:val="0"/>
    <w:rPr>
      <w:rFonts w:ascii="宋体" w:hAnsi="Courier New"/>
      <w:kern w:val="2"/>
      <w:sz w:val="21"/>
    </w:rPr>
  </w:style>
  <w:style w:type="character" w:customStyle="1" w:styleId="209">
    <w:name w:val="正文缩进 Char"/>
    <w:autoRedefine/>
    <w:qFormat/>
    <w:uiPriority w:val="0"/>
    <w:rPr>
      <w:rFonts w:eastAsia="宋体"/>
      <w:kern w:val="2"/>
      <w:sz w:val="21"/>
      <w:lang w:val="en-US" w:eastAsia="zh-CN"/>
    </w:rPr>
  </w:style>
  <w:style w:type="character" w:customStyle="1" w:styleId="210">
    <w:name w:val="样式4 Char"/>
    <w:qFormat/>
    <w:uiPriority w:val="0"/>
    <w:rPr>
      <w:rFonts w:ascii="仿宋_GB2312" w:hAnsi="仿宋" w:eastAsia="仿宋_GB2312"/>
      <w:b/>
      <w:kern w:val="2"/>
      <w:sz w:val="32"/>
      <w:szCs w:val="32"/>
      <w:lang w:bidi="ar-SA"/>
    </w:rPr>
  </w:style>
  <w:style w:type="character" w:customStyle="1" w:styleId="211">
    <w:name w:val="哈哈正文 Char"/>
    <w:link w:val="212"/>
    <w:qFormat/>
    <w:uiPriority w:val="0"/>
    <w:rPr>
      <w:rFonts w:ascii="宋体" w:hAnsi="宋体" w:eastAsia="宋体"/>
      <w:kern w:val="2"/>
      <w:sz w:val="24"/>
      <w:lang w:bidi="ar-SA"/>
    </w:rPr>
  </w:style>
  <w:style w:type="paragraph" w:customStyle="1" w:styleId="212">
    <w:name w:val="哈哈正文"/>
    <w:basedOn w:val="1"/>
    <w:link w:val="211"/>
    <w:qFormat/>
    <w:uiPriority w:val="0"/>
    <w:pPr>
      <w:adjustRightInd/>
      <w:spacing w:line="360" w:lineRule="auto"/>
      <w:ind w:firstLine="200" w:firstLineChars="200"/>
    </w:pPr>
    <w:rPr>
      <w:rFonts w:ascii="宋体" w:hAnsi="宋体"/>
      <w:sz w:val="24"/>
      <w:szCs w:val="20"/>
    </w:rPr>
  </w:style>
  <w:style w:type="character" w:customStyle="1" w:styleId="213">
    <w:name w:val="标题 Char1"/>
    <w:qFormat/>
    <w:uiPriority w:val="0"/>
    <w:rPr>
      <w:rFonts w:ascii="Cambria" w:hAnsi="Cambria" w:eastAsia="宋体" w:cs="Times New Roman"/>
      <w:b/>
      <w:bCs/>
      <w:sz w:val="32"/>
      <w:szCs w:val="32"/>
      <w:lang w:bidi="ar-SA"/>
    </w:rPr>
  </w:style>
  <w:style w:type="character" w:customStyle="1" w:styleId="214">
    <w:name w:val="Footer Char"/>
    <w:qFormat/>
    <w:locked/>
    <w:uiPriority w:val="0"/>
    <w:rPr>
      <w:rFonts w:eastAsia="宋体"/>
      <w:kern w:val="2"/>
      <w:sz w:val="18"/>
      <w:lang w:val="en-US" w:eastAsia="zh-CN" w:bidi="ar-SA"/>
    </w:rPr>
  </w:style>
  <w:style w:type="character" w:customStyle="1" w:styleId="215">
    <w:name w:val="Char Char32"/>
    <w:qFormat/>
    <w:uiPriority w:val="6"/>
    <w:rPr>
      <w:b/>
      <w:kern w:val="1"/>
      <w:sz w:val="24"/>
      <w:szCs w:val="24"/>
    </w:rPr>
  </w:style>
  <w:style w:type="character" w:customStyle="1" w:styleId="216">
    <w:name w:val="Char Char211"/>
    <w:qFormat/>
    <w:uiPriority w:val="0"/>
    <w:rPr>
      <w:rFonts w:eastAsia="宋体"/>
      <w:b/>
      <w:bCs/>
      <w:kern w:val="2"/>
      <w:sz w:val="21"/>
      <w:szCs w:val="24"/>
      <w:lang w:val="en-US" w:eastAsia="zh-CN" w:bidi="ar-SA"/>
    </w:rPr>
  </w:style>
  <w:style w:type="character" w:customStyle="1" w:styleId="217">
    <w:name w:val="正文首行缩进 Char1"/>
    <w:qFormat/>
    <w:uiPriority w:val="0"/>
    <w:rPr>
      <w:rFonts w:ascii="宋体" w:hAnsi="Times New Roman" w:eastAsia="宋体" w:cs="Times New Roman"/>
      <w:snapToGrid w:val="0"/>
      <w:kern w:val="2"/>
      <w:sz w:val="24"/>
      <w:szCs w:val="21"/>
      <w:lang w:val="zh-CN"/>
    </w:rPr>
  </w:style>
  <w:style w:type="character" w:customStyle="1" w:styleId="218">
    <w:name w:val="副标题 Char1"/>
    <w:qFormat/>
    <w:uiPriority w:val="0"/>
    <w:rPr>
      <w:rFonts w:ascii="Cambria" w:hAnsi="Cambria" w:eastAsia="宋体" w:cs="Times New Roman"/>
      <w:b/>
      <w:bCs/>
      <w:snapToGrid w:val="0"/>
      <w:kern w:val="28"/>
      <w:sz w:val="32"/>
      <w:szCs w:val="32"/>
    </w:rPr>
  </w:style>
  <w:style w:type="character" w:customStyle="1" w:styleId="219">
    <w:name w:val="16"/>
    <w:qFormat/>
    <w:uiPriority w:val="0"/>
    <w:rPr>
      <w:rFonts w:hint="eastAsia" w:ascii="宋体" w:hAnsi="宋体" w:eastAsia="宋体"/>
      <w:color w:val="000000"/>
      <w:sz w:val="20"/>
      <w:szCs w:val="20"/>
    </w:rPr>
  </w:style>
  <w:style w:type="character" w:customStyle="1" w:styleId="220">
    <w:name w:val="样式7 Char"/>
    <w:qFormat/>
    <w:uiPriority w:val="0"/>
    <w:rPr>
      <w:rFonts w:ascii="仿宋_GB2312" w:hAnsi="仿宋" w:eastAsia="仿宋_GB2312"/>
      <w:b/>
      <w:kern w:val="2"/>
      <w:sz w:val="24"/>
      <w:szCs w:val="24"/>
    </w:rPr>
  </w:style>
  <w:style w:type="character" w:customStyle="1" w:styleId="221">
    <w:name w:val="插图说明 Char"/>
    <w:qFormat/>
    <w:uiPriority w:val="0"/>
    <w:rPr>
      <w:rFonts w:eastAsia="黑体"/>
      <w:sz w:val="24"/>
      <w:lang w:val="en-US" w:eastAsia="zh-CN"/>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Char Char6"/>
    <w:qFormat/>
    <w:uiPriority w:val="0"/>
    <w:rPr>
      <w:rFonts w:eastAsia="宋体"/>
      <w:kern w:val="2"/>
      <w:sz w:val="21"/>
      <w:szCs w:val="24"/>
      <w:lang w:val="en-US" w:eastAsia="zh-CN" w:bidi="ar-SA"/>
    </w:rPr>
  </w:style>
  <w:style w:type="character" w:customStyle="1" w:styleId="225">
    <w:name w:val="副标题 Char2"/>
    <w:qFormat/>
    <w:uiPriority w:val="0"/>
    <w:rPr>
      <w:rFonts w:ascii="Cambria" w:hAnsi="Cambria" w:eastAsia="宋体" w:cs="Times New Roman"/>
      <w:b/>
      <w:bCs/>
      <w:snapToGrid w:val="0"/>
      <w:kern w:val="28"/>
      <w:sz w:val="32"/>
      <w:szCs w:val="32"/>
    </w:rPr>
  </w:style>
  <w:style w:type="character" w:customStyle="1" w:styleId="226">
    <w:name w:val="tw4winTerm"/>
    <w:qFormat/>
    <w:uiPriority w:val="0"/>
    <w:rPr>
      <w:color w:val="0000FF"/>
    </w:rPr>
  </w:style>
  <w:style w:type="character" w:customStyle="1" w:styleId="227">
    <w:name w:val="Char Char81"/>
    <w:qFormat/>
    <w:uiPriority w:val="6"/>
    <w:rPr>
      <w:rFonts w:eastAsia="宋体"/>
      <w:b/>
      <w:sz w:val="24"/>
      <w:lang w:eastAsia="zh-CN"/>
    </w:rPr>
  </w:style>
  <w:style w:type="character" w:customStyle="1" w:styleId="228">
    <w:name w:val="链接"/>
    <w:qFormat/>
    <w:uiPriority w:val="0"/>
    <w:rPr>
      <w:color w:val="0000FF"/>
      <w:sz w:val="21"/>
      <w:szCs w:val="21"/>
      <w:u w:val="single"/>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1">
    <w:name w:val="Char Char8"/>
    <w:qFormat/>
    <w:uiPriority w:val="0"/>
    <w:rPr>
      <w:rFonts w:eastAsia="宋体"/>
      <w:b/>
      <w:sz w:val="24"/>
      <w:lang w:eastAsia="zh-CN"/>
    </w:rPr>
  </w:style>
  <w:style w:type="character" w:customStyle="1" w:styleId="232">
    <w:name w:val="样式8 Char"/>
    <w:qFormat/>
    <w:uiPriority w:val="0"/>
    <w:rPr>
      <w:rFonts w:ascii="仿宋_GB2312" w:hAnsi="宋体" w:eastAsia="仿宋_GB2312"/>
      <w:b/>
      <w:bCs/>
      <w:kern w:val="2"/>
      <w:sz w:val="24"/>
      <w:szCs w:val="24"/>
    </w:rPr>
  </w:style>
  <w:style w:type="character" w:customStyle="1" w:styleId="233">
    <w:name w:val="Char Char41"/>
    <w:qFormat/>
    <w:uiPriority w:val="0"/>
    <w:rPr>
      <w:rFonts w:eastAsia="宋体"/>
      <w:b/>
      <w:sz w:val="24"/>
      <w:lang w:eastAsia="zh-CN" w:bidi="ar-SA"/>
    </w:rPr>
  </w:style>
  <w:style w:type="character" w:customStyle="1" w:styleId="234">
    <w:name w:val="FA正文 Char Char"/>
    <w:qFormat/>
    <w:uiPriority w:val="0"/>
    <w:rPr>
      <w:rFonts w:hAnsi="宋体"/>
      <w:kern w:val="2"/>
      <w:sz w:val="24"/>
      <w:lang w:bidi="ar-SA"/>
    </w:rPr>
  </w:style>
  <w:style w:type="character" w:customStyle="1" w:styleId="235">
    <w:name w:val="页脚 字符"/>
    <w:qFormat/>
    <w:uiPriority w:val="99"/>
    <w:rPr>
      <w:kern w:val="2"/>
      <w:sz w:val="18"/>
      <w:szCs w:val="18"/>
    </w:rPr>
  </w:style>
  <w:style w:type="character" w:customStyle="1" w:styleId="236">
    <w:name w:val="普通文字 Char3"/>
    <w:qFormat/>
    <w:uiPriority w:val="0"/>
    <w:rPr>
      <w:rFonts w:ascii="宋体" w:hAnsi="Courier New" w:eastAsia="宋体"/>
      <w:kern w:val="2"/>
      <w:sz w:val="21"/>
      <w:lang w:val="en-US" w:eastAsia="zh-CN" w:bidi="ar-SA"/>
    </w:rPr>
  </w:style>
  <w:style w:type="character" w:customStyle="1" w:styleId="237">
    <w:name w:val="f141"/>
    <w:qFormat/>
    <w:uiPriority w:val="0"/>
    <w:rPr>
      <w:rFonts w:ascii="Tahoma" w:hAnsi="Tahoma" w:eastAsia="宋体"/>
      <w:b/>
      <w:kern w:val="2"/>
      <w:sz w:val="21"/>
      <w:szCs w:val="21"/>
      <w:lang w:val="en-US" w:eastAsia="zh-CN" w:bidi="ar-SA"/>
    </w:rPr>
  </w:style>
  <w:style w:type="character" w:customStyle="1" w:styleId="238">
    <w:name w:val="h3 Char"/>
    <w:qFormat/>
    <w:uiPriority w:val="0"/>
    <w:rPr>
      <w:rFonts w:eastAsia="宋体"/>
      <w:b/>
      <w:kern w:val="2"/>
      <w:sz w:val="32"/>
      <w:lang w:val="en-US" w:eastAsia="zh-CN" w:bidi="ar-SA"/>
    </w:rPr>
  </w:style>
  <w:style w:type="character" w:customStyle="1" w:styleId="239">
    <w:name w:val="style1"/>
    <w:qFormat/>
    <w:uiPriority w:val="0"/>
    <w:rPr>
      <w:rFonts w:ascii="Arial" w:hAnsi="Arial" w:eastAsia="黑体" w:cs="Arial"/>
      <w:snapToGrid w:val="0"/>
      <w:kern w:val="0"/>
      <w:szCs w:val="21"/>
    </w:rPr>
  </w:style>
  <w:style w:type="character" w:customStyle="1" w:styleId="240">
    <w:name w:val="纯文本 字符"/>
    <w:qFormat/>
    <w:uiPriority w:val="0"/>
    <w:rPr>
      <w:rFonts w:ascii="宋体" w:hAnsi="Courier New" w:eastAsia="宋体" w:cs="Arial"/>
      <w:snapToGrid w:val="0"/>
      <w:kern w:val="2"/>
      <w:sz w:val="21"/>
      <w:szCs w:val="21"/>
      <w:lang w:val="en-US" w:eastAsia="zh-CN" w:bidi="ar-SA"/>
    </w:rPr>
  </w:style>
  <w:style w:type="character" w:customStyle="1" w:styleId="241">
    <w:name w:val="日期 Char1"/>
    <w:semiHidden/>
    <w:qFormat/>
    <w:uiPriority w:val="99"/>
    <w:rPr>
      <w:rFonts w:ascii="Times New Roman" w:hAnsi="Times New Roman" w:eastAsia="宋体" w:cs="Times New Roman"/>
      <w:szCs w:val="24"/>
    </w:rPr>
  </w:style>
  <w:style w:type="character" w:customStyle="1" w:styleId="242">
    <w:name w:val="3级 Char"/>
    <w:link w:val="243"/>
    <w:qFormat/>
    <w:uiPriority w:val="0"/>
    <w:rPr>
      <w:rFonts w:ascii="宋体" w:hAnsi="宋体"/>
      <w:b/>
      <w:bCs/>
      <w:snapToGrid/>
      <w:sz w:val="28"/>
    </w:rPr>
  </w:style>
  <w:style w:type="paragraph" w:customStyle="1" w:styleId="243">
    <w:name w:val="3级"/>
    <w:basedOn w:val="244"/>
    <w:link w:val="242"/>
    <w:qFormat/>
    <w:uiPriority w:val="0"/>
    <w:pPr>
      <w:ind w:left="0" w:right="466" w:firstLine="288"/>
    </w:pPr>
    <w:rPr>
      <w:rFonts w:hAnsi="宋体"/>
      <w:snapToGrid/>
    </w:rPr>
  </w:style>
  <w:style w:type="paragraph" w:customStyle="1" w:styleId="244">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45">
    <w:name w:val="标书1 Char1"/>
    <w:qFormat/>
    <w:uiPriority w:val="0"/>
    <w:rPr>
      <w:rFonts w:eastAsia="宋体"/>
      <w:b/>
      <w:bCs/>
      <w:kern w:val="44"/>
      <w:sz w:val="44"/>
      <w:szCs w:val="44"/>
      <w:lang w:val="en-US" w:eastAsia="zh-CN" w:bidi="ar-SA"/>
    </w:rPr>
  </w:style>
  <w:style w:type="character" w:customStyle="1" w:styleId="246">
    <w:name w:val="PI Char"/>
    <w:qFormat/>
    <w:uiPriority w:val="0"/>
    <w:rPr>
      <w:rFonts w:ascii="宋体" w:hAnsi="宋体" w:eastAsia="宋体"/>
      <w:kern w:val="2"/>
      <w:sz w:val="24"/>
      <w:szCs w:val="24"/>
      <w:lang w:val="en-US" w:eastAsia="zh-CN" w:bidi="ar-SA"/>
    </w:rPr>
  </w:style>
  <w:style w:type="character" w:customStyle="1" w:styleId="247">
    <w:name w:val="正文文本缩进 Char"/>
    <w:qFormat/>
    <w:uiPriority w:val="0"/>
    <w:rPr>
      <w:rFonts w:ascii="宋体" w:hAnsi="宋体"/>
      <w:kern w:val="2"/>
      <w:sz w:val="24"/>
      <w:szCs w:val="24"/>
    </w:rPr>
  </w:style>
  <w:style w:type="character" w:customStyle="1" w:styleId="248">
    <w:name w:val="Char Char26"/>
    <w:qFormat/>
    <w:uiPriority w:val="6"/>
    <w:rPr>
      <w:kern w:val="1"/>
      <w:sz w:val="21"/>
      <w:szCs w:val="24"/>
    </w:rPr>
  </w:style>
  <w:style w:type="character" w:customStyle="1" w:styleId="249">
    <w:name w:val="tw4winError"/>
    <w:qFormat/>
    <w:uiPriority w:val="0"/>
    <w:rPr>
      <w:rFonts w:ascii="Courier New" w:hAnsi="Courier New" w:cs="Courier New"/>
      <w:color w:val="00FF00"/>
      <w:sz w:val="40"/>
      <w:szCs w:val="40"/>
    </w:rPr>
  </w:style>
  <w:style w:type="character" w:customStyle="1" w:styleId="250">
    <w:name w:val="md"/>
    <w:basedOn w:val="70"/>
    <w:qFormat/>
    <w:uiPriority w:val="0"/>
    <w:rPr>
      <w:rFonts w:ascii="Arial" w:hAnsi="Arial" w:eastAsia="黑体" w:cs="Arial"/>
      <w:snapToGrid w:val="0"/>
      <w:kern w:val="0"/>
      <w:szCs w:val="21"/>
    </w:rPr>
  </w:style>
  <w:style w:type="character" w:customStyle="1" w:styleId="251">
    <w:name w:val="表正文 Char3"/>
    <w:qFormat/>
    <w:uiPriority w:val="0"/>
    <w:rPr>
      <w:rFonts w:eastAsia="宋体"/>
    </w:rPr>
  </w:style>
  <w:style w:type="character" w:customStyle="1" w:styleId="252">
    <w:name w:val="Item List Char"/>
    <w:link w:val="253"/>
    <w:qFormat/>
    <w:uiPriority w:val="0"/>
    <w:rPr>
      <w:rFonts w:ascii="Arial"/>
      <w:bCs/>
      <w:sz w:val="21"/>
      <w:szCs w:val="21"/>
      <w:lang w:val="en-US" w:eastAsia="zh-CN" w:bidi="ar-SA"/>
    </w:rPr>
  </w:style>
  <w:style w:type="paragraph" w:customStyle="1" w:styleId="253">
    <w:name w:val="Item List"/>
    <w:link w:val="25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54">
    <w:name w:val="带编号样式 Char"/>
    <w:qFormat/>
    <w:uiPriority w:val="0"/>
    <w:rPr>
      <w:rFonts w:ascii="仿宋_GB2312" w:eastAsia="仿宋_GB2312"/>
      <w:color w:val="000000"/>
      <w:sz w:val="24"/>
      <w:lang w:bidi="ar-SA"/>
    </w:rPr>
  </w:style>
  <w:style w:type="character" w:customStyle="1" w:styleId="255">
    <w:name w:val="Char Char91"/>
    <w:qFormat/>
    <w:uiPriority w:val="0"/>
    <w:rPr>
      <w:rFonts w:eastAsia="宋体"/>
      <w:kern w:val="2"/>
      <w:sz w:val="18"/>
      <w:szCs w:val="18"/>
      <w:lang w:val="en-US" w:eastAsia="zh-CN" w:bidi="ar-SA"/>
    </w:rPr>
  </w:style>
  <w:style w:type="character" w:customStyle="1" w:styleId="256">
    <w:name w:val="hui"/>
    <w:basedOn w:val="70"/>
    <w:qFormat/>
    <w:uiPriority w:val="0"/>
    <w:rPr>
      <w:rFonts w:ascii="Arial" w:hAnsi="Arial" w:eastAsia="黑体" w:cs="Arial"/>
      <w:snapToGrid w:val="0"/>
      <w:kern w:val="0"/>
      <w:szCs w:val="21"/>
    </w:rPr>
  </w:style>
  <w:style w:type="character" w:customStyle="1" w:styleId="257">
    <w:name w:val="编号，小四 Char"/>
    <w:link w:val="258"/>
    <w:qFormat/>
    <w:uiPriority w:val="0"/>
    <w:rPr>
      <w:rFonts w:ascii="Arial" w:hAnsi="Arial"/>
      <w:sz w:val="24"/>
    </w:rPr>
  </w:style>
  <w:style w:type="paragraph" w:customStyle="1" w:styleId="258">
    <w:name w:val="编号，小四"/>
    <w:basedOn w:val="1"/>
    <w:link w:val="257"/>
    <w:qFormat/>
    <w:uiPriority w:val="0"/>
    <w:pPr>
      <w:tabs>
        <w:tab w:val="left" w:pos="432"/>
      </w:tabs>
      <w:adjustRightInd/>
      <w:spacing w:line="360" w:lineRule="auto"/>
      <w:ind w:left="432" w:hanging="432"/>
    </w:pPr>
    <w:rPr>
      <w:rFonts w:ascii="Arial" w:hAnsi="Arial"/>
      <w:kern w:val="0"/>
      <w:sz w:val="24"/>
      <w:szCs w:val="20"/>
    </w:rPr>
  </w:style>
  <w:style w:type="character" w:customStyle="1" w:styleId="259">
    <w:name w:val="unnamed31"/>
    <w:qFormat/>
    <w:uiPriority w:val="0"/>
    <w:rPr>
      <w:rFonts w:ascii="Tahoma" w:hAnsi="Tahoma" w:eastAsia="宋体"/>
      <w:b/>
      <w:kern w:val="2"/>
      <w:sz w:val="24"/>
      <w:szCs w:val="32"/>
      <w:u w:val="none"/>
      <w:lang w:val="en-US" w:eastAsia="zh-CN" w:bidi="ar-SA"/>
    </w:rPr>
  </w:style>
  <w:style w:type="character" w:customStyle="1" w:styleId="260">
    <w:name w:val="tw4winPopup"/>
    <w:qFormat/>
    <w:uiPriority w:val="0"/>
    <w:rPr>
      <w:rFonts w:ascii="Courier New" w:hAnsi="Courier New" w:cs="Courier New"/>
      <w:color w:val="008000"/>
      <w:lang w:val="en-US" w:eastAsia="zh-CN"/>
    </w:rPr>
  </w:style>
  <w:style w:type="character" w:customStyle="1" w:styleId="261">
    <w:name w:val="Char Char311"/>
    <w:qFormat/>
    <w:uiPriority w:val="0"/>
    <w:rPr>
      <w:rFonts w:eastAsia="宋体"/>
      <w:kern w:val="2"/>
      <w:sz w:val="21"/>
      <w:szCs w:val="24"/>
      <w:lang w:val="en-US" w:eastAsia="zh-CN" w:bidi="ar-SA"/>
    </w:rPr>
  </w:style>
  <w:style w:type="character" w:customStyle="1" w:styleId="262">
    <w:name w:val="tw4winMark"/>
    <w:qFormat/>
    <w:uiPriority w:val="0"/>
    <w:rPr>
      <w:rFonts w:ascii="Courier New" w:hAnsi="Courier New" w:cs="Courier New"/>
      <w:vanish/>
      <w:color w:val="800080"/>
      <w:sz w:val="24"/>
      <w:szCs w:val="24"/>
      <w:vertAlign w:val="subscript"/>
    </w:rPr>
  </w:style>
  <w:style w:type="character" w:customStyle="1" w:styleId="263">
    <w:name w:val="文档结构图 Char"/>
    <w:qFormat/>
    <w:uiPriority w:val="0"/>
    <w:rPr>
      <w:rFonts w:eastAsia="宋体"/>
      <w:kern w:val="2"/>
      <w:sz w:val="21"/>
      <w:szCs w:val="24"/>
      <w:lang w:val="en-US" w:eastAsia="zh-CN" w:bidi="ar-SA"/>
    </w:rPr>
  </w:style>
  <w:style w:type="character" w:customStyle="1" w:styleId="264">
    <w:name w:val="正文文本 2 Char"/>
    <w:qFormat/>
    <w:uiPriority w:val="0"/>
    <w:rPr>
      <w:rFonts w:eastAsia="宋体"/>
      <w:kern w:val="2"/>
      <w:sz w:val="21"/>
      <w:szCs w:val="24"/>
      <w:lang w:val="en-US" w:eastAsia="zh-CN" w:bidi="ar-SA"/>
    </w:rPr>
  </w:style>
  <w:style w:type="character" w:customStyle="1" w:styleId="265">
    <w:name w:val="Char Char5"/>
    <w:qFormat/>
    <w:uiPriority w:val="0"/>
    <w:rPr>
      <w:rFonts w:ascii="宋体" w:hAnsi="Courier New" w:eastAsia="宋体"/>
      <w:kern w:val="2"/>
      <w:sz w:val="21"/>
      <w:lang w:val="en-US" w:eastAsia="zh-CN"/>
    </w:rPr>
  </w:style>
  <w:style w:type="character" w:customStyle="1" w:styleId="266">
    <w:name w:val="页眉 字符1"/>
    <w:qFormat/>
    <w:uiPriority w:val="99"/>
    <w:rPr>
      <w:kern w:val="2"/>
      <w:sz w:val="18"/>
      <w:szCs w:val="18"/>
    </w:rPr>
  </w:style>
  <w:style w:type="character" w:customStyle="1" w:styleId="267">
    <w:name w:val="正文非缩进 Char"/>
    <w:qFormat/>
    <w:uiPriority w:val="0"/>
    <w:rPr>
      <w:rFonts w:ascii="宋体" w:eastAsia="宋体"/>
      <w:snapToGrid w:val="0"/>
      <w:color w:val="000000"/>
      <w:kern w:val="28"/>
      <w:sz w:val="28"/>
      <w:lang w:val="en-US" w:eastAsia="zh-CN" w:bidi="ar-SA"/>
    </w:rPr>
  </w:style>
  <w:style w:type="character" w:customStyle="1" w:styleId="268">
    <w:name w:val="正文首行缩进 2 Char1"/>
    <w:qFormat/>
    <w:uiPriority w:val="0"/>
    <w:rPr>
      <w:rFonts w:ascii="Times New Roman" w:hAnsi="Times New Roman" w:eastAsia="宋体" w:cs="Times New Roman"/>
      <w:kern w:val="2"/>
      <w:sz w:val="24"/>
      <w:szCs w:val="24"/>
    </w:rPr>
  </w:style>
  <w:style w:type="character" w:customStyle="1" w:styleId="269">
    <w:name w:val="Char Char33"/>
    <w:qFormat/>
    <w:uiPriority w:val="6"/>
    <w:rPr>
      <w:rFonts w:ascii="Arial" w:hAnsi="Arial" w:eastAsia="黑体"/>
      <w:b/>
      <w:kern w:val="1"/>
      <w:sz w:val="24"/>
      <w:szCs w:val="24"/>
    </w:rPr>
  </w:style>
  <w:style w:type="character" w:customStyle="1" w:styleId="270">
    <w:name w:val="font21"/>
    <w:qFormat/>
    <w:uiPriority w:val="0"/>
    <w:rPr>
      <w:rFonts w:hint="eastAsia" w:ascii="宋体" w:hAnsi="宋体" w:eastAsia="宋体"/>
      <w:kern w:val="2"/>
      <w:sz w:val="28"/>
      <w:szCs w:val="28"/>
      <w:lang w:val="en-US" w:eastAsia="zh-CN" w:bidi="ar-SA"/>
    </w:rPr>
  </w:style>
  <w:style w:type="character" w:customStyle="1" w:styleId="271">
    <w:name w:val="Default Char"/>
    <w:link w:val="272"/>
    <w:qFormat/>
    <w:uiPriority w:val="0"/>
    <w:rPr>
      <w:rFonts w:ascii="仿宋_GB2312" w:eastAsia="仿宋_GB2312" w:cs="仿宋_GB2312"/>
      <w:color w:val="000000"/>
      <w:sz w:val="24"/>
      <w:szCs w:val="24"/>
      <w:lang w:val="en-US" w:eastAsia="zh-CN" w:bidi="ar-SA"/>
    </w:rPr>
  </w:style>
  <w:style w:type="paragraph" w:customStyle="1" w:styleId="272">
    <w:name w:val="Default"/>
    <w:link w:val="27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73">
    <w:name w:val="maywed421"/>
    <w:qFormat/>
    <w:uiPriority w:val="0"/>
    <w:rPr>
      <w:color w:val="366FB6"/>
      <w:u w:val="none"/>
    </w:rPr>
  </w:style>
  <w:style w:type="character" w:customStyle="1" w:styleId="274">
    <w:name w:val="big1"/>
    <w:qFormat/>
    <w:uiPriority w:val="0"/>
    <w:rPr>
      <w:rFonts w:hint="eastAsia" w:ascii="宋体" w:hAnsi="宋体" w:eastAsia="宋体"/>
      <w:color w:val="333333"/>
      <w:sz w:val="22"/>
      <w:szCs w:val="22"/>
    </w:rPr>
  </w:style>
  <w:style w:type="character" w:customStyle="1" w:styleId="275">
    <w:name w:val="H6 Char"/>
    <w:qFormat/>
    <w:uiPriority w:val="0"/>
    <w:rPr>
      <w:rFonts w:ascii="Arial" w:hAnsi="Arial" w:eastAsia="黑体"/>
      <w:b/>
      <w:bCs/>
      <w:kern w:val="2"/>
      <w:sz w:val="24"/>
      <w:szCs w:val="24"/>
    </w:rPr>
  </w:style>
  <w:style w:type="character" w:customStyle="1" w:styleId="276">
    <w:name w:val="style91"/>
    <w:qFormat/>
    <w:uiPriority w:val="0"/>
    <w:rPr>
      <w:color w:val="333333"/>
    </w:rPr>
  </w:style>
  <w:style w:type="character" w:customStyle="1" w:styleId="277">
    <w:name w:val="标题 2 字符"/>
    <w:qFormat/>
    <w:uiPriority w:val="1"/>
    <w:rPr>
      <w:rFonts w:ascii="仿宋_GB2312" w:hAnsi="Times New Roman" w:eastAsia="仿宋_GB2312" w:cs="Times New Roman"/>
      <w:b/>
      <w:kern w:val="2"/>
      <w:sz w:val="24"/>
      <w:lang w:val="zh-CN"/>
    </w:rPr>
  </w:style>
  <w:style w:type="character" w:customStyle="1" w:styleId="278">
    <w:name w:val="H5 Char"/>
    <w:qFormat/>
    <w:uiPriority w:val="0"/>
    <w:rPr>
      <w:b/>
      <w:bCs/>
      <w:kern w:val="2"/>
      <w:sz w:val="28"/>
      <w:szCs w:val="28"/>
    </w:rPr>
  </w:style>
  <w:style w:type="character" w:customStyle="1" w:styleId="279">
    <w:name w:val="Char Char52"/>
    <w:qFormat/>
    <w:uiPriority w:val="0"/>
    <w:rPr>
      <w:rFonts w:ascii="宋体" w:hAnsi="Courier New" w:eastAsia="宋体"/>
      <w:kern w:val="2"/>
      <w:sz w:val="21"/>
      <w:lang w:val="en-US" w:eastAsia="zh-CN"/>
    </w:rPr>
  </w:style>
  <w:style w:type="character" w:customStyle="1" w:styleId="280">
    <w:name w:val="冯广丽 Char"/>
    <w:link w:val="281"/>
    <w:qFormat/>
    <w:uiPriority w:val="0"/>
    <w:rPr>
      <w:rFonts w:ascii="宋体" w:hAnsi="宋体"/>
      <w:kern w:val="2"/>
      <w:sz w:val="24"/>
      <w:szCs w:val="22"/>
    </w:rPr>
  </w:style>
  <w:style w:type="paragraph" w:customStyle="1" w:styleId="281">
    <w:name w:val="冯广丽"/>
    <w:basedOn w:val="1"/>
    <w:link w:val="280"/>
    <w:qFormat/>
    <w:uiPriority w:val="0"/>
    <w:pPr>
      <w:adjustRightInd/>
      <w:spacing w:line="360" w:lineRule="auto"/>
      <w:ind w:firstLine="480" w:firstLineChars="200"/>
    </w:pPr>
    <w:rPr>
      <w:rFonts w:ascii="宋体" w:hAnsi="宋体"/>
      <w:sz w:val="24"/>
      <w:szCs w:val="22"/>
    </w:rPr>
  </w:style>
  <w:style w:type="character" w:customStyle="1" w:styleId="282">
    <w:name w:val="Char Char1211"/>
    <w:qFormat/>
    <w:uiPriority w:val="0"/>
    <w:rPr>
      <w:rFonts w:ascii="仿宋_GB2312" w:eastAsia="仿宋_GB2312"/>
      <w:b/>
      <w:bCs/>
      <w:kern w:val="2"/>
      <w:sz w:val="24"/>
      <w:szCs w:val="24"/>
      <w:lang w:val="zh-CN" w:eastAsia="zh-CN" w:bidi="ar-SA"/>
    </w:rPr>
  </w:style>
  <w:style w:type="character" w:customStyle="1" w:styleId="283">
    <w:name w:val="Table Text Char"/>
    <w:link w:val="284"/>
    <w:qFormat/>
    <w:uiPriority w:val="0"/>
    <w:rPr>
      <w:sz w:val="24"/>
      <w:szCs w:val="24"/>
    </w:rPr>
  </w:style>
  <w:style w:type="paragraph" w:customStyle="1" w:styleId="284">
    <w:name w:val="Table Text"/>
    <w:basedOn w:val="1"/>
    <w:link w:val="283"/>
    <w:qFormat/>
    <w:uiPriority w:val="0"/>
    <w:pPr>
      <w:widowControl/>
      <w:spacing w:before="60" w:after="60"/>
      <w:jc w:val="left"/>
    </w:pPr>
    <w:rPr>
      <w:kern w:val="0"/>
      <w:sz w:val="24"/>
    </w:rPr>
  </w:style>
  <w:style w:type="character" w:customStyle="1" w:styleId="285">
    <w:name w:val="正文 编号 Char"/>
    <w:qFormat/>
    <w:uiPriority w:val="0"/>
    <w:rPr>
      <w:rFonts w:ascii="仿宋_GB2312" w:hAnsi="仿宋_GB2312" w:eastAsia="仿宋_GB2312"/>
      <w:kern w:val="2"/>
      <w:sz w:val="24"/>
      <w:lang w:bidi="ar-SA"/>
    </w:rPr>
  </w:style>
  <w:style w:type="character" w:customStyle="1" w:styleId="286">
    <w:name w:val="Used by Word for text of Help footnotes Char Char"/>
    <w:qFormat/>
    <w:uiPriority w:val="0"/>
    <w:rPr>
      <w:rFonts w:ascii="Times New Roman" w:hAnsi="Times New Roman" w:eastAsia="宋体" w:cs="Times New Roman"/>
      <w:sz w:val="20"/>
      <w:szCs w:val="20"/>
    </w:rPr>
  </w:style>
  <w:style w:type="character" w:customStyle="1" w:styleId="287">
    <w:name w:val="Char Char15"/>
    <w:qFormat/>
    <w:uiPriority w:val="6"/>
    <w:rPr>
      <w:rFonts w:ascii="宋体" w:hAnsi="宋体"/>
      <w:kern w:val="1"/>
      <w:sz w:val="21"/>
    </w:rPr>
  </w:style>
  <w:style w:type="character" w:customStyle="1" w:styleId="288">
    <w:name w:val="Bold"/>
    <w:qFormat/>
    <w:uiPriority w:val="0"/>
    <w:rPr>
      <w:rFonts w:ascii="Arial" w:hAnsi="Arial" w:eastAsia="黑体" w:cs="Times New Roman"/>
      <w:b/>
      <w:kern w:val="2"/>
      <w:sz w:val="32"/>
      <w:szCs w:val="32"/>
      <w:lang w:val="en-US" w:eastAsia="zh-CN" w:bidi="ar-SA"/>
    </w:rPr>
  </w:style>
  <w:style w:type="character" w:customStyle="1" w:styleId="289">
    <w:name w:val="标题 2 Char Char"/>
    <w:qFormat/>
    <w:uiPriority w:val="0"/>
    <w:rPr>
      <w:rFonts w:ascii="楷体_GB2312" w:hAnsi="Arial" w:eastAsia="楷体_GB2312"/>
      <w:b/>
      <w:bCs/>
      <w:kern w:val="2"/>
      <w:sz w:val="24"/>
      <w:szCs w:val="32"/>
      <w:lang w:val="en-US" w:eastAsia="zh-CN" w:bidi="ar-SA"/>
    </w:rPr>
  </w:style>
  <w:style w:type="character" w:customStyle="1" w:styleId="290">
    <w:name w:val="tw4winExternal"/>
    <w:qFormat/>
    <w:uiPriority w:val="0"/>
    <w:rPr>
      <w:rFonts w:ascii="Courier New" w:hAnsi="Courier New" w:cs="Courier New"/>
      <w:color w:val="808080"/>
      <w:lang w:val="en-US" w:eastAsia="zh-CN"/>
    </w:rPr>
  </w:style>
  <w:style w:type="character" w:customStyle="1" w:styleId="291">
    <w:name w:val="Char Char37"/>
    <w:qFormat/>
    <w:uiPriority w:val="6"/>
    <w:rPr>
      <w:b/>
      <w:kern w:val="1"/>
      <w:sz w:val="44"/>
      <w:szCs w:val="44"/>
    </w:rPr>
  </w:style>
  <w:style w:type="character" w:customStyle="1" w:styleId="292">
    <w:name w:val="正文文本缩进 3 Char1"/>
    <w:semiHidden/>
    <w:qFormat/>
    <w:uiPriority w:val="99"/>
    <w:rPr>
      <w:rFonts w:ascii="Times New Roman" w:hAnsi="Times New Roman" w:eastAsia="宋体" w:cs="Times New Roman"/>
      <w:sz w:val="16"/>
      <w:szCs w:val="16"/>
    </w:rPr>
  </w:style>
  <w:style w:type="character" w:customStyle="1" w:styleId="293">
    <w:name w:val="message1"/>
    <w:qFormat/>
    <w:uiPriority w:val="0"/>
    <w:rPr>
      <w:rFonts w:hint="default" w:ascii="Tahoma" w:hAnsi="Tahoma" w:cs="Tahoma"/>
      <w:sz w:val="18"/>
      <w:szCs w:val="18"/>
    </w:rPr>
  </w:style>
  <w:style w:type="character" w:customStyle="1" w:styleId="294">
    <w:name w:val="列出段落 Char"/>
    <w:qFormat/>
    <w:uiPriority w:val="0"/>
    <w:rPr>
      <w:rFonts w:eastAsia="楷体_GB2312" w:cs="Lucida Sans"/>
      <w:kern w:val="2"/>
      <w:sz w:val="24"/>
      <w:szCs w:val="24"/>
      <w:lang w:val="en-US" w:eastAsia="zh-CN" w:bidi="ar-SA"/>
    </w:rPr>
  </w:style>
  <w:style w:type="character" w:customStyle="1" w:styleId="295">
    <w:name w:val="javascript"/>
    <w:qFormat/>
    <w:uiPriority w:val="0"/>
  </w:style>
  <w:style w:type="character" w:customStyle="1" w:styleId="296">
    <w:name w:val="标题 1 字符"/>
    <w:qFormat/>
    <w:uiPriority w:val="9"/>
    <w:rPr>
      <w:rFonts w:ascii="Arial" w:hAnsi="Arial" w:eastAsia="黑体" w:cs="Arial"/>
      <w:b/>
      <w:bCs/>
      <w:snapToGrid w:val="0"/>
      <w:kern w:val="44"/>
      <w:sz w:val="44"/>
      <w:szCs w:val="44"/>
    </w:rPr>
  </w:style>
  <w:style w:type="character" w:customStyle="1" w:styleId="297">
    <w:name w:val="标题 1 Char Char"/>
    <w:qFormat/>
    <w:uiPriority w:val="0"/>
    <w:rPr>
      <w:rFonts w:hint="eastAsia" w:ascii="宋体" w:hAnsi="宋体" w:eastAsia="宋体"/>
      <w:b/>
      <w:spacing w:val="-2"/>
      <w:sz w:val="24"/>
      <w:lang w:val="en-US" w:eastAsia="zh-CN" w:bidi="ar-SA"/>
    </w:rPr>
  </w:style>
  <w:style w:type="character" w:customStyle="1" w:styleId="298">
    <w:name w:val="正文（缩进2汉字） Char"/>
    <w:link w:val="299"/>
    <w:qFormat/>
    <w:uiPriority w:val="0"/>
    <w:rPr>
      <w:rFonts w:ascii="宋体"/>
    </w:rPr>
  </w:style>
  <w:style w:type="paragraph" w:customStyle="1" w:styleId="299">
    <w:name w:val="正文（缩进2汉字）"/>
    <w:basedOn w:val="1"/>
    <w:link w:val="29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00">
    <w:name w:val="gf正文1 Char Char"/>
    <w:link w:val="301"/>
    <w:qFormat/>
    <w:uiPriority w:val="0"/>
    <w:rPr>
      <w:rFonts w:ascii="宋体" w:hAnsi="宋体" w:cs="宋体"/>
      <w:kern w:val="2"/>
      <w:sz w:val="24"/>
      <w:szCs w:val="24"/>
    </w:rPr>
  </w:style>
  <w:style w:type="paragraph" w:customStyle="1" w:styleId="301">
    <w:name w:val="gf正文1"/>
    <w:basedOn w:val="1"/>
    <w:link w:val="30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302">
    <w:name w:val="哈哈正文 Char Char"/>
    <w:qFormat/>
    <w:uiPriority w:val="0"/>
    <w:rPr>
      <w:rFonts w:ascii="宋体" w:hAnsi="宋体" w:eastAsia="宋体" w:cs="宋体"/>
      <w:kern w:val="2"/>
      <w:sz w:val="24"/>
      <w:lang w:val="en-US" w:eastAsia="zh-CN" w:bidi="ar-SA"/>
    </w:rPr>
  </w:style>
  <w:style w:type="character" w:customStyle="1" w:styleId="303">
    <w:name w:val="font01"/>
    <w:qFormat/>
    <w:uiPriority w:val="0"/>
    <w:rPr>
      <w:rFonts w:hint="eastAsia" w:ascii="微软雅黑" w:hAnsi="微软雅黑" w:eastAsia="微软雅黑" w:cs="微软雅黑"/>
      <w:color w:val="000000"/>
      <w:sz w:val="20"/>
      <w:szCs w:val="20"/>
      <w:u w:val="none"/>
    </w:rPr>
  </w:style>
  <w:style w:type="character" w:customStyle="1" w:styleId="304">
    <w:name w:val="content"/>
    <w:qFormat/>
    <w:uiPriority w:val="0"/>
  </w:style>
  <w:style w:type="character" w:customStyle="1" w:styleId="305">
    <w:name w:val="标题 4 Char1"/>
    <w:qFormat/>
    <w:uiPriority w:val="9"/>
    <w:rPr>
      <w:rFonts w:ascii="Cambria" w:hAnsi="Cambria" w:eastAsia="宋体" w:cs="Times New Roman"/>
      <w:b/>
      <w:bCs/>
      <w:kern w:val="2"/>
      <w:sz w:val="28"/>
      <w:szCs w:val="28"/>
    </w:rPr>
  </w:style>
  <w:style w:type="character" w:customStyle="1" w:styleId="306">
    <w:name w:val="font51"/>
    <w:basedOn w:val="70"/>
    <w:qFormat/>
    <w:uiPriority w:val="0"/>
    <w:rPr>
      <w:rFonts w:hint="eastAsia" w:ascii="仿宋" w:hAnsi="仿宋" w:eastAsia="仿宋" w:cs="仿宋"/>
      <w:color w:val="000000"/>
      <w:sz w:val="20"/>
      <w:szCs w:val="20"/>
      <w:u w:val="none"/>
    </w:rPr>
  </w:style>
  <w:style w:type="character" w:customStyle="1" w:styleId="307">
    <w:name w:val="Char Char11"/>
    <w:qFormat/>
    <w:locked/>
    <w:uiPriority w:val="0"/>
    <w:rPr>
      <w:rFonts w:ascii="宋体" w:hAnsi="宋体" w:eastAsia="宋体"/>
      <w:b/>
      <w:kern w:val="2"/>
      <w:sz w:val="24"/>
      <w:szCs w:val="24"/>
      <w:lang w:val="en-US" w:eastAsia="zh-CN" w:bidi="ar-SA"/>
    </w:rPr>
  </w:style>
  <w:style w:type="character" w:customStyle="1" w:styleId="308">
    <w:name w:val="批注文字 字符"/>
    <w:qFormat/>
    <w:uiPriority w:val="0"/>
    <w:rPr>
      <w:rFonts w:ascii="Arial" w:hAnsi="Arial" w:eastAsia="黑体" w:cs="Arial"/>
      <w:snapToGrid w:val="0"/>
      <w:kern w:val="0"/>
      <w:szCs w:val="21"/>
    </w:rPr>
  </w:style>
  <w:style w:type="character" w:customStyle="1" w:styleId="309">
    <w:name w:val="列表段落 字符"/>
    <w:qFormat/>
    <w:uiPriority w:val="99"/>
  </w:style>
  <w:style w:type="character" w:customStyle="1" w:styleId="310">
    <w:name w:val="Ò³Ã¼ Char Char1"/>
    <w:qFormat/>
    <w:uiPriority w:val="0"/>
    <w:rPr>
      <w:rFonts w:eastAsia="宋体"/>
      <w:kern w:val="2"/>
      <w:sz w:val="18"/>
      <w:szCs w:val="18"/>
      <w:lang w:val="en-US" w:eastAsia="zh-CN" w:bidi="ar-SA"/>
    </w:rPr>
  </w:style>
  <w:style w:type="character" w:customStyle="1" w:styleId="311">
    <w:name w:val="Font Style82"/>
    <w:qFormat/>
    <w:uiPriority w:val="99"/>
    <w:rPr>
      <w:rFonts w:ascii="宋体" w:eastAsia="宋体" w:cs="宋体"/>
      <w:color w:val="000000"/>
      <w:sz w:val="14"/>
      <w:szCs w:val="14"/>
    </w:rPr>
  </w:style>
  <w:style w:type="character" w:customStyle="1" w:styleId="312">
    <w:name w:val="正文文本 Char2"/>
    <w:semiHidden/>
    <w:qFormat/>
    <w:uiPriority w:val="99"/>
    <w:rPr>
      <w:rFonts w:ascii="Times New Roman" w:hAnsi="Times New Roman" w:eastAsia="宋体" w:cs="Times New Roman"/>
      <w:snapToGrid w:val="0"/>
      <w:kern w:val="0"/>
      <w:szCs w:val="24"/>
    </w:rPr>
  </w:style>
  <w:style w:type="character" w:customStyle="1" w:styleId="313">
    <w:name w:val="正文首行缩进 Char Char Char Char Char Char"/>
    <w:qFormat/>
    <w:uiPriority w:val="0"/>
    <w:rPr>
      <w:rFonts w:ascii="宋体" w:eastAsia="宋体"/>
      <w:kern w:val="2"/>
      <w:sz w:val="24"/>
      <w:lang w:val="zh-CN" w:bidi="ar-SA"/>
    </w:rPr>
  </w:style>
  <w:style w:type="character" w:customStyle="1" w:styleId="314">
    <w:name w:val="question-title2"/>
    <w:qFormat/>
    <w:uiPriority w:val="6"/>
    <w:rPr>
      <w:rFonts w:ascii="Arial" w:hAnsi="Arial" w:eastAsia="黑体" w:cs="Arial"/>
      <w:snapToGrid w:val="0"/>
      <w:kern w:val="0"/>
      <w:szCs w:val="21"/>
    </w:rPr>
  </w:style>
  <w:style w:type="character" w:customStyle="1" w:styleId="315">
    <w:name w:val="gray6"/>
    <w:basedOn w:val="70"/>
    <w:qFormat/>
    <w:uiPriority w:val="0"/>
    <w:rPr>
      <w:rFonts w:ascii="Arial" w:hAnsi="Arial" w:eastAsia="黑体" w:cs="Arial"/>
      <w:snapToGrid w:val="0"/>
      <w:kern w:val="0"/>
      <w:szCs w:val="21"/>
    </w:rPr>
  </w:style>
  <w:style w:type="character" w:customStyle="1" w:styleId="316">
    <w:name w:val="正文缩进 Char3"/>
    <w:qFormat/>
    <w:uiPriority w:val="0"/>
    <w:rPr>
      <w:rFonts w:ascii="宋体" w:eastAsia="宋体"/>
      <w:snapToGrid w:val="0"/>
      <w:color w:val="000000"/>
      <w:kern w:val="28"/>
      <w:sz w:val="28"/>
      <w:lang w:val="en-US" w:eastAsia="zh-CN" w:bidi="ar-SA"/>
    </w:rPr>
  </w:style>
  <w:style w:type="character" w:customStyle="1" w:styleId="317">
    <w:name w:val="正文文本缩进 字符"/>
    <w:qFormat/>
    <w:uiPriority w:val="0"/>
    <w:rPr>
      <w:rFonts w:ascii="Century Gothic" w:hAnsi="Century Gothic" w:eastAsia="Century Gothic"/>
      <w:kern w:val="2"/>
      <w:sz w:val="24"/>
      <w:lang w:val="en-US" w:eastAsia="zh-CN" w:bidi="ar-SA"/>
    </w:rPr>
  </w:style>
  <w:style w:type="character" w:customStyle="1" w:styleId="318">
    <w:name w:val="Char Char36"/>
    <w:qFormat/>
    <w:uiPriority w:val="6"/>
    <w:rPr>
      <w:rFonts w:ascii="仿宋_GB2312" w:hAnsi="仿宋_GB2312" w:eastAsia="仿宋_GB2312" w:cs="Arial"/>
      <w:b/>
      <w:kern w:val="1"/>
      <w:sz w:val="32"/>
      <w:szCs w:val="32"/>
      <w:lang w:val="zh-CN" w:eastAsia="zh-CN" w:bidi="ar-SA"/>
    </w:rPr>
  </w:style>
  <w:style w:type="character" w:customStyle="1" w:styleId="319">
    <w:name w:val="方案正文 Char"/>
    <w:qFormat/>
    <w:uiPriority w:val="0"/>
    <w:rPr>
      <w:rFonts w:ascii="仿宋_GB2312" w:eastAsia="仿宋_GB2312"/>
      <w:b/>
      <w:color w:val="000000"/>
      <w:kern w:val="2"/>
      <w:sz w:val="24"/>
      <w:lang w:val="en-US" w:eastAsia="zh-CN" w:bidi="ar-SA"/>
    </w:rPr>
  </w:style>
  <w:style w:type="character" w:customStyle="1" w:styleId="320">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321">
    <w:name w:val="正文首行缩进 Char Char Char Char Char"/>
    <w:qFormat/>
    <w:uiPriority w:val="0"/>
    <w:rPr>
      <w:rFonts w:ascii="宋体"/>
      <w:kern w:val="2"/>
      <w:sz w:val="24"/>
      <w:lang w:val="zh-CN"/>
    </w:rPr>
  </w:style>
  <w:style w:type="character" w:customStyle="1" w:styleId="322">
    <w:name w:val="交叉引用"/>
    <w:qFormat/>
    <w:uiPriority w:val="1"/>
    <w:rPr>
      <w:rFonts w:ascii="Arial" w:hAnsi="Arial" w:eastAsia="黑体"/>
      <w:snapToGrid w:val="0"/>
      <w:color w:val="0000FF"/>
      <w:kern w:val="0"/>
      <w:sz w:val="20"/>
      <w:szCs w:val="21"/>
      <w:u w:val="single"/>
      <w:lang w:val="en-US" w:eastAsia="zh-CN"/>
    </w:rPr>
  </w:style>
  <w:style w:type="character" w:customStyle="1" w:styleId="323">
    <w:name w:val="unnamed11"/>
    <w:qFormat/>
    <w:uiPriority w:val="0"/>
    <w:rPr>
      <w:sz w:val="20"/>
      <w:szCs w:val="20"/>
    </w:rPr>
  </w:style>
  <w:style w:type="character" w:customStyle="1" w:styleId="324">
    <w:name w:val="页脚 字符1"/>
    <w:qFormat/>
    <w:locked/>
    <w:uiPriority w:val="99"/>
    <w:rPr>
      <w:kern w:val="2"/>
      <w:sz w:val="18"/>
      <w:szCs w:val="18"/>
    </w:rPr>
  </w:style>
  <w:style w:type="character" w:customStyle="1" w:styleId="325">
    <w:name w:val="列出段落 Char2"/>
    <w:qFormat/>
    <w:uiPriority w:val="34"/>
    <w:rPr>
      <w:rFonts w:ascii="Calibri" w:hAnsi="Calibri"/>
      <w:kern w:val="2"/>
      <w:sz w:val="28"/>
    </w:rPr>
  </w:style>
  <w:style w:type="character" w:customStyle="1" w:styleId="326">
    <w:name w:val="U_正文 Char"/>
    <w:link w:val="327"/>
    <w:qFormat/>
    <w:uiPriority w:val="0"/>
    <w:rPr>
      <w:sz w:val="24"/>
      <w:szCs w:val="24"/>
    </w:rPr>
  </w:style>
  <w:style w:type="paragraph" w:customStyle="1" w:styleId="327">
    <w:name w:val="U_正文"/>
    <w:basedOn w:val="1"/>
    <w:link w:val="326"/>
    <w:qFormat/>
    <w:uiPriority w:val="0"/>
    <w:pPr>
      <w:adjustRightInd/>
      <w:spacing w:beforeLines="20" w:afterLines="20" w:line="300" w:lineRule="auto"/>
      <w:ind w:firstLine="200" w:firstLineChars="200"/>
    </w:pPr>
    <w:rPr>
      <w:kern w:val="0"/>
      <w:sz w:val="24"/>
    </w:rPr>
  </w:style>
  <w:style w:type="character" w:customStyle="1" w:styleId="328">
    <w:name w:val="b11_01b Char"/>
    <w:link w:val="329"/>
    <w:qFormat/>
    <w:uiPriority w:val="0"/>
    <w:rPr>
      <w:rFonts w:ascii="Verdana" w:hAnsi="Verdana"/>
      <w:b/>
      <w:bCs/>
      <w:color w:val="4A82CA"/>
      <w:sz w:val="17"/>
      <w:szCs w:val="17"/>
    </w:rPr>
  </w:style>
  <w:style w:type="paragraph" w:customStyle="1" w:styleId="329">
    <w:name w:val="b11_01b"/>
    <w:basedOn w:val="1"/>
    <w:next w:val="1"/>
    <w:link w:val="32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30">
    <w:name w:val="正文样式 Char"/>
    <w:link w:val="331"/>
    <w:qFormat/>
    <w:uiPriority w:val="0"/>
    <w:rPr>
      <w:rFonts w:ascii="Calibri" w:hAnsi="Calibri"/>
      <w:sz w:val="24"/>
      <w:szCs w:val="24"/>
    </w:rPr>
  </w:style>
  <w:style w:type="paragraph" w:customStyle="1" w:styleId="331">
    <w:name w:val="正文样式"/>
    <w:basedOn w:val="1"/>
    <w:link w:val="330"/>
    <w:qFormat/>
    <w:uiPriority w:val="0"/>
    <w:pPr>
      <w:adjustRightInd/>
      <w:spacing w:line="360" w:lineRule="auto"/>
      <w:ind w:firstLine="480" w:firstLineChars="200"/>
    </w:pPr>
    <w:rPr>
      <w:rFonts w:ascii="Calibri" w:hAnsi="Calibri"/>
      <w:kern w:val="0"/>
      <w:sz w:val="24"/>
    </w:rPr>
  </w:style>
  <w:style w:type="character" w:customStyle="1" w:styleId="332">
    <w:name w:val="批注文字 Char2"/>
    <w:qFormat/>
    <w:uiPriority w:val="99"/>
    <w:rPr>
      <w:rFonts w:ascii="Times New Roman" w:hAnsi="Times New Roman" w:eastAsia="宋体" w:cs="Times New Roman"/>
      <w:snapToGrid w:val="0"/>
      <w:kern w:val="0"/>
      <w:szCs w:val="24"/>
    </w:rPr>
  </w:style>
  <w:style w:type="character" w:customStyle="1" w:styleId="333">
    <w:name w:val="Char Char161"/>
    <w:qFormat/>
    <w:uiPriority w:val="0"/>
    <w:rPr>
      <w:rFonts w:eastAsia="宋体"/>
      <w:b/>
      <w:kern w:val="2"/>
      <w:sz w:val="32"/>
      <w:lang w:val="en-US" w:eastAsia="zh-CN"/>
    </w:rPr>
  </w:style>
  <w:style w:type="character" w:customStyle="1" w:styleId="334">
    <w:name w:val="Char Char20"/>
    <w:qFormat/>
    <w:uiPriority w:val="6"/>
    <w:rPr>
      <w:kern w:val="1"/>
      <w:sz w:val="24"/>
    </w:rPr>
  </w:style>
  <w:style w:type="character" w:customStyle="1" w:styleId="335">
    <w:name w:val="表格非标题文字 Char"/>
    <w:link w:val="336"/>
    <w:qFormat/>
    <w:uiPriority w:val="0"/>
    <w:rPr>
      <w:rFonts w:ascii="Futura Bk" w:hAnsi="Futura Bk"/>
      <w:kern w:val="2"/>
      <w:sz w:val="18"/>
      <w:szCs w:val="21"/>
      <w:lang w:val="en-US" w:eastAsia="zh-CN" w:bidi="ar-SA"/>
    </w:rPr>
  </w:style>
  <w:style w:type="paragraph" w:customStyle="1" w:styleId="336">
    <w:name w:val="表格非标题文字"/>
    <w:link w:val="33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337">
    <w:name w:val="*正文 Char"/>
    <w:link w:val="338"/>
    <w:qFormat/>
    <w:locked/>
    <w:uiPriority w:val="0"/>
    <w:rPr>
      <w:rFonts w:ascii="宋体" w:hAnsi="宋体"/>
      <w:sz w:val="24"/>
    </w:rPr>
  </w:style>
  <w:style w:type="paragraph" w:customStyle="1" w:styleId="338">
    <w:name w:val="*正文"/>
    <w:basedOn w:val="1"/>
    <w:link w:val="337"/>
    <w:qFormat/>
    <w:uiPriority w:val="0"/>
    <w:pPr>
      <w:snapToGrid w:val="0"/>
      <w:spacing w:line="360" w:lineRule="auto"/>
      <w:ind w:firstLine="482"/>
      <w:jc w:val="left"/>
    </w:pPr>
    <w:rPr>
      <w:rFonts w:ascii="宋体" w:hAnsi="宋体"/>
      <w:kern w:val="0"/>
      <w:sz w:val="24"/>
      <w:szCs w:val="20"/>
    </w:rPr>
  </w:style>
  <w:style w:type="character" w:customStyle="1" w:styleId="339">
    <w:name w:val="Char Char28"/>
    <w:qFormat/>
    <w:uiPriority w:val="6"/>
    <w:rPr>
      <w:rFonts w:ascii="仿宋_GB2312" w:hAnsi="仿宋_GB2312" w:eastAsia="仿宋_GB2312"/>
      <w:kern w:val="1"/>
      <w:sz w:val="28"/>
    </w:rPr>
  </w:style>
  <w:style w:type="character" w:customStyle="1" w:styleId="340">
    <w:name w:val="Heading 1 Char"/>
    <w:qFormat/>
    <w:uiPriority w:val="6"/>
    <w:rPr>
      <w:rFonts w:ascii="Times New Roman" w:hAnsi="Times New Roman" w:eastAsia="黑体" w:cs="Times New Roman"/>
      <w:b/>
      <w:kern w:val="0"/>
      <w:sz w:val="24"/>
      <w:szCs w:val="24"/>
    </w:rPr>
  </w:style>
  <w:style w:type="character" w:customStyle="1" w:styleId="341">
    <w:name w:val="HTML 地址 Char1"/>
    <w:qFormat/>
    <w:uiPriority w:val="0"/>
    <w:rPr>
      <w:rFonts w:ascii="Times New Roman" w:hAnsi="Times New Roman" w:eastAsia="宋体" w:cs="Times New Roman"/>
      <w:i/>
      <w:iCs/>
      <w:szCs w:val="24"/>
    </w:rPr>
  </w:style>
  <w:style w:type="character" w:customStyle="1" w:styleId="342">
    <w:name w:val="表正文 Char"/>
    <w:qFormat/>
    <w:uiPriority w:val="0"/>
    <w:rPr>
      <w:rFonts w:ascii="宋体" w:eastAsia="宋体"/>
      <w:snapToGrid w:val="0"/>
      <w:color w:val="000000"/>
      <w:kern w:val="28"/>
      <w:sz w:val="28"/>
      <w:lang w:val="en-US" w:eastAsia="zh-CN" w:bidi="ar-SA"/>
    </w:rPr>
  </w:style>
  <w:style w:type="character" w:customStyle="1" w:styleId="343">
    <w:name w:val="Char Char34"/>
    <w:qFormat/>
    <w:uiPriority w:val="6"/>
    <w:rPr>
      <w:b/>
      <w:kern w:val="1"/>
      <w:sz w:val="28"/>
      <w:szCs w:val="28"/>
    </w:rPr>
  </w:style>
  <w:style w:type="character" w:customStyle="1" w:styleId="34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345">
    <w:name w:val="未处理的提及1"/>
    <w:qFormat/>
    <w:uiPriority w:val="0"/>
    <w:rPr>
      <w:color w:val="808080"/>
      <w:shd w:val="clear" w:color="auto" w:fill="E6E6E6"/>
    </w:rPr>
  </w:style>
  <w:style w:type="character" w:customStyle="1" w:styleId="346">
    <w:name w:val="5正文 Char"/>
    <w:link w:val="347"/>
    <w:qFormat/>
    <w:uiPriority w:val="0"/>
    <w:rPr>
      <w:rFonts w:ascii="仿宋_GB2312" w:hAnsi="微软雅黑" w:eastAsia="仿宋_GB2312"/>
      <w:sz w:val="28"/>
      <w:szCs w:val="21"/>
    </w:rPr>
  </w:style>
  <w:style w:type="paragraph" w:customStyle="1" w:styleId="347">
    <w:name w:val="5正文"/>
    <w:basedOn w:val="1"/>
    <w:link w:val="34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348">
    <w:name w:val="标题 3 字符"/>
    <w:qFormat/>
    <w:uiPriority w:val="9"/>
    <w:rPr>
      <w:b/>
      <w:bCs/>
      <w:kern w:val="2"/>
      <w:sz w:val="32"/>
      <w:szCs w:val="32"/>
    </w:rPr>
  </w:style>
  <w:style w:type="character" w:customStyle="1" w:styleId="349">
    <w:name w:val="Char Char14"/>
    <w:qFormat/>
    <w:uiPriority w:val="6"/>
    <w:rPr>
      <w:rFonts w:ascii="黑体" w:hAnsi="黑体" w:eastAsia="黑体"/>
    </w:rPr>
  </w:style>
  <w:style w:type="character" w:customStyle="1" w:styleId="350">
    <w:name w:val="Heading 2 Hidden Char"/>
    <w:qFormat/>
    <w:uiPriority w:val="0"/>
    <w:rPr>
      <w:rFonts w:ascii="仿宋_GB2312" w:eastAsia="仿宋_GB2312"/>
      <w:b/>
      <w:bCs/>
      <w:kern w:val="2"/>
      <w:sz w:val="24"/>
      <w:szCs w:val="24"/>
      <w:lang w:val="zh-CN" w:eastAsia="zh-CN" w:bidi="ar-SA"/>
    </w:rPr>
  </w:style>
  <w:style w:type="character" w:customStyle="1" w:styleId="351">
    <w:name w:val="font11"/>
    <w:qFormat/>
    <w:uiPriority w:val="0"/>
    <w:rPr>
      <w:rFonts w:hint="default" w:ascii="Times New Roman" w:hAnsi="Times New Roman" w:cs="Times New Roman"/>
      <w:color w:val="000000"/>
      <w:sz w:val="22"/>
      <w:szCs w:val="22"/>
      <w:u w:val="none"/>
    </w:rPr>
  </w:style>
  <w:style w:type="character" w:customStyle="1" w:styleId="352">
    <w:name w:val="blue1"/>
    <w:basedOn w:val="70"/>
    <w:qFormat/>
    <w:uiPriority w:val="0"/>
    <w:rPr>
      <w:rFonts w:ascii="Arial" w:hAnsi="Arial" w:eastAsia="黑体" w:cs="Arial"/>
      <w:snapToGrid w:val="0"/>
      <w:kern w:val="0"/>
      <w:szCs w:val="21"/>
    </w:rPr>
  </w:style>
  <w:style w:type="character" w:customStyle="1" w:styleId="353">
    <w:name w:val="正文2 Char Char"/>
    <w:link w:val="354"/>
    <w:qFormat/>
    <w:uiPriority w:val="0"/>
    <w:rPr>
      <w:rFonts w:eastAsia="宋体"/>
      <w:kern w:val="2"/>
      <w:sz w:val="24"/>
      <w:lang w:val="en-US" w:eastAsia="zh-CN" w:bidi="ar-SA"/>
    </w:rPr>
  </w:style>
  <w:style w:type="paragraph" w:customStyle="1" w:styleId="354">
    <w:name w:val="正文2"/>
    <w:basedOn w:val="1"/>
    <w:link w:val="353"/>
    <w:qFormat/>
    <w:uiPriority w:val="0"/>
    <w:pPr>
      <w:spacing w:before="156" w:line="360" w:lineRule="auto"/>
      <w:ind w:firstLine="510" w:firstLineChars="200"/>
    </w:pPr>
    <w:rPr>
      <w:sz w:val="24"/>
      <w:szCs w:val="20"/>
    </w:rPr>
  </w:style>
  <w:style w:type="character" w:customStyle="1" w:styleId="355">
    <w:name w:val="Char Char24"/>
    <w:qFormat/>
    <w:uiPriority w:val="6"/>
    <w:rPr>
      <w:kern w:val="1"/>
      <w:sz w:val="21"/>
    </w:rPr>
  </w:style>
  <w:style w:type="character" w:customStyle="1" w:styleId="356">
    <w:name w:val="普通文字 Char1 Char"/>
    <w:qFormat/>
    <w:uiPriority w:val="0"/>
    <w:rPr>
      <w:rFonts w:ascii="宋体" w:hAnsi="Courier New" w:eastAsia="宋体"/>
      <w:kern w:val="2"/>
      <w:sz w:val="21"/>
      <w:szCs w:val="24"/>
      <w:lang w:val="en-US" w:eastAsia="zh-CN" w:bidi="ar-SA"/>
    </w:rPr>
  </w:style>
  <w:style w:type="character" w:customStyle="1" w:styleId="357">
    <w:name w:val="正文文本缩进 Char1"/>
    <w:qFormat/>
    <w:uiPriority w:val="0"/>
    <w:rPr>
      <w:rFonts w:ascii="Calibri" w:hAnsi="Calibri"/>
      <w:sz w:val="28"/>
    </w:rPr>
  </w:style>
  <w:style w:type="character" w:customStyle="1" w:styleId="358">
    <w:name w:val="No Spacing Char"/>
    <w:link w:val="359"/>
    <w:qFormat/>
    <w:uiPriority w:val="1"/>
    <w:rPr>
      <w:sz w:val="22"/>
      <w:szCs w:val="22"/>
      <w:lang w:val="en-US" w:eastAsia="zh-CN" w:bidi="ar-SA"/>
    </w:rPr>
  </w:style>
  <w:style w:type="paragraph" w:customStyle="1" w:styleId="359">
    <w:name w:val="无间隔1"/>
    <w:link w:val="358"/>
    <w:qFormat/>
    <w:uiPriority w:val="1"/>
    <w:rPr>
      <w:rFonts w:ascii="Times New Roman" w:hAnsi="Times New Roman" w:eastAsia="宋体" w:cs="Times New Roman"/>
      <w:sz w:val="22"/>
      <w:szCs w:val="22"/>
      <w:lang w:val="en-US" w:eastAsia="zh-CN" w:bidi="ar-SA"/>
    </w:rPr>
  </w:style>
  <w:style w:type="character" w:customStyle="1" w:styleId="360">
    <w:name w:val="font12gray1"/>
    <w:qFormat/>
    <w:uiPriority w:val="0"/>
    <w:rPr>
      <w:rFonts w:ascii="仿宋_GB2312" w:eastAsia="微软雅黑"/>
      <w:b/>
      <w:spacing w:val="300"/>
      <w:kern w:val="2"/>
      <w:sz w:val="18"/>
      <w:szCs w:val="18"/>
      <w:lang w:val="en-US" w:eastAsia="zh-CN" w:bidi="ar-SA"/>
    </w:rPr>
  </w:style>
  <w:style w:type="character" w:customStyle="1" w:styleId="361">
    <w:name w:val="Char Char7"/>
    <w:semiHidden/>
    <w:qFormat/>
    <w:uiPriority w:val="0"/>
    <w:rPr>
      <w:rFonts w:eastAsia="宋体"/>
      <w:kern w:val="2"/>
      <w:sz w:val="21"/>
      <w:szCs w:val="24"/>
      <w:lang w:val="en-US" w:eastAsia="zh-CN" w:bidi="ar-SA"/>
    </w:rPr>
  </w:style>
  <w:style w:type="character" w:customStyle="1" w:styleId="362">
    <w:name w:val="表名 Char"/>
    <w:qFormat/>
    <w:uiPriority w:val="0"/>
    <w:rPr>
      <w:rFonts w:eastAsia="宋体"/>
      <w:b/>
      <w:bCs/>
      <w:kern w:val="2"/>
      <w:sz w:val="24"/>
      <w:szCs w:val="24"/>
      <w:lang w:val="en-US" w:eastAsia="zh-CN" w:bidi="ar-SA"/>
    </w:rPr>
  </w:style>
  <w:style w:type="character" w:customStyle="1" w:styleId="363">
    <w:name w:val="Document Map Char"/>
    <w:qFormat/>
    <w:locked/>
    <w:uiPriority w:val="0"/>
    <w:rPr>
      <w:rFonts w:eastAsia="宋体"/>
      <w:kern w:val="2"/>
      <w:sz w:val="21"/>
      <w:szCs w:val="24"/>
      <w:lang w:val="en-US" w:eastAsia="zh-CN" w:bidi="ar-SA"/>
    </w:rPr>
  </w:style>
  <w:style w:type="character" w:customStyle="1" w:styleId="364">
    <w:name w:val="font41"/>
    <w:qFormat/>
    <w:uiPriority w:val="0"/>
    <w:rPr>
      <w:rFonts w:hint="eastAsia" w:ascii="仿宋_GB2312" w:eastAsia="仿宋_GB2312" w:cs="仿宋_GB2312"/>
      <w:color w:val="000000"/>
      <w:sz w:val="22"/>
      <w:szCs w:val="22"/>
      <w:u w:val="none"/>
    </w:rPr>
  </w:style>
  <w:style w:type="character" w:customStyle="1" w:styleId="365">
    <w:name w:val="纯文本 Char_0"/>
    <w:link w:val="366"/>
    <w:qFormat/>
    <w:uiPriority w:val="0"/>
    <w:rPr>
      <w:rFonts w:ascii="宋体" w:hAnsi="Courier New"/>
      <w:kern w:val="2"/>
      <w:sz w:val="21"/>
      <w:szCs w:val="21"/>
      <w:lang w:val="en-US" w:eastAsia="zh-CN"/>
    </w:rPr>
  </w:style>
  <w:style w:type="paragraph" w:customStyle="1" w:styleId="366">
    <w:name w:val="纯文本_0_0"/>
    <w:basedOn w:val="367"/>
    <w:link w:val="365"/>
    <w:qFormat/>
    <w:uiPriority w:val="0"/>
    <w:rPr>
      <w:rFonts w:ascii="宋体" w:hAnsi="Courier New"/>
      <w:szCs w:val="21"/>
    </w:rPr>
  </w:style>
  <w:style w:type="paragraph" w:customStyle="1" w:styleId="36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8">
    <w:name w:val="Balloon Text Char"/>
    <w:qFormat/>
    <w:locked/>
    <w:uiPriority w:val="0"/>
    <w:rPr>
      <w:rFonts w:eastAsia="宋体"/>
      <w:kern w:val="2"/>
      <w:sz w:val="18"/>
      <w:szCs w:val="18"/>
      <w:lang w:val="en-US" w:eastAsia="zh-CN" w:bidi="ar-SA"/>
    </w:rPr>
  </w:style>
  <w:style w:type="character" w:customStyle="1" w:styleId="369">
    <w:name w:val="正文 项目2 Char"/>
    <w:basedOn w:val="370"/>
    <w:qFormat/>
    <w:uiPriority w:val="0"/>
    <w:rPr>
      <w:rFonts w:ascii="仿宋_GB2312" w:hAnsi="仿宋_GB2312" w:eastAsia="仿宋_GB2312"/>
      <w:kern w:val="2"/>
      <w:sz w:val="24"/>
      <w:lang w:bidi="ar-SA"/>
    </w:rPr>
  </w:style>
  <w:style w:type="character" w:customStyle="1" w:styleId="370">
    <w:name w:val="正文 项目 Char"/>
    <w:qFormat/>
    <w:uiPriority w:val="0"/>
    <w:rPr>
      <w:rFonts w:ascii="仿宋_GB2312" w:hAnsi="仿宋_GB2312" w:eastAsia="仿宋_GB2312"/>
      <w:kern w:val="2"/>
      <w:sz w:val="24"/>
      <w:lang w:bidi="ar-SA"/>
    </w:rPr>
  </w:style>
  <w:style w:type="character" w:customStyle="1" w:styleId="371">
    <w:name w:val="h Char Char1"/>
    <w:qFormat/>
    <w:uiPriority w:val="0"/>
    <w:rPr>
      <w:rFonts w:eastAsia="宋体"/>
      <w:kern w:val="2"/>
      <w:sz w:val="18"/>
      <w:szCs w:val="18"/>
      <w:lang w:val="en-US" w:eastAsia="zh-CN" w:bidi="ar-SA"/>
    </w:rPr>
  </w:style>
  <w:style w:type="character" w:customStyle="1" w:styleId="372">
    <w:name w:val="Char Char27"/>
    <w:qFormat/>
    <w:uiPriority w:val="6"/>
    <w:rPr>
      <w:rFonts w:ascii="宋体" w:hAnsi="宋体" w:eastAsia="宋体"/>
      <w:color w:val="000000"/>
      <w:kern w:val="1"/>
      <w:sz w:val="28"/>
      <w:lang w:val="en-US" w:eastAsia="zh-CN" w:bidi="ar-SA"/>
    </w:rPr>
  </w:style>
  <w:style w:type="character" w:customStyle="1" w:styleId="373">
    <w:name w:val="style36"/>
    <w:basedOn w:val="70"/>
    <w:qFormat/>
    <w:uiPriority w:val="0"/>
    <w:rPr>
      <w:rFonts w:ascii="Arial" w:hAnsi="Arial" w:eastAsia="黑体" w:cs="Arial"/>
      <w:snapToGrid w:val="0"/>
      <w:kern w:val="0"/>
      <w:szCs w:val="21"/>
    </w:rPr>
  </w:style>
  <w:style w:type="character" w:customStyle="1" w:styleId="374">
    <w:name w:val="px14"/>
    <w:qFormat/>
    <w:uiPriority w:val="0"/>
    <w:rPr>
      <w:rFonts w:ascii="仿宋_GB2312" w:eastAsia="微软雅黑" w:cs="Times New Roman"/>
      <w:b/>
      <w:kern w:val="2"/>
      <w:sz w:val="32"/>
      <w:szCs w:val="32"/>
      <w:lang w:val="en-US" w:eastAsia="zh-CN" w:bidi="ar-SA"/>
    </w:rPr>
  </w:style>
  <w:style w:type="character" w:customStyle="1" w:styleId="375">
    <w:name w:val="样式 正文缩进 + 首行缩进:  2 字符 Char Char"/>
    <w:link w:val="376"/>
    <w:qFormat/>
    <w:uiPriority w:val="0"/>
    <w:rPr>
      <w:rFonts w:cs="宋体"/>
      <w:kern w:val="2"/>
      <w:sz w:val="24"/>
    </w:rPr>
  </w:style>
  <w:style w:type="paragraph" w:customStyle="1" w:styleId="376">
    <w:name w:val="样式 正文缩进 + 首行缩进:  2 字符"/>
    <w:basedOn w:val="18"/>
    <w:link w:val="375"/>
    <w:qFormat/>
    <w:uiPriority w:val="0"/>
    <w:pPr>
      <w:widowControl w:val="0"/>
      <w:adjustRightInd/>
      <w:snapToGrid/>
      <w:spacing w:line="360" w:lineRule="auto"/>
      <w:ind w:firstLine="200" w:firstLineChars="200"/>
    </w:pPr>
    <w:rPr>
      <w:rFonts w:ascii="Times New Roman"/>
      <w:snapToGrid/>
      <w:color w:val="auto"/>
      <w:kern w:val="2"/>
      <w:sz w:val="24"/>
    </w:rPr>
  </w:style>
  <w:style w:type="character" w:customStyle="1" w:styleId="377">
    <w:name w:val="HTML 预设格式 Char1"/>
    <w:qFormat/>
    <w:uiPriority w:val="0"/>
    <w:rPr>
      <w:rFonts w:ascii="Courier New" w:hAnsi="Courier New" w:eastAsia="宋体" w:cs="Courier New"/>
      <w:sz w:val="20"/>
      <w:szCs w:val="20"/>
    </w:rPr>
  </w:style>
  <w:style w:type="character" w:customStyle="1" w:styleId="378">
    <w:name w:val="未用 Char"/>
    <w:qFormat/>
    <w:uiPriority w:val="0"/>
    <w:rPr>
      <w:rFonts w:ascii="Arial" w:hAnsi="Arial" w:eastAsia="黑体"/>
      <w:kern w:val="2"/>
      <w:sz w:val="21"/>
      <w:szCs w:val="21"/>
      <w:lang w:val="en-US" w:eastAsia="zh-CN" w:bidi="ar-SA"/>
    </w:rPr>
  </w:style>
  <w:style w:type="character" w:customStyle="1" w:styleId="379">
    <w:name w:val="普通文字 Char1"/>
    <w:qFormat/>
    <w:uiPriority w:val="0"/>
    <w:rPr>
      <w:rFonts w:ascii="宋体" w:hAnsi="Courier New" w:eastAsia="宋体"/>
      <w:kern w:val="2"/>
      <w:sz w:val="21"/>
      <w:lang w:val="en-US" w:eastAsia="zh-CN"/>
    </w:rPr>
  </w:style>
  <w:style w:type="character" w:customStyle="1" w:styleId="380">
    <w:name w:val="hei16b1"/>
    <w:qFormat/>
    <w:uiPriority w:val="0"/>
    <w:rPr>
      <w:rFonts w:hint="default" w:ascii="Arial" w:hAnsi="Arial" w:cs="Arial"/>
      <w:b/>
      <w:bCs/>
      <w:color w:val="000000"/>
      <w:sz w:val="24"/>
      <w:szCs w:val="24"/>
    </w:rPr>
  </w:style>
  <w:style w:type="character" w:customStyle="1" w:styleId="381">
    <w:name w:val="标书表格字体格式 Char"/>
    <w:qFormat/>
    <w:uiPriority w:val="0"/>
    <w:rPr>
      <w:kern w:val="2"/>
      <w:sz w:val="21"/>
      <w:szCs w:val="24"/>
      <w:lang w:bidi="ar-SA"/>
    </w:rPr>
  </w:style>
  <w:style w:type="character" w:customStyle="1" w:styleId="382">
    <w:name w:val="Char Char19"/>
    <w:qFormat/>
    <w:uiPriority w:val="6"/>
    <w:rPr>
      <w:rFonts w:ascii="宋体" w:hAnsi="宋体"/>
      <w:i/>
      <w:sz w:val="24"/>
      <w:szCs w:val="24"/>
    </w:rPr>
  </w:style>
  <w:style w:type="character" w:customStyle="1" w:styleId="383">
    <w:name w:val="文档结构图 字符1"/>
    <w:qFormat/>
    <w:uiPriority w:val="0"/>
    <w:rPr>
      <w:rFonts w:ascii="宋体" w:hAnsi="Calibri" w:eastAsia="黑体" w:cs="Arial"/>
      <w:snapToGrid w:val="0"/>
      <w:kern w:val="2"/>
      <w:sz w:val="18"/>
      <w:szCs w:val="18"/>
    </w:rPr>
  </w:style>
  <w:style w:type="character" w:customStyle="1" w:styleId="384">
    <w:name w:val="h Char Char"/>
    <w:qFormat/>
    <w:uiPriority w:val="0"/>
    <w:rPr>
      <w:rFonts w:eastAsia="宋体"/>
      <w:kern w:val="2"/>
      <w:sz w:val="18"/>
      <w:lang w:val="en-US" w:eastAsia="zh-CN" w:bidi="ar-SA"/>
    </w:rPr>
  </w:style>
  <w:style w:type="character" w:customStyle="1" w:styleId="385">
    <w:name w:val="Comment Text Char"/>
    <w:qFormat/>
    <w:locked/>
    <w:uiPriority w:val="0"/>
    <w:rPr>
      <w:rFonts w:ascii="宋体" w:hAnsi="宋体" w:eastAsia="宋体"/>
      <w:kern w:val="2"/>
      <w:sz w:val="24"/>
      <w:lang w:val="en-US" w:eastAsia="zh-CN" w:bidi="ar-SA"/>
    </w:rPr>
  </w:style>
  <w:style w:type="character" w:customStyle="1" w:styleId="386">
    <w:name w:val="myp1111"/>
    <w:qFormat/>
    <w:uiPriority w:val="0"/>
    <w:rPr>
      <w:rFonts w:hint="default" w:ascii="ˎ̥" w:hAnsi="ˎ̥"/>
      <w:color w:val="000000"/>
      <w:sz w:val="20"/>
      <w:szCs w:val="20"/>
      <w:u w:val="none"/>
    </w:rPr>
  </w:style>
  <w:style w:type="character" w:customStyle="1" w:styleId="387">
    <w:name w:val="tw4winJump"/>
    <w:qFormat/>
    <w:uiPriority w:val="0"/>
    <w:rPr>
      <w:rFonts w:ascii="Courier New" w:hAnsi="Courier New" w:cs="Courier New"/>
      <w:color w:val="008080"/>
      <w:lang w:val="en-US" w:eastAsia="zh-CN"/>
    </w:rPr>
  </w:style>
  <w:style w:type="character" w:customStyle="1" w:styleId="388">
    <w:name w:val="正文文本缩进 Char2"/>
    <w:qFormat/>
    <w:uiPriority w:val="0"/>
    <w:rPr>
      <w:rFonts w:ascii="Times New Roman" w:hAnsi="Times New Roman" w:eastAsia="宋体" w:cs="Times New Roman"/>
      <w:snapToGrid w:val="0"/>
      <w:kern w:val="0"/>
      <w:szCs w:val="24"/>
    </w:rPr>
  </w:style>
  <w:style w:type="character" w:customStyle="1" w:styleId="389">
    <w:name w:val="hui3"/>
    <w:qFormat/>
    <w:uiPriority w:val="0"/>
    <w:rPr>
      <w:color w:val="333333"/>
    </w:rPr>
  </w:style>
  <w:style w:type="character" w:customStyle="1" w:styleId="390">
    <w:name w:val="表格名称[858D7CFB-ED40-4347-BF05-701D383B685F]"/>
    <w:link w:val="391"/>
    <w:qFormat/>
    <w:uiPriority w:val="0"/>
    <w:rPr>
      <w:sz w:val="32"/>
    </w:rPr>
  </w:style>
  <w:style w:type="paragraph" w:customStyle="1" w:styleId="391">
    <w:name w:val="表格名称"/>
    <w:basedOn w:val="6"/>
    <w:link w:val="390"/>
    <w:qFormat/>
    <w:uiPriority w:val="0"/>
    <w:pPr>
      <w:snapToGrid w:val="0"/>
      <w:spacing w:before="240" w:after="240" w:line="240" w:lineRule="auto"/>
      <w:ind w:left="0" w:firstLine="0"/>
      <w:jc w:val="center"/>
    </w:pPr>
    <w:rPr>
      <w:rFonts w:ascii="Times New Roman" w:hAnsi="Times New Roman" w:eastAsia="宋体"/>
      <w:b w:val="0"/>
      <w:bCs w:val="0"/>
      <w:kern w:val="0"/>
      <w:szCs w:val="20"/>
    </w:rPr>
  </w:style>
  <w:style w:type="character" w:customStyle="1" w:styleId="392">
    <w:name w:val="Char Char4"/>
    <w:qFormat/>
    <w:uiPriority w:val="0"/>
    <w:rPr>
      <w:rFonts w:eastAsia="宋体"/>
      <w:b/>
      <w:sz w:val="24"/>
      <w:lang w:eastAsia="zh-CN" w:bidi="ar-SA"/>
    </w:rPr>
  </w:style>
  <w:style w:type="character" w:customStyle="1" w:styleId="393">
    <w:name w:val="c7 style3"/>
    <w:qFormat/>
    <w:uiPriority w:val="0"/>
  </w:style>
  <w:style w:type="character" w:customStyle="1" w:styleId="394">
    <w:name w:val="zbggmain style9"/>
    <w:qFormat/>
    <w:uiPriority w:val="0"/>
  </w:style>
  <w:style w:type="character" w:customStyle="1" w:styleId="395">
    <w:name w:val="正文文本 3 Char1"/>
    <w:semiHidden/>
    <w:qFormat/>
    <w:uiPriority w:val="99"/>
    <w:rPr>
      <w:rFonts w:ascii="Times New Roman" w:hAnsi="Times New Roman" w:eastAsia="宋体" w:cs="Times New Roman"/>
      <w:sz w:val="16"/>
      <w:szCs w:val="16"/>
    </w:rPr>
  </w:style>
  <w:style w:type="character" w:customStyle="1" w:styleId="396">
    <w:name w:val="公文正文 Char Char"/>
    <w:link w:val="397"/>
    <w:qFormat/>
    <w:uiPriority w:val="0"/>
    <w:rPr>
      <w:rFonts w:ascii="仿宋_GB2312" w:eastAsia="仿宋_GB2312"/>
      <w:kern w:val="2"/>
      <w:sz w:val="24"/>
      <w:szCs w:val="24"/>
    </w:rPr>
  </w:style>
  <w:style w:type="paragraph" w:customStyle="1" w:styleId="397">
    <w:name w:val="公文正文"/>
    <w:basedOn w:val="1"/>
    <w:link w:val="396"/>
    <w:qFormat/>
    <w:uiPriority w:val="0"/>
    <w:pPr>
      <w:adjustRightInd/>
      <w:spacing w:before="156" w:line="360" w:lineRule="auto"/>
      <w:ind w:firstLine="360" w:firstLineChars="200"/>
    </w:pPr>
    <w:rPr>
      <w:rFonts w:ascii="仿宋_GB2312" w:eastAsia="仿宋_GB2312"/>
      <w:sz w:val="24"/>
    </w:rPr>
  </w:style>
  <w:style w:type="character" w:customStyle="1" w:styleId="398">
    <w:name w:val="正文2 Char"/>
    <w:qFormat/>
    <w:uiPriority w:val="0"/>
    <w:rPr>
      <w:rFonts w:eastAsia="宋体"/>
      <w:kern w:val="2"/>
      <w:sz w:val="24"/>
      <w:lang w:val="en-US" w:eastAsia="zh-CN" w:bidi="ar-SA"/>
    </w:rPr>
  </w:style>
  <w:style w:type="character" w:customStyle="1" w:styleId="399">
    <w:name w:val="Body Text(ch) Char Char"/>
    <w:qFormat/>
    <w:uiPriority w:val="0"/>
    <w:rPr>
      <w:rFonts w:ascii="宋体"/>
      <w:kern w:val="2"/>
      <w:sz w:val="24"/>
      <w:szCs w:val="21"/>
      <w:lang w:val="zh-CN"/>
    </w:rPr>
  </w:style>
  <w:style w:type="character" w:customStyle="1" w:styleId="400">
    <w:name w:val="shadow11"/>
    <w:qFormat/>
    <w:uiPriority w:val="0"/>
    <w:rPr>
      <w:color w:val="000000"/>
      <w:sz w:val="21"/>
    </w:rPr>
  </w:style>
  <w:style w:type="character" w:customStyle="1" w:styleId="401">
    <w:name w:val="param-name"/>
    <w:qFormat/>
    <w:uiPriority w:val="99"/>
    <w:rPr>
      <w:rFonts w:ascii="Arial" w:hAnsi="Arial" w:eastAsia="黑体" w:cs="Arial"/>
      <w:snapToGrid w:val="0"/>
      <w:kern w:val="0"/>
      <w:szCs w:val="21"/>
    </w:rPr>
  </w:style>
  <w:style w:type="character" w:customStyle="1" w:styleId="402">
    <w:name w:val="正文非缩进 Char3"/>
    <w:qFormat/>
    <w:uiPriority w:val="0"/>
    <w:rPr>
      <w:rFonts w:ascii="宋体" w:eastAsia="宋体"/>
      <w:snapToGrid w:val="0"/>
      <w:color w:val="000000"/>
      <w:kern w:val="28"/>
      <w:sz w:val="28"/>
      <w:lang w:val="en-US" w:eastAsia="zh-CN" w:bidi="ar-SA"/>
    </w:rPr>
  </w:style>
  <w:style w:type="character" w:customStyle="1" w:styleId="403">
    <w:name w:val="Char Char82"/>
    <w:qFormat/>
    <w:uiPriority w:val="0"/>
    <w:rPr>
      <w:rFonts w:eastAsia="宋体"/>
      <w:b/>
      <w:sz w:val="24"/>
      <w:lang w:eastAsia="zh-CN"/>
    </w:rPr>
  </w:style>
  <w:style w:type="character" w:customStyle="1" w:styleId="404">
    <w:name w:val="Char Char"/>
    <w:qFormat/>
    <w:uiPriority w:val="0"/>
    <w:rPr>
      <w:rFonts w:ascii="宋体" w:hAnsi="Courier New" w:eastAsia="宋体"/>
      <w:kern w:val="2"/>
      <w:sz w:val="21"/>
      <w:lang w:val="en-US" w:eastAsia="zh-CN" w:bidi="ar-SA"/>
    </w:rPr>
  </w:style>
  <w:style w:type="character" w:customStyle="1" w:styleId="405">
    <w:name w:val="样式 宋体"/>
    <w:qFormat/>
    <w:uiPriority w:val="0"/>
    <w:rPr>
      <w:rFonts w:ascii="宋体" w:hAnsi="宋体"/>
      <w:sz w:val="24"/>
    </w:rPr>
  </w:style>
  <w:style w:type="character" w:customStyle="1" w:styleId="406">
    <w:name w:val="Char Char29"/>
    <w:qFormat/>
    <w:uiPriority w:val="6"/>
    <w:rPr>
      <w:rFonts w:ascii="Arial" w:hAnsi="Arial" w:eastAsia="微软雅黑"/>
      <w:b/>
      <w:kern w:val="1"/>
      <w:sz w:val="44"/>
      <w:szCs w:val="32"/>
      <w:lang w:val="en-US" w:eastAsia="zh-CN" w:bidi="ar-SA"/>
    </w:rPr>
  </w:style>
  <w:style w:type="character" w:customStyle="1" w:styleId="407">
    <w:name w:val="签名 Char1"/>
    <w:qFormat/>
    <w:uiPriority w:val="0"/>
    <w:rPr>
      <w:rFonts w:ascii="Times New Roman" w:hAnsi="Times New Roman" w:eastAsia="宋体" w:cs="Times New Roman"/>
      <w:szCs w:val="24"/>
    </w:rPr>
  </w:style>
  <w:style w:type="character" w:customStyle="1" w:styleId="408">
    <w:name w:val="Char Char61"/>
    <w:qFormat/>
    <w:uiPriority w:val="6"/>
    <w:rPr>
      <w:rFonts w:eastAsia="宋体"/>
      <w:kern w:val="2"/>
      <w:sz w:val="21"/>
      <w:szCs w:val="24"/>
      <w:lang w:val="en-US" w:eastAsia="zh-CN" w:bidi="ar-SA"/>
    </w:rPr>
  </w:style>
  <w:style w:type="character" w:customStyle="1" w:styleId="409">
    <w:name w:val="Char Char18"/>
    <w:qFormat/>
    <w:uiPriority w:val="6"/>
    <w:rPr>
      <w:rFonts w:ascii="宋体" w:hAnsi="宋体"/>
      <w:sz w:val="28"/>
    </w:rPr>
  </w:style>
  <w:style w:type="character" w:customStyle="1" w:styleId="410">
    <w:name w:val="Table Text Char1"/>
    <w:qFormat/>
    <w:uiPriority w:val="0"/>
    <w:rPr>
      <w:rFonts w:eastAsia="宋体"/>
      <w:sz w:val="24"/>
      <w:szCs w:val="24"/>
      <w:lang w:val="en-US" w:eastAsia="zh-CN" w:bidi="ar-SA"/>
    </w:rPr>
  </w:style>
  <w:style w:type="character" w:customStyle="1" w:styleId="411">
    <w:name w:val="Char Char22"/>
    <w:qFormat/>
    <w:uiPriority w:val="6"/>
    <w:rPr>
      <w:rFonts w:ascii="宋体" w:hAnsi="宋体"/>
      <w:kern w:val="1"/>
      <w:sz w:val="24"/>
      <w:szCs w:val="24"/>
    </w:rPr>
  </w:style>
  <w:style w:type="character" w:customStyle="1" w:styleId="412">
    <w:name w:val="正文文字缩进 2 Char Char"/>
    <w:qFormat/>
    <w:uiPriority w:val="0"/>
    <w:rPr>
      <w:rFonts w:ascii="宋体"/>
      <w:sz w:val="28"/>
    </w:rPr>
  </w:style>
  <w:style w:type="character" w:customStyle="1" w:styleId="413">
    <w:name w:val="pt141"/>
    <w:qFormat/>
    <w:uiPriority w:val="0"/>
    <w:rPr>
      <w:color w:val="330066"/>
      <w:sz w:val="22"/>
      <w:szCs w:val="22"/>
    </w:rPr>
  </w:style>
  <w:style w:type="character" w:customStyle="1" w:styleId="414">
    <w:name w:val="正文文本缩进 2 Char1"/>
    <w:semiHidden/>
    <w:qFormat/>
    <w:uiPriority w:val="99"/>
    <w:rPr>
      <w:rFonts w:ascii="Times New Roman" w:hAnsi="Times New Roman" w:eastAsia="宋体" w:cs="Times New Roman"/>
      <w:szCs w:val="24"/>
    </w:rPr>
  </w:style>
  <w:style w:type="character" w:customStyle="1" w:styleId="415">
    <w:name w:val="Char Char611"/>
    <w:qFormat/>
    <w:uiPriority w:val="0"/>
    <w:rPr>
      <w:rFonts w:eastAsia="宋体"/>
      <w:kern w:val="2"/>
      <w:sz w:val="21"/>
      <w:szCs w:val="24"/>
      <w:lang w:val="en-US" w:eastAsia="zh-CN" w:bidi="ar-SA"/>
    </w:rPr>
  </w:style>
  <w:style w:type="character" w:customStyle="1" w:styleId="416">
    <w:name w:val="zbggtop11 style5"/>
    <w:qFormat/>
    <w:uiPriority w:val="0"/>
    <w:rPr>
      <w:rFonts w:ascii="Arial" w:hAnsi="Arial" w:eastAsia="黑体" w:cs="Arial"/>
      <w:snapToGrid w:val="0"/>
      <w:kern w:val="0"/>
      <w:szCs w:val="21"/>
    </w:rPr>
  </w:style>
  <w:style w:type="character" w:customStyle="1" w:styleId="417">
    <w:name w:val="highlight1"/>
    <w:qFormat/>
    <w:uiPriority w:val="0"/>
    <w:rPr>
      <w:rFonts w:ascii="仿宋_GB2312" w:eastAsia="微软雅黑"/>
      <w:b/>
      <w:kern w:val="2"/>
      <w:sz w:val="23"/>
      <w:szCs w:val="23"/>
      <w:lang w:val="en-US" w:eastAsia="zh-CN" w:bidi="ar-SA"/>
    </w:rPr>
  </w:style>
  <w:style w:type="character" w:customStyle="1" w:styleId="418">
    <w:name w:val="Char Char9"/>
    <w:qFormat/>
    <w:uiPriority w:val="0"/>
    <w:rPr>
      <w:rFonts w:eastAsia="宋体"/>
      <w:kern w:val="2"/>
      <w:sz w:val="18"/>
      <w:szCs w:val="18"/>
      <w:lang w:val="en-US" w:eastAsia="zh-CN" w:bidi="ar-SA"/>
    </w:rPr>
  </w:style>
  <w:style w:type="character" w:customStyle="1" w:styleId="419">
    <w:name w:val="Used by Word for text of Help footnotes Char Char1"/>
    <w:qFormat/>
    <w:uiPriority w:val="0"/>
    <w:rPr>
      <w:color w:val="0000FF"/>
      <w:sz w:val="21"/>
    </w:rPr>
  </w:style>
  <w:style w:type="character" w:customStyle="1" w:styleId="420">
    <w:name w:val="Char Char23"/>
    <w:qFormat/>
    <w:uiPriority w:val="6"/>
    <w:rPr>
      <w:color w:val="0000FF"/>
      <w:sz w:val="21"/>
    </w:rPr>
  </w:style>
  <w:style w:type="character" w:customStyle="1" w:styleId="421">
    <w:name w:val="批注框文本 字符"/>
    <w:qFormat/>
    <w:uiPriority w:val="0"/>
    <w:rPr>
      <w:rFonts w:ascii="Arial" w:hAnsi="Arial" w:eastAsia="黑体" w:cs="Arial"/>
      <w:snapToGrid w:val="0"/>
      <w:kern w:val="0"/>
      <w:sz w:val="18"/>
      <w:szCs w:val="18"/>
    </w:rPr>
  </w:style>
  <w:style w:type="character" w:customStyle="1" w:styleId="422">
    <w:name w:val="纯文本 Char2"/>
    <w:semiHidden/>
    <w:qFormat/>
    <w:uiPriority w:val="99"/>
    <w:rPr>
      <w:rFonts w:ascii="宋体" w:hAnsi="Courier New" w:eastAsia="宋体" w:cs="Courier New"/>
    </w:rPr>
  </w:style>
  <w:style w:type="character" w:customStyle="1" w:styleId="423">
    <w:name w:val="Char Char25"/>
    <w:qFormat/>
    <w:uiPriority w:val="6"/>
    <w:rPr>
      <w:rFonts w:ascii="宋体" w:hAnsi="宋体"/>
      <w:kern w:val="1"/>
      <w:sz w:val="24"/>
      <w:lang w:val="zh-CN"/>
    </w:rPr>
  </w:style>
  <w:style w:type="character" w:customStyle="1" w:styleId="424">
    <w:name w:val="Char Char411"/>
    <w:qFormat/>
    <w:uiPriority w:val="0"/>
    <w:rPr>
      <w:rFonts w:eastAsia="宋体"/>
      <w:b/>
      <w:sz w:val="24"/>
      <w:lang w:eastAsia="zh-CN" w:bidi="ar-SA"/>
    </w:rPr>
  </w:style>
  <w:style w:type="character" w:customStyle="1" w:styleId="425">
    <w:name w:val="Heading 7 Char"/>
    <w:qFormat/>
    <w:locked/>
    <w:uiPriority w:val="0"/>
    <w:rPr>
      <w:rFonts w:ascii="宋体" w:hAnsi="宋体" w:eastAsia="宋体"/>
      <w:b/>
      <w:bCs/>
      <w:kern w:val="2"/>
      <w:sz w:val="24"/>
      <w:szCs w:val="24"/>
      <w:lang w:val="en-US" w:eastAsia="zh-CN" w:bidi="ar-SA"/>
    </w:rPr>
  </w:style>
  <w:style w:type="character" w:customStyle="1" w:styleId="426">
    <w:name w:val="此正文 Char"/>
    <w:link w:val="427"/>
    <w:qFormat/>
    <w:uiPriority w:val="0"/>
    <w:rPr>
      <w:kern w:val="2"/>
      <w:sz w:val="24"/>
      <w:szCs w:val="24"/>
    </w:rPr>
  </w:style>
  <w:style w:type="paragraph" w:customStyle="1" w:styleId="427">
    <w:name w:val="此正文"/>
    <w:basedOn w:val="1"/>
    <w:link w:val="426"/>
    <w:qFormat/>
    <w:uiPriority w:val="0"/>
    <w:pPr>
      <w:adjustRightInd/>
      <w:spacing w:line="360" w:lineRule="auto"/>
      <w:ind w:firstLine="200" w:firstLineChars="200"/>
    </w:pPr>
    <w:rPr>
      <w:sz w:val="24"/>
    </w:rPr>
  </w:style>
  <w:style w:type="character" w:customStyle="1" w:styleId="428">
    <w:name w:val="Char Char2"/>
    <w:qFormat/>
    <w:uiPriority w:val="0"/>
    <w:rPr>
      <w:rFonts w:eastAsia="宋体"/>
      <w:b/>
      <w:bCs/>
      <w:kern w:val="2"/>
      <w:sz w:val="21"/>
      <w:szCs w:val="24"/>
      <w:lang w:val="en-US" w:eastAsia="zh-CN" w:bidi="ar-SA"/>
    </w:rPr>
  </w:style>
  <w:style w:type="character" w:customStyle="1" w:styleId="429">
    <w:name w:val="font81"/>
    <w:basedOn w:val="70"/>
    <w:qFormat/>
    <w:uiPriority w:val="0"/>
    <w:rPr>
      <w:rFonts w:ascii="微软雅黑" w:hAnsi="微软雅黑" w:eastAsia="微软雅黑" w:cs="微软雅黑"/>
      <w:color w:val="000000"/>
      <w:sz w:val="20"/>
      <w:szCs w:val="20"/>
      <w:u w:val="none"/>
    </w:rPr>
  </w:style>
  <w:style w:type="character" w:customStyle="1" w:styleId="430">
    <w:name w:val="t21"/>
    <w:qFormat/>
    <w:uiPriority w:val="0"/>
    <w:rPr>
      <w:rFonts w:ascii="仿宋_GB2312" w:eastAsia="微软雅黑"/>
      <w:b/>
      <w:kern w:val="2"/>
      <w:sz w:val="23"/>
      <w:szCs w:val="23"/>
      <w:lang w:val="en-US" w:eastAsia="zh-CN" w:bidi="ar-SA"/>
    </w:rPr>
  </w:style>
  <w:style w:type="character" w:customStyle="1" w:styleId="431">
    <w:name w:val="标题 6 Char1"/>
    <w:qFormat/>
    <w:uiPriority w:val="0"/>
    <w:rPr>
      <w:rFonts w:ascii="Arial" w:hAnsi="Arial" w:eastAsia="黑体" w:cs="Times New Roman"/>
      <w:b/>
      <w:sz w:val="24"/>
      <w:szCs w:val="20"/>
      <w:lang w:bidi="ar-SA"/>
    </w:rPr>
  </w:style>
  <w:style w:type="character" w:customStyle="1" w:styleId="432">
    <w:name w:val="正文首行缩进 Char Char Char Char Char Char1"/>
    <w:qFormat/>
    <w:uiPriority w:val="0"/>
    <w:rPr>
      <w:rFonts w:ascii="宋体" w:eastAsia="宋体"/>
      <w:kern w:val="2"/>
      <w:sz w:val="24"/>
      <w:szCs w:val="24"/>
      <w:lang w:val="zh-CN" w:bidi="ar-SA"/>
    </w:rPr>
  </w:style>
  <w:style w:type="character" w:customStyle="1" w:styleId="433">
    <w:name w:val="样式 样式 标题 4h4H4Fab-4T5Ref Heading 1rh1Heading sqlsect 1.2.3.... +... Char"/>
    <w:link w:val="434"/>
    <w:qFormat/>
    <w:uiPriority w:val="0"/>
    <w:rPr>
      <w:rFonts w:ascii="微软雅黑" w:hAnsi="微软雅黑" w:eastAsia="微软雅黑"/>
      <w:b/>
      <w:bCs/>
      <w:kern w:val="2"/>
      <w:sz w:val="24"/>
      <w:szCs w:val="28"/>
    </w:rPr>
  </w:style>
  <w:style w:type="paragraph" w:customStyle="1" w:styleId="434">
    <w:name w:val="样式 样式 标题 4h4H4Fab-4T5Ref Heading 1rh1Heading sqlsect 1.2.3.... +..."/>
    <w:basedOn w:val="435"/>
    <w:link w:val="433"/>
    <w:qFormat/>
    <w:uiPriority w:val="0"/>
    <w:pPr>
      <w:tabs>
        <w:tab w:val="left" w:pos="2356"/>
      </w:tabs>
    </w:pPr>
  </w:style>
  <w:style w:type="paragraph" w:customStyle="1" w:styleId="435">
    <w:name w:val="样式 标题 4h4H4Fab-4T5Ref Heading 1rh1Heading sqlsect 1.2.3...."/>
    <w:basedOn w:val="8"/>
    <w:link w:val="43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436">
    <w:name w:val="样式 标题 4h4H4Fab-4T5Ref Heading 1rh1Heading sqlsect 1.2.3.... Char"/>
    <w:link w:val="435"/>
    <w:qFormat/>
    <w:uiPriority w:val="0"/>
    <w:rPr>
      <w:rFonts w:ascii="微软雅黑" w:hAnsi="微软雅黑" w:eastAsia="微软雅黑"/>
      <w:b/>
      <w:bCs/>
      <w:kern w:val="2"/>
      <w:sz w:val="24"/>
      <w:szCs w:val="28"/>
    </w:rPr>
  </w:style>
  <w:style w:type="character" w:customStyle="1" w:styleId="437">
    <w:name w:val="称呼 Char1"/>
    <w:qFormat/>
    <w:uiPriority w:val="0"/>
    <w:rPr>
      <w:rFonts w:ascii="Times New Roman" w:hAnsi="Times New Roman" w:eastAsia="宋体" w:cs="Times New Roman"/>
      <w:szCs w:val="24"/>
    </w:rPr>
  </w:style>
  <w:style w:type="character" w:customStyle="1" w:styleId="438">
    <w:name w:val="Footer-Even Char"/>
    <w:qFormat/>
    <w:uiPriority w:val="0"/>
    <w:rPr>
      <w:rFonts w:eastAsia="宋体"/>
      <w:kern w:val="2"/>
      <w:sz w:val="18"/>
      <w:lang w:val="en-US" w:eastAsia="zh-CN" w:bidi="ar-SA"/>
    </w:rPr>
  </w:style>
  <w:style w:type="character" w:customStyle="1" w:styleId="439">
    <w:name w:val="正文1 Char"/>
    <w:qFormat/>
    <w:uiPriority w:val="0"/>
    <w:rPr>
      <w:rFonts w:ascii="宋体" w:eastAsia="宋体"/>
      <w:snapToGrid w:val="0"/>
      <w:color w:val="000000"/>
      <w:kern w:val="28"/>
      <w:sz w:val="28"/>
      <w:lang w:val="en-US" w:eastAsia="zh-CN" w:bidi="ar-SA"/>
    </w:rPr>
  </w:style>
  <w:style w:type="character" w:customStyle="1" w:styleId="440">
    <w:name w:val="正文缩进 Char1"/>
    <w:qFormat/>
    <w:uiPriority w:val="0"/>
    <w:rPr>
      <w:rFonts w:ascii="宋体" w:eastAsia="宋体"/>
      <w:snapToGrid w:val="0"/>
      <w:color w:val="000000"/>
      <w:kern w:val="28"/>
      <w:sz w:val="28"/>
      <w:lang w:val="en-US" w:eastAsia="zh-CN" w:bidi="ar-SA"/>
    </w:rPr>
  </w:style>
  <w:style w:type="character" w:customStyle="1" w:styleId="441">
    <w:name w:val="h Char1"/>
    <w:qFormat/>
    <w:uiPriority w:val="0"/>
    <w:rPr>
      <w:sz w:val="18"/>
      <w:szCs w:val="18"/>
    </w:rPr>
  </w:style>
  <w:style w:type="character" w:customStyle="1" w:styleId="442">
    <w:name w:val="font31"/>
    <w:qFormat/>
    <w:uiPriority w:val="0"/>
    <w:rPr>
      <w:rFonts w:hint="eastAsia" w:ascii="仿宋" w:hAnsi="仿宋" w:eastAsia="仿宋" w:cs="仿宋"/>
      <w:color w:val="000000"/>
      <w:sz w:val="20"/>
      <w:szCs w:val="20"/>
      <w:u w:val="none"/>
    </w:rPr>
  </w:style>
  <w:style w:type="character" w:customStyle="1" w:styleId="443">
    <w:name w:val="Char Char35"/>
    <w:qFormat/>
    <w:uiPriority w:val="6"/>
    <w:rPr>
      <w:rFonts w:ascii="Arial" w:hAnsi="Arial" w:eastAsia="黑体"/>
      <w:b/>
      <w:kern w:val="1"/>
      <w:sz w:val="28"/>
      <w:szCs w:val="28"/>
      <w:lang w:val="zh-CN"/>
    </w:rPr>
  </w:style>
  <w:style w:type="character" w:customStyle="1" w:styleId="444">
    <w:name w:val="纯文本 Char Char Char"/>
    <w:qFormat/>
    <w:uiPriority w:val="0"/>
    <w:rPr>
      <w:rFonts w:ascii="宋体" w:hAnsi="Courier New" w:eastAsia="宋体"/>
      <w:kern w:val="2"/>
      <w:sz w:val="21"/>
      <w:lang w:val="en-US" w:eastAsia="zh-CN" w:bidi="ar-SA"/>
    </w:rPr>
  </w:style>
  <w:style w:type="character" w:customStyle="1" w:styleId="445">
    <w:name w:val="正文1 Char1"/>
    <w:qFormat/>
    <w:uiPriority w:val="0"/>
    <w:rPr>
      <w:rFonts w:ascii="仿宋_GB2312" w:hAnsi="Courier New" w:eastAsia="仿宋_GB2312"/>
      <w:kern w:val="28"/>
      <w:sz w:val="24"/>
      <w:szCs w:val="24"/>
      <w:lang w:val="en-US" w:eastAsia="zh-CN"/>
    </w:rPr>
  </w:style>
  <w:style w:type="character" w:customStyle="1" w:styleId="446">
    <w:name w:val="页脚 Char1"/>
    <w:qFormat/>
    <w:uiPriority w:val="0"/>
    <w:rPr>
      <w:rFonts w:eastAsia="宋体"/>
      <w:kern w:val="2"/>
      <w:sz w:val="18"/>
      <w:szCs w:val="18"/>
      <w:lang w:val="en-US" w:eastAsia="zh-CN" w:bidi="ar-SA"/>
    </w:rPr>
  </w:style>
  <w:style w:type="character" w:customStyle="1" w:styleId="447">
    <w:name w:val="Char Char17"/>
    <w:qFormat/>
    <w:uiPriority w:val="6"/>
    <w:rPr>
      <w:rFonts w:eastAsia="仿宋_GB2312"/>
      <w:sz w:val="24"/>
    </w:rPr>
  </w:style>
  <w:style w:type="character" w:customStyle="1" w:styleId="448">
    <w:name w:val="Char Char16"/>
    <w:qFormat/>
    <w:uiPriority w:val="6"/>
    <w:rPr>
      <w:kern w:val="1"/>
      <w:sz w:val="18"/>
      <w:szCs w:val="18"/>
    </w:rPr>
  </w:style>
  <w:style w:type="character" w:customStyle="1" w:styleId="449">
    <w:name w:val="页眉 字符"/>
    <w:qFormat/>
    <w:uiPriority w:val="99"/>
    <w:rPr>
      <w:kern w:val="2"/>
      <w:sz w:val="18"/>
      <w:szCs w:val="18"/>
    </w:rPr>
  </w:style>
  <w:style w:type="character" w:customStyle="1" w:styleId="450">
    <w:name w:val="标题 3 Char2"/>
    <w:qFormat/>
    <w:uiPriority w:val="0"/>
    <w:rPr>
      <w:rFonts w:eastAsia="宋体"/>
      <w:b/>
      <w:bCs/>
      <w:kern w:val="2"/>
      <w:sz w:val="32"/>
      <w:szCs w:val="32"/>
      <w:lang w:val="en-US" w:eastAsia="zh-CN" w:bidi="ar-SA"/>
    </w:rPr>
  </w:style>
  <w:style w:type="character" w:customStyle="1" w:styleId="451">
    <w:name w:val="Char Char21"/>
    <w:qFormat/>
    <w:uiPriority w:val="6"/>
    <w:rPr>
      <w:rFonts w:ascii="宋体" w:hAnsi="宋体"/>
      <w:kern w:val="1"/>
      <w:sz w:val="24"/>
      <w:szCs w:val="21"/>
      <w:lang w:val="zh-CN"/>
    </w:rPr>
  </w:style>
  <w:style w:type="character" w:customStyle="1" w:styleId="452">
    <w:name w:val="标准文本 Char Char"/>
    <w:link w:val="453"/>
    <w:qFormat/>
    <w:uiPriority w:val="0"/>
    <w:rPr>
      <w:rFonts w:cs="宋体"/>
      <w:kern w:val="2"/>
      <w:sz w:val="24"/>
    </w:rPr>
  </w:style>
  <w:style w:type="paragraph" w:customStyle="1" w:styleId="453">
    <w:name w:val="标准文本"/>
    <w:basedOn w:val="1"/>
    <w:link w:val="452"/>
    <w:qFormat/>
    <w:uiPriority w:val="0"/>
    <w:pPr>
      <w:adjustRightInd/>
      <w:spacing w:line="360" w:lineRule="auto"/>
      <w:ind w:firstLine="480" w:firstLineChars="200"/>
    </w:pPr>
    <w:rPr>
      <w:sz w:val="24"/>
      <w:szCs w:val="20"/>
    </w:rPr>
  </w:style>
  <w:style w:type="character" w:customStyle="1" w:styleId="454">
    <w:name w:val="tpc_content1"/>
    <w:qFormat/>
    <w:uiPriority w:val="0"/>
    <w:rPr>
      <w:sz w:val="20"/>
      <w:szCs w:val="20"/>
    </w:rPr>
  </w:style>
  <w:style w:type="character" w:customStyle="1" w:styleId="455">
    <w:name w:val="正文文本 2 字符"/>
    <w:qFormat/>
    <w:uiPriority w:val="0"/>
    <w:rPr>
      <w:rFonts w:ascii="Arial" w:hAnsi="Arial" w:eastAsia="宋体"/>
      <w:kern w:val="2"/>
      <w:sz w:val="24"/>
      <w:szCs w:val="24"/>
      <w:lang w:val="en-US" w:eastAsia="zh-CN" w:bidi="ar-SA"/>
    </w:rPr>
  </w:style>
  <w:style w:type="character" w:customStyle="1" w:styleId="456">
    <w:name w:val="font71"/>
    <w:qFormat/>
    <w:uiPriority w:val="0"/>
    <w:rPr>
      <w:rFonts w:hint="eastAsia" w:ascii="宋体" w:hAnsi="宋体" w:eastAsia="宋体" w:cs="宋体"/>
      <w:color w:val="000000"/>
      <w:sz w:val="22"/>
      <w:szCs w:val="22"/>
      <w:u w:val="none"/>
    </w:rPr>
  </w:style>
  <w:style w:type="character" w:customStyle="1" w:styleId="457">
    <w:name w:val="font91"/>
    <w:qFormat/>
    <w:uiPriority w:val="0"/>
    <w:rPr>
      <w:rFonts w:hint="eastAsia" w:ascii="仿宋" w:hAnsi="仿宋" w:eastAsia="仿宋" w:cs="仿宋"/>
      <w:color w:val="000000"/>
      <w:sz w:val="22"/>
      <w:szCs w:val="22"/>
      <w:u w:val="none"/>
    </w:rPr>
  </w:style>
  <w:style w:type="paragraph" w:customStyle="1" w:styleId="458">
    <w:name w:val="左对齐表格文字"/>
    <w:basedOn w:val="1"/>
    <w:qFormat/>
    <w:uiPriority w:val="0"/>
    <w:pPr>
      <w:adjustRightInd/>
      <w:ind w:firstLine="200" w:firstLineChars="200"/>
      <w:jc w:val="right"/>
    </w:pPr>
  </w:style>
  <w:style w:type="paragraph" w:customStyle="1" w:styleId="459">
    <w:name w:val="EB_表格"/>
    <w:basedOn w:val="1"/>
    <w:qFormat/>
    <w:uiPriority w:val="0"/>
    <w:pPr>
      <w:adjustRightInd/>
      <w:spacing w:line="300" w:lineRule="auto"/>
      <w:jc w:val="center"/>
    </w:pPr>
  </w:style>
  <w:style w:type="paragraph" w:customStyle="1" w:styleId="46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6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6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6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6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66">
    <w:name w:val="首行缩进"/>
    <w:basedOn w:val="1"/>
    <w:qFormat/>
    <w:uiPriority w:val="0"/>
    <w:pPr>
      <w:spacing w:line="360" w:lineRule="auto"/>
      <w:ind w:firstLine="480" w:firstLineChars="200"/>
    </w:pPr>
    <w:rPr>
      <w:rFonts w:ascii="宋体"/>
      <w:sz w:val="24"/>
      <w:szCs w:val="20"/>
    </w:rPr>
  </w:style>
  <w:style w:type="paragraph" w:customStyle="1" w:styleId="46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68">
    <w:name w:val="Char Char Char Char Char Char Char Char2"/>
    <w:basedOn w:val="1"/>
    <w:qFormat/>
    <w:uiPriority w:val="0"/>
    <w:pPr>
      <w:tabs>
        <w:tab w:val="left" w:pos="360"/>
      </w:tabs>
    </w:pPr>
    <w:rPr>
      <w:sz w:val="24"/>
      <w:szCs w:val="20"/>
    </w:rPr>
  </w:style>
  <w:style w:type="paragraph" w:customStyle="1" w:styleId="469">
    <w:name w:val="Char111"/>
    <w:basedOn w:val="1"/>
    <w:qFormat/>
    <w:uiPriority w:val="0"/>
    <w:rPr>
      <w:rFonts w:ascii="仿宋_GB2312" w:eastAsia="仿宋_GB2312"/>
      <w:b/>
      <w:sz w:val="32"/>
      <w:szCs w:val="32"/>
    </w:rPr>
  </w:style>
  <w:style w:type="paragraph" w:customStyle="1" w:styleId="47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47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47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75">
    <w:name w:val="MM Topic 3"/>
    <w:basedOn w:val="7"/>
    <w:qFormat/>
    <w:uiPriority w:val="0"/>
    <w:pPr>
      <w:tabs>
        <w:tab w:val="left" w:pos="1680"/>
        <w:tab w:val="clear" w:pos="900"/>
      </w:tabs>
      <w:adjustRightInd/>
      <w:ind w:left="1680" w:hanging="420"/>
    </w:pPr>
  </w:style>
  <w:style w:type="paragraph" w:customStyle="1" w:styleId="47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477">
    <w:name w:val="Char23"/>
    <w:basedOn w:val="1"/>
    <w:qFormat/>
    <w:uiPriority w:val="0"/>
    <w:rPr>
      <w:rFonts w:ascii="仿宋_GB2312" w:eastAsia="仿宋_GB2312"/>
      <w:b/>
      <w:sz w:val="32"/>
      <w:szCs w:val="32"/>
    </w:rPr>
  </w:style>
  <w:style w:type="paragraph" w:customStyle="1" w:styleId="47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79">
    <w:name w:val="Char Char11 Char Char Char Char Char Char Char Char Char"/>
    <w:basedOn w:val="1"/>
    <w:qFormat/>
    <w:uiPriority w:val="0"/>
    <w:pPr>
      <w:spacing w:line="360" w:lineRule="auto"/>
    </w:pPr>
    <w:rPr>
      <w:szCs w:val="20"/>
    </w:rPr>
  </w:style>
  <w:style w:type="paragraph" w:customStyle="1" w:styleId="480">
    <w:name w:val="Char Char1 Char Char Char2"/>
    <w:basedOn w:val="1"/>
    <w:qFormat/>
    <w:uiPriority w:val="0"/>
    <w:rPr>
      <w:rFonts w:ascii="仿宋_GB2312" w:eastAsia="仿宋_GB2312"/>
      <w:b/>
      <w:sz w:val="32"/>
      <w:szCs w:val="32"/>
    </w:rPr>
  </w:style>
  <w:style w:type="paragraph" w:customStyle="1" w:styleId="48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4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83">
    <w:name w:val="Char Char11 Char Char Char Char Char Char Char Char Char11"/>
    <w:basedOn w:val="1"/>
    <w:qFormat/>
    <w:uiPriority w:val="0"/>
    <w:pPr>
      <w:spacing w:line="360" w:lineRule="auto"/>
    </w:pPr>
    <w:rPr>
      <w:szCs w:val="20"/>
    </w:rPr>
  </w:style>
  <w:style w:type="paragraph" w:customStyle="1" w:styleId="48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8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48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87">
    <w:name w:val="p0"/>
    <w:basedOn w:val="1"/>
    <w:qFormat/>
    <w:uiPriority w:val="0"/>
    <w:pPr>
      <w:widowControl/>
      <w:adjustRightInd/>
    </w:pPr>
    <w:rPr>
      <w:kern w:val="0"/>
      <w:szCs w:val="21"/>
    </w:rPr>
  </w:style>
  <w:style w:type="paragraph" w:customStyle="1" w:styleId="4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4"/>
    <w:basedOn w:val="1"/>
    <w:next w:val="38"/>
    <w:qFormat/>
    <w:uiPriority w:val="0"/>
    <w:pPr>
      <w:spacing w:after="120" w:line="480" w:lineRule="auto"/>
      <w:ind w:left="420" w:leftChars="200"/>
    </w:pPr>
    <w:rPr>
      <w:sz w:val="24"/>
      <w:szCs w:val="20"/>
    </w:rPr>
  </w:style>
  <w:style w:type="paragraph" w:customStyle="1" w:styleId="491">
    <w:name w:val="CM14"/>
    <w:basedOn w:val="272"/>
    <w:next w:val="272"/>
    <w:qFormat/>
    <w:uiPriority w:val="0"/>
    <w:pPr>
      <w:spacing w:after="68"/>
    </w:pPr>
    <w:rPr>
      <w:rFonts w:ascii="FHLHE E+ Futura Bk" w:eastAsia="FHLHE E+ Futura Bk" w:cs="Times New Roman"/>
      <w:color w:val="auto"/>
    </w:rPr>
  </w:style>
  <w:style w:type="paragraph" w:customStyle="1" w:styleId="4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93">
    <w:name w:val="Char Char Char Char Char Char Char1"/>
    <w:basedOn w:val="1"/>
    <w:qFormat/>
    <w:uiPriority w:val="6"/>
    <w:rPr>
      <w:rFonts w:ascii="仿宋_GB2312" w:eastAsia="仿宋_GB2312"/>
      <w:b/>
      <w:sz w:val="32"/>
      <w:szCs w:val="32"/>
    </w:rPr>
  </w:style>
  <w:style w:type="paragraph" w:customStyle="1" w:styleId="494">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49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9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1 Char Char Char21"/>
    <w:basedOn w:val="1"/>
    <w:qFormat/>
    <w:uiPriority w:val="0"/>
    <w:rPr>
      <w:rFonts w:ascii="Tahoma" w:hAnsi="Tahoma"/>
      <w:sz w:val="24"/>
      <w:szCs w:val="20"/>
    </w:rPr>
  </w:style>
  <w:style w:type="paragraph" w:customStyle="1" w:styleId="49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50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01">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50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0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04">
    <w:name w:val="正文 项目2"/>
    <w:basedOn w:val="505"/>
    <w:qFormat/>
    <w:uiPriority w:val="0"/>
    <w:pPr>
      <w:tabs>
        <w:tab w:val="left" w:pos="840"/>
      </w:tabs>
      <w:spacing w:after="0"/>
      <w:ind w:left="900"/>
    </w:pPr>
  </w:style>
  <w:style w:type="paragraph" w:customStyle="1" w:styleId="50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06">
    <w:name w:val="Char Char113"/>
    <w:basedOn w:val="1"/>
    <w:qFormat/>
    <w:uiPriority w:val="0"/>
    <w:pPr>
      <w:widowControl/>
      <w:spacing w:after="160" w:line="240" w:lineRule="exact"/>
      <w:jc w:val="left"/>
    </w:pPr>
    <w:rPr>
      <w:rFonts w:eastAsia="仿宋_GB2312"/>
      <w:sz w:val="28"/>
    </w:rPr>
  </w:style>
  <w:style w:type="paragraph" w:customStyle="1" w:styleId="507">
    <w:name w:val="6级标题"/>
    <w:basedOn w:val="508"/>
    <w:qFormat/>
    <w:uiPriority w:val="0"/>
    <w:pPr>
      <w:keepNext/>
      <w:tabs>
        <w:tab w:val="left" w:pos="360"/>
      </w:tabs>
      <w:spacing w:before="0" w:after="0"/>
      <w:outlineLvl w:val="5"/>
    </w:pPr>
  </w:style>
  <w:style w:type="paragraph" w:customStyle="1" w:styleId="508">
    <w:name w:val="5级标题"/>
    <w:basedOn w:val="50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509">
    <w:name w:val="4级标题"/>
    <w:basedOn w:val="13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5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51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51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513">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14">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1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518">
    <w:name w:val="Char1 Char Char Char2"/>
    <w:basedOn w:val="1"/>
    <w:qFormat/>
    <w:uiPriority w:val="0"/>
    <w:pPr>
      <w:adjustRightInd/>
      <w:ind w:firstLine="200" w:firstLineChars="200"/>
    </w:pPr>
    <w:rPr>
      <w:rFonts w:ascii="Tahoma" w:hAnsi="Tahoma"/>
      <w:sz w:val="24"/>
      <w:szCs w:val="20"/>
    </w:rPr>
  </w:style>
  <w:style w:type="paragraph" w:customStyle="1" w:styleId="519">
    <w:name w:val="Char2 Char Char1"/>
    <w:basedOn w:val="1"/>
    <w:qFormat/>
    <w:uiPriority w:val="6"/>
    <w:pPr>
      <w:adjustRightInd/>
    </w:pPr>
    <w:rPr>
      <w:rFonts w:ascii="Tahoma" w:hAnsi="Tahoma"/>
      <w:sz w:val="24"/>
      <w:szCs w:val="20"/>
    </w:rPr>
  </w:style>
  <w:style w:type="paragraph" w:customStyle="1" w:styleId="52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52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52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523">
    <w:name w:val="Char Char Char1 Char"/>
    <w:basedOn w:val="1"/>
    <w:qFormat/>
    <w:uiPriority w:val="0"/>
    <w:rPr>
      <w:szCs w:val="20"/>
    </w:rPr>
  </w:style>
  <w:style w:type="paragraph" w:customStyle="1" w:styleId="524">
    <w:name w:val="二级条标题"/>
    <w:basedOn w:val="525"/>
    <w:next w:val="527"/>
    <w:qFormat/>
    <w:uiPriority w:val="0"/>
    <w:pPr>
      <w:tabs>
        <w:tab w:val="left" w:pos="1260"/>
        <w:tab w:val="left" w:pos="1680"/>
        <w:tab w:val="left" w:pos="2100"/>
      </w:tabs>
      <w:ind w:left="0"/>
      <w:outlineLvl w:val="3"/>
    </w:pPr>
  </w:style>
  <w:style w:type="paragraph" w:customStyle="1" w:styleId="525">
    <w:name w:val="一级条标题"/>
    <w:basedOn w:val="526"/>
    <w:next w:val="527"/>
    <w:qFormat/>
    <w:uiPriority w:val="0"/>
    <w:pPr>
      <w:tabs>
        <w:tab w:val="left" w:pos="1260"/>
        <w:tab w:val="left" w:pos="1680"/>
      </w:tabs>
      <w:spacing w:before="0" w:beforeLines="0" w:after="0" w:afterLines="0"/>
      <w:ind w:left="1680"/>
      <w:outlineLvl w:val="2"/>
    </w:pPr>
  </w:style>
  <w:style w:type="paragraph" w:customStyle="1" w:styleId="526">
    <w:name w:val="章标题"/>
    <w:next w:val="5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5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28">
    <w:name w:val="Char3 Char Char Char1"/>
    <w:basedOn w:val="1"/>
    <w:qFormat/>
    <w:uiPriority w:val="6"/>
    <w:pPr>
      <w:widowControl/>
      <w:adjustRightInd/>
      <w:spacing w:after="160" w:line="240" w:lineRule="exact"/>
      <w:jc w:val="left"/>
    </w:pPr>
    <w:rPr>
      <w:szCs w:val="20"/>
    </w:rPr>
  </w:style>
  <w:style w:type="paragraph" w:customStyle="1" w:styleId="529">
    <w:name w:val="Normal0"/>
    <w:qFormat/>
    <w:uiPriority w:val="0"/>
    <w:rPr>
      <w:rFonts w:ascii="Times New Roman" w:hAnsi="Times New Roman" w:eastAsia="宋体" w:cs="Times New Roman"/>
      <w:lang w:val="en-US" w:eastAsia="en-US" w:bidi="ar-SA"/>
    </w:rPr>
  </w:style>
  <w:style w:type="paragraph" w:customStyle="1" w:styleId="5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531">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3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33">
    <w:name w:val="_Style 3"/>
    <w:basedOn w:val="1"/>
    <w:qFormat/>
    <w:uiPriority w:val="0"/>
    <w:pPr>
      <w:adjustRightInd/>
      <w:ind w:firstLine="420" w:firstLineChars="200"/>
    </w:pPr>
    <w:rPr>
      <w:rFonts w:eastAsia="仿宋_GB2312"/>
      <w:sz w:val="28"/>
    </w:rPr>
  </w:style>
  <w:style w:type="paragraph" w:customStyle="1" w:styleId="534">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53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536">
    <w:name w:val="图中文字"/>
    <w:basedOn w:val="1"/>
    <w:qFormat/>
    <w:uiPriority w:val="0"/>
    <w:pPr>
      <w:snapToGrid w:val="0"/>
      <w:spacing w:line="0" w:lineRule="atLeast"/>
      <w:ind w:firstLine="200" w:firstLineChars="200"/>
      <w:jc w:val="center"/>
    </w:pPr>
    <w:rPr>
      <w:sz w:val="24"/>
      <w:szCs w:val="20"/>
    </w:rPr>
  </w:style>
  <w:style w:type="paragraph" w:customStyle="1" w:styleId="5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53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540">
    <w:name w:val="有符号正文"/>
    <w:basedOn w:val="1"/>
    <w:qFormat/>
    <w:uiPriority w:val="0"/>
    <w:pPr>
      <w:adjustRightInd/>
      <w:spacing w:line="400" w:lineRule="exact"/>
      <w:ind w:firstLine="200" w:firstLineChars="200"/>
    </w:pPr>
    <w:rPr>
      <w:rFonts w:ascii="Arial" w:hAnsi="Arial"/>
    </w:rPr>
  </w:style>
  <w:style w:type="paragraph" w:customStyle="1" w:styleId="541">
    <w:name w:val="_Style 6"/>
    <w:basedOn w:val="1"/>
    <w:qFormat/>
    <w:uiPriority w:val="34"/>
    <w:pPr>
      <w:adjustRightInd/>
      <w:ind w:firstLine="420" w:firstLineChars="200"/>
    </w:pPr>
    <w:rPr>
      <w:rFonts w:eastAsia="仿宋_GB2312"/>
      <w:sz w:val="28"/>
    </w:rPr>
  </w:style>
  <w:style w:type="paragraph" w:customStyle="1" w:styleId="54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54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544">
    <w:name w:val="Char Char Char Char Char Char Char Char"/>
    <w:basedOn w:val="1"/>
    <w:qFormat/>
    <w:uiPriority w:val="0"/>
    <w:pPr>
      <w:tabs>
        <w:tab w:val="left" w:pos="360"/>
      </w:tabs>
    </w:pPr>
    <w:rPr>
      <w:sz w:val="24"/>
      <w:szCs w:val="20"/>
    </w:rPr>
  </w:style>
  <w:style w:type="paragraph" w:customStyle="1" w:styleId="54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546">
    <w:name w:val="标书表格字体格式"/>
    <w:next w:val="547"/>
    <w:qFormat/>
    <w:uiPriority w:val="0"/>
    <w:rPr>
      <w:rFonts w:ascii="Times New Roman" w:hAnsi="Times New Roman" w:eastAsia="宋体" w:cs="Times New Roman"/>
      <w:kern w:val="2"/>
      <w:sz w:val="21"/>
      <w:szCs w:val="24"/>
      <w:lang w:val="en-US" w:eastAsia="zh-CN" w:bidi="ar-SA"/>
    </w:rPr>
  </w:style>
  <w:style w:type="paragraph" w:customStyle="1" w:styleId="54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4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4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50">
    <w:name w:val="样式1 + (中宋体"/>
    <w:basedOn w:val="551"/>
    <w:qFormat/>
    <w:uiPriority w:val="0"/>
    <w:pPr>
      <w:widowControl w:val="0"/>
      <w:tabs>
        <w:tab w:val="left" w:pos="1200"/>
        <w:tab w:val="left" w:pos="1212"/>
        <w:tab w:val="left" w:pos="3888"/>
      </w:tabs>
      <w:adjustRightInd/>
      <w:snapToGrid/>
      <w:spacing w:line="360" w:lineRule="auto"/>
      <w:ind w:left="1200" w:hanging="360" w:firstLineChars="200"/>
      <w:jc w:val="both"/>
    </w:pPr>
    <w:rPr>
      <w:kern w:val="2"/>
      <w:szCs w:val="24"/>
    </w:rPr>
  </w:style>
  <w:style w:type="paragraph" w:customStyle="1" w:styleId="55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52">
    <w:name w:val="0"/>
    <w:basedOn w:val="1"/>
    <w:qFormat/>
    <w:uiPriority w:val="0"/>
    <w:pPr>
      <w:widowControl/>
    </w:pPr>
    <w:rPr>
      <w:kern w:val="0"/>
      <w:sz w:val="24"/>
      <w:szCs w:val="20"/>
    </w:rPr>
  </w:style>
  <w:style w:type="paragraph" w:customStyle="1" w:styleId="55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54">
    <w:name w:val="Char Char Char Char11"/>
    <w:basedOn w:val="1"/>
    <w:qFormat/>
    <w:uiPriority w:val="0"/>
    <w:rPr>
      <w:rFonts w:ascii="Tahoma" w:hAnsi="Tahoma"/>
      <w:sz w:val="24"/>
      <w:szCs w:val="20"/>
    </w:rPr>
  </w:style>
  <w:style w:type="paragraph" w:customStyle="1" w:styleId="555">
    <w:name w:val="Char Char Char Char Char Char Char Char Char Char1"/>
    <w:basedOn w:val="1"/>
    <w:qFormat/>
    <w:uiPriority w:val="0"/>
    <w:rPr>
      <w:rFonts w:ascii="仿宋_GB2312" w:eastAsia="仿宋_GB2312"/>
      <w:b/>
      <w:sz w:val="32"/>
      <w:szCs w:val="32"/>
    </w:rPr>
  </w:style>
  <w:style w:type="paragraph" w:customStyle="1" w:styleId="5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55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5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559">
    <w:name w:val="正文 内标 序号标"/>
    <w:basedOn w:val="560"/>
    <w:qFormat/>
    <w:uiPriority w:val="0"/>
    <w:pPr>
      <w:tabs>
        <w:tab w:val="left" w:pos="0"/>
      </w:tabs>
      <w:adjustRightInd/>
      <w:spacing w:before="0"/>
      <w:ind w:firstLine="482"/>
    </w:pPr>
    <w:rPr>
      <w:rFonts w:ascii="微软雅黑" w:hAnsi="微软雅黑"/>
      <w:sz w:val="24"/>
      <w:szCs w:val="24"/>
    </w:rPr>
  </w:style>
  <w:style w:type="paragraph" w:customStyle="1" w:styleId="560">
    <w:name w:val="My正文"/>
    <w:basedOn w:val="1"/>
    <w:qFormat/>
    <w:uiPriority w:val="0"/>
    <w:pPr>
      <w:spacing w:before="120" w:line="360" w:lineRule="auto"/>
      <w:ind w:firstLine="567"/>
    </w:pPr>
    <w:rPr>
      <w:rFonts w:ascii="Arial" w:hAnsi="Arial"/>
      <w:sz w:val="20"/>
      <w:szCs w:val="20"/>
    </w:rPr>
  </w:style>
  <w:style w:type="paragraph" w:customStyle="1" w:styleId="56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6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56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56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56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56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567">
    <w:name w:val="标题4_自定义"/>
    <w:basedOn w:val="8"/>
    <w:qFormat/>
    <w:uiPriority w:val="0"/>
    <w:pPr>
      <w:adjustRightInd/>
      <w:spacing w:before="0" w:after="0" w:line="360" w:lineRule="auto"/>
    </w:pPr>
    <w:rPr>
      <w:rFonts w:ascii="Verdana" w:eastAsia="Verdana"/>
      <w:sz w:val="21"/>
      <w:lang w:val="en-US"/>
    </w:rPr>
  </w:style>
  <w:style w:type="paragraph" w:customStyle="1" w:styleId="568">
    <w:name w:val="_正文段落"/>
    <w:basedOn w:val="1"/>
    <w:qFormat/>
    <w:uiPriority w:val="0"/>
    <w:pPr>
      <w:adjustRightInd/>
      <w:ind w:firstLine="560"/>
    </w:pPr>
    <w:rPr>
      <w:rFonts w:ascii="仿宋_GB2312" w:hAnsi="仿宋" w:eastAsia="仿宋_GB2312"/>
      <w:kern w:val="0"/>
      <w:sz w:val="28"/>
      <w:szCs w:val="28"/>
    </w:rPr>
  </w:style>
  <w:style w:type="paragraph" w:customStyle="1" w:styleId="56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70">
    <w:name w:val="表1"/>
    <w:basedOn w:val="1"/>
    <w:qFormat/>
    <w:uiPriority w:val="0"/>
    <w:pPr>
      <w:tabs>
        <w:tab w:val="left" w:pos="703"/>
      </w:tabs>
      <w:adjustRightInd/>
      <w:spacing w:line="360" w:lineRule="auto"/>
      <w:ind w:left="703"/>
      <w:jc w:val="center"/>
    </w:pPr>
  </w:style>
  <w:style w:type="paragraph" w:customStyle="1" w:styleId="571">
    <w:name w:val="正文主体"/>
    <w:basedOn w:val="572"/>
    <w:qFormat/>
    <w:uiPriority w:val="0"/>
  </w:style>
  <w:style w:type="paragraph" w:customStyle="1" w:styleId="57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573">
    <w:name w:val="样式 样式2 + 左侧:  1 字符 右侧:  1 字符"/>
    <w:basedOn w:val="574"/>
    <w:qFormat/>
    <w:uiPriority w:val="0"/>
    <w:pPr>
      <w:tabs>
        <w:tab w:val="left" w:pos="2790"/>
        <w:tab w:val="left"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75">
    <w:name w:val="bullet"/>
    <w:basedOn w:val="1"/>
    <w:qFormat/>
    <w:uiPriority w:val="0"/>
    <w:pPr>
      <w:tabs>
        <w:tab w:val="left" w:pos="840"/>
      </w:tabs>
      <w:adjustRightInd/>
      <w:ind w:left="840" w:hanging="420"/>
    </w:pPr>
  </w:style>
  <w:style w:type="paragraph" w:customStyle="1" w:styleId="576">
    <w:name w:val="trademark"/>
    <w:qFormat/>
    <w:uiPriority w:val="0"/>
    <w:pPr>
      <w:spacing w:after="60"/>
    </w:pPr>
    <w:rPr>
      <w:rFonts w:ascii="Futura Bk" w:hAnsi="Futura Bk" w:eastAsia="宋体" w:cs="Times New Roman"/>
      <w:sz w:val="15"/>
      <w:lang w:val="en-US" w:eastAsia="en-US" w:bidi="ar-SA"/>
    </w:rPr>
  </w:style>
  <w:style w:type="paragraph" w:customStyle="1" w:styleId="57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578">
    <w:name w:val="Char"/>
    <w:basedOn w:val="1"/>
    <w:qFormat/>
    <w:uiPriority w:val="0"/>
    <w:rPr>
      <w:rFonts w:ascii="仿宋_GB2312" w:eastAsia="仿宋_GB2312"/>
      <w:b/>
      <w:sz w:val="32"/>
      <w:szCs w:val="32"/>
    </w:rPr>
  </w:style>
  <w:style w:type="paragraph" w:customStyle="1" w:styleId="57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80">
    <w:name w:val="Char Char1 Char Char Char1"/>
    <w:basedOn w:val="1"/>
    <w:qFormat/>
    <w:uiPriority w:val="6"/>
    <w:rPr>
      <w:rFonts w:ascii="仿宋_GB2312" w:eastAsia="仿宋_GB2312"/>
      <w:b/>
      <w:sz w:val="32"/>
      <w:szCs w:val="20"/>
    </w:rPr>
  </w:style>
  <w:style w:type="paragraph" w:customStyle="1" w:styleId="581">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582">
    <w:name w:val="四号　首行缩进"/>
    <w:basedOn w:val="1"/>
    <w:qFormat/>
    <w:uiPriority w:val="0"/>
    <w:pPr>
      <w:adjustRightInd/>
      <w:spacing w:line="360" w:lineRule="auto"/>
    </w:pPr>
    <w:rPr>
      <w:rFonts w:ascii="宋体" w:hAnsi="宋体"/>
      <w:szCs w:val="20"/>
    </w:rPr>
  </w:style>
  <w:style w:type="paragraph" w:customStyle="1" w:styleId="5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584">
    <w:name w:val="Char Char1121"/>
    <w:basedOn w:val="1"/>
    <w:qFormat/>
    <w:uiPriority w:val="0"/>
    <w:pPr>
      <w:spacing w:line="360" w:lineRule="auto"/>
    </w:pPr>
    <w:rPr>
      <w:szCs w:val="20"/>
    </w:rPr>
  </w:style>
  <w:style w:type="paragraph" w:customStyle="1" w:styleId="58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86">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589">
    <w:name w:val="_Style 5"/>
    <w:basedOn w:val="1"/>
    <w:qFormat/>
    <w:uiPriority w:val="34"/>
    <w:pPr>
      <w:adjustRightInd/>
      <w:ind w:firstLine="420" w:firstLineChars="200"/>
    </w:pPr>
    <w:rPr>
      <w:rFonts w:eastAsia="仿宋_GB2312"/>
      <w:sz w:val="28"/>
    </w:rPr>
  </w:style>
  <w:style w:type="paragraph" w:customStyle="1" w:styleId="5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591">
    <w:name w:val="样式 标题 4PIM 4H4h4bulletblbbH41H42H43H44H45H46H47H48...1"/>
    <w:basedOn w:val="8"/>
    <w:qFormat/>
    <w:uiPriority w:val="0"/>
    <w:pPr>
      <w:widowControl/>
      <w:jc w:val="left"/>
    </w:pPr>
    <w:rPr>
      <w:rFonts w:cs="宋体"/>
      <w:sz w:val="24"/>
      <w:szCs w:val="20"/>
    </w:rPr>
  </w:style>
  <w:style w:type="paragraph" w:customStyle="1" w:styleId="592">
    <w:name w:val="Body Text 2*"/>
    <w:basedOn w:val="1"/>
    <w:qFormat/>
    <w:uiPriority w:val="6"/>
    <w:pPr>
      <w:widowControl/>
      <w:adjustRightInd/>
      <w:ind w:left="720" w:hanging="720"/>
    </w:pPr>
    <w:rPr>
      <w:color w:val="000000"/>
      <w:kern w:val="0"/>
      <w:sz w:val="24"/>
      <w:szCs w:val="20"/>
    </w:rPr>
  </w:style>
  <w:style w:type="paragraph" w:customStyle="1" w:styleId="593">
    <w:name w:val="封面公司名"/>
    <w:qFormat/>
    <w:uiPriority w:val="0"/>
    <w:pPr>
      <w:jc w:val="center"/>
    </w:pPr>
    <w:rPr>
      <w:rFonts w:ascii="Arial" w:hAnsi="Arial" w:eastAsia="楷体_GB2312" w:cs="宋体"/>
      <w:bCs/>
      <w:kern w:val="2"/>
      <w:sz w:val="28"/>
      <w:lang w:val="en-US" w:eastAsia="zh-CN" w:bidi="ar-SA"/>
    </w:rPr>
  </w:style>
  <w:style w:type="paragraph" w:customStyle="1" w:styleId="59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59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59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Char1 Char Char Char1"/>
    <w:basedOn w:val="1"/>
    <w:qFormat/>
    <w:uiPriority w:val="0"/>
    <w:pPr>
      <w:adjustRightInd/>
      <w:ind w:firstLine="200" w:firstLineChars="200"/>
    </w:pPr>
    <w:rPr>
      <w:rFonts w:ascii="Tahoma" w:hAnsi="Tahoma"/>
      <w:sz w:val="24"/>
      <w:szCs w:val="20"/>
    </w:rPr>
  </w:style>
  <w:style w:type="paragraph" w:customStyle="1" w:styleId="599">
    <w:name w:val="Char Char Char Char Char Char Char Char Char Char Char Char1 Char1"/>
    <w:basedOn w:val="1"/>
    <w:qFormat/>
    <w:uiPriority w:val="6"/>
    <w:rPr>
      <w:rFonts w:ascii="Tahoma" w:hAnsi="Tahoma" w:cs="仿宋_GB2312"/>
      <w:sz w:val="24"/>
      <w:szCs w:val="20"/>
    </w:rPr>
  </w:style>
  <w:style w:type="paragraph" w:customStyle="1" w:styleId="60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60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2">
    <w:name w:val="正文表标题"/>
    <w:next w:val="5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03">
    <w:name w:val="正文文字表格居中"/>
    <w:basedOn w:val="1"/>
    <w:next w:val="57"/>
    <w:qFormat/>
    <w:uiPriority w:val="0"/>
    <w:pPr>
      <w:snapToGrid w:val="0"/>
      <w:spacing w:line="360" w:lineRule="auto"/>
    </w:pPr>
    <w:rPr>
      <w:rFonts w:ascii="宋体"/>
      <w:b/>
      <w:sz w:val="24"/>
      <w:szCs w:val="20"/>
    </w:rPr>
  </w:style>
  <w:style w:type="paragraph" w:customStyle="1" w:styleId="6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60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06">
    <w:name w:val="正文文字 2"/>
    <w:basedOn w:val="272"/>
    <w:next w:val="272"/>
    <w:qFormat/>
    <w:uiPriority w:val="0"/>
    <w:rPr>
      <w:rFonts w:ascii="宋体" w:eastAsia="宋体" w:cs="Times New Roman"/>
      <w:color w:val="auto"/>
    </w:rPr>
  </w:style>
  <w:style w:type="paragraph" w:customStyle="1" w:styleId="607">
    <w:name w:val="_Style 12"/>
    <w:basedOn w:val="21"/>
    <w:qFormat/>
    <w:uiPriority w:val="0"/>
    <w:pPr>
      <w:snapToGrid w:val="0"/>
      <w:spacing w:line="360" w:lineRule="auto"/>
    </w:pPr>
  </w:style>
  <w:style w:type="paragraph" w:customStyle="1" w:styleId="608">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609">
    <w:name w:val="Char1"/>
    <w:basedOn w:val="1"/>
    <w:qFormat/>
    <w:uiPriority w:val="0"/>
    <w:rPr>
      <w:rFonts w:ascii="仿宋_GB2312" w:eastAsia="仿宋_GB2312"/>
      <w:b/>
      <w:sz w:val="32"/>
      <w:szCs w:val="32"/>
    </w:rPr>
  </w:style>
  <w:style w:type="paragraph" w:customStyle="1" w:styleId="610">
    <w:name w:val="列出段落2"/>
    <w:basedOn w:val="1"/>
    <w:qFormat/>
    <w:uiPriority w:val="0"/>
    <w:pPr>
      <w:adjustRightInd/>
      <w:ind w:firstLine="420" w:firstLineChars="200"/>
    </w:pPr>
    <w:rPr>
      <w:rFonts w:ascii="宋体" w:hAnsi="宋体"/>
      <w:sz w:val="24"/>
    </w:rPr>
  </w:style>
  <w:style w:type="paragraph" w:customStyle="1" w:styleId="61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61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613">
    <w:name w:val="Char Char111"/>
    <w:basedOn w:val="1"/>
    <w:qFormat/>
    <w:uiPriority w:val="0"/>
    <w:pPr>
      <w:spacing w:line="360" w:lineRule="auto"/>
    </w:pPr>
    <w:rPr>
      <w:szCs w:val="20"/>
    </w:rPr>
  </w:style>
  <w:style w:type="paragraph" w:customStyle="1" w:styleId="6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615">
    <w:name w:val="正文标准"/>
    <w:basedOn w:val="1"/>
    <w:qFormat/>
    <w:uiPriority w:val="0"/>
    <w:pPr>
      <w:adjustRightInd/>
      <w:spacing w:line="360" w:lineRule="auto"/>
      <w:ind w:firstLine="200" w:firstLineChars="200"/>
    </w:pPr>
    <w:rPr>
      <w:rFonts w:ascii="宋体" w:hAnsi="Calibri"/>
      <w:sz w:val="24"/>
    </w:rPr>
  </w:style>
  <w:style w:type="paragraph" w:customStyle="1" w:styleId="616">
    <w:name w:val="修订1"/>
    <w:qFormat/>
    <w:uiPriority w:val="3"/>
    <w:rPr>
      <w:rFonts w:ascii="Times New Roman" w:hAnsi="Times New Roman" w:eastAsia="宋体" w:cs="Times New Roman"/>
      <w:color w:val="000000"/>
      <w:kern w:val="1"/>
      <w:sz w:val="21"/>
      <w:lang w:val="en-US" w:eastAsia="zh-CN" w:bidi="ar-SA"/>
    </w:rPr>
  </w:style>
  <w:style w:type="paragraph" w:customStyle="1" w:styleId="617">
    <w:name w:val="Char Char Char 字元 字元"/>
    <w:basedOn w:val="1"/>
    <w:qFormat/>
    <w:uiPriority w:val="0"/>
    <w:pPr>
      <w:adjustRightInd/>
      <w:spacing w:line="360" w:lineRule="auto"/>
      <w:ind w:firstLine="200" w:firstLineChars="200"/>
    </w:pPr>
    <w:rPr>
      <w:szCs w:val="20"/>
    </w:rPr>
  </w:style>
  <w:style w:type="paragraph" w:customStyle="1" w:styleId="61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19">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62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21">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622">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23">
    <w:name w:val="Char2"/>
    <w:basedOn w:val="1"/>
    <w:qFormat/>
    <w:uiPriority w:val="0"/>
    <w:rPr>
      <w:rFonts w:ascii="仿宋_GB2312" w:eastAsia="仿宋_GB2312"/>
      <w:b/>
      <w:sz w:val="32"/>
      <w:szCs w:val="32"/>
    </w:rPr>
  </w:style>
  <w:style w:type="paragraph" w:customStyle="1" w:styleId="62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625">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26">
    <w:name w:val="MM Topic 4"/>
    <w:basedOn w:val="8"/>
    <w:qFormat/>
    <w:uiPriority w:val="0"/>
    <w:pPr>
      <w:tabs>
        <w:tab w:val="left" w:pos="2100"/>
        <w:tab w:val="clear" w:pos="864"/>
      </w:tabs>
      <w:adjustRightInd/>
      <w:ind w:left="2100" w:hanging="420"/>
    </w:pPr>
    <w:rPr>
      <w:lang w:val="en-US"/>
    </w:rPr>
  </w:style>
  <w:style w:type="paragraph" w:customStyle="1" w:styleId="627">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628">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2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63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3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63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3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634">
    <w:name w:val="标准小四"/>
    <w:basedOn w:val="1"/>
    <w:qFormat/>
    <w:uiPriority w:val="0"/>
    <w:pPr>
      <w:spacing w:line="360" w:lineRule="auto"/>
      <w:ind w:firstLine="480" w:firstLineChars="200"/>
    </w:pPr>
    <w:rPr>
      <w:rFonts w:ascii="Arial" w:hAnsi="Arial"/>
      <w:sz w:val="24"/>
      <w:szCs w:val="21"/>
    </w:rPr>
  </w:style>
  <w:style w:type="paragraph" w:customStyle="1" w:styleId="635">
    <w:name w:val="Char2 Char Char2"/>
    <w:basedOn w:val="1"/>
    <w:qFormat/>
    <w:uiPriority w:val="0"/>
    <w:pPr>
      <w:adjustRightInd/>
    </w:pPr>
    <w:rPr>
      <w:rFonts w:ascii="Tahoma" w:hAnsi="Tahoma"/>
      <w:sz w:val="24"/>
      <w:szCs w:val="20"/>
    </w:rPr>
  </w:style>
  <w:style w:type="paragraph" w:customStyle="1" w:styleId="63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7">
    <w:name w:val="彩色列表 - 强调文字颜色 11"/>
    <w:basedOn w:val="1"/>
    <w:qFormat/>
    <w:uiPriority w:val="0"/>
    <w:pPr>
      <w:adjustRightInd/>
      <w:ind w:firstLine="420" w:firstLineChars="200"/>
    </w:pPr>
    <w:rPr>
      <w:rFonts w:ascii="Calibri" w:hAnsi="Calibri"/>
      <w:szCs w:val="22"/>
    </w:rPr>
  </w:style>
  <w:style w:type="paragraph" w:customStyle="1" w:styleId="63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39">
    <w:name w:val="Char3"/>
    <w:basedOn w:val="1"/>
    <w:qFormat/>
    <w:uiPriority w:val="0"/>
    <w:pPr>
      <w:adjustRightInd/>
    </w:pPr>
    <w:rPr>
      <w:rFonts w:ascii="仿宋_GB2312" w:eastAsia="仿宋_GB2312"/>
      <w:b/>
      <w:sz w:val="32"/>
      <w:szCs w:val="32"/>
    </w:rPr>
  </w:style>
  <w:style w:type="paragraph" w:customStyle="1" w:styleId="64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642">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64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64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647">
    <w:name w:val="Char Char Char"/>
    <w:basedOn w:val="1"/>
    <w:qFormat/>
    <w:uiPriority w:val="0"/>
    <w:rPr>
      <w:rFonts w:ascii="Tahoma" w:hAnsi="Tahoma"/>
      <w:sz w:val="24"/>
      <w:szCs w:val="20"/>
    </w:rPr>
  </w:style>
  <w:style w:type="paragraph" w:customStyle="1" w:styleId="6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64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650">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65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65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653">
    <w:name w:val="Char Char Char1 Char1"/>
    <w:basedOn w:val="1"/>
    <w:qFormat/>
    <w:uiPriority w:val="6"/>
    <w:rPr>
      <w:szCs w:val="20"/>
    </w:rPr>
  </w:style>
  <w:style w:type="paragraph" w:customStyle="1" w:styleId="654">
    <w:name w:val="Char Char1 Char Char Char Char Char Char"/>
    <w:basedOn w:val="1"/>
    <w:qFormat/>
    <w:uiPriority w:val="0"/>
    <w:rPr>
      <w:rFonts w:ascii="仿宋_GB2312" w:eastAsia="仿宋_GB2312"/>
      <w:b/>
      <w:sz w:val="32"/>
      <w:szCs w:val="20"/>
    </w:rPr>
  </w:style>
  <w:style w:type="paragraph" w:customStyle="1" w:styleId="65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6">
    <w:name w:val="默认段落字体 Para Char Char Char Char Char Char Char"/>
    <w:basedOn w:val="1"/>
    <w:qFormat/>
    <w:uiPriority w:val="0"/>
    <w:rPr>
      <w:rFonts w:eastAsia="仿宋_GB2312"/>
      <w:sz w:val="28"/>
      <w:szCs w:val="20"/>
    </w:rPr>
  </w:style>
  <w:style w:type="paragraph" w:customStyle="1" w:styleId="65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65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65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66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661">
    <w:name w:val="Char Char Char Char Char Char Char Char1"/>
    <w:basedOn w:val="1"/>
    <w:qFormat/>
    <w:uiPriority w:val="0"/>
    <w:pPr>
      <w:tabs>
        <w:tab w:val="left" w:pos="360"/>
      </w:tabs>
    </w:pPr>
    <w:rPr>
      <w:sz w:val="24"/>
      <w:szCs w:val="20"/>
    </w:rPr>
  </w:style>
  <w:style w:type="paragraph" w:customStyle="1" w:styleId="662">
    <w:name w:val="Char Char11 Char Char Char1"/>
    <w:basedOn w:val="1"/>
    <w:qFormat/>
    <w:uiPriority w:val="6"/>
    <w:pPr>
      <w:spacing w:line="360" w:lineRule="auto"/>
    </w:pPr>
    <w:rPr>
      <w:szCs w:val="20"/>
    </w:rPr>
  </w:style>
  <w:style w:type="paragraph" w:customStyle="1" w:styleId="6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664">
    <w:name w:val="MM Topic 5"/>
    <w:basedOn w:val="9"/>
    <w:qFormat/>
    <w:uiPriority w:val="0"/>
    <w:pPr>
      <w:tabs>
        <w:tab w:val="left" w:pos="2520"/>
        <w:tab w:val="clear" w:pos="1008"/>
      </w:tabs>
      <w:adjustRightInd/>
      <w:ind w:left="2520" w:hanging="420"/>
    </w:pPr>
  </w:style>
  <w:style w:type="paragraph" w:customStyle="1" w:styleId="66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6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66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68">
    <w:name w:val="_Style 8"/>
    <w:basedOn w:val="1"/>
    <w:qFormat/>
    <w:uiPriority w:val="34"/>
    <w:pPr>
      <w:adjustRightInd/>
      <w:ind w:firstLine="420" w:firstLineChars="200"/>
    </w:pPr>
    <w:rPr>
      <w:rFonts w:eastAsia="仿宋_GB2312"/>
      <w:sz w:val="28"/>
    </w:rPr>
  </w:style>
  <w:style w:type="paragraph" w:customStyle="1" w:styleId="669">
    <w:name w:val="Char2 Char Char Char2"/>
    <w:basedOn w:val="1"/>
    <w:qFormat/>
    <w:uiPriority w:val="0"/>
    <w:rPr>
      <w:rFonts w:ascii="仿宋_GB2312" w:eastAsia="仿宋_GB2312"/>
      <w:b/>
      <w:sz w:val="32"/>
      <w:szCs w:val="32"/>
    </w:rPr>
  </w:style>
  <w:style w:type="paragraph" w:customStyle="1" w:styleId="67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671">
    <w:name w:val="正文1.25"/>
    <w:basedOn w:val="1"/>
    <w:qFormat/>
    <w:uiPriority w:val="0"/>
    <w:pPr>
      <w:adjustRightInd/>
      <w:spacing w:line="300" w:lineRule="auto"/>
      <w:ind w:firstLine="480" w:firstLineChars="200"/>
    </w:pPr>
    <w:rPr>
      <w:sz w:val="24"/>
      <w:szCs w:val="20"/>
    </w:rPr>
  </w:style>
  <w:style w:type="paragraph" w:customStyle="1" w:styleId="67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7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6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67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67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677">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67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8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68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68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683">
    <w:name w:val="FA正文"/>
    <w:basedOn w:val="1"/>
    <w:qFormat/>
    <w:uiPriority w:val="0"/>
    <w:pPr>
      <w:spacing w:line="360" w:lineRule="auto"/>
      <w:ind w:firstLine="480" w:firstLineChars="200"/>
    </w:pPr>
    <w:rPr>
      <w:rFonts w:hAnsi="宋体"/>
      <w:sz w:val="24"/>
      <w:szCs w:val="20"/>
    </w:rPr>
  </w:style>
  <w:style w:type="paragraph" w:customStyle="1" w:styleId="68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8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8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689">
    <w:name w:val="正文 首行缩进:  2 字符 Char"/>
    <w:basedOn w:val="1"/>
    <w:qFormat/>
    <w:uiPriority w:val="0"/>
    <w:pPr>
      <w:adjustRightInd/>
      <w:spacing w:line="360" w:lineRule="auto"/>
      <w:ind w:firstLine="480"/>
    </w:pPr>
    <w:rPr>
      <w:rFonts w:cs="宋体"/>
      <w:sz w:val="24"/>
      <w:szCs w:val="20"/>
    </w:rPr>
  </w:style>
  <w:style w:type="paragraph" w:customStyle="1" w:styleId="69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691">
    <w:name w:val="表格内文"/>
    <w:basedOn w:val="1"/>
    <w:qFormat/>
    <w:uiPriority w:val="0"/>
    <w:pPr>
      <w:adjustRightInd/>
      <w:spacing w:line="360" w:lineRule="auto"/>
    </w:pPr>
    <w:rPr>
      <w:rFonts w:ascii="宋体" w:hAnsi="宋体" w:cs="宋体"/>
      <w:color w:val="000000"/>
      <w:szCs w:val="20"/>
    </w:rPr>
  </w:style>
  <w:style w:type="paragraph" w:customStyle="1" w:styleId="69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693">
    <w:name w:val="列表内容"/>
    <w:basedOn w:val="1"/>
    <w:next w:val="1"/>
    <w:qFormat/>
    <w:uiPriority w:val="0"/>
    <w:pPr>
      <w:widowControl/>
      <w:tabs>
        <w:tab w:val="left" w:pos="840"/>
      </w:tabs>
      <w:ind w:left="840" w:hanging="420"/>
      <w:jc w:val="left"/>
    </w:pPr>
    <w:rPr>
      <w:kern w:val="0"/>
      <w:sz w:val="18"/>
    </w:rPr>
  </w:style>
  <w:style w:type="paragraph" w:customStyle="1" w:styleId="69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695">
    <w:name w:val="默认段落样式"/>
    <w:basedOn w:val="354"/>
    <w:qFormat/>
    <w:uiPriority w:val="0"/>
    <w:pPr>
      <w:spacing w:before="0"/>
      <w:ind w:firstLine="480"/>
      <w:outlineLvl w:val="2"/>
    </w:pPr>
    <w:rPr>
      <w:rFonts w:ascii="仿宋_GB2312" w:hAnsi="宋体" w:eastAsia="仿宋_GB2312"/>
      <w:color w:val="000000"/>
      <w:szCs w:val="24"/>
    </w:rPr>
  </w:style>
  <w:style w:type="paragraph" w:customStyle="1" w:styleId="6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97">
    <w:name w:val="_Style 94"/>
    <w:basedOn w:val="1"/>
    <w:next w:val="135"/>
    <w:qFormat/>
    <w:uiPriority w:val="34"/>
    <w:pPr>
      <w:adjustRightInd/>
      <w:spacing w:line="360" w:lineRule="auto"/>
      <w:ind w:firstLine="200" w:firstLineChars="200"/>
    </w:pPr>
    <w:rPr>
      <w:rFonts w:ascii="Calibri" w:hAnsi="Calibri"/>
      <w:sz w:val="28"/>
      <w:szCs w:val="20"/>
    </w:rPr>
  </w:style>
  <w:style w:type="paragraph" w:customStyle="1" w:styleId="698">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699">
    <w:name w:val="Char Char Char Char Char Char Char2"/>
    <w:basedOn w:val="1"/>
    <w:qFormat/>
    <w:uiPriority w:val="0"/>
    <w:rPr>
      <w:rFonts w:ascii="仿宋_GB2312" w:eastAsia="仿宋_GB2312"/>
      <w:b/>
      <w:sz w:val="32"/>
      <w:szCs w:val="32"/>
    </w:rPr>
  </w:style>
  <w:style w:type="paragraph" w:customStyle="1" w:styleId="700">
    <w:name w:val="Char Char1101"/>
    <w:basedOn w:val="1"/>
    <w:qFormat/>
    <w:uiPriority w:val="0"/>
    <w:pPr>
      <w:spacing w:line="360" w:lineRule="auto"/>
    </w:pPr>
    <w:rPr>
      <w:rFonts w:ascii="Tahoma" w:hAnsi="Tahoma"/>
      <w:sz w:val="24"/>
      <w:szCs w:val="20"/>
    </w:rPr>
  </w:style>
  <w:style w:type="paragraph" w:customStyle="1" w:styleId="70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02">
    <w:name w:val="默认段落字体 Para Char"/>
    <w:basedOn w:val="1"/>
    <w:qFormat/>
    <w:uiPriority w:val="0"/>
    <w:rPr>
      <w:rFonts w:ascii="Tahoma" w:hAnsi="Tahoma"/>
      <w:sz w:val="24"/>
      <w:szCs w:val="20"/>
    </w:rPr>
  </w:style>
  <w:style w:type="paragraph" w:customStyle="1" w:styleId="7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7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70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0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0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708">
    <w:name w:val="Char Char Char Char"/>
    <w:basedOn w:val="1"/>
    <w:qFormat/>
    <w:uiPriority w:val="0"/>
    <w:rPr>
      <w:rFonts w:ascii="Tahoma" w:hAnsi="Tahoma"/>
      <w:sz w:val="24"/>
      <w:szCs w:val="20"/>
    </w:rPr>
  </w:style>
  <w:style w:type="paragraph" w:customStyle="1" w:styleId="70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10">
    <w:name w:val="Char6"/>
    <w:basedOn w:val="1"/>
    <w:qFormat/>
    <w:uiPriority w:val="0"/>
    <w:rPr>
      <w:rFonts w:ascii="仿宋_GB2312" w:eastAsia="仿宋_GB2312"/>
      <w:b/>
      <w:sz w:val="32"/>
      <w:szCs w:val="32"/>
    </w:rPr>
  </w:style>
  <w:style w:type="paragraph" w:customStyle="1" w:styleId="711">
    <w:name w:val="样式 标题 3H3 + 两端对齐"/>
    <w:basedOn w:val="7"/>
    <w:qFormat/>
    <w:uiPriority w:val="0"/>
    <w:pPr>
      <w:keepLines w:val="0"/>
      <w:spacing w:before="0" w:after="0" w:line="240" w:lineRule="auto"/>
      <w:jc w:val="left"/>
    </w:pPr>
    <w:rPr>
      <w:rFonts w:cs="宋体"/>
      <w:sz w:val="21"/>
      <w:szCs w:val="20"/>
    </w:rPr>
  </w:style>
  <w:style w:type="paragraph" w:customStyle="1" w:styleId="71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3">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14">
    <w:name w:val="Char Char110"/>
    <w:basedOn w:val="1"/>
    <w:qFormat/>
    <w:uiPriority w:val="6"/>
    <w:pPr>
      <w:spacing w:line="360" w:lineRule="auto"/>
    </w:pPr>
    <w:rPr>
      <w:rFonts w:ascii="Tahoma" w:hAnsi="Tahoma"/>
      <w:sz w:val="24"/>
      <w:szCs w:val="20"/>
    </w:rPr>
  </w:style>
  <w:style w:type="paragraph" w:customStyle="1" w:styleId="71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71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71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718">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719">
    <w:name w:val="Char Char Char1 Char2"/>
    <w:basedOn w:val="1"/>
    <w:qFormat/>
    <w:uiPriority w:val="0"/>
    <w:rPr>
      <w:szCs w:val="20"/>
    </w:rPr>
  </w:style>
  <w:style w:type="paragraph" w:customStyle="1" w:styleId="720">
    <w:name w:val="四级条标题"/>
    <w:basedOn w:val="721"/>
    <w:next w:val="527"/>
    <w:qFormat/>
    <w:uiPriority w:val="0"/>
    <w:pPr>
      <w:tabs>
        <w:tab w:val="left" w:pos="1260"/>
        <w:tab w:val="left" w:pos="1680"/>
        <w:tab w:val="left" w:pos="2520"/>
        <w:tab w:val="left" w:pos="2940"/>
      </w:tabs>
      <w:ind w:left="2940"/>
      <w:outlineLvl w:val="5"/>
    </w:pPr>
  </w:style>
  <w:style w:type="paragraph" w:customStyle="1" w:styleId="721">
    <w:name w:val="三级条标题"/>
    <w:basedOn w:val="524"/>
    <w:next w:val="527"/>
    <w:qFormat/>
    <w:uiPriority w:val="0"/>
    <w:pPr>
      <w:tabs>
        <w:tab w:val="left" w:pos="2520"/>
        <w:tab w:val="clear" w:pos="2100"/>
      </w:tabs>
      <w:ind w:left="2520"/>
      <w:outlineLvl w:val="4"/>
    </w:pPr>
  </w:style>
  <w:style w:type="paragraph" w:customStyle="1" w:styleId="722">
    <w:name w:val="默认段落字体 Para Char Char Char Char"/>
    <w:basedOn w:val="1"/>
    <w:qFormat/>
    <w:uiPriority w:val="0"/>
    <w:pPr>
      <w:spacing w:line="360" w:lineRule="auto"/>
    </w:pPr>
    <w:rPr>
      <w:szCs w:val="20"/>
    </w:rPr>
  </w:style>
  <w:style w:type="paragraph" w:customStyle="1" w:styleId="72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24">
    <w:name w:val="默认段落字体 Para Char Char Char1 Char"/>
    <w:basedOn w:val="1"/>
    <w:qFormat/>
    <w:uiPriority w:val="0"/>
    <w:pPr>
      <w:spacing w:line="240" w:lineRule="atLeast"/>
      <w:ind w:left="420" w:firstLine="420"/>
    </w:pPr>
    <w:rPr>
      <w:sz w:val="24"/>
    </w:rPr>
  </w:style>
  <w:style w:type="paragraph" w:customStyle="1" w:styleId="72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726">
    <w:name w:val="修订3"/>
    <w:qFormat/>
    <w:uiPriority w:val="0"/>
    <w:rPr>
      <w:rFonts w:ascii="Times New Roman" w:hAnsi="Times New Roman" w:eastAsia="宋体" w:cs="Times New Roman"/>
      <w:kern w:val="2"/>
      <w:sz w:val="21"/>
      <w:lang w:val="en-US" w:eastAsia="zh-CN" w:bidi="ar-SA"/>
    </w:rPr>
  </w:style>
  <w:style w:type="paragraph" w:customStyle="1" w:styleId="72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28">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7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30">
    <w:name w:val="Char Char Char Char Char Char Char Char Char Char Char1 Char"/>
    <w:basedOn w:val="1"/>
    <w:qFormat/>
    <w:uiPriority w:val="0"/>
    <w:pPr>
      <w:adjustRightInd/>
    </w:pPr>
    <w:rPr>
      <w:rFonts w:ascii="Tahoma" w:hAnsi="Tahoma"/>
      <w:sz w:val="24"/>
    </w:rPr>
  </w:style>
  <w:style w:type="paragraph" w:customStyle="1" w:styleId="731">
    <w:name w:val="彩色列表 - 强调文字颜色 12"/>
    <w:basedOn w:val="1"/>
    <w:qFormat/>
    <w:uiPriority w:val="0"/>
    <w:pPr>
      <w:adjustRightInd/>
      <w:ind w:firstLine="420" w:firstLineChars="200"/>
    </w:pPr>
    <w:rPr>
      <w:rFonts w:ascii="Calibri" w:hAnsi="Calibri"/>
      <w:szCs w:val="22"/>
    </w:rPr>
  </w:style>
  <w:style w:type="paragraph" w:customStyle="1" w:styleId="732">
    <w:name w:val="标题五"/>
    <w:basedOn w:val="1"/>
    <w:qFormat/>
    <w:uiPriority w:val="0"/>
    <w:pPr>
      <w:adjustRightInd/>
      <w:spacing w:before="156" w:beforeLines="50" w:line="360" w:lineRule="auto"/>
    </w:pPr>
    <w:rPr>
      <w:b/>
      <w:sz w:val="24"/>
    </w:rPr>
  </w:style>
  <w:style w:type="paragraph" w:customStyle="1" w:styleId="733">
    <w:name w:val="P1"/>
    <w:basedOn w:val="1"/>
    <w:qFormat/>
    <w:uiPriority w:val="0"/>
    <w:pPr>
      <w:adjustRightInd/>
      <w:spacing w:line="288" w:lineRule="auto"/>
      <w:ind w:firstLine="425" w:firstLineChars="200"/>
    </w:pPr>
  </w:style>
  <w:style w:type="paragraph" w:customStyle="1" w:styleId="7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35">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7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737">
    <w:name w:val="a1"/>
    <w:basedOn w:val="1"/>
    <w:qFormat/>
    <w:uiPriority w:val="0"/>
    <w:pPr>
      <w:widowControl/>
      <w:spacing w:line="300" w:lineRule="atLeast"/>
      <w:jc w:val="left"/>
    </w:pPr>
    <w:rPr>
      <w:rFonts w:ascii="宋体" w:hAnsi="宋体"/>
      <w:kern w:val="0"/>
      <w:sz w:val="18"/>
      <w:szCs w:val="20"/>
    </w:rPr>
  </w:style>
  <w:style w:type="paragraph" w:customStyle="1" w:styleId="73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3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740">
    <w:name w:val="List Paragraph1"/>
    <w:basedOn w:val="1"/>
    <w:qFormat/>
    <w:uiPriority w:val="0"/>
    <w:pPr>
      <w:spacing w:line="360" w:lineRule="auto"/>
      <w:ind w:firstLine="200" w:firstLineChars="200"/>
    </w:pPr>
    <w:rPr>
      <w:rFonts w:eastAsia="楷体_GB2312" w:cs="Lucida Sans"/>
      <w:sz w:val="24"/>
    </w:rPr>
  </w:style>
  <w:style w:type="paragraph" w:customStyle="1" w:styleId="74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742">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74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44">
    <w:name w:val="Char3 Char Char Char"/>
    <w:basedOn w:val="1"/>
    <w:qFormat/>
    <w:uiPriority w:val="0"/>
    <w:pPr>
      <w:widowControl/>
      <w:adjustRightInd/>
      <w:spacing w:after="160" w:line="240" w:lineRule="exact"/>
      <w:jc w:val="left"/>
    </w:pPr>
    <w:rPr>
      <w:szCs w:val="20"/>
    </w:rPr>
  </w:style>
  <w:style w:type="paragraph" w:customStyle="1" w:styleId="74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4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47">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74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4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750">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751">
    <w:name w:val="正文21"/>
    <w:basedOn w:val="1"/>
    <w:qFormat/>
    <w:uiPriority w:val="0"/>
    <w:pPr>
      <w:adjustRightInd/>
      <w:spacing w:before="156" w:line="360" w:lineRule="auto"/>
      <w:ind w:firstLine="510" w:firstLineChars="200"/>
    </w:pPr>
    <w:rPr>
      <w:sz w:val="24"/>
      <w:szCs w:val="20"/>
    </w:rPr>
  </w:style>
  <w:style w:type="paragraph" w:customStyle="1" w:styleId="75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753">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75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5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75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75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58">
    <w:name w:val="WW-正文文字缩进 2"/>
    <w:basedOn w:val="1"/>
    <w:qFormat/>
    <w:uiPriority w:val="0"/>
    <w:pPr>
      <w:suppressAutoHyphens/>
      <w:adjustRightInd/>
      <w:ind w:firstLine="420"/>
    </w:pPr>
    <w:rPr>
      <w:kern w:val="1"/>
      <w:szCs w:val="20"/>
    </w:rPr>
  </w:style>
  <w:style w:type="paragraph" w:customStyle="1" w:styleId="759">
    <w:name w:val="正文（首行缩进2字符）"/>
    <w:basedOn w:val="1"/>
    <w:qFormat/>
    <w:uiPriority w:val="0"/>
    <w:pPr>
      <w:adjustRightInd/>
      <w:spacing w:line="360" w:lineRule="auto"/>
      <w:ind w:firstLine="480" w:firstLineChars="200"/>
    </w:pPr>
    <w:rPr>
      <w:sz w:val="24"/>
      <w:szCs w:val="20"/>
    </w:rPr>
  </w:style>
  <w:style w:type="paragraph" w:customStyle="1" w:styleId="76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761">
    <w:name w:val="文档正文"/>
    <w:basedOn w:val="1"/>
    <w:qFormat/>
    <w:uiPriority w:val="0"/>
    <w:pPr>
      <w:spacing w:line="480" w:lineRule="atLeast"/>
      <w:ind w:firstLine="567"/>
      <w:textAlignment w:val="baseline"/>
    </w:pPr>
    <w:rPr>
      <w:kern w:val="0"/>
      <w:sz w:val="24"/>
      <w:szCs w:val="20"/>
    </w:rPr>
  </w:style>
  <w:style w:type="paragraph" w:customStyle="1" w:styleId="76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76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4">
    <w:name w:val="表格"/>
    <w:basedOn w:val="1"/>
    <w:qFormat/>
    <w:uiPriority w:val="0"/>
    <w:pPr>
      <w:snapToGrid w:val="0"/>
      <w:ind w:firstLine="42" w:firstLineChars="21"/>
    </w:pPr>
    <w:rPr>
      <w:rFonts w:ascii="宋体" w:hAnsi="宋体"/>
      <w:kern w:val="0"/>
      <w:sz w:val="20"/>
      <w:szCs w:val="20"/>
    </w:rPr>
  </w:style>
  <w:style w:type="paragraph" w:customStyle="1" w:styleId="765">
    <w:name w:val="样式7"/>
    <w:basedOn w:val="472"/>
    <w:next w:val="1"/>
    <w:qFormat/>
    <w:uiPriority w:val="0"/>
    <w:pPr>
      <w:spacing w:after="156" w:afterLines="50"/>
      <w:jc w:val="left"/>
      <w:outlineLvl w:val="3"/>
    </w:pPr>
    <w:rPr>
      <w:sz w:val="24"/>
      <w:szCs w:val="24"/>
    </w:rPr>
  </w:style>
  <w:style w:type="paragraph" w:customStyle="1" w:styleId="766">
    <w:name w:val="Char1 Char Char Char4"/>
    <w:basedOn w:val="1"/>
    <w:qFormat/>
    <w:uiPriority w:val="0"/>
    <w:pPr>
      <w:adjustRightInd/>
      <w:ind w:firstLine="200" w:firstLineChars="200"/>
    </w:pPr>
    <w:rPr>
      <w:rFonts w:ascii="Tahoma" w:hAnsi="Tahoma"/>
      <w:sz w:val="24"/>
      <w:szCs w:val="20"/>
    </w:rPr>
  </w:style>
  <w:style w:type="paragraph" w:customStyle="1" w:styleId="767">
    <w:name w:val="文章标题"/>
    <w:next w:val="59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768">
    <w:name w:val="Char Char11 Char Char Char Char Char Char Char Char Char1"/>
    <w:basedOn w:val="1"/>
    <w:qFormat/>
    <w:uiPriority w:val="6"/>
    <w:pPr>
      <w:spacing w:line="360" w:lineRule="auto"/>
    </w:pPr>
    <w:rPr>
      <w:szCs w:val="20"/>
    </w:rPr>
  </w:style>
  <w:style w:type="paragraph" w:customStyle="1" w:styleId="76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771">
    <w:name w:val="Char2 Char Char"/>
    <w:basedOn w:val="1"/>
    <w:qFormat/>
    <w:uiPriority w:val="0"/>
    <w:pPr>
      <w:adjustRightInd/>
    </w:pPr>
    <w:rPr>
      <w:rFonts w:ascii="Tahoma" w:hAnsi="Tahoma"/>
      <w:sz w:val="24"/>
      <w:szCs w:val="20"/>
    </w:rPr>
  </w:style>
  <w:style w:type="paragraph" w:customStyle="1" w:styleId="772">
    <w:name w:val="Char2 Char Char Char1"/>
    <w:basedOn w:val="1"/>
    <w:qFormat/>
    <w:uiPriority w:val="6"/>
    <w:rPr>
      <w:rFonts w:ascii="仿宋_GB2312" w:eastAsia="仿宋_GB2312"/>
      <w:b/>
      <w:sz w:val="32"/>
      <w:szCs w:val="32"/>
    </w:rPr>
  </w:style>
  <w:style w:type="paragraph" w:customStyle="1" w:styleId="77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77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7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76">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77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77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779">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8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81">
    <w:name w:val="!大节"/>
    <w:basedOn w:val="6"/>
    <w:qFormat/>
    <w:uiPriority w:val="0"/>
    <w:pPr>
      <w:spacing w:before="260" w:after="260" w:line="415" w:lineRule="auto"/>
      <w:ind w:left="420" w:hanging="420"/>
    </w:pPr>
    <w:rPr>
      <w:rFonts w:ascii="Arial" w:hAnsi="Arial" w:eastAsia="微软雅黑"/>
      <w:lang w:val="en-US"/>
    </w:rPr>
  </w:style>
  <w:style w:type="paragraph" w:customStyle="1" w:styleId="78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8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8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785">
    <w:name w:val="Char Char Char Char Char Char Char Char Char Char Char Char1 Char2"/>
    <w:basedOn w:val="1"/>
    <w:qFormat/>
    <w:uiPriority w:val="0"/>
    <w:rPr>
      <w:rFonts w:ascii="Tahoma" w:hAnsi="Tahoma" w:cs="仿宋_GB2312"/>
      <w:sz w:val="24"/>
      <w:szCs w:val="20"/>
    </w:rPr>
  </w:style>
  <w:style w:type="paragraph" w:customStyle="1" w:styleId="78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8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788">
    <w:name w:val="数字标题1"/>
    <w:basedOn w:val="4"/>
    <w:next w:val="1"/>
    <w:qFormat/>
    <w:uiPriority w:val="0"/>
    <w:pPr>
      <w:tabs>
        <w:tab w:val="left" w:pos="480"/>
        <w:tab w:val="clear" w:pos="432"/>
      </w:tabs>
      <w:ind w:left="480" w:hanging="480"/>
    </w:pPr>
  </w:style>
  <w:style w:type="paragraph" w:customStyle="1" w:styleId="789">
    <w:name w:val="Char5"/>
    <w:basedOn w:val="1"/>
    <w:qFormat/>
    <w:uiPriority w:val="0"/>
    <w:rPr>
      <w:rFonts w:ascii="仿宋_GB2312" w:eastAsia="仿宋_GB2312"/>
      <w:b/>
      <w:sz w:val="32"/>
      <w:szCs w:val="32"/>
    </w:rPr>
  </w:style>
  <w:style w:type="paragraph" w:customStyle="1" w:styleId="790">
    <w:name w:val="列出段落5"/>
    <w:basedOn w:val="1"/>
    <w:qFormat/>
    <w:uiPriority w:val="0"/>
    <w:pPr>
      <w:spacing w:line="360" w:lineRule="auto"/>
      <w:ind w:firstLine="200" w:firstLineChars="200"/>
    </w:pPr>
    <w:rPr>
      <w:rFonts w:eastAsia="楷体_GB2312" w:cs="Lucida Sans"/>
      <w:sz w:val="24"/>
    </w:rPr>
  </w:style>
  <w:style w:type="paragraph" w:customStyle="1" w:styleId="79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792">
    <w:name w:val="修订2"/>
    <w:qFormat/>
    <w:uiPriority w:val="0"/>
    <w:rPr>
      <w:rFonts w:ascii="Times New Roman" w:hAnsi="Times New Roman" w:eastAsia="宋体" w:cs="Times New Roman"/>
      <w:kern w:val="2"/>
      <w:sz w:val="21"/>
      <w:lang w:val="en-US" w:eastAsia="zh-CN" w:bidi="ar-SA"/>
    </w:rPr>
  </w:style>
  <w:style w:type="paragraph" w:customStyle="1" w:styleId="79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794">
    <w:name w:val="五级条标题"/>
    <w:basedOn w:val="720"/>
    <w:next w:val="527"/>
    <w:qFormat/>
    <w:uiPriority w:val="0"/>
    <w:pPr>
      <w:tabs>
        <w:tab w:val="left" w:pos="3360"/>
        <w:tab w:val="clear" w:pos="2940"/>
      </w:tabs>
      <w:ind w:left="3360"/>
      <w:outlineLvl w:val="6"/>
    </w:pPr>
  </w:style>
  <w:style w:type="paragraph" w:customStyle="1" w:styleId="795">
    <w:name w:val="索引 11"/>
    <w:basedOn w:val="1"/>
    <w:next w:val="1"/>
    <w:qFormat/>
    <w:uiPriority w:val="99"/>
    <w:pPr>
      <w:adjustRightInd/>
      <w:spacing w:line="360" w:lineRule="auto"/>
    </w:pPr>
    <w:rPr>
      <w:rFonts w:ascii="仿宋_GB2312" w:eastAsia="仿宋_GB2312"/>
      <w:sz w:val="24"/>
      <w:szCs w:val="20"/>
    </w:rPr>
  </w:style>
  <w:style w:type="paragraph" w:customStyle="1" w:styleId="796">
    <w:name w:val="Char Char11 Char Char Char"/>
    <w:basedOn w:val="1"/>
    <w:qFormat/>
    <w:uiPriority w:val="0"/>
    <w:pPr>
      <w:spacing w:line="360" w:lineRule="auto"/>
    </w:pPr>
    <w:rPr>
      <w:szCs w:val="20"/>
    </w:rPr>
  </w:style>
  <w:style w:type="paragraph" w:customStyle="1" w:styleId="7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9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9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80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0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802">
    <w:name w:val="_标题2"/>
    <w:basedOn w:val="665"/>
    <w:next w:val="66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80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804">
    <w:name w:val="表格（小）"/>
    <w:basedOn w:val="1"/>
    <w:qFormat/>
    <w:uiPriority w:val="0"/>
    <w:pPr>
      <w:adjustRightInd/>
      <w:snapToGrid w:val="0"/>
      <w:spacing w:line="300" w:lineRule="auto"/>
    </w:pPr>
    <w:rPr>
      <w:rFonts w:eastAsia="仿宋"/>
      <w:szCs w:val="21"/>
    </w:rPr>
  </w:style>
  <w:style w:type="paragraph" w:customStyle="1" w:styleId="80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06">
    <w:name w:val="单元格居中"/>
    <w:basedOn w:val="1"/>
    <w:qFormat/>
    <w:uiPriority w:val="0"/>
    <w:pPr>
      <w:adjustRightInd/>
      <w:spacing w:line="360" w:lineRule="auto"/>
      <w:jc w:val="center"/>
    </w:pPr>
    <w:rPr>
      <w:sz w:val="24"/>
    </w:rPr>
  </w:style>
  <w:style w:type="paragraph" w:customStyle="1" w:styleId="807">
    <w:name w:val="Char19"/>
    <w:basedOn w:val="1"/>
    <w:qFormat/>
    <w:uiPriority w:val="0"/>
    <w:pPr>
      <w:adjustRightInd/>
    </w:pPr>
    <w:rPr>
      <w:szCs w:val="20"/>
    </w:rPr>
  </w:style>
  <w:style w:type="paragraph" w:customStyle="1" w:styleId="80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80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10">
    <w:name w:val="Char Char Char Char Char Char Char"/>
    <w:basedOn w:val="1"/>
    <w:qFormat/>
    <w:uiPriority w:val="0"/>
    <w:rPr>
      <w:rFonts w:ascii="仿宋_GB2312" w:eastAsia="仿宋_GB2312"/>
      <w:b/>
      <w:sz w:val="32"/>
      <w:szCs w:val="32"/>
    </w:rPr>
  </w:style>
  <w:style w:type="paragraph" w:customStyle="1" w:styleId="81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81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3">
    <w:name w:val="带编号样式"/>
    <w:basedOn w:val="814"/>
    <w:qFormat/>
    <w:uiPriority w:val="0"/>
    <w:pPr>
      <w:tabs>
        <w:tab w:val="left" w:pos="840"/>
      </w:tabs>
      <w:snapToGrid w:val="0"/>
      <w:ind w:left="840" w:hanging="420" w:firstLineChars="0"/>
    </w:pPr>
    <w:rPr>
      <w:rFonts w:ascii="仿宋_GB2312" w:eastAsia="仿宋_GB2312"/>
      <w:color w:val="000000"/>
    </w:rPr>
  </w:style>
  <w:style w:type="paragraph" w:customStyle="1" w:styleId="814">
    <w:name w:val="文本正文 Char"/>
    <w:basedOn w:val="1"/>
    <w:qFormat/>
    <w:uiPriority w:val="0"/>
    <w:pPr>
      <w:spacing w:line="360" w:lineRule="auto"/>
      <w:ind w:firstLine="200" w:firstLineChars="200"/>
    </w:pPr>
    <w:rPr>
      <w:kern w:val="0"/>
      <w:sz w:val="24"/>
      <w:szCs w:val="20"/>
    </w:rPr>
  </w:style>
  <w:style w:type="paragraph" w:customStyle="1" w:styleId="81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816">
    <w:name w:val="Char2 Char Char Char"/>
    <w:basedOn w:val="1"/>
    <w:qFormat/>
    <w:uiPriority w:val="0"/>
    <w:rPr>
      <w:rFonts w:ascii="仿宋_GB2312" w:eastAsia="仿宋_GB2312"/>
      <w:b/>
      <w:sz w:val="32"/>
      <w:szCs w:val="32"/>
    </w:rPr>
  </w:style>
  <w:style w:type="paragraph" w:customStyle="1" w:styleId="8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18">
    <w:name w:val="Plain Text1"/>
    <w:basedOn w:val="1"/>
    <w:qFormat/>
    <w:uiPriority w:val="7"/>
    <w:pPr>
      <w:adjustRightInd/>
    </w:pPr>
    <w:rPr>
      <w:rFonts w:ascii="宋体" w:hAnsi="Courier New"/>
    </w:rPr>
  </w:style>
  <w:style w:type="paragraph" w:customStyle="1" w:styleId="819">
    <w:name w:val="样式 正文文本缩进 + 段前: 2 字符"/>
    <w:basedOn w:val="1"/>
    <w:qFormat/>
    <w:uiPriority w:val="0"/>
    <w:pPr>
      <w:adjustRightInd/>
      <w:ind w:left="420" w:leftChars="200"/>
      <w:jc w:val="left"/>
    </w:pPr>
    <w:rPr>
      <w:sz w:val="28"/>
      <w:szCs w:val="20"/>
      <w:lang w:eastAsia="zh-TW"/>
    </w:rPr>
  </w:style>
  <w:style w:type="paragraph" w:customStyle="1" w:styleId="82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21">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82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23">
    <w:name w:val="Char Char1 Char Char1 Char Char1"/>
    <w:basedOn w:val="1"/>
    <w:qFormat/>
    <w:uiPriority w:val="0"/>
    <w:pPr>
      <w:tabs>
        <w:tab w:val="left" w:pos="840"/>
      </w:tabs>
      <w:ind w:left="840" w:hanging="420"/>
    </w:pPr>
    <w:rPr>
      <w:rFonts w:ascii="Tahoma" w:hAnsi="Tahoma"/>
      <w:sz w:val="24"/>
    </w:rPr>
  </w:style>
  <w:style w:type="paragraph" w:customStyle="1" w:styleId="824">
    <w:name w:val="封面"/>
    <w:basedOn w:val="1"/>
    <w:qFormat/>
    <w:uiPriority w:val="0"/>
    <w:pPr>
      <w:spacing w:line="360" w:lineRule="atLeast"/>
      <w:jc w:val="right"/>
      <w:textAlignment w:val="baseline"/>
    </w:pPr>
    <w:rPr>
      <w:rFonts w:ascii="Symbol" w:hAnsi="Symbol"/>
      <w:kern w:val="0"/>
      <w:szCs w:val="20"/>
    </w:rPr>
  </w:style>
  <w:style w:type="paragraph" w:customStyle="1" w:styleId="825">
    <w:name w:val="MM Topic 1"/>
    <w:basedOn w:val="4"/>
    <w:qFormat/>
    <w:uiPriority w:val="0"/>
    <w:pPr>
      <w:tabs>
        <w:tab w:val="left" w:pos="840"/>
        <w:tab w:val="clear" w:pos="432"/>
      </w:tabs>
      <w:adjustRightInd/>
      <w:ind w:left="840" w:hanging="420"/>
    </w:pPr>
  </w:style>
  <w:style w:type="paragraph" w:customStyle="1" w:styleId="826">
    <w:name w:val="五级无标题条"/>
    <w:basedOn w:val="1"/>
    <w:qFormat/>
    <w:uiPriority w:val="0"/>
    <w:pPr>
      <w:adjustRightInd/>
    </w:pPr>
  </w:style>
  <w:style w:type="paragraph" w:customStyle="1" w:styleId="827">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8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829">
    <w:name w:val="Char Char1 Char Char Char"/>
    <w:basedOn w:val="1"/>
    <w:qFormat/>
    <w:uiPriority w:val="0"/>
    <w:rPr>
      <w:rFonts w:ascii="仿宋_GB2312" w:eastAsia="仿宋_GB2312"/>
      <w:b/>
      <w:sz w:val="32"/>
      <w:szCs w:val="20"/>
    </w:rPr>
  </w:style>
  <w:style w:type="paragraph" w:customStyle="1" w:styleId="8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31">
    <w:name w:val="正文（标题三）"/>
    <w:basedOn w:val="1"/>
    <w:qFormat/>
    <w:uiPriority w:val="0"/>
    <w:pPr>
      <w:spacing w:line="360" w:lineRule="auto"/>
      <w:ind w:firstLine="200" w:firstLineChars="200"/>
    </w:pPr>
    <w:rPr>
      <w:sz w:val="24"/>
    </w:rPr>
  </w:style>
  <w:style w:type="paragraph" w:customStyle="1" w:styleId="8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33">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83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83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83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83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838">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39">
    <w:name w:val="Char Char1 Char"/>
    <w:basedOn w:val="1"/>
    <w:qFormat/>
    <w:uiPriority w:val="0"/>
    <w:rPr>
      <w:rFonts w:ascii="仿宋_GB2312" w:eastAsia="仿宋_GB2312"/>
      <w:b/>
      <w:sz w:val="32"/>
      <w:szCs w:val="32"/>
    </w:rPr>
  </w:style>
  <w:style w:type="paragraph" w:customStyle="1" w:styleId="84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4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84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3">
    <w:name w:val="Char Char Char Char Char Char Char Char Char Char"/>
    <w:basedOn w:val="1"/>
    <w:qFormat/>
    <w:uiPriority w:val="0"/>
    <w:rPr>
      <w:rFonts w:ascii="仿宋_GB2312" w:eastAsia="仿宋_GB2312"/>
      <w:b/>
      <w:sz w:val="32"/>
      <w:szCs w:val="32"/>
    </w:rPr>
  </w:style>
  <w:style w:type="paragraph" w:customStyle="1" w:styleId="84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846">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847">
    <w:name w:val="Char1 Char Char Char5"/>
    <w:basedOn w:val="1"/>
    <w:qFormat/>
    <w:uiPriority w:val="0"/>
    <w:pPr>
      <w:adjustRightInd/>
      <w:ind w:firstLine="200" w:firstLineChars="200"/>
    </w:pPr>
    <w:rPr>
      <w:rFonts w:ascii="Tahoma" w:hAnsi="Tahoma"/>
      <w:sz w:val="24"/>
      <w:szCs w:val="20"/>
    </w:rPr>
  </w:style>
  <w:style w:type="paragraph" w:customStyle="1" w:styleId="848">
    <w:name w:val="_Style 11"/>
    <w:basedOn w:val="1"/>
    <w:qFormat/>
    <w:uiPriority w:val="34"/>
    <w:pPr>
      <w:adjustRightInd/>
      <w:ind w:firstLine="420" w:firstLineChars="200"/>
    </w:pPr>
    <w:rPr>
      <w:rFonts w:eastAsia="仿宋_GB2312"/>
      <w:sz w:val="28"/>
    </w:rPr>
  </w:style>
  <w:style w:type="paragraph" w:customStyle="1" w:styleId="849">
    <w:name w:val="数字标题5"/>
    <w:basedOn w:val="9"/>
    <w:next w:val="1"/>
    <w:qFormat/>
    <w:uiPriority w:val="0"/>
    <w:pPr>
      <w:tabs>
        <w:tab w:val="left" w:pos="1080"/>
        <w:tab w:val="clear" w:pos="1008"/>
      </w:tabs>
      <w:ind w:left="1080" w:hanging="1080"/>
    </w:pPr>
  </w:style>
  <w:style w:type="paragraph" w:customStyle="1" w:styleId="85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85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85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5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5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56">
    <w:name w:val="数字标题3"/>
    <w:basedOn w:val="7"/>
    <w:next w:val="1"/>
    <w:qFormat/>
    <w:uiPriority w:val="0"/>
    <w:pPr>
      <w:spacing w:line="240" w:lineRule="auto"/>
    </w:pPr>
    <w:rPr>
      <w:sz w:val="28"/>
      <w:szCs w:val="28"/>
    </w:rPr>
  </w:style>
  <w:style w:type="paragraph" w:customStyle="1" w:styleId="85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858">
    <w:name w:val="Char24"/>
    <w:basedOn w:val="1"/>
    <w:qFormat/>
    <w:uiPriority w:val="0"/>
    <w:rPr>
      <w:rFonts w:ascii="仿宋_GB2312" w:eastAsia="仿宋_GB2312"/>
      <w:b/>
      <w:sz w:val="32"/>
      <w:szCs w:val="32"/>
    </w:rPr>
  </w:style>
  <w:style w:type="paragraph" w:customStyle="1" w:styleId="85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60">
    <w:name w:val="样式3"/>
    <w:basedOn w:val="574"/>
    <w:qFormat/>
    <w:uiPriority w:val="0"/>
    <w:pPr>
      <w:spacing w:before="312" w:beforeLines="100"/>
      <w:jc w:val="left"/>
    </w:pPr>
  </w:style>
  <w:style w:type="paragraph" w:customStyle="1" w:styleId="861">
    <w:name w:val="单元格左对齐"/>
    <w:basedOn w:val="1"/>
    <w:qFormat/>
    <w:uiPriority w:val="0"/>
    <w:pPr>
      <w:adjustRightInd/>
      <w:spacing w:line="360" w:lineRule="auto"/>
    </w:pPr>
    <w:rPr>
      <w:sz w:val="24"/>
    </w:rPr>
  </w:style>
  <w:style w:type="paragraph" w:customStyle="1" w:styleId="862">
    <w:name w:val="批注框文本 Char Char"/>
    <w:basedOn w:val="1"/>
    <w:qFormat/>
    <w:uiPriority w:val="0"/>
    <w:pPr>
      <w:adjustRightInd/>
    </w:pPr>
    <w:rPr>
      <w:sz w:val="18"/>
      <w:szCs w:val="20"/>
    </w:rPr>
  </w:style>
  <w:style w:type="paragraph" w:customStyle="1" w:styleId="863">
    <w:name w:val="表文字"/>
    <w:qFormat/>
    <w:uiPriority w:val="0"/>
    <w:rPr>
      <w:rFonts w:ascii="宋体" w:hAnsi="Times New Roman" w:eastAsia="宋体" w:cs="Times New Roman"/>
      <w:kern w:val="2"/>
      <w:lang w:val="en-US" w:eastAsia="zh-CN" w:bidi="ar-SA"/>
    </w:rPr>
  </w:style>
  <w:style w:type="paragraph" w:customStyle="1" w:styleId="864">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8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867">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868">
    <w:name w:val="Char3 Char Char Char11"/>
    <w:basedOn w:val="1"/>
    <w:qFormat/>
    <w:uiPriority w:val="0"/>
    <w:pPr>
      <w:widowControl/>
      <w:adjustRightInd/>
      <w:spacing w:after="160" w:line="240" w:lineRule="exact"/>
      <w:jc w:val="left"/>
    </w:pPr>
    <w:rPr>
      <w:szCs w:val="20"/>
    </w:rPr>
  </w:style>
  <w:style w:type="paragraph" w:customStyle="1" w:styleId="86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70">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871">
    <w:name w:val="表格标题2"/>
    <w:basedOn w:val="691"/>
    <w:qFormat/>
    <w:uiPriority w:val="0"/>
    <w:rPr>
      <w:b/>
    </w:rPr>
  </w:style>
  <w:style w:type="paragraph" w:customStyle="1" w:styleId="87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873">
    <w:name w:val="Char Char Char Char Char Char Char Char Char Char2"/>
    <w:basedOn w:val="1"/>
    <w:qFormat/>
    <w:uiPriority w:val="0"/>
    <w:rPr>
      <w:rFonts w:ascii="仿宋_GB2312" w:eastAsia="仿宋_GB2312"/>
      <w:b/>
      <w:sz w:val="32"/>
      <w:szCs w:val="32"/>
    </w:rPr>
  </w:style>
  <w:style w:type="paragraph" w:customStyle="1" w:styleId="87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75">
    <w:name w:val="2级标题"/>
    <w:basedOn w:val="556"/>
    <w:qFormat/>
    <w:uiPriority w:val="0"/>
    <w:pPr>
      <w:jc w:val="left"/>
      <w:outlineLvl w:val="1"/>
    </w:pPr>
    <w:rPr>
      <w:rFonts w:ascii="Times New Roman" w:hAnsi="Times New Roman" w:eastAsia="仿宋"/>
      <w:sz w:val="30"/>
    </w:rPr>
  </w:style>
  <w:style w:type="paragraph" w:customStyle="1" w:styleId="87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7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8">
    <w:name w:val="Char Char4 Char Char"/>
    <w:basedOn w:val="1"/>
    <w:qFormat/>
    <w:uiPriority w:val="0"/>
    <w:pPr>
      <w:widowControl/>
      <w:adjustRightInd/>
      <w:spacing w:after="160" w:line="240" w:lineRule="exact"/>
      <w:jc w:val="left"/>
    </w:pPr>
  </w:style>
  <w:style w:type="paragraph" w:customStyle="1" w:styleId="87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80">
    <w:name w:val="Char Char1 Char Char Char Char Char Char2"/>
    <w:basedOn w:val="1"/>
    <w:qFormat/>
    <w:uiPriority w:val="0"/>
    <w:rPr>
      <w:rFonts w:ascii="仿宋_GB2312" w:eastAsia="仿宋_GB2312"/>
      <w:b/>
      <w:sz w:val="32"/>
      <w:szCs w:val="20"/>
    </w:rPr>
  </w:style>
  <w:style w:type="paragraph" w:customStyle="1" w:styleId="881">
    <w:name w:val="Char Char11 Char Char Char2"/>
    <w:basedOn w:val="1"/>
    <w:qFormat/>
    <w:uiPriority w:val="0"/>
    <w:pPr>
      <w:spacing w:line="360" w:lineRule="auto"/>
    </w:pPr>
    <w:rPr>
      <w:szCs w:val="20"/>
    </w:rPr>
  </w:style>
  <w:style w:type="paragraph" w:customStyle="1" w:styleId="88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8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84">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8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8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8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88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89">
    <w:name w:val="Char311"/>
    <w:basedOn w:val="1"/>
    <w:qFormat/>
    <w:uiPriority w:val="0"/>
    <w:pPr>
      <w:adjustRightInd/>
      <w:ind w:firstLine="200" w:firstLineChars="200"/>
    </w:pPr>
    <w:rPr>
      <w:rFonts w:ascii="Tahoma" w:hAnsi="Tahoma"/>
      <w:sz w:val="24"/>
      <w:szCs w:val="20"/>
    </w:rPr>
  </w:style>
  <w:style w:type="paragraph" w:customStyle="1" w:styleId="89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89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92">
    <w:name w:val="正文 内标"/>
    <w:basedOn w:val="499"/>
    <w:qFormat/>
    <w:uiPriority w:val="0"/>
    <w:pPr>
      <w:tabs>
        <w:tab w:val="left" w:pos="0"/>
      </w:tabs>
      <w:ind w:left="900" w:firstLine="0" w:firstLineChars="0"/>
    </w:pPr>
  </w:style>
  <w:style w:type="paragraph" w:customStyle="1" w:styleId="893">
    <w:name w:val="Bulleted List"/>
    <w:basedOn w:val="1"/>
    <w:qFormat/>
    <w:uiPriority w:val="0"/>
    <w:pPr>
      <w:tabs>
        <w:tab w:val="left" w:pos="1260"/>
      </w:tabs>
      <w:adjustRightInd/>
      <w:ind w:left="1260" w:hanging="420"/>
    </w:pPr>
  </w:style>
  <w:style w:type="paragraph" w:customStyle="1" w:styleId="894">
    <w:name w:val="样式 左侧:  0.85 厘米"/>
    <w:basedOn w:val="1"/>
    <w:qFormat/>
    <w:uiPriority w:val="2"/>
    <w:pPr>
      <w:adjustRightInd/>
      <w:spacing w:line="360" w:lineRule="auto"/>
    </w:pPr>
    <w:rPr>
      <w:rFonts w:cs="宋体"/>
      <w:sz w:val="24"/>
      <w:szCs w:val="20"/>
    </w:rPr>
  </w:style>
  <w:style w:type="paragraph" w:customStyle="1" w:styleId="895">
    <w:name w:val="Char Char Char Char Char Char Char Char Char Char Char Char1 Char"/>
    <w:basedOn w:val="1"/>
    <w:qFormat/>
    <w:uiPriority w:val="0"/>
    <w:rPr>
      <w:rFonts w:ascii="Tahoma" w:hAnsi="Tahoma" w:cs="仿宋_GB2312"/>
      <w:sz w:val="24"/>
      <w:szCs w:val="20"/>
    </w:rPr>
  </w:style>
  <w:style w:type="paragraph" w:customStyle="1" w:styleId="89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9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9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9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90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90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90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03">
    <w:name w:val="Char31"/>
    <w:basedOn w:val="1"/>
    <w:qFormat/>
    <w:uiPriority w:val="0"/>
    <w:pPr>
      <w:adjustRightInd/>
    </w:pPr>
    <w:rPr>
      <w:rFonts w:ascii="仿宋_GB2312" w:eastAsia="仿宋_GB2312"/>
      <w:b/>
      <w:sz w:val="32"/>
      <w:szCs w:val="32"/>
    </w:rPr>
  </w:style>
  <w:style w:type="paragraph" w:customStyle="1" w:styleId="90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90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90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07">
    <w:name w:val="Char Char1"/>
    <w:basedOn w:val="1"/>
    <w:qFormat/>
    <w:uiPriority w:val="0"/>
    <w:pPr>
      <w:widowControl/>
      <w:spacing w:after="160" w:line="240" w:lineRule="exact"/>
      <w:jc w:val="left"/>
    </w:pPr>
    <w:rPr>
      <w:rFonts w:eastAsia="仿宋_GB2312"/>
      <w:sz w:val="28"/>
    </w:rPr>
  </w:style>
  <w:style w:type="paragraph" w:customStyle="1" w:styleId="908">
    <w:name w:val="Char21"/>
    <w:basedOn w:val="1"/>
    <w:qFormat/>
    <w:uiPriority w:val="0"/>
    <w:pPr>
      <w:adjustRightInd/>
      <w:ind w:firstLine="200" w:firstLineChars="200"/>
    </w:pPr>
    <w:rPr>
      <w:rFonts w:ascii="仿宋_GB2312" w:eastAsia="仿宋_GB2312"/>
      <w:b/>
      <w:sz w:val="32"/>
      <w:szCs w:val="32"/>
    </w:rPr>
  </w:style>
  <w:style w:type="paragraph" w:customStyle="1" w:styleId="909">
    <w:name w:val="列表段落1"/>
    <w:basedOn w:val="1"/>
    <w:qFormat/>
    <w:uiPriority w:val="34"/>
    <w:pPr>
      <w:adjustRightInd/>
      <w:ind w:right="238" w:firstLine="420"/>
    </w:pPr>
    <w:rPr>
      <w:rFonts w:ascii="Calibri" w:hAnsi="Calibri"/>
      <w:sz w:val="24"/>
    </w:rPr>
  </w:style>
  <w:style w:type="paragraph" w:customStyle="1" w:styleId="91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91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91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91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914">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91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91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91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91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919">
    <w:name w:val="3级标题"/>
    <w:basedOn w:val="875"/>
    <w:qFormat/>
    <w:uiPriority w:val="0"/>
    <w:pPr>
      <w:outlineLvl w:val="2"/>
    </w:pPr>
  </w:style>
  <w:style w:type="paragraph" w:customStyle="1" w:styleId="920">
    <w:name w:val="Char1 Char Char Char3"/>
    <w:basedOn w:val="1"/>
    <w:qFormat/>
    <w:uiPriority w:val="0"/>
    <w:pPr>
      <w:adjustRightInd/>
      <w:ind w:firstLine="200" w:firstLineChars="200"/>
    </w:pPr>
    <w:rPr>
      <w:rFonts w:ascii="Tahoma" w:hAnsi="Tahoma"/>
      <w:sz w:val="24"/>
      <w:szCs w:val="20"/>
    </w:rPr>
  </w:style>
  <w:style w:type="paragraph" w:customStyle="1" w:styleId="921">
    <w:name w:val="U_编号2"/>
    <w:basedOn w:val="1"/>
    <w:qFormat/>
    <w:uiPriority w:val="0"/>
    <w:pPr>
      <w:tabs>
        <w:tab w:val="left" w:pos="785"/>
      </w:tabs>
      <w:adjustRightInd/>
      <w:spacing w:beforeLines="10" w:afterLines="10" w:line="300" w:lineRule="auto"/>
    </w:pPr>
    <w:rPr>
      <w:sz w:val="24"/>
    </w:rPr>
  </w:style>
  <w:style w:type="paragraph" w:customStyle="1" w:styleId="92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923">
    <w:name w:val="MM Empty"/>
    <w:basedOn w:val="1"/>
    <w:qFormat/>
    <w:uiPriority w:val="0"/>
    <w:pPr>
      <w:adjustRightInd/>
    </w:pPr>
  </w:style>
  <w:style w:type="paragraph" w:customStyle="1" w:styleId="924">
    <w:name w:val="正文箭头"/>
    <w:basedOn w:val="673"/>
    <w:qFormat/>
    <w:uiPriority w:val="0"/>
  </w:style>
  <w:style w:type="paragraph" w:customStyle="1" w:styleId="92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6">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927">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28">
    <w:name w:val="_Style 1"/>
    <w:basedOn w:val="1"/>
    <w:qFormat/>
    <w:uiPriority w:val="34"/>
    <w:pPr>
      <w:adjustRightInd/>
      <w:ind w:firstLine="420" w:firstLineChars="200"/>
    </w:pPr>
    <w:rPr>
      <w:rFonts w:eastAsia="仿宋_GB2312"/>
      <w:sz w:val="28"/>
    </w:rPr>
  </w:style>
  <w:style w:type="paragraph" w:customStyle="1" w:styleId="929">
    <w:name w:val="表格 内容"/>
    <w:basedOn w:val="530"/>
    <w:qFormat/>
    <w:uiPriority w:val="0"/>
    <w:rPr>
      <w:b w:val="0"/>
      <w:sz w:val="20"/>
    </w:rPr>
  </w:style>
  <w:style w:type="paragraph" w:customStyle="1" w:styleId="93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3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3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3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3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3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36">
    <w:name w:val="Char Char112"/>
    <w:basedOn w:val="1"/>
    <w:qFormat/>
    <w:uiPriority w:val="6"/>
    <w:pPr>
      <w:widowControl/>
      <w:spacing w:after="160" w:line="240" w:lineRule="exact"/>
      <w:jc w:val="left"/>
    </w:pPr>
    <w:rPr>
      <w:rFonts w:eastAsia="仿宋_GB2312"/>
      <w:sz w:val="28"/>
    </w:rPr>
  </w:style>
  <w:style w:type="paragraph" w:customStyle="1" w:styleId="937">
    <w:name w:val="正文 图"/>
    <w:basedOn w:val="560"/>
    <w:qFormat/>
    <w:uiPriority w:val="0"/>
    <w:pPr>
      <w:adjustRightInd/>
      <w:spacing w:before="0"/>
      <w:ind w:firstLine="0"/>
      <w:jc w:val="center"/>
    </w:pPr>
    <w:rPr>
      <w:rFonts w:ascii="微软雅黑" w:hAnsi="微软雅黑"/>
    </w:rPr>
  </w:style>
  <w:style w:type="paragraph" w:customStyle="1" w:styleId="93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3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40">
    <w:name w:val="Thf"/>
    <w:basedOn w:val="741"/>
    <w:qFormat/>
    <w:uiPriority w:val="0"/>
    <w:pPr>
      <w:ind w:left="0"/>
    </w:pPr>
  </w:style>
  <w:style w:type="paragraph" w:customStyle="1" w:styleId="94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4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43">
    <w:name w:val="注释"/>
    <w:basedOn w:val="1"/>
    <w:qFormat/>
    <w:uiPriority w:val="0"/>
    <w:pPr>
      <w:adjustRightInd/>
      <w:spacing w:line="360" w:lineRule="auto"/>
      <w:ind w:firstLine="480"/>
    </w:pPr>
    <w:rPr>
      <w:sz w:val="24"/>
    </w:rPr>
  </w:style>
  <w:style w:type="paragraph" w:customStyle="1" w:styleId="944">
    <w:name w:val="列出段落111"/>
    <w:basedOn w:val="1"/>
    <w:qFormat/>
    <w:uiPriority w:val="34"/>
    <w:pPr>
      <w:ind w:firstLine="420" w:firstLineChars="200"/>
    </w:pPr>
  </w:style>
  <w:style w:type="paragraph" w:customStyle="1" w:styleId="945">
    <w:name w:val="_Style 947"/>
    <w:basedOn w:val="1"/>
    <w:next w:val="135"/>
    <w:qFormat/>
    <w:uiPriority w:val="34"/>
    <w:pPr>
      <w:adjustRightInd/>
      <w:ind w:firstLine="420" w:firstLineChars="200"/>
    </w:pPr>
  </w:style>
  <w:style w:type="paragraph" w:customStyle="1" w:styleId="94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7">
    <w:name w:val="纯文本2"/>
    <w:basedOn w:val="1"/>
    <w:qFormat/>
    <w:uiPriority w:val="0"/>
    <w:pPr>
      <w:adjustRightInd/>
      <w:snapToGrid w:val="0"/>
      <w:jc w:val="left"/>
    </w:pPr>
    <w:rPr>
      <w:rFonts w:ascii="Century Gothic" w:hAnsi="楷体_GB2312" w:eastAsia="Century Gothic"/>
      <w:szCs w:val="20"/>
    </w:rPr>
  </w:style>
  <w:style w:type="paragraph" w:customStyle="1" w:styleId="94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4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0">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1">
    <w:name w:val="Blockquote"/>
    <w:basedOn w:val="1"/>
    <w:qFormat/>
    <w:uiPriority w:val="0"/>
    <w:pPr>
      <w:autoSpaceDE w:val="0"/>
      <w:autoSpaceDN w:val="0"/>
      <w:spacing w:before="100" w:after="100"/>
      <w:ind w:left="360" w:right="360"/>
      <w:jc w:val="left"/>
    </w:pPr>
    <w:rPr>
      <w:kern w:val="0"/>
      <w:sz w:val="24"/>
      <w:szCs w:val="20"/>
    </w:rPr>
  </w:style>
  <w:style w:type="paragraph" w:customStyle="1" w:styleId="952">
    <w:name w:val="p1"/>
    <w:basedOn w:val="1"/>
    <w:qFormat/>
    <w:uiPriority w:val="0"/>
    <w:pPr>
      <w:widowControl/>
      <w:adjustRightInd/>
      <w:jc w:val="left"/>
    </w:pPr>
    <w:rPr>
      <w:rFonts w:ascii=".PingFang SC" w:eastAsia=".PingFang SC"/>
      <w:color w:val="454545"/>
      <w:kern w:val="0"/>
      <w:sz w:val="18"/>
      <w:szCs w:val="18"/>
    </w:rPr>
  </w:style>
  <w:style w:type="paragraph" w:customStyle="1" w:styleId="953">
    <w:name w:val="Table Paragraph"/>
    <w:basedOn w:val="1"/>
    <w:qFormat/>
    <w:uiPriority w:val="0"/>
    <w:pPr>
      <w:adjustRightInd/>
      <w:jc w:val="left"/>
    </w:pPr>
    <w:rPr>
      <w:rFonts w:ascii="Calibri" w:hAnsi="Calibri"/>
      <w:kern w:val="0"/>
      <w:sz w:val="22"/>
      <w:szCs w:val="22"/>
      <w:lang w:eastAsia="en-US"/>
    </w:rPr>
  </w:style>
  <w:style w:type="paragraph" w:customStyle="1" w:styleId="954">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957">
    <w:name w:val="投标正文"/>
    <w:basedOn w:val="1"/>
    <w:qFormat/>
    <w:uiPriority w:val="0"/>
    <w:pPr>
      <w:spacing w:line="360" w:lineRule="auto"/>
      <w:ind w:firstLine="200" w:firstLineChars="200"/>
    </w:pPr>
    <w:rPr>
      <w:rFonts w:ascii="宋体" w:hAnsi="Calibri"/>
      <w:sz w:val="24"/>
    </w:rPr>
  </w:style>
  <w:style w:type="paragraph" w:customStyle="1" w:styleId="958">
    <w:name w:val="BodyText1I2"/>
    <w:basedOn w:val="959"/>
    <w:qFormat/>
    <w:uiPriority w:val="0"/>
    <w:pPr>
      <w:spacing w:line="520" w:lineRule="exact"/>
      <w:ind w:left="570" w:firstLine="420"/>
      <w:jc w:val="both"/>
      <w:textAlignment w:val="baseline"/>
    </w:pPr>
  </w:style>
  <w:style w:type="paragraph" w:customStyle="1" w:styleId="959">
    <w:name w:val="BodyTextIndent"/>
    <w:basedOn w:val="1"/>
    <w:qFormat/>
    <w:uiPriority w:val="0"/>
    <w:pPr>
      <w:spacing w:line="520" w:lineRule="exact"/>
      <w:ind w:left="570"/>
      <w:jc w:val="both"/>
      <w:textAlignment w:val="baseline"/>
    </w:pPr>
    <w:rPr>
      <w:rFonts w:ascii="方正仿宋简体" w:hAnsi="创艺简仿宋" w:eastAsia="方正仿宋简体"/>
      <w:sz w:val="24"/>
      <w:lang w:val="en-US" w:eastAsia="zh-CN" w:bidi="ar-SA"/>
    </w:rPr>
  </w:style>
  <w:style w:type="table" w:customStyle="1" w:styleId="960">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6">
    <w:name w:val="正文缩进11"/>
    <w:qFormat/>
    <w:uiPriority w:val="0"/>
    <w:pPr>
      <w:widowControl w:val="0"/>
      <w:spacing w:line="360" w:lineRule="auto"/>
      <w:ind w:firstLine="420" w:firstLineChars="200"/>
      <w:jc w:val="both"/>
    </w:pPr>
    <w:rPr>
      <w:rFonts w:ascii="Calibri" w:hAnsi="Calibri" w:eastAsia="仿宋_GB2312" w:cs="Times New Roman"/>
      <w:kern w:val="2"/>
      <w:sz w:val="32"/>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4.xml" Type="http://schemas.openxmlformats.org/officeDocument/2006/relationships/header"/><Relationship Id="rId12" Target="header5.xml" Type="http://schemas.openxmlformats.org/officeDocument/2006/relationships/header"/><Relationship Id="rId13" Target="footer6.xml" Type="http://schemas.openxmlformats.org/officeDocument/2006/relationships/footer"/><Relationship Id="rId14" Target="footer7.xml" Type="http://schemas.openxmlformats.org/officeDocument/2006/relationships/footer"/><Relationship Id="rId15" Target="header6.xml" Type="http://schemas.openxmlformats.org/officeDocument/2006/relationships/header"/><Relationship Id="rId16" Target="header7.xml" Type="http://schemas.openxmlformats.org/officeDocument/2006/relationships/header"/><Relationship Id="rId17" Target="footer8.xml" Type="http://schemas.openxmlformats.org/officeDocument/2006/relationships/footer"/><Relationship Id="rId18" Target="footer9.xml" Type="http://schemas.openxmlformats.org/officeDocument/2006/relationships/footer"/><Relationship Id="rId19" Target="footer10.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media/image1.png" Type="http://schemas.openxmlformats.org/officeDocument/2006/relationships/image"/><Relationship Id="rId22" Target="../customXml/item1.xml" Type="http://schemas.openxmlformats.org/officeDocument/2006/relationships/customXml"/><Relationship Id="rId23" Target="numbering.xml" Type="http://schemas.openxmlformats.org/officeDocument/2006/relationships/numbering"/><Relationship Id="rId24" Target="fontTable.xml" Type="http://schemas.openxmlformats.org/officeDocument/2006/relationships/fontTable"/><Relationship Id="rId25" Target="people.xml" Type="http://schemas.microsoft.com/office/2011/relationships/peop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95</Pages>
  <Words>9459</Words>
  <Characters>53917</Characters>
  <Lines>449</Lines>
  <Paragraphs>126</Paragraphs>
  <TotalTime>17</TotalTime>
  <ScaleCrop>false</ScaleCrop>
  <LinksUpToDate>false</LinksUpToDate>
  <CharactersWithSpaces>63250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WPS_1701756769</cp:lastModifiedBy>
  <cp:lastPrinted>2022-01-26T01:37:00Z</cp:lastPrinted>
  <dcterms:modified xsi:type="dcterms:W3CDTF">2024-02-26T04:08:17Z</dcterms:modified>
  <cp:revision>2</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B2A74E870B80465587DA75C918F2B3E5_13</vt:lpwstr>
  </property>
</Properties>
</file>