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1"/>
        <w:rPr>
          <w:rFonts w:hint="eastAsia"/>
          <w:color w:val="auto"/>
          <w:highlight w:val="none"/>
        </w:rPr>
      </w:pPr>
      <w:bookmarkStart w:id="489" w:name="_GoBack"/>
      <w:bookmarkEnd w:id="489"/>
    </w:p>
    <w:p>
      <w:pPr>
        <w:adjustRightInd/>
        <w:spacing w:line="360" w:lineRule="auto"/>
        <w:jc w:val="center"/>
        <w:rPr>
          <w:rFonts w:hint="eastAsia" w:ascii="仿宋" w:hAnsi="仿宋" w:eastAsia="仿宋" w:cs="仿宋"/>
          <w:color w:val="auto"/>
          <w:sz w:val="48"/>
          <w:szCs w:val="48"/>
          <w:highlight w:val="none"/>
          <w:u w:val="single"/>
        </w:rPr>
      </w:pPr>
    </w:p>
    <w:p>
      <w:pPr>
        <w:adjustRightInd/>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u w:val="single"/>
        </w:rPr>
        <w:t>公安数字驾驶舱基础模块、开发工具和场景开发模块</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jc w:val="center"/>
        <w:rPr>
          <w:rFonts w:hint="eastAsia" w:ascii="仿宋" w:hAnsi="仿宋" w:eastAsia="仿宋" w:cs="仿宋"/>
          <w:color w:val="auto"/>
          <w:sz w:val="96"/>
          <w:szCs w:val="96"/>
          <w:highlight w:val="none"/>
        </w:rPr>
      </w:pPr>
      <w:r>
        <w:rPr>
          <w:rFonts w:hint="eastAsia" w:ascii="仿宋" w:hAnsi="仿宋" w:eastAsia="仿宋" w:cs="仿宋"/>
          <w:color w:val="auto"/>
          <w:sz w:val="104"/>
          <w:szCs w:val="104"/>
          <w:highlight w:val="none"/>
        </w:rPr>
        <w:t>采购文件</w:t>
      </w:r>
      <w:r>
        <w:rPr>
          <w:rFonts w:hint="eastAsia" w:ascii="仿宋" w:hAnsi="仿宋" w:eastAsia="仿宋" w:cs="仿宋"/>
          <w:color w:val="auto"/>
          <w:sz w:val="96"/>
          <w:szCs w:val="96"/>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p>
    <w:p>
      <w:pPr>
        <w:pStyle w:val="2"/>
        <w:rPr>
          <w:rFonts w:hint="eastAsia" w:ascii="仿宋" w:eastAsia="仿宋" w:cs="仿宋"/>
          <w:color w:val="auto"/>
          <w:highlight w:val="none"/>
        </w:rPr>
      </w:pP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采购方式：竞争性磋商</w:t>
      </w:r>
    </w:p>
    <w:p>
      <w:pPr>
        <w:snapToGrid w:val="0"/>
        <w:spacing w:line="360" w:lineRule="auto"/>
        <w:jc w:val="cente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single"/>
        </w:rPr>
        <w:t xml:space="preserve">HMZB20221110 </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napToGrid w:val="0"/>
        <w:spacing w:line="360" w:lineRule="auto"/>
        <w:ind w:firstLine="2560" w:firstLineChars="8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采   购  人：</w:t>
      </w:r>
      <w:r>
        <w:rPr>
          <w:rFonts w:hint="eastAsia" w:ascii="仿宋" w:hAnsi="仿宋" w:eastAsia="仿宋" w:cs="仿宋"/>
          <w:color w:val="auto"/>
          <w:sz w:val="32"/>
          <w:szCs w:val="32"/>
          <w:highlight w:val="none"/>
          <w:u w:val="single"/>
        </w:rPr>
        <w:t xml:space="preserve">温州市公安局 </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采购代理机构</w:t>
      </w:r>
      <w:r>
        <w:rPr>
          <w:rFonts w:hint="eastAsia" w:ascii="仿宋" w:hAnsi="仿宋" w:eastAsia="仿宋" w:cs="仿宋"/>
          <w:color w:val="auto"/>
          <w:sz w:val="32"/>
          <w:szCs w:val="32"/>
          <w:highlight w:val="none"/>
        </w:rPr>
        <w:t>：</w:t>
      </w:r>
      <w:r>
        <w:rPr>
          <w:rFonts w:hint="eastAsia" w:ascii="仿宋" w:hAnsi="仿宋" w:eastAsia="仿宋" w:cs="仿宋"/>
          <w:bCs/>
          <w:color w:val="auto"/>
          <w:sz w:val="32"/>
          <w:szCs w:val="32"/>
          <w:highlight w:val="none"/>
          <w:u w:val="single"/>
        </w:rPr>
        <w:t>温州市华明招标代理有限公司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二〇二三年一月</w:t>
      </w:r>
    </w:p>
    <w:p>
      <w:pPr>
        <w:spacing w:line="360" w:lineRule="auto"/>
        <w:jc w:val="center"/>
        <w:rPr>
          <w:rFonts w:hint="eastAsia" w:ascii="仿宋" w:hAnsi="仿宋" w:eastAsia="仿宋" w:cs="仿宋"/>
          <w:b/>
          <w:color w:val="auto"/>
          <w:sz w:val="48"/>
          <w:szCs w:val="48"/>
          <w:highlight w:val="none"/>
        </w:rPr>
      </w:pPr>
      <w:bookmarkStart w:id="0" w:name="_Hlt67893495"/>
      <w:bookmarkEnd w:id="0"/>
      <w:r>
        <w:rPr>
          <w:rFonts w:hint="eastAsia" w:ascii="仿宋" w:hAnsi="仿宋" w:eastAsia="仿宋" w:cs="仿宋"/>
          <w:b/>
          <w:color w:val="auto"/>
          <w:sz w:val="48"/>
          <w:szCs w:val="48"/>
          <w:highlight w:val="none"/>
        </w:rPr>
        <w:br w:type="page"/>
      </w:r>
      <w:r>
        <w:rPr>
          <w:rFonts w:hint="eastAsia" w:ascii="仿宋" w:hAnsi="仿宋" w:eastAsia="仿宋" w:cs="仿宋"/>
          <w:b/>
          <w:color w:val="auto"/>
          <w:sz w:val="48"/>
          <w:szCs w:val="48"/>
          <w:highlight w:val="none"/>
        </w:rPr>
        <w:t>目  录</w:t>
      </w:r>
    </w:p>
    <w:p>
      <w:pPr>
        <w:pStyle w:val="43"/>
        <w:tabs>
          <w:tab w:val="right" w:leader="dot" w:pos="9070"/>
        </w:tabs>
        <w:spacing w:line="360" w:lineRule="auto"/>
        <w:rPr>
          <w:color w:val="auto"/>
          <w:sz w:val="24"/>
          <w:szCs w:val="3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"1-3"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_Toc19983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第一部分 采购公告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_Toc19983 \h </w:instrText>
      </w:r>
      <w:r>
        <w:rPr>
          <w:color w:val="auto"/>
          <w:sz w:val="24"/>
          <w:szCs w:val="32"/>
          <w:highlight w:val="none"/>
        </w:rPr>
        <w:fldChar w:fldCharType="separate"/>
      </w:r>
      <w:r>
        <w:rPr>
          <w:color w:val="auto"/>
          <w:sz w:val="24"/>
          <w:szCs w:val="32"/>
          <w:highlight w:val="none"/>
        </w:rPr>
        <w:t>3</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_Toc26716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第二部分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_Toc26716 \h </w:instrText>
      </w:r>
      <w:r>
        <w:rPr>
          <w:color w:val="auto"/>
          <w:sz w:val="24"/>
          <w:szCs w:val="32"/>
          <w:highlight w:val="none"/>
        </w:rPr>
        <w:fldChar w:fldCharType="separate"/>
      </w:r>
      <w:r>
        <w:rPr>
          <w:color w:val="auto"/>
          <w:sz w:val="24"/>
          <w:szCs w:val="32"/>
          <w:highlight w:val="none"/>
        </w:rPr>
        <w:t>7</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_Toc3019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前附表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_Toc3019 \h </w:instrText>
      </w:r>
      <w:r>
        <w:rPr>
          <w:color w:val="auto"/>
          <w:sz w:val="24"/>
          <w:szCs w:val="32"/>
          <w:highlight w:val="none"/>
        </w:rPr>
        <w:fldChar w:fldCharType="separate"/>
      </w:r>
      <w:r>
        <w:rPr>
          <w:color w:val="auto"/>
          <w:sz w:val="24"/>
          <w:szCs w:val="32"/>
          <w:highlight w:val="none"/>
        </w:rPr>
        <w:t>7</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3"/>
        <w:tabs>
          <w:tab w:val="right" w:leader="dot" w:pos="9070"/>
        </w:tabs>
        <w:spacing w:line="360" w:lineRule="auto"/>
        <w:ind w:firstLine="480" w:firstLineChars="20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_Toc18105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lang w:val="zh-CN"/>
        </w:rPr>
        <w:t>一、总则</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_Toc18105 \h </w:instrText>
      </w:r>
      <w:r>
        <w:rPr>
          <w:color w:val="auto"/>
          <w:sz w:val="24"/>
          <w:szCs w:val="32"/>
          <w:highlight w:val="none"/>
        </w:rPr>
        <w:fldChar w:fldCharType="separate"/>
      </w:r>
      <w:r>
        <w:rPr>
          <w:color w:val="auto"/>
          <w:sz w:val="24"/>
          <w:szCs w:val="32"/>
          <w:highlight w:val="none"/>
        </w:rPr>
        <w:t>11</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3"/>
        <w:tabs>
          <w:tab w:val="right" w:leader="dot" w:pos="9070"/>
        </w:tabs>
        <w:spacing w:line="360" w:lineRule="auto"/>
        <w:ind w:firstLine="480" w:firstLineChars="20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_Toc13895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lang w:val="zh-CN"/>
        </w:rPr>
        <w:t>二、采购文件的构成、澄清、修改</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_Toc13895 \h </w:instrText>
      </w:r>
      <w:r>
        <w:rPr>
          <w:color w:val="auto"/>
          <w:sz w:val="24"/>
          <w:szCs w:val="32"/>
          <w:highlight w:val="none"/>
        </w:rPr>
        <w:fldChar w:fldCharType="separate"/>
      </w:r>
      <w:r>
        <w:rPr>
          <w:color w:val="auto"/>
          <w:sz w:val="24"/>
          <w:szCs w:val="32"/>
          <w:highlight w:val="none"/>
        </w:rPr>
        <w:t>15</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ind w:left="0" w:leftChars="0" w:firstLine="480" w:firstLineChars="20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_Toc22850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lang w:val="zh-CN"/>
        </w:rPr>
        <w:t>三、磋商响应</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_Toc22850 \h </w:instrText>
      </w:r>
      <w:r>
        <w:rPr>
          <w:color w:val="auto"/>
          <w:sz w:val="24"/>
          <w:szCs w:val="32"/>
          <w:highlight w:val="none"/>
        </w:rPr>
        <w:fldChar w:fldCharType="separate"/>
      </w:r>
      <w:r>
        <w:rPr>
          <w:color w:val="auto"/>
          <w:sz w:val="24"/>
          <w:szCs w:val="32"/>
          <w:highlight w:val="none"/>
        </w:rPr>
        <w:t>16</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_Toc9641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四、响应文件开启、资格审查与信用信息查询</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_Toc9641 \h </w:instrText>
      </w:r>
      <w:r>
        <w:rPr>
          <w:color w:val="auto"/>
          <w:sz w:val="24"/>
          <w:szCs w:val="32"/>
          <w:highlight w:val="none"/>
        </w:rPr>
        <w:fldChar w:fldCharType="separate"/>
      </w:r>
      <w:r>
        <w:rPr>
          <w:color w:val="auto"/>
          <w:sz w:val="24"/>
          <w:szCs w:val="32"/>
          <w:highlight w:val="none"/>
        </w:rPr>
        <w:t>19</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_Toc4576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五、评审</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_Toc4576 \h </w:instrText>
      </w:r>
      <w:r>
        <w:rPr>
          <w:color w:val="auto"/>
          <w:sz w:val="24"/>
          <w:szCs w:val="32"/>
          <w:highlight w:val="none"/>
        </w:rPr>
        <w:fldChar w:fldCharType="separate"/>
      </w:r>
      <w:r>
        <w:rPr>
          <w:color w:val="auto"/>
          <w:sz w:val="24"/>
          <w:szCs w:val="32"/>
          <w:highlight w:val="none"/>
        </w:rPr>
        <w:t>21</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_Toc29955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六、评审结果确定</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_Toc29955 \h </w:instrText>
      </w:r>
      <w:r>
        <w:rPr>
          <w:color w:val="auto"/>
          <w:sz w:val="24"/>
          <w:szCs w:val="32"/>
          <w:highlight w:val="none"/>
        </w:rPr>
        <w:fldChar w:fldCharType="separate"/>
      </w:r>
      <w:r>
        <w:rPr>
          <w:color w:val="auto"/>
          <w:sz w:val="24"/>
          <w:szCs w:val="32"/>
          <w:highlight w:val="none"/>
        </w:rPr>
        <w:t>21</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_Toc11698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七、合同授予</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_Toc11698 \h </w:instrText>
      </w:r>
      <w:r>
        <w:rPr>
          <w:color w:val="auto"/>
          <w:sz w:val="24"/>
          <w:szCs w:val="32"/>
          <w:highlight w:val="none"/>
        </w:rPr>
        <w:fldChar w:fldCharType="separate"/>
      </w:r>
      <w:r>
        <w:rPr>
          <w:color w:val="auto"/>
          <w:sz w:val="24"/>
          <w:szCs w:val="32"/>
          <w:highlight w:val="none"/>
        </w:rPr>
        <w:t>21</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_Toc4363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八、电子交易活动的中止</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_Toc4363 \h </w:instrText>
      </w:r>
      <w:r>
        <w:rPr>
          <w:color w:val="auto"/>
          <w:sz w:val="24"/>
          <w:szCs w:val="32"/>
          <w:highlight w:val="none"/>
        </w:rPr>
        <w:fldChar w:fldCharType="separate"/>
      </w:r>
      <w:r>
        <w:rPr>
          <w:color w:val="auto"/>
          <w:sz w:val="24"/>
          <w:szCs w:val="32"/>
          <w:highlight w:val="none"/>
        </w:rPr>
        <w:t>22</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_Toc25540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九、验收</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_Toc25540 \h </w:instrText>
      </w:r>
      <w:r>
        <w:rPr>
          <w:color w:val="auto"/>
          <w:sz w:val="24"/>
          <w:szCs w:val="32"/>
          <w:highlight w:val="none"/>
        </w:rPr>
        <w:fldChar w:fldCharType="separate"/>
      </w:r>
      <w:r>
        <w:rPr>
          <w:color w:val="auto"/>
          <w:sz w:val="24"/>
          <w:szCs w:val="32"/>
          <w:highlight w:val="none"/>
        </w:rPr>
        <w:t>23</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_Toc18048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第三部分   采购需求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_Toc18048 \h </w:instrText>
      </w:r>
      <w:r>
        <w:rPr>
          <w:color w:val="auto"/>
          <w:sz w:val="24"/>
          <w:szCs w:val="32"/>
          <w:highlight w:val="none"/>
        </w:rPr>
        <w:fldChar w:fldCharType="separate"/>
      </w:r>
      <w:r>
        <w:rPr>
          <w:color w:val="auto"/>
          <w:sz w:val="24"/>
          <w:szCs w:val="32"/>
          <w:highlight w:val="none"/>
        </w:rPr>
        <w:t>24</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_Toc23043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第四部分   评审办法</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_Toc23043 \h </w:instrText>
      </w:r>
      <w:r>
        <w:rPr>
          <w:color w:val="auto"/>
          <w:sz w:val="24"/>
          <w:szCs w:val="32"/>
          <w:highlight w:val="none"/>
        </w:rPr>
        <w:fldChar w:fldCharType="separate"/>
      </w:r>
      <w:r>
        <w:rPr>
          <w:color w:val="auto"/>
          <w:sz w:val="24"/>
          <w:szCs w:val="32"/>
          <w:highlight w:val="none"/>
        </w:rPr>
        <w:t>24</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_Toc18180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评审办法前附表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_Toc18180 \h </w:instrText>
      </w:r>
      <w:r>
        <w:rPr>
          <w:color w:val="auto"/>
          <w:sz w:val="24"/>
          <w:szCs w:val="32"/>
          <w:highlight w:val="none"/>
        </w:rPr>
        <w:fldChar w:fldCharType="separate"/>
      </w:r>
      <w:r>
        <w:rPr>
          <w:color w:val="auto"/>
          <w:sz w:val="24"/>
          <w:szCs w:val="32"/>
          <w:highlight w:val="none"/>
        </w:rPr>
        <w:t>33</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_Toc26288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1.评审方法</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_Toc26288 \h </w:instrText>
      </w:r>
      <w:r>
        <w:rPr>
          <w:color w:val="auto"/>
          <w:sz w:val="24"/>
          <w:szCs w:val="32"/>
          <w:highlight w:val="none"/>
        </w:rPr>
        <w:fldChar w:fldCharType="separate"/>
      </w:r>
      <w:r>
        <w:rPr>
          <w:color w:val="auto"/>
          <w:sz w:val="24"/>
          <w:szCs w:val="32"/>
          <w:highlight w:val="none"/>
        </w:rPr>
        <w:t>39</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_Toc307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2.评审程序及标准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_Toc307 \h </w:instrText>
      </w:r>
      <w:r>
        <w:rPr>
          <w:color w:val="auto"/>
          <w:sz w:val="24"/>
          <w:szCs w:val="32"/>
          <w:highlight w:val="none"/>
        </w:rPr>
        <w:fldChar w:fldCharType="separate"/>
      </w:r>
      <w:r>
        <w:rPr>
          <w:color w:val="auto"/>
          <w:sz w:val="24"/>
          <w:szCs w:val="32"/>
          <w:highlight w:val="none"/>
        </w:rPr>
        <w:t>39</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_Toc25603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3.评审结果</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_Toc25603 \h </w:instrText>
      </w:r>
      <w:r>
        <w:rPr>
          <w:color w:val="auto"/>
          <w:sz w:val="24"/>
          <w:szCs w:val="32"/>
          <w:highlight w:val="none"/>
        </w:rPr>
        <w:fldChar w:fldCharType="separate"/>
      </w:r>
      <w:r>
        <w:rPr>
          <w:color w:val="auto"/>
          <w:sz w:val="24"/>
          <w:szCs w:val="32"/>
          <w:highlight w:val="none"/>
        </w:rPr>
        <w:t>42</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_Toc12976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4.其他</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_Toc12976 \h </w:instrText>
      </w:r>
      <w:r>
        <w:rPr>
          <w:color w:val="auto"/>
          <w:sz w:val="24"/>
          <w:szCs w:val="32"/>
          <w:highlight w:val="none"/>
        </w:rPr>
        <w:fldChar w:fldCharType="separate"/>
      </w:r>
      <w:r>
        <w:rPr>
          <w:color w:val="auto"/>
          <w:sz w:val="24"/>
          <w:szCs w:val="32"/>
          <w:highlight w:val="none"/>
        </w:rPr>
        <w:t>43</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ind w:left="0" w:leftChars="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_Toc9682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第五部分 拟签订的合同文本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_Toc9682 \h </w:instrText>
      </w:r>
      <w:r>
        <w:rPr>
          <w:color w:val="auto"/>
          <w:sz w:val="24"/>
          <w:szCs w:val="32"/>
          <w:highlight w:val="none"/>
        </w:rPr>
        <w:fldChar w:fldCharType="separate"/>
      </w:r>
      <w:r>
        <w:rPr>
          <w:color w:val="auto"/>
          <w:sz w:val="24"/>
          <w:szCs w:val="32"/>
          <w:highlight w:val="none"/>
        </w:rPr>
        <w:t>44</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ind w:left="0" w:leftChars="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_Toc12650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第六部分 应提交的有关格式范例</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_Toc12650 \h </w:instrText>
      </w:r>
      <w:r>
        <w:rPr>
          <w:color w:val="auto"/>
          <w:sz w:val="24"/>
          <w:szCs w:val="32"/>
          <w:highlight w:val="none"/>
        </w:rPr>
        <w:fldChar w:fldCharType="separate"/>
      </w:r>
      <w:r>
        <w:rPr>
          <w:color w:val="auto"/>
          <w:sz w:val="24"/>
          <w:szCs w:val="32"/>
          <w:highlight w:val="none"/>
        </w:rPr>
        <w:t>44</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_Toc13322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资格文件部分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_Toc13322 \h </w:instrText>
      </w:r>
      <w:r>
        <w:rPr>
          <w:color w:val="auto"/>
          <w:sz w:val="24"/>
          <w:szCs w:val="32"/>
          <w:highlight w:val="none"/>
        </w:rPr>
        <w:fldChar w:fldCharType="separate"/>
      </w:r>
      <w:r>
        <w:rPr>
          <w:color w:val="auto"/>
          <w:sz w:val="24"/>
          <w:szCs w:val="32"/>
          <w:highlight w:val="none"/>
        </w:rPr>
        <w:t>62</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_Toc31209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商务技术文件部分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_Toc31209 \h </w:instrText>
      </w:r>
      <w:r>
        <w:rPr>
          <w:color w:val="auto"/>
          <w:sz w:val="24"/>
          <w:szCs w:val="32"/>
          <w:highlight w:val="none"/>
        </w:rPr>
        <w:fldChar w:fldCharType="separate"/>
      </w:r>
      <w:r>
        <w:rPr>
          <w:color w:val="auto"/>
          <w:sz w:val="24"/>
          <w:szCs w:val="32"/>
          <w:highlight w:val="none"/>
        </w:rPr>
        <w:t>66</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4"/>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_Toc29762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报价文件部分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_Toc29762 \h </w:instrText>
      </w:r>
      <w:r>
        <w:rPr>
          <w:color w:val="auto"/>
          <w:sz w:val="24"/>
          <w:szCs w:val="32"/>
          <w:highlight w:val="none"/>
        </w:rPr>
        <w:fldChar w:fldCharType="separate"/>
      </w:r>
      <w:r>
        <w:rPr>
          <w:color w:val="auto"/>
          <w:sz w:val="24"/>
          <w:szCs w:val="32"/>
          <w:highlight w:val="none"/>
        </w:rPr>
        <w:t>72</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3"/>
        <w:tabs>
          <w:tab w:val="right" w:leader="dot" w:pos="9070"/>
        </w:tabs>
        <w:rPr>
          <w:color w:val="auto"/>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szCs w:val="22"/>
          <w:highlight w:val="none"/>
        </w:rPr>
        <w:fldChar w:fldCharType="end"/>
      </w:r>
      <w:bookmarkStart w:id="1" w:name="第一部分"/>
      <w:bookmarkStart w:id="2" w:name="_Toc91899869"/>
      <w:bookmarkStart w:id="3" w:name="_Toc19983"/>
      <w:r>
        <w:rPr>
          <w:rFonts w:hint="eastAsia" w:ascii="仿宋" w:hAnsi="仿宋" w:eastAsia="仿宋" w:cs="仿宋"/>
          <w:b/>
          <w:color w:val="auto"/>
          <w:sz w:val="36"/>
          <w:szCs w:val="36"/>
          <w:highlight w:val="none"/>
        </w:rPr>
        <w:br w:type="page"/>
      </w:r>
      <w:bookmarkEnd w:id="1"/>
      <w:bookmarkEnd w:id="2"/>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Style w:val="79"/>
          <w:rFonts w:hint="eastAsia" w:ascii="仿宋" w:eastAsia="仿宋" w:cs="仿宋"/>
          <w:color w:val="auto"/>
          <w:highlight w:val="none"/>
        </w:rPr>
        <w:t xml:space="preserve">第一部分 </w:t>
      </w:r>
      <w:bookmarkEnd w:id="3"/>
      <w:r>
        <w:rPr>
          <w:rStyle w:val="79"/>
          <w:rFonts w:hint="eastAsia" w:ascii="仿宋" w:eastAsia="仿宋" w:cs="仿宋"/>
          <w:color w:val="auto"/>
          <w:highlight w:val="none"/>
        </w:rPr>
        <w:t>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公安数字驾驶舱基础模块、开发工具和场景开发模块</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eastAsia="zh-CN"/>
        </w:rPr>
        <w:t>3年2月27日</w:t>
      </w:r>
      <w:r>
        <w:rPr>
          <w:rFonts w:hint="eastAsia" w:ascii="仿宋" w:hAnsi="仿宋" w:eastAsia="仿宋" w:cs="仿宋"/>
          <w:color w:val="auto"/>
          <w:sz w:val="24"/>
          <w:highlight w:val="none"/>
          <w:u w:val="single"/>
        </w:rPr>
        <w:t>14点30 分</w:t>
      </w:r>
      <w:r>
        <w:rPr>
          <w:rFonts w:hint="eastAsia" w:ascii="仿宋" w:hAnsi="仿宋" w:eastAsia="仿宋" w:cs="仿宋"/>
          <w:bCs/>
          <w:color w:val="auto"/>
          <w:sz w:val="24"/>
          <w:highlight w:val="none"/>
          <w:u w:val="singl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递交（上传）响应文件开启时间。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0"/>
        <w:rPr>
          <w:rFonts w:hint="eastAsia" w:ascii="仿宋" w:hAnsi="仿宋" w:eastAsia="仿宋" w:cs="仿宋"/>
          <w:color w:val="auto"/>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u w:val="single"/>
        </w:rPr>
        <w:t xml:space="preserve">HMZB20221110   </w:t>
      </w:r>
      <w:r>
        <w:rPr>
          <w:rFonts w:hint="eastAsia" w:ascii="仿宋" w:hAnsi="仿宋" w:eastAsia="仿宋" w:cs="仿宋"/>
          <w:color w:val="auto"/>
          <w:highlight w:val="none"/>
        </w:rPr>
        <w:t xml:space="preserve"> </w:t>
      </w:r>
    </w:p>
    <w:p>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single"/>
        </w:rPr>
        <w:t xml:space="preserve">公安数字驾驶舱基础模块、开发工具和场景开发模块  </w:t>
      </w:r>
      <w:r>
        <w:rPr>
          <w:rFonts w:hint="eastAsia" w:ascii="仿宋" w:hAnsi="仿宋" w:eastAsia="仿宋" w:cs="仿宋"/>
          <w:color w:val="auto"/>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highlight w:val="none"/>
          <w:u w:val="single"/>
        </w:rPr>
        <w:t xml:space="preserve">  3424500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3418750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u w:val="single"/>
        </w:rPr>
        <w:t>公安数字驾驶舱基础模块、开发工具和场景开发模块。主要内容：包括公安数字驾驶舱基础模块、公安数字驾驶舱开发工具和场景开发模块。详见采购文件第三部分采购需求</w:t>
      </w:r>
      <w:r>
        <w:rPr>
          <w:rFonts w:hint="eastAsia" w:ascii="仿宋" w:hAnsi="仿宋" w:eastAsia="仿宋" w:cs="仿宋"/>
          <w:bCs/>
          <w:snapToGrid/>
          <w:color w:val="auto"/>
          <w:kern w:val="2"/>
          <w:sz w:val="24"/>
          <w:szCs w:val="24"/>
          <w:highlight w:val="none"/>
        </w:rPr>
        <w:t>。</w:t>
      </w:r>
    </w:p>
    <w:p>
      <w:pPr>
        <w:spacing w:line="360" w:lineRule="auto"/>
        <w:ind w:firstLine="48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 xml:space="preserve">标项一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bCs/>
          <w:snapToGrid w:val="0"/>
          <w:color w:val="auto"/>
          <w:kern w:val="28"/>
          <w:sz w:val="24"/>
          <w:szCs w:val="20"/>
          <w:highlight w:val="none"/>
        </w:rPr>
        <w:t>标项名称:</w:t>
      </w:r>
      <w:r>
        <w:rPr>
          <w:rFonts w:hint="eastAsia" w:ascii="仿宋" w:hAnsi="仿宋" w:eastAsia="仿宋" w:cs="仿宋"/>
          <w:snapToGrid w:val="0"/>
          <w:color w:val="auto"/>
          <w:kern w:val="28"/>
          <w:sz w:val="24"/>
          <w:szCs w:val="20"/>
          <w:highlight w:val="none"/>
        </w:rPr>
        <w:t xml:space="preserve">公安数字驾驶舱基础模块  </w:t>
      </w:r>
      <w:r>
        <w:rPr>
          <w:rFonts w:hint="eastAsia" w:ascii="仿宋" w:hAnsi="仿宋" w:eastAsia="仿宋" w:cs="仿宋"/>
          <w:b/>
          <w:bCs/>
          <w:snapToGrid w:val="0"/>
          <w:color w:val="auto"/>
          <w:kern w:val="28"/>
          <w:sz w:val="24"/>
          <w:szCs w:val="20"/>
          <w:highlight w:val="none"/>
        </w:rPr>
        <w:t>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数量:</w:t>
      </w:r>
      <w:r>
        <w:rPr>
          <w:rFonts w:hint="eastAsia" w:ascii="仿宋" w:hAnsi="仿宋" w:eastAsia="仿宋" w:cs="仿宋"/>
          <w:snapToGrid w:val="0"/>
          <w:color w:val="auto"/>
          <w:kern w:val="28"/>
          <w:sz w:val="24"/>
          <w:szCs w:val="20"/>
          <w:highlight w:val="none"/>
        </w:rPr>
        <w:t>1</w:t>
      </w:r>
      <w:r>
        <w:rPr>
          <w:rFonts w:hint="eastAsia" w:ascii="仿宋" w:hAnsi="仿宋" w:eastAsia="仿宋" w:cs="仿宋"/>
          <w:b/>
          <w:bCs/>
          <w:snapToGrid w:val="0"/>
          <w:color w:val="auto"/>
          <w:kern w:val="28"/>
          <w:sz w:val="24"/>
          <w:szCs w:val="20"/>
          <w:highlight w:val="non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预算金额（元）: </w:t>
      </w:r>
      <w:r>
        <w:rPr>
          <w:rFonts w:hint="eastAsia" w:ascii="仿宋" w:hAnsi="仿宋" w:eastAsia="仿宋" w:cs="仿宋"/>
          <w:color w:val="auto"/>
          <w:sz w:val="24"/>
          <w:highlight w:val="none"/>
        </w:rPr>
        <w:t>2354500</w:t>
      </w:r>
    </w:p>
    <w:p>
      <w:pPr>
        <w:spacing w:line="360" w:lineRule="auto"/>
        <w:ind w:firstLine="480"/>
        <w:rPr>
          <w:rFonts w:hint="eastAsia" w:ascii="仿宋" w:hAnsi="仿宋" w:eastAsia="仿宋" w:cs="仿宋"/>
          <w:b/>
          <w:bCs/>
          <w:snapToGrid w:val="0"/>
          <w:color w:val="auto"/>
          <w:kern w:val="28"/>
          <w:sz w:val="24"/>
          <w:szCs w:val="20"/>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2354</w:t>
      </w:r>
      <w:r>
        <w:rPr>
          <w:rFonts w:ascii="仿宋" w:hAnsi="仿宋" w:eastAsia="仿宋" w:cs="仿宋"/>
          <w:color w:val="auto"/>
          <w:sz w:val="24"/>
          <w:highlight w:val="none"/>
        </w:rPr>
        <w:t>4</w:t>
      </w:r>
      <w:r>
        <w:rPr>
          <w:rFonts w:hint="eastAsia" w:ascii="仿宋" w:hAnsi="仿宋" w:eastAsia="仿宋" w:cs="仿宋"/>
          <w:color w:val="auto"/>
          <w:sz w:val="24"/>
          <w:highlight w:val="none"/>
        </w:rPr>
        <w:t>00</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简要规格描述或项目基本概况介绍、用途：</w:t>
      </w:r>
      <w:r>
        <w:rPr>
          <w:rFonts w:hint="eastAsia" w:ascii="仿宋" w:hAnsi="仿宋" w:eastAsia="仿宋" w:cs="仿宋"/>
          <w:snapToGrid w:val="0"/>
          <w:color w:val="auto"/>
          <w:kern w:val="28"/>
          <w:sz w:val="24"/>
          <w:szCs w:val="20"/>
          <w:highlight w:val="none"/>
        </w:rPr>
        <w:t>具体详见采购文件第三部分采购需求。</w:t>
      </w:r>
      <w:r>
        <w:rPr>
          <w:rFonts w:hint="eastAsia" w:ascii="仿宋" w:hAnsi="仿宋" w:eastAsia="仿宋" w:cs="仿宋"/>
          <w:b/>
          <w:bCs/>
          <w:snapToGrid w:val="0"/>
          <w:color w:val="auto"/>
          <w:kern w:val="28"/>
          <w:sz w:val="24"/>
          <w:szCs w:val="20"/>
          <w:highlight w:val="none"/>
        </w:rPr>
        <w:t xml:space="preserve">           </w:t>
      </w:r>
    </w:p>
    <w:p>
      <w:pPr>
        <w:spacing w:line="360" w:lineRule="auto"/>
        <w:ind w:firstLine="48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备注：</w:t>
      </w:r>
    </w:p>
    <w:p>
      <w:pPr>
        <w:spacing w:line="360" w:lineRule="auto"/>
        <w:ind w:firstLine="48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 xml:space="preserve">  </w:t>
      </w:r>
    </w:p>
    <w:p>
      <w:pPr>
        <w:spacing w:line="360" w:lineRule="auto"/>
        <w:ind w:firstLine="48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 xml:space="preserve">标项二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bCs/>
          <w:snapToGrid w:val="0"/>
          <w:color w:val="auto"/>
          <w:kern w:val="28"/>
          <w:sz w:val="24"/>
          <w:szCs w:val="20"/>
          <w:highlight w:val="none"/>
        </w:rPr>
        <w:t>标项名称:</w:t>
      </w:r>
      <w:r>
        <w:rPr>
          <w:rFonts w:hint="eastAsia" w:ascii="仿宋" w:hAnsi="仿宋" w:eastAsia="仿宋" w:cs="仿宋"/>
          <w:snapToGrid w:val="0"/>
          <w:color w:val="auto"/>
          <w:kern w:val="28"/>
          <w:sz w:val="24"/>
          <w:szCs w:val="20"/>
          <w:highlight w:val="none"/>
        </w:rPr>
        <w:t>公安数字驾驶舱开发工具和场景开发模块  </w:t>
      </w:r>
      <w:r>
        <w:rPr>
          <w:rFonts w:hint="eastAsia" w:ascii="仿宋" w:hAnsi="仿宋" w:eastAsia="仿宋" w:cs="仿宋"/>
          <w:b/>
          <w:bCs/>
          <w:snapToGrid w:val="0"/>
          <w:color w:val="auto"/>
          <w:kern w:val="28"/>
          <w:sz w:val="24"/>
          <w:szCs w:val="20"/>
          <w:highlight w:val="non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数量:</w:t>
      </w:r>
      <w:r>
        <w:rPr>
          <w:rFonts w:hint="eastAsia" w:ascii="仿宋" w:hAnsi="仿宋" w:eastAsia="仿宋" w:cs="仿宋"/>
          <w:snapToGrid w:val="0"/>
          <w:color w:val="auto"/>
          <w:kern w:val="28"/>
          <w:sz w:val="24"/>
          <w:szCs w:val="20"/>
          <w:highlight w:val="none"/>
        </w:rPr>
        <w:t>1</w:t>
      </w:r>
      <w:r>
        <w:rPr>
          <w:rFonts w:hint="eastAsia" w:ascii="仿宋" w:hAnsi="仿宋" w:eastAsia="仿宋" w:cs="仿宋"/>
          <w:b/>
          <w:bCs/>
          <w:snapToGrid w:val="0"/>
          <w:color w:val="auto"/>
          <w:kern w:val="28"/>
          <w:sz w:val="24"/>
          <w:szCs w:val="20"/>
          <w:highlight w:val="non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预算金额（元）: </w:t>
      </w:r>
      <w:r>
        <w:rPr>
          <w:rFonts w:hint="eastAsia" w:ascii="仿宋" w:hAnsi="仿宋" w:eastAsia="仿宋" w:cs="仿宋"/>
          <w:color w:val="auto"/>
          <w:sz w:val="24"/>
          <w:highlight w:val="none"/>
        </w:rPr>
        <w:t>1070000</w:t>
      </w:r>
    </w:p>
    <w:p>
      <w:pPr>
        <w:spacing w:line="360" w:lineRule="auto"/>
        <w:ind w:firstLine="480"/>
        <w:rPr>
          <w:rFonts w:hint="eastAsia" w:ascii="仿宋" w:hAnsi="仿宋" w:eastAsia="仿宋" w:cs="仿宋"/>
          <w:b/>
          <w:bCs/>
          <w:snapToGrid w:val="0"/>
          <w:color w:val="auto"/>
          <w:kern w:val="28"/>
          <w:sz w:val="24"/>
          <w:szCs w:val="20"/>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1064350</w:t>
      </w:r>
      <w:r>
        <w:rPr>
          <w:rFonts w:hint="eastAsia" w:ascii="仿宋" w:hAnsi="仿宋" w:eastAsia="仿宋" w:cs="仿宋"/>
          <w:b/>
          <w:bCs/>
          <w:snapToGrid w:val="0"/>
          <w:color w:val="auto"/>
          <w:kern w:val="28"/>
          <w:sz w:val="24"/>
          <w:szCs w:val="20"/>
          <w:highlight w:val="non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简要规格描述或项目基本概况介绍、用途：</w:t>
      </w:r>
      <w:r>
        <w:rPr>
          <w:rFonts w:hint="eastAsia" w:ascii="仿宋" w:hAnsi="仿宋" w:eastAsia="仿宋" w:cs="仿宋"/>
          <w:snapToGrid w:val="0"/>
          <w:color w:val="auto"/>
          <w:kern w:val="28"/>
          <w:sz w:val="24"/>
          <w:szCs w:val="20"/>
          <w:highlight w:val="none"/>
        </w:rPr>
        <w:t>具体详见采购文件第三部分采购需求。</w:t>
      </w:r>
      <w:r>
        <w:rPr>
          <w:rFonts w:hint="eastAsia" w:ascii="仿宋" w:hAnsi="仿宋" w:eastAsia="仿宋" w:cs="仿宋"/>
          <w:b/>
          <w:bCs/>
          <w:snapToGrid w:val="0"/>
          <w:color w:val="auto"/>
          <w:kern w:val="28"/>
          <w:sz w:val="24"/>
          <w:szCs w:val="20"/>
          <w:highlight w:val="none"/>
        </w:rPr>
        <w:t xml:space="preserve">           </w:t>
      </w:r>
    </w:p>
    <w:p>
      <w:pPr>
        <w:spacing w:line="360" w:lineRule="auto"/>
        <w:ind w:firstLine="48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备注：</w:t>
      </w:r>
    </w:p>
    <w:p>
      <w:pPr>
        <w:spacing w:line="360" w:lineRule="auto"/>
        <w:ind w:firstLine="48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 xml:space="preserve">         </w:t>
      </w:r>
    </w:p>
    <w:p>
      <w:pPr>
        <w:pStyle w:val="341"/>
        <w:ind w:firstLine="48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28"/>
          <w:highlight w:val="none"/>
        </w:rPr>
        <w:t>具体详见采购文件第三部分采购需求</w:t>
      </w:r>
      <w:r>
        <w:rPr>
          <w:rFonts w:hint="eastAsia" w:ascii="仿宋" w:hAnsi="仿宋" w:eastAsia="仿宋" w:cs="仿宋"/>
          <w:color w:val="auto"/>
          <w:highlight w:val="none"/>
        </w:rPr>
        <w:t xml:space="preserve">。 </w:t>
      </w:r>
    </w:p>
    <w:p>
      <w:pPr>
        <w:spacing w:line="360" w:lineRule="auto"/>
        <w:ind w:firstLine="42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否）接受联合体响应</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2.落实政府采购政策需满足的资格要求：</w:t>
      </w:r>
      <w:r>
        <w:rPr>
          <w:rFonts w:hint="eastAsia" w:ascii="仿宋" w:hAnsi="仿宋" w:eastAsia="仿宋" w:cs="仿宋"/>
          <w:snapToGrid w:val="0"/>
          <w:color w:val="auto"/>
          <w:kern w:val="28"/>
          <w:sz w:val="24"/>
          <w:szCs w:val="20"/>
          <w:highlight w:val="none"/>
          <w:lang w:val="en-US" w:eastAsia="zh-CN"/>
        </w:rPr>
        <w:t>无</w:t>
      </w:r>
    </w:p>
    <w:p>
      <w:pPr>
        <w:numPr>
          <w:ilvl w:val="0"/>
          <w:numId w:val="2"/>
        </w:num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本项目的特定资格要求： </w:t>
      </w:r>
      <w:r>
        <w:rPr>
          <w:rFonts w:hint="eastAsia" w:ascii="仿宋" w:hAnsi="仿宋" w:eastAsia="仿宋" w:cs="仿宋"/>
          <w:color w:val="auto"/>
          <w:sz w:val="24"/>
          <w:highlight w:val="none"/>
          <w:u w:val="single"/>
        </w:rPr>
        <w:t>无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eastAsia="zh-CN"/>
        </w:rPr>
        <w:t>3年2月27日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四、提交响应文件开启时间截止时间、开启时间和地点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提交响应文件开启时间截止时间：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eastAsia="zh-CN"/>
        </w:rPr>
        <w:t>3年2月27日</w:t>
      </w:r>
      <w:r>
        <w:rPr>
          <w:rFonts w:hint="eastAsia" w:ascii="仿宋" w:hAnsi="仿宋" w:eastAsia="仿宋" w:cs="仿宋"/>
          <w:color w:val="auto"/>
          <w:sz w:val="24"/>
          <w:highlight w:val="none"/>
          <w:u w:val="single"/>
        </w:rPr>
        <w:t>14点30 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eastAsia="zh-CN"/>
        </w:rPr>
        <w:t>3年2月27日</w:t>
      </w:r>
      <w:r>
        <w:rPr>
          <w:rFonts w:hint="eastAsia" w:ascii="仿宋" w:hAnsi="仿宋" w:eastAsia="仿宋" w:cs="仿宋"/>
          <w:color w:val="auto"/>
          <w:sz w:val="24"/>
          <w:highlight w:val="none"/>
          <w:u w:val="single"/>
        </w:rPr>
        <w:t>14点30 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事项：电子招投标的说明：①电子招投标：本项目以数据电文形式，依托“政府采购云平台（www.zcygov.cn）”进行招投标活动，不接受纸质响应文件开启时间；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开启时间的制作：在“政采云电子交易客户端”中完成“填写基本信息”、“导入响应文件开启时间”、“标书关联”、“标书检查”、“电子签名”、“生成电子标书”等操作；⑤响应文件开启时间的传输递交：供应商在响应截止时间前将加密的响应文件开启时间上传至政府采购云平台； ⑥响应文件开启时间的解密：供应商按照平台提示和采购文件的规定在半小时内完成在线解密；⑦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称：温州市公安局</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址：温州市惠民路公安科技大楼</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rPr>
        <w:tab/>
      </w:r>
      <w:r>
        <w:rPr>
          <w:rFonts w:hint="eastAsia" w:ascii="仿宋" w:hAnsi="仿宋" w:eastAsia="仿宋" w:cs="仿宋"/>
          <w:color w:val="auto"/>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项目联系人（询问）：陈先生</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项目联系方式（询问）：0577-89980308</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质疑联系人：陈先生</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质疑联系方式：0577-89980308</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称：温州市华明招标代理有限公司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址：温州市新桥街道高昂路（全球商品贸易港3号楼23层）2305-2308室</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传    真：0577-86668887</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项目联系人（询问）：齐贺</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p>
    <w:p>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项目联系方式（询问）：0577-86668887/15088550610</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质疑联系人：林富强</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质疑联系方式：0577-86668887</w:t>
      </w:r>
      <w:r>
        <w:rPr>
          <w:rFonts w:hint="eastAsia" w:ascii="仿宋" w:hAnsi="仿宋" w:eastAsia="仿宋" w:cs="仿宋"/>
          <w:color w:val="auto"/>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称：温州市财政局政府采购监管处</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址：温州市鹿城区绣山路299号</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：项先生、蔡女士</w:t>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监督投诉电话：0577-88532725、88521948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spacing w:line="360" w:lineRule="auto"/>
        <w:ind w:firstLine="480" w:firstLineChars="200"/>
        <w:rPr>
          <w:rFonts w:hint="eastAsia" w:ascii="仿宋" w:hAnsi="仿宋" w:eastAsia="仿宋" w:cs="仿宋"/>
          <w:color w:val="auto"/>
          <w:sz w:val="24"/>
          <w:highlight w:val="none"/>
        </w:rPr>
      </w:pP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numPr>
          <w:ilvl w:val="0"/>
          <w:numId w:val="3"/>
        </w:numPr>
        <w:adjustRightInd/>
        <w:spacing w:line="360" w:lineRule="auto"/>
        <w:jc w:val="center"/>
        <w:outlineLvl w:val="0"/>
        <w:rPr>
          <w:rStyle w:val="79"/>
          <w:rFonts w:hint="eastAsia" w:ascii="仿宋" w:eastAsia="仿宋" w:cs="仿宋"/>
          <w:color w:val="auto"/>
          <w:highlight w:val="none"/>
        </w:rPr>
      </w:pPr>
      <w:r>
        <w:rPr>
          <w:rFonts w:hint="eastAsia" w:ascii="仿宋" w:hAnsi="仿宋" w:eastAsia="仿宋" w:cs="仿宋"/>
          <w:b/>
          <w:color w:val="auto"/>
          <w:sz w:val="36"/>
          <w:szCs w:val="20"/>
          <w:highlight w:val="none"/>
        </w:rPr>
        <w:br w:type="page"/>
      </w:r>
      <w:bookmarkEnd w:id="8"/>
      <w:bookmarkStart w:id="11" w:name="_Toc26716"/>
      <w:r>
        <w:rPr>
          <w:rStyle w:val="79"/>
          <w:rFonts w:hint="eastAsia" w:ascii="仿宋" w:eastAsia="仿宋" w:cs="仿宋"/>
          <w:color w:val="auto"/>
          <w:highlight w:val="none"/>
        </w:rPr>
        <w:t>供应商须知</w:t>
      </w:r>
      <w:bookmarkEnd w:id="9"/>
      <w:bookmarkEnd w:id="11"/>
      <w:r>
        <w:rPr>
          <w:rStyle w:val="79"/>
          <w:rFonts w:hint="eastAsia" w:ascii="仿宋" w:eastAsia="仿宋" w:cs="仿宋"/>
          <w:color w:val="auto"/>
          <w:highlight w:val="none"/>
        </w:rPr>
        <w:t>（</w:t>
      </w:r>
      <w:r>
        <w:rPr>
          <w:rStyle w:val="79"/>
          <w:rFonts w:hint="eastAsia" w:ascii="仿宋" w:eastAsia="仿宋" w:cs="仿宋"/>
          <w:color w:val="auto"/>
          <w:highlight w:val="none"/>
          <w:lang w:val="en-US"/>
        </w:rPr>
        <w:t>各标项</w:t>
      </w:r>
      <w:r>
        <w:rPr>
          <w:rStyle w:val="79"/>
          <w:rFonts w:hint="eastAsia" w:ascii="仿宋" w:eastAsia="仿宋" w:cs="仿宋"/>
          <w:color w:val="auto"/>
          <w:highlight w:val="none"/>
        </w:rPr>
        <w:t>）</w:t>
      </w:r>
    </w:p>
    <w:p>
      <w:pPr>
        <w:adjustRightInd/>
        <w:spacing w:line="360" w:lineRule="auto"/>
        <w:jc w:val="center"/>
        <w:outlineLvl w:val="0"/>
        <w:rPr>
          <w:rStyle w:val="79"/>
          <w:rFonts w:hint="eastAsia" w:ascii="仿宋" w:eastAsia="仿宋" w:cs="仿宋"/>
          <w:color w:val="auto"/>
          <w:highlight w:val="none"/>
        </w:rPr>
      </w:pPr>
      <w:bookmarkStart w:id="12" w:name="_Toc3019"/>
      <w:r>
        <w:rPr>
          <w:rStyle w:val="79"/>
          <w:rFonts w:hint="eastAsia" w:ascii="仿宋" w:eastAsia="仿宋" w:cs="仿宋"/>
          <w:color w:val="auto"/>
          <w:highlight w:val="none"/>
        </w:rPr>
        <w:t>前附表</w:t>
      </w:r>
      <w:bookmarkEnd w:id="12"/>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2"/>
        <w:gridCol w:w="1826"/>
        <w:gridCol w:w="63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22"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26"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   目</w:t>
            </w:r>
          </w:p>
        </w:tc>
        <w:tc>
          <w:tcPr>
            <w:tcW w:w="6383"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383" w:type="dxa"/>
            <w:noWrap w:val="0"/>
            <w:vAlign w:val="center"/>
          </w:tcPr>
          <w:p>
            <w:pPr>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26"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合同履行地点</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p>
        </w:tc>
        <w:tc>
          <w:tcPr>
            <w:tcW w:w="6383" w:type="dxa"/>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tc>
        <w:tc>
          <w:tcPr>
            <w:tcW w:w="6383" w:type="dxa"/>
            <w:noWrap w:val="0"/>
            <w:vAlign w:val="center"/>
          </w:tcPr>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6383"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资金来源</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磋商保证金</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不需缴纳</w:t>
            </w:r>
            <w:r>
              <w:rPr>
                <w:rFonts w:hint="eastAsia" w:ascii="仿宋" w:hAnsi="仿宋" w:eastAsia="仿宋" w:cs="仿宋"/>
                <w:bCs/>
                <w:color w:val="auto"/>
                <w:kern w:val="0"/>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26"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▲最高限价</w:t>
            </w:r>
          </w:p>
        </w:tc>
        <w:tc>
          <w:tcPr>
            <w:tcW w:w="6383"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26"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响应文件开启前答疑会或现场踏勘</w:t>
            </w:r>
          </w:p>
        </w:tc>
        <w:tc>
          <w:tcPr>
            <w:tcW w:w="6383"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不组织。</w:t>
            </w:r>
          </w:p>
          <w:p>
            <w:pPr>
              <w:rPr>
                <w:rFonts w:hint="eastAsia" w:ascii="仿宋" w:hAnsi="仿宋" w:eastAsia="仿宋" w:cs="仿宋"/>
                <w:color w:val="auto"/>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26" w:type="dxa"/>
            <w:noWrap w:val="0"/>
            <w:vAlign w:val="center"/>
          </w:tcPr>
          <w:p>
            <w:pPr>
              <w:rPr>
                <w:rFonts w:ascii="仿宋" w:hAnsi="仿宋" w:eastAsia="仿宋" w:cs="仿宋"/>
                <w:bCs/>
                <w:color w:val="auto"/>
                <w:sz w:val="24"/>
                <w:highlight w:val="none"/>
              </w:rPr>
            </w:pPr>
            <w:r>
              <w:rPr>
                <w:rFonts w:hint="eastAsia" w:ascii="仿宋" w:hAnsi="仿宋" w:eastAsia="仿宋" w:cs="仿宋"/>
                <w:bCs/>
                <w:color w:val="auto"/>
                <w:sz w:val="24"/>
                <w:highlight w:val="none"/>
              </w:rPr>
              <w:t>分包与转包</w:t>
            </w:r>
          </w:p>
        </w:tc>
        <w:tc>
          <w:tcPr>
            <w:tcW w:w="6383" w:type="dxa"/>
            <w:noWrap w:val="0"/>
            <w:vAlign w:val="center"/>
          </w:tcPr>
          <w:p>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（1）分包：</w:t>
            </w:r>
          </w:p>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FE"/>
            </w:r>
            <w:r>
              <w:rPr>
                <w:rFonts w:hint="eastAsia" w:ascii="仿宋" w:hAnsi="仿宋" w:eastAsia="仿宋" w:cs="仿宋"/>
                <w:bCs/>
                <w:color w:val="auto"/>
                <w:kern w:val="0"/>
                <w:sz w:val="24"/>
                <w:highlight w:val="none"/>
              </w:rPr>
              <w:t xml:space="preserve"> 不同意分包。</w:t>
            </w:r>
          </w:p>
          <w:p>
            <w:pPr>
              <w:numPr>
                <w:ilvl w:val="0"/>
                <w:numId w:val="4"/>
              </w:numPr>
              <w:rPr>
                <w:rFonts w:eastAsia="仿宋_GB2312"/>
                <w:color w:val="auto"/>
                <w:highlight w:val="none"/>
              </w:rPr>
            </w:pPr>
            <w:r>
              <w:rPr>
                <w:rFonts w:hint="eastAsia" w:ascii="仿宋" w:hAnsi="仿宋" w:eastAsia="仿宋" w:cs="仿宋"/>
                <w:bCs/>
                <w:color w:val="auto"/>
                <w:kern w:val="0"/>
                <w:sz w:val="24"/>
                <w:highlight w:val="none"/>
              </w:rPr>
              <w:t>转包：本项目不允许转包。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26"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项目属性与核心产品</w:t>
            </w:r>
          </w:p>
        </w:tc>
        <w:tc>
          <w:tcPr>
            <w:tcW w:w="6383"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26" w:type="dxa"/>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是否允许采购进口产品</w:t>
            </w:r>
          </w:p>
        </w:tc>
        <w:tc>
          <w:tcPr>
            <w:tcW w:w="6383" w:type="dxa"/>
            <w:noWrap w:val="0"/>
            <w:vAlign w:val="center"/>
          </w:tcPr>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FE"/>
            </w:r>
            <w:r>
              <w:rPr>
                <w:rFonts w:hint="eastAsia" w:ascii="仿宋" w:hAnsi="仿宋" w:eastAsia="仿宋" w:cs="仿宋"/>
                <w:bCs/>
                <w:color w:val="auto"/>
                <w:kern w:val="0"/>
                <w:sz w:val="24"/>
                <w:highlight w:val="none"/>
              </w:rPr>
              <w:t>本项目不允许采购进口产品。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26" w:type="dxa"/>
            <w:noWrap w:val="0"/>
            <w:vAlign w:val="center"/>
          </w:tcPr>
          <w:p>
            <w:pPr>
              <w:jc w:val="center"/>
              <w:rPr>
                <w:rFonts w:hint="eastAsia" w:ascii="仿宋" w:hAnsi="仿宋" w:eastAsia="仿宋" w:cs="仿宋"/>
                <w:bCs/>
                <w:snapToGrid w:val="0"/>
                <w:color w:val="auto"/>
                <w:kern w:val="0"/>
                <w:sz w:val="24"/>
                <w:highlight w:val="none"/>
              </w:rPr>
            </w:pPr>
            <w:r>
              <w:rPr>
                <w:rFonts w:hint="eastAsia" w:ascii="仿宋" w:hAnsi="仿宋" w:eastAsia="仿宋" w:cs="仿宋"/>
                <w:bCs/>
                <w:color w:val="auto"/>
                <w:sz w:val="24"/>
                <w:highlight w:val="none"/>
              </w:rPr>
              <w:t>样品提供</w:t>
            </w:r>
          </w:p>
        </w:tc>
        <w:tc>
          <w:tcPr>
            <w:tcW w:w="6383"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方案讲解演示</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响应文件开启时间的编制</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详见第二部分“</w:t>
            </w:r>
            <w:r>
              <w:rPr>
                <w:rFonts w:hint="eastAsia" w:ascii="仿宋" w:hAnsi="仿宋" w:eastAsia="仿宋" w:cs="仿宋"/>
                <w:color w:val="auto"/>
                <w:sz w:val="24"/>
                <w:highlight w:val="none"/>
                <w:lang w:val="zh-CN"/>
              </w:rPr>
              <w:t>供应商须知</w:t>
            </w:r>
            <w:r>
              <w:rPr>
                <w:rFonts w:hint="eastAsia" w:ascii="仿宋" w:hAnsi="仿宋" w:eastAsia="仿宋" w:cs="仿宋"/>
                <w:bCs/>
                <w:color w:val="auto"/>
                <w:kern w:val="0"/>
                <w:sz w:val="24"/>
                <w:highlight w:val="none"/>
              </w:rPr>
              <w:t>”</w:t>
            </w:r>
            <w:r>
              <w:rPr>
                <w:rFonts w:hint="eastAsia" w:ascii="仿宋" w:hAnsi="仿宋" w:eastAsia="仿宋" w:cs="仿宋"/>
                <w:color w:val="auto"/>
                <w:sz w:val="24"/>
                <w:highlight w:val="none"/>
                <w:lang w:val="zh-CN"/>
              </w:rPr>
              <w:t>第</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zh-CN"/>
              </w:rPr>
              <w:t>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响应文件开启时间的形式</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电子响应文件开启时间（包括“电子加密响应文件开启时间”和“备份响应文件开启时间”，在响应文件开启时间编制完成后同时生成）；</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（1）“电子加密响应文件开启时间”是指通过“政采云电子交易客户端”完成响应文件开启时间编制后生成并加密的数据电文形式的响应文件开启时间。</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响应文件开启时间”是指与“电子加密响应文件开启时间”同时生成的数据电文形式的电子文件（备份标书，用于供应商标书解密异常时应急使用），其他方式编制的备份响应文件开启时间视为无效备份响应文件开启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响应文件开启时间的传输递交</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详见第二部分“供应商须知”第15款</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注：上传、递交过程中如有疑问，可咨询“政采云”客服热线：400-881-7190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2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826"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提交响应文件开启时间截止时间、开启时间和地点</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8" w:hRule="atLeast"/>
          <w:jc w:val="center"/>
        </w:trPr>
        <w:tc>
          <w:tcPr>
            <w:tcW w:w="62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1826"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的组建</w:t>
            </w:r>
          </w:p>
        </w:tc>
        <w:tc>
          <w:tcPr>
            <w:tcW w:w="6383" w:type="dxa"/>
            <w:noWrap w:val="0"/>
            <w:vAlign w:val="center"/>
          </w:tcPr>
          <w:p>
            <w:pPr>
              <w:ind w:firstLine="480" w:firstLineChars="200"/>
              <w:rPr>
                <w:rFonts w:hint="eastAsia"/>
                <w:color w:val="auto"/>
                <w:highlight w:val="none"/>
              </w:rPr>
            </w:pPr>
            <w:r>
              <w:rPr>
                <w:rFonts w:hint="eastAsia" w:ascii="仿宋" w:hAnsi="仿宋" w:eastAsia="仿宋" w:cs="仿宋"/>
                <w:color w:val="auto"/>
                <w:sz w:val="24"/>
                <w:highlight w:val="none"/>
              </w:rPr>
              <w:t>磋商小组由采购人代表和评审专家组成，成员人数应当为 3 人以上单数，其中评审专家不得少于成员总数的三分之二。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62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1826"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评审办法</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详见第四部分“评审办法前附表”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成交结果公告</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结果经采购人确认后2个工作日内，采购代理机构将对外发布成交公告和成交通知书。采购代理机构按相关政府采购规定将成交结果发布在政府采购网上进行公示，公示期为1个工作日。采购人、采购代理机构及磋商小组对未成交的供应商不作落标原因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成交通知书发出后</w:t>
            </w:r>
            <w:r>
              <w:rPr>
                <w:rFonts w:ascii="仿宋" w:hAnsi="仿宋" w:eastAsia="仿宋" w:cs="仿宋"/>
                <w:color w:val="auto"/>
                <w:sz w:val="24"/>
                <w:highlight w:val="none"/>
              </w:rPr>
              <w:t>30</w:t>
            </w:r>
            <w:r>
              <w:rPr>
                <w:rFonts w:hint="eastAsia" w:ascii="仿宋" w:hAnsi="仿宋" w:eastAsia="仿宋" w:cs="仿宋"/>
                <w:color w:val="auto"/>
                <w:sz w:val="24"/>
                <w:highlight w:val="none"/>
              </w:rPr>
              <w:t>工作日内。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磋商有效期</w:t>
            </w:r>
          </w:p>
        </w:tc>
        <w:tc>
          <w:tcPr>
            <w:tcW w:w="63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磋商有效期为从提交响应文件开启时间的截止之日起90</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w:t>
            </w:r>
          </w:p>
        </w:tc>
        <w:tc>
          <w:tcPr>
            <w:tcW w:w="6383"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投诉</w:t>
            </w:r>
          </w:p>
        </w:tc>
        <w:tc>
          <w:tcPr>
            <w:tcW w:w="6383"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根据《政府采购质疑和投诉办法》第十七条的规定，质疑供应商对采购人、采购代理机构的答复不满意，或者采购人、采购代理机构未在规定时间内作出答复的，可以在答复期满后 15 个工作日内向本级财政部门提起投诉。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1826"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u w:val="thick"/>
              </w:rPr>
              <w:t>▲符合性审查、无效标条款</w:t>
            </w:r>
          </w:p>
        </w:tc>
        <w:tc>
          <w:tcPr>
            <w:tcW w:w="6383" w:type="dxa"/>
            <w:noWrap w:val="0"/>
            <w:vAlign w:val="center"/>
          </w:tcPr>
          <w:p>
            <w:pPr>
              <w:pStyle w:val="465"/>
              <w:snapToGrid/>
              <w:spacing w:line="240" w:lineRule="auto"/>
              <w:ind w:firstLine="0"/>
              <w:rPr>
                <w:rFonts w:hint="eastAsia" w:ascii="仿宋" w:hAnsi="仿宋" w:eastAsia="仿宋" w:cs="仿宋"/>
                <w:bCs/>
                <w:snapToGrid w:val="0"/>
                <w:color w:val="auto"/>
                <w:szCs w:val="24"/>
                <w:highlight w:val="none"/>
              </w:rPr>
            </w:pPr>
            <w:r>
              <w:rPr>
                <w:rFonts w:hint="eastAsia" w:ascii="仿宋" w:hAnsi="仿宋" w:eastAsia="仿宋" w:cs="仿宋"/>
                <w:bCs/>
                <w:snapToGrid w:val="0"/>
                <w:color w:val="auto"/>
                <w:szCs w:val="24"/>
                <w:highlight w:val="none"/>
              </w:rPr>
              <w:t>详见招标文件“第四部分 评标办法”2.2款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p>
        </w:tc>
        <w:tc>
          <w:tcPr>
            <w:tcW w:w="1826" w:type="dxa"/>
            <w:noWrap w:val="0"/>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供应商信用信息查询</w:t>
            </w:r>
          </w:p>
        </w:tc>
        <w:tc>
          <w:tcPr>
            <w:tcW w:w="6383" w:type="dxa"/>
            <w:noWrap w:val="0"/>
            <w:vAlign w:val="center"/>
          </w:tcPr>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根据《关于在政府采购活动中查询及使用信用记录有关问题的通知》财库[2016]125号的规定：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1）采购人或采购代理机构将对本项目供应商的信用信息进行查询。</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2）查询渠道为信用中国网站（www.creditchina.gov.cn）、中国政府采购网（www.ccgp.gov.cn）。</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3）信用信息截止时点为从本项目响应截止日往前追溯三年，期间被列入失信被执行人名单、重大税收违法案件当事人名单、政府采购严重违法失信行为记录名单等供应商信用信息均将用于本项目。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4）信用信息查询记录和证据以网页截图等方式留存。</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5）信用信息将作为评审和确定成交供应商的依据。</w:t>
            </w:r>
          </w:p>
          <w:p>
            <w:pPr>
              <w:pStyle w:val="465"/>
              <w:snapToGrid/>
              <w:spacing w:line="240" w:lineRule="auto"/>
              <w:ind w:firstLine="0"/>
              <w:rPr>
                <w:rFonts w:hint="eastAsia" w:ascii="仿宋" w:hAnsi="仿宋" w:eastAsia="仿宋" w:cs="仿宋"/>
                <w:bCs/>
                <w:color w:val="auto"/>
                <w:szCs w:val="24"/>
                <w:highlight w:val="none"/>
              </w:rPr>
            </w:pPr>
            <w:r>
              <w:rPr>
                <w:rFonts w:hint="eastAsia" w:ascii="仿宋" w:hAnsi="仿宋" w:eastAsia="仿宋" w:cs="仿宋"/>
                <w:color w:val="auto"/>
                <w:szCs w:val="24"/>
                <w:highlight w:val="none"/>
              </w:rPr>
              <w:t>6）联合体成员存在不良信用记录的，视同联合体存在不良信用记录。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1826"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本项目扶持中小企业（监狱企业、残疾人福利性单位）有关政策</w:t>
            </w:r>
          </w:p>
        </w:tc>
        <w:tc>
          <w:tcPr>
            <w:tcW w:w="6383" w:type="dxa"/>
            <w:noWrap w:val="0"/>
            <w:vAlign w:val="center"/>
          </w:tcPr>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1、扶持中小企业（监狱企业、残疾人福利性单位）： </w:t>
            </w:r>
          </w:p>
          <w:p>
            <w:pPr>
              <w:rPr>
                <w:rFonts w:ascii="仿宋" w:hAnsi="仿宋" w:eastAsia="仿宋" w:cs="仿宋"/>
                <w:color w:val="auto"/>
                <w:sz w:val="24"/>
                <w:highlight w:val="none"/>
              </w:rPr>
            </w:pPr>
            <w:r>
              <w:rPr>
                <w:rFonts w:hint="eastAsia" w:ascii="仿宋" w:hAnsi="仿宋" w:eastAsia="仿宋" w:cs="仿宋"/>
                <w:color w:val="auto"/>
                <w:sz w:val="24"/>
                <w:highlight w:val="none"/>
              </w:rPr>
              <w:t>（1）根据工信部等部委发布的《关于印发中小企业划型标准规定的通知》（工信部联企业〔2011〕300号），本项目属于</w:t>
            </w:r>
            <w:r>
              <w:rPr>
                <w:rFonts w:hint="eastAsia" w:ascii="仿宋" w:hAnsi="仿宋" w:eastAsia="仿宋" w:cs="仿宋"/>
                <w:i/>
                <w:iCs/>
                <w:color w:val="auto"/>
                <w:sz w:val="24"/>
                <w:highlight w:val="none"/>
                <w:u w:val="single"/>
              </w:rPr>
              <w:sym w:font="Wingdings" w:char="00FE"/>
            </w:r>
            <w:r>
              <w:rPr>
                <w:rFonts w:hint="eastAsia" w:ascii="仿宋" w:hAnsi="仿宋" w:eastAsia="仿宋" w:cs="仿宋"/>
                <w:i/>
                <w:iCs/>
                <w:color w:val="auto"/>
                <w:sz w:val="24"/>
                <w:highlight w:val="none"/>
                <w:u w:val="single"/>
              </w:rPr>
              <w:t>软件和信息技术服务业</w:t>
            </w:r>
            <w:r>
              <w:rPr>
                <w:rFonts w:hint="eastAsia" w:ascii="仿宋" w:hAnsi="仿宋" w:eastAsia="仿宋" w:cs="仿宋"/>
                <w:color w:val="auto"/>
                <w:sz w:val="24"/>
                <w:highlight w:val="none"/>
              </w:rPr>
              <w:t xml:space="preserve"> 行业。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2、根据财政部发布的《政府采购促进中小企业发展管理办法》财库（2020）46号的相关规定：</w:t>
            </w:r>
          </w:p>
          <w:p>
            <w:pPr>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2.1.是否为预留份额项目：</w:t>
            </w:r>
          </w:p>
          <w:p>
            <w:pPr>
              <w:ind w:left="24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在评审时对小型和微型企业报价给予</w:t>
            </w:r>
            <w:r>
              <w:rPr>
                <w:rFonts w:hint="eastAsia" w:ascii="仿宋" w:hAnsi="仿宋" w:eastAsia="仿宋" w:cs="仿宋"/>
                <w:color w:val="auto"/>
                <w:sz w:val="24"/>
                <w:highlight w:val="none"/>
                <w:u w:val="single"/>
              </w:rPr>
              <w:t xml:space="preserve"> 10%</w:t>
            </w:r>
            <w:r>
              <w:rPr>
                <w:rFonts w:hint="eastAsia" w:ascii="仿宋" w:hAnsi="仿宋" w:eastAsia="仿宋" w:cs="仿宋"/>
                <w:color w:val="auto"/>
                <w:sz w:val="24"/>
                <w:highlight w:val="none"/>
              </w:rPr>
              <w:t>的扣除，用扣除后的价格参加评审。</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2.2组成联合体或者接受分包的小微企业与联合体内其他企业、分包企业之间存在直接控 股、管理关系的，不享受价格扣除优惠政策。</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2.3价格扣除比例或者价格分加分比例对小型企业和微型企业同等对待，不作区分。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2.5接受分包的项目，享受扶持政策获得政府采购合同的，小微企业不得将合同分包给大中型企业，中型企业不得将合同分包给大型企业。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(注：未提供以上材料的，均不给予价格扣除，以上优惠政策只享受一次）。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p>
        </w:tc>
        <w:tc>
          <w:tcPr>
            <w:tcW w:w="1826"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
                <w:color w:val="auto"/>
                <w:sz w:val="24"/>
                <w:highlight w:val="none"/>
              </w:rPr>
              <w:t>节能产品、环境标志产品</w:t>
            </w:r>
          </w:p>
        </w:tc>
        <w:tc>
          <w:tcPr>
            <w:tcW w:w="6383" w:type="dxa"/>
            <w:noWrap w:val="0"/>
            <w:vAlign w:val="center"/>
          </w:tcPr>
          <w:p>
            <w:pPr>
              <w:pStyle w:val="23"/>
              <w:spacing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8"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1826" w:type="dxa"/>
            <w:noWrap w:val="0"/>
            <w:vAlign w:val="center"/>
          </w:tcPr>
          <w:p>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磋商报价其他要求</w:t>
            </w:r>
          </w:p>
        </w:tc>
        <w:tc>
          <w:tcPr>
            <w:tcW w:w="6383" w:type="dxa"/>
            <w:noWrap w:val="0"/>
            <w:vAlign w:val="center"/>
          </w:tcPr>
          <w:p>
            <w:pPr>
              <w:snapToGrid w:val="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磋商报价包含的内容：</w:t>
            </w:r>
          </w:p>
          <w:p>
            <w:pPr>
              <w:snapToGrid w:val="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sym w:font="Wingdings" w:char="F0FE"/>
            </w:r>
            <w:r>
              <w:rPr>
                <w:rFonts w:hint="eastAsia" w:ascii="仿宋" w:hAnsi="仿宋" w:eastAsia="仿宋" w:cs="仿宋"/>
                <w:snapToGrid w:val="0"/>
                <w:color w:val="auto"/>
                <w:sz w:val="24"/>
                <w:highlight w:val="none"/>
                <w:lang w:val="zh-CN"/>
              </w:rPr>
              <w:t>采购代理服务费，收费标准：</w:t>
            </w:r>
            <w:r>
              <w:rPr>
                <w:rFonts w:hint="eastAsia" w:ascii="仿宋" w:hAnsi="仿宋" w:eastAsia="仿宋" w:cs="仿宋"/>
                <w:snapToGrid w:val="0"/>
                <w:color w:val="auto"/>
                <w:sz w:val="24"/>
                <w:highlight w:val="none"/>
                <w:u w:val="single"/>
                <w:lang w:val="zh-CN"/>
              </w:rPr>
              <w:t>本次招标，招标代理费按照《招标代理服务收费管理暂行办法》(计价格[2002]1980号) 货物类标准下浮30%计算，由中标人在领取中标（成交）通知书之前将代理服务费用支付给招标代理机构；</w:t>
            </w:r>
          </w:p>
          <w:p>
            <w:pPr>
              <w:snapToGrid w:val="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zh-CN"/>
              </w:rPr>
              <w:sym w:font="Wingdings" w:char="F0FE"/>
            </w:r>
            <w:r>
              <w:rPr>
                <w:rFonts w:hint="eastAsia" w:ascii="仿宋" w:hAnsi="仿宋" w:eastAsia="仿宋" w:cs="仿宋"/>
                <w:snapToGrid w:val="0"/>
                <w:color w:val="auto"/>
                <w:sz w:val="24"/>
                <w:highlight w:val="none"/>
              </w:rPr>
              <w:t>政府采购</w:t>
            </w:r>
            <w:r>
              <w:rPr>
                <w:rFonts w:hint="eastAsia" w:ascii="仿宋" w:hAnsi="仿宋" w:eastAsia="仿宋" w:cs="仿宋"/>
                <w:snapToGrid w:val="0"/>
                <w:color w:val="auto"/>
                <w:sz w:val="24"/>
                <w:highlight w:val="none"/>
                <w:lang w:val="zh-CN"/>
              </w:rPr>
              <w:t>履约验收费用（包含第三方检测及评审费用）；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0" w:hRule="atLeast"/>
          <w:jc w:val="center"/>
        </w:trPr>
        <w:tc>
          <w:tcPr>
            <w:tcW w:w="62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1826"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特别说明</w:t>
            </w:r>
          </w:p>
        </w:tc>
        <w:tc>
          <w:tcPr>
            <w:tcW w:w="6383"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如果发现本采购文件中存在含糊不清、相互矛盾、多种含义以及歧视性不公正条款或违法违规等内容时，请供应商在获取采购文件后，答疑截止时间前按要求书面提出，逾期视同自动放弃疑问提出的权利或采购人不作答复。</w:t>
            </w:r>
          </w:p>
          <w:p>
            <w:pPr>
              <w:rPr>
                <w:rFonts w:hint="eastAsia" w:ascii="仿宋" w:hAnsi="仿宋" w:eastAsia="仿宋" w:cs="仿宋"/>
                <w:b/>
                <w:bCs/>
                <w:color w:val="auto"/>
                <w:sz w:val="24"/>
                <w:highlight w:val="none"/>
              </w:rPr>
            </w:pPr>
            <w:r>
              <w:rPr>
                <w:rFonts w:hint="eastAsia" w:ascii="仿宋" w:hAnsi="仿宋" w:eastAsia="仿宋" w:cs="仿宋"/>
                <w:snapToGrid w:val="0"/>
                <w:color w:val="auto"/>
                <w:kern w:val="0"/>
                <w:sz w:val="24"/>
                <w:highlight w:val="none"/>
              </w:rPr>
              <w:t>（2）该项目成交公示期间，供应商不得通过非正当途径、更不得通过非正当手段获取法律法规规定磋商小组（包括其他相关人员）应当保密的相关内容。</w:t>
            </w:r>
          </w:p>
        </w:tc>
      </w:tr>
    </w:tbl>
    <w:p>
      <w:pPr>
        <w:adjustRightInd/>
        <w:spacing w:line="360" w:lineRule="auto"/>
        <w:jc w:val="center"/>
        <w:outlineLvl w:val="0"/>
        <w:rPr>
          <w:rStyle w:val="79"/>
          <w:rFonts w:hint="eastAsia" w:ascii="仿宋" w:eastAsia="仿宋" w:cs="仿宋"/>
          <w:color w:val="auto"/>
          <w:highlight w:val="none"/>
        </w:rPr>
      </w:pPr>
      <w:r>
        <w:rPr>
          <w:rStyle w:val="79"/>
          <w:rFonts w:hint="eastAsia" w:ascii="仿宋" w:eastAsia="仿宋" w:cs="仿宋"/>
          <w:color w:val="auto"/>
          <w:highlight w:val="none"/>
        </w:rPr>
        <w:br w:type="page"/>
      </w:r>
      <w:bookmarkEnd w:id="10"/>
      <w:bookmarkStart w:id="13" w:name="_Toc18105"/>
      <w:bookmarkStart w:id="14" w:name="第三部分"/>
      <w:bookmarkStart w:id="15" w:name="_Toc164416483"/>
      <w:r>
        <w:rPr>
          <w:rStyle w:val="79"/>
          <w:rFonts w:hint="eastAsia" w:ascii="仿宋" w:eastAsia="仿宋" w:cs="仿宋"/>
          <w:color w:val="auto"/>
          <w:highlight w:val="none"/>
        </w:rPr>
        <w:t>一、总则</w:t>
      </w:r>
      <w:bookmarkEnd w:id="13"/>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bookmarkStart w:id="16" w:name="_Toc29857"/>
      <w:bookmarkStart w:id="17" w:name="_Toc5882"/>
      <w:r>
        <w:rPr>
          <w:rFonts w:hint="eastAsia" w:ascii="仿宋" w:hAnsi="仿宋" w:eastAsia="仿宋" w:cs="新宋体"/>
          <w:color w:val="auto"/>
          <w:sz w:val="24"/>
          <w:highlight w:val="none"/>
        </w:rPr>
        <w:t>本项目采购是按照</w:t>
      </w:r>
      <w:r>
        <w:rPr>
          <w:rFonts w:hint="eastAsia" w:ascii="仿宋" w:hAnsi="仿宋" w:eastAsia="仿宋" w:cs="仿宋"/>
          <w:color w:val="auto"/>
          <w:sz w:val="24"/>
          <w:highlight w:val="none"/>
        </w:rPr>
        <w:t>《中华人民共和国政府采购法》、《政府采购竞争性磋商采购方式管理暂行办法》（财库〔2014〕214 号）、《浙江省政府采购项目电子交易管理暂行办法》（浙财采监〔2019〕10号）</w:t>
      </w:r>
      <w:r>
        <w:rPr>
          <w:rFonts w:hint="eastAsia" w:ascii="仿宋" w:hAnsi="仿宋" w:eastAsia="仿宋" w:cs="新宋体"/>
          <w:color w:val="auto"/>
          <w:sz w:val="24"/>
          <w:highlight w:val="none"/>
        </w:rPr>
        <w:t>等法律及有关法规组织和实施的。</w:t>
      </w:r>
    </w:p>
    <w:p>
      <w:pPr>
        <w:snapToGrid w:val="0"/>
        <w:spacing w:line="360" w:lineRule="auto"/>
        <w:ind w:firstLine="361" w:firstLineChars="150"/>
        <w:jc w:val="left"/>
        <w:outlineLvl w:val="1"/>
        <w:rPr>
          <w:rFonts w:hint="eastAsia" w:ascii="仿宋" w:hAnsi="仿宋" w:eastAsia="仿宋" w:cs="仿宋"/>
          <w:b/>
          <w:color w:val="auto"/>
          <w:sz w:val="24"/>
          <w:highlight w:val="none"/>
        </w:rPr>
      </w:pPr>
      <w:bookmarkStart w:id="18" w:name="_Toc27055"/>
      <w:r>
        <w:rPr>
          <w:rFonts w:hint="eastAsia" w:ascii="仿宋" w:hAnsi="仿宋" w:eastAsia="仿宋" w:cs="仿宋"/>
          <w:b/>
          <w:color w:val="auto"/>
          <w:sz w:val="24"/>
          <w:highlight w:val="none"/>
        </w:rPr>
        <w:t>1. 适用范围</w:t>
      </w:r>
      <w:bookmarkEnd w:id="16"/>
      <w:bookmarkEnd w:id="17"/>
      <w:bookmarkEnd w:id="18"/>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本采购文件适用于该项目的组织采购、磋商响应、响应文件开启、资格审查及信用信息查询、评审、评审结果确定、合同、验收等行为（法律、法规另有规定的，从其规定）。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bookmarkStart w:id="19" w:name="_Toc3235"/>
      <w:bookmarkStart w:id="20" w:name="_Toc19066"/>
      <w:bookmarkStart w:id="21" w:name="_Toc31546"/>
      <w:r>
        <w:rPr>
          <w:rFonts w:hint="eastAsia" w:ascii="仿宋" w:hAnsi="仿宋" w:eastAsia="仿宋" w:cs="仿宋"/>
          <w:b/>
          <w:color w:val="auto"/>
          <w:sz w:val="24"/>
          <w:highlight w:val="none"/>
        </w:rPr>
        <w:t>2.定义</w:t>
      </w:r>
      <w:bookmarkEnd w:id="19"/>
      <w:bookmarkEnd w:id="20"/>
      <w:bookmarkEnd w:id="21"/>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“采购人”系指采购公告中载明的本项目的采购人。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“采购代理机构”系指采购公告中载明的本项目的采购代理机构。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“供应商”系指是指响应采购、参加磋商响应竞争的法人、其他组织或者自然人。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磋商响应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w:t>
      </w:r>
      <w:r>
        <w:rPr>
          <w:rFonts w:hint="eastAsia" w:ascii="仿宋" w:hAnsi="仿宋" w:eastAsia="仿宋" w:cs="仿宋"/>
          <w:snapToGrid w:val="0"/>
          <w:color w:val="auto"/>
          <w:kern w:val="28"/>
          <w:sz w:val="24"/>
          <w:szCs w:val="20"/>
          <w:highlight w:val="none"/>
        </w:rPr>
        <w:t>且加下划线的条款</w:t>
      </w:r>
      <w:r>
        <w:rPr>
          <w:rFonts w:hint="eastAsia" w:ascii="仿宋" w:hAnsi="仿宋" w:eastAsia="仿宋" w:cs="仿宋"/>
          <w:color w:val="auto"/>
          <w:sz w:val="24"/>
          <w:highlight w:val="none"/>
        </w:rPr>
        <w:t>系指实质性要求条款，“★”系产品采购项目中单一产品或核心产品，“</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3.合格供应商要求</w:t>
      </w:r>
    </w:p>
    <w:p>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3.1合格的供应商应满足采购文件第一部分“采购公告”对申请人的资格要求。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 w:hAnsi="仿宋" w:eastAsia="仿宋" w:cs="新宋体"/>
          <w:bCs/>
          <w:color w:val="auto"/>
          <w:spacing w:val="6"/>
          <w:sz w:val="24"/>
          <w:highlight w:val="none"/>
        </w:rPr>
        <w:t>。</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供应商可授权供应商代表以供应商名义参加本次采购活动（包括响应文件开启时间的签署、澄清、说明、补正、递交、撤回、修改等以及签订合同和处理有关事宜）。如果供应商代表不是法定代表人(负责人)，须持有《法定代表人(负责人)授权书》。</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3.4采用最低评标价法的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供应商参加同一合同项下磋商响应的，以其中通过资格审查、符合性审查且报价最低的参加评审；报价相同的，由采购人或者采购人委托磋商小组按照采购文件规定的方式确定一个参加评审的供应商，采购文件未规定的采取随机抽取方式确定，其他响应无效。</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使用综合评分法的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且通过资格审查、符合性审查的不同供应商参加同一合同项下响应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非单一产品采购项目，多家供应商提供的核心产品（见</w:t>
      </w:r>
      <w:r>
        <w:rPr>
          <w:rFonts w:hint="eastAsia" w:ascii="仿宋" w:hAnsi="仿宋" w:eastAsia="仿宋"/>
          <w:color w:val="auto"/>
          <w:sz w:val="24"/>
          <w:highlight w:val="none"/>
        </w:rPr>
        <w:t>供应商须知前附表</w:t>
      </w:r>
      <w:r>
        <w:rPr>
          <w:rFonts w:hint="eastAsia" w:ascii="仿宋" w:hAnsi="仿宋" w:eastAsia="仿宋" w:cs="新宋体"/>
          <w:bCs/>
          <w:color w:val="auto"/>
          <w:spacing w:val="6"/>
          <w:sz w:val="24"/>
          <w:highlight w:val="none"/>
        </w:rPr>
        <w:t>）品牌相同的，按前两款规定处理。</w:t>
      </w:r>
    </w:p>
    <w:p>
      <w:pPr>
        <w:snapToGrid w:val="0"/>
        <w:spacing w:line="360" w:lineRule="auto"/>
        <w:ind w:firstLine="480" w:firstLineChars="200"/>
        <w:rPr>
          <w:color w:val="auto"/>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5货物类是否允许采购进口产品、是否要求节能/环境标志产品等情况见供应商须知前附表。</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4、采购项目需要落实的政府采购政策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4.3.2</w:t>
      </w:r>
      <w:r>
        <w:rPr>
          <w:rFonts w:hint="eastAsia" w:ascii="仿宋" w:hAnsi="仿宋" w:eastAsia="仿宋" w:cs="仿宋"/>
          <w:color w:val="auto"/>
          <w:kern w:val="0"/>
          <w:sz w:val="24"/>
          <w:highlight w:val="none"/>
        </w:rPr>
        <w:t>在政府采购活动中，供应商提供的货物、工程或者服务符合下列情形的，享受中小企业扶持政策：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4.3.3对于未预留份额专门面向中小企业的政府采购货物或服务项目，以及预留份额政府采购货物或服务项目中的非预留部分标项，对小型和微型企业的最终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360" w:lineRule="auto"/>
        <w:ind w:firstLine="480" w:firstLineChars="200"/>
        <w:rPr>
          <w:rFonts w:hint="eastAsia"/>
          <w:color w:val="auto"/>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5.2.2.1质疑提交形式：以</w:t>
      </w:r>
      <w:r>
        <w:rPr>
          <w:rFonts w:hint="eastAsia" w:ascii="仿宋" w:hAnsi="仿宋" w:eastAsia="仿宋" w:cs="仿宋"/>
          <w:color w:val="auto"/>
          <w:sz w:val="24"/>
          <w:highlight w:val="none"/>
        </w:rPr>
        <w:t>书面形式</w:t>
      </w:r>
      <w:r>
        <w:rPr>
          <w:rFonts w:hint="eastAsia" w:ascii="仿宋" w:hAnsi="仿宋" w:eastAsia="仿宋" w:cs="仿宋"/>
          <w:snapToGrid/>
          <w:color w:val="auto"/>
          <w:kern w:val="2"/>
          <w:sz w:val="24"/>
          <w:highlight w:val="none"/>
        </w:rPr>
        <w:t>向采购公告中载明的质疑联系人提交</w:t>
      </w:r>
      <w:r>
        <w:rPr>
          <w:rFonts w:hint="eastAsia" w:ascii="仿宋" w:hAnsi="仿宋" w:eastAsia="仿宋" w:cs="仿宋"/>
          <w:color w:val="auto"/>
          <w:sz w:val="24"/>
          <w:highlight w:val="none"/>
        </w:rPr>
        <w:t>或登录政采云平台（https://www.zcygov.cn/）通过“询问质疑投诉”栏向采购机构内设的质疑联系人提交并上传书面质疑材料。</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color w:val="auto"/>
          <w:sz w:val="24"/>
          <w:highlight w:val="none"/>
        </w:rPr>
        <w:t>5.2.2.2</w:t>
      </w:r>
      <w:r>
        <w:rPr>
          <w:rFonts w:hint="eastAsia" w:ascii="仿宋" w:hAnsi="仿宋" w:eastAsia="仿宋" w:cs="仿宋"/>
          <w:snapToGrid/>
          <w:color w:val="auto"/>
          <w:kern w:val="2"/>
          <w:sz w:val="24"/>
          <w:highlight w:val="none"/>
        </w:rPr>
        <w:t>对采购文件提出质疑的，质疑期限为供应商获得采购文件之日或者采购文件公告期限届满之日起计算。</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5.2.2.3对采购过程提出质疑的，质疑期限为各采购程序环节结束之日起计算。对同一采购程序环节的质疑，供应商须一次性提出。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5.2.2.4对采购结果提出质疑的，质疑期限自采购结果公告期限届满之日起计算。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.2.3.5必要的法律依据；</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.2.3.6提出质疑的日期。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公平竞争打造最优营商环境的通知》（浙财采监〔2021〕22号）,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.2.5询问或者质疑事项可能影响采购结果的，采购人应当暂停签订合同，已经签订合同的，应当中止履行合同。</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.3供应商投诉</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5.3.2供应商投诉的事项不得超出已质疑事项的范围，基于质疑答复内容提出的投诉事项除外。</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5.3.3供应商投诉应当有明确的请求和必要的证明材料。</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5.3.5 以联合体形式参加政府采购活动的，其投诉应当由组成联合体的所有供应商共同提出。</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w:t>
      </w:r>
      <w:r>
        <w:rPr>
          <w:rStyle w:val="79"/>
          <w:rFonts w:hint="eastAsia" w:ascii="仿宋" w:eastAsia="仿宋" w:cs="仿宋"/>
          <w:color w:val="auto"/>
          <w:highlight w:val="none"/>
        </w:rPr>
        <w:t xml:space="preserve">   </w:t>
      </w:r>
      <w:bookmarkStart w:id="22" w:name="_Toc13895"/>
      <w:r>
        <w:rPr>
          <w:rStyle w:val="79"/>
          <w:rFonts w:hint="eastAsia" w:ascii="仿宋" w:eastAsia="仿宋" w:cs="仿宋"/>
          <w:color w:val="auto"/>
          <w:highlight w:val="none"/>
        </w:rPr>
        <w:t>二、采购文件的构成、澄清、修改</w:t>
      </w:r>
      <w:bookmarkEnd w:id="22"/>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6．采购文件的构成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采购文件包括下列文件及附件：</w:t>
      </w:r>
    </w:p>
    <w:p>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6.1.1采购公告；</w:t>
      </w:r>
    </w:p>
    <w:p>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6.1.2供应商须知；</w:t>
      </w:r>
    </w:p>
    <w:p>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6.1.3采购需求；</w:t>
      </w:r>
    </w:p>
    <w:p>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6.1.4评审办法；</w:t>
      </w:r>
    </w:p>
    <w:p>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6.1.5拟签订的合同文本；</w:t>
      </w:r>
    </w:p>
    <w:p>
      <w:pPr>
        <w:pStyle w:val="33"/>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6.1.6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采购文件的澄清、修改</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7.1已获取采购文件的潜在供应商，若有问题需要澄清，应于响应截止时间前，以书面形式向采购代理机构提出。</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7.2 采购代理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pStyle w:val="2"/>
        <w:jc w:val="center"/>
        <w:rPr>
          <w:rFonts w:hint="eastAsia" w:ascii="仿宋" w:eastAsia="仿宋" w:cs="仿宋"/>
          <w:color w:val="auto"/>
          <w:highlight w:val="none"/>
        </w:rPr>
      </w:pPr>
      <w:bookmarkStart w:id="23" w:name="_Toc22850"/>
      <w:r>
        <w:rPr>
          <w:rFonts w:hint="eastAsia" w:ascii="仿宋" w:eastAsia="仿宋" w:cs="仿宋"/>
          <w:color w:val="auto"/>
          <w:highlight w:val="none"/>
        </w:rPr>
        <w:t>三、</w:t>
      </w:r>
      <w:bookmarkEnd w:id="23"/>
      <w:r>
        <w:rPr>
          <w:rFonts w:hint="eastAsia" w:ascii="仿宋" w:eastAsia="仿宋" w:cs="仿宋"/>
          <w:color w:val="auto"/>
          <w:highlight w:val="none"/>
        </w:rPr>
        <w:t>磋商响应</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采购文件的获取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详见采购公告中获取采购文件的时间期限、地点、方式及采购文件售价。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9.响应文件开启前答疑会或现场考察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10.磋商保证金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响应文件开启时间的语言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响应文件开启时间及供应商与采购有关的来往通知、函件和文件均应使用中文。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 响应文件开启时间的组成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pStyle w:val="465"/>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highlight w:val="none"/>
        </w:rPr>
        <w:t>12.1.1提供符合参加政府采购活动应当具备的一般条件的承诺函及有效的企业营业执照（或事业法人登记证书或其它工商等登记证明材料，自然人提供身份证)复制件（如为联合体，则联合体各方均应提供）</w:t>
      </w:r>
      <w:r>
        <w:rPr>
          <w:rFonts w:hint="eastAsia" w:ascii="仿宋" w:hAnsi="仿宋" w:eastAsia="仿宋" w:cs="仿宋"/>
          <w:color w:val="auto"/>
          <w:szCs w:val="21"/>
          <w:highlight w:val="none"/>
        </w:rPr>
        <w:t>（五选一）：</w:t>
      </w:r>
    </w:p>
    <w:p>
      <w:pPr>
        <w:pStyle w:val="465"/>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①如供应商是企业（包括合伙企业），提供在工商部门注册的有效“企业法人营业执照”或“营业执照”；</w:t>
      </w:r>
    </w:p>
    <w:p>
      <w:pPr>
        <w:pStyle w:val="465"/>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②如供应商是事业单位，提供有效的“事业单位法人证书”；</w:t>
      </w:r>
    </w:p>
    <w:p>
      <w:pPr>
        <w:pStyle w:val="465"/>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③如供应商是非企业专业服务机构的，提供执业许可证等证明文件；</w:t>
      </w:r>
    </w:p>
    <w:p>
      <w:pPr>
        <w:pStyle w:val="465"/>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④如供应商是个体工商户，提供有效的“个体工商户营业执照”；</w:t>
      </w:r>
    </w:p>
    <w:p>
      <w:pPr>
        <w:pStyle w:val="465"/>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⑤如供应商是自然人，提供有效的自然人身份证明（居民身份证正反面或公安机关出具的临时居民身份证正反面或港澳台胞证或护照）。</w:t>
      </w:r>
    </w:p>
    <w:p>
      <w:pPr>
        <w:pStyle w:val="465"/>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12.1.2落实政府采购政策需满足的资格要求</w:t>
      </w:r>
      <w:r>
        <w:rPr>
          <w:rFonts w:hint="eastAsia" w:ascii="仿宋" w:hAnsi="仿宋" w:eastAsia="仿宋" w:cs="仿宋"/>
          <w:color w:val="auto"/>
          <w:sz w:val="24"/>
          <w:highlight w:val="none"/>
          <w:lang w:val="zh-CN"/>
        </w:rPr>
        <w:t>证明材料</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12.1.3本项目的特定资格</w:t>
      </w:r>
      <w:r>
        <w:rPr>
          <w:rFonts w:hint="eastAsia" w:ascii="仿宋" w:hAnsi="仿宋" w:eastAsia="仿宋" w:cs="仿宋"/>
          <w:color w:val="auto"/>
          <w:sz w:val="24"/>
          <w:highlight w:val="none"/>
          <w:lang w:val="zh-CN"/>
        </w:rPr>
        <w:t>证明材料。</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tabs>
          <w:tab w:val="left" w:pos="942"/>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12.2.1报价声明函；</w:t>
      </w:r>
      <w:r>
        <w:rPr>
          <w:rFonts w:hint="eastAsia" w:ascii="仿宋" w:hAnsi="仿宋" w:eastAsia="仿宋" w:cs="仿宋"/>
          <w:color w:val="auto"/>
          <w:sz w:val="24"/>
          <w:highlight w:val="none"/>
          <w:lang w:val="zh-CN"/>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12.2.2授权委托书或法定代表人（单位负责人、自然人本人）身份证明；</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12.2.3联合协议；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12.2.4分包意向协议；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12.2.5评审标准相应的商务技术资料；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12.2.6商务技术偏离表；</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供应商认为需要提供的其他材料。</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12.3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12.3.1报价一览表；</w:t>
      </w:r>
    </w:p>
    <w:p>
      <w:pPr>
        <w:snapToGrid w:val="0"/>
        <w:spacing w:line="360" w:lineRule="auto"/>
        <w:ind w:firstLine="480" w:firstLineChars="200"/>
        <w:rPr>
          <w:rFonts w:hint="eastAsia"/>
          <w:color w:val="auto"/>
          <w:highlight w:val="none"/>
        </w:rPr>
      </w:pPr>
      <w:r>
        <w:rPr>
          <w:rFonts w:hint="eastAsia" w:ascii="仿宋" w:hAnsi="仿宋" w:eastAsia="仿宋" w:cs="仿宋"/>
          <w:color w:val="auto"/>
          <w:sz w:val="24"/>
          <w:highlight w:val="none"/>
        </w:rPr>
        <w:t>12.3.2分项报价表；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12.3.4中小企业声明函（残疾人福利性单位声明函、监狱企业提供的相关证明材料）</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响应文件开启时间含有采购人不能接受的附加条件的，响应无效；</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 xml:space="preserve">供应商提供虚假材料响应的，响应无效。 </w:t>
      </w:r>
    </w:p>
    <w:p>
      <w:pPr>
        <w:pStyle w:val="341"/>
        <w:snapToGrid w:val="0"/>
        <w:spacing w:before="0"/>
        <w:ind w:firstLine="0" w:firstLineChars="0"/>
        <w:outlineLvl w:val="0"/>
        <w:rPr>
          <w:rFonts w:hint="eastAsia" w:ascii="仿宋" w:hAnsi="仿宋" w:eastAsia="仿宋" w:cs="仿宋"/>
          <w:b/>
          <w:color w:val="auto"/>
          <w:szCs w:val="24"/>
          <w:highlight w:val="none"/>
        </w:rPr>
      </w:pPr>
      <w:bookmarkStart w:id="24" w:name="_Toc6297"/>
      <w:bookmarkStart w:id="25" w:name="_Toc19035"/>
      <w:bookmarkStart w:id="26" w:name="_Toc23416"/>
      <w:r>
        <w:rPr>
          <w:rFonts w:hint="eastAsia" w:ascii="仿宋" w:hAnsi="仿宋" w:eastAsia="仿宋" w:cs="仿宋"/>
          <w:b/>
          <w:color w:val="auto"/>
          <w:szCs w:val="24"/>
          <w:highlight w:val="none"/>
        </w:rPr>
        <w:t>13</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响应文件开启时间的编制</w:t>
      </w:r>
      <w:bookmarkEnd w:id="24"/>
      <w:bookmarkEnd w:id="25"/>
      <w:bookmarkEnd w:id="26"/>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响应文件开启时间分为资格文件、商务技术文件、报价文件三部分。各供应商在编制响应文件开启时间时请按照采购文件第六部分规定的格式进行，混乱的编排导致响应文件开启时间被误读或磋商小组查找不到有效文件是供应商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供应商进行电子投标应安装客户端软件—“政采云电子交易客户端”，并按照采购文件和电子交易平台的要求编制并加密响应文件开启时间。供应商未按规定加密的响应文件开启时间，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pStyle w:val="341"/>
        <w:snapToGrid w:val="0"/>
        <w:spacing w:before="0"/>
        <w:ind w:firstLine="482"/>
        <w:rPr>
          <w:rFonts w:hint="eastAsia" w:ascii="仿宋" w:hAnsi="仿宋" w:eastAsia="仿宋" w:cs="仿宋"/>
          <w:b/>
          <w:bCs/>
          <w:color w:val="auto"/>
          <w:highlight w:val="none"/>
          <w:u w:val="single"/>
        </w:rPr>
      </w:pPr>
      <w:bookmarkStart w:id="27" w:name="_Toc1765"/>
      <w:r>
        <w:rPr>
          <w:rFonts w:hint="eastAsia" w:ascii="仿宋" w:hAnsi="仿宋" w:eastAsia="仿宋" w:cs="仿宋"/>
          <w:b/>
          <w:color w:val="auto"/>
          <w:szCs w:val="24"/>
          <w:highlight w:val="none"/>
        </w:rPr>
        <w:t>14</w:t>
      </w:r>
      <w:bookmarkEnd w:id="27"/>
      <w:r>
        <w:rPr>
          <w:rFonts w:hint="eastAsia" w:ascii="仿宋" w:hAnsi="仿宋" w:eastAsia="仿宋" w:cs="仿宋"/>
          <w:b/>
          <w:color w:val="auto"/>
          <w:szCs w:val="24"/>
          <w:highlight w:val="none"/>
        </w:rPr>
        <w:t>磋商报价</w:t>
      </w:r>
    </w:p>
    <w:p>
      <w:pPr>
        <w:pStyle w:val="341"/>
        <w:snapToGrid w:val="0"/>
        <w:spacing w:before="0"/>
        <w:ind w:firstLine="482"/>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14.</w:t>
      </w:r>
      <w:r>
        <w:rPr>
          <w:rFonts w:hint="eastAsia" w:ascii="仿宋" w:hAnsi="仿宋" w:eastAsia="仿宋" w:cs="仿宋"/>
          <w:b/>
          <w:bCs/>
          <w:color w:val="auto"/>
          <w:highlight w:val="none"/>
          <w:u w:val="single"/>
          <w:lang w:val="zh-CN"/>
        </w:rPr>
        <w:t>1 ▲</w:t>
      </w:r>
      <w:r>
        <w:rPr>
          <w:rFonts w:hint="eastAsia" w:ascii="仿宋" w:hAnsi="仿宋" w:eastAsia="仿宋" w:cs="仿宋"/>
          <w:b/>
          <w:bCs/>
          <w:color w:val="auto"/>
          <w:highlight w:val="none"/>
          <w:u w:val="single"/>
        </w:rPr>
        <w:t xml:space="preserve">磋商报价形式: </w:t>
      </w:r>
      <w:r>
        <w:rPr>
          <w:rFonts w:hint="eastAsia" w:ascii="仿宋" w:hAnsi="仿宋" w:eastAsia="仿宋" w:cs="仿宋"/>
          <w:color w:val="auto"/>
          <w:highlight w:val="none"/>
          <w:u w:val="single"/>
        </w:rPr>
        <w:sym w:font="Wingdings" w:char="00FE"/>
      </w:r>
      <w:r>
        <w:rPr>
          <w:rFonts w:hint="eastAsia" w:ascii="仿宋" w:hAnsi="仿宋" w:eastAsia="仿宋" w:cs="仿宋"/>
          <w:b/>
          <w:bCs/>
          <w:color w:val="auto"/>
          <w:highlight w:val="none"/>
          <w:u w:val="single"/>
        </w:rPr>
        <w:t>人民币总价报价</w:t>
      </w:r>
    </w:p>
    <w:p>
      <w:pPr>
        <w:pStyle w:val="341"/>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 xml:space="preserve">14.2 </w:t>
      </w: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人民币总价报价：</w:t>
      </w:r>
      <w:r>
        <w:rPr>
          <w:rFonts w:hint="eastAsia" w:ascii="仿宋" w:hAnsi="仿宋" w:eastAsia="仿宋" w:cs="仿宋"/>
          <w:color w:val="auto"/>
          <w:highlight w:val="none"/>
          <w:lang w:val="zh-CN"/>
        </w:rPr>
        <w:t>有关本项目实施所需的所有费用（含税费）均计入报价。</w:t>
      </w:r>
      <w:r>
        <w:rPr>
          <w:rFonts w:hint="eastAsia" w:ascii="仿宋" w:hAnsi="仿宋" w:eastAsia="仿宋" w:cs="仿宋"/>
          <w:color w:val="auto"/>
          <w:highlight w:val="none"/>
        </w:rPr>
        <w:t>报价一览表是报价的唯一载体</w:t>
      </w:r>
      <w:r>
        <w:rPr>
          <w:rFonts w:hint="eastAsia" w:ascii="仿宋" w:hAnsi="仿宋" w:eastAsia="仿宋" w:cs="仿宋"/>
          <w:color w:val="auto"/>
          <w:highlight w:val="none"/>
          <w:lang w:val="zh-CN"/>
        </w:rPr>
        <w:t>。响应文件开启时间中价格全部采用人民币报价。采购文件未列明，而供应商认为必需的费用也需列入报价。</w:t>
      </w:r>
    </w:p>
    <w:p>
      <w:pPr>
        <w:pStyle w:val="341"/>
        <w:snapToGrid w:val="0"/>
        <w:spacing w:before="0"/>
        <w:ind w:firstLine="480"/>
        <w:rPr>
          <w:rFonts w:hint="eastAsia" w:ascii="仿宋" w:hAnsi="仿宋" w:eastAsia="仿宋" w:cs="仿宋"/>
          <w:b/>
          <w:bCs/>
          <w:color w:val="auto"/>
          <w:highlight w:val="none"/>
          <w:lang w:val="zh-CN"/>
        </w:rPr>
      </w:pPr>
      <w:r>
        <w:rPr>
          <w:rFonts w:hint="eastAsia" w:ascii="仿宋" w:hAnsi="仿宋" w:eastAsia="仿宋" w:cs="仿宋"/>
          <w:color w:val="auto"/>
          <w:highlight w:val="none"/>
        </w:rPr>
        <w:t>14.3</w:t>
      </w:r>
      <w:r>
        <w:rPr>
          <w:rFonts w:hint="eastAsia" w:ascii="仿宋" w:hAnsi="仿宋" w:eastAsia="仿宋" w:cs="仿宋"/>
          <w:b/>
          <w:bCs/>
          <w:color w:val="auto"/>
          <w:highlight w:val="none"/>
          <w:u w:val="single"/>
        </w:rPr>
        <w:t>▲所响应项只允许有一个报价，不接受有选择报价的响应文件开启时间。</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15.响应文件开启时间的签署、盖章</w:t>
      </w:r>
    </w:p>
    <w:p>
      <w:pPr>
        <w:pStyle w:val="34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15.1响应文件开启时间按照采购文件第六部分格式要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u w:val="single"/>
        </w:rPr>
        <w:t>▲供应商的响应文件开启时间未按照采购文件要求签署、盖章的，其响应无效</w:t>
      </w:r>
      <w:r>
        <w:rPr>
          <w:rFonts w:hint="eastAsia" w:ascii="仿宋" w:hAnsi="仿宋" w:eastAsia="仿宋" w:cs="仿宋"/>
          <w:color w:val="auto"/>
          <w:szCs w:val="24"/>
          <w:highlight w:val="none"/>
          <w:u w:val="single"/>
        </w:rPr>
        <w:t>。</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15.2为确保网上操作合法、有效和安全，供应商应当在响应截止时间前完成在“政府采购云平台”的身份认证，确保在电子投标过程中能够对相关数据电文进行加密和使用电子签名。</w:t>
      </w:r>
    </w:p>
    <w:p>
      <w:pPr>
        <w:pStyle w:val="3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15.3采购文件对响应文件开启时间签署、盖章的要求适用于电子签名。</w:t>
      </w:r>
    </w:p>
    <w:p>
      <w:pPr>
        <w:pStyle w:val="34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 响应文件开启时间的提交、补充、修改、撤回</w:t>
      </w:r>
    </w:p>
    <w:p>
      <w:pPr>
        <w:pStyle w:val="34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 供应商应当在响应截止时间</w:t>
      </w:r>
      <w:r>
        <w:rPr>
          <w:rFonts w:hint="eastAsia" w:ascii="仿宋" w:hAnsi="仿宋" w:eastAsia="仿宋" w:cs="仿宋"/>
          <w:color w:val="auto"/>
          <w:highlight w:val="none"/>
        </w:rPr>
        <w:t>前将加密的响应文件开启时间上传至政府采购云平台，</w:t>
      </w:r>
      <w:r>
        <w:rPr>
          <w:rFonts w:hint="eastAsia" w:ascii="仿宋" w:hAnsi="仿宋" w:eastAsia="仿宋" w:cs="仿宋"/>
          <w:color w:val="auto"/>
          <w:szCs w:val="24"/>
          <w:highlight w:val="none"/>
        </w:rPr>
        <w:t>并可以补充、修改或者撤回响应文件开启时间。补充或者修改响应文件开启时间的，应当先行撤回原文件，补充、修改后重新传输递交。响应截止时间前未完成传输的，视为撤回响应文件开启时间。响应截止时间后递交的响应文件开启时间，电子交易平台将拒收。</w:t>
      </w:r>
    </w:p>
    <w:p>
      <w:pPr>
        <w:pStyle w:val="3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电子交易平台收到响应文件开启时间，将妥善保存并即时向供应商发出确认回执通知。在响应截止时间前，除供应商补充、修改或者撤回响应文件开启时间外，任何单位和个人不得解密或提取响应文件开启时间。</w:t>
      </w:r>
    </w:p>
    <w:p>
      <w:pPr>
        <w:pStyle w:val="3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16.3采购人、采购代理机构可以视情况延长响应文件开启时间提交的截止时间。在上述情况下，采购代理机构与供应商以前在响应截止期方面的全部权利、责任和义务，将适用于延长至新的响应截止期。</w:t>
      </w:r>
    </w:p>
    <w:p>
      <w:pPr>
        <w:pStyle w:val="3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16.4备份响应文件开启时间</w:t>
      </w:r>
    </w:p>
    <w:p>
      <w:pPr>
        <w:pStyle w:val="33"/>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16.4</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备份响应文件开启时间”是指与“电子加密响应文件开启时间”同时生成的数据电文形式的电子文件（备份标书），其他方式编制的备份响应文件开启时间视为无效备份响应文件开启时间。</w:t>
      </w:r>
    </w:p>
    <w:p>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为确保采购项目顺利实施，避免因政采云上电子响应文件开启时间解密失败导致供应商响应无效，</w:t>
      </w:r>
      <w:r>
        <w:rPr>
          <w:rFonts w:hint="eastAsia" w:ascii="仿宋" w:hAnsi="仿宋" w:eastAsia="仿宋" w:cs="仿宋"/>
          <w:color w:val="auto"/>
          <w:sz w:val="24"/>
          <w:szCs w:val="24"/>
          <w:highlight w:val="none"/>
        </w:rPr>
        <w:t>供应商在电子交易平台传输递交响应文件开启时间后，还可以在响应截止时间前提交电文文档形式的备份响应文件开启时间，备份响应文件开启时间提交形式：</w:t>
      </w:r>
    </w:p>
    <w:p>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szCs w:val="24"/>
          <w:highlight w:val="none"/>
        </w:rPr>
        <w:t>以电子邮件形式将生成的备份响应文件开启时间发送到采购代理机构邮箱号：</w:t>
      </w:r>
      <w:r>
        <w:rPr>
          <w:rFonts w:hint="eastAsia" w:ascii="仿宋" w:hAnsi="仿宋" w:eastAsia="仿宋" w:cs="仿宋"/>
          <w:color w:val="auto"/>
          <w:sz w:val="24"/>
          <w:szCs w:val="24"/>
          <w:highlight w:val="none"/>
          <w:u w:val="single"/>
        </w:rPr>
        <w:t>516875482@qq.com，</w:t>
      </w:r>
      <w:r>
        <w:rPr>
          <w:rFonts w:hint="eastAsia" w:ascii="仿宋" w:hAnsi="仿宋" w:eastAsia="仿宋" w:cs="仿宋"/>
          <w:color w:val="auto"/>
          <w:sz w:val="24"/>
          <w:szCs w:val="24"/>
          <w:highlight w:val="none"/>
        </w:rPr>
        <w:t>备份响应文件开启时间签收人员联系方式：</w:t>
      </w:r>
      <w:r>
        <w:rPr>
          <w:rFonts w:hint="eastAsia" w:ascii="仿宋" w:hAnsi="仿宋" w:eastAsia="仿宋" w:cs="仿宋"/>
          <w:color w:val="auto"/>
          <w:sz w:val="24"/>
          <w:szCs w:val="24"/>
          <w:highlight w:val="none"/>
          <w:u w:val="single"/>
        </w:rPr>
        <w:t xml:space="preserve"> 齐贺15088550610 </w:t>
      </w:r>
      <w:r>
        <w:rPr>
          <w:rFonts w:hint="eastAsia" w:ascii="仿宋" w:hAnsi="仿宋" w:eastAsia="仿宋" w:cs="仿宋"/>
          <w:color w:val="auto"/>
          <w:sz w:val="24"/>
          <w:szCs w:val="24"/>
          <w:highlight w:val="none"/>
        </w:rPr>
        <w:t>，并注明</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供应商名称、项目编号、项目名称、备份响应文件开启时间</w:t>
      </w:r>
      <w:r>
        <w:rPr>
          <w:rFonts w:hint="eastAsia" w:ascii="仿宋" w:hAnsi="仿宋" w:eastAsia="仿宋" w:cs="仿宋"/>
          <w:color w:val="auto"/>
          <w:sz w:val="24"/>
          <w:szCs w:val="24"/>
          <w:highlight w:val="none"/>
          <w:lang w:val="zh-CN"/>
        </w:rPr>
        <w:t>等”信息，</w:t>
      </w:r>
      <w:r>
        <w:rPr>
          <w:rFonts w:hint="eastAsia" w:ascii="仿宋" w:hAnsi="仿宋" w:eastAsia="仿宋"/>
          <w:b/>
          <w:color w:val="auto"/>
          <w:sz w:val="24"/>
          <w:szCs w:val="24"/>
          <w:highlight w:val="none"/>
        </w:rPr>
        <w:t>不符合上述制作</w:t>
      </w:r>
      <w:r>
        <w:rPr>
          <w:rFonts w:hint="eastAsia" w:ascii="仿宋" w:hAnsi="仿宋" w:eastAsia="仿宋" w:cs="仿宋_GB2312"/>
          <w:b/>
          <w:color w:val="auto"/>
          <w:sz w:val="24"/>
          <w:szCs w:val="24"/>
          <w:highlight w:val="none"/>
        </w:rPr>
        <w:t>规定的备份响应文件开启时间将被视为无效或者被拒绝接收。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解密CA必须是上传并制作电子响应文件开启时间CA锁，</w:t>
      </w:r>
      <w:r>
        <w:rPr>
          <w:rFonts w:hint="eastAsia" w:ascii="仿宋" w:hAnsi="仿宋" w:eastAsia="仿宋" w:cs="仿宋"/>
          <w:b/>
          <w:color w:val="auto"/>
          <w:sz w:val="24"/>
          <w:szCs w:val="24"/>
          <w:highlight w:val="none"/>
        </w:rPr>
        <w:t>但采购人、采购代理机构不强制或变相强制供应商提交备份响应文件开启时间。</w:t>
      </w:r>
    </w:p>
    <w:p>
      <w:pPr>
        <w:pStyle w:val="33"/>
        <w:spacing w:line="360" w:lineRule="auto"/>
        <w:ind w:firstLine="477" w:firstLineChars="19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16.4</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供应商仅提交备份响应文件开启时间，没有在电子交易平台传输递交响应文件开启时间的，响应无效。</w:t>
      </w:r>
    </w:p>
    <w:p>
      <w:pPr>
        <w:pStyle w:val="34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17.磋商有效期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17.1磋商有效期详见响应须知前附表。</w:t>
      </w:r>
      <w:r>
        <w:rPr>
          <w:rFonts w:hint="eastAsia" w:ascii="仿宋" w:hAnsi="仿宋" w:eastAsia="仿宋" w:cs="仿宋"/>
          <w:color w:val="auto"/>
          <w:sz w:val="24"/>
          <w:szCs w:val="20"/>
          <w:highlight w:val="none"/>
          <w:u w:val="single"/>
        </w:rPr>
        <w:t>▲</w:t>
      </w:r>
      <w:r>
        <w:rPr>
          <w:rFonts w:hint="eastAsia" w:ascii="仿宋" w:hAnsi="仿宋" w:eastAsia="仿宋" w:cs="仿宋"/>
          <w:b/>
          <w:color w:val="auto"/>
          <w:sz w:val="24"/>
          <w:szCs w:val="20"/>
          <w:highlight w:val="none"/>
          <w:u w:val="single"/>
        </w:rPr>
        <w:t>供应商的响应文件开启时间中承</w:t>
      </w:r>
      <w:r>
        <w:rPr>
          <w:rFonts w:hint="eastAsia" w:ascii="仿宋" w:hAnsi="仿宋" w:eastAsia="仿宋" w:cs="仿宋"/>
          <w:b/>
          <w:color w:val="auto"/>
          <w:sz w:val="24"/>
          <w:szCs w:val="21"/>
          <w:highlight w:val="none"/>
          <w:u w:val="single"/>
        </w:rPr>
        <w:t>诺的磋商有效期少于采购文件中载明的磋商有效期的，响应无效。</w:t>
      </w:r>
    </w:p>
    <w:p>
      <w:pPr>
        <w:pStyle w:val="3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17.2响应文件开启时间合格投递后，自响应截止日期起，在磋商有效期内有效。</w:t>
      </w:r>
    </w:p>
    <w:p>
      <w:pPr>
        <w:pStyle w:val="3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17.3在原定磋商有效期满之前，如果出现特殊情况，采购代理机构可以以书面形式通知供应商延长磋商有效期。供应商同意延长的，不得要求或被允许修改其响应文件开启时间，供应商拒绝延长的，其响应无效。</w:t>
      </w:r>
    </w:p>
    <w:p>
      <w:pPr>
        <w:pStyle w:val="341"/>
        <w:spacing w:before="0"/>
        <w:ind w:firstLine="1063" w:firstLineChars="331"/>
        <w:rPr>
          <w:rFonts w:hint="eastAsia" w:ascii="仿宋" w:hAnsi="仿宋" w:eastAsia="仿宋" w:cs="仿宋"/>
          <w:b/>
          <w:color w:val="auto"/>
          <w:sz w:val="32"/>
          <w:highlight w:val="none"/>
        </w:rPr>
      </w:pPr>
    </w:p>
    <w:p>
      <w:pPr>
        <w:pStyle w:val="2"/>
        <w:jc w:val="center"/>
        <w:rPr>
          <w:rStyle w:val="79"/>
          <w:rFonts w:hint="eastAsia" w:ascii="仿宋" w:eastAsia="仿宋" w:cs="仿宋"/>
          <w:b/>
          <w:bCs/>
          <w:color w:val="auto"/>
          <w:kern w:val="2"/>
          <w:highlight w:val="none"/>
        </w:rPr>
      </w:pPr>
      <w:bookmarkStart w:id="28" w:name="_Toc9641"/>
      <w:r>
        <w:rPr>
          <w:rStyle w:val="79"/>
          <w:rFonts w:hint="eastAsia" w:ascii="仿宋" w:eastAsia="仿宋" w:cs="仿宋"/>
          <w:b/>
          <w:bCs/>
          <w:color w:val="auto"/>
          <w:kern w:val="2"/>
          <w:highlight w:val="none"/>
        </w:rPr>
        <w:t>四、响应文件开启、资格审查与信用信息查询</w:t>
      </w:r>
      <w:bookmarkEnd w:id="28"/>
    </w:p>
    <w:p>
      <w:pPr>
        <w:pStyle w:val="58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pPr>
        <w:pStyle w:val="58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18.1采购代理机构按照采购文件规定的时间通过电子交易平台组织响应文件开启，所有供应商均应当准时在线参加。供应商不足3家的，不得开标。</w:t>
      </w:r>
    </w:p>
    <w:p>
      <w:pPr>
        <w:pStyle w:val="58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关于政府采购竞争性磋商采购方式管理暂行办法有关问题的补充通知》（财库【2015】124号文件）的规定，采用竞争性磋商采购方式采购的政府购买服务项目（含政府和社会资本合作项目），在采购过程中符合要求的供应商只有2家的，竞争性磋商采购活动可以继续进行。采购过程中符合要求的供应商只有1家的，应当终止竞争性磋商采购活动。”</w:t>
      </w:r>
    </w:p>
    <w:p>
      <w:pPr>
        <w:pStyle w:val="58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18.2响应文件开启时，电子交易平台按响应文件开启时间自动提取所有响应文件开启时间。采购代理机构依托电子交易平台发起开始解密指令，供应商按照平台提示和采购文件的规定在半小时内完成在线解密。</w:t>
      </w:r>
    </w:p>
    <w:p>
      <w:pPr>
        <w:pStyle w:val="58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响应文件开启时间未按时解密，供应商提供了备份响应文件开启时间的，以备份响应文件开启时间作为依据，否则视为响应文件开启时间撤回。响应文件开启时间已按时解密的，备份响应文件开启时间自动失效。</w:t>
      </w:r>
    </w:p>
    <w:p>
      <w:pPr>
        <w:pStyle w:val="583"/>
        <w:spacing w:before="0" w:line="360" w:lineRule="auto"/>
        <w:ind w:left="0" w:firstLine="241" w:firstLineChars="10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pPr>
        <w:pStyle w:val="3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19.1响应文件开启后，采购人或采购代理机构将依法对供应商的资格进行审查。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采购人或采购代理机构依据法律法规和采购文件的规定，对供应商的基本资格条件、特定资格条件等进行审查。</w:t>
      </w:r>
    </w:p>
    <w:p>
      <w:pPr>
        <w:pStyle w:val="3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供应商不具备采购文件中规定的资格要求，其响应无效。</w:t>
      </w:r>
    </w:p>
    <w:p>
      <w:pPr>
        <w:pStyle w:val="3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4对未通过资格审查的供应商，采购人或采购代理机构告知其未通过的原因。</w:t>
      </w:r>
    </w:p>
    <w:p>
      <w:pPr>
        <w:pStyle w:val="3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5合格供应商不足3家的，不再评标。</w:t>
      </w:r>
    </w:p>
    <w:p>
      <w:pPr>
        <w:pStyle w:val="34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34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20.1信用信息查询渠道及截止时间：采购代理机构将通过“信用中国”网站(www.creditchina.gov.cn)、中国政府采购网(www.ccgp.gov.cn)渠道查询供应商响应截止时间当天的信用记录。</w:t>
      </w:r>
    </w:p>
    <w:p>
      <w:pPr>
        <w:pStyle w:val="34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pPr>
        <w:pStyle w:val="34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3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341"/>
        <w:spacing w:before="0"/>
        <w:ind w:firstLine="0" w:firstLineChars="0"/>
        <w:rPr>
          <w:rFonts w:hint="eastAsia" w:ascii="仿宋" w:hAnsi="仿宋" w:eastAsia="仿宋" w:cs="仿宋"/>
          <w:color w:val="auto"/>
          <w:kern w:val="0"/>
          <w:szCs w:val="24"/>
          <w:highlight w:val="none"/>
        </w:rPr>
      </w:pPr>
    </w:p>
    <w:p>
      <w:pPr>
        <w:pStyle w:val="2"/>
        <w:jc w:val="center"/>
        <w:rPr>
          <w:rStyle w:val="79"/>
          <w:rFonts w:hint="eastAsia" w:ascii="仿宋" w:eastAsia="仿宋" w:cs="仿宋"/>
          <w:b/>
          <w:bCs/>
          <w:color w:val="auto"/>
          <w:kern w:val="2"/>
          <w:highlight w:val="none"/>
        </w:rPr>
      </w:pPr>
      <w:bookmarkStart w:id="29" w:name="_Toc4576"/>
      <w:r>
        <w:rPr>
          <w:rStyle w:val="79"/>
          <w:rFonts w:hint="eastAsia" w:ascii="仿宋" w:eastAsia="仿宋" w:cs="仿宋"/>
          <w:b/>
          <w:bCs/>
          <w:color w:val="auto"/>
          <w:kern w:val="2"/>
          <w:highlight w:val="none"/>
        </w:rPr>
        <w:t>五、</w:t>
      </w:r>
      <w:bookmarkEnd w:id="29"/>
      <w:r>
        <w:rPr>
          <w:rStyle w:val="79"/>
          <w:rFonts w:hint="eastAsia" w:ascii="仿宋" w:eastAsia="仿宋" w:cs="仿宋"/>
          <w:b/>
          <w:bCs/>
          <w:color w:val="auto"/>
          <w:kern w:val="2"/>
          <w:highlight w:val="none"/>
        </w:rPr>
        <w:t>评审</w:t>
      </w:r>
    </w:p>
    <w:p>
      <w:pPr>
        <w:spacing w:line="360" w:lineRule="auto"/>
        <w:rPr>
          <w:rFonts w:hint="eastAsia" w:ascii="仿宋" w:hAnsi="仿宋" w:eastAsia="仿宋" w:cs="仿宋"/>
          <w:bCs/>
          <w:color w:val="auto"/>
          <w:sz w:val="24"/>
          <w:highlight w:val="none"/>
        </w:rPr>
      </w:pPr>
      <w:bookmarkStart w:id="30" w:name="_Toc91899903"/>
      <w:r>
        <w:rPr>
          <w:rFonts w:hint="eastAsia" w:ascii="仿宋" w:hAnsi="仿宋" w:eastAsia="仿宋" w:cs="仿宋"/>
          <w:bCs/>
          <w:color w:val="auto"/>
          <w:sz w:val="24"/>
          <w:highlight w:val="none"/>
        </w:rPr>
        <w:t>21.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审过程的保密性。响应文件开启后直至向成交供应商授予合同时止，凡与招标有关的资料均不得向供应商及与本次采购无关人员透露。如果供应商在评审过程中试图向招标采购单位和磋商小组成员施加影响，或扰乱响应文件开启和评审秩序，其磋商响应将被拒绝。</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详见采购文件第四部分评审办法。</w:t>
      </w:r>
    </w:p>
    <w:p>
      <w:pPr>
        <w:pStyle w:val="2"/>
        <w:jc w:val="center"/>
        <w:rPr>
          <w:rStyle w:val="79"/>
          <w:rFonts w:hint="eastAsia" w:ascii="仿宋" w:eastAsia="仿宋" w:cs="仿宋"/>
          <w:b/>
          <w:bCs/>
          <w:color w:val="auto"/>
          <w:kern w:val="2"/>
          <w:highlight w:val="none"/>
        </w:rPr>
      </w:pPr>
      <w:bookmarkStart w:id="31" w:name="_Toc29955"/>
      <w:r>
        <w:rPr>
          <w:rStyle w:val="79"/>
          <w:rFonts w:hint="eastAsia" w:ascii="仿宋" w:eastAsia="仿宋" w:cs="仿宋"/>
          <w:b/>
          <w:bCs/>
          <w:color w:val="auto"/>
          <w:kern w:val="2"/>
          <w:highlight w:val="none"/>
        </w:rPr>
        <w:t>六、</w:t>
      </w:r>
      <w:bookmarkEnd w:id="31"/>
      <w:r>
        <w:rPr>
          <w:rStyle w:val="79"/>
          <w:rFonts w:hint="eastAsia" w:ascii="仿宋" w:eastAsia="仿宋" w:cs="仿宋"/>
          <w:b/>
          <w:bCs/>
          <w:color w:val="auto"/>
          <w:kern w:val="2"/>
          <w:highlight w:val="none"/>
        </w:rPr>
        <w:t>评审结果确定</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pPr>
        <w:pStyle w:val="34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采购人将自收到评审报告之日起5个工作日内通过电子交易平台在评审报告推荐的成交候选人中按顺序确定成交供应商。</w:t>
      </w:r>
    </w:p>
    <w:p>
      <w:pPr>
        <w:pStyle w:val="34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23.1自成交供应商确定之日起2个工作日内，采购代理机构通过电子交易平台向成交供应商发出成交通知书，同时编制发布采购结果公告。采购代理机构也可以以纸质形式进行成交通知。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启记录、未成交情况说明、成交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pStyle w:val="2"/>
        <w:jc w:val="center"/>
        <w:rPr>
          <w:rStyle w:val="79"/>
          <w:rFonts w:hint="eastAsia" w:ascii="仿宋" w:eastAsia="仿宋" w:cs="仿宋"/>
          <w:b/>
          <w:bCs/>
          <w:color w:val="auto"/>
          <w:kern w:val="2"/>
          <w:highlight w:val="none"/>
        </w:rPr>
      </w:pPr>
      <w:bookmarkStart w:id="32" w:name="_Toc11698"/>
      <w:r>
        <w:rPr>
          <w:rStyle w:val="79"/>
          <w:rFonts w:hint="eastAsia" w:ascii="仿宋" w:eastAsia="仿宋" w:cs="仿宋"/>
          <w:b/>
          <w:bCs/>
          <w:color w:val="auto"/>
          <w:kern w:val="2"/>
          <w:highlight w:val="none"/>
        </w:rPr>
        <w:t>七、合同授予</w:t>
      </w:r>
      <w:bookmarkEnd w:id="32"/>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采购人与成交供应商应当通过电子交易平台在成交通知书发出之日起三十日内，按照采购文件确定的事项签订政府采购合同，并在合同签订之日起2个工作日内依法发布合同公告。</w:t>
      </w:r>
    </w:p>
    <w:p>
      <w:pPr>
        <w:pStyle w:val="34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25.4成交供应商拒绝与采购人签订合同的，采购人可以按照评审报告推荐的中标或者成交候选人名单排序，确定下一候选人为成交供应商，也可以重新开展政府采购活动。</w:t>
      </w:r>
    </w:p>
    <w:p>
      <w:pPr>
        <w:pStyle w:val="34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25.5采购合同由采购人与成交供应商根据采购文件、响应文件开启时间等内容通过政府采购电子交易平台在线签订，自动备案。</w:t>
      </w:r>
    </w:p>
    <w:p>
      <w:pPr>
        <w:pStyle w:val="25"/>
        <w:numPr>
          <w:ilvl w:val="0"/>
          <w:numId w:val="5"/>
        </w:numP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履约保证金</w:t>
      </w:r>
    </w:p>
    <w:p>
      <w:pPr>
        <w:ind w:firstLine="480" w:firstLineChars="200"/>
        <w:rPr>
          <w:rFonts w:hint="eastAsia" w:eastAsia="仿宋"/>
          <w:color w:val="auto"/>
          <w:highlight w:val="none"/>
        </w:rPr>
      </w:pPr>
      <w:r>
        <w:rPr>
          <w:rFonts w:hint="eastAsia" w:ascii="仿宋" w:hAnsi="仿宋" w:eastAsia="仿宋" w:cs="仿宋"/>
          <w:color w:val="auto"/>
          <w:sz w:val="24"/>
          <w:highlight w:val="none"/>
        </w:rPr>
        <w:t>不需缴纳</w:t>
      </w:r>
      <w:r>
        <w:rPr>
          <w:rFonts w:hint="eastAsia" w:ascii="仿宋" w:hAnsi="仿宋" w:eastAsia="仿宋" w:cs="仿宋"/>
          <w:bCs/>
          <w:color w:val="auto"/>
          <w:kern w:val="0"/>
          <w:sz w:val="24"/>
          <w:highlight w:val="none"/>
        </w:rPr>
        <w:t xml:space="preserve">。 </w:t>
      </w:r>
    </w:p>
    <w:p>
      <w:pPr>
        <w:pStyle w:val="2"/>
        <w:jc w:val="center"/>
        <w:rPr>
          <w:rStyle w:val="79"/>
          <w:rFonts w:hint="eastAsia" w:ascii="仿宋" w:eastAsia="仿宋" w:cs="仿宋"/>
          <w:b/>
          <w:bCs/>
          <w:color w:val="auto"/>
          <w:kern w:val="2"/>
          <w:highlight w:val="none"/>
        </w:rPr>
      </w:pPr>
    </w:p>
    <w:p>
      <w:pPr>
        <w:pStyle w:val="2"/>
        <w:jc w:val="center"/>
        <w:rPr>
          <w:rStyle w:val="79"/>
          <w:rFonts w:hint="eastAsia" w:ascii="仿宋" w:eastAsia="仿宋" w:cs="仿宋"/>
          <w:b/>
          <w:bCs/>
          <w:color w:val="auto"/>
          <w:kern w:val="2"/>
          <w:highlight w:val="none"/>
        </w:rPr>
      </w:pPr>
      <w:bookmarkStart w:id="33" w:name="_Toc4363"/>
      <w:r>
        <w:rPr>
          <w:rStyle w:val="79"/>
          <w:rFonts w:hint="eastAsia" w:ascii="仿宋" w:eastAsia="仿宋" w:cs="仿宋"/>
          <w:b/>
          <w:bCs/>
          <w:color w:val="auto"/>
          <w:kern w:val="2"/>
          <w:highlight w:val="none"/>
        </w:rPr>
        <w:t>八、电子交易活动的中止</w:t>
      </w:r>
      <w:bookmarkEnd w:id="33"/>
    </w:p>
    <w:p>
      <w:pPr>
        <w:pStyle w:val="34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3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34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2"/>
        <w:jc w:val="center"/>
        <w:rPr>
          <w:rStyle w:val="79"/>
          <w:rFonts w:hint="eastAsia" w:ascii="仿宋" w:eastAsia="仿宋" w:cs="仿宋"/>
          <w:b/>
          <w:bCs/>
          <w:color w:val="auto"/>
          <w:kern w:val="2"/>
          <w:highlight w:val="none"/>
        </w:rPr>
      </w:pPr>
      <w:bookmarkStart w:id="34" w:name="_Toc25540"/>
      <w:r>
        <w:rPr>
          <w:rStyle w:val="79"/>
          <w:rFonts w:hint="eastAsia" w:ascii="仿宋" w:eastAsia="仿宋" w:cs="仿宋"/>
          <w:b/>
          <w:bCs/>
          <w:color w:val="auto"/>
          <w:kern w:val="2"/>
          <w:highlight w:val="none"/>
        </w:rPr>
        <w:t>九、验收</w:t>
      </w:r>
      <w:bookmarkEnd w:id="34"/>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0"/>
    <w:p>
      <w:pPr>
        <w:tabs>
          <w:tab w:val="left" w:pos="0"/>
        </w:tabs>
        <w:spacing w:line="360" w:lineRule="auto"/>
        <w:ind w:firstLine="480"/>
        <w:rPr>
          <w:rFonts w:hint="eastAsia" w:ascii="仿宋" w:hAnsi="仿宋" w:eastAsia="仿宋" w:cs="仿宋"/>
          <w:color w:val="auto"/>
          <w:kern w:val="0"/>
          <w:sz w:val="24"/>
          <w:highlight w:val="none"/>
        </w:rPr>
      </w:pPr>
      <w:bookmarkStart w:id="35" w:name="_Hlt68072998"/>
      <w:bookmarkEnd w:id="35"/>
      <w:bookmarkStart w:id="36" w:name="_Hlt68072990"/>
      <w:bookmarkEnd w:id="36"/>
      <w:bookmarkStart w:id="37" w:name="_Hlt68403820"/>
      <w:bookmarkEnd w:id="37"/>
      <w:bookmarkStart w:id="38" w:name="_Hlt75236101"/>
      <w:bookmarkEnd w:id="38"/>
      <w:bookmarkStart w:id="39" w:name="_Hlt74730295"/>
      <w:bookmarkEnd w:id="39"/>
      <w:bookmarkStart w:id="40" w:name="_Hlt68057669"/>
      <w:bookmarkEnd w:id="40"/>
      <w:bookmarkStart w:id="41" w:name="_Hlt74729768"/>
      <w:bookmarkEnd w:id="41"/>
      <w:bookmarkStart w:id="42" w:name="_Hlt74707468"/>
      <w:bookmarkEnd w:id="42"/>
      <w:bookmarkStart w:id="43" w:name="_Hlt75236290"/>
      <w:bookmarkEnd w:id="43"/>
      <w:bookmarkStart w:id="44" w:name="_Hlt74714665"/>
      <w:bookmarkEnd w:id="44"/>
      <w:bookmarkStart w:id="45" w:name="_Hlt68073093"/>
      <w:bookmarkEnd w:id="45"/>
      <w:bookmarkStart w:id="46" w:name="_Hlt75236011"/>
      <w:bookmarkEnd w:id="46"/>
      <w:r>
        <w:rPr>
          <w:rFonts w:hint="eastAsia" w:ascii="仿宋" w:hAnsi="仿宋" w:eastAsia="仿宋" w:cs="仿宋"/>
          <w:color w:val="auto"/>
          <w:kern w:val="0"/>
          <w:sz w:val="24"/>
          <w:highlight w:val="none"/>
        </w:rPr>
        <w:t>29.5履约验收费用由供应商承担，因供应商原因造成验收不通过的，再次验收的费用仍由供应商承担。</w:t>
      </w:r>
    </w:p>
    <w:p>
      <w:pPr>
        <w:pStyle w:val="2"/>
        <w:rPr>
          <w:rFonts w:hint="eastAsia"/>
          <w:color w:val="auto"/>
          <w:highlight w:val="none"/>
        </w:rPr>
        <w:sectPr>
          <w:headerReference r:id="rId4" w:type="first"/>
          <w:footerReference r:id="rId6" w:type="first"/>
          <w:headerReference r:id="rId3" w:type="default"/>
          <w:footerReference r:id="rId5" w:type="default"/>
          <w:pgSz w:w="11906" w:h="16838"/>
          <w:pgMar w:top="1276" w:right="1276" w:bottom="1276" w:left="1276" w:header="851" w:footer="850" w:gutter="0"/>
          <w:pgNumType w:start="1"/>
          <w:cols w:space="720" w:num="1"/>
          <w:titlePg/>
          <w:docGrid w:linePitch="312" w:charSpace="0"/>
        </w:sectPr>
      </w:pPr>
    </w:p>
    <w:bookmarkEnd w:id="14"/>
    <w:bookmarkEnd w:id="15"/>
    <w:p>
      <w:pPr>
        <w:pStyle w:val="2"/>
        <w:jc w:val="center"/>
        <w:rPr>
          <w:rStyle w:val="79"/>
          <w:rFonts w:hint="eastAsia" w:ascii="仿宋" w:eastAsia="仿宋" w:cs="仿宋"/>
          <w:b/>
          <w:bCs/>
          <w:color w:val="auto"/>
          <w:kern w:val="2"/>
          <w:highlight w:val="none"/>
        </w:rPr>
      </w:pPr>
      <w:bookmarkStart w:id="47" w:name="_Toc18048"/>
      <w:bookmarkStart w:id="48" w:name="第四部分"/>
      <w:r>
        <w:rPr>
          <w:rStyle w:val="79"/>
          <w:rFonts w:hint="eastAsia" w:ascii="仿宋" w:eastAsia="仿宋" w:cs="仿宋"/>
          <w:b/>
          <w:bCs/>
          <w:color w:val="auto"/>
          <w:kern w:val="2"/>
          <w:highlight w:val="none"/>
        </w:rPr>
        <w:t>第三部分   采购需求</w:t>
      </w:r>
      <w:bookmarkEnd w:id="47"/>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标项一：公安数字驾驶舱基础模块</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一、标的需求概况</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1.背景介绍。</w:t>
      </w:r>
    </w:p>
    <w:p>
      <w:pPr>
        <w:snapToGrid w:val="0"/>
        <w:spacing w:line="360" w:lineRule="auto"/>
        <w:ind w:firstLine="480" w:firstLineChars="200"/>
        <w:jc w:val="lef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该项目采购需求编制符合财政部《政府采购需求管理办法》相关要求，需求内容按照财政批复的预算要求编制，不存在歧视性设置，具有充分的竞争性。</w:t>
      </w:r>
    </w:p>
    <w:p>
      <w:pPr>
        <w:snapToGrid w:val="0"/>
        <w:spacing w:line="360" w:lineRule="auto"/>
        <w:ind w:firstLine="480" w:firstLineChars="200"/>
        <w:jc w:val="left"/>
        <w:rPr>
          <w:rFonts w:hint="eastAsia" w:ascii="仿宋" w:hAnsi="仿宋" w:eastAsia="仿宋" w:cs="仿宋"/>
          <w:color w:val="auto"/>
          <w:sz w:val="24"/>
          <w:szCs w:val="32"/>
          <w:highlight w:val="none"/>
          <w:lang w:eastAsia="zh-Hans"/>
        </w:rPr>
      </w:pPr>
      <w:r>
        <w:rPr>
          <w:rFonts w:hint="eastAsia" w:ascii="仿宋" w:hAnsi="仿宋" w:eastAsia="仿宋" w:cs="仿宋"/>
          <w:color w:val="auto"/>
          <w:sz w:val="24"/>
          <w:szCs w:val="32"/>
          <w:highlight w:val="none"/>
          <w:lang w:eastAsia="zh-Hans"/>
        </w:rPr>
        <w:t>本项目面向全市公安机关各级领导和工作人员，围绕全市“公安大脑”数字驾驶舱应用体系“一体化建设、标准化运营、常态化应用”的总体目标，遵照省市两级“公安大脑”总体架构，依托温州公安内网数据池、数据指标管理平台、公安八大跑道应用和六大“在线+”领域应用，以数字化牵引公安业务转型升级为目标，构建精准聚焦、分级分类、多级联动、易观易控的“公安大脑”市县一体化数字驾驶舱应用体系，统筹推进指标体系建设，综合集成各类应用场景，打造“公安大脑”的总入口和总抓手，实现全市公安业务“一屏总览、一键智达”。</w:t>
      </w:r>
    </w:p>
    <w:p>
      <w:pPr>
        <w:snapToGrid w:val="0"/>
        <w:spacing w:line="360" w:lineRule="auto"/>
        <w:ind w:firstLine="480" w:firstLineChars="200"/>
        <w:jc w:val="left"/>
        <w:rPr>
          <w:rFonts w:hint="eastAsia" w:ascii="仿宋" w:hAnsi="仿宋" w:eastAsia="仿宋" w:cs="仿宋"/>
          <w:color w:val="auto"/>
          <w:sz w:val="24"/>
          <w:szCs w:val="32"/>
          <w:highlight w:val="none"/>
          <w:lang w:eastAsia="zh-Hans"/>
        </w:rPr>
      </w:pPr>
      <w:r>
        <w:rPr>
          <w:rFonts w:hint="eastAsia" w:ascii="仿宋" w:hAnsi="仿宋" w:eastAsia="仿宋" w:cs="仿宋"/>
          <w:color w:val="auto"/>
          <w:sz w:val="24"/>
          <w:szCs w:val="32"/>
          <w:highlight w:val="none"/>
          <w:lang w:eastAsia="zh-Hans"/>
        </w:rPr>
        <w:t xml:space="preserve">本项目将制定全市公安机关数字驾驶舱建设相关标准规范体系，充分利用云计算、大数据等先进技术，建设温州市公安局数字驾驶舱市级平台及配套的支撑管理体系，不断优化数字驾驶舱协同能力，确保“公安大脑”数字驾驶舱内部的信息即时在线、数据实时流动，实现公安机关各级部门间数据协同、服务协同和业务协同，在集成建设和综合应用过程中找准小切口，谋划大场景，推进**流程再造、系统重塑、整体变革。 </w:t>
      </w:r>
    </w:p>
    <w:p>
      <w:pPr>
        <w:numPr>
          <w:ilvl w:val="0"/>
          <w:numId w:val="6"/>
        </w:numPr>
        <w:snapToGrid w:val="0"/>
        <w:spacing w:line="360" w:lineRule="auto"/>
        <w:ind w:firstLine="480"/>
        <w:jc w:val="left"/>
        <w:rPr>
          <w:color w:val="auto"/>
          <w:highlight w:val="none"/>
        </w:rPr>
      </w:pPr>
      <w:r>
        <w:rPr>
          <w:rFonts w:hint="eastAsia" w:ascii="仿宋" w:hAnsi="仿宋" w:eastAsia="仿宋" w:cs="仿宋"/>
          <w:color w:val="auto"/>
          <w:sz w:val="24"/>
          <w:highlight w:val="none"/>
        </w:rPr>
        <w:t>其他相关情况。</w:t>
      </w:r>
    </w:p>
    <w:p>
      <w:pPr>
        <w:snapToGrid w:val="0"/>
        <w:spacing w:line="360" w:lineRule="auto"/>
        <w:ind w:firstLine="480" w:firstLineChars="200"/>
        <w:jc w:val="left"/>
        <w:rPr>
          <w:color w:val="auto"/>
          <w:highlight w:val="none"/>
        </w:rPr>
      </w:pPr>
      <w:r>
        <w:rPr>
          <w:rFonts w:hint="eastAsia" w:ascii="仿宋" w:hAnsi="仿宋" w:eastAsia="仿宋" w:cs="仿宋"/>
          <w:color w:val="auto"/>
          <w:sz w:val="24"/>
          <w:highlight w:val="none"/>
        </w:rPr>
        <w:t>属于公安信息化项目</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否</w:t>
      </w:r>
      <w:r>
        <w:rPr>
          <w:rFonts w:hint="eastAsia" w:asci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根据《温州公安信息化项目管理办法》（温公通【2016】23号）要求，公安信息化项目成交供应商应提供项目编制软件源代码。按照项目合同完成的与研究开发标的有关的知识产权（包括专利、专利申请权、非专利技术使用权、著作权、版权、发明权及其他成果权）归温州市公安局所有。</w:t>
      </w:r>
    </w:p>
    <w:p>
      <w:pPr>
        <w:snapToGrid w:val="0"/>
        <w:spacing w:line="360" w:lineRule="auto"/>
        <w:jc w:val="left"/>
        <w:rPr>
          <w:color w:val="auto"/>
          <w:szCs w:val="21"/>
          <w:highlight w:val="none"/>
        </w:rPr>
      </w:pPr>
      <w:r>
        <w:rPr>
          <w:rFonts w:hint="eastAsia" w:ascii="仿宋" w:hAnsi="仿宋" w:eastAsia="仿宋" w:cs="仿宋"/>
          <w:b/>
          <w:color w:val="auto"/>
          <w:sz w:val="24"/>
          <w:highlight w:val="none"/>
        </w:rPr>
        <w:t>二、</w:t>
      </w:r>
      <w:bookmarkStart w:id="49" w:name="_Toc23043"/>
      <w:r>
        <w:rPr>
          <w:rFonts w:hint="eastAsia" w:ascii="仿宋" w:hAnsi="仿宋" w:eastAsia="仿宋" w:cs="仿宋"/>
          <w:b/>
          <w:color w:val="auto"/>
          <w:sz w:val="24"/>
          <w:highlight w:val="none"/>
        </w:rPr>
        <w:t>建设内容：</w:t>
      </w:r>
    </w:p>
    <w:p>
      <w:pPr>
        <w:spacing w:line="400" w:lineRule="atLeast"/>
        <w:ind w:firstLine="480"/>
        <w:rPr>
          <w:rFonts w:ascii="宋体" w:hAnsi="宋体" w:cs="宋体"/>
          <w:color w:val="auto"/>
          <w:szCs w:val="21"/>
          <w:highlight w:val="none"/>
          <w:lang w:eastAsia="zh-Hans"/>
        </w:rPr>
      </w:pPr>
      <w:r>
        <w:rPr>
          <w:rFonts w:hint="eastAsia" w:ascii="宋体" w:hAnsi="宋体" w:cs="宋体"/>
          <w:color w:val="auto"/>
          <w:szCs w:val="21"/>
          <w:highlight w:val="none"/>
          <w:lang w:eastAsia="zh-Hans"/>
        </w:rPr>
        <w:t>本项目建设内容主要包括数字驾驶舱支撑</w:t>
      </w:r>
      <w:r>
        <w:rPr>
          <w:rFonts w:hint="eastAsia" w:ascii="宋体" w:hAnsi="宋体" w:cs="宋体"/>
          <w:color w:val="auto"/>
          <w:szCs w:val="21"/>
          <w:highlight w:val="none"/>
        </w:rPr>
        <w:t>管理</w:t>
      </w:r>
      <w:r>
        <w:rPr>
          <w:rFonts w:hint="eastAsia" w:ascii="宋体" w:hAnsi="宋体" w:cs="宋体"/>
          <w:color w:val="auto"/>
          <w:szCs w:val="21"/>
          <w:highlight w:val="none"/>
          <w:lang w:eastAsia="zh-Hans"/>
        </w:rPr>
        <w:t>、数字驾驶舱开发服务</w:t>
      </w:r>
      <w:r>
        <w:rPr>
          <w:rFonts w:hint="eastAsia" w:ascii="宋体" w:hAnsi="宋体" w:cs="宋体"/>
          <w:color w:val="auto"/>
          <w:szCs w:val="21"/>
          <w:highlight w:val="none"/>
        </w:rPr>
        <w:t>、前端开发定制开发服务和</w:t>
      </w:r>
      <w:r>
        <w:rPr>
          <w:rFonts w:hint="eastAsia" w:ascii="宋体" w:hAnsi="宋体" w:cs="宋体"/>
          <w:color w:val="auto"/>
          <w:szCs w:val="21"/>
          <w:highlight w:val="none"/>
          <w:lang w:eastAsia="zh-Hans"/>
        </w:rPr>
        <w:t>标准规范体系建设。数字驾驶舱支撑</w:t>
      </w:r>
      <w:r>
        <w:rPr>
          <w:rFonts w:hint="eastAsia" w:ascii="宋体" w:hAnsi="宋体" w:cs="宋体"/>
          <w:color w:val="auto"/>
          <w:szCs w:val="21"/>
          <w:highlight w:val="none"/>
        </w:rPr>
        <w:t>管理</w:t>
      </w:r>
      <w:r>
        <w:rPr>
          <w:rFonts w:hint="eastAsia" w:ascii="宋体" w:hAnsi="宋体" w:cs="宋体"/>
          <w:color w:val="auto"/>
          <w:szCs w:val="21"/>
          <w:highlight w:val="none"/>
          <w:lang w:eastAsia="zh-Hans"/>
        </w:rPr>
        <w:t>包括指标管理</w:t>
      </w:r>
      <w:r>
        <w:rPr>
          <w:rFonts w:hint="eastAsia" w:ascii="宋体" w:hAnsi="宋体" w:cs="宋体"/>
          <w:color w:val="auto"/>
          <w:szCs w:val="21"/>
          <w:highlight w:val="none"/>
        </w:rPr>
        <w:t>和</w:t>
      </w:r>
      <w:r>
        <w:rPr>
          <w:rFonts w:hint="eastAsia" w:ascii="宋体" w:hAnsi="宋体" w:cs="宋体"/>
          <w:color w:val="auto"/>
          <w:szCs w:val="21"/>
          <w:highlight w:val="none"/>
          <w:lang w:eastAsia="zh-Hans"/>
        </w:rPr>
        <w:t>运营支撑服务工具包。数字驾驶舱开发服务包括业务对接和指标梳理、应用场景梳理对接服务</w:t>
      </w:r>
      <w:r>
        <w:rPr>
          <w:rFonts w:hint="eastAsia" w:ascii="宋体" w:hAnsi="宋体" w:cs="宋体"/>
          <w:color w:val="auto"/>
          <w:szCs w:val="21"/>
          <w:highlight w:val="none"/>
        </w:rPr>
        <w:t>、</w:t>
      </w:r>
      <w:r>
        <w:rPr>
          <w:rFonts w:hint="eastAsia" w:ascii="宋体" w:hAnsi="宋体" w:cs="宋体"/>
          <w:color w:val="auto"/>
          <w:szCs w:val="21"/>
          <w:highlight w:val="none"/>
          <w:lang w:eastAsia="zh-Hans"/>
        </w:rPr>
        <w:t>数据接口和指标定制开发服务、指标动态提取和分类上舱服务、市县一体化综合集成框架定制开发服务几个部分。</w:t>
      </w:r>
      <w:r>
        <w:rPr>
          <w:rFonts w:hint="eastAsia" w:ascii="宋体" w:hAnsi="宋体" w:cs="宋体"/>
          <w:color w:val="auto"/>
          <w:szCs w:val="21"/>
          <w:highlight w:val="none"/>
        </w:rPr>
        <w:t>前端定制开发服务包括数据和能力建设、八大跑道场景建设、六大在线领域模块、专业屏开发和驾驶舱建设综合集成服务几个部分。</w:t>
      </w:r>
      <w:r>
        <w:rPr>
          <w:rFonts w:hint="eastAsia" w:ascii="宋体" w:hAnsi="宋体" w:cs="宋体"/>
          <w:color w:val="auto"/>
          <w:szCs w:val="21"/>
          <w:highlight w:val="none"/>
          <w:lang w:eastAsia="zh-Hans"/>
        </w:rPr>
        <w:t>标准规范体系建设包括围绕市县一体化“公安大脑”建设要求，制定统一的数字驾驶舱设计规范、接入规范、开发规范和数字驾驶舱建设指南。</w:t>
      </w:r>
    </w:p>
    <w:p>
      <w:pPr>
        <w:pStyle w:val="4"/>
        <w:spacing w:before="0"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三、</w:t>
      </w:r>
      <w:r>
        <w:rPr>
          <w:rFonts w:hint="eastAsia" w:ascii="宋体" w:hAnsi="宋体" w:cs="宋体"/>
          <w:color w:val="auto"/>
          <w:sz w:val="21"/>
          <w:szCs w:val="21"/>
          <w:highlight w:val="none"/>
          <w:lang w:eastAsia="zh-Hans"/>
        </w:rPr>
        <w:t>采购内容清单如下</w:t>
      </w:r>
      <w:r>
        <w:rPr>
          <w:rFonts w:hint="eastAsia" w:ascii="宋体" w:hAnsi="宋体" w:cs="宋体"/>
          <w:color w:val="auto"/>
          <w:sz w:val="21"/>
          <w:szCs w:val="21"/>
          <w:highlight w:val="none"/>
        </w:rPr>
        <w:t>：</w:t>
      </w:r>
    </w:p>
    <w:tbl>
      <w:tblPr>
        <w:tblStyle w:val="62"/>
        <w:tblW w:w="0" w:type="auto"/>
        <w:tblInd w:w="91" w:type="dxa"/>
        <w:tblLayout w:type="fixed"/>
        <w:tblCellMar>
          <w:top w:w="0" w:type="dxa"/>
          <w:left w:w="108" w:type="dxa"/>
          <w:bottom w:w="0" w:type="dxa"/>
          <w:right w:w="108" w:type="dxa"/>
        </w:tblCellMar>
      </w:tblPr>
      <w:tblGrid>
        <w:gridCol w:w="516"/>
        <w:gridCol w:w="930"/>
        <w:gridCol w:w="705"/>
        <w:gridCol w:w="6586"/>
      </w:tblGrid>
      <w:tr>
        <w:tblPrEx>
          <w:tblCellMar>
            <w:top w:w="0" w:type="dxa"/>
            <w:left w:w="108" w:type="dxa"/>
            <w:bottom w:w="0" w:type="dxa"/>
            <w:right w:w="108" w:type="dxa"/>
          </w:tblCellMar>
        </w:tblPrEx>
        <w:tc>
          <w:tcPr>
            <w:tcW w:w="51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color w:val="auto"/>
                <w:highlight w:val="none"/>
              </w:rPr>
            </w:pPr>
            <w:r>
              <w:rPr>
                <w:rFonts w:hint="eastAsia"/>
                <w:color w:val="auto"/>
                <w:highlight w:val="none"/>
              </w:rPr>
              <w:t>序号</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功能模块名称</w:t>
            </w:r>
          </w:p>
        </w:tc>
        <w:tc>
          <w:tcPr>
            <w:tcW w:w="658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功能详细描述</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auto"/>
                <w:highlight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highlight w:val="none"/>
              </w:rPr>
            </w:pPr>
            <w:r>
              <w:rPr>
                <w:rFonts w:hint="eastAsia"/>
                <w:color w:val="auto"/>
                <w:highlight w:val="none"/>
              </w:rPr>
              <w:t>一级模块名称</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highlight w:val="none"/>
              </w:rPr>
            </w:pPr>
            <w:r>
              <w:rPr>
                <w:rFonts w:hint="eastAsia"/>
                <w:color w:val="auto"/>
                <w:highlight w:val="none"/>
              </w:rPr>
              <w:t>二级模块名称</w:t>
            </w:r>
          </w:p>
        </w:tc>
        <w:tc>
          <w:tcPr>
            <w:tcW w:w="6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r>
      <w:tr>
        <w:tblPrEx>
          <w:tblCellMar>
            <w:top w:w="0" w:type="dxa"/>
            <w:left w:w="108" w:type="dxa"/>
            <w:bottom w:w="0" w:type="dxa"/>
            <w:right w:w="108" w:type="dxa"/>
          </w:tblCellMar>
        </w:tblPrEx>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1</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数字驾驶舱支撑管理-指标管理</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数据指标管理和预警子系统建设</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警综对接:对接警综用户体系和消息通知，支持从警综免登进入系统，推送消息到警员。</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指标管理首页:统计系统内指标和应用的数据，并提供快速上传的入口和上传清单的导出。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指标管理页面:支持指标的增删改查，并记录指标修改记录。支持查看指标当前和历史批次的数据。</w:t>
            </w:r>
          </w:p>
          <w:p>
            <w:pPr>
              <w:jc w:val="left"/>
              <w:rPr>
                <w:color w:val="auto"/>
                <w:highlight w:val="none"/>
              </w:rPr>
            </w:pPr>
            <w:r>
              <w:rPr>
                <w:rFonts w:hint="eastAsia"/>
                <w:color w:val="auto"/>
                <w:highlight w:val="none"/>
              </w:rPr>
              <w:t>支持指标数据维度的配置，并预设常用数据维度的名称。</w:t>
            </w:r>
          </w:p>
          <w:p>
            <w:pPr>
              <w:jc w:val="left"/>
              <w:rPr>
                <w:color w:val="auto"/>
                <w:highlight w:val="none"/>
              </w:rPr>
            </w:pPr>
            <w:r>
              <w:rPr>
                <w:rFonts w:hint="eastAsia"/>
                <w:color w:val="auto"/>
                <w:highlight w:val="none"/>
              </w:rPr>
              <w:t>支持指标分类的管理。</w:t>
            </w:r>
          </w:p>
          <w:p>
            <w:pPr>
              <w:jc w:val="left"/>
              <w:rPr>
                <w:color w:val="auto"/>
                <w:highlight w:val="none"/>
              </w:rPr>
            </w:pPr>
            <w:r>
              <w:rPr>
                <w:rFonts w:hint="eastAsia"/>
                <w:color w:val="auto"/>
                <w:highlight w:val="none"/>
              </w:rPr>
              <w:t>支持配置和高亮显示优质指标。</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指标数据汇总:汇总用户提交的指标数据，过滤无效的和重复的数据，自动计算指标值的同比值、同比率、环比值和环比率。</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归集任务调度服务:管理定时任务的增删改查。支持专家模式和简易模式两种配置方式。</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归集任务引擎:支持kettle和datax的etl任务执行，提供日志记录和执行结果反馈，支持超期自动结束，支持日志文件的清理。</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归集任务监控:支持监控归集任务的执行情况，在线查看归集任务的日志。</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指标手工上传:支持通过页面和excel的方式，提交指标数据。支持上传预览。支持通过页面编辑已上传数据。</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指标预警:标记超过一定周期没有上传的，或维度数据缺失的指标，并发送预警。指标数据上传后支持自动取消预警标记。</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系统监控:提供系统和接口的状态监控。并监控指标的预警数和上传进度等消息，提供指标的排名，并支持excel导出。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系统管理:管理后台的系统用户，对后台用户和部门提供增删改查的基础配置。</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应用管理：管理指标应用，配置应用名称、key、密钥、所属部门和应用负责人等数据。提供水平和垂直权限校验</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应用同步：自动同步数字指标共享子系统的应用体系，并同步指标和应用的权限。</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应用指标权限管理：控制应用访问指标的权限，支持应用发起授权申请，支持管理员直接赋权。</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指标变更通知：指标变更时，需要向各个已授权和同区县部门下的所有应用的联系人发送通知。</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指标维度约束：指标可以配置维度的约束开关，关闭开关后，可以上传任意维度。打开开关后，只允许上传已配置的维度。</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数字指标共享子系统建设</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接口调用记录:记录接口调用信息，并将调用记录同步至警综平台。</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系统监控:监控节点的状态和资源使用率，以及接口的访问统计。</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数据源管理:可以将数据库和外部系统接口设置为数据源，并测试节点和数据源的连通性。</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节点自动发现:可以创建和管理节点，节点启动自动注册并发现，实现无停机动态扩容系统负载能力。</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数据库接口管理:支持以sql和存储过程的方式直接创建接口，查询结果自动转换成标准结果，支持mysql和oracle。</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http接口管理:支持以配置的方式转发http接口，将业务部门的接口快速转移至共享子系统。</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http接口自定义插件:http接口支持自定义鉴权插件，并对http结果进行统一的格式化处理。</w:t>
            </w:r>
          </w:p>
          <w:p>
            <w:pPr>
              <w:jc w:val="left"/>
              <w:rPr>
                <w:color w:val="auto"/>
                <w:highlight w:val="none"/>
              </w:rPr>
            </w:pPr>
            <w:r>
              <w:rPr>
                <w:rFonts w:hint="eastAsia"/>
                <w:color w:val="auto"/>
                <w:highlight w:val="none"/>
              </w:rPr>
              <w:t>插件必须支持热插拔。</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定制接口管理:支持定制java接口生成接口。</w:t>
            </w:r>
          </w:p>
          <w:p>
            <w:pPr>
              <w:jc w:val="left"/>
              <w:rPr>
                <w:color w:val="auto"/>
                <w:highlight w:val="none"/>
              </w:rPr>
            </w:pPr>
            <w:r>
              <w:rPr>
                <w:rFonts w:hint="eastAsia"/>
                <w:color w:val="auto"/>
                <w:highlight w:val="none"/>
              </w:rPr>
              <w:t>java接口可以在线上传，并支持热插拔。提供开发sdk。</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接口版本管理:可以在线创建和切换接口版本，无感切换各个版本。</w:t>
            </w:r>
          </w:p>
          <w:p>
            <w:pPr>
              <w:jc w:val="left"/>
              <w:rPr>
                <w:color w:val="auto"/>
                <w:highlight w:val="none"/>
              </w:rPr>
            </w:pPr>
            <w:r>
              <w:rPr>
                <w:rFonts w:hint="eastAsia"/>
                <w:color w:val="auto"/>
                <w:highlight w:val="none"/>
              </w:rPr>
              <w:t>利用接口配置本地文件和本地缓存切换版本，支持在脱机的情况下回滚版本。</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接口网关和共享开放接口:并允许应用根据别名调用接口。支持高并发。支持在后台管理页面测试接口的可用性</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接口调用负载均衡：接口会按照权重分发到不同的节点，降低单个节点的压力。</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在线接口文档：支持在线根据调用结果生成接口文档。</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接口审核：接口发布支持审核，审核通过后才能上线。</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接口发布：接口可以指定要发布的节点，并支持从指定节点卸载。</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应用管理和接口调用权限：管理共享子系统的应用，控制应用访问接口的权限，控制访问时间和ip。支持密钥重置。支持高频鉴权。</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接口白名单：控制应用访问接口时只能访问在白名单中的人员或企业信息。</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系统管理：管理后台的系统用户，对后台用户和部门提供增删改查的基础配置。</w:t>
            </w:r>
          </w:p>
        </w:tc>
      </w:tr>
      <w:tr>
        <w:tblPrEx>
          <w:tblCellMar>
            <w:top w:w="0" w:type="dxa"/>
            <w:left w:w="108" w:type="dxa"/>
            <w:bottom w:w="0" w:type="dxa"/>
            <w:right w:w="108" w:type="dxa"/>
          </w:tblCellMar>
        </w:tblPrEx>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2</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数字驾驶舱支撑管理-运营支撑服务工具包建设</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上舱指标管理模块</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数字指标配置：支持驾驶舱上舱指标的创建、编辑、上下架、删除，同一指标可应用于不同的展台和驾驶舱，指标配置支持指标关联</w:t>
            </w:r>
            <w:r>
              <w:rPr>
                <w:color w:val="auto"/>
                <w:highlight w:val="none"/>
              </w:rPr>
              <w:t>API</w:t>
            </w:r>
            <w:r>
              <w:rPr>
                <w:rFonts w:hint="eastAsia"/>
                <w:color w:val="auto"/>
                <w:highlight w:val="none"/>
              </w:rPr>
              <w:t>。</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指标查询：支持指标按组合查询，支持Excel导出。支持指标详情页查看，全方位展示具体指标运行情况。</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指标规则配置：指标值支持人工录入，也支持从</w:t>
            </w:r>
            <w:r>
              <w:rPr>
                <w:color w:val="auto"/>
                <w:highlight w:val="none"/>
              </w:rPr>
              <w:t>API</w:t>
            </w:r>
            <w:r>
              <w:rPr>
                <w:rFonts w:hint="eastAsia"/>
                <w:color w:val="auto"/>
                <w:highlight w:val="none"/>
              </w:rPr>
              <w:t>接口中通过编写脚本提取，提供低代码脚本编辑功能。</w:t>
            </w:r>
            <w:r>
              <w:rPr>
                <w:rFonts w:hint="eastAsia" w:ascii="宋体" w:hAnsi="宋体" w:cs="宋体"/>
                <w:b/>
                <w:bCs/>
                <w:color w:val="auto"/>
                <w:szCs w:val="21"/>
                <w:highlight w:val="none"/>
              </w:rPr>
              <w:t>（该功能需要演示）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数值提取脚本编辑器：支持通过低代码编辑实现数值提取，提取规则支持jsonpath、code等，支持自定义计算表达式。</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API配置：对接入本平台的API进行全方位可视化配置，支持创建、编辑、删除、启用、禁用API接口，支持全量分页查询。API配置支持多源接入，支持自定义请求地址、请求类型、请求参数。</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专班配置：为满足指标归类方便后续管理可进行专班创建，数字指标可对应专班进行关联。</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指标常规告警:通过读取数字指标单一阈值配置数据，对各个指标数据实时监控反馈，并进行报警。</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指标红绿灯告警:通过读取数字指标配置的红灯、绿灯、黄灯阈值配置数据，对各个指标数据实时监控反馈，并进行红灯报警。</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优质指标管理:通过配置目标值范围，对达到目标值的指标，可在数字驾驶舱中以小红旗和优质指标动态消息的方式展示。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指标同比环比管理:提供工作人员对具体指标配置同比/环比数值，实现多维度展示指标数据的功能。</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异常指标：实时检测指标数据获取情况，若出现数据链路异常或数据异常，将会在该模块呈现出此异常指标。可查看具体导致异常的原因。</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展台管理模块</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单页面展台配置：展台是指标和指标集的容器，支持创建、编辑、删除展台。展台配置时支持展台类型、展台样式选择、，支持展台关联驾驶舱，单展台支持关联多个驾驶舱。</w:t>
            </w:r>
            <w:r>
              <w:rPr>
                <w:rFonts w:hint="eastAsia" w:ascii="宋体" w:hAnsi="宋体" w:cs="宋体"/>
                <w:b/>
                <w:bCs/>
                <w:color w:val="auto"/>
                <w:szCs w:val="21"/>
                <w:highlight w:val="none"/>
              </w:rPr>
              <w:t>（该功能需要演示）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多页面展台配置：支持新建、删除多页面展台，配置时可选择横向、竖向展示，通过内容配置，关联多个单页面展台。支持配置链接实现跳转功能。</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展台内容配置：支持展台配置指标或指标集，可添加、可移除。配置完的指标，支持添加二级指标。</w:t>
            </w:r>
            <w:r>
              <w:rPr>
                <w:rFonts w:hint="eastAsia" w:ascii="宋体" w:hAnsi="宋体" w:cs="宋体"/>
                <w:b/>
                <w:bCs/>
                <w:color w:val="auto"/>
                <w:szCs w:val="21"/>
                <w:highlight w:val="none"/>
              </w:rPr>
              <w:t>（该功能需要演示）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展台关联配置：支持手动配置各展台间的上下层级关系，实现展台间的相互管理以及排序，支持关联关系的创建、编辑、删除和查询。</w:t>
            </w:r>
            <w:r>
              <w:rPr>
                <w:rFonts w:hint="eastAsia" w:ascii="宋体" w:hAnsi="宋体" w:cs="宋体"/>
                <w:b/>
                <w:bCs/>
                <w:color w:val="auto"/>
                <w:szCs w:val="21"/>
                <w:highlight w:val="none"/>
              </w:rPr>
              <w:t>（该功能需要演示）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指标集配置：支持指标集创建、编辑、删除和查询。开发指标集内容配置功能，指标集内容配置支持添加和移除一级指标、二级指标。</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指标轮播配置：支持对展台设置指标轮播动作，实现指标自动播放展示。</w:t>
            </w:r>
          </w:p>
        </w:tc>
      </w:tr>
      <w:tr>
        <w:tblPrEx>
          <w:tblCellMar>
            <w:top w:w="0" w:type="dxa"/>
            <w:left w:w="108" w:type="dxa"/>
            <w:bottom w:w="0" w:type="dxa"/>
            <w:right w:w="108" w:type="dxa"/>
          </w:tblCellMar>
        </w:tblPrEx>
        <w:trPr>
          <w:trHeight w:val="801"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场景管理模块</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专题配置：场景专题是场景的容器，支持专题的创建、编辑、删除、上下架和查询，专题内容配置支持选择场景绑定至该专题，实现一对多管理。</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场景配置：对接入驾驶舱的应用场景大屏进行全方位管理，支持场景新增、编辑、删除、上下架和组合查询。场景配置时支持维护场景所属领域、场景链接、认证鉴权模式等信息。</w:t>
            </w:r>
            <w:r>
              <w:rPr>
                <w:rFonts w:hint="eastAsia" w:ascii="宋体" w:hAnsi="宋体" w:cs="宋体"/>
                <w:b/>
                <w:bCs/>
                <w:color w:val="auto"/>
                <w:szCs w:val="21"/>
                <w:highlight w:val="none"/>
              </w:rPr>
              <w:t>（该功能需要演示）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用户授权中心</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警综用户体系对接：通过公安内部网络对接警综用户体系，获取组织架构和用户级别，开发用户管理模块。</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用户管理模块：将对接的用户体系纳入到用户管理模块，支持层级化用户管理，可进行用户信息查询、搜索、授权等操作。</w:t>
            </w:r>
            <w:r>
              <w:rPr>
                <w:rFonts w:hint="eastAsia" w:ascii="宋体" w:hAnsi="宋体" w:cs="宋体"/>
                <w:b/>
                <w:bCs/>
                <w:color w:val="auto"/>
                <w:szCs w:val="21"/>
                <w:highlight w:val="none"/>
              </w:rPr>
              <w:t>（该功能需要演示）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用户认证服务：为保障驾驶舱接口访问的安全性和合法性，用户认证服务需要给驾驶舱颁发合法访问令牌。</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驾驶舱入口权限访问控制服务：对市级平台驾驶舱提供入口级访问控制服务，支持对驾驶舱批量授权用户访问。</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驾驶舱指标权限访问控制服务：实现特定身份的用户只能看到拥有权限的指标</w:t>
            </w:r>
            <w:r>
              <w:rPr>
                <w:rFonts w:hint="eastAsia" w:ascii="宋体" w:hAnsi="宋体" w:cs="宋体"/>
                <w:b/>
                <w:bCs/>
                <w:color w:val="auto"/>
                <w:szCs w:val="21"/>
                <w:highlight w:val="none"/>
              </w:rPr>
              <w:t>（该功能需要演示）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驾驶舱展台权限访问控制服务：实现特定身份的用户只能看到拥有权限的展台</w:t>
            </w:r>
            <w:r>
              <w:rPr>
                <w:rFonts w:hint="eastAsia" w:ascii="宋体" w:hAnsi="宋体" w:cs="宋体"/>
                <w:b/>
                <w:bCs/>
                <w:color w:val="auto"/>
                <w:szCs w:val="21"/>
                <w:highlight w:val="none"/>
              </w:rPr>
              <w:t>（该功能需要演示）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驾驶舱场景权限访问控制服务：实现特定身份的用户只能看到拥有权限的场景</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驾驶舱按钮权限访问控制服务：实现特定身份的用户只能看到拥有权限的按钮</w:t>
            </w:r>
          </w:p>
        </w:tc>
      </w:tr>
      <w:tr>
        <w:tblPrEx>
          <w:tblCellMar>
            <w:top w:w="0" w:type="dxa"/>
            <w:left w:w="108" w:type="dxa"/>
            <w:bottom w:w="0" w:type="dxa"/>
            <w:right w:w="108" w:type="dxa"/>
          </w:tblCellMar>
        </w:tblPrEx>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3</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数字驾驶舱开发建设服务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业务对接和指标梳理</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设计并提供指标梳理模板，预计需要对接十余个业务部门，沟通并培训近100名业务人员梳理本部门指标，预计总共500条指标，并核对检查指标梳理结果，保障填报指标的内容颗粒度一致，具有应用可行性，形成市本级指标目录。</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应用场景梳理对接服务</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提供场景梳理模板，对接业务部门，指导业务人员梳理本部门场景，形成市本级场景目录。</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数据接口和指标定制开发服务</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指标注册登记：对接数源部门，指导业务人员进行指标登记，保障注册到指标管理平台的内容符合接入以及指标提取要求。</w:t>
            </w:r>
            <w:r>
              <w:rPr>
                <w:rFonts w:hint="eastAsia"/>
                <w:color w:val="auto"/>
                <w:highlight w:val="none"/>
              </w:rPr>
              <w:br w:type="textWrapping"/>
            </w:r>
            <w:r>
              <w:rPr>
                <w:rFonts w:hint="eastAsia"/>
                <w:color w:val="auto"/>
                <w:highlight w:val="none"/>
              </w:rPr>
              <w:t>运维服务前期，预计指标任务紧急，需代业务部门登记录入约500个指标。</w:t>
            </w:r>
            <w:r>
              <w:rPr>
                <w:rFonts w:hint="eastAsia"/>
                <w:color w:val="auto"/>
                <w:highlight w:val="none"/>
              </w:rPr>
              <w:br w:type="textWrapping"/>
            </w:r>
            <w:r>
              <w:rPr>
                <w:rFonts w:hint="eastAsia"/>
                <w:color w:val="auto"/>
                <w:highlight w:val="none"/>
              </w:rPr>
              <w:t>需要编写指标录入操作手册和指标配置规范。</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指标维护和质量保障：根据指标梳理结果，申请指标接口访问权限，获取对应指标接口描述文档，进行API指标联调，联调成功后，定期巡检，确保指标服务质量。</w:t>
            </w:r>
            <w:r>
              <w:rPr>
                <w:rFonts w:hint="eastAsia"/>
                <w:color w:val="auto"/>
                <w:highlight w:val="none"/>
              </w:rPr>
              <w:br w:type="textWrapping"/>
            </w:r>
            <w:r>
              <w:rPr>
                <w:rFonts w:hint="eastAsia"/>
                <w:color w:val="auto"/>
                <w:highlight w:val="none"/>
              </w:rPr>
              <w:t>检查缺少数据、存在错误数据的指标，联系数源部门排查，并处理解决问题。</w:t>
            </w:r>
            <w:r>
              <w:rPr>
                <w:rFonts w:hint="eastAsia"/>
                <w:color w:val="auto"/>
                <w:highlight w:val="none"/>
              </w:rPr>
              <w:br w:type="textWrapping"/>
            </w:r>
            <w:r>
              <w:rPr>
                <w:rFonts w:hint="eastAsia"/>
                <w:color w:val="auto"/>
                <w:highlight w:val="none"/>
              </w:rPr>
              <w:t>协助各驾驶舱排查指标数值异常的问题。</w:t>
            </w:r>
            <w:r>
              <w:rPr>
                <w:rFonts w:hint="eastAsia"/>
                <w:color w:val="auto"/>
                <w:highlight w:val="none"/>
              </w:rPr>
              <w:br w:type="textWrapping"/>
            </w:r>
            <w:r>
              <w:rPr>
                <w:rFonts w:hint="eastAsia"/>
                <w:color w:val="auto"/>
                <w:highlight w:val="none"/>
              </w:rPr>
              <w:t>定期输出指标运维报告，每月至少一份。</w:t>
            </w:r>
            <w:r>
              <w:rPr>
                <w:rFonts w:hint="eastAsia"/>
                <w:color w:val="auto"/>
                <w:highlight w:val="none"/>
              </w:rPr>
              <w:br w:type="textWrapping"/>
            </w:r>
            <w:r>
              <w:rPr>
                <w:rFonts w:hint="eastAsia"/>
                <w:color w:val="auto"/>
                <w:highlight w:val="none"/>
              </w:rPr>
              <w:t>并按大屏展示的要求进行定制开发。</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指标采集脚本配置:约500个指标的采集脚本开发，从各个应用系统和数据库中采集数据、转换数据格式并落库。</w:t>
            </w:r>
          </w:p>
          <w:p>
            <w:pPr>
              <w:jc w:val="left"/>
              <w:rPr>
                <w:color w:val="auto"/>
                <w:highlight w:val="none"/>
              </w:rPr>
            </w:pPr>
            <w:r>
              <w:rPr>
                <w:rFonts w:hint="eastAsia"/>
                <w:color w:val="auto"/>
                <w:highlight w:val="none"/>
              </w:rPr>
              <w:t>采集数据时负责打通采集数据所需的网络。</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定制指标采集:定制的指标采集，从非http标准的数据源采集指标。</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指标接口共享服务:制定指标的共享接口规范，编写接口文档和示例sdk代码。开发指标数据接口，并将接口授权至各个驾驶舱，配合驾驶舱的开发人员联调，解决在对方开发人员在联调中的问题。</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指标摆渡：依数据共享规范，需要将指标共享给其他业务部门。</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指标动态提取和分类上舱服务（市级平台）</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指标结果动态提取服务:依托运营支撑服务工具包，从指标管理平台中申请指标接口访问权限，进行API指标对接联调，提取计算指标结果并上架。</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指标分类组合和上舱服务:依托运营支撑服务工具包，根据调研分析和业务分析结果，按照多维度对已接入的指标进行科学合理的指标分类上舱。</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市县一体化综合集成框架定制开发服务（PC端/大屏端）</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用户体系集成:对接运营支撑服务工具包，基于警综系统，在统一框架上集成驾驶舱用户登录、退出等功能，实现单点各驾驶舱和应用场景。</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认证服务集成:对接运营支撑服务工具包，建设统一认证功能，对客户端进行统一认证管理。</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权限控制服务集成:对接运营支撑服务工具包，集成权限控制功能，通过框架判断登录时用户的数据和接口访问权限，实现驾驶舱对访问资源的控制。</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应用场景列表集成:对接运营支撑服务工具包，实现应用场景以列表形式呈现，实现驾驶舱跳转应用场景合法性校验。</w:t>
            </w:r>
          </w:p>
        </w:tc>
      </w:tr>
      <w:tr>
        <w:tblPrEx>
          <w:tblCellMar>
            <w:top w:w="0" w:type="dxa"/>
            <w:left w:w="108" w:type="dxa"/>
            <w:bottom w:w="0" w:type="dxa"/>
            <w:right w:w="108" w:type="dxa"/>
          </w:tblCellMar>
        </w:tblPrEx>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4</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前端定制开发服务</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数据和能力建设</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数据在线：基于公安现有海量的数据基础，梳理数据来源、处理流程、共享接口服务情况，根据数据总量、数据增量、数据支持三个维度设计开发可视化前端展示模块，上舱展示。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能力在线：梳理公安人脸识别、可信身份码等基础能力，清点能力工具箱清单，根据热门工具、防疫在线、感知能力三个维度设计开发可视化展示模块，上舱展示。</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智慧**典型应用示范区：按“梳理一批、上线一批”思路，梳理典型**应用，梳理并抽取各应用代表性数据指标，并在示范区呈现应用场景的情况简介，应用场景支持一键跳转。</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八大跑道场景建设</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八大跑道模块：集成大情报、大处突、大打击、大治理、大交管、大执法、大服务、大保障八大跑道指标，构建业务分析展示模块。同时每个跑道支持个性化跑道场景舱接入。</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核心指标展示模块：梳理以平安指数等为代表的核心指标，支持核心指标阈值设置，按照不同阈值段体现指标当前的优劣状况。</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指标详情页：针对驾驶舱上的指标可点击进入详情页，呈现每个指标的名称、数值、指标定义等信息。</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八大跑道子舱：在八大跑道基础上，可对指标按警种和业务领域进一步模块化分类。</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业务场景直达：支持联动市县一体化集成框架，实现各类已集成应用场景在框架内快速切换，做到业务“一键直达”。</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六大在线领域模块</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六大“在线</w:t>
            </w:r>
            <w:r>
              <w:rPr>
                <w:color w:val="auto"/>
                <w:highlight w:val="none"/>
              </w:rPr>
              <w:t>+</w:t>
            </w:r>
            <w:r>
              <w:rPr>
                <w:rFonts w:hint="eastAsia"/>
                <w:color w:val="auto"/>
                <w:highlight w:val="none"/>
              </w:rPr>
              <w:t>”领域模块：集成“在线</w:t>
            </w:r>
            <w:r>
              <w:rPr>
                <w:color w:val="auto"/>
                <w:highlight w:val="none"/>
              </w:rPr>
              <w:t>+</w:t>
            </w:r>
            <w:r>
              <w:rPr>
                <w:rFonts w:hint="eastAsia"/>
                <w:color w:val="auto"/>
                <w:highlight w:val="none"/>
              </w:rPr>
              <w:t>”管控、“在线</w:t>
            </w:r>
            <w:r>
              <w:rPr>
                <w:color w:val="auto"/>
                <w:highlight w:val="none"/>
              </w:rPr>
              <w:t>+</w:t>
            </w:r>
            <w:r>
              <w:rPr>
                <w:rFonts w:hint="eastAsia"/>
                <w:color w:val="auto"/>
                <w:highlight w:val="none"/>
              </w:rPr>
              <w:t>”监督、“在线</w:t>
            </w:r>
            <w:r>
              <w:rPr>
                <w:color w:val="auto"/>
                <w:highlight w:val="none"/>
              </w:rPr>
              <w:t>+</w:t>
            </w:r>
            <w:r>
              <w:rPr>
                <w:rFonts w:hint="eastAsia"/>
                <w:color w:val="auto"/>
                <w:highlight w:val="none"/>
              </w:rPr>
              <w:t>”预警、“在线</w:t>
            </w:r>
            <w:r>
              <w:rPr>
                <w:color w:val="auto"/>
                <w:highlight w:val="none"/>
              </w:rPr>
              <w:t>+</w:t>
            </w:r>
            <w:r>
              <w:rPr>
                <w:rFonts w:hint="eastAsia"/>
                <w:color w:val="auto"/>
                <w:highlight w:val="none"/>
              </w:rPr>
              <w:t>”指挥、“在线</w:t>
            </w:r>
            <w:r>
              <w:rPr>
                <w:color w:val="auto"/>
                <w:highlight w:val="none"/>
              </w:rPr>
              <w:t>+</w:t>
            </w:r>
            <w:r>
              <w:rPr>
                <w:rFonts w:hint="eastAsia"/>
                <w:color w:val="auto"/>
                <w:highlight w:val="none"/>
              </w:rPr>
              <w:t>”作战、“在线</w:t>
            </w:r>
            <w:r>
              <w:rPr>
                <w:color w:val="auto"/>
                <w:highlight w:val="none"/>
              </w:rPr>
              <w:t>+</w:t>
            </w:r>
            <w:r>
              <w:rPr>
                <w:rFonts w:hint="eastAsia"/>
                <w:color w:val="auto"/>
                <w:highlight w:val="none"/>
              </w:rPr>
              <w:t>”服务六大专业领域指标，从“在线**”视角分析呈现公安业务运行概况。</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地图指标展示模块：地图模块将以地理位置为载体的业务指标，通过地图形式表现</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在线**领域舱：围绕六大“在线</w:t>
            </w:r>
            <w:r>
              <w:rPr>
                <w:color w:val="auto"/>
                <w:highlight w:val="none"/>
              </w:rPr>
              <w:t>+</w:t>
            </w:r>
            <w:r>
              <w:rPr>
                <w:rFonts w:hint="eastAsia"/>
                <w:color w:val="auto"/>
                <w:highlight w:val="none"/>
              </w:rPr>
              <w:t>”领域对指标进行二级、三级分类，设计开发层次丰富的领域舱。</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专业屏开发</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数据池大屏：聚焦科信局数据支撑服务能力，整理数据归集，清洗，分析，归类，治理，共享过程，提炼抽取代表性指标上舱展示。在核心区域设计绘制数据治理流向图</w:t>
            </w:r>
            <w:r>
              <w:rPr>
                <w:color w:val="auto"/>
                <w:highlight w:val="none"/>
              </w:rPr>
              <w:t>.</w:t>
            </w:r>
            <w:r>
              <w:rPr>
                <w:rFonts w:hint="eastAsia"/>
                <w:color w:val="auto"/>
                <w:highlight w:val="none"/>
              </w:rPr>
              <w:t>。</w:t>
            </w:r>
          </w:p>
        </w:tc>
      </w:tr>
      <w:tr>
        <w:tblPrEx>
          <w:tblCellMar>
            <w:top w:w="0" w:type="dxa"/>
            <w:left w:w="108" w:type="dxa"/>
            <w:bottom w:w="0" w:type="dxa"/>
            <w:right w:w="108" w:type="dxa"/>
          </w:tblCellMar>
        </w:tblPrEx>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驾驶舱建设综合集成服务</w:t>
            </w:r>
          </w:p>
        </w:tc>
        <w:tc>
          <w:tcPr>
            <w:tcW w:w="658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应用场景接入集成服务:向各接入方提供接入规范、技术咨询，引导梳理并收集整合场景清单，对接集成公安业务相关的应用场景。本次接入不少于12个应用场景。</w:t>
            </w:r>
          </w:p>
        </w:tc>
      </w:tr>
      <w:tr>
        <w:tblPrEx>
          <w:tblCellMar>
            <w:top w:w="0" w:type="dxa"/>
            <w:left w:w="108" w:type="dxa"/>
            <w:bottom w:w="0"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highlight w:val="none"/>
              </w:rPr>
            </w:pPr>
            <w:r>
              <w:rPr>
                <w:rFonts w:hint="eastAsia"/>
                <w:color w:val="auto"/>
                <w:highlight w:val="none"/>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数字驾驶舱-标准规范体系建设</w:t>
            </w:r>
          </w:p>
        </w:tc>
        <w:tc>
          <w:tcPr>
            <w:tcW w:w="72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包含温州市“公安大脑”数字驾驶舱建设指南、温州市“公安大脑”数字驾驶舱场景接入规范、温州市“公安大脑”数字驾驶舱大屏版设计规范、温州市“公安大脑”数字驾驶舱指标梳理模板等，全面指导温州公安大脑数字驾驶舱标准化、一体化建设。</w:t>
            </w:r>
          </w:p>
        </w:tc>
      </w:tr>
      <w:tr>
        <w:tblPrEx>
          <w:tblCellMar>
            <w:top w:w="0" w:type="dxa"/>
            <w:left w:w="108" w:type="dxa"/>
            <w:bottom w:w="0"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highlight w:val="none"/>
              </w:rPr>
            </w:pPr>
            <w:r>
              <w:rPr>
                <w:rFonts w:hint="eastAsia"/>
                <w:color w:val="auto"/>
                <w:highlight w:val="none"/>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系统维护费</w:t>
            </w:r>
          </w:p>
        </w:tc>
        <w:tc>
          <w:tcPr>
            <w:tcW w:w="729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数字驾驶舱驻场运维人员服务（18个月）：提供驻场运维人员1名，满足公安市级平台驾驶舱的指标和场景运维需求，提供驾驶舱运行环境和支撑服务平台的运维保障服务；要求3年以上相关工作经验</w:t>
            </w:r>
          </w:p>
        </w:tc>
      </w:tr>
    </w:tbl>
    <w:p>
      <w:pPr>
        <w:rPr>
          <w:color w:val="auto"/>
          <w:highlight w:val="none"/>
        </w:rPr>
      </w:pPr>
    </w:p>
    <w:p>
      <w:pPr>
        <w:pStyle w:val="4"/>
        <w:spacing w:before="0" w:after="0" w:line="400" w:lineRule="exact"/>
        <w:ind w:left="425" w:hanging="425"/>
        <w:rPr>
          <w:rFonts w:ascii="宋体" w:hAnsi="宋体" w:cs="宋体"/>
          <w:color w:val="auto"/>
          <w:sz w:val="21"/>
          <w:szCs w:val="21"/>
          <w:highlight w:val="none"/>
        </w:rPr>
      </w:pPr>
      <w:r>
        <w:rPr>
          <w:rFonts w:hint="eastAsia" w:ascii="宋体" w:hAnsi="宋体" w:cs="宋体"/>
          <w:color w:val="auto"/>
          <w:sz w:val="21"/>
          <w:szCs w:val="21"/>
          <w:highlight w:val="none"/>
        </w:rPr>
        <w:t>四、建设工期及服务要求</w:t>
      </w:r>
    </w:p>
    <w:p>
      <w:pPr>
        <w:pStyle w:val="5"/>
        <w:spacing w:before="0" w:after="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1.项目建设工期</w:t>
      </w:r>
    </w:p>
    <w:p>
      <w:pPr>
        <w:pStyle w:val="719"/>
        <w:spacing w:line="400" w:lineRule="exact"/>
        <w:ind w:firstLine="0" w:firstLineChars="0"/>
        <w:rPr>
          <w:rFonts w:hAnsi="宋体" w:cs="宋体"/>
          <w:color w:val="auto"/>
          <w:sz w:val="21"/>
          <w:szCs w:val="21"/>
          <w:highlight w:val="none"/>
        </w:rPr>
      </w:pPr>
      <w:r>
        <w:rPr>
          <w:rFonts w:hint="eastAsia" w:hAnsi="宋体" w:cs="宋体"/>
          <w:b/>
          <w:color w:val="auto"/>
          <w:sz w:val="21"/>
          <w:szCs w:val="21"/>
          <w:highlight w:val="none"/>
        </w:rPr>
        <w:t>合同签订之日起</w:t>
      </w:r>
      <w:r>
        <w:rPr>
          <w:rFonts w:hAnsi="宋体" w:cs="宋体"/>
          <w:b/>
          <w:color w:val="auto"/>
          <w:sz w:val="21"/>
          <w:szCs w:val="21"/>
          <w:highlight w:val="none"/>
        </w:rPr>
        <w:t>6</w:t>
      </w:r>
      <w:r>
        <w:rPr>
          <w:rFonts w:hint="eastAsia" w:hAnsi="宋体" w:cs="宋体"/>
          <w:b/>
          <w:color w:val="auto"/>
          <w:sz w:val="21"/>
          <w:szCs w:val="21"/>
          <w:highlight w:val="none"/>
        </w:rPr>
        <w:t>个月内完成项目终验，其中试运行时间不少于</w:t>
      </w:r>
      <w:r>
        <w:rPr>
          <w:rFonts w:hAnsi="宋体" w:cs="宋体"/>
          <w:b/>
          <w:color w:val="auto"/>
          <w:sz w:val="21"/>
          <w:szCs w:val="21"/>
          <w:highlight w:val="none"/>
        </w:rPr>
        <w:t>3</w:t>
      </w:r>
      <w:r>
        <w:rPr>
          <w:rFonts w:hint="eastAsia" w:hAnsi="宋体" w:cs="宋体"/>
          <w:b/>
          <w:color w:val="auto"/>
          <w:sz w:val="21"/>
          <w:szCs w:val="21"/>
          <w:highlight w:val="none"/>
        </w:rPr>
        <w:t>个月。</w:t>
      </w:r>
    </w:p>
    <w:p>
      <w:pPr>
        <w:pStyle w:val="719"/>
        <w:spacing w:line="400" w:lineRule="exact"/>
        <w:ind w:firstLine="0" w:firstLineChars="0"/>
        <w:rPr>
          <w:rFonts w:hAnsi="宋体" w:cs="宋体"/>
          <w:b/>
          <w:color w:val="auto"/>
          <w:sz w:val="21"/>
          <w:szCs w:val="21"/>
          <w:highlight w:val="none"/>
        </w:rPr>
      </w:pPr>
      <w:r>
        <w:rPr>
          <w:rFonts w:hint="eastAsia" w:hAnsi="宋体" w:cs="宋体"/>
          <w:b/>
          <w:color w:val="auto"/>
          <w:sz w:val="21"/>
          <w:szCs w:val="21"/>
          <w:highlight w:val="none"/>
        </w:rPr>
        <w:t xml:space="preserve">项目实施要求 </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（1）成交供应商须安排有能力的项目组成员进行本次项目的开发建设。</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（2）成交供应商应在项目实施前，编制详细的实施方案，并提交采购人认可。</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（3）实施过程应严格执行相关的规范，并保证安全。</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（4）成交供应商应根据采购人的需要，在规定的时间内，保证质量，完成系统升级。</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（5）质量控制要求：成交供应商需要配备专职的质量管理人员，全过程跟踪和管理项目质量，提交完成的项目文档，确保进度计划的执行和质量控制。</w:t>
      </w:r>
    </w:p>
    <w:p>
      <w:pPr>
        <w:pStyle w:val="5"/>
        <w:spacing w:before="0" w:after="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2.正版化要求</w:t>
      </w:r>
    </w:p>
    <w:p>
      <w:pPr>
        <w:spacing w:line="400" w:lineRule="exact"/>
        <w:ind w:left="141" w:leftChars="67" w:firstLine="420" w:firstLineChars="200"/>
        <w:rPr>
          <w:rFonts w:ascii="宋体" w:hAnsi="宋体" w:cs="宋体"/>
          <w:b/>
          <w:color w:val="auto"/>
          <w:szCs w:val="21"/>
          <w:highlight w:val="none"/>
        </w:rPr>
      </w:pPr>
      <w:r>
        <w:rPr>
          <w:rFonts w:hint="eastAsia" w:ascii="宋体" w:hAnsi="宋体" w:cs="宋体"/>
          <w:color w:val="auto"/>
          <w:szCs w:val="21"/>
          <w:highlight w:val="none"/>
        </w:rPr>
        <w:t>投标供应商须保证位本项目所提供的所有涉及第三方的软件产品均具有合法的版权或使用权，如在本项目范围内使用过程中出现版权或使用权纠纷，应由成交供应商负责，采购人和采购机构不承担责任。</w:t>
      </w:r>
    </w:p>
    <w:p>
      <w:pPr>
        <w:spacing w:line="400" w:lineRule="exact"/>
        <w:rPr>
          <w:rFonts w:ascii="宋体" w:hAnsi="宋体" w:cs="宋体"/>
          <w:color w:val="auto"/>
          <w:szCs w:val="21"/>
          <w:highlight w:val="none"/>
        </w:rPr>
      </w:pPr>
    </w:p>
    <w:p>
      <w:pPr>
        <w:pStyle w:val="5"/>
        <w:spacing w:before="0" w:after="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3.系统运维期要求</w:t>
      </w:r>
    </w:p>
    <w:p>
      <w:pPr>
        <w:spacing w:line="400" w:lineRule="exact"/>
        <w:ind w:left="141" w:leftChars="67" w:firstLine="420" w:firstLineChars="200"/>
        <w:rPr>
          <w:rFonts w:ascii="宋体" w:hAnsi="宋体" w:cs="宋体"/>
          <w:b/>
          <w:bCs/>
          <w:color w:val="auto"/>
          <w:szCs w:val="21"/>
          <w:highlight w:val="none"/>
        </w:rPr>
      </w:pPr>
      <w:r>
        <w:rPr>
          <w:rFonts w:hint="eastAsia" w:ascii="宋体" w:hAnsi="宋体" w:cs="宋体"/>
          <w:color w:val="auto"/>
          <w:szCs w:val="21"/>
          <w:highlight w:val="none"/>
        </w:rPr>
        <w:t>（1）运维期：</w:t>
      </w:r>
      <w:r>
        <w:rPr>
          <w:rFonts w:hint="eastAsia" w:ascii="宋体" w:hAnsi="宋体" w:cs="宋体"/>
          <w:b/>
          <w:bCs/>
          <w:color w:val="auto"/>
          <w:szCs w:val="21"/>
          <w:highlight w:val="none"/>
        </w:rPr>
        <w:t>自通过验收合格之日起运维</w:t>
      </w:r>
      <w:r>
        <w:rPr>
          <w:rFonts w:ascii="宋体" w:hAnsi="宋体" w:cs="宋体"/>
          <w:b/>
          <w:bCs/>
          <w:color w:val="auto"/>
          <w:szCs w:val="21"/>
          <w:highlight w:val="none"/>
        </w:rPr>
        <w:t>3</w:t>
      </w:r>
      <w:r>
        <w:rPr>
          <w:rFonts w:hint="eastAsia" w:ascii="宋体" w:hAnsi="宋体" w:cs="宋体"/>
          <w:b/>
          <w:bCs/>
          <w:color w:val="auto"/>
          <w:szCs w:val="21"/>
          <w:highlight w:val="none"/>
        </w:rPr>
        <w:t>年。运维期间，成交供应商对采购人提出的在合同范围内具体需求进行调研、调整和完善。</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（2）在运维期内，提供7*24小时热线电话技术支持，邮件服务和定期现场巡检服务等技术支持；对采购方提出的系统问题、发现的程序错误等，在20分钟内予以响应，并及时解决问题。</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（3）在运维期内，供应商应在本项目软件招标需求应用功能范围内及凡不涉及架构调整的情况下，根据采购人需求对系统进行必需的调整、修改以及版本免费升级服务，以满足系统之最优化。</w:t>
      </w:r>
    </w:p>
    <w:p>
      <w:pPr>
        <w:pStyle w:val="5"/>
        <w:spacing w:before="0" w:after="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4.培训推广要求</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（1）提供高水平的培训，培训教员应参与过该项目的实施，并有一定的教学经验。</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（2）提供详细的培训计划，培训计划中对时间、地点、授课人、培训内容、培训所要达到的目标等内容安排进行详细描述，其中培训场所由甲方提供。</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（3）培训方式应包括技术讲课、操作示范、参观学习和其它必须的业务指导和技术咨询，确保培训对象对系统基本理论、技术特性、操作规范、运行规程、管理维护等方面获得全面了解和掌握。</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（4）在合同签定后征得采购人同意后实施培训工作，并按采购人要求对设计人员、操作人员等不同岗位人员进行培训。</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（5）所有培训推广费用包括在合同总价内，不另行收费。</w:t>
      </w:r>
    </w:p>
    <w:p>
      <w:pPr>
        <w:pStyle w:val="4"/>
        <w:spacing w:before="0" w:after="0" w:line="400" w:lineRule="exact"/>
        <w:ind w:left="425" w:hanging="425"/>
        <w:rPr>
          <w:rFonts w:ascii="宋体" w:hAnsi="宋体" w:cs="宋体"/>
          <w:color w:val="auto"/>
          <w:sz w:val="21"/>
          <w:szCs w:val="21"/>
          <w:highlight w:val="none"/>
        </w:rPr>
      </w:pPr>
      <w:r>
        <w:rPr>
          <w:rFonts w:hint="eastAsia" w:ascii="宋体" w:hAnsi="宋体" w:cs="宋体"/>
          <w:color w:val="auto"/>
          <w:sz w:val="21"/>
          <w:szCs w:val="21"/>
          <w:highlight w:val="none"/>
        </w:rPr>
        <w:t>五、其他要求</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供应商必须对全部内容进行报价，只对部分内容进行报价的供应商将按无效投标处理。</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本技术规范要求提出的是最低限度的基本技术要求，并未对所有技术细节作出规定，</w:t>
      </w:r>
      <w:r>
        <w:rPr>
          <w:rFonts w:hint="eastAsia" w:ascii="宋体" w:hAnsi="宋体" w:cs="宋体"/>
          <w:bCs/>
          <w:color w:val="auto"/>
          <w:sz w:val="21"/>
          <w:szCs w:val="21"/>
          <w:highlight w:val="none"/>
        </w:rPr>
        <w:t>要求成交供应商在</w:t>
      </w:r>
      <w:r>
        <w:rPr>
          <w:rFonts w:hint="eastAsia" w:ascii="宋体" w:hAnsi="宋体" w:cs="宋体"/>
          <w:color w:val="auto"/>
          <w:sz w:val="21"/>
          <w:szCs w:val="21"/>
          <w:highlight w:val="none"/>
        </w:rPr>
        <w:t>初步业务需求、技术要求和</w:t>
      </w:r>
      <w:r>
        <w:rPr>
          <w:rFonts w:hint="eastAsia" w:ascii="宋体" w:hAnsi="宋体" w:cs="宋体"/>
          <w:bCs/>
          <w:color w:val="auto"/>
          <w:sz w:val="21"/>
          <w:szCs w:val="21"/>
          <w:highlight w:val="none"/>
        </w:rPr>
        <w:t>用户实际需求的基础上进行开发，</w:t>
      </w:r>
      <w:r>
        <w:rPr>
          <w:rFonts w:hint="eastAsia" w:ascii="宋体" w:hAnsi="宋体" w:cs="宋体"/>
          <w:color w:val="auto"/>
          <w:sz w:val="21"/>
          <w:szCs w:val="21"/>
          <w:highlight w:val="none"/>
        </w:rPr>
        <w:t>投标供应商在中标后应进行进一步调研，根据具体需求深化分析，提供符合本技术要求和国家标准、行业标准的优质产品。用户需求在开发期和试运行期，仍有可能不断完善，投标供应商须承诺在采购需求和政策法规范围内，随着用户需求的变动随时做出响应，修改应用软件，</w:t>
      </w:r>
      <w:r>
        <w:rPr>
          <w:rFonts w:hint="eastAsia" w:ascii="宋体" w:hAnsi="宋体" w:cs="宋体"/>
          <w:bCs/>
          <w:color w:val="auto"/>
          <w:sz w:val="21"/>
          <w:szCs w:val="21"/>
          <w:highlight w:val="none"/>
        </w:rPr>
        <w:t>并不断进行完善</w:t>
      </w:r>
      <w:r>
        <w:rPr>
          <w:rFonts w:hint="eastAsia" w:ascii="宋体" w:hAnsi="宋体" w:cs="宋体"/>
          <w:color w:val="auto"/>
          <w:sz w:val="21"/>
          <w:szCs w:val="21"/>
          <w:highlight w:val="none"/>
        </w:rPr>
        <w:t>。</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投标产品与本技术要求不一致时，供应商应在磋商响应文件中予以说明，并由磋商小组鉴定其服务能否达到要求。如供应商没有在磋商响应文件中提出异议，则视为其提供的服务完全按照本磋商文件要求，并在合同验收时按磋商文件要求验收。</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在本项目验收前投标供应商应做好软件评测工作，并对未通过的内容做好整改，以及承担由此产生的再次评审费用，直至测评通过为止。</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正式验收通过后，若有需求变动，在免费维护期内，仍应免费按用户需求对整个系统做出相应修改，以满足用户的需求。</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本项目建设过程中，供应商应充分考虑所提供解决方案的可行性和合理性，并保证项目落地实施，供应商负责承担实现功能所需的全部费用。</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投标供应商应本着认真负责的态度组织技术队伍，做好投标的整体技术方案并提出开发、维护、服务以及今后技术支持的措施计划和承诺。</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成交供应商在成交通知书发出之日起30个工作日内和采购人进行功能需求、技术规格和项目进度的确认并签订合同。</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供应商应允许采购方的工作人员参与系统的安装、测试、诊断及解决问题等各项工作。</w:t>
      </w:r>
    </w:p>
    <w:p>
      <w:pPr>
        <w:pStyle w:val="818"/>
        <w:numPr>
          <w:ilvl w:val="0"/>
          <w:numId w:val="7"/>
        </w:numPr>
        <w:tabs>
          <w:tab w:val="left" w:pos="709"/>
        </w:tabs>
        <w:spacing w:line="400" w:lineRule="exact"/>
        <w:ind w:left="540" w:hanging="360" w:firstLineChars="0"/>
        <w:rPr>
          <w:rFonts w:ascii="宋体" w:hAnsi="宋体" w:cs="宋体"/>
          <w:color w:val="auto"/>
          <w:sz w:val="21"/>
          <w:szCs w:val="21"/>
          <w:highlight w:val="none"/>
          <w:u w:val="single"/>
        </w:rPr>
      </w:pPr>
      <w:r>
        <w:rPr>
          <w:rFonts w:hint="eastAsia" w:ascii="宋体" w:hAnsi="宋体" w:cs="宋体"/>
          <w:b/>
          <w:color w:val="auto"/>
          <w:sz w:val="21"/>
          <w:szCs w:val="21"/>
          <w:highlight w:val="none"/>
          <w:u w:val="single"/>
        </w:rPr>
        <w:t>▲本标项采购预算</w:t>
      </w:r>
      <w:r>
        <w:rPr>
          <w:rFonts w:ascii="宋体" w:hAnsi="宋体" w:cs="宋体"/>
          <w:b/>
          <w:color w:val="auto"/>
          <w:sz w:val="21"/>
          <w:szCs w:val="21"/>
          <w:highlight w:val="none"/>
          <w:u w:val="single"/>
        </w:rPr>
        <w:t>235.45</w:t>
      </w:r>
      <w:r>
        <w:rPr>
          <w:rFonts w:hint="eastAsia" w:ascii="宋体" w:hAnsi="宋体" w:cs="宋体"/>
          <w:b/>
          <w:color w:val="auto"/>
          <w:sz w:val="21"/>
          <w:szCs w:val="21"/>
          <w:highlight w:val="none"/>
          <w:u w:val="single"/>
        </w:rPr>
        <w:t>万元</w:t>
      </w:r>
      <w:r>
        <w:rPr>
          <w:rFonts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rPr>
        <w:t>最高限价</w:t>
      </w:r>
      <w:r>
        <w:rPr>
          <w:rFonts w:ascii="宋体" w:hAnsi="宋体" w:cs="宋体"/>
          <w:b/>
          <w:color w:val="auto"/>
          <w:sz w:val="21"/>
          <w:szCs w:val="21"/>
          <w:highlight w:val="none"/>
          <w:u w:val="single"/>
        </w:rPr>
        <w:t>235.4</w:t>
      </w:r>
      <w:r>
        <w:rPr>
          <w:rFonts w:hint="eastAsia" w:ascii="宋体" w:hAnsi="宋体" w:cs="宋体"/>
          <w:b/>
          <w:color w:val="auto"/>
          <w:sz w:val="21"/>
          <w:szCs w:val="21"/>
          <w:highlight w:val="none"/>
          <w:u w:val="single"/>
        </w:rPr>
        <w:t>4万元</w:t>
      </w:r>
      <w:r>
        <w:rPr>
          <w:rFonts w:ascii="宋体" w:hAnsi="宋体" w:cs="宋体"/>
          <w:b/>
          <w:color w:val="auto"/>
          <w:sz w:val="21"/>
          <w:szCs w:val="21"/>
          <w:highlight w:val="none"/>
          <w:u w:val="single"/>
        </w:rPr>
        <w:t>,</w:t>
      </w:r>
      <w:r>
        <w:rPr>
          <w:rFonts w:hint="eastAsia" w:ascii="宋体" w:hAnsi="宋体" w:cs="宋体"/>
          <w:b/>
          <w:color w:val="auto"/>
          <w:sz w:val="21"/>
          <w:szCs w:val="21"/>
          <w:highlight w:val="none"/>
          <w:u w:val="single"/>
        </w:rPr>
        <w:t>供应商的投标报价超过最高限价的，其磋商响应文件按无效标处理。</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标项二：公安数字驾驶舱开发工具和场景开发模块</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一、标的需求概况</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1.背景介绍。</w:t>
      </w:r>
    </w:p>
    <w:p>
      <w:pPr>
        <w:snapToGrid w:val="0"/>
        <w:spacing w:line="360" w:lineRule="auto"/>
        <w:ind w:firstLine="480" w:firstLineChars="200"/>
        <w:jc w:val="lef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该项目采购需求编制符合财政部《政府采购需求管理办法》相关要求，需求内容按照财政批复的预算要求编制，不存在歧视性设置，具有充分的竞争性。</w:t>
      </w:r>
    </w:p>
    <w:p>
      <w:pPr>
        <w:snapToGrid w:val="0"/>
        <w:spacing w:line="360" w:lineRule="auto"/>
        <w:ind w:firstLine="480" w:firstLineChars="200"/>
        <w:jc w:val="left"/>
        <w:rPr>
          <w:rFonts w:hint="eastAsia" w:ascii="仿宋" w:hAnsi="仿宋" w:eastAsia="仿宋" w:cs="仿宋"/>
          <w:color w:val="auto"/>
          <w:sz w:val="24"/>
          <w:szCs w:val="32"/>
          <w:highlight w:val="none"/>
          <w:lang w:eastAsia="zh-Hans"/>
        </w:rPr>
      </w:pPr>
      <w:r>
        <w:rPr>
          <w:rFonts w:hint="eastAsia" w:ascii="仿宋" w:hAnsi="仿宋" w:eastAsia="仿宋" w:cs="仿宋"/>
          <w:color w:val="auto"/>
          <w:sz w:val="24"/>
          <w:szCs w:val="32"/>
          <w:highlight w:val="none"/>
          <w:lang w:eastAsia="zh-Hans"/>
        </w:rPr>
        <w:t>本项目面向全市公安机关各级领导和工作人员，围绕全市“公安大脑”数字驾驶舱应用体系“一体化建设、标准化运营、常态化应用”的总体目标，遵照省市两级“公安大脑”总体架构，依托温州公安内网数据池、数据指标管理平台、公安八大跑道应用和六大“在线+”领域应用，以数字化牵引公安业务转型升级为目标，构建精准聚焦、分级分类、多级联动、易观易控的“公安大脑”市县一体化数字驾驶舱应用体系，统筹推进指标体系建设，综合集成各类应用场景，打造“公安大脑”的总入口和总抓手，实现全市公安业务“一屏总览、一键智达”。</w:t>
      </w:r>
    </w:p>
    <w:p>
      <w:pPr>
        <w:snapToGrid w:val="0"/>
        <w:spacing w:line="360" w:lineRule="auto"/>
        <w:ind w:firstLine="480" w:firstLineChars="200"/>
        <w:jc w:val="left"/>
        <w:rPr>
          <w:rFonts w:hint="eastAsia" w:ascii="仿宋" w:hAnsi="仿宋" w:eastAsia="仿宋" w:cs="仿宋"/>
          <w:color w:val="auto"/>
          <w:sz w:val="24"/>
          <w:szCs w:val="32"/>
          <w:highlight w:val="none"/>
          <w:lang w:eastAsia="zh-Hans"/>
        </w:rPr>
      </w:pPr>
      <w:r>
        <w:rPr>
          <w:rFonts w:hint="eastAsia" w:ascii="仿宋" w:hAnsi="仿宋" w:eastAsia="仿宋" w:cs="仿宋"/>
          <w:color w:val="auto"/>
          <w:sz w:val="24"/>
          <w:szCs w:val="32"/>
          <w:highlight w:val="none"/>
          <w:lang w:eastAsia="zh-Hans"/>
        </w:rPr>
        <w:t xml:space="preserve"> 为保障全市公安数字驾驶舱一体化、集约化建设，本项目采购一套拖拽式驾驶舱快速搭建工具，集成上百种可视化图表组件、可视化地图交互组件以及地理分析、实时监控、汇报展示等多类场景布局模板，帮助快速搭建个性化专题驾驶舱。 </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2、其他相关情况。</w:t>
      </w:r>
    </w:p>
    <w:p>
      <w:pPr>
        <w:snapToGrid w:val="0"/>
        <w:spacing w:line="360" w:lineRule="auto"/>
        <w:ind w:firstLine="480" w:firstLineChars="200"/>
        <w:jc w:val="left"/>
        <w:rPr>
          <w:color w:val="auto"/>
          <w:highlight w:val="none"/>
        </w:rPr>
      </w:pPr>
      <w:r>
        <w:rPr>
          <w:rFonts w:hint="eastAsia" w:ascii="仿宋" w:hAnsi="仿宋" w:eastAsia="仿宋" w:cs="仿宋"/>
          <w:color w:val="auto"/>
          <w:sz w:val="24"/>
          <w:highlight w:val="none"/>
        </w:rPr>
        <w:t>属于公安信息化项目</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否</w:t>
      </w:r>
      <w:r>
        <w:rPr>
          <w:rFonts w:hint="eastAsia" w:asci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根据《温州公安信息化项目管理办法》（温公通【2016】23号）要求，公安信息化项目成交供应商应提供项目编制软件源代码。按照项目合同完成的与研究开发标的有关的知识产权（包括专利、专利申请权、非专利技术使用权、著作权、版权、发明权及其他成果权）归温州市公安局所有。</w:t>
      </w:r>
    </w:p>
    <w:p>
      <w:pPr>
        <w:pStyle w:val="4"/>
        <w:spacing w:before="0" w:after="0" w:line="400" w:lineRule="exact"/>
        <w:ind w:left="425" w:hanging="425"/>
        <w:rPr>
          <w:rFonts w:ascii="宋体" w:hAnsi="宋体" w:cs="宋体"/>
          <w:color w:val="auto"/>
          <w:sz w:val="21"/>
          <w:szCs w:val="21"/>
          <w:highlight w:val="none"/>
          <w:lang w:eastAsia="zh-Hans"/>
        </w:rPr>
      </w:pPr>
      <w:r>
        <w:rPr>
          <w:rFonts w:hint="eastAsia" w:ascii="宋体" w:hAnsi="宋体" w:cs="宋体"/>
          <w:color w:val="auto"/>
          <w:sz w:val="21"/>
          <w:szCs w:val="21"/>
          <w:highlight w:val="none"/>
        </w:rPr>
        <w:t>二、建设目标</w:t>
      </w:r>
      <w:bookmarkStart w:id="50" w:name="_Toc38462868"/>
      <w:bookmarkEnd w:id="50"/>
      <w:bookmarkStart w:id="51" w:name="_Toc38463086"/>
      <w:bookmarkEnd w:id="51"/>
      <w:bookmarkStart w:id="52" w:name="_Toc38462866"/>
      <w:bookmarkEnd w:id="52"/>
      <w:bookmarkStart w:id="53" w:name="_Toc38463084"/>
      <w:bookmarkEnd w:id="53"/>
      <w:bookmarkStart w:id="54" w:name="_Toc16727"/>
      <w:bookmarkStart w:id="55" w:name="_Toc105574493"/>
    </w:p>
    <w:p>
      <w:pPr>
        <w:spacing w:line="40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eastAsia="zh-Hans" w:bidi="ar"/>
        </w:rPr>
        <w:t>本项目将</w:t>
      </w:r>
      <w:r>
        <w:rPr>
          <w:rFonts w:hint="eastAsia" w:ascii="宋体" w:hAnsi="宋体" w:cs="宋体"/>
          <w:color w:val="auto"/>
          <w:szCs w:val="21"/>
          <w:highlight w:val="none"/>
          <w:lang w:bidi="ar"/>
        </w:rPr>
        <w:t>形成一套</w:t>
      </w:r>
      <w:r>
        <w:rPr>
          <w:rFonts w:hint="eastAsia" w:ascii="宋体" w:hAnsi="宋体" w:cs="宋体"/>
          <w:color w:val="auto"/>
          <w:szCs w:val="21"/>
          <w:highlight w:val="none"/>
          <w:lang w:eastAsia="zh-Hans" w:bidi="ar"/>
        </w:rPr>
        <w:t>全市</w:t>
      </w:r>
      <w:r>
        <w:rPr>
          <w:rFonts w:hint="eastAsia" w:ascii="宋体" w:hAnsi="宋体" w:cs="宋体"/>
          <w:color w:val="auto"/>
          <w:szCs w:val="21"/>
          <w:highlight w:val="none"/>
          <w:lang w:bidi="ar"/>
        </w:rPr>
        <w:t>、全警种</w:t>
      </w:r>
      <w:r>
        <w:rPr>
          <w:rFonts w:hint="eastAsia" w:ascii="宋体" w:hAnsi="宋体" w:cs="宋体"/>
          <w:color w:val="auto"/>
          <w:szCs w:val="21"/>
          <w:highlight w:val="none"/>
          <w:lang w:eastAsia="zh-Hans" w:bidi="ar"/>
        </w:rPr>
        <w:t>公安机关数字驾驶舱建设</w:t>
      </w:r>
      <w:r>
        <w:rPr>
          <w:rFonts w:hint="eastAsia" w:ascii="宋体" w:hAnsi="宋体" w:cs="宋体"/>
          <w:color w:val="auto"/>
          <w:szCs w:val="21"/>
          <w:highlight w:val="none"/>
          <w:lang w:bidi="ar"/>
        </w:rPr>
        <w:t>的基础搭建标准工具与能力，全市各单位各警种可根据已有的数据、网络、终端，实现对自身核心业务实现指标数值量化，结合应用场景实现一屏全观，综合决策。</w:t>
      </w:r>
    </w:p>
    <w:p>
      <w:pPr>
        <w:pStyle w:val="4"/>
        <w:spacing w:before="0" w:after="0" w:line="400" w:lineRule="exact"/>
        <w:ind w:left="425" w:hanging="425"/>
        <w:rPr>
          <w:rFonts w:ascii="宋体" w:hAnsi="宋体" w:cs="宋体"/>
          <w:color w:val="auto"/>
          <w:sz w:val="21"/>
          <w:szCs w:val="21"/>
          <w:highlight w:val="none"/>
        </w:rPr>
      </w:pPr>
      <w:r>
        <w:rPr>
          <w:rFonts w:hint="eastAsia" w:ascii="宋体" w:hAnsi="宋体" w:cs="宋体"/>
          <w:color w:val="auto"/>
          <w:sz w:val="21"/>
          <w:szCs w:val="21"/>
          <w:highlight w:val="none"/>
        </w:rPr>
        <w:t>三、</w:t>
      </w:r>
      <w:bookmarkEnd w:id="54"/>
      <w:r>
        <w:rPr>
          <w:rFonts w:hint="eastAsia" w:ascii="宋体" w:hAnsi="宋体" w:cs="宋体"/>
          <w:color w:val="auto"/>
          <w:sz w:val="21"/>
          <w:szCs w:val="21"/>
          <w:highlight w:val="none"/>
        </w:rPr>
        <w:t>采购需求</w:t>
      </w:r>
      <w:bookmarkEnd w:id="55"/>
    </w:p>
    <w:p>
      <w:pPr>
        <w:pStyle w:val="5"/>
        <w:spacing w:before="0" w:after="0" w:line="400" w:lineRule="exact"/>
        <w:rPr>
          <w:rFonts w:ascii="宋体" w:hAnsi="宋体" w:eastAsia="宋体" w:cs="宋体"/>
          <w:color w:val="auto"/>
          <w:sz w:val="21"/>
          <w:szCs w:val="21"/>
          <w:highlight w:val="none"/>
        </w:rPr>
      </w:pPr>
      <w:bookmarkStart w:id="56" w:name="_Toc18712"/>
      <w:r>
        <w:rPr>
          <w:rFonts w:hint="eastAsia" w:ascii="宋体" w:hAnsi="宋体" w:eastAsia="宋体" w:cs="宋体"/>
          <w:color w:val="auto"/>
          <w:sz w:val="21"/>
          <w:szCs w:val="21"/>
          <w:highlight w:val="none"/>
        </w:rPr>
        <w:t>1.</w:t>
      </w:r>
      <w:bookmarkEnd w:id="56"/>
      <w:r>
        <w:rPr>
          <w:rFonts w:hint="eastAsia" w:ascii="宋体" w:hAnsi="宋体" w:eastAsia="宋体" w:cs="宋体"/>
          <w:color w:val="auto"/>
          <w:sz w:val="21"/>
          <w:szCs w:val="21"/>
          <w:highlight w:val="none"/>
        </w:rPr>
        <w:t>大屏定制开发要求</w:t>
      </w:r>
    </w:p>
    <w:tbl>
      <w:tblPr>
        <w:tblStyle w:val="62"/>
        <w:tblW w:w="0" w:type="auto"/>
        <w:jc w:val="center"/>
        <w:tblLayout w:type="fixed"/>
        <w:tblCellMar>
          <w:top w:w="0" w:type="dxa"/>
          <w:left w:w="108" w:type="dxa"/>
          <w:bottom w:w="0" w:type="dxa"/>
          <w:right w:w="108" w:type="dxa"/>
        </w:tblCellMar>
      </w:tblPr>
      <w:tblGrid>
        <w:gridCol w:w="679"/>
        <w:gridCol w:w="1070"/>
        <w:gridCol w:w="810"/>
        <w:gridCol w:w="6263"/>
      </w:tblGrid>
      <w:tr>
        <w:tblPrEx>
          <w:tblCellMar>
            <w:top w:w="0" w:type="dxa"/>
            <w:left w:w="108" w:type="dxa"/>
            <w:bottom w:w="0" w:type="dxa"/>
            <w:right w:w="108" w:type="dxa"/>
          </w:tblCellMar>
        </w:tblPrEx>
        <w:trPr>
          <w:trHeight w:val="67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功能模块名称</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功能详细描述</w:t>
            </w:r>
          </w:p>
        </w:tc>
      </w:tr>
      <w:tr>
        <w:tblPrEx>
          <w:tblCellMar>
            <w:top w:w="0" w:type="dxa"/>
            <w:left w:w="108" w:type="dxa"/>
            <w:bottom w:w="0" w:type="dxa"/>
            <w:right w:w="108" w:type="dxa"/>
          </w:tblCellMar>
        </w:tblPrEx>
        <w:trPr>
          <w:trHeight w:val="1410" w:hRule="atLeast"/>
          <w:jc w:val="center"/>
        </w:trPr>
        <w:tc>
          <w:tcPr>
            <w:tcW w:w="679" w:type="dxa"/>
            <w:vMerge w:val="restart"/>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vMerge w:val="restart"/>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专业屏开发</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反诈大屏</w:t>
            </w: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1.预警劝阻展示部分：以预警数量、成功劝阻数量，劝阻金额等数据、对车辆跟踪、图像模糊判断，反诈骗劝阻的业务执行情况进行全景展示。受害人员单位、电诈高发重点</w:t>
            </w:r>
            <w:r>
              <w:rPr>
                <w:rFonts w:hint="eastAsia" w:ascii="宋体" w:hAnsi="宋体" w:cs="宋体"/>
                <w:color w:val="auto"/>
                <w:szCs w:val="21"/>
                <w:highlight w:val="none"/>
              </w:rPr>
              <w:br w:type="textWrapping"/>
            </w:r>
            <w:r>
              <w:rPr>
                <w:rFonts w:hint="eastAsia" w:ascii="宋体" w:hAnsi="宋体" w:cs="宋体"/>
                <w:color w:val="auto"/>
                <w:szCs w:val="21"/>
                <w:highlight w:val="none"/>
              </w:rPr>
              <w:t>2.***展示部分：以各行业受害人员数据、各***今年与去年电诈数量同比值，防诈重点地分析进行全景展示。</w:t>
            </w:r>
          </w:p>
        </w:tc>
      </w:tr>
      <w:tr>
        <w:tblPrEx>
          <w:tblCellMar>
            <w:top w:w="0" w:type="dxa"/>
            <w:left w:w="108" w:type="dxa"/>
            <w:bottom w:w="0" w:type="dxa"/>
            <w:right w:w="108" w:type="dxa"/>
          </w:tblCellMar>
        </w:tblPrEx>
        <w:trPr>
          <w:trHeight w:val="49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各个指标设计与修改；地图样式设计开发与修改</w:t>
            </w:r>
          </w:p>
        </w:tc>
      </w:tr>
      <w:tr>
        <w:tblPrEx>
          <w:tblCellMar>
            <w:top w:w="0" w:type="dxa"/>
            <w:left w:w="108" w:type="dxa"/>
            <w:bottom w:w="0" w:type="dxa"/>
            <w:right w:w="108" w:type="dxa"/>
          </w:tblCellMar>
        </w:tblPrEx>
        <w:trPr>
          <w:trHeight w:val="61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地图数据对接（边界，样式，落点）；各个指标数据对接（对接提供的接口数据，并进行处理，展示）</w:t>
            </w:r>
          </w:p>
        </w:tc>
      </w:tr>
      <w:tr>
        <w:tblPrEx>
          <w:tblCellMar>
            <w:top w:w="0" w:type="dxa"/>
            <w:left w:w="108" w:type="dxa"/>
            <w:bottom w:w="0" w:type="dxa"/>
            <w:right w:w="108" w:type="dxa"/>
          </w:tblCellMar>
        </w:tblPrEx>
        <w:trPr>
          <w:trHeight w:val="97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法制大屏</w:t>
            </w: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汇集执法巡查信息、涉访投诉信息、涉案财务信息等，持续推进信息数据与公安法制的深度融合。重点区域监测展示部分：支持基于地理信息系统，对第一现场、重要路段、重大社会活动等重点区域进行实时可视化监测，并可对重点区域的位置、状态、关键指标等信息进行联动</w:t>
            </w:r>
          </w:p>
        </w:tc>
      </w:tr>
      <w:tr>
        <w:tblPrEx>
          <w:tblCellMar>
            <w:top w:w="0" w:type="dxa"/>
            <w:left w:w="108" w:type="dxa"/>
            <w:bottom w:w="0" w:type="dxa"/>
            <w:right w:w="108" w:type="dxa"/>
          </w:tblCellMar>
        </w:tblPrEx>
        <w:trPr>
          <w:trHeight w:val="73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执法办案受立案分析”、“监视居住人员分析”、“涉案财务趋势分析”、“执法巡查情况分析”、“执法预警”、“涉访诉预警分析”、“本月行政受案率”、“本月刑事立案率”指标设计与修改；地图样式设计开发与修改（案件数量按地区展示在地图上）</w:t>
            </w:r>
          </w:p>
        </w:tc>
      </w:tr>
      <w:tr>
        <w:tblPrEx>
          <w:tblCellMar>
            <w:top w:w="0" w:type="dxa"/>
            <w:left w:w="108" w:type="dxa"/>
            <w:bottom w:w="0" w:type="dxa"/>
            <w:right w:w="108" w:type="dxa"/>
          </w:tblCellMar>
        </w:tblPrEx>
        <w:trPr>
          <w:trHeight w:val="73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地图数据对接（边界，样式，落点）；各个指标数据对接（对接提供的接口数据，并进行处理，展示）</w:t>
            </w:r>
          </w:p>
        </w:tc>
      </w:tr>
      <w:tr>
        <w:tblPrEx>
          <w:tblCellMar>
            <w:top w:w="0" w:type="dxa"/>
            <w:left w:w="108" w:type="dxa"/>
            <w:bottom w:w="0" w:type="dxa"/>
            <w:right w:w="108" w:type="dxa"/>
          </w:tblCellMar>
        </w:tblPrEx>
        <w:trPr>
          <w:trHeight w:val="73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能力工具箱大屏</w:t>
            </w: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随着科技的发展，犯罪形式的多样化，公安针对各个方面研发了各类通用能力工具产品，统筹并助力各警种进行业务梳理与能力调用。针对热门工具排行、可信身份调用情况、人车技防、警力在线、及AI类能力列表进行展示。</w:t>
            </w:r>
          </w:p>
        </w:tc>
      </w:tr>
      <w:tr>
        <w:tblPrEx>
          <w:tblCellMar>
            <w:top w:w="0" w:type="dxa"/>
            <w:left w:w="108" w:type="dxa"/>
            <w:bottom w:w="0" w:type="dxa"/>
            <w:right w:w="108" w:type="dxa"/>
          </w:tblCellMar>
        </w:tblPrEx>
        <w:trPr>
          <w:trHeight w:val="1080"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本周热门工具排行”、“可信身份认证分析”、“可信身份码分析”、“车辆跟踪展示分析包括照片”、“人脸识别功能展示包括照片”、“其他功能展示”指标设计与修改；地图样式设计开发与修改（展示全市警力分布情况）</w:t>
            </w:r>
          </w:p>
        </w:tc>
      </w:tr>
      <w:tr>
        <w:tblPrEx>
          <w:tblCellMar>
            <w:top w:w="0" w:type="dxa"/>
            <w:left w:w="108" w:type="dxa"/>
            <w:bottom w:w="0" w:type="dxa"/>
            <w:right w:w="108" w:type="dxa"/>
          </w:tblCellMar>
        </w:tblPrEx>
        <w:trPr>
          <w:trHeight w:val="690"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地图数据对接（边界，样式，落点）；各个指标数据对接（对接提供的接口数据，并进行处理，展示）</w:t>
            </w:r>
          </w:p>
        </w:tc>
      </w:tr>
      <w:tr>
        <w:tblPrEx>
          <w:tblCellMar>
            <w:top w:w="0" w:type="dxa"/>
            <w:left w:w="108" w:type="dxa"/>
            <w:bottom w:w="0" w:type="dxa"/>
            <w:right w:w="108" w:type="dxa"/>
          </w:tblCellMar>
        </w:tblPrEx>
        <w:trPr>
          <w:trHeight w:val="1140"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安全综合管理大屏：</w:t>
            </w: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随着信息系统等级保护的落实，各类网络安全设备的增加，安全制度的完善，安全管理能力无法达到统一化。对此，研发安全综合管理大屏，统筹梳理管理制度，风险感知能力，预警通报信息展示。助力安全责任人明确风险，务实责任制。针对合作企业管理制度、保密制度、边界预警、病毒感知、终端情报等进行展示。</w:t>
            </w:r>
          </w:p>
        </w:tc>
      </w:tr>
      <w:tr>
        <w:tblPrEx>
          <w:tblCellMar>
            <w:top w:w="0" w:type="dxa"/>
            <w:left w:w="108" w:type="dxa"/>
            <w:bottom w:w="0" w:type="dxa"/>
            <w:right w:w="108" w:type="dxa"/>
          </w:tblCellMar>
        </w:tblPrEx>
        <w:trPr>
          <w:trHeight w:val="82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主体责任模块：对接公安各类系统，通过主体责任相关核心指标的对接与治理，展示主体责任相关的数据。</w:t>
            </w:r>
          </w:p>
        </w:tc>
      </w:tr>
      <w:tr>
        <w:tblPrEx>
          <w:tblCellMar>
            <w:top w:w="0" w:type="dxa"/>
            <w:left w:w="108" w:type="dxa"/>
            <w:bottom w:w="0" w:type="dxa"/>
            <w:right w:w="108" w:type="dxa"/>
          </w:tblCellMar>
        </w:tblPrEx>
        <w:trPr>
          <w:trHeight w:val="82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 xml:space="preserve">安全预警、终端情报模块展示：对接指标平台、一机二用监测等平台，通过核心数据的汇聚、融合、校核、辨识、确认等工作，展示公安安全预警数据， </w:t>
            </w:r>
          </w:p>
        </w:tc>
      </w:tr>
      <w:tr>
        <w:tblPrEx>
          <w:tblCellMar>
            <w:top w:w="0" w:type="dxa"/>
            <w:left w:w="108" w:type="dxa"/>
            <w:bottom w:w="0" w:type="dxa"/>
            <w:right w:w="108" w:type="dxa"/>
          </w:tblCellMar>
        </w:tblPrEx>
        <w:trPr>
          <w:trHeight w:val="82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态势感知系统模块展示：对接各类态势感知平台，进行数据汇聚、分析、处理、展示工作，最终形成信息安全态势一屏展示、一键触达。</w:t>
            </w:r>
          </w:p>
        </w:tc>
      </w:tr>
      <w:tr>
        <w:tblPrEx>
          <w:tblCellMar>
            <w:top w:w="0" w:type="dxa"/>
            <w:left w:w="108" w:type="dxa"/>
            <w:bottom w:w="0" w:type="dxa"/>
            <w:right w:w="108" w:type="dxa"/>
          </w:tblCellMar>
        </w:tblPrEx>
        <w:trPr>
          <w:trHeight w:val="90"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统计展示模块：对各类安全设备，包含网闸、服务器等资源；系统等保服务、公安网信息化系统承建厂商、驻场人员清单等内容进行统计与展示。</w:t>
            </w:r>
          </w:p>
          <w:p>
            <w:pPr>
              <w:widowControl/>
              <w:jc w:val="left"/>
              <w:rPr>
                <w:rFonts w:ascii="宋体" w:hAnsi="宋体" w:cs="宋体"/>
                <w:color w:val="auto"/>
                <w:szCs w:val="21"/>
                <w:highlight w:val="none"/>
              </w:rPr>
            </w:pPr>
          </w:p>
        </w:tc>
      </w:tr>
      <w:tr>
        <w:tblPrEx>
          <w:tblCellMar>
            <w:top w:w="0" w:type="dxa"/>
            <w:left w:w="108" w:type="dxa"/>
            <w:bottom w:w="0" w:type="dxa"/>
            <w:right w:w="108" w:type="dxa"/>
          </w:tblCellMar>
        </w:tblPrEx>
        <w:trPr>
          <w:trHeight w:val="82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 xml:space="preserve">专项工作展示模块：通过线上对接与线下整理等方式，梳理信息公安专项工作情况，形成指标、指数化数据成果，并在大屏中进行展示。 </w:t>
            </w:r>
          </w:p>
        </w:tc>
      </w:tr>
      <w:tr>
        <w:tblPrEx>
          <w:tblCellMar>
            <w:top w:w="0" w:type="dxa"/>
            <w:left w:w="108" w:type="dxa"/>
            <w:bottom w:w="0" w:type="dxa"/>
            <w:right w:w="108" w:type="dxa"/>
          </w:tblCellMar>
        </w:tblPrEx>
        <w:trPr>
          <w:trHeight w:val="369"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信息化合作展示模块：通过线上、线下台帐梳理等方式，厘清信息化合作企业档案数据，并对合作企业相关信息进行展示，辅助对合作企业信息安全的监管工作。</w:t>
            </w:r>
          </w:p>
          <w:p>
            <w:pPr>
              <w:widowControl/>
              <w:jc w:val="left"/>
              <w:rPr>
                <w:rFonts w:ascii="宋体" w:hAnsi="宋体" w:cs="宋体"/>
                <w:color w:val="auto"/>
                <w:szCs w:val="21"/>
                <w:highlight w:val="none"/>
              </w:rPr>
            </w:pPr>
          </w:p>
        </w:tc>
      </w:tr>
      <w:tr>
        <w:tblPrEx>
          <w:tblCellMar>
            <w:top w:w="0" w:type="dxa"/>
            <w:left w:w="108" w:type="dxa"/>
            <w:bottom w:w="0" w:type="dxa"/>
            <w:right w:w="108" w:type="dxa"/>
          </w:tblCellMar>
        </w:tblPrEx>
        <w:trPr>
          <w:trHeight w:val="82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地图指标展示模块：将以地理位置为载体的业务指标，通过地图形式表现，对接区县数据，展示各个安全指标数据。</w:t>
            </w:r>
          </w:p>
        </w:tc>
      </w:tr>
      <w:tr>
        <w:tblPrEx>
          <w:tblCellMar>
            <w:top w:w="0" w:type="dxa"/>
            <w:left w:w="108" w:type="dxa"/>
            <w:bottom w:w="0" w:type="dxa"/>
            <w:right w:w="108" w:type="dxa"/>
          </w:tblCellMar>
        </w:tblPrEx>
        <w:trPr>
          <w:trHeight w:val="70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平台设计保障，一是配合当前的数字化改革建设的需求，根据建设单位的需求，承诺在建设维护期内，提供不少于3次的页面设计美化工作。</w:t>
            </w:r>
          </w:p>
        </w:tc>
      </w:tr>
      <w:tr>
        <w:tblPrEx>
          <w:tblCellMar>
            <w:top w:w="0" w:type="dxa"/>
            <w:left w:w="108" w:type="dxa"/>
            <w:bottom w:w="0" w:type="dxa"/>
            <w:right w:w="108" w:type="dxa"/>
          </w:tblCellMar>
        </w:tblPrEx>
        <w:trPr>
          <w:trHeight w:val="76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混连隐患主动探测推广大屏</w:t>
            </w: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对全国成果试用项目“混连隐患主动探测技术”的推广情况进行跟踪管理，在线反映项目推广对接、实施、成效等具体情况，为下一步项目申报“成果推广计划”做好准备。</w:t>
            </w:r>
          </w:p>
        </w:tc>
      </w:tr>
      <w:tr>
        <w:tblPrEx>
          <w:tblCellMar>
            <w:top w:w="0" w:type="dxa"/>
            <w:left w:w="108" w:type="dxa"/>
            <w:bottom w:w="0" w:type="dxa"/>
            <w:right w:w="108" w:type="dxa"/>
          </w:tblCellMar>
        </w:tblPrEx>
        <w:trPr>
          <w:trHeight w:val="55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推广历程：线下梳理项目推广历程信息，以可视化的形式动态展示相关的推广信息，为混连业务的推广进展做好跟踪管理。</w:t>
            </w:r>
          </w:p>
        </w:tc>
      </w:tr>
      <w:tr>
        <w:tblPrEx>
          <w:tblCellMar>
            <w:top w:w="0" w:type="dxa"/>
            <w:left w:w="108" w:type="dxa"/>
            <w:bottom w:w="0" w:type="dxa"/>
            <w:right w:w="108" w:type="dxa"/>
          </w:tblCellMar>
        </w:tblPrEx>
        <w:trPr>
          <w:trHeight w:val="55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混连事件预警：对接预警平台，混连事件进行指数与指标化治理，通过预警数据直观展示预警区域、设备管理IP，内网IP，发现时间等预警信息。</w:t>
            </w:r>
          </w:p>
        </w:tc>
      </w:tr>
      <w:tr>
        <w:tblPrEx>
          <w:tblCellMar>
            <w:top w:w="0" w:type="dxa"/>
            <w:left w:w="108" w:type="dxa"/>
            <w:bottom w:w="0" w:type="dxa"/>
            <w:right w:w="108" w:type="dxa"/>
          </w:tblCellMar>
        </w:tblPrEx>
        <w:trPr>
          <w:trHeight w:val="55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试用部署情况：对接预警平台部署功能，通过柱状图等形式，展示项目的对接、部署情况，为后期的项目推进提供进展信息。</w:t>
            </w:r>
          </w:p>
        </w:tc>
      </w:tr>
      <w:tr>
        <w:tblPrEx>
          <w:tblCellMar>
            <w:top w:w="0" w:type="dxa"/>
            <w:left w:w="108" w:type="dxa"/>
            <w:bottom w:w="0" w:type="dxa"/>
            <w:right w:w="108" w:type="dxa"/>
          </w:tblCellMar>
        </w:tblPrEx>
        <w:trPr>
          <w:trHeight w:val="55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预警情况及统计：对全国混连事件进行跟踪，预警数量进来动态统计；并对月度预警情况进行汇总展示。</w:t>
            </w:r>
          </w:p>
        </w:tc>
      </w:tr>
      <w:tr>
        <w:tblPrEx>
          <w:tblCellMar>
            <w:top w:w="0" w:type="dxa"/>
            <w:left w:w="108" w:type="dxa"/>
            <w:bottom w:w="0" w:type="dxa"/>
            <w:right w:w="108" w:type="dxa"/>
          </w:tblCellMar>
        </w:tblPrEx>
        <w:trPr>
          <w:trHeight w:val="705" w:hRule="atLeast"/>
          <w:jc w:val="center"/>
        </w:trPr>
        <w:tc>
          <w:tcPr>
            <w:tcW w:w="679"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color w:val="auto"/>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Cs w:val="21"/>
                <w:highlight w:val="none"/>
              </w:rPr>
            </w:pPr>
          </w:p>
        </w:tc>
        <w:tc>
          <w:tcPr>
            <w:tcW w:w="62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地图数据对接（边界，样式，落点）；各个指标数据对接（对接提供的接口数据，并进行处理，展示）</w:t>
            </w:r>
          </w:p>
        </w:tc>
      </w:tr>
      <w:tr>
        <w:tblPrEx>
          <w:tblCellMar>
            <w:top w:w="0" w:type="dxa"/>
            <w:left w:w="108" w:type="dxa"/>
            <w:bottom w:w="0" w:type="dxa"/>
            <w:right w:w="108" w:type="dxa"/>
          </w:tblCellMar>
        </w:tblPrEx>
        <w:trPr>
          <w:trHeight w:val="1005"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2</w:t>
            </w:r>
          </w:p>
        </w:tc>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szCs w:val="21"/>
                <w:highlight w:val="none"/>
              </w:rPr>
            </w:pPr>
            <w:bookmarkStart w:id="57" w:name="_Hlk121996177"/>
            <w:r>
              <w:rPr>
                <w:rFonts w:hint="eastAsia" w:ascii="宋体" w:hAnsi="宋体" w:cs="宋体"/>
                <w:color w:val="auto"/>
                <w:szCs w:val="21"/>
                <w:highlight w:val="none"/>
              </w:rPr>
              <w:t>公安大脑二级业务屏开发</w:t>
            </w:r>
            <w:bookmarkEnd w:id="57"/>
            <w:bookmarkStart w:id="58" w:name="_Hlk121996419"/>
            <w:r>
              <w:rPr>
                <w:rFonts w:hint="eastAsia" w:ascii="宋体" w:hAnsi="宋体" w:cs="宋体"/>
                <w:color w:val="auto"/>
                <w:szCs w:val="21"/>
                <w:highlight w:val="none"/>
              </w:rPr>
              <w:t>（不少于6个业务场景）</w:t>
            </w:r>
            <w:bookmarkEnd w:id="58"/>
          </w:p>
        </w:tc>
        <w:tc>
          <w:tcPr>
            <w:tcW w:w="7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根据公安大脑建设整体推进需要利用可视化开发工具开发不少于6个二级业务大屏，针对每个大屏设计时，深入调研每个场景业务需求，设计业务场景与汇报思路，研发时对接不少于3个业务系统，汇聚、分析、处理、展示不少于20个指标数据。</w:t>
            </w:r>
            <w:r>
              <w:rPr>
                <w:rFonts w:hint="eastAsia" w:ascii="宋体" w:hAnsi="宋体" w:cs="宋体"/>
                <w:color w:val="auto"/>
                <w:szCs w:val="21"/>
                <w:highlight w:val="none"/>
              </w:rPr>
              <w:tab/>
            </w:r>
            <w:r>
              <w:rPr>
                <w:rFonts w:hint="eastAsia" w:ascii="宋体" w:hAnsi="宋体" w:cs="宋体"/>
                <w:color w:val="auto"/>
                <w:szCs w:val="21"/>
                <w:highlight w:val="none"/>
              </w:rPr>
              <w:tab/>
            </w:r>
          </w:p>
        </w:tc>
      </w:tr>
      <w:tr>
        <w:tblPrEx>
          <w:tblCellMar>
            <w:top w:w="0" w:type="dxa"/>
            <w:left w:w="108" w:type="dxa"/>
            <w:bottom w:w="0" w:type="dxa"/>
            <w:right w:w="108" w:type="dxa"/>
          </w:tblCellMar>
        </w:tblPrEx>
        <w:trPr>
          <w:trHeight w:val="7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7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指标汇聚治理，针对不同业务场景，线上对接省市各级信息系统，线下梳理台账，进行核心数据归集，分类，清洗，治理，提炼抽取代表性指标。</w:t>
            </w:r>
          </w:p>
        </w:tc>
      </w:tr>
      <w:tr>
        <w:tblPrEx>
          <w:tblCellMar>
            <w:top w:w="0" w:type="dxa"/>
            <w:left w:w="108" w:type="dxa"/>
            <w:bottom w:w="0" w:type="dxa"/>
            <w:right w:w="108" w:type="dxa"/>
          </w:tblCellMar>
        </w:tblPrEx>
        <w:trPr>
          <w:trHeight w:val="7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7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指标在线展示，一是根据治理成果，设计开发可视化前端展示模块；二是梳理预警率，共享率等为代表的核心指标，推进各业务场景的数据共享与核心业务闭环处置。</w:t>
            </w:r>
          </w:p>
        </w:tc>
      </w:tr>
      <w:tr>
        <w:tblPrEx>
          <w:tblCellMar>
            <w:top w:w="0" w:type="dxa"/>
            <w:left w:w="108" w:type="dxa"/>
            <w:bottom w:w="0" w:type="dxa"/>
            <w:right w:w="108" w:type="dxa"/>
          </w:tblCellMar>
        </w:tblPrEx>
        <w:trPr>
          <w:trHeight w:val="73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7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地图指标展示，从数字化改革业务视角构建业务分析展示模块，依托地图组件将以地理位置为载体的业务指标，按数值大小体现不同颜色，通过层次丰富的领域舱，实现场景核心业务一图汇聚、一屏展示。</w:t>
            </w:r>
          </w:p>
        </w:tc>
      </w:tr>
      <w:tr>
        <w:tblPrEx>
          <w:tblCellMar>
            <w:top w:w="0" w:type="dxa"/>
            <w:left w:w="108" w:type="dxa"/>
            <w:bottom w:w="0" w:type="dxa"/>
            <w:right w:w="108" w:type="dxa"/>
          </w:tblCellMar>
        </w:tblPrEx>
        <w:trPr>
          <w:trHeight w:val="900"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7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业务汇总展示，呈现每个指标的名称、数值、指标定义、责任部门、联系人等信息，业务闭环一键直达责任人，提高业务场景业务处置的管理效率。</w:t>
            </w:r>
          </w:p>
        </w:tc>
      </w:tr>
      <w:tr>
        <w:tblPrEx>
          <w:tblCellMar>
            <w:top w:w="0" w:type="dxa"/>
            <w:left w:w="108" w:type="dxa"/>
            <w:bottom w:w="0" w:type="dxa"/>
            <w:right w:w="108" w:type="dxa"/>
          </w:tblCellMar>
        </w:tblPrEx>
        <w:trPr>
          <w:trHeight w:val="600"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7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预警闭环处置：提炼具有以“实时、全样、精准”特性的关键指数数据，建立 “预警闭环处罚”展示模块，辅助提升管理决策的科学性和精准性。</w:t>
            </w:r>
          </w:p>
        </w:tc>
      </w:tr>
      <w:tr>
        <w:tblPrEx>
          <w:tblCellMar>
            <w:top w:w="0" w:type="dxa"/>
            <w:left w:w="108" w:type="dxa"/>
            <w:bottom w:w="0" w:type="dxa"/>
            <w:right w:w="108" w:type="dxa"/>
          </w:tblCellMar>
        </w:tblPrEx>
        <w:trPr>
          <w:trHeight w:val="600"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7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辅助参考决策，根据各模块决策者的需要，以最简洁、最直观的形式显示系统收集和整理的各种信息的分析计算结果帮助做出正确的决策。</w:t>
            </w:r>
          </w:p>
        </w:tc>
      </w:tr>
      <w:tr>
        <w:tblPrEx>
          <w:tblCellMar>
            <w:top w:w="0" w:type="dxa"/>
            <w:left w:w="108" w:type="dxa"/>
            <w:bottom w:w="0" w:type="dxa"/>
            <w:right w:w="108" w:type="dxa"/>
          </w:tblCellMar>
        </w:tblPrEx>
        <w:trPr>
          <w:trHeight w:val="945"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70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指标运维保障，一是，根据指标治理与应用情况，对所有的在线指标进行长态的运维与保障，根据外围业务数据更新情况，保障数据质量确保数据指标的可用性，二是，提炼本项目的核心数据指标，向外围系统共享，实现核心指标数据的共建共享。</w:t>
            </w:r>
          </w:p>
        </w:tc>
      </w:tr>
      <w:tr>
        <w:tblPrEx>
          <w:tblCellMar>
            <w:top w:w="0" w:type="dxa"/>
            <w:left w:w="108" w:type="dxa"/>
            <w:bottom w:w="0" w:type="dxa"/>
            <w:right w:w="108" w:type="dxa"/>
          </w:tblCellMar>
        </w:tblPrEx>
        <w:trPr>
          <w:trHeight w:val="705"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Cs w:val="21"/>
                <w:highlight w:val="none"/>
              </w:rPr>
            </w:pPr>
          </w:p>
        </w:tc>
        <w:tc>
          <w:tcPr>
            <w:tcW w:w="107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color w:val="auto"/>
                <w:szCs w:val="21"/>
                <w:highlight w:val="none"/>
              </w:rPr>
            </w:pPr>
          </w:p>
        </w:tc>
        <w:tc>
          <w:tcPr>
            <w:tcW w:w="7073"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平台设计保障，根据建设单位的建设需求，供应商承诺在建设维护期内，提供不少于3次的页面设计美化工作。</w:t>
            </w:r>
          </w:p>
        </w:tc>
      </w:tr>
    </w:tbl>
    <w:p>
      <w:pPr>
        <w:rPr>
          <w:rFonts w:ascii="宋体" w:hAnsi="宋体" w:cs="宋体"/>
          <w:color w:val="auto"/>
          <w:highlight w:val="none"/>
        </w:rPr>
      </w:pPr>
      <w:bookmarkStart w:id="59" w:name="_Toc1739034"/>
      <w:bookmarkStart w:id="60" w:name="_Toc105574494"/>
      <w:bookmarkStart w:id="61" w:name="_Toc157410887"/>
    </w:p>
    <w:p>
      <w:pPr>
        <w:pStyle w:val="5"/>
        <w:spacing w:before="0"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bidi="ar"/>
        </w:rPr>
        <w:t>可视化开发工具要求</w:t>
      </w:r>
    </w:p>
    <w:tbl>
      <w:tblPr>
        <w:tblStyle w:val="62"/>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8"/>
        <w:gridCol w:w="1373"/>
        <w:gridCol w:w="1750"/>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jc w:val="center"/>
        </w:trPr>
        <w:tc>
          <w:tcPr>
            <w:tcW w:w="698" w:type="dxa"/>
            <w:shd w:val="clear" w:color="auto" w:fill="FFFFFF"/>
            <w:noWrap/>
            <w:vAlign w:val="center"/>
          </w:tcPr>
          <w:p>
            <w:pPr>
              <w:widowControl/>
              <w:jc w:val="center"/>
              <w:rPr>
                <w:color w:val="auto"/>
                <w:szCs w:val="21"/>
                <w:highlight w:val="none"/>
                <w:lang w:bidi="ar"/>
              </w:rPr>
            </w:pPr>
            <w:r>
              <w:rPr>
                <w:color w:val="auto"/>
                <w:szCs w:val="21"/>
                <w:highlight w:val="none"/>
                <w:lang w:bidi="ar"/>
              </w:rPr>
              <w:t>序号</w:t>
            </w:r>
          </w:p>
        </w:tc>
        <w:tc>
          <w:tcPr>
            <w:tcW w:w="1373" w:type="dxa"/>
            <w:shd w:val="clear" w:color="auto" w:fill="FFFFFF"/>
            <w:noWrap/>
            <w:vAlign w:val="center"/>
          </w:tcPr>
          <w:p>
            <w:pPr>
              <w:widowControl/>
              <w:jc w:val="center"/>
              <w:rPr>
                <w:color w:val="auto"/>
                <w:szCs w:val="21"/>
                <w:highlight w:val="none"/>
                <w:lang w:bidi="ar"/>
              </w:rPr>
            </w:pPr>
            <w:r>
              <w:rPr>
                <w:color w:val="auto"/>
                <w:szCs w:val="21"/>
                <w:highlight w:val="none"/>
                <w:lang w:bidi="ar"/>
              </w:rPr>
              <w:t>功能模块</w:t>
            </w:r>
          </w:p>
        </w:tc>
        <w:tc>
          <w:tcPr>
            <w:tcW w:w="1750" w:type="dxa"/>
            <w:shd w:val="clear" w:color="auto" w:fill="FFFFFF"/>
            <w:noWrap/>
            <w:vAlign w:val="center"/>
          </w:tcPr>
          <w:p>
            <w:pPr>
              <w:widowControl/>
              <w:jc w:val="center"/>
              <w:rPr>
                <w:color w:val="auto"/>
                <w:szCs w:val="21"/>
                <w:highlight w:val="none"/>
                <w:lang w:bidi="ar"/>
              </w:rPr>
            </w:pPr>
            <w:r>
              <w:rPr>
                <w:color w:val="auto"/>
                <w:szCs w:val="21"/>
                <w:highlight w:val="none"/>
                <w:lang w:bidi="ar"/>
              </w:rPr>
              <w:t>技术要点</w:t>
            </w:r>
          </w:p>
        </w:tc>
        <w:tc>
          <w:tcPr>
            <w:tcW w:w="4955" w:type="dxa"/>
            <w:shd w:val="clear" w:color="auto" w:fill="FFFFFF"/>
            <w:noWrap/>
            <w:vAlign w:val="center"/>
          </w:tcPr>
          <w:p>
            <w:pPr>
              <w:widowControl/>
              <w:jc w:val="center"/>
              <w:rPr>
                <w:color w:val="auto"/>
                <w:szCs w:val="21"/>
                <w:highlight w:val="none"/>
                <w:lang w:bidi="ar"/>
              </w:rPr>
            </w:pPr>
            <w:r>
              <w:rPr>
                <w:color w:val="auto"/>
                <w:szCs w:val="21"/>
                <w:highlight w:val="none"/>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1</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项目管理</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自由创建可视化项目</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支持用户自由创建可视化项目（可视化项目即指由数据可视化组件配置而成的可视化应用）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可视化项目预览</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对快速对可视化应用进行全屏预览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可视化应用发布、分享（公开）</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支持将可视化应用对外「公开分享」，网络环境互通的情况下，目标用户无需登录系统可直接查看分享出的可视化应用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可视化应用发布、分享（加密）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支持将可视化应用对外「加密分享」，网络环境互通的情况下，目标群体需根据设定好的访问密码，方可查看分享出的可视化项目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项目分组管理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支持创建应用文件夹对可视化应用进行分组管理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项目拷贝</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支持对已有可视化应用进行拷贝复用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可视化项目检索</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支持搜索功能快速检索已有可视化应用文件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可视化应用快速导入</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支持将本产品其他环境设计或配置好的可视化应用快速导入当前产品环境，且包含应用内数据源及其他资源配置信息，以提升可视化应用开发效率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可视化应用排序</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支持排序功能，对已有可视化应用文件进行修改时间/新建时间排序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tcBorders>
              <w:bottom w:val="single" w:color="auto" w:sz="4" w:space="0"/>
            </w:tcBorders>
            <w:shd w:val="clear" w:color="auto" w:fill="FFFFFF"/>
            <w:noWrap/>
            <w:vAlign w:val="center"/>
          </w:tcPr>
          <w:p>
            <w:pPr>
              <w:widowControl/>
              <w:jc w:val="center"/>
              <w:rPr>
                <w:color w:val="auto"/>
                <w:szCs w:val="21"/>
                <w:highlight w:val="none"/>
              </w:rPr>
            </w:pPr>
            <w:r>
              <w:rPr>
                <w:color w:val="auto"/>
                <w:szCs w:val="21"/>
                <w:highlight w:val="none"/>
                <w:lang w:bidi="ar"/>
              </w:rPr>
              <w:t>★可视化应用下载</w:t>
            </w:r>
          </w:p>
        </w:tc>
        <w:tc>
          <w:tcPr>
            <w:tcW w:w="4955" w:type="dxa"/>
            <w:tcBorders>
              <w:bottom w:val="single" w:color="auto" w:sz="4" w:space="0"/>
            </w:tcBorders>
            <w:shd w:val="clear" w:color="auto" w:fill="FFFFFF"/>
            <w:noWrap w:val="0"/>
            <w:vAlign w:val="center"/>
          </w:tcPr>
          <w:p>
            <w:pPr>
              <w:widowControl/>
              <w:jc w:val="left"/>
              <w:rPr>
                <w:color w:val="auto"/>
                <w:szCs w:val="21"/>
                <w:highlight w:val="none"/>
              </w:rPr>
            </w:pPr>
            <w:r>
              <w:rPr>
                <w:color w:val="auto"/>
                <w:szCs w:val="21"/>
                <w:highlight w:val="none"/>
                <w:lang w:bidi="ar"/>
              </w:rPr>
              <w:t>支持将当前环境大屏下载、导出形成大屏文件包，并可提供给其他环境复用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lang w:bidi="ar"/>
              </w:rPr>
            </w:pPr>
            <w:r>
              <w:rPr>
                <w:rFonts w:hint="eastAsia"/>
                <w:color w:val="auto"/>
                <w:szCs w:val="21"/>
                <w:highlight w:val="none"/>
                <w:lang w:bidi="ar"/>
              </w:rPr>
              <w:t>项目导出导入</w:t>
            </w:r>
          </w:p>
        </w:tc>
        <w:tc>
          <w:tcPr>
            <w:tcW w:w="4955" w:type="dxa"/>
            <w:shd w:val="clear" w:color="auto" w:fill="FFFFFF"/>
            <w:noWrap w:val="0"/>
            <w:vAlign w:val="center"/>
          </w:tcPr>
          <w:p>
            <w:pPr>
              <w:widowControl/>
              <w:jc w:val="left"/>
              <w:rPr>
                <w:color w:val="auto"/>
                <w:szCs w:val="21"/>
                <w:highlight w:val="none"/>
                <w:lang w:bidi="ar"/>
              </w:rPr>
            </w:pPr>
            <w:r>
              <w:rPr>
                <w:rFonts w:hint="eastAsia"/>
                <w:color w:val="auto"/>
                <w:szCs w:val="21"/>
                <w:highlight w:val="none"/>
                <w:lang w:bidi="ar"/>
              </w:rPr>
              <w:t>支持可视化项目以</w:t>
            </w:r>
            <w:r>
              <w:rPr>
                <w:color w:val="auto"/>
                <w:szCs w:val="21"/>
                <w:highlight w:val="none"/>
                <w:lang w:bidi="ar"/>
              </w:rPr>
              <w:t>Screen</w:t>
            </w:r>
            <w:r>
              <w:rPr>
                <w:rFonts w:hint="eastAsia"/>
                <w:color w:val="auto"/>
                <w:szCs w:val="21"/>
                <w:highlight w:val="none"/>
                <w:lang w:bidi="ar"/>
              </w:rPr>
              <w:t>工程包的形式一键导入导出，便于工程的实施、及后续项目的复用。</w:t>
            </w:r>
            <w:r>
              <w:rPr>
                <w:rFonts w:hint="eastAsia"/>
                <w:b/>
                <w:bCs/>
                <w:color w:val="auto"/>
                <w:szCs w:val="21"/>
                <w:highlight w:val="none"/>
                <w:lang w:bidi="ar"/>
              </w:rPr>
              <w:t>（该功能需要演示）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2</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可视化应用创建</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应用编辑、配置方式</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引用设计领域的图层、画布理念，以所见即所得式的形式，通过可视化界面对组件色彩、比例、字体等样式进行自定义编辑，无需使用人员具备复杂的编程能力，只需要通过鼠标将心仪的可视化组件自由拖拽、组成，即可创造出专业的可视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内置可视化组件</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支持柱形图、折线图、饼图等常规类型组件，以及文字、辅助图形、指标控件、二三维地图、交互类型组件，且组件为自主研发，主要为矢量格式，任意尺寸组件不失真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应用分辨率设置</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平台内置1920*1080、1366*768、1024*768等常用分辨率，可直接选择使用，同时支持使用者根据实际展示场景，于编辑页面自定义分辨率大小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4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3</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组件及模版</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常规图表</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系统预置「基本柱状图」、「基本条形图」、「轮播排行柱状图」、「3D圆柱图」、「双轴横向柱状图」、「基本面积图」、「基本折线图」、「表格折线图」、「双轴折线图」、「线性回归图」、「单值占比图」、「基本环图」、「双层饼图」、「3D饼图」、「甜甜圈图」、「嵌套甜甜圈图」、「玫瑰图」、「层叠玫瑰图」、「多色玫瑰图」、「定点气泡图」、「力学气泡图」、「万用图」、「基本三角形图」、「象形图」、「圆形雷达图」、「雷达图」、「漏斗图」、「环状点联结柱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文字组件</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系统预置「标题」、「渐变文字」、「轮播表格」、「子项表格组」、「轮播行」、「新闻列表」、「链接」、「词云」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辅助图形</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系统预置「图片」、「自定义路径」、「装饰」、「闪点」、「路径」、「当前时间」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指标组件</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系统预置「翻牌器」、「基本水位图」、「仪表盘」、「百分比条」、「分类占比条」、「天气组件」、「栅格进度条」、「状态卡片」、「圆形栅格占比」、「图标占比」、「预警点滴」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地图组件</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系统预置「3D地球」、「2D中国地图」、「3D中国地图」、「边界地图」、「3D边界地图」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交互组件</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系统预置「选项卡」、「时间轴」、「iframes切换」、「全屏切换」、「交互组件」、「单个iframe组件」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其他类型组件</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系统预置「视频」、「视频流播放器」、「声音组件」、「开场视频」、「自定义模型组件」、「3D圆形指标」、「数据容器」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★Echarts组件</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系统支持Echarts图表集成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★内置可视化应用模版</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提供精心设计的可视化应用模板，满足多种业务场景的应用展示，如「集团销售数据大屏」、「可视化大屏通用模版」、「工业互联网数据实时监控平台」、「电商经营数据实时看板」、「运维可视化监控平台」等，用户可由新建大屏页面一键使用上述模版样式，以其为参考，替换数据或业务含义即可快速完成可视化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4</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编辑-图层管理</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图层创建</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通过界面点选拖拽方式，选取系统内置组件进行应用搭建，一个组件即对应一个图层，应用根据图层当前所在上下层级排布顺序进行展示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图层显示隐藏</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支持对现有图层进行显示隐藏操作，便于整体项目编辑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图层分组管理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支持对现有图层进行编组管理，并可通过快捷键快速进行操作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图层置顶、置底</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支持对现有图层顺序进行调整，一键置顶、置底，并可通过快捷键快速进行操作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★图层独显</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支持对项目内所选中的图层进行独立显示，帮助使用者以聚焦模式进行项目编辑，同时省去不必要的性能消耗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图层锁定</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支持对现有图层进行锁定，锁定状态暂时无法选取、编辑，便于整体项目编辑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★全局检索</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支持对项目内图层进行模糊检索、快速定位，且支持对平台组件进行搜索、快速选用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★图层跨屏复制</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支持将当前项目内图层复制并转发到其他大屏，且维持组件配置及坐标不变，便于项目内多大屏间组件复用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5</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编辑-画布操作</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画布及组件缩放</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支持对画布及组件自由进行缩放或控制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一键适应画布大小</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应用配置过程中，画布区域支持一键控制应用显示区域且适应当前可视窗口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快捷键</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编辑过程中支持使用快捷键对图层及画布功能进行操作，如图层置顶、分组、组件复制等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鼠标右键操作</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编辑过程中支持使用鼠标右键对图层及画布功能进行操作，如组件显示隐藏、锁定、跨屏复制等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★鼠标快速选择图层</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画布内支持快速选择数据当前位置下对应的图层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画布移动、过界</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支持鼠标抓手对画布进行移动，同时允许画布过界操作，便于整体项目编辑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画布框选操作</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支持通过鼠标对画布现有内容进行快速框选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标尺、参考线</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画布区域提供标尺及参考线功能，且支持对参考线一键显示隐藏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6</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编辑-组件配置</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组件样式编辑</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支持对各组件样式进行自定义编辑，如组件色彩、大小、字体、特殊效果等，且不同组件包含不同的配置项，同类型组件有标准统一配置项</w:t>
            </w:r>
          </w:p>
        </w:tc>
      </w:tr>
      <w:tr>
        <w:tblPrEx>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数据联动、动态传参</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支持配置数据联动，可实现数据联动或切换功能，如Tab页切换、时间轴联动切换数据等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事件交互配置</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组件分类下拥有可交互组件，支持对组件事件进行定义，通过事件方式对应用或组件进行状态操作，如单击组件控制对话框或其他内容的显示、隐藏等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数据映射</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编辑过程中根据组件场景可对接不同数据源、进行数据关联映射，如MySQL、API、CSV等数据源的字段获取、映射等，支持SQL查询语句编写、API 参数定义等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数据过滤、格式转换</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平台支持数据源过滤功能，可通过编写JS语句，创建数据过滤器 对获取到的数据格式进行后期转换，如公网天气数据API格式固定，无法满足要求，即可通过数据过滤器对API返回的数据结果或格式进行转换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7</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特色功能</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组件交互动作</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支持配置组件交互动作，可通过配置项定义组件间显示、隐藏操作，如可定义点击某tab控件后应用中心区域弹出对话框展示详情模块，再次触发关闭或定时关闭等，满足对应各种交互场景诉求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0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组件数据回调</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支持组件自定义动态参数，对其他图表数据进行联动、切换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跨屏数据联动</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支持跨屏回调参数定义，以满足跨屏参数传递、数据联动切换场景。比如，在B屏上可以监听并展示A屏上的某ID信息，当希望操作B屏来控制ID切换时，即可使用该功能将B屏上的参数跨屏传递至A屏内，以此来联动A屏数据。此功能主要满足复杂数据交互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回调管理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平台支持对项目内所运用到的动态回调参数进行管理，根据管理的列表可一键触达相应的组件进行编辑，便于后期项目的维护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lang w:bidi="ar"/>
              </w:rPr>
            </w:pPr>
            <w:r>
              <w:rPr>
                <w:rFonts w:hint="eastAsia" w:ascii="宋体" w:hAnsi="宋体" w:cs="宋体"/>
                <w:color w:val="auto"/>
                <w:szCs w:val="21"/>
                <w:highlight w:val="none"/>
              </w:rPr>
              <w:t>回调参数</w:t>
            </w:r>
          </w:p>
        </w:tc>
        <w:tc>
          <w:tcPr>
            <w:tcW w:w="4955" w:type="dxa"/>
            <w:shd w:val="clear" w:color="auto" w:fill="FFFFFF"/>
            <w:noWrap w:val="0"/>
            <w:vAlign w:val="center"/>
          </w:tcPr>
          <w:p>
            <w:pPr>
              <w:widowControl/>
              <w:jc w:val="left"/>
              <w:rPr>
                <w:color w:val="auto"/>
                <w:szCs w:val="21"/>
                <w:highlight w:val="none"/>
                <w:lang w:bidi="ar"/>
              </w:rPr>
            </w:pPr>
            <w:r>
              <w:rPr>
                <w:rFonts w:hint="eastAsia" w:ascii="宋体" w:hAnsi="宋体" w:cs="宋体"/>
                <w:color w:val="auto"/>
                <w:szCs w:val="21"/>
                <w:highlight w:val="none"/>
              </w:rPr>
              <w:t>可视化平台需支持配置组件自定义回调动态参数，对其他图表数据进行联动、切换，实现组件与数据间联动交互；并支持对项目内所运用到的动态回调参数进行管理，根据管理列表可一键触达相应的组件进行编辑，便于后期项目的维护。</w:t>
            </w:r>
            <w:r>
              <w:rPr>
                <w:rFonts w:hint="eastAsia" w:ascii="宋体" w:hAnsi="宋体" w:cs="宋体"/>
                <w:b/>
                <w:bCs/>
                <w:color w:val="auto"/>
                <w:szCs w:val="21"/>
                <w:highlight w:val="none"/>
              </w:rPr>
              <w:t>（该功能需要演示）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2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动态面板</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支持动态面板功能，面板可自由创建多个状态，通过交互事件方式对面板各状态进行切换，快速实现组件、页面切换、弹出等交互形态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引用面板</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支持引用面板功能，面板支持将多个可视化应用同时进行引用展示，通过交互事件方式对各应用进行切换，扩展性强，编辑路径短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自定义模型编辑</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平台支持导入自定义模型，且可对模型基本属性进行编辑使用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2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组件加载动画</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平台提供载入组件动画功能，各组件均可设定对应加载动画，且载入的延时可根据场景自行定义，以实现组件按秩序加载出场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自定义组件主题</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平台为常用组件提供多套自定义主题皮肤，编辑组件时可一键切换风格，支持自定义编辑主题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数据容器</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支持数据容器，可通过数据容器一次性获取数据，多个组件共同使用，且可创建多个数据容器获取多份数据进行合并，用于一个组件（如一个组件有多种类型数据来源，可通过添加多个数据容器获取相应数据）</w:t>
            </w:r>
            <w:r>
              <w:rPr>
                <w:rFonts w:hint="eastAsia" w:ascii="宋体" w:hAnsi="宋体" w:cs="宋体"/>
                <w:b/>
                <w:bCs/>
                <w:color w:val="auto"/>
                <w:szCs w:val="21"/>
                <w:highlight w:val="none"/>
              </w:rPr>
              <w:t>（该功能需要演示）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自定义脚本模版</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支持用户根据平台规范自定义上传前端js模版，以对当前组件的数据或样式进行驱动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组件收藏</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平台支持对组件及分组进行快速收藏，且可对收藏夹进行管理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lang w:bidi="ar"/>
              </w:rPr>
            </w:pPr>
            <w:r>
              <w:rPr>
                <w:rFonts w:hint="eastAsia" w:ascii="宋体" w:hAnsi="宋体" w:cs="宋体"/>
                <w:color w:val="auto"/>
                <w:szCs w:val="21"/>
                <w:highlight w:val="none"/>
              </w:rPr>
              <w:t>自定义皮肤</w:t>
            </w:r>
          </w:p>
        </w:tc>
        <w:tc>
          <w:tcPr>
            <w:tcW w:w="4955" w:type="dxa"/>
            <w:shd w:val="clear" w:color="auto" w:fill="FFFFFF"/>
            <w:noWrap w:val="0"/>
            <w:vAlign w:val="center"/>
          </w:tcPr>
          <w:p>
            <w:pPr>
              <w:rPr>
                <w:color w:val="auto"/>
                <w:szCs w:val="21"/>
                <w:highlight w:val="none"/>
                <w:lang w:bidi="ar"/>
              </w:rPr>
            </w:pPr>
            <w:r>
              <w:rPr>
                <w:rFonts w:hint="eastAsia" w:ascii="宋体" w:hAnsi="宋体" w:cs="宋体"/>
                <w:color w:val="auto"/>
                <w:szCs w:val="21"/>
                <w:highlight w:val="none"/>
              </w:rPr>
              <w:t>平台为常用组件提供多套自定义主题皮肤，在编辑页选择组件的主题风格可一键切换风格，同时支持自定义编辑主题。</w:t>
            </w:r>
            <w:r>
              <w:rPr>
                <w:rFonts w:hint="eastAsia" w:ascii="宋体" w:hAnsi="宋体" w:cs="宋体"/>
                <w:b/>
                <w:bCs/>
                <w:color w:val="auto"/>
                <w:szCs w:val="21"/>
                <w:highlight w:val="none"/>
              </w:rPr>
              <w:t>（该功能需要演示）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lang w:bidi="ar"/>
              </w:rPr>
            </w:pPr>
            <w:r>
              <w:rPr>
                <w:rFonts w:hint="eastAsia" w:ascii="宋体" w:hAnsi="宋体" w:cs="宋体"/>
                <w:color w:val="auto"/>
                <w:szCs w:val="21"/>
                <w:highlight w:val="none"/>
              </w:rPr>
              <w:t>自定义模型</w:t>
            </w:r>
          </w:p>
        </w:tc>
        <w:tc>
          <w:tcPr>
            <w:tcW w:w="4955" w:type="dxa"/>
            <w:shd w:val="clear" w:color="auto" w:fill="FFFFFF"/>
            <w:noWrap w:val="0"/>
            <w:vAlign w:val="center"/>
          </w:tcPr>
          <w:p>
            <w:pPr>
              <w:widowControl/>
              <w:jc w:val="left"/>
              <w:rPr>
                <w:color w:val="auto"/>
                <w:szCs w:val="21"/>
                <w:highlight w:val="none"/>
                <w:lang w:bidi="ar"/>
              </w:rPr>
            </w:pPr>
            <w:r>
              <w:rPr>
                <w:rFonts w:hint="eastAsia" w:ascii="宋体" w:hAnsi="宋体" w:cs="宋体"/>
                <w:color w:val="auto"/>
                <w:szCs w:val="21"/>
                <w:highlight w:val="none"/>
              </w:rPr>
              <w:t>平台三维组件支持导入自定义模型，可对模型基本属性进行编辑使用，且可配置模型的交互事件驱动场景切换、模型本身或外围组件动作的实现。</w:t>
            </w:r>
            <w:r>
              <w:rPr>
                <w:rFonts w:hint="eastAsia" w:ascii="宋体" w:hAnsi="宋体" w:cs="宋体"/>
                <w:b/>
                <w:bCs/>
                <w:color w:val="auto"/>
                <w:szCs w:val="21"/>
                <w:highlight w:val="none"/>
              </w:rPr>
              <w:t>（该功能需要演示）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8</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移动端远程操控</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远程操控端页面配置</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支持通过产品直接配置远程操控端页面，且支持多页面配置，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远程控制端内部交互</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远程操控端页面间可支持自定义组件交互及页面跳转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远程控制事件绑定</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 xml:space="preserve">支持移动操控端页面内组件对可视化应用内交互点进行绑定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移动端二维码扫描操作</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支持移动端通过二维码对操控界面进行快速访问，两端通信后可直接对可视化应用进行操控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lang w:bidi="ar"/>
              </w:rPr>
            </w:pPr>
            <w:r>
              <w:rPr>
                <w:rFonts w:hint="eastAsia" w:ascii="宋体" w:hAnsi="宋体" w:cs="宋体"/>
                <w:color w:val="auto"/>
                <w:szCs w:val="21"/>
                <w:highlight w:val="none"/>
              </w:rPr>
              <w:t>远程交互</w:t>
            </w:r>
          </w:p>
        </w:tc>
        <w:tc>
          <w:tcPr>
            <w:tcW w:w="4955" w:type="dxa"/>
            <w:shd w:val="clear" w:color="auto" w:fill="FFFFFF"/>
            <w:noWrap w:val="0"/>
            <w:vAlign w:val="center"/>
          </w:tcPr>
          <w:p>
            <w:pPr>
              <w:widowControl/>
              <w:jc w:val="left"/>
              <w:rPr>
                <w:color w:val="auto"/>
                <w:szCs w:val="21"/>
                <w:highlight w:val="none"/>
                <w:lang w:bidi="ar"/>
              </w:rPr>
            </w:pPr>
            <w:r>
              <w:rPr>
                <w:rFonts w:hint="eastAsia" w:ascii="宋体" w:hAnsi="宋体" w:cs="宋体"/>
                <w:color w:val="auto"/>
                <w:szCs w:val="21"/>
                <w:highlight w:val="none"/>
              </w:rPr>
              <w:t>可视化平台需支持直接创建用于手机或iPad远程操控的终端界面，且可通过扫描二维码对操控界面进行快速访问，两端通信后可直接对可视化大屏进行操控。</w:t>
            </w:r>
            <w:r>
              <w:rPr>
                <w:rFonts w:hint="eastAsia" w:ascii="宋体" w:hAnsi="宋体" w:cs="宋体"/>
                <w:b/>
                <w:bCs/>
                <w:color w:val="auto"/>
                <w:szCs w:val="21"/>
                <w:highlight w:val="none"/>
              </w:rPr>
              <w:t>（该功能需要演示）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9</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数据源管理</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关系型数据库对接</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支持MySQL、Oracle、SQL Server 关系型数据库连接，且支持对相应连接进行编辑管理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0"/>
            <w:vAlign w:val="center"/>
          </w:tcPr>
          <w:p>
            <w:pPr>
              <w:widowControl/>
              <w:jc w:val="center"/>
              <w:rPr>
                <w:color w:val="auto"/>
                <w:szCs w:val="21"/>
                <w:highlight w:val="none"/>
              </w:rPr>
            </w:pPr>
            <w:r>
              <w:rPr>
                <w:color w:val="auto"/>
                <w:szCs w:val="21"/>
                <w:highlight w:val="none"/>
                <w:lang w:bidi="ar"/>
              </w:rPr>
              <w:t>ClickHouse数据库</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直接对接ClickHouse列式数据库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动态API对接</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支持常见类型API数据获取，且支持对相应连接进行编辑管理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API网关</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直接对接客户自有API网关，如客户需token或API证书进行鉴权的API形式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★API管理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支持API类型数据源管理功能，可定义好API 对应Base URL（主域）并对其进行管理，大屏组件编辑数据源时可直接引用对应API Base URL 随后仅编辑对应请求方式、路径、参数即可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静态数据</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支持CSV静态数据导入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10</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驾驶舱</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★驾驶舱视图</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平台为客户提供独立的项目展示空间、充满科技感的浏览页面、精简的管理方式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驾驶舱页面管理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支持对驾驶舱内项目顺序、发布状态、封面进行自定义调整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企业元素自定义编辑</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支持自定义更换企业Logo、着陆页等企业相关元素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11</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门户管理</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★门户管理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支持将多种信息资源通过菜单导航栏的方式整合，支持进行页面间快速切换。满足用户多页面切换，场景化管理需求。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门户创建</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支持新建门户，每级菜单均可单独配置，支持设置菜单导航的名称，引用内容和打开方式。</w:t>
            </w:r>
            <w:r>
              <w:rPr>
                <w:rFonts w:hint="eastAsia" w:ascii="宋体" w:hAnsi="宋体" w:cs="宋体"/>
                <w:color w:val="auto"/>
                <w:szCs w:val="21"/>
                <w:highlight w:val="none"/>
              </w:rPr>
              <w:t>（</w:t>
            </w:r>
            <w:r>
              <w:rPr>
                <w:rFonts w:hint="eastAsia" w:ascii="宋体" w:hAnsi="宋体" w:cs="宋体"/>
                <w:b/>
                <w:bCs/>
                <w:color w:val="auto"/>
                <w:szCs w:val="21"/>
                <w:highlight w:val="none"/>
              </w:rPr>
              <w:t>该功能需要演示</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门户设置</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支持门户全局配置，可以设置门户的标题、导航、主题色等。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门户发布</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支持门户对外「公开发布」或「加密分享」，在网络环境互通的情况下，目标用户无需登录系统即可直接查看分享出的可视化门户。</w:t>
            </w:r>
            <w:r>
              <w:rPr>
                <w:rFonts w:hint="eastAsia" w:ascii="宋体" w:hAnsi="宋体" w:cs="宋体"/>
                <w:color w:val="auto"/>
                <w:szCs w:val="21"/>
                <w:highlight w:val="none"/>
              </w:rPr>
              <w:t>（</w:t>
            </w:r>
            <w:r>
              <w:rPr>
                <w:rFonts w:hint="eastAsia" w:ascii="宋体" w:hAnsi="宋体" w:cs="宋体"/>
                <w:b/>
                <w:bCs/>
                <w:color w:val="auto"/>
                <w:szCs w:val="21"/>
                <w:highlight w:val="none"/>
              </w:rPr>
              <w:t>该功能需要演示</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12</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用户中心</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鉴权体系</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平台拥有独立鉴权体系，需通过相应账户密码验证登入，保障数据及资源安全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多租户隔离</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支持支持多租户体系，可创建多个租户，且各租户下资源隔离、互不干涉，利于权限划分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lang w:bidi="ar"/>
              </w:rPr>
            </w:pPr>
            <w:r>
              <w:rPr>
                <w:rFonts w:hint="eastAsia" w:ascii="宋体" w:hAnsi="宋体" w:cs="宋体"/>
                <w:color w:val="auto"/>
                <w:szCs w:val="21"/>
                <w:highlight w:val="none"/>
              </w:rPr>
              <w:t>租户体系</w:t>
            </w:r>
          </w:p>
        </w:tc>
        <w:tc>
          <w:tcPr>
            <w:tcW w:w="4955" w:type="dxa"/>
            <w:shd w:val="clear" w:color="auto" w:fill="FFFFFF"/>
            <w:noWrap w:val="0"/>
            <w:vAlign w:val="center"/>
          </w:tcPr>
          <w:p>
            <w:pPr>
              <w:widowControl/>
              <w:jc w:val="left"/>
              <w:rPr>
                <w:color w:val="auto"/>
                <w:szCs w:val="21"/>
                <w:highlight w:val="none"/>
                <w:lang w:bidi="ar"/>
              </w:rPr>
            </w:pPr>
            <w:r>
              <w:rPr>
                <w:rFonts w:hint="eastAsia" w:ascii="宋体" w:hAnsi="宋体" w:cs="宋体"/>
                <w:color w:val="auto"/>
                <w:szCs w:val="21"/>
                <w:highlight w:val="none"/>
              </w:rPr>
              <w:t>可视化平台需要支持多租户体系，租户为一个组织单元，平台可在管理员账号下自定义创建租户，分配账号的租户权限，且各组件资源、数据完全隔离，保证数据安全。（</w:t>
            </w:r>
            <w:r>
              <w:rPr>
                <w:rFonts w:hint="eastAsia" w:ascii="宋体" w:hAnsi="宋体" w:cs="宋体"/>
                <w:b/>
                <w:bCs/>
                <w:color w:val="auto"/>
                <w:szCs w:val="21"/>
                <w:highlight w:val="none"/>
              </w:rPr>
              <w:t>该功能需要演示</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用户管理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支持自定义新增、管理多个账户信息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8"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13</w:t>
            </w:r>
          </w:p>
        </w:tc>
        <w:tc>
          <w:tcPr>
            <w:tcW w:w="1373" w:type="dxa"/>
            <w:vMerge w:val="restart"/>
            <w:shd w:val="clear" w:color="auto" w:fill="FFFFFF"/>
            <w:noWrap/>
            <w:vAlign w:val="center"/>
          </w:tcPr>
          <w:p>
            <w:pPr>
              <w:widowControl/>
              <w:jc w:val="center"/>
              <w:rPr>
                <w:color w:val="auto"/>
                <w:szCs w:val="21"/>
                <w:highlight w:val="none"/>
              </w:rPr>
            </w:pPr>
            <w:r>
              <w:rPr>
                <w:color w:val="auto"/>
                <w:szCs w:val="21"/>
                <w:highlight w:val="none"/>
                <w:lang w:bidi="ar"/>
              </w:rPr>
              <w:t>组件开发及后台管理</w:t>
            </w: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自定义组件开发</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提供「自定义组件开发平台」及「组件开发规范」，用户可根据技术规范进行个性化组件开发，用于满足个性化展示，且开发成本低、可扩展性高</w:t>
            </w:r>
            <w:r>
              <w:rPr>
                <w:rFonts w:hint="eastAsia" w:ascii="宋体" w:hAnsi="宋体" w:cs="宋体"/>
                <w:color w:val="auto"/>
                <w:szCs w:val="21"/>
                <w:highlight w:val="none"/>
              </w:rPr>
              <w:t>（</w:t>
            </w:r>
            <w:r>
              <w:rPr>
                <w:rFonts w:hint="eastAsia" w:ascii="宋体" w:hAnsi="宋体" w:cs="宋体"/>
                <w:b/>
                <w:bCs/>
                <w:color w:val="auto"/>
                <w:szCs w:val="21"/>
                <w:highlight w:val="none"/>
              </w:rPr>
              <w:t>该功能需要演示）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★组件管理模块</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开放「可视化组件管理模块」其中可对平台所有组件进行增删改查，如组件开发、导入导出、组件上下架、组件类型调整、组件基础配置编辑、组件展示排序等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4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主题管理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开放「组件主题管理模块」其中可对平台内所有组件主题（皮肤）进行增删改查，以及导入导出、主题上下架等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★素材管理</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开放「素材管理模块」其中可将编辑完成后携带业务含义的组件及分组快速保存为素材，以及导入导出、组件上下架等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52"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模版管理模块</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开放「数据大屏模版管理模块」其中可快速将平台已制作好的可视化应用形成模版进行复用，即用户可自定义上传、编辑可视化应用模版，也可将模版以文件包的形式导入、导出，即其他环境已有的应用或模版可快速导入至现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8"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lang w:bidi="ar"/>
              </w:rPr>
            </w:pPr>
            <w:r>
              <w:rPr>
                <w:rFonts w:hint="eastAsia" w:ascii="宋体" w:hAnsi="宋体" w:cs="宋体"/>
                <w:color w:val="auto"/>
                <w:szCs w:val="21"/>
                <w:highlight w:val="none"/>
              </w:rPr>
              <w:t>后台管理</w:t>
            </w:r>
          </w:p>
        </w:tc>
        <w:tc>
          <w:tcPr>
            <w:tcW w:w="4955" w:type="dxa"/>
            <w:shd w:val="clear" w:color="auto" w:fill="FFFFFF"/>
            <w:noWrap w:val="0"/>
            <w:vAlign w:val="center"/>
          </w:tcPr>
          <w:p>
            <w:pPr>
              <w:widowControl/>
              <w:jc w:val="left"/>
              <w:rPr>
                <w:color w:val="auto"/>
                <w:szCs w:val="21"/>
                <w:highlight w:val="none"/>
                <w:lang w:bidi="ar"/>
              </w:rPr>
            </w:pPr>
            <w:r>
              <w:rPr>
                <w:rFonts w:hint="eastAsia" w:ascii="宋体" w:hAnsi="宋体" w:cs="宋体"/>
                <w:color w:val="auto"/>
                <w:szCs w:val="21"/>
                <w:highlight w:val="none"/>
              </w:rPr>
              <w:t>具备可视化管理后台，可对组件、组件主题、模版、素材、字体等元素进行增删改查以及上下架，便于对可视化平台整体内容进行扩展，如建设好的项目可一键生成模版、内容保存为自定义素材进行复用，提示项目建设效率。</w:t>
            </w:r>
            <w:r>
              <w:rPr>
                <w:rFonts w:hint="eastAsia" w:ascii="宋体" w:hAnsi="宋体" w:cs="宋体"/>
                <w:b/>
                <w:bCs/>
                <w:color w:val="auto"/>
                <w:szCs w:val="21"/>
                <w:highlight w:val="none"/>
              </w:rPr>
              <w:t>（该功能需要演示）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rPr>
            </w:pPr>
            <w:r>
              <w:rPr>
                <w:color w:val="auto"/>
                <w:szCs w:val="21"/>
                <w:highlight w:val="none"/>
                <w:lang w:bidi="ar"/>
              </w:rPr>
              <w:t>字体管理模块</w:t>
            </w:r>
          </w:p>
        </w:tc>
        <w:tc>
          <w:tcPr>
            <w:tcW w:w="4955" w:type="dxa"/>
            <w:shd w:val="clear" w:color="auto" w:fill="FFFFFF"/>
            <w:noWrap w:val="0"/>
            <w:vAlign w:val="center"/>
          </w:tcPr>
          <w:p>
            <w:pPr>
              <w:widowControl/>
              <w:jc w:val="left"/>
              <w:rPr>
                <w:color w:val="auto"/>
                <w:szCs w:val="21"/>
                <w:highlight w:val="none"/>
              </w:rPr>
            </w:pPr>
            <w:r>
              <w:rPr>
                <w:color w:val="auto"/>
                <w:szCs w:val="21"/>
                <w:highlight w:val="none"/>
                <w:lang w:bidi="ar"/>
              </w:rPr>
              <w:t>开放「字体管理模块」，支持用户在该模块上传自定义字体文件，并可运用于平台可视化组件编辑过程，同时可对已有字体文件进行管理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0" w:hRule="atLeast"/>
          <w:jc w:val="center"/>
        </w:trPr>
        <w:tc>
          <w:tcPr>
            <w:tcW w:w="698" w:type="dxa"/>
            <w:vMerge w:val="continue"/>
            <w:shd w:val="clear" w:color="auto" w:fill="FFFFFF"/>
            <w:noWrap/>
            <w:vAlign w:val="center"/>
          </w:tcPr>
          <w:p>
            <w:pPr>
              <w:jc w:val="center"/>
              <w:rPr>
                <w:color w:val="auto"/>
                <w:szCs w:val="21"/>
                <w:highlight w:val="none"/>
              </w:rPr>
            </w:pPr>
          </w:p>
        </w:tc>
        <w:tc>
          <w:tcPr>
            <w:tcW w:w="1373" w:type="dxa"/>
            <w:vMerge w:val="continue"/>
            <w:shd w:val="clear" w:color="auto" w:fill="FFFFFF"/>
            <w:noWrap/>
            <w:vAlign w:val="center"/>
          </w:tcPr>
          <w:p>
            <w:pPr>
              <w:jc w:val="center"/>
              <w:rPr>
                <w:color w:val="auto"/>
                <w:szCs w:val="21"/>
                <w:highlight w:val="none"/>
              </w:rPr>
            </w:pPr>
          </w:p>
        </w:tc>
        <w:tc>
          <w:tcPr>
            <w:tcW w:w="1750" w:type="dxa"/>
            <w:shd w:val="clear" w:color="auto" w:fill="FFFFFF"/>
            <w:noWrap/>
            <w:vAlign w:val="center"/>
          </w:tcPr>
          <w:p>
            <w:pPr>
              <w:widowControl/>
              <w:jc w:val="center"/>
              <w:rPr>
                <w:color w:val="auto"/>
                <w:szCs w:val="21"/>
                <w:highlight w:val="none"/>
                <w:lang w:bidi="ar"/>
              </w:rPr>
            </w:pPr>
            <w:r>
              <w:rPr>
                <w:rFonts w:hint="eastAsia" w:ascii="宋体" w:hAnsi="宋体" w:cs="宋体"/>
                <w:color w:val="auto"/>
                <w:szCs w:val="21"/>
                <w:highlight w:val="none"/>
              </w:rPr>
              <w:t>UE集成</w:t>
            </w:r>
          </w:p>
        </w:tc>
        <w:tc>
          <w:tcPr>
            <w:tcW w:w="4955" w:type="dxa"/>
            <w:shd w:val="clear" w:color="auto" w:fill="FFFFFF"/>
            <w:noWrap w:val="0"/>
            <w:vAlign w:val="center"/>
          </w:tcPr>
          <w:p>
            <w:pPr>
              <w:widowControl/>
              <w:jc w:val="left"/>
              <w:rPr>
                <w:color w:val="auto"/>
                <w:szCs w:val="21"/>
                <w:highlight w:val="none"/>
                <w:lang w:bidi="ar"/>
              </w:rPr>
            </w:pPr>
            <w:r>
              <w:rPr>
                <w:rFonts w:hint="eastAsia" w:ascii="宋体" w:hAnsi="宋体" w:cs="宋体"/>
                <w:color w:val="auto"/>
                <w:szCs w:val="21"/>
                <w:highlight w:val="none"/>
              </w:rPr>
              <w:t>提供自研插件实现可视化设计部署到UE4/5中，并进行数据双向通信，基于BLUI二次开发</w:t>
            </w:r>
            <w:r>
              <w:rPr>
                <w:rFonts w:hint="eastAsia" w:ascii="宋体" w:hAnsi="宋体" w:cs="宋体"/>
                <w:b/>
                <w:bCs/>
                <w:color w:val="auto"/>
                <w:szCs w:val="21"/>
                <w:highlight w:val="none"/>
              </w:rPr>
              <w:t>（该功能需要演示）</w:t>
            </w:r>
          </w:p>
        </w:tc>
      </w:tr>
    </w:tbl>
    <w:p>
      <w:pPr>
        <w:rPr>
          <w:rFonts w:ascii="宋体" w:hAnsi="宋体" w:cs="宋体"/>
          <w:color w:val="auto"/>
          <w:highlight w:val="none"/>
        </w:rPr>
      </w:pPr>
    </w:p>
    <w:p>
      <w:pPr>
        <w:pStyle w:val="5"/>
        <w:spacing w:before="0" w:after="0" w:line="377" w:lineRule="auto"/>
        <w:rPr>
          <w:rFonts w:ascii="宋体" w:hAnsi="宋体" w:eastAsia="宋体" w:cs="宋体"/>
          <w:color w:val="auto"/>
          <w:sz w:val="21"/>
          <w:szCs w:val="21"/>
          <w:highlight w:val="none"/>
        </w:rPr>
      </w:pPr>
      <w:bookmarkStart w:id="62" w:name="_Toc30053"/>
      <w:r>
        <w:rPr>
          <w:rFonts w:hint="eastAsia" w:ascii="宋体" w:hAnsi="宋体" w:eastAsia="宋体" w:cs="宋体"/>
          <w:color w:val="auto"/>
          <w:sz w:val="21"/>
          <w:szCs w:val="21"/>
          <w:highlight w:val="none"/>
        </w:rPr>
        <w:t>3.技术服务要求</w:t>
      </w:r>
    </w:p>
    <w:bookmarkEnd w:id="62"/>
    <w:tbl>
      <w:tblPr>
        <w:tblStyle w:val="62"/>
        <w:tblW w:w="4900" w:type="pct"/>
        <w:jc w:val="center"/>
        <w:tblLayout w:type="autofit"/>
        <w:tblCellMar>
          <w:top w:w="0" w:type="dxa"/>
          <w:left w:w="108" w:type="dxa"/>
          <w:bottom w:w="0" w:type="dxa"/>
          <w:right w:w="108" w:type="dxa"/>
        </w:tblCellMar>
      </w:tblPr>
      <w:tblGrid>
        <w:gridCol w:w="1201"/>
        <w:gridCol w:w="7478"/>
      </w:tblGrid>
      <w:tr>
        <w:tblPrEx>
          <w:tblCellMar>
            <w:top w:w="0" w:type="dxa"/>
            <w:left w:w="108" w:type="dxa"/>
            <w:bottom w:w="0" w:type="dxa"/>
            <w:right w:w="108" w:type="dxa"/>
          </w:tblCellMar>
        </w:tblPrEx>
        <w:trPr>
          <w:trHeight w:val="600" w:hRule="atLeast"/>
          <w:jc w:val="center"/>
        </w:trPr>
        <w:tc>
          <w:tcPr>
            <w:tcW w:w="6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ascii="宋体" w:hAnsi="宋体" w:cs="宋体"/>
                <w:color w:val="auto"/>
                <w:highlight w:val="none"/>
              </w:rPr>
            </w:pPr>
            <w:r>
              <w:rPr>
                <w:rFonts w:hint="eastAsia" w:ascii="宋体" w:hAnsi="宋体" w:cs="宋体"/>
                <w:color w:val="auto"/>
                <w:highlight w:val="none"/>
              </w:rPr>
              <w:t>名称</w:t>
            </w:r>
          </w:p>
        </w:tc>
        <w:tc>
          <w:tcPr>
            <w:tcW w:w="43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ascii="宋体" w:hAnsi="宋体" w:cs="宋体"/>
                <w:color w:val="auto"/>
                <w:highlight w:val="none"/>
              </w:rPr>
            </w:pPr>
            <w:r>
              <w:rPr>
                <w:rFonts w:hint="eastAsia" w:ascii="宋体" w:hAnsi="宋体" w:cs="宋体"/>
                <w:color w:val="auto"/>
                <w:highlight w:val="none"/>
              </w:rPr>
              <w:t>详细描述</w:t>
            </w:r>
          </w:p>
        </w:tc>
      </w:tr>
      <w:tr>
        <w:tblPrEx>
          <w:tblCellMar>
            <w:top w:w="0" w:type="dxa"/>
            <w:left w:w="108" w:type="dxa"/>
            <w:bottom w:w="0" w:type="dxa"/>
            <w:right w:w="108" w:type="dxa"/>
          </w:tblCellMar>
        </w:tblPrEx>
        <w:trPr>
          <w:trHeight w:val="778" w:hRule="atLeast"/>
          <w:jc w:val="center"/>
        </w:trPr>
        <w:tc>
          <w:tcPr>
            <w:tcW w:w="6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highlight w:val="none"/>
              </w:rPr>
            </w:pPr>
            <w:r>
              <w:rPr>
                <w:rFonts w:hint="eastAsia" w:ascii="宋体" w:hAnsi="宋体" w:cs="宋体"/>
                <w:color w:val="auto"/>
                <w:highlight w:val="none"/>
              </w:rPr>
              <w:t>培训服务</w:t>
            </w:r>
          </w:p>
        </w:tc>
        <w:tc>
          <w:tcPr>
            <w:tcW w:w="4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highlight w:val="none"/>
              </w:rPr>
            </w:pPr>
            <w:r>
              <w:rPr>
                <w:rFonts w:hint="eastAsia" w:ascii="宋体" w:hAnsi="宋体" w:cs="宋体"/>
                <w:color w:val="auto"/>
                <w:highlight w:val="none"/>
              </w:rPr>
              <w:t>提供为期15天的人员培训，包括:运维培训、使用操作培训两部分。使受训的使用人员充分了解系统功能设计并熟练掌握使用方法。保证能够独立进行管理、使用、维护和普通的故障处理，并具备支持系统稳定、良好、安全运行的一般能力。</w:t>
            </w:r>
          </w:p>
        </w:tc>
      </w:tr>
      <w:tr>
        <w:tblPrEx>
          <w:tblCellMar>
            <w:top w:w="0" w:type="dxa"/>
            <w:left w:w="108" w:type="dxa"/>
            <w:bottom w:w="0" w:type="dxa"/>
            <w:right w:w="108" w:type="dxa"/>
          </w:tblCellMar>
        </w:tblPrEx>
        <w:trPr>
          <w:trHeight w:val="630" w:hRule="atLeast"/>
          <w:jc w:val="center"/>
        </w:trPr>
        <w:tc>
          <w:tcPr>
            <w:tcW w:w="6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highlight w:val="none"/>
              </w:rPr>
            </w:pPr>
            <w:r>
              <w:rPr>
                <w:rFonts w:hint="eastAsia" w:ascii="宋体" w:hAnsi="宋体" w:cs="宋体"/>
                <w:color w:val="auto"/>
                <w:highlight w:val="none"/>
              </w:rPr>
              <w:t>运维驻点服务人员（一年）</w:t>
            </w:r>
          </w:p>
        </w:tc>
        <w:tc>
          <w:tcPr>
            <w:tcW w:w="4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highlight w:val="none"/>
              </w:rPr>
            </w:pPr>
            <w:r>
              <w:rPr>
                <w:rFonts w:hint="eastAsia" w:ascii="宋体" w:hAnsi="宋体" w:cs="宋体"/>
                <w:color w:val="auto"/>
                <w:highlight w:val="none"/>
              </w:rPr>
              <w:t>要求承建单位提供数字驾驶舱运维驻点服务人员1名（服务时间一年），响应人员须具备计算机行业项目管理或软件设计师中级及以上相关证书，熟悉Java，H5等相关编程语言，并且有3年或以上的公安行业服务、实施经验，熟悉公安大脑业务，具备多种警种或跨县市区的业务数据对接能力，满足公安市级平台驾驶舱指标和场景支撑需求，对驾驶舱可视化开发工具的运行、推广提供保障；</w:t>
            </w:r>
          </w:p>
        </w:tc>
      </w:tr>
      <w:tr>
        <w:tblPrEx>
          <w:tblCellMar>
            <w:top w:w="0" w:type="dxa"/>
            <w:left w:w="108" w:type="dxa"/>
            <w:bottom w:w="0" w:type="dxa"/>
            <w:right w:w="108" w:type="dxa"/>
          </w:tblCellMar>
        </w:tblPrEx>
        <w:trPr>
          <w:trHeight w:val="630" w:hRule="atLeast"/>
          <w:jc w:val="center"/>
        </w:trPr>
        <w:tc>
          <w:tcPr>
            <w:tcW w:w="6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highlight w:val="none"/>
              </w:rPr>
            </w:pPr>
            <w:r>
              <w:rPr>
                <w:rFonts w:hint="eastAsia" w:ascii="宋体" w:hAnsi="宋体" w:cs="宋体"/>
                <w:color w:val="auto"/>
                <w:highlight w:val="none"/>
              </w:rPr>
              <w:t>检测服务</w:t>
            </w:r>
          </w:p>
        </w:tc>
        <w:tc>
          <w:tcPr>
            <w:tcW w:w="43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highlight w:val="none"/>
              </w:rPr>
            </w:pPr>
            <w:r>
              <w:rPr>
                <w:rFonts w:hint="eastAsia" w:ascii="宋体" w:hAnsi="宋体" w:cs="宋体"/>
                <w:color w:val="auto"/>
                <w:highlight w:val="none"/>
              </w:rPr>
              <w:t>为公安数字驾驶舱整体项目，包括公安数字驾驶舱基础模块、公安数字驾驶舱开发工具和场景开发模块提供第三方检测服务；</w:t>
            </w:r>
          </w:p>
        </w:tc>
      </w:tr>
    </w:tbl>
    <w:p>
      <w:pPr>
        <w:rPr>
          <w:rFonts w:ascii="宋体" w:hAnsi="宋体" w:cs="宋体"/>
          <w:color w:val="auto"/>
          <w:highlight w:val="none"/>
        </w:rPr>
      </w:pPr>
    </w:p>
    <w:p>
      <w:pPr>
        <w:pStyle w:val="4"/>
        <w:spacing w:before="0" w:after="0" w:line="400" w:lineRule="exact"/>
        <w:ind w:left="425" w:hanging="425"/>
        <w:rPr>
          <w:rFonts w:ascii="宋体" w:hAnsi="宋体" w:cs="宋体"/>
          <w:color w:val="auto"/>
          <w:sz w:val="21"/>
          <w:szCs w:val="21"/>
          <w:highlight w:val="none"/>
        </w:rPr>
      </w:pPr>
      <w:r>
        <w:rPr>
          <w:rFonts w:hint="eastAsia" w:ascii="宋体" w:hAnsi="宋体" w:cs="宋体"/>
          <w:color w:val="auto"/>
          <w:sz w:val="21"/>
          <w:szCs w:val="21"/>
          <w:highlight w:val="none"/>
        </w:rPr>
        <w:t>四、建设工期及服务要求</w:t>
      </w:r>
      <w:bookmarkEnd w:id="59"/>
      <w:bookmarkEnd w:id="60"/>
    </w:p>
    <w:p>
      <w:pPr>
        <w:pStyle w:val="5"/>
        <w:spacing w:before="0" w:after="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1.项目建设工期</w:t>
      </w:r>
    </w:p>
    <w:p>
      <w:pPr>
        <w:pStyle w:val="719"/>
        <w:spacing w:line="400" w:lineRule="exact"/>
        <w:ind w:firstLine="0" w:firstLineChars="0"/>
        <w:rPr>
          <w:rFonts w:hAnsi="宋体" w:cs="宋体"/>
          <w:color w:val="auto"/>
          <w:sz w:val="21"/>
          <w:szCs w:val="21"/>
          <w:highlight w:val="none"/>
        </w:rPr>
      </w:pPr>
      <w:r>
        <w:rPr>
          <w:rFonts w:hint="eastAsia" w:hAnsi="宋体" w:cs="宋体"/>
          <w:b/>
          <w:color w:val="auto"/>
          <w:sz w:val="21"/>
          <w:szCs w:val="21"/>
          <w:highlight w:val="none"/>
        </w:rPr>
        <w:t>合同签订之日起</w:t>
      </w:r>
      <w:r>
        <w:rPr>
          <w:rFonts w:hAnsi="宋体" w:cs="宋体"/>
          <w:b/>
          <w:color w:val="auto"/>
          <w:sz w:val="21"/>
          <w:szCs w:val="21"/>
          <w:highlight w:val="none"/>
        </w:rPr>
        <w:t>6</w:t>
      </w:r>
      <w:r>
        <w:rPr>
          <w:rFonts w:hint="eastAsia" w:hAnsi="宋体" w:cs="宋体"/>
          <w:b/>
          <w:color w:val="auto"/>
          <w:sz w:val="21"/>
          <w:szCs w:val="21"/>
          <w:highlight w:val="none"/>
        </w:rPr>
        <w:t>个月内完成项目终验，其中试运行时间不少于</w:t>
      </w:r>
      <w:r>
        <w:rPr>
          <w:rFonts w:hAnsi="宋体" w:cs="宋体"/>
          <w:b/>
          <w:color w:val="auto"/>
          <w:sz w:val="21"/>
          <w:szCs w:val="21"/>
          <w:highlight w:val="none"/>
        </w:rPr>
        <w:t>3</w:t>
      </w:r>
      <w:r>
        <w:rPr>
          <w:rFonts w:hint="eastAsia" w:hAnsi="宋体" w:cs="宋体"/>
          <w:b/>
          <w:color w:val="auto"/>
          <w:sz w:val="21"/>
          <w:szCs w:val="21"/>
          <w:highlight w:val="none"/>
        </w:rPr>
        <w:t>个月。</w:t>
      </w:r>
    </w:p>
    <w:p>
      <w:pPr>
        <w:pStyle w:val="719"/>
        <w:spacing w:line="400" w:lineRule="exact"/>
        <w:ind w:firstLine="0" w:firstLineChars="0"/>
        <w:rPr>
          <w:rFonts w:hAnsi="宋体" w:cs="宋体"/>
          <w:b/>
          <w:color w:val="auto"/>
          <w:sz w:val="21"/>
          <w:szCs w:val="21"/>
          <w:highlight w:val="none"/>
        </w:rPr>
      </w:pPr>
      <w:r>
        <w:rPr>
          <w:rFonts w:hint="eastAsia" w:hAnsi="宋体" w:cs="宋体"/>
          <w:b/>
          <w:color w:val="auto"/>
          <w:sz w:val="21"/>
          <w:szCs w:val="21"/>
          <w:highlight w:val="none"/>
        </w:rPr>
        <w:t xml:space="preserve">项目实施要求 </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（1）成交供应商须安排有能力的项目组成员进行本次项目的开发建设。</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（2）成交供应商应在项目实施前，编制详细的实施方案，并提交采购人认可。</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（3）实施过程应严格执行相关的规范，并保证安全。</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（4）成交供应商应根据采购人的需要，在规定的时间内，保证质量，完成系统升级。</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（5）质量控制要求：成交供应商需要配备专职的质量管理人员，全过程跟踪和管理项目质量，提交完成的项目文档，确保进度计划的执行和质量控制。</w:t>
      </w:r>
    </w:p>
    <w:p>
      <w:pPr>
        <w:pStyle w:val="5"/>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2.正版化要求</w:t>
      </w:r>
    </w:p>
    <w:p>
      <w:pPr>
        <w:spacing w:line="400" w:lineRule="exact"/>
        <w:ind w:left="141" w:leftChars="67" w:firstLine="420" w:firstLineChars="200"/>
        <w:rPr>
          <w:rFonts w:ascii="宋体" w:hAnsi="宋体" w:cs="宋体"/>
          <w:b/>
          <w:color w:val="auto"/>
          <w:szCs w:val="21"/>
          <w:highlight w:val="none"/>
        </w:rPr>
      </w:pPr>
      <w:r>
        <w:rPr>
          <w:rFonts w:hint="eastAsia" w:ascii="宋体" w:hAnsi="宋体" w:cs="宋体"/>
          <w:color w:val="auto"/>
          <w:szCs w:val="21"/>
          <w:highlight w:val="none"/>
        </w:rPr>
        <w:t>投标供应商须保证位本项目所提供的所有涉及第三方的软件产品均具有合法的版权或使用权，如在本项目范围内使用过程中出现版权或使用权纠纷，应由成交供应商负责，采购人和采购机构不承担责任。</w:t>
      </w:r>
    </w:p>
    <w:p>
      <w:pPr>
        <w:spacing w:line="400" w:lineRule="exact"/>
        <w:rPr>
          <w:rFonts w:ascii="宋体" w:hAnsi="宋体" w:cs="宋体"/>
          <w:color w:val="auto"/>
          <w:szCs w:val="21"/>
          <w:highlight w:val="none"/>
        </w:rPr>
      </w:pPr>
    </w:p>
    <w:p>
      <w:pPr>
        <w:pStyle w:val="5"/>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3.系统运维期要求</w:t>
      </w:r>
    </w:p>
    <w:p>
      <w:pPr>
        <w:tabs>
          <w:tab w:val="left" w:pos="0"/>
        </w:tabs>
        <w:spacing w:line="400" w:lineRule="exact"/>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（1）运维期：</w:t>
      </w:r>
      <w:r>
        <w:rPr>
          <w:rFonts w:hint="eastAsia" w:ascii="宋体" w:hAnsi="宋体" w:cs="宋体"/>
          <w:b/>
          <w:color w:val="auto"/>
          <w:szCs w:val="21"/>
          <w:highlight w:val="none"/>
        </w:rPr>
        <w:t>自通过验收合格之日起运维</w:t>
      </w:r>
      <w:r>
        <w:rPr>
          <w:rFonts w:ascii="宋体" w:hAnsi="宋体" w:cs="宋体"/>
          <w:b/>
          <w:color w:val="auto"/>
          <w:szCs w:val="21"/>
          <w:highlight w:val="none"/>
        </w:rPr>
        <w:t>3</w:t>
      </w:r>
      <w:r>
        <w:rPr>
          <w:rFonts w:hint="eastAsia" w:ascii="宋体" w:hAnsi="宋体" w:cs="宋体"/>
          <w:b/>
          <w:color w:val="auto"/>
          <w:szCs w:val="21"/>
          <w:highlight w:val="none"/>
        </w:rPr>
        <w:t>年。运维期间，成交供应商对采购人提出的在合同范围内具体需求进行调研、调整和完善</w:t>
      </w:r>
      <w:r>
        <w:rPr>
          <w:rFonts w:hint="eastAsia" w:ascii="宋体" w:hAnsi="宋体" w:cs="宋体"/>
          <w:color w:val="auto"/>
          <w:szCs w:val="21"/>
          <w:highlight w:val="none"/>
        </w:rPr>
        <w:t>。</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（2）在运维期内，提供7*24小时热线电话技术支持，邮件服务和定期现场巡检服务等技术支持；对采购方提出的系统问题、发现的程序错误等，在20分钟内予以响应，并及时解决问题。</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（3）在运维期内，供应商应在本项目软件招标需求应用功能范围内及凡不涉及架构调整的情况下，根据采购人需求对系统进行必需的调整、修改以及版本免费升级服务，以满足系统之最优化。</w:t>
      </w:r>
    </w:p>
    <w:p>
      <w:pPr>
        <w:pStyle w:val="5"/>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4.培训推广要求</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（1）提供高水平的培训，培训教员应参与过该项目的实施，并有一定的教学经验。</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（2）提供详细的培训计划，培训计划中对时间、地点、授课人、培训内容、培训所要达到的目标等内容安排进行详细描述，其中培训场所由甲方提供。</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（3）培训方式应包括技术讲课、操作示范、参观学习和其它必须的业务指导和技术咨询，确保培训对象对系统基本理论、技术特性、操作规范、运行规程、管理维护等方面获得全面了解和掌握。</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（4）在合同签定后征得采购人同意后实施培训工作，并按采购人要求对设计人员、操作人员等不同岗位人员进行培训。</w:t>
      </w:r>
    </w:p>
    <w:p>
      <w:pPr>
        <w:pStyle w:val="719"/>
        <w:spacing w:line="400" w:lineRule="exact"/>
        <w:ind w:firstLine="420"/>
        <w:rPr>
          <w:rFonts w:hAnsi="宋体" w:cs="宋体"/>
          <w:color w:val="auto"/>
          <w:sz w:val="21"/>
          <w:szCs w:val="21"/>
          <w:highlight w:val="none"/>
        </w:rPr>
      </w:pPr>
      <w:r>
        <w:rPr>
          <w:rFonts w:hint="eastAsia" w:hAnsi="宋体" w:cs="宋体"/>
          <w:color w:val="auto"/>
          <w:sz w:val="21"/>
          <w:szCs w:val="21"/>
          <w:highlight w:val="none"/>
        </w:rPr>
        <w:t>（5）所有培训推广费用包括在合同总价内，不另行收费。</w:t>
      </w:r>
    </w:p>
    <w:p>
      <w:pPr>
        <w:pStyle w:val="4"/>
        <w:spacing w:before="0" w:after="0" w:line="400" w:lineRule="exact"/>
        <w:ind w:left="425" w:hanging="425"/>
        <w:rPr>
          <w:rFonts w:ascii="宋体" w:hAnsi="宋体" w:cs="宋体"/>
          <w:color w:val="auto"/>
          <w:sz w:val="21"/>
          <w:szCs w:val="21"/>
          <w:highlight w:val="none"/>
        </w:rPr>
      </w:pPr>
      <w:bookmarkStart w:id="63" w:name="_Toc105574495"/>
      <w:bookmarkStart w:id="64" w:name="_Toc1739035"/>
      <w:r>
        <w:rPr>
          <w:rFonts w:hint="eastAsia" w:ascii="宋体" w:hAnsi="宋体" w:cs="宋体"/>
          <w:color w:val="auto"/>
          <w:sz w:val="21"/>
          <w:szCs w:val="21"/>
          <w:highlight w:val="none"/>
        </w:rPr>
        <w:t>五、其他要求</w:t>
      </w:r>
      <w:bookmarkEnd w:id="63"/>
      <w:bookmarkEnd w:id="64"/>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供应商必须对全部内容进行报价，只对部分内容进行报价的供应商将按无效投标处理。</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本技术规范要求提出的是最低限度的基本技术要求，并未对所有技术细节作出规定，</w:t>
      </w:r>
      <w:r>
        <w:rPr>
          <w:rFonts w:hint="eastAsia" w:ascii="宋体" w:hAnsi="宋体" w:cs="宋体"/>
          <w:bCs/>
          <w:color w:val="auto"/>
          <w:sz w:val="21"/>
          <w:szCs w:val="21"/>
          <w:highlight w:val="none"/>
        </w:rPr>
        <w:t>要求成交供应商在</w:t>
      </w:r>
      <w:r>
        <w:rPr>
          <w:rFonts w:hint="eastAsia" w:ascii="宋体" w:hAnsi="宋体" w:cs="宋体"/>
          <w:color w:val="auto"/>
          <w:sz w:val="21"/>
          <w:szCs w:val="21"/>
          <w:highlight w:val="none"/>
        </w:rPr>
        <w:t>初步业务需求、技术要求和</w:t>
      </w:r>
      <w:r>
        <w:rPr>
          <w:rFonts w:hint="eastAsia" w:ascii="宋体" w:hAnsi="宋体" w:cs="宋体"/>
          <w:bCs/>
          <w:color w:val="auto"/>
          <w:sz w:val="21"/>
          <w:szCs w:val="21"/>
          <w:highlight w:val="none"/>
        </w:rPr>
        <w:t>用户实际需求的基础上进行开发，</w:t>
      </w:r>
      <w:r>
        <w:rPr>
          <w:rFonts w:hint="eastAsia" w:ascii="宋体" w:hAnsi="宋体" w:cs="宋体"/>
          <w:color w:val="auto"/>
          <w:sz w:val="21"/>
          <w:szCs w:val="21"/>
          <w:highlight w:val="none"/>
        </w:rPr>
        <w:t>投标供应商在中标后应进行进一步调研，根据具体需求深化分析，提供符合本技术要求和国家标准、行业标准的优质产品。用户需求在开发期和试运行期，仍有可能不断完善，投标供应商须承诺在采购需求和政策法规范围内，随着用户需求的变动随时做出响应，修改应用软件，</w:t>
      </w:r>
      <w:r>
        <w:rPr>
          <w:rFonts w:hint="eastAsia" w:ascii="宋体" w:hAnsi="宋体" w:cs="宋体"/>
          <w:bCs/>
          <w:color w:val="auto"/>
          <w:sz w:val="21"/>
          <w:szCs w:val="21"/>
          <w:highlight w:val="none"/>
        </w:rPr>
        <w:t>并不断进行完善</w:t>
      </w:r>
      <w:r>
        <w:rPr>
          <w:rFonts w:hint="eastAsia" w:ascii="宋体" w:hAnsi="宋体" w:cs="宋体"/>
          <w:color w:val="auto"/>
          <w:sz w:val="21"/>
          <w:szCs w:val="21"/>
          <w:highlight w:val="none"/>
        </w:rPr>
        <w:t>。</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投标产品与本技术要求不一致时，供应商应在磋商响应文件中予以说明，并由磋商小组鉴定其服务能否达到要求。如供应商没有在磋商响应文件中提出异议，则视为其提供的服务完全按照本磋商文件要求，并在合同验收时按磋商文件要求验收。</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在本项目验收前投标供应商应做好软件评测工作，并对未通过的内容做好整改，以及承担由此产生的再次评审费用，直至测评通过为止。</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正式验收通过后，若有需求变动，在免费维护期内，仍应免费按用户需求对整个系统做出相应修改，以满足用户的需求。</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本项目建设过程中，供应商应充分考虑所提供解决方案的可行性和合理性，并保证项目落地实施，供应商负责承担实现功能所需的全部费用。</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投标供应商应本着认真负责的态度组织技术队伍，做好投标的整体技术方案并提出开发、维护、服务以及今后技术支持的措施计划和承诺。</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成交供应商在成交通知书发出之日起</w:t>
      </w:r>
      <w:r>
        <w:rPr>
          <w:rFonts w:ascii="宋体" w:hAnsi="宋体" w:cs="宋体"/>
          <w:color w:val="auto"/>
          <w:sz w:val="21"/>
          <w:szCs w:val="21"/>
          <w:highlight w:val="none"/>
        </w:rPr>
        <w:t>30</w:t>
      </w:r>
      <w:r>
        <w:rPr>
          <w:rFonts w:hint="eastAsia" w:ascii="宋体" w:hAnsi="宋体" w:cs="宋体"/>
          <w:color w:val="auto"/>
          <w:sz w:val="21"/>
          <w:szCs w:val="21"/>
          <w:highlight w:val="none"/>
        </w:rPr>
        <w:t>个工作日内和采购人进行功能需求、技术规格和项目进度的确认并签订合同。</w:t>
      </w:r>
    </w:p>
    <w:p>
      <w:pPr>
        <w:pStyle w:val="818"/>
        <w:numPr>
          <w:ilvl w:val="0"/>
          <w:numId w:val="7"/>
        </w:numPr>
        <w:spacing w:line="400" w:lineRule="exact"/>
        <w:ind w:left="540" w:hanging="360" w:firstLineChars="0"/>
        <w:rPr>
          <w:rFonts w:ascii="宋体" w:hAnsi="宋体" w:cs="宋体"/>
          <w:color w:val="auto"/>
          <w:sz w:val="21"/>
          <w:szCs w:val="21"/>
          <w:highlight w:val="none"/>
        </w:rPr>
      </w:pPr>
      <w:r>
        <w:rPr>
          <w:rFonts w:hint="eastAsia" w:ascii="宋体" w:hAnsi="宋体" w:cs="宋体"/>
          <w:color w:val="auto"/>
          <w:sz w:val="21"/>
          <w:szCs w:val="21"/>
          <w:highlight w:val="none"/>
        </w:rPr>
        <w:t>供应商应允许采购方的工作人员参与系统的安装、测试、诊断及解决问题等各项工作。</w:t>
      </w:r>
    </w:p>
    <w:p>
      <w:pPr>
        <w:pStyle w:val="818"/>
        <w:numPr>
          <w:ilvl w:val="0"/>
          <w:numId w:val="7"/>
        </w:numPr>
        <w:tabs>
          <w:tab w:val="left" w:pos="709"/>
        </w:tabs>
        <w:spacing w:line="400" w:lineRule="exact"/>
        <w:ind w:left="540" w:hanging="360" w:firstLineChars="0"/>
        <w:rPr>
          <w:rFonts w:ascii="宋体" w:hAnsi="宋体" w:cs="宋体"/>
          <w:color w:val="auto"/>
          <w:sz w:val="21"/>
          <w:szCs w:val="21"/>
          <w:highlight w:val="none"/>
          <w:u w:val="single"/>
        </w:rPr>
      </w:pPr>
      <w:r>
        <w:rPr>
          <w:rFonts w:hint="eastAsia" w:ascii="宋体" w:hAnsi="宋体" w:cs="宋体"/>
          <w:b/>
          <w:color w:val="auto"/>
          <w:sz w:val="21"/>
          <w:szCs w:val="21"/>
          <w:highlight w:val="none"/>
          <w:u w:val="single"/>
        </w:rPr>
        <w:t>▲本标项采购预算</w:t>
      </w:r>
      <w:r>
        <w:rPr>
          <w:rFonts w:ascii="宋体" w:hAnsi="宋体" w:cs="宋体"/>
          <w:b/>
          <w:color w:val="auto"/>
          <w:sz w:val="21"/>
          <w:szCs w:val="21"/>
          <w:highlight w:val="none"/>
          <w:u w:val="single"/>
        </w:rPr>
        <w:t>107</w:t>
      </w:r>
      <w:r>
        <w:rPr>
          <w:rFonts w:hint="eastAsia" w:ascii="宋体" w:hAnsi="宋体" w:cs="宋体"/>
          <w:b/>
          <w:color w:val="auto"/>
          <w:sz w:val="21"/>
          <w:szCs w:val="21"/>
          <w:highlight w:val="none"/>
          <w:u w:val="single"/>
        </w:rPr>
        <w:t>万元</w:t>
      </w:r>
      <w:r>
        <w:rPr>
          <w:rFonts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rPr>
        <w:t>最高限价</w:t>
      </w:r>
      <w:r>
        <w:rPr>
          <w:rFonts w:ascii="宋体" w:hAnsi="宋体" w:cs="宋体"/>
          <w:b/>
          <w:color w:val="auto"/>
          <w:sz w:val="21"/>
          <w:szCs w:val="21"/>
          <w:highlight w:val="none"/>
          <w:u w:val="single"/>
        </w:rPr>
        <w:t>106.435</w:t>
      </w:r>
      <w:r>
        <w:rPr>
          <w:rFonts w:hint="eastAsia" w:ascii="宋体" w:hAnsi="宋体" w:cs="宋体"/>
          <w:b/>
          <w:color w:val="auto"/>
          <w:sz w:val="21"/>
          <w:szCs w:val="21"/>
          <w:highlight w:val="none"/>
          <w:u w:val="single"/>
        </w:rPr>
        <w:t>万元</w:t>
      </w:r>
      <w:r>
        <w:rPr>
          <w:rFonts w:ascii="宋体" w:hAnsi="宋体" w:cs="宋体"/>
          <w:b/>
          <w:color w:val="auto"/>
          <w:sz w:val="21"/>
          <w:szCs w:val="21"/>
          <w:highlight w:val="none"/>
          <w:u w:val="single"/>
        </w:rPr>
        <w:t>,</w:t>
      </w:r>
      <w:r>
        <w:rPr>
          <w:rFonts w:hint="eastAsia" w:ascii="宋体" w:hAnsi="宋体" w:cs="宋体"/>
          <w:b/>
          <w:color w:val="auto"/>
          <w:sz w:val="21"/>
          <w:szCs w:val="21"/>
          <w:highlight w:val="none"/>
          <w:u w:val="single"/>
        </w:rPr>
        <w:t>供应商的投标报价超过最高限价的，其磋商响应文件按无效标处理。</w:t>
      </w:r>
    </w:p>
    <w:bookmarkEnd w:id="61"/>
    <w:p>
      <w:pPr>
        <w:rPr>
          <w:color w:val="auto"/>
          <w:highlight w:val="none"/>
        </w:rPr>
      </w:pPr>
    </w:p>
    <w:p>
      <w:pPr>
        <w:spacing w:after="120" w:line="360" w:lineRule="auto"/>
        <w:rPr>
          <w:rFonts w:hint="eastAsia" w:ascii="仿宋" w:hAnsi="仿宋" w:eastAsia="仿宋" w:cs="仿宋"/>
          <w:bCs/>
          <w:color w:val="auto"/>
          <w:sz w:val="24"/>
          <w:highlight w:val="none"/>
          <w:lang w:val="zh-TW"/>
        </w:rPr>
      </w:pPr>
    </w:p>
    <w:p>
      <w:pPr>
        <w:snapToGrid w:val="0"/>
        <w:spacing w:line="360" w:lineRule="auto"/>
        <w:jc w:val="center"/>
        <w:rPr>
          <w:rFonts w:hint="eastAsia" w:ascii="仿宋" w:hAnsi="仿宋" w:eastAsia="仿宋" w:cs="仿宋"/>
          <w:b/>
          <w:color w:val="auto"/>
          <w:sz w:val="36"/>
          <w:szCs w:val="36"/>
          <w:highlight w:val="none"/>
        </w:rPr>
      </w:pPr>
      <w:r>
        <w:rPr>
          <w:rStyle w:val="79"/>
          <w:rFonts w:hint="eastAsia" w:ascii="仿宋" w:eastAsia="仿宋" w:cs="仿宋"/>
          <w:color w:val="auto"/>
          <w:highlight w:val="none"/>
        </w:rPr>
        <w:br w:type="page"/>
      </w:r>
      <w:r>
        <w:rPr>
          <w:rStyle w:val="79"/>
          <w:rFonts w:hint="eastAsia" w:ascii="仿宋" w:eastAsia="仿宋" w:cs="仿宋"/>
          <w:color w:val="auto"/>
          <w:highlight w:val="none"/>
        </w:rPr>
        <w:t xml:space="preserve">第四部分   </w:t>
      </w:r>
      <w:bookmarkEnd w:id="49"/>
      <w:bookmarkStart w:id="65" w:name="_Toc184310298"/>
      <w:bookmarkEnd w:id="65"/>
      <w:bookmarkStart w:id="66" w:name="_Toc184313267"/>
      <w:bookmarkEnd w:id="66"/>
      <w:bookmarkStart w:id="67" w:name="_Toc184310329"/>
      <w:bookmarkEnd w:id="67"/>
      <w:bookmarkStart w:id="68" w:name="_Toc184314446"/>
      <w:bookmarkEnd w:id="68"/>
      <w:bookmarkStart w:id="69" w:name="_Toc184310323"/>
      <w:bookmarkEnd w:id="69"/>
      <w:bookmarkStart w:id="70" w:name="_Toc184312089"/>
      <w:bookmarkEnd w:id="70"/>
      <w:bookmarkStart w:id="71" w:name="_Toc184313242"/>
      <w:bookmarkEnd w:id="71"/>
      <w:bookmarkStart w:id="72" w:name="_Toc184308047"/>
      <w:bookmarkEnd w:id="72"/>
      <w:bookmarkStart w:id="73" w:name="_Toc184308092"/>
      <w:bookmarkEnd w:id="73"/>
      <w:bookmarkStart w:id="74" w:name="_Toc184313303"/>
      <w:bookmarkEnd w:id="74"/>
      <w:bookmarkStart w:id="75" w:name="_Toc184314480"/>
      <w:bookmarkEnd w:id="75"/>
      <w:bookmarkStart w:id="76" w:name="_Toc184312083"/>
      <w:bookmarkEnd w:id="76"/>
      <w:bookmarkStart w:id="77" w:name="_Toc184310308"/>
      <w:bookmarkEnd w:id="77"/>
      <w:bookmarkStart w:id="78" w:name="_Toc184308052"/>
      <w:bookmarkEnd w:id="78"/>
      <w:bookmarkStart w:id="79" w:name="_Toc184313261"/>
      <w:bookmarkEnd w:id="79"/>
      <w:bookmarkStart w:id="80" w:name="_Toc184312079"/>
      <w:bookmarkEnd w:id="80"/>
      <w:bookmarkStart w:id="81" w:name="_Toc184312067"/>
      <w:bookmarkEnd w:id="81"/>
      <w:bookmarkStart w:id="82" w:name="_Toc184313245"/>
      <w:bookmarkEnd w:id="82"/>
      <w:bookmarkStart w:id="83" w:name="_Toc184313238"/>
      <w:bookmarkEnd w:id="83"/>
      <w:bookmarkStart w:id="84" w:name="_Toc184314464"/>
      <w:bookmarkEnd w:id="84"/>
      <w:bookmarkStart w:id="85" w:name="_Toc184312103"/>
      <w:bookmarkEnd w:id="85"/>
      <w:bookmarkStart w:id="86" w:name="_Toc184310294"/>
      <w:bookmarkEnd w:id="86"/>
      <w:bookmarkStart w:id="87" w:name="_Toc184313253"/>
      <w:bookmarkEnd w:id="87"/>
      <w:bookmarkStart w:id="88" w:name="_Toc184312104"/>
      <w:bookmarkEnd w:id="88"/>
      <w:bookmarkStart w:id="89" w:name="_Toc184313264"/>
      <w:bookmarkEnd w:id="89"/>
      <w:bookmarkStart w:id="90" w:name="_Toc184310325"/>
      <w:bookmarkEnd w:id="90"/>
      <w:bookmarkStart w:id="91" w:name="_Toc184308050"/>
      <w:bookmarkEnd w:id="91"/>
      <w:bookmarkStart w:id="92" w:name="_Toc184314461"/>
      <w:bookmarkEnd w:id="92"/>
      <w:bookmarkStart w:id="93" w:name="_Toc184313241"/>
      <w:bookmarkEnd w:id="93"/>
      <w:bookmarkStart w:id="94" w:name="_Toc184308049"/>
      <w:bookmarkEnd w:id="94"/>
      <w:bookmarkStart w:id="95" w:name="_Toc184312084"/>
      <w:bookmarkEnd w:id="95"/>
      <w:bookmarkStart w:id="96" w:name="_Toc184313268"/>
      <w:bookmarkEnd w:id="96"/>
      <w:bookmarkStart w:id="97" w:name="_Toc184314458"/>
      <w:bookmarkEnd w:id="97"/>
      <w:bookmarkStart w:id="98" w:name="_Toc184313260"/>
      <w:bookmarkEnd w:id="98"/>
      <w:bookmarkStart w:id="99" w:name="_Toc184312112"/>
      <w:bookmarkEnd w:id="99"/>
      <w:bookmarkStart w:id="100" w:name="_Toc184314479"/>
      <w:bookmarkEnd w:id="100"/>
      <w:bookmarkStart w:id="101" w:name="_Toc184313297"/>
      <w:bookmarkEnd w:id="101"/>
      <w:bookmarkStart w:id="102" w:name="_Toc184312109"/>
      <w:bookmarkEnd w:id="102"/>
      <w:bookmarkStart w:id="103" w:name="_Toc184312121"/>
      <w:bookmarkEnd w:id="103"/>
      <w:bookmarkStart w:id="104" w:name="_Toc184314463"/>
      <w:bookmarkEnd w:id="104"/>
      <w:bookmarkStart w:id="105" w:name="_Toc184314452"/>
      <w:bookmarkEnd w:id="105"/>
      <w:bookmarkStart w:id="106" w:name="_Toc184312069"/>
      <w:bookmarkEnd w:id="106"/>
      <w:bookmarkStart w:id="107" w:name="_Toc184313299"/>
      <w:bookmarkEnd w:id="107"/>
      <w:bookmarkStart w:id="108" w:name="_Toc184308088"/>
      <w:bookmarkEnd w:id="108"/>
      <w:bookmarkStart w:id="109" w:name="_Toc184312108"/>
      <w:bookmarkEnd w:id="109"/>
      <w:bookmarkStart w:id="110" w:name="_Toc184310282"/>
      <w:bookmarkEnd w:id="110"/>
      <w:bookmarkStart w:id="111" w:name="_Toc184314473"/>
      <w:bookmarkEnd w:id="111"/>
      <w:bookmarkStart w:id="112" w:name="_Toc184313295"/>
      <w:bookmarkEnd w:id="112"/>
      <w:bookmarkStart w:id="113" w:name="_Toc184310326"/>
      <w:bookmarkEnd w:id="113"/>
      <w:bookmarkStart w:id="114" w:name="_Toc184313259"/>
      <w:bookmarkEnd w:id="114"/>
      <w:bookmarkStart w:id="115" w:name="_Toc184313296"/>
      <w:bookmarkEnd w:id="115"/>
      <w:bookmarkStart w:id="116" w:name="_Toc184308099"/>
      <w:bookmarkEnd w:id="116"/>
      <w:bookmarkStart w:id="117" w:name="_Toc184314441"/>
      <w:bookmarkEnd w:id="117"/>
      <w:bookmarkStart w:id="118" w:name="_Toc184314448"/>
      <w:bookmarkEnd w:id="118"/>
      <w:bookmarkStart w:id="119" w:name="_Toc184314444"/>
      <w:bookmarkEnd w:id="119"/>
      <w:bookmarkStart w:id="120" w:name="_Toc184312082"/>
      <w:bookmarkEnd w:id="120"/>
      <w:bookmarkStart w:id="121" w:name="_Toc184310331"/>
      <w:bookmarkEnd w:id="121"/>
      <w:bookmarkStart w:id="122" w:name="_Toc184313248"/>
      <w:bookmarkEnd w:id="122"/>
      <w:bookmarkStart w:id="123" w:name="_Toc184312133"/>
      <w:bookmarkEnd w:id="123"/>
      <w:bookmarkStart w:id="124" w:name="_Toc184308094"/>
      <w:bookmarkEnd w:id="124"/>
      <w:bookmarkStart w:id="125" w:name="_Toc184310292"/>
      <w:bookmarkEnd w:id="125"/>
      <w:bookmarkStart w:id="126" w:name="_Toc184310334"/>
      <w:bookmarkEnd w:id="126"/>
      <w:bookmarkStart w:id="127" w:name="_Toc184312118"/>
      <w:bookmarkEnd w:id="127"/>
      <w:bookmarkStart w:id="128" w:name="_Toc184314482"/>
      <w:bookmarkEnd w:id="128"/>
      <w:bookmarkStart w:id="129" w:name="_Toc184313271"/>
      <w:bookmarkEnd w:id="129"/>
      <w:bookmarkStart w:id="130" w:name="_Toc184310288"/>
      <w:bookmarkEnd w:id="130"/>
      <w:bookmarkStart w:id="131" w:name="_Toc184310338"/>
      <w:bookmarkEnd w:id="131"/>
      <w:bookmarkStart w:id="132" w:name="_Toc184308081"/>
      <w:bookmarkEnd w:id="132"/>
      <w:bookmarkStart w:id="133" w:name="_Toc184308093"/>
      <w:bookmarkEnd w:id="133"/>
      <w:bookmarkStart w:id="134" w:name="_Toc184312107"/>
      <w:bookmarkEnd w:id="134"/>
      <w:bookmarkStart w:id="135" w:name="_Toc184308086"/>
      <w:bookmarkEnd w:id="135"/>
      <w:bookmarkStart w:id="136" w:name="_Toc184308095"/>
      <w:bookmarkEnd w:id="136"/>
      <w:bookmarkStart w:id="137" w:name="_Toc184310297"/>
      <w:bookmarkEnd w:id="137"/>
      <w:bookmarkStart w:id="138" w:name="_Toc184312080"/>
      <w:bookmarkEnd w:id="138"/>
      <w:bookmarkStart w:id="139" w:name="_Toc184308038"/>
      <w:bookmarkEnd w:id="139"/>
      <w:bookmarkStart w:id="140" w:name="_Toc184310341"/>
      <w:bookmarkEnd w:id="140"/>
      <w:bookmarkStart w:id="141" w:name="_Toc184314453"/>
      <w:bookmarkEnd w:id="141"/>
      <w:bookmarkStart w:id="142" w:name="_Toc184310290"/>
      <w:bookmarkEnd w:id="142"/>
      <w:bookmarkStart w:id="143" w:name="_Toc184308103"/>
      <w:bookmarkEnd w:id="143"/>
      <w:bookmarkStart w:id="144" w:name="_Toc184308102"/>
      <w:bookmarkEnd w:id="144"/>
      <w:bookmarkStart w:id="145" w:name="_Toc184314476"/>
      <w:bookmarkEnd w:id="145"/>
      <w:bookmarkStart w:id="146" w:name="_Toc184310299"/>
      <w:bookmarkEnd w:id="146"/>
      <w:bookmarkStart w:id="147" w:name="_Toc184312075"/>
      <w:bookmarkEnd w:id="147"/>
      <w:bookmarkStart w:id="148" w:name="_Toc184308080"/>
      <w:bookmarkEnd w:id="148"/>
      <w:bookmarkStart w:id="149" w:name="_Toc184313258"/>
      <w:bookmarkEnd w:id="149"/>
      <w:bookmarkStart w:id="150" w:name="_Toc184314412"/>
      <w:bookmarkEnd w:id="150"/>
      <w:bookmarkStart w:id="151" w:name="_Toc184313263"/>
      <w:bookmarkEnd w:id="151"/>
      <w:bookmarkStart w:id="152" w:name="_Toc184312070"/>
      <w:bookmarkEnd w:id="152"/>
      <w:bookmarkStart w:id="153" w:name="_Toc184314467"/>
      <w:bookmarkEnd w:id="153"/>
      <w:bookmarkStart w:id="154" w:name="_Toc184310330"/>
      <w:bookmarkEnd w:id="154"/>
      <w:bookmarkStart w:id="155" w:name="_Toc184308089"/>
      <w:bookmarkEnd w:id="155"/>
      <w:bookmarkStart w:id="156" w:name="_Toc184310333"/>
      <w:bookmarkEnd w:id="156"/>
      <w:bookmarkStart w:id="157" w:name="_Toc184308074"/>
      <w:bookmarkEnd w:id="157"/>
      <w:bookmarkStart w:id="158" w:name="_Toc184308101"/>
      <w:bookmarkEnd w:id="158"/>
      <w:bookmarkStart w:id="159" w:name="_Toc184310272"/>
      <w:bookmarkEnd w:id="159"/>
      <w:bookmarkStart w:id="160" w:name="_Toc184310342"/>
      <w:bookmarkEnd w:id="160"/>
      <w:bookmarkStart w:id="161" w:name="_Toc184313302"/>
      <w:bookmarkEnd w:id="161"/>
      <w:bookmarkStart w:id="162" w:name="_Toc184312078"/>
      <w:bookmarkEnd w:id="162"/>
      <w:bookmarkStart w:id="163" w:name="_Toc184308068"/>
      <w:bookmarkEnd w:id="163"/>
      <w:bookmarkStart w:id="164" w:name="_Toc184313269"/>
      <w:bookmarkEnd w:id="164"/>
      <w:bookmarkStart w:id="165" w:name="_Toc184312093"/>
      <w:bookmarkEnd w:id="165"/>
      <w:bookmarkStart w:id="166" w:name="_Toc184314456"/>
      <w:bookmarkEnd w:id="166"/>
      <w:bookmarkStart w:id="167" w:name="_Toc184312129"/>
      <w:bookmarkEnd w:id="167"/>
      <w:bookmarkStart w:id="168" w:name="_Toc184308073"/>
      <w:bookmarkEnd w:id="168"/>
      <w:bookmarkStart w:id="169" w:name="_Toc184313252"/>
      <w:bookmarkEnd w:id="169"/>
      <w:bookmarkStart w:id="170" w:name="_Toc184314460"/>
      <w:bookmarkEnd w:id="170"/>
      <w:bookmarkStart w:id="171" w:name="_Toc184312125"/>
      <w:bookmarkEnd w:id="171"/>
      <w:bookmarkStart w:id="172" w:name="_Toc184314454"/>
      <w:bookmarkEnd w:id="172"/>
      <w:bookmarkStart w:id="173" w:name="_Toc184314440"/>
      <w:bookmarkEnd w:id="173"/>
      <w:bookmarkStart w:id="174" w:name="_Toc184308078"/>
      <w:bookmarkEnd w:id="174"/>
      <w:bookmarkStart w:id="175" w:name="_Toc184308098"/>
      <w:bookmarkEnd w:id="175"/>
      <w:bookmarkStart w:id="176" w:name="_Toc184314471"/>
      <w:bookmarkEnd w:id="176"/>
      <w:bookmarkStart w:id="177" w:name="_Toc184312076"/>
      <w:bookmarkEnd w:id="177"/>
      <w:bookmarkStart w:id="178" w:name="_Toc184310315"/>
      <w:bookmarkEnd w:id="178"/>
      <w:bookmarkStart w:id="179" w:name="_Toc184308091"/>
      <w:bookmarkEnd w:id="179"/>
      <w:bookmarkStart w:id="180" w:name="_Toc184310324"/>
      <w:bookmarkEnd w:id="180"/>
      <w:bookmarkStart w:id="181" w:name="_Toc184310320"/>
      <w:bookmarkEnd w:id="181"/>
      <w:bookmarkStart w:id="182" w:name="_Toc184310278"/>
      <w:bookmarkEnd w:id="182"/>
      <w:bookmarkStart w:id="183" w:name="_Toc184314437"/>
      <w:bookmarkEnd w:id="183"/>
      <w:bookmarkStart w:id="184" w:name="_Toc184310335"/>
      <w:bookmarkEnd w:id="184"/>
      <w:bookmarkStart w:id="185" w:name="_Toc184314425"/>
      <w:bookmarkEnd w:id="185"/>
      <w:bookmarkStart w:id="186" w:name="_Toc184314472"/>
      <w:bookmarkEnd w:id="186"/>
      <w:bookmarkStart w:id="187" w:name="_Toc184313278"/>
      <w:bookmarkEnd w:id="187"/>
      <w:bookmarkStart w:id="188" w:name="_Toc184308045"/>
      <w:bookmarkEnd w:id="188"/>
      <w:bookmarkStart w:id="189" w:name="_Toc184312102"/>
      <w:bookmarkEnd w:id="189"/>
      <w:bookmarkStart w:id="190" w:name="_Toc184312100"/>
      <w:bookmarkEnd w:id="190"/>
      <w:bookmarkStart w:id="191" w:name="_Toc184313257"/>
      <w:bookmarkEnd w:id="191"/>
      <w:bookmarkStart w:id="192" w:name="_Toc184314422"/>
      <w:bookmarkEnd w:id="192"/>
      <w:bookmarkStart w:id="193" w:name="_Toc184310273"/>
      <w:bookmarkEnd w:id="193"/>
      <w:bookmarkStart w:id="194" w:name="_Toc184310337"/>
      <w:bookmarkEnd w:id="194"/>
      <w:bookmarkStart w:id="195" w:name="_Toc184313247"/>
      <w:bookmarkEnd w:id="195"/>
      <w:bookmarkStart w:id="196" w:name="_Toc184314455"/>
      <w:bookmarkEnd w:id="196"/>
      <w:bookmarkStart w:id="197" w:name="_Toc184314475"/>
      <w:bookmarkEnd w:id="197"/>
      <w:bookmarkStart w:id="198" w:name="_Toc184308046"/>
      <w:bookmarkEnd w:id="198"/>
      <w:bookmarkStart w:id="199" w:name="_Toc184308107"/>
      <w:bookmarkEnd w:id="199"/>
      <w:bookmarkStart w:id="200" w:name="_Toc184314465"/>
      <w:bookmarkEnd w:id="200"/>
      <w:bookmarkStart w:id="201" w:name="_Toc184314424"/>
      <w:bookmarkEnd w:id="201"/>
      <w:bookmarkStart w:id="202" w:name="_Toc184313309"/>
      <w:bookmarkEnd w:id="202"/>
      <w:bookmarkStart w:id="203" w:name="_Toc184312127"/>
      <w:bookmarkEnd w:id="203"/>
      <w:bookmarkStart w:id="204" w:name="_Toc184313276"/>
      <w:bookmarkEnd w:id="204"/>
      <w:bookmarkStart w:id="205" w:name="_Toc184308054"/>
      <w:bookmarkEnd w:id="205"/>
      <w:bookmarkStart w:id="206" w:name="_Toc184313283"/>
      <w:bookmarkEnd w:id="206"/>
      <w:bookmarkStart w:id="207" w:name="_Toc184314474"/>
      <w:bookmarkEnd w:id="207"/>
      <w:bookmarkStart w:id="208" w:name="_Toc184314429"/>
      <w:bookmarkEnd w:id="208"/>
      <w:bookmarkStart w:id="209" w:name="_Toc184312131"/>
      <w:bookmarkEnd w:id="209"/>
      <w:bookmarkStart w:id="210" w:name="_Toc184312106"/>
      <w:bookmarkEnd w:id="210"/>
      <w:bookmarkStart w:id="211" w:name="_Toc184308053"/>
      <w:bookmarkEnd w:id="211"/>
      <w:bookmarkStart w:id="212" w:name="_Toc184313262"/>
      <w:bookmarkEnd w:id="212"/>
      <w:bookmarkStart w:id="213" w:name="_Toc184314447"/>
      <w:bookmarkEnd w:id="213"/>
      <w:bookmarkStart w:id="214" w:name="_Toc184313292"/>
      <w:bookmarkEnd w:id="214"/>
      <w:bookmarkStart w:id="215" w:name="_Toc184310280"/>
      <w:bookmarkEnd w:id="215"/>
      <w:bookmarkStart w:id="216" w:name="_Toc184310314"/>
      <w:bookmarkEnd w:id="216"/>
      <w:bookmarkStart w:id="217" w:name="_Toc184308062"/>
      <w:bookmarkEnd w:id="217"/>
      <w:bookmarkStart w:id="218" w:name="_Toc184310301"/>
      <w:bookmarkEnd w:id="218"/>
      <w:bookmarkStart w:id="219" w:name="_Toc184310284"/>
      <w:bookmarkEnd w:id="219"/>
      <w:bookmarkStart w:id="220" w:name="_Toc184308069"/>
      <w:bookmarkEnd w:id="220"/>
      <w:bookmarkStart w:id="221" w:name="_Toc184312088"/>
      <w:bookmarkEnd w:id="221"/>
      <w:bookmarkStart w:id="222" w:name="_Toc184314477"/>
      <w:bookmarkEnd w:id="222"/>
      <w:bookmarkStart w:id="223" w:name="_Toc184308043"/>
      <w:bookmarkEnd w:id="223"/>
      <w:bookmarkStart w:id="224" w:name="_Toc184313306"/>
      <w:bookmarkEnd w:id="224"/>
      <w:bookmarkStart w:id="225" w:name="_Toc184313266"/>
      <w:bookmarkEnd w:id="225"/>
      <w:bookmarkStart w:id="226" w:name="_Toc184313277"/>
      <w:bookmarkEnd w:id="226"/>
      <w:bookmarkStart w:id="227" w:name="_Toc184308071"/>
      <w:bookmarkEnd w:id="227"/>
      <w:bookmarkStart w:id="228" w:name="_Toc184310296"/>
      <w:bookmarkEnd w:id="228"/>
      <w:bookmarkStart w:id="229" w:name="_Toc184312137"/>
      <w:bookmarkEnd w:id="229"/>
      <w:bookmarkStart w:id="230" w:name="_Toc184310277"/>
      <w:bookmarkEnd w:id="230"/>
      <w:bookmarkStart w:id="231" w:name="_Toc184308056"/>
      <w:bookmarkEnd w:id="231"/>
      <w:bookmarkStart w:id="232" w:name="_Toc184314462"/>
      <w:bookmarkEnd w:id="232"/>
      <w:bookmarkStart w:id="233" w:name="_Toc184314426"/>
      <w:bookmarkEnd w:id="233"/>
      <w:bookmarkStart w:id="234" w:name="_Toc184310339"/>
      <w:bookmarkEnd w:id="234"/>
      <w:bookmarkStart w:id="235" w:name="_Toc184314420"/>
      <w:bookmarkEnd w:id="235"/>
      <w:bookmarkStart w:id="236" w:name="_Toc184312085"/>
      <w:bookmarkEnd w:id="236"/>
      <w:bookmarkStart w:id="237" w:name="_Toc184310313"/>
      <w:bookmarkEnd w:id="237"/>
      <w:bookmarkStart w:id="238" w:name="_Toc184308084"/>
      <w:bookmarkEnd w:id="238"/>
      <w:bookmarkStart w:id="239" w:name="_Toc184312130"/>
      <w:bookmarkEnd w:id="239"/>
      <w:bookmarkStart w:id="240" w:name="_Toc184313270"/>
      <w:bookmarkEnd w:id="240"/>
      <w:bookmarkStart w:id="241" w:name="_Toc184312132"/>
      <w:bookmarkEnd w:id="241"/>
      <w:bookmarkStart w:id="242" w:name="_Toc184313279"/>
      <w:bookmarkEnd w:id="242"/>
      <w:bookmarkStart w:id="243" w:name="_Toc184313285"/>
      <w:bookmarkEnd w:id="243"/>
      <w:bookmarkStart w:id="244" w:name="_Toc184314481"/>
      <w:bookmarkEnd w:id="244"/>
      <w:bookmarkStart w:id="245" w:name="_Toc184308037"/>
      <w:bookmarkEnd w:id="245"/>
      <w:bookmarkStart w:id="246" w:name="_Toc184308105"/>
      <w:bookmarkEnd w:id="246"/>
      <w:bookmarkStart w:id="247" w:name="_Toc184314459"/>
      <w:bookmarkEnd w:id="247"/>
      <w:bookmarkStart w:id="248" w:name="_Toc184310279"/>
      <w:bookmarkEnd w:id="248"/>
      <w:bookmarkStart w:id="249" w:name="_Toc184310322"/>
      <w:bookmarkEnd w:id="249"/>
      <w:bookmarkStart w:id="250" w:name="_Toc184314438"/>
      <w:bookmarkEnd w:id="250"/>
      <w:bookmarkStart w:id="251" w:name="_Toc184310300"/>
      <w:bookmarkEnd w:id="251"/>
      <w:bookmarkStart w:id="252" w:name="_Toc184314428"/>
      <w:bookmarkEnd w:id="252"/>
      <w:bookmarkStart w:id="253" w:name="_Toc184310318"/>
      <w:bookmarkEnd w:id="253"/>
      <w:bookmarkStart w:id="254" w:name="_Toc184308036"/>
      <w:bookmarkEnd w:id="254"/>
      <w:bookmarkStart w:id="255" w:name="_Toc184313250"/>
      <w:bookmarkEnd w:id="255"/>
      <w:bookmarkStart w:id="256" w:name="_Toc184310327"/>
      <w:bookmarkEnd w:id="256"/>
      <w:bookmarkStart w:id="257" w:name="_Toc184310283"/>
      <w:bookmarkEnd w:id="257"/>
      <w:bookmarkStart w:id="258" w:name="_Toc184314413"/>
      <w:bookmarkEnd w:id="258"/>
      <w:bookmarkStart w:id="259" w:name="_Toc184310291"/>
      <w:bookmarkEnd w:id="259"/>
      <w:bookmarkStart w:id="260" w:name="_Toc184313275"/>
      <w:bookmarkEnd w:id="260"/>
      <w:bookmarkStart w:id="261" w:name="_Toc184308061"/>
      <w:bookmarkEnd w:id="261"/>
      <w:bookmarkStart w:id="262" w:name="_Toc184314416"/>
      <w:bookmarkEnd w:id="262"/>
      <w:bookmarkStart w:id="263" w:name="_Toc184310276"/>
      <w:bookmarkEnd w:id="263"/>
      <w:bookmarkStart w:id="264" w:name="_Toc184313281"/>
      <w:bookmarkEnd w:id="264"/>
      <w:bookmarkStart w:id="265" w:name="_Toc184310316"/>
      <w:bookmarkEnd w:id="265"/>
      <w:bookmarkStart w:id="266" w:name="_Toc184314468"/>
      <w:bookmarkEnd w:id="266"/>
      <w:bookmarkStart w:id="267" w:name="_Toc184314432"/>
      <w:bookmarkEnd w:id="267"/>
      <w:bookmarkStart w:id="268" w:name="_Toc184314436"/>
      <w:bookmarkEnd w:id="268"/>
      <w:bookmarkStart w:id="269" w:name="_Toc184310289"/>
      <w:bookmarkEnd w:id="269"/>
      <w:bookmarkStart w:id="270" w:name="_Toc184313284"/>
      <w:bookmarkEnd w:id="270"/>
      <w:bookmarkStart w:id="271" w:name="_Toc184313280"/>
      <w:bookmarkEnd w:id="271"/>
      <w:bookmarkStart w:id="272" w:name="_Toc184312124"/>
      <w:bookmarkEnd w:id="272"/>
      <w:bookmarkStart w:id="273" w:name="_Toc184310302"/>
      <w:bookmarkEnd w:id="273"/>
      <w:bookmarkStart w:id="274" w:name="_Toc184313291"/>
      <w:bookmarkEnd w:id="274"/>
      <w:bookmarkStart w:id="275" w:name="_Toc184313249"/>
      <w:bookmarkEnd w:id="275"/>
      <w:bookmarkStart w:id="276" w:name="_Toc184314439"/>
      <w:bookmarkEnd w:id="276"/>
      <w:bookmarkStart w:id="277" w:name="_Toc184312072"/>
      <w:bookmarkEnd w:id="277"/>
      <w:bookmarkStart w:id="278" w:name="_Toc184308096"/>
      <w:bookmarkEnd w:id="278"/>
      <w:bookmarkStart w:id="279" w:name="_Toc184313239"/>
      <w:bookmarkEnd w:id="279"/>
      <w:bookmarkStart w:id="280" w:name="_Toc184314415"/>
      <w:bookmarkEnd w:id="280"/>
      <w:bookmarkStart w:id="281" w:name="_Toc184314427"/>
      <w:bookmarkEnd w:id="281"/>
      <w:bookmarkStart w:id="282" w:name="_Toc184313243"/>
      <w:bookmarkEnd w:id="282"/>
      <w:bookmarkStart w:id="283" w:name="_Toc184312119"/>
      <w:bookmarkEnd w:id="283"/>
      <w:bookmarkStart w:id="284" w:name="_Toc184312115"/>
      <w:bookmarkEnd w:id="284"/>
      <w:bookmarkStart w:id="285" w:name="_Toc184313273"/>
      <w:bookmarkEnd w:id="285"/>
      <w:bookmarkStart w:id="286" w:name="_Toc184314411"/>
      <w:bookmarkEnd w:id="286"/>
      <w:bookmarkStart w:id="287" w:name="_Toc184312122"/>
      <w:bookmarkEnd w:id="287"/>
      <w:bookmarkStart w:id="288" w:name="_Toc184313254"/>
      <w:bookmarkEnd w:id="288"/>
      <w:bookmarkStart w:id="289" w:name="_Toc184313251"/>
      <w:bookmarkEnd w:id="289"/>
      <w:bookmarkStart w:id="290" w:name="_Toc184308040"/>
      <w:bookmarkEnd w:id="290"/>
      <w:bookmarkStart w:id="291" w:name="_Toc184310305"/>
      <w:bookmarkEnd w:id="291"/>
      <w:bookmarkStart w:id="292" w:name="_Toc184313300"/>
      <w:bookmarkEnd w:id="292"/>
      <w:bookmarkStart w:id="293" w:name="_Toc184314442"/>
      <w:bookmarkEnd w:id="293"/>
      <w:bookmarkStart w:id="294" w:name="_Toc184314410"/>
      <w:bookmarkEnd w:id="294"/>
      <w:bookmarkStart w:id="295" w:name="_Toc184308070"/>
      <w:bookmarkEnd w:id="295"/>
      <w:bookmarkStart w:id="296" w:name="_Toc184308085"/>
      <w:bookmarkEnd w:id="296"/>
      <w:bookmarkStart w:id="297" w:name="_Toc184312095"/>
      <w:bookmarkEnd w:id="297"/>
      <w:bookmarkStart w:id="298" w:name="_Toc184314431"/>
      <w:bookmarkEnd w:id="298"/>
      <w:bookmarkStart w:id="299" w:name="_Toc184314414"/>
      <w:bookmarkEnd w:id="299"/>
      <w:bookmarkStart w:id="300" w:name="_Toc184310293"/>
      <w:bookmarkEnd w:id="300"/>
      <w:bookmarkStart w:id="301" w:name="_Toc184308072"/>
      <w:bookmarkEnd w:id="301"/>
      <w:bookmarkStart w:id="302" w:name="_Toc184312101"/>
      <w:bookmarkEnd w:id="302"/>
      <w:bookmarkStart w:id="303" w:name="_Toc184312081"/>
      <w:bookmarkEnd w:id="303"/>
      <w:bookmarkStart w:id="304" w:name="_Toc184312090"/>
      <w:bookmarkEnd w:id="304"/>
      <w:bookmarkStart w:id="305" w:name="_Toc184312134"/>
      <w:bookmarkEnd w:id="305"/>
      <w:bookmarkStart w:id="306" w:name="_Toc184308067"/>
      <w:bookmarkEnd w:id="306"/>
      <w:bookmarkStart w:id="307" w:name="_Toc184312087"/>
      <w:bookmarkEnd w:id="307"/>
      <w:bookmarkStart w:id="308" w:name="_Toc184308059"/>
      <w:bookmarkEnd w:id="308"/>
      <w:bookmarkStart w:id="309" w:name="_Toc184310281"/>
      <w:bookmarkEnd w:id="309"/>
      <w:bookmarkStart w:id="310" w:name="_Toc184308079"/>
      <w:bookmarkEnd w:id="310"/>
      <w:bookmarkStart w:id="311" w:name="_Toc184308048"/>
      <w:bookmarkEnd w:id="311"/>
      <w:bookmarkStart w:id="312" w:name="_Toc184310304"/>
      <w:bookmarkEnd w:id="312"/>
      <w:bookmarkStart w:id="313" w:name="_Toc184312077"/>
      <w:bookmarkEnd w:id="313"/>
      <w:bookmarkStart w:id="314" w:name="_Toc184312116"/>
      <w:bookmarkEnd w:id="314"/>
      <w:bookmarkStart w:id="315" w:name="_Toc184312136"/>
      <w:bookmarkEnd w:id="315"/>
      <w:bookmarkStart w:id="316" w:name="_Toc184314457"/>
      <w:bookmarkEnd w:id="316"/>
      <w:bookmarkStart w:id="317" w:name="_Toc184314451"/>
      <w:bookmarkEnd w:id="317"/>
      <w:bookmarkStart w:id="318" w:name="_Toc184312086"/>
      <w:bookmarkEnd w:id="318"/>
      <w:bookmarkStart w:id="319" w:name="_Toc184312113"/>
      <w:bookmarkEnd w:id="319"/>
      <w:bookmarkStart w:id="320" w:name="_Toc184313307"/>
      <w:bookmarkEnd w:id="320"/>
      <w:bookmarkStart w:id="321" w:name="_Toc184312099"/>
      <w:bookmarkEnd w:id="321"/>
      <w:bookmarkStart w:id="322" w:name="_Toc184308051"/>
      <w:bookmarkEnd w:id="322"/>
      <w:bookmarkStart w:id="323" w:name="_Toc184312071"/>
      <w:bookmarkEnd w:id="323"/>
      <w:bookmarkStart w:id="324" w:name="_Toc184308060"/>
      <w:bookmarkEnd w:id="324"/>
      <w:bookmarkStart w:id="325" w:name="_Toc184313301"/>
      <w:bookmarkEnd w:id="325"/>
      <w:bookmarkStart w:id="326" w:name="_Toc184308066"/>
      <w:bookmarkEnd w:id="326"/>
      <w:bookmarkStart w:id="327" w:name="_Toc184310274"/>
      <w:bookmarkEnd w:id="327"/>
      <w:bookmarkStart w:id="328" w:name="_Toc184313288"/>
      <w:bookmarkEnd w:id="328"/>
      <w:bookmarkStart w:id="329" w:name="_Toc184310287"/>
      <w:bookmarkEnd w:id="329"/>
      <w:bookmarkStart w:id="330" w:name="_Toc184310344"/>
      <w:bookmarkEnd w:id="330"/>
      <w:bookmarkStart w:id="331" w:name="_Toc184310321"/>
      <w:bookmarkEnd w:id="331"/>
      <w:bookmarkStart w:id="332" w:name="_Toc184308057"/>
      <w:bookmarkEnd w:id="332"/>
      <w:bookmarkStart w:id="333" w:name="_Toc184310286"/>
      <w:bookmarkEnd w:id="333"/>
      <w:bookmarkStart w:id="334" w:name="_Toc184314421"/>
      <w:bookmarkEnd w:id="334"/>
      <w:bookmarkStart w:id="335" w:name="_Toc184314449"/>
      <w:bookmarkEnd w:id="335"/>
      <w:bookmarkStart w:id="336" w:name="_Toc184308100"/>
      <w:bookmarkEnd w:id="336"/>
      <w:bookmarkStart w:id="337" w:name="_Toc184308055"/>
      <w:bookmarkEnd w:id="337"/>
      <w:bookmarkStart w:id="338" w:name="_Toc184312096"/>
      <w:bookmarkEnd w:id="338"/>
      <w:bookmarkStart w:id="339" w:name="_Toc184312068"/>
      <w:bookmarkEnd w:id="339"/>
      <w:bookmarkStart w:id="340" w:name="_Toc184312073"/>
      <w:bookmarkEnd w:id="340"/>
      <w:bookmarkStart w:id="341" w:name="_Toc184312138"/>
      <w:bookmarkEnd w:id="341"/>
      <w:bookmarkStart w:id="342" w:name="_Toc184312074"/>
      <w:bookmarkEnd w:id="342"/>
      <w:bookmarkStart w:id="343" w:name="_Toc184314435"/>
      <w:bookmarkEnd w:id="343"/>
      <w:bookmarkStart w:id="344" w:name="_Toc184312114"/>
      <w:bookmarkEnd w:id="344"/>
      <w:bookmarkStart w:id="345" w:name="_Toc184312097"/>
      <w:bookmarkEnd w:id="345"/>
      <w:bookmarkStart w:id="346" w:name="_Toc184313272"/>
      <w:bookmarkEnd w:id="346"/>
      <w:bookmarkStart w:id="347" w:name="_Toc184310306"/>
      <w:bookmarkEnd w:id="347"/>
      <w:bookmarkStart w:id="348" w:name="_Toc184313265"/>
      <w:bookmarkEnd w:id="348"/>
      <w:bookmarkStart w:id="349" w:name="_Toc184308082"/>
      <w:bookmarkEnd w:id="349"/>
      <w:bookmarkStart w:id="350" w:name="_Toc184312110"/>
      <w:bookmarkEnd w:id="350"/>
      <w:bookmarkStart w:id="351" w:name="_Toc184310303"/>
      <w:bookmarkEnd w:id="351"/>
      <w:bookmarkStart w:id="352" w:name="_Toc184314430"/>
      <w:bookmarkEnd w:id="352"/>
      <w:bookmarkStart w:id="353" w:name="_Toc184312098"/>
      <w:bookmarkEnd w:id="353"/>
      <w:bookmarkStart w:id="354" w:name="_Toc184314450"/>
      <w:bookmarkEnd w:id="354"/>
      <w:bookmarkStart w:id="355" w:name="_Toc184313256"/>
      <w:bookmarkEnd w:id="355"/>
      <w:bookmarkStart w:id="356" w:name="_Toc184312139"/>
      <w:bookmarkEnd w:id="356"/>
      <w:bookmarkStart w:id="357" w:name="_Toc184314419"/>
      <w:bookmarkEnd w:id="357"/>
      <w:bookmarkStart w:id="358" w:name="_Toc184310312"/>
      <w:bookmarkEnd w:id="358"/>
      <w:bookmarkStart w:id="359" w:name="_Toc184312126"/>
      <w:bookmarkEnd w:id="359"/>
      <w:bookmarkStart w:id="360" w:name="_Toc184313282"/>
      <w:bookmarkEnd w:id="360"/>
      <w:bookmarkStart w:id="361" w:name="_Toc184313255"/>
      <w:bookmarkEnd w:id="361"/>
      <w:bookmarkStart w:id="362" w:name="_Toc184308108"/>
      <w:bookmarkEnd w:id="362"/>
      <w:bookmarkStart w:id="363" w:name="_Toc184310275"/>
      <w:bookmarkEnd w:id="363"/>
      <w:bookmarkStart w:id="364" w:name="_Toc184312120"/>
      <w:bookmarkEnd w:id="364"/>
      <w:bookmarkStart w:id="365" w:name="_Toc184310311"/>
      <w:bookmarkEnd w:id="365"/>
      <w:bookmarkStart w:id="366" w:name="_Toc184313293"/>
      <w:bookmarkEnd w:id="366"/>
      <w:bookmarkStart w:id="367" w:name="_Toc184310332"/>
      <w:bookmarkEnd w:id="367"/>
      <w:bookmarkStart w:id="368" w:name="_Toc184310317"/>
      <w:bookmarkEnd w:id="368"/>
      <w:bookmarkStart w:id="369" w:name="_Toc184312123"/>
      <w:bookmarkEnd w:id="369"/>
      <w:bookmarkStart w:id="370" w:name="_Toc184308106"/>
      <w:bookmarkEnd w:id="370"/>
      <w:bookmarkStart w:id="371" w:name="_Toc184308083"/>
      <w:bookmarkEnd w:id="371"/>
      <w:bookmarkStart w:id="372" w:name="_Toc184310340"/>
      <w:bookmarkEnd w:id="372"/>
      <w:bookmarkStart w:id="373" w:name="_Toc184310285"/>
      <w:bookmarkEnd w:id="373"/>
      <w:bookmarkStart w:id="374" w:name="_Toc184313287"/>
      <w:bookmarkEnd w:id="374"/>
      <w:bookmarkStart w:id="375" w:name="_Toc184308042"/>
      <w:bookmarkEnd w:id="375"/>
      <w:bookmarkStart w:id="376" w:name="_Toc184314478"/>
      <w:bookmarkEnd w:id="376"/>
      <w:bookmarkStart w:id="377" w:name="_Toc184313244"/>
      <w:bookmarkEnd w:id="377"/>
      <w:bookmarkStart w:id="378" w:name="_Toc184312135"/>
      <w:bookmarkEnd w:id="378"/>
      <w:bookmarkStart w:id="379" w:name="_Toc184308065"/>
      <w:bookmarkEnd w:id="379"/>
      <w:bookmarkStart w:id="380" w:name="_Toc184308039"/>
      <w:bookmarkEnd w:id="380"/>
      <w:bookmarkStart w:id="381" w:name="_Toc184312117"/>
      <w:bookmarkEnd w:id="381"/>
      <w:bookmarkStart w:id="382" w:name="_Toc184313310"/>
      <w:bookmarkEnd w:id="382"/>
      <w:bookmarkStart w:id="383" w:name="_Toc184313298"/>
      <w:bookmarkEnd w:id="383"/>
      <w:bookmarkStart w:id="384" w:name="_Toc184310336"/>
      <w:bookmarkEnd w:id="384"/>
      <w:bookmarkStart w:id="385" w:name="_Toc184312111"/>
      <w:bookmarkEnd w:id="385"/>
      <w:bookmarkStart w:id="386" w:name="_Toc184308097"/>
      <w:bookmarkEnd w:id="386"/>
      <w:bookmarkStart w:id="387" w:name="_Toc184308087"/>
      <w:bookmarkEnd w:id="387"/>
      <w:bookmarkStart w:id="388" w:name="_Toc184310319"/>
      <w:bookmarkEnd w:id="388"/>
      <w:bookmarkStart w:id="389" w:name="_Toc184314469"/>
      <w:bookmarkEnd w:id="389"/>
      <w:bookmarkStart w:id="390" w:name="_Toc184310309"/>
      <w:bookmarkEnd w:id="390"/>
      <w:bookmarkStart w:id="391" w:name="_Toc184314434"/>
      <w:bookmarkEnd w:id="391"/>
      <w:bookmarkStart w:id="392" w:name="_Toc184308064"/>
      <w:bookmarkEnd w:id="392"/>
      <w:bookmarkStart w:id="393" w:name="_Toc184313240"/>
      <w:bookmarkEnd w:id="393"/>
      <w:bookmarkStart w:id="394" w:name="_Toc184314417"/>
      <w:bookmarkEnd w:id="394"/>
      <w:bookmarkStart w:id="395" w:name="_Toc184308044"/>
      <w:bookmarkEnd w:id="395"/>
      <w:bookmarkStart w:id="396" w:name="_Toc184308075"/>
      <w:bookmarkEnd w:id="396"/>
      <w:bookmarkStart w:id="397" w:name="_Toc184308077"/>
      <w:bookmarkEnd w:id="397"/>
      <w:bookmarkStart w:id="398" w:name="_Toc184313308"/>
      <w:bookmarkEnd w:id="398"/>
      <w:bookmarkStart w:id="399" w:name="_Toc184308104"/>
      <w:bookmarkEnd w:id="399"/>
      <w:bookmarkStart w:id="400" w:name="_Toc184310295"/>
      <w:bookmarkEnd w:id="400"/>
      <w:bookmarkStart w:id="401" w:name="_Toc184313289"/>
      <w:bookmarkEnd w:id="401"/>
      <w:bookmarkStart w:id="402" w:name="_Toc184314470"/>
      <w:bookmarkEnd w:id="402"/>
      <w:bookmarkStart w:id="403" w:name="_Toc184313305"/>
      <w:bookmarkEnd w:id="403"/>
      <w:bookmarkStart w:id="404" w:name="_Toc184314423"/>
      <w:bookmarkEnd w:id="404"/>
      <w:bookmarkStart w:id="405" w:name="_Toc184312105"/>
      <w:bookmarkEnd w:id="405"/>
      <w:bookmarkStart w:id="406" w:name="_Toc184314443"/>
      <w:bookmarkEnd w:id="406"/>
      <w:bookmarkStart w:id="407" w:name="_Toc184308090"/>
      <w:bookmarkEnd w:id="407"/>
      <w:bookmarkStart w:id="408" w:name="_Toc184314466"/>
      <w:bookmarkEnd w:id="408"/>
      <w:bookmarkStart w:id="409" w:name="_Toc184308076"/>
      <w:bookmarkEnd w:id="409"/>
      <w:bookmarkStart w:id="410" w:name="_Toc184314418"/>
      <w:bookmarkEnd w:id="410"/>
      <w:bookmarkStart w:id="411" w:name="_Toc184308041"/>
      <w:bookmarkEnd w:id="411"/>
      <w:bookmarkStart w:id="412" w:name="_Toc184314433"/>
      <w:bookmarkEnd w:id="412"/>
      <w:bookmarkStart w:id="413" w:name="_Toc184313290"/>
      <w:bookmarkEnd w:id="413"/>
      <w:bookmarkStart w:id="414" w:name="_Toc184310343"/>
      <w:bookmarkEnd w:id="414"/>
      <w:bookmarkStart w:id="415" w:name="_Toc184313246"/>
      <w:bookmarkEnd w:id="415"/>
      <w:bookmarkStart w:id="416" w:name="_Toc184310328"/>
      <w:bookmarkEnd w:id="416"/>
      <w:bookmarkStart w:id="417" w:name="_Toc184308063"/>
      <w:bookmarkEnd w:id="417"/>
      <w:bookmarkStart w:id="418" w:name="_Toc184312092"/>
      <w:bookmarkEnd w:id="418"/>
      <w:bookmarkStart w:id="419" w:name="_Toc184313294"/>
      <w:bookmarkEnd w:id="419"/>
      <w:bookmarkStart w:id="420" w:name="_Toc184308058"/>
      <w:bookmarkEnd w:id="420"/>
      <w:bookmarkStart w:id="421" w:name="_Toc184313304"/>
      <w:bookmarkEnd w:id="421"/>
      <w:bookmarkStart w:id="422" w:name="_Toc184314445"/>
      <w:bookmarkEnd w:id="422"/>
      <w:bookmarkStart w:id="423" w:name="_Toc184312091"/>
      <w:bookmarkEnd w:id="423"/>
      <w:bookmarkStart w:id="424" w:name="_Toc184313286"/>
      <w:bookmarkEnd w:id="424"/>
      <w:bookmarkStart w:id="425" w:name="_Toc184310307"/>
      <w:bookmarkEnd w:id="425"/>
      <w:bookmarkStart w:id="426" w:name="_Toc184312128"/>
      <w:bookmarkEnd w:id="426"/>
      <w:bookmarkStart w:id="427" w:name="_Toc184310310"/>
      <w:bookmarkEnd w:id="427"/>
      <w:bookmarkStart w:id="428" w:name="_Toc184313274"/>
      <w:bookmarkEnd w:id="428"/>
      <w:bookmarkStart w:id="429" w:name="_Toc184312094"/>
      <w:bookmarkEnd w:id="429"/>
      <w:r>
        <w:rPr>
          <w:rStyle w:val="79"/>
          <w:rFonts w:hint="eastAsia" w:ascii="仿宋" w:eastAsia="仿宋" w:cs="仿宋"/>
          <w:color w:val="auto"/>
          <w:highlight w:val="none"/>
        </w:rPr>
        <w:t>评审办法</w:t>
      </w:r>
    </w:p>
    <w:p>
      <w:pPr>
        <w:snapToGrid w:val="0"/>
        <w:spacing w:line="360" w:lineRule="auto"/>
        <w:jc w:val="center"/>
        <w:rPr>
          <w:rStyle w:val="79"/>
          <w:rFonts w:hint="eastAsia" w:ascii="仿宋" w:eastAsia="仿宋" w:cs="仿宋"/>
          <w:color w:val="auto"/>
          <w:highlight w:val="none"/>
        </w:rPr>
      </w:pPr>
      <w:bookmarkStart w:id="430" w:name="_Toc18180"/>
      <w:bookmarkStart w:id="431" w:name="_Toc18573"/>
      <w:r>
        <w:rPr>
          <w:rStyle w:val="79"/>
          <w:rFonts w:hint="eastAsia" w:ascii="仿宋" w:eastAsia="仿宋" w:cs="仿宋"/>
          <w:color w:val="auto"/>
          <w:highlight w:val="none"/>
        </w:rPr>
        <w:t>评审办法前附表</w:t>
      </w:r>
    </w:p>
    <w:bookmarkEnd w:id="430"/>
    <w:tbl>
      <w:tblPr>
        <w:tblStyle w:val="62"/>
        <w:tblW w:w="9319" w:type="dxa"/>
        <w:tblInd w:w="-1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722"/>
        <w:gridCol w:w="1045"/>
        <w:gridCol w:w="5823"/>
        <w:gridCol w:w="6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blHeader/>
        </w:trPr>
        <w:tc>
          <w:tcPr>
            <w:tcW w:w="1050" w:type="dxa"/>
            <w:tcBorders>
              <w:top w:val="single" w:color="auto" w:sz="4" w:space="0"/>
              <w:bottom w:val="single" w:color="auto" w:sz="4" w:space="0"/>
              <w:right w:val="single" w:color="auto" w:sz="4" w:space="0"/>
            </w:tcBorders>
            <w:noWrap w:val="0"/>
            <w:vAlign w:val="center"/>
          </w:tcPr>
          <w:p>
            <w:pPr>
              <w:jc w:val="center"/>
              <w:rPr>
                <w:rFonts w:ascii="仿宋" w:hAnsi="仿宋" w:eastAsia="仿宋" w:cs="仿宋"/>
                <w:b/>
                <w:bCs/>
                <w:color w:val="auto"/>
                <w:sz w:val="24"/>
                <w:highlight w:val="none"/>
              </w:rPr>
            </w:pPr>
            <w:bookmarkStart w:id="432" w:name="_Hlk93170489"/>
            <w:r>
              <w:rPr>
                <w:rFonts w:hint="eastAsia" w:ascii="仿宋" w:hAnsi="仿宋" w:eastAsia="仿宋" w:cs="仿宋"/>
                <w:b/>
                <w:bCs/>
                <w:color w:val="auto"/>
                <w:sz w:val="24"/>
                <w:highlight w:val="none"/>
              </w:rPr>
              <w:t>条款号</w:t>
            </w:r>
          </w:p>
        </w:tc>
        <w:tc>
          <w:tcPr>
            <w:tcW w:w="17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评审因素</w:t>
            </w:r>
          </w:p>
        </w:tc>
        <w:tc>
          <w:tcPr>
            <w:tcW w:w="650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050" w:type="dxa"/>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67"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评审办法</w:t>
            </w:r>
          </w:p>
        </w:tc>
        <w:tc>
          <w:tcPr>
            <w:tcW w:w="6502" w:type="dxa"/>
            <w:gridSpan w:val="2"/>
            <w:tcBorders>
              <w:top w:val="single" w:color="auto" w:sz="4" w:space="0"/>
              <w:left w:val="single" w:color="auto" w:sz="4" w:space="0"/>
              <w:bottom w:val="single" w:color="auto" w:sz="4" w:space="0"/>
            </w:tcBorders>
            <w:noWrap w:val="0"/>
            <w:vAlign w:val="center"/>
          </w:tcPr>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本项目采购综合评分法。综合评分法，</w:t>
            </w:r>
            <w:r>
              <w:rPr>
                <w:rFonts w:hint="eastAsia" w:ascii="仿宋" w:hAnsi="仿宋" w:eastAsia="仿宋" w:cs="仿宋"/>
                <w:color w:val="auto"/>
                <w:kern w:val="0"/>
                <w:sz w:val="24"/>
                <w:highlight w:val="none"/>
              </w:rPr>
              <w:t>是指响应文件开启后满足采购文件全部实质性要求，且按照评审因素的量化指标评审得分最高的供应商为成交候选人的评审方法。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4" w:hRule="atLeast"/>
        </w:trPr>
        <w:tc>
          <w:tcPr>
            <w:tcW w:w="1050" w:type="dxa"/>
            <w:vMerge w:val="restart"/>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1767"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▲资格审查</w:t>
            </w:r>
          </w:p>
        </w:tc>
        <w:tc>
          <w:tcPr>
            <w:tcW w:w="6502" w:type="dxa"/>
            <w:gridSpan w:val="2"/>
            <w:tcBorders>
              <w:top w:val="single" w:color="auto" w:sz="4" w:space="0"/>
              <w:left w:val="single" w:color="auto" w:sz="4" w:space="0"/>
              <w:bottom w:val="single" w:color="auto" w:sz="4" w:space="0"/>
            </w:tcBorders>
            <w:noWrap w:val="0"/>
            <w:vAlign w:val="center"/>
          </w:tcPr>
          <w:p>
            <w:pPr>
              <w:jc w:val="center"/>
              <w:rPr>
                <w:rFonts w:hint="eastAsia"/>
                <w:color w:val="auto"/>
                <w:highlight w:val="none"/>
              </w:rPr>
            </w:pPr>
            <w:r>
              <w:rPr>
                <w:rFonts w:hint="eastAsia" w:ascii="仿宋" w:hAnsi="仿宋" w:eastAsia="仿宋" w:cs="仿宋"/>
                <w:color w:val="auto"/>
                <w:sz w:val="24"/>
                <w:highlight w:val="none"/>
              </w:rPr>
              <w:t>2.1.1提供符合参加政府采购活动应当具备的一般条件的承诺函及有效的企业营业执照（或事业法人登记证书或其它工商等登记证明材料，自然人提供身份证)复制件（如为联合体，则联合体各方均应提供）；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767"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6502" w:type="dxa"/>
            <w:gridSpan w:val="2"/>
            <w:tcBorders>
              <w:top w:val="single" w:color="auto" w:sz="4" w:space="0"/>
              <w:left w:val="single" w:color="auto" w:sz="4" w:space="0"/>
              <w:bottom w:val="single" w:color="auto" w:sz="4" w:space="0"/>
            </w:tcBorders>
            <w:noWrap w:val="0"/>
            <w:vAlign w:val="center"/>
          </w:tcPr>
          <w:p>
            <w:pPr>
              <w:rPr>
                <w:rFonts w:eastAsia="仿宋"/>
                <w:color w:val="auto"/>
                <w:highlight w:val="none"/>
                <w:u w:val="single"/>
              </w:rPr>
            </w:pPr>
            <w:r>
              <w:rPr>
                <w:rFonts w:hint="eastAsia" w:ascii="仿宋" w:hAnsi="仿宋" w:eastAsia="仿宋" w:cs="仿宋"/>
                <w:color w:val="auto"/>
                <w:sz w:val="24"/>
                <w:highlight w:val="none"/>
              </w:rPr>
              <w:t>2.1.1落实政府采购政策需满足的资格审查材料：</w:t>
            </w:r>
            <w:r>
              <w:rPr>
                <w:rFonts w:hint="eastAsia" w:ascii="仿宋" w:hAnsi="仿宋" w:eastAsia="仿宋" w:cs="仿宋"/>
                <w:color w:val="auto"/>
                <w:sz w:val="24"/>
                <w:highlight w:val="none"/>
                <w:u w:val="single"/>
              </w:rPr>
              <w:t xml:space="preserve">  中小企业声明函（残疾人福利性单位声明函、监狱企业提供的相关证明材料）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767"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6502" w:type="dxa"/>
            <w:gridSpan w:val="2"/>
            <w:tcBorders>
              <w:top w:val="single" w:color="auto" w:sz="4" w:space="0"/>
              <w:left w:val="single" w:color="auto" w:sz="4" w:space="0"/>
              <w:bottom w:val="single" w:color="auto" w:sz="4" w:space="0"/>
            </w:tcBorders>
            <w:noWrap w:val="0"/>
            <w:vAlign w:val="center"/>
          </w:tcPr>
          <w:p>
            <w:pPr>
              <w:rPr>
                <w:color w:val="auto"/>
                <w:highlight w:val="none"/>
                <w:u w:val="single"/>
              </w:rPr>
            </w:pPr>
            <w:r>
              <w:rPr>
                <w:rFonts w:hint="eastAsia" w:ascii="仿宋" w:hAnsi="仿宋" w:eastAsia="仿宋" w:cs="仿宋"/>
                <w:color w:val="auto"/>
                <w:sz w:val="24"/>
                <w:highlight w:val="none"/>
              </w:rPr>
              <w:t>2.1.3本项目的特定资格要求审查材料：</w:t>
            </w:r>
            <w:r>
              <w:rPr>
                <w:rFonts w:hint="eastAsia" w:ascii="仿宋" w:hAnsi="仿宋" w:eastAsia="仿宋" w:cs="仿宋"/>
                <w:color w:val="auto"/>
                <w:sz w:val="24"/>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1050" w:type="dxa"/>
            <w:vMerge w:val="continue"/>
            <w:tcBorders>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767"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6502" w:type="dxa"/>
            <w:gridSpan w:val="2"/>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2.1.4商业信誉审查：</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对列入失信被执行人、重大税收违法案件当事人名单、政府采购严重违法失信行为记录名单的供应商，其磋商响应将作无效响应处理。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1050"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17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w:t>
            </w:r>
          </w:p>
        </w:tc>
        <w:tc>
          <w:tcPr>
            <w:tcW w:w="6502" w:type="dxa"/>
            <w:gridSpan w:val="2"/>
            <w:tcBorders>
              <w:top w:val="single" w:color="auto" w:sz="4" w:space="0"/>
              <w:left w:val="single" w:color="auto" w:sz="4" w:space="0"/>
              <w:bottom w:val="single" w:color="auto" w:sz="4" w:space="0"/>
            </w:tcBorders>
            <w:noWrap w:val="0"/>
            <w:vAlign w:val="center"/>
          </w:tcPr>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磋商小组在评审过程中根据本“第四章评审办法”2.2.1~2.2.3条款规定的符合性审查内容要求对响应文件开启时间的有效性、完整性、响应文件开启时间的响应程度审查。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050" w:type="dxa"/>
            <w:tcBorders>
              <w:top w:val="single" w:color="auto" w:sz="4" w:space="0"/>
              <w:bottom w:val="single" w:color="auto" w:sz="4" w:space="0"/>
              <w:right w:val="single" w:color="auto" w:sz="4" w:space="0"/>
            </w:tcBorders>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7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比较与评价</w:t>
            </w:r>
          </w:p>
        </w:tc>
        <w:tc>
          <w:tcPr>
            <w:tcW w:w="6502" w:type="dxa"/>
            <w:gridSpan w:val="2"/>
            <w:tcBorders>
              <w:top w:val="single" w:color="auto" w:sz="4" w:space="0"/>
              <w:left w:val="single" w:color="auto" w:sz="4" w:space="0"/>
              <w:bottom w:val="single" w:color="auto" w:sz="4" w:space="0"/>
            </w:tcBorders>
            <w:noWrap w:val="0"/>
            <w:vAlign w:val="center"/>
          </w:tcPr>
          <w:p>
            <w:pPr>
              <w:rPr>
                <w:rFonts w:hint="eastAsia"/>
                <w:color w:val="auto"/>
                <w:highlight w:val="none"/>
              </w:rPr>
            </w:pPr>
            <w:r>
              <w:rPr>
                <w:rFonts w:hint="eastAsia" w:ascii="仿宋" w:hAnsi="仿宋" w:eastAsia="仿宋" w:cs="仿宋"/>
                <w:color w:val="auto"/>
                <w:sz w:val="24"/>
                <w:highlight w:val="none"/>
              </w:rPr>
              <w:t>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1050" w:type="dxa"/>
            <w:tcBorders>
              <w:top w:val="single" w:color="auto" w:sz="4" w:space="0"/>
              <w:bottom w:val="single" w:color="auto" w:sz="4" w:space="0"/>
              <w:right w:val="single" w:color="auto" w:sz="4" w:space="0"/>
            </w:tcBorders>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2.3.1</w:t>
            </w:r>
          </w:p>
        </w:tc>
        <w:tc>
          <w:tcPr>
            <w:tcW w:w="17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分值权重构成</w:t>
            </w:r>
          </w:p>
        </w:tc>
        <w:tc>
          <w:tcPr>
            <w:tcW w:w="6502" w:type="dxa"/>
            <w:gridSpan w:val="2"/>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磋商小组将对各供应商的磋商报价、技术或服务水平、履约能力、售后服务等和业绩情况等方面进行综合评审，磋商小组各成员应当独立对每个有效供应商的响应文件开启时间进行评价、打分。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各供应商的综合得分为：最终报价得分+商务技术得分之和，总和为100分，其中：其中商务技术</w:t>
            </w:r>
            <w:r>
              <w:rPr>
                <w:rFonts w:hint="eastAsia" w:ascii="仿宋" w:hAnsi="仿宋" w:eastAsia="仿宋" w:cs="仿宋"/>
                <w:color w:val="auto"/>
                <w:sz w:val="24"/>
                <w:highlight w:val="none"/>
                <w:u w:val="single"/>
              </w:rPr>
              <w:t xml:space="preserve"> 80 </w:t>
            </w:r>
            <w:r>
              <w:rPr>
                <w:rFonts w:hint="eastAsia" w:ascii="仿宋" w:hAnsi="仿宋" w:eastAsia="仿宋" w:cs="仿宋"/>
                <w:color w:val="auto"/>
                <w:sz w:val="24"/>
                <w:highlight w:val="none"/>
              </w:rPr>
              <w:t>分（商务技术权值</w:t>
            </w:r>
            <w:r>
              <w:rPr>
                <w:rFonts w:hint="eastAsia" w:ascii="仿宋" w:hAnsi="仿宋" w:eastAsia="仿宋" w:cs="仿宋"/>
                <w:color w:val="auto"/>
                <w:sz w:val="24"/>
                <w:highlight w:val="none"/>
                <w:u w:val="single"/>
              </w:rPr>
              <w:t xml:space="preserve"> 80</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分（价格权值</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restart"/>
            <w:tcBorders>
              <w:top w:val="single" w:color="auto" w:sz="4" w:space="0"/>
              <w:right w:val="single" w:color="auto" w:sz="4" w:space="0"/>
            </w:tcBorders>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2.3.2-1</w:t>
            </w:r>
          </w:p>
        </w:tc>
        <w:tc>
          <w:tcPr>
            <w:tcW w:w="722" w:type="dxa"/>
            <w:vMerge w:val="restart"/>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商务技术评分标准</w:t>
            </w:r>
            <w:r>
              <w:rPr>
                <w:rFonts w:hint="eastAsia" w:ascii="仿宋" w:hAnsi="仿宋" w:eastAsia="仿宋" w:cs="仿宋"/>
                <w:b/>
                <w:bCs/>
                <w:color w:val="auto"/>
                <w:sz w:val="24"/>
                <w:highlight w:val="none"/>
              </w:rPr>
              <w:t>（标项一）</w:t>
            </w:r>
          </w:p>
        </w:tc>
        <w:tc>
          <w:tcPr>
            <w:tcW w:w="1045"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评审标准（分值）</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宋体" w:hAnsi="宋体" w:cs="宋体"/>
                <w:color w:val="auto"/>
                <w:szCs w:val="21"/>
                <w:highlight w:val="none"/>
              </w:rPr>
              <w:t>售后服务方案</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（1）售后服务方案，包括但不限于服务响应时间、故障解决方案，响应时间短，定期巡检，解决方案充分最高得</w:t>
            </w:r>
            <w:r>
              <w:rPr>
                <w:rFonts w:ascii="宋体" w:hAnsi="宋体" w:cs="宋体"/>
                <w:color w:val="auto"/>
                <w:szCs w:val="21"/>
                <w:highlight w:val="none"/>
              </w:rPr>
              <w:t>7-10</w:t>
            </w:r>
            <w:r>
              <w:rPr>
                <w:rFonts w:hint="eastAsia" w:ascii="宋体" w:hAnsi="宋体" w:cs="宋体"/>
                <w:color w:val="auto"/>
                <w:szCs w:val="21"/>
                <w:highlight w:val="none"/>
              </w:rPr>
              <w:t>分，响应时间一般，解决方案较合理得3</w:t>
            </w:r>
            <w:r>
              <w:rPr>
                <w:rFonts w:ascii="宋体" w:hAnsi="宋体" w:cs="宋体"/>
                <w:color w:val="auto"/>
                <w:szCs w:val="21"/>
                <w:highlight w:val="none"/>
              </w:rPr>
              <w:t>-6</w:t>
            </w:r>
            <w:r>
              <w:rPr>
                <w:rFonts w:hint="eastAsia" w:ascii="宋体" w:hAnsi="宋体" w:cs="宋体"/>
                <w:color w:val="auto"/>
                <w:szCs w:val="21"/>
                <w:highlight w:val="none"/>
              </w:rPr>
              <w:t>分，响应时间长，解决方案一般2分，响应时间长，解决方案差1分，无解决方案得0分；</w:t>
            </w:r>
          </w:p>
          <w:p>
            <w:pPr>
              <w:autoSpaceDE w:val="0"/>
              <w:autoSpaceDN w:val="0"/>
              <w:jc w:val="left"/>
              <w:rPr>
                <w:rFonts w:hint="eastAsia" w:ascii="仿宋" w:hAnsi="仿宋" w:eastAsia="仿宋" w:cs="仿宋"/>
                <w:color w:val="auto"/>
                <w:sz w:val="24"/>
                <w:highlight w:val="none"/>
              </w:rPr>
            </w:pP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w:t>
            </w:r>
            <w:r>
              <w:rPr>
                <w:rFonts w:ascii="宋体" w:hAnsi="宋体" w:cs="宋体"/>
                <w:color w:val="auto"/>
                <w:szCs w:val="21"/>
                <w:highlight w:val="none"/>
              </w:rPr>
              <w:t>10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宋体" w:hAnsi="宋体" w:cs="宋体"/>
                <w:color w:val="auto"/>
                <w:szCs w:val="21"/>
                <w:highlight w:val="none"/>
              </w:rPr>
              <w:t>项目实施方案</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auto"/>
                <w:sz w:val="24"/>
                <w:highlight w:val="none"/>
              </w:rPr>
            </w:pPr>
            <w:r>
              <w:rPr>
                <w:rFonts w:hint="eastAsia" w:ascii="宋体" w:hAnsi="宋体" w:cs="宋体"/>
                <w:color w:val="auto"/>
                <w:highlight w:val="none"/>
              </w:rPr>
              <w:t>根据投标人针对本项目提供的实施方案的科学性、合理性、规范性、可操作性等进行综合评分：</w:t>
            </w:r>
            <w:r>
              <w:rPr>
                <w:rFonts w:hint="eastAsia" w:ascii="宋体" w:hAnsi="宋体" w:cs="宋体"/>
                <w:color w:val="auto"/>
                <w:highlight w:val="none"/>
              </w:rPr>
              <w:br w:type="textWrapping"/>
            </w:r>
            <w:r>
              <w:rPr>
                <w:rFonts w:hint="eastAsia" w:ascii="宋体" w:hAnsi="宋体" w:cs="宋体"/>
                <w:color w:val="auto"/>
                <w:highlight w:val="none"/>
              </w:rPr>
              <w:t>1、测试与验收计划：</w:t>
            </w:r>
            <w:r>
              <w:rPr>
                <w:rFonts w:hint="eastAsia" w:ascii="宋体" w:hAnsi="宋体" w:cs="宋体"/>
                <w:b/>
                <w:bCs/>
                <w:color w:val="auto"/>
                <w:szCs w:val="21"/>
                <w:highlight w:val="none"/>
              </w:rPr>
              <w:t>（0-</w:t>
            </w:r>
            <w:r>
              <w:rPr>
                <w:rFonts w:ascii="宋体" w:hAnsi="宋体" w:cs="宋体"/>
                <w:b/>
                <w:bCs/>
                <w:color w:val="auto"/>
                <w:szCs w:val="21"/>
                <w:highlight w:val="none"/>
              </w:rPr>
              <w:t>3</w:t>
            </w:r>
            <w:r>
              <w:rPr>
                <w:rFonts w:hint="eastAsia" w:ascii="宋体" w:hAnsi="宋体" w:cs="宋体"/>
                <w:b/>
                <w:bCs/>
                <w:color w:val="auto"/>
                <w:szCs w:val="21"/>
                <w:highlight w:val="none"/>
              </w:rPr>
              <w:t>分）</w:t>
            </w:r>
            <w:r>
              <w:rPr>
                <w:rFonts w:hint="eastAsia" w:ascii="宋体" w:hAnsi="宋体" w:cs="宋体"/>
                <w:color w:val="auto"/>
                <w:highlight w:val="none"/>
              </w:rPr>
              <w:t>；</w:t>
            </w:r>
            <w:r>
              <w:rPr>
                <w:rFonts w:hint="eastAsia" w:ascii="宋体" w:hAnsi="宋体" w:cs="宋体"/>
                <w:color w:val="auto"/>
                <w:highlight w:val="none"/>
              </w:rPr>
              <w:br w:type="textWrapping"/>
            </w:r>
            <w:r>
              <w:rPr>
                <w:rFonts w:hint="eastAsia" w:ascii="宋体" w:hAnsi="宋体" w:cs="宋体"/>
                <w:color w:val="auto"/>
                <w:highlight w:val="none"/>
              </w:rPr>
              <w:t>2、质量保证计划和标准：</w:t>
            </w:r>
            <w:r>
              <w:rPr>
                <w:rFonts w:hint="eastAsia" w:ascii="宋体" w:hAnsi="宋体" w:cs="宋体"/>
                <w:b/>
                <w:bCs/>
                <w:color w:val="auto"/>
                <w:szCs w:val="21"/>
                <w:highlight w:val="none"/>
              </w:rPr>
              <w:t>（0-</w:t>
            </w:r>
            <w:r>
              <w:rPr>
                <w:rFonts w:ascii="宋体" w:hAnsi="宋体" w:cs="宋体"/>
                <w:b/>
                <w:bCs/>
                <w:color w:val="auto"/>
                <w:szCs w:val="21"/>
                <w:highlight w:val="none"/>
              </w:rPr>
              <w:t>3</w:t>
            </w:r>
            <w:r>
              <w:rPr>
                <w:rFonts w:hint="eastAsia" w:ascii="宋体" w:hAnsi="宋体" w:cs="宋体"/>
                <w:b/>
                <w:bCs/>
                <w:color w:val="auto"/>
                <w:szCs w:val="21"/>
                <w:highlight w:val="none"/>
              </w:rPr>
              <w:t>分）</w:t>
            </w:r>
            <w:r>
              <w:rPr>
                <w:rFonts w:hint="eastAsia" w:ascii="宋体" w:hAnsi="宋体" w:cs="宋体"/>
                <w:color w:val="auto"/>
                <w:highlight w:val="none"/>
              </w:rPr>
              <w:t>；</w:t>
            </w:r>
            <w:r>
              <w:rPr>
                <w:rFonts w:hint="eastAsia" w:ascii="宋体" w:hAnsi="宋体" w:cs="宋体"/>
                <w:color w:val="auto"/>
                <w:highlight w:val="none"/>
              </w:rPr>
              <w:br w:type="textWrapping"/>
            </w:r>
            <w:r>
              <w:rPr>
                <w:rFonts w:hint="eastAsia" w:ascii="宋体" w:hAnsi="宋体" w:cs="宋体"/>
                <w:color w:val="auto"/>
                <w:highlight w:val="none"/>
              </w:rPr>
              <w:t>3、进度计划和保证措施：</w:t>
            </w:r>
            <w:r>
              <w:rPr>
                <w:rFonts w:hint="eastAsia" w:ascii="宋体" w:hAnsi="宋体" w:cs="宋体"/>
                <w:b/>
                <w:bCs/>
                <w:color w:val="auto"/>
                <w:szCs w:val="21"/>
                <w:highlight w:val="none"/>
              </w:rPr>
              <w:t>（0-</w:t>
            </w:r>
            <w:r>
              <w:rPr>
                <w:rFonts w:ascii="宋体" w:hAnsi="宋体" w:cs="宋体"/>
                <w:b/>
                <w:bCs/>
                <w:color w:val="auto"/>
                <w:szCs w:val="21"/>
                <w:highlight w:val="none"/>
              </w:rPr>
              <w:t>3</w:t>
            </w:r>
            <w:r>
              <w:rPr>
                <w:rFonts w:hint="eastAsia" w:ascii="宋体" w:hAnsi="宋体" w:cs="宋体"/>
                <w:b/>
                <w:bCs/>
                <w:color w:val="auto"/>
                <w:szCs w:val="21"/>
                <w:highlight w:val="none"/>
              </w:rPr>
              <w:t>分）</w:t>
            </w:r>
            <w:r>
              <w:rPr>
                <w:rFonts w:hint="eastAsia" w:ascii="宋体" w:hAnsi="宋体" w:cs="宋体"/>
                <w:color w:val="auto"/>
                <w:highlight w:val="none"/>
              </w:rPr>
              <w:t>。</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w:t>
            </w:r>
            <w:r>
              <w:rPr>
                <w:rFonts w:ascii="宋体" w:hAnsi="宋体" w:cs="宋体"/>
                <w:color w:val="auto"/>
                <w:szCs w:val="21"/>
                <w:highlight w:val="none"/>
              </w:rPr>
              <w:t>9</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宋体" w:hAnsi="宋体" w:cs="宋体"/>
                <w:color w:val="auto"/>
                <w:szCs w:val="21"/>
                <w:highlight w:val="none"/>
              </w:rPr>
              <w:t>培训方案</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宋体" w:hAnsi="宋体" w:cs="宋体"/>
                <w:color w:val="auto"/>
                <w:kern w:val="0"/>
                <w:szCs w:val="21"/>
                <w:highlight w:val="none"/>
                <w:lang w:bidi="ar"/>
              </w:rPr>
              <w:t>培训方案，包括但不限于培训对象、课时安排、师资力量安排等。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1）培训方案设计合理、培训内容全面、培训方式灵活（</w:t>
            </w:r>
            <w:r>
              <w:rPr>
                <w:rFonts w:ascii="宋体" w:hAnsi="宋体" w:cs="宋体"/>
                <w:color w:val="auto"/>
                <w:kern w:val="0"/>
                <w:szCs w:val="21"/>
                <w:highlight w:val="none"/>
                <w:lang w:bidi="ar"/>
              </w:rPr>
              <w:t>6-9</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2）培训方案设计较合理、培训内容较全面、培训方式较灵活（2-</w:t>
            </w: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3）培训方案设计一般、培训内容不全面、培训方式呆板（1分）；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4）培训方案设计欠合理、培训内容混乱、无培训方式（0分）</w:t>
            </w:r>
          </w:p>
        </w:tc>
        <w:tc>
          <w:tcPr>
            <w:tcW w:w="679" w:type="dxa"/>
            <w:tcBorders>
              <w:top w:val="single" w:color="auto" w:sz="4" w:space="0"/>
              <w:left w:val="single" w:color="auto" w:sz="4" w:space="0"/>
              <w:bottom w:val="single" w:color="auto" w:sz="4" w:space="0"/>
            </w:tcBorders>
            <w:noWrap w:val="0"/>
            <w:vAlign w:val="center"/>
          </w:tcPr>
          <w:p>
            <w:pPr>
              <w:widowControl/>
              <w:jc w:val="center"/>
              <w:textAlignment w:val="center"/>
              <w:rPr>
                <w:rFonts w:hint="eastAsia" w:ascii="仿宋" w:hAnsi="仿宋" w:eastAsia="仿宋" w:cs="仿宋"/>
                <w:color w:val="auto"/>
                <w:sz w:val="24"/>
                <w:highlight w:val="none"/>
              </w:rPr>
            </w:pPr>
            <w:r>
              <w:rPr>
                <w:rFonts w:hint="eastAsia" w:ascii="宋体" w:hAnsi="宋体" w:cs="宋体"/>
                <w:color w:val="auto"/>
                <w:kern w:val="0"/>
                <w:szCs w:val="21"/>
                <w:highlight w:val="none"/>
                <w:lang w:bidi="ar"/>
              </w:rPr>
              <w:t>0-</w:t>
            </w:r>
            <w:r>
              <w:rPr>
                <w:rFonts w:ascii="宋体" w:hAnsi="宋体" w:cs="宋体"/>
                <w:color w:val="auto"/>
                <w:kern w:val="0"/>
                <w:szCs w:val="21"/>
                <w:highlight w:val="none"/>
                <w:lang w:bidi="ar"/>
              </w:rPr>
              <w:t>9</w:t>
            </w:r>
            <w:r>
              <w:rPr>
                <w:rFonts w:hint="eastAsia" w:ascii="宋体" w:hAnsi="宋体" w:cs="宋体"/>
                <w:color w:val="auto"/>
                <w:kern w:val="0"/>
                <w:szCs w:val="21"/>
                <w:highlight w:val="none"/>
                <w:lang w:bidi="ar"/>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宋体" w:hAnsi="宋体" w:cs="宋体"/>
                <w:color w:val="auto"/>
                <w:szCs w:val="21"/>
                <w:highlight w:val="none"/>
              </w:rPr>
              <w:t>投标人综合实力</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1、投标人具有ISO27001信息安全管理体系认证证书；信息技术服务管理体系认证ISO20000，、ISO9001企业质量体系认证证书,每个证书得</w:t>
            </w:r>
            <w:r>
              <w:rPr>
                <w:rFonts w:ascii="宋体" w:hAnsi="宋体" w:cs="宋体"/>
                <w:color w:val="auto"/>
                <w:szCs w:val="21"/>
                <w:highlight w:val="none"/>
              </w:rPr>
              <w:t>2</w:t>
            </w:r>
            <w:r>
              <w:rPr>
                <w:rFonts w:hint="eastAsia" w:ascii="宋体" w:hAnsi="宋体" w:cs="宋体"/>
                <w:color w:val="auto"/>
                <w:szCs w:val="21"/>
                <w:highlight w:val="none"/>
              </w:rPr>
              <w:t>分。（0-</w:t>
            </w:r>
            <w:r>
              <w:rPr>
                <w:rFonts w:ascii="宋体" w:hAnsi="宋体" w:cs="宋体"/>
                <w:color w:val="auto"/>
                <w:szCs w:val="21"/>
                <w:highlight w:val="none"/>
              </w:rPr>
              <w:t>6</w:t>
            </w:r>
            <w:r>
              <w:rPr>
                <w:rFonts w:hint="eastAsia" w:ascii="宋体" w:hAnsi="宋体" w:cs="宋体"/>
                <w:color w:val="auto"/>
                <w:szCs w:val="21"/>
                <w:highlight w:val="none"/>
              </w:rPr>
              <w:t>分）</w:t>
            </w:r>
          </w:p>
          <w:p>
            <w:pPr>
              <w:snapToGrid w:val="0"/>
              <w:rPr>
                <w:rFonts w:hint="eastAsia" w:ascii="仿宋" w:hAnsi="仿宋" w:eastAsia="新宋体" w:cs="仿宋"/>
                <w:color w:val="auto"/>
                <w:sz w:val="24"/>
                <w:highlight w:val="none"/>
              </w:rPr>
            </w:pPr>
            <w:r>
              <w:rPr>
                <w:rFonts w:hint="eastAsia" w:ascii="宋体" w:hAnsi="宋体" w:cs="宋体"/>
                <w:color w:val="auto"/>
                <w:szCs w:val="21"/>
                <w:highlight w:val="none"/>
              </w:rPr>
              <w:t xml:space="preserve"> (提供证明材料，否则不得分)</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w:t>
            </w:r>
            <w:r>
              <w:rPr>
                <w:rFonts w:ascii="宋体" w:hAnsi="宋体" w:cs="宋体"/>
                <w:color w:val="auto"/>
                <w:szCs w:val="21"/>
                <w:highlight w:val="none"/>
              </w:rPr>
              <w:t>6</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针对本次项目投入的技术人员业务素质、维修保障力量</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1、项目技术负责人需具有信息系统项目管理师（高级）证书、网络工程师（含应用）证书、IT服务项目经理(ITSS)证书。满足部分得1分，全部满足得3分，其他不得分。</w:t>
            </w:r>
            <w:r>
              <w:rPr>
                <w:rFonts w:hint="eastAsia" w:ascii="宋体" w:hAnsi="宋体" w:cs="宋体"/>
                <w:b/>
                <w:bCs/>
                <w:color w:val="auto"/>
                <w:szCs w:val="21"/>
                <w:highlight w:val="none"/>
              </w:rPr>
              <w:t>（0-3分）</w:t>
            </w:r>
          </w:p>
          <w:p>
            <w:pPr>
              <w:rPr>
                <w:rFonts w:ascii="宋体" w:hAnsi="宋体" w:cs="宋体"/>
                <w:color w:val="auto"/>
                <w:szCs w:val="21"/>
                <w:highlight w:val="none"/>
              </w:rPr>
            </w:pPr>
            <w:r>
              <w:rPr>
                <w:rFonts w:hint="eastAsia" w:ascii="宋体" w:hAnsi="宋体" w:cs="宋体"/>
                <w:color w:val="auto"/>
                <w:szCs w:val="21"/>
                <w:highlight w:val="none"/>
              </w:rPr>
              <w:t>2、信息安全负责人（一名）具有CISP信息安全专业人员证书、ISACA-CDPSE（注册数据隐私解决方案工程师）证书、CISA（国际信息系统审计师）证书、CISM（国际注册信息安全经理）证书。满足3项（含）得1分，全部满足得3分，其他不得分。</w:t>
            </w:r>
            <w:r>
              <w:rPr>
                <w:rFonts w:hint="eastAsia" w:ascii="宋体" w:hAnsi="宋体" w:cs="宋体"/>
                <w:b/>
                <w:bCs/>
                <w:color w:val="auto"/>
                <w:szCs w:val="21"/>
                <w:highlight w:val="none"/>
              </w:rPr>
              <w:t>（0-3分）</w:t>
            </w:r>
          </w:p>
          <w:p>
            <w:pPr>
              <w:rPr>
                <w:rFonts w:ascii="宋体" w:hAnsi="宋体" w:cs="宋体"/>
                <w:color w:val="auto"/>
                <w:szCs w:val="21"/>
                <w:highlight w:val="none"/>
              </w:rPr>
            </w:pPr>
            <w:r>
              <w:rPr>
                <w:rFonts w:hint="eastAsia" w:ascii="宋体" w:hAnsi="宋体" w:cs="宋体"/>
                <w:color w:val="auto"/>
                <w:szCs w:val="21"/>
                <w:highlight w:val="none"/>
              </w:rPr>
              <w:t>3、项目团队其他成员，根据专业素质、持证情况和从业经验等方面情况，综合评定打分。</w:t>
            </w:r>
            <w:r>
              <w:rPr>
                <w:rFonts w:hint="eastAsia" w:ascii="宋体" w:hAnsi="宋体" w:cs="宋体"/>
                <w:b/>
                <w:bCs/>
                <w:color w:val="auto"/>
                <w:szCs w:val="21"/>
                <w:highlight w:val="none"/>
              </w:rPr>
              <w:t>（0-2分）</w:t>
            </w:r>
          </w:p>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（以上提供相关人员证书扫描件加盖公章和在投标单位近3个月（含）以上连续缴纳的社保证明扫描件加盖公章，两者提供不全均不得分。如分公司参与投标，则总公司持有该证书也认同分公司资质）</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投标供应商同类业绩</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2019年至今同类项目业绩，具有单个业绩得1分；本项最多可得2分。（提供合同扫描件加盖公章）。</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针对各供应商的系统设计方案及本项目的实施方案的科学性、完整性、可行性以及所投各系统产品符合性</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rFonts w:hint="eastAsia"/>
                <w:color w:val="auto"/>
                <w:highlight w:val="none"/>
              </w:rPr>
              <w:t>1、投标方案整体内容合理性、规范性：方案整体内容完整全面，具有规范性，符合招标人需求最高得2分；方案整体内容基本全面，具有一定规范性，基本符合招标人需求1分；方案整体内容欠缺完整性和规范性0分。</w:t>
            </w:r>
            <w:r>
              <w:rPr>
                <w:rFonts w:hint="eastAsia" w:ascii="宋体" w:hAnsi="宋体" w:cs="宋体"/>
                <w:b/>
                <w:bCs/>
                <w:color w:val="auto"/>
                <w:szCs w:val="21"/>
                <w:highlight w:val="none"/>
              </w:rPr>
              <w:t>（0-2分）</w:t>
            </w:r>
          </w:p>
          <w:p>
            <w:pPr>
              <w:rPr>
                <w:color w:val="auto"/>
                <w:highlight w:val="none"/>
              </w:rPr>
            </w:pPr>
            <w:r>
              <w:rPr>
                <w:rFonts w:hint="eastAsia"/>
                <w:color w:val="auto"/>
                <w:highlight w:val="none"/>
              </w:rPr>
              <w:t>2、对本次项目的业务功能需求、系统功能与性能需求分析理解是否准确、合理，综合评价。</w:t>
            </w:r>
            <w:r>
              <w:rPr>
                <w:rFonts w:hint="eastAsia" w:ascii="宋体" w:hAnsi="宋体" w:cs="宋体"/>
                <w:b/>
                <w:bCs/>
                <w:color w:val="auto"/>
                <w:szCs w:val="21"/>
                <w:highlight w:val="none"/>
              </w:rPr>
              <w:t>（0-</w:t>
            </w:r>
            <w:r>
              <w:rPr>
                <w:rFonts w:ascii="宋体" w:hAnsi="宋体" w:cs="宋体"/>
                <w:b/>
                <w:bCs/>
                <w:color w:val="auto"/>
                <w:szCs w:val="21"/>
                <w:highlight w:val="none"/>
              </w:rPr>
              <w:t>3</w:t>
            </w:r>
            <w:r>
              <w:rPr>
                <w:rFonts w:hint="eastAsia" w:ascii="宋体" w:hAnsi="宋体" w:cs="宋体"/>
                <w:b/>
                <w:bCs/>
                <w:color w:val="auto"/>
                <w:szCs w:val="21"/>
                <w:highlight w:val="none"/>
              </w:rPr>
              <w:t>分）</w:t>
            </w:r>
          </w:p>
          <w:p>
            <w:pPr>
              <w:rPr>
                <w:color w:val="auto"/>
                <w:highlight w:val="none"/>
              </w:rPr>
            </w:pPr>
            <w:r>
              <w:rPr>
                <w:rFonts w:hint="eastAsia"/>
                <w:color w:val="auto"/>
                <w:highlight w:val="none"/>
              </w:rPr>
              <w:t>3、对本次项目提出的项目总体设计，如系统架构、部署架构、安全架构、技术路线等方面科学性、先进性、合理性。</w:t>
            </w:r>
            <w:r>
              <w:rPr>
                <w:rFonts w:hint="eastAsia" w:ascii="宋体" w:hAnsi="宋体" w:cs="宋体"/>
                <w:b/>
                <w:bCs/>
                <w:color w:val="auto"/>
                <w:szCs w:val="21"/>
                <w:highlight w:val="none"/>
              </w:rPr>
              <w:t>（0-</w:t>
            </w:r>
            <w:r>
              <w:rPr>
                <w:rFonts w:ascii="宋体" w:hAnsi="宋体" w:cs="宋体"/>
                <w:b/>
                <w:bCs/>
                <w:color w:val="auto"/>
                <w:szCs w:val="21"/>
                <w:highlight w:val="none"/>
              </w:rPr>
              <w:t>3</w:t>
            </w:r>
            <w:r>
              <w:rPr>
                <w:rFonts w:hint="eastAsia" w:ascii="宋体" w:hAnsi="宋体" w:cs="宋体"/>
                <w:b/>
                <w:bCs/>
                <w:color w:val="auto"/>
                <w:szCs w:val="21"/>
                <w:highlight w:val="none"/>
              </w:rPr>
              <w:t>分）</w:t>
            </w:r>
          </w:p>
          <w:p>
            <w:pPr>
              <w:rPr>
                <w:color w:val="auto"/>
                <w:highlight w:val="none"/>
              </w:rPr>
            </w:pPr>
            <w:r>
              <w:rPr>
                <w:rFonts w:hint="eastAsia"/>
                <w:color w:val="auto"/>
                <w:highlight w:val="none"/>
              </w:rPr>
              <w:t>4、基于对项目的充分了解，结合对数字驾驶舱支撑管理-指标管理建设模块中数据指标管理和预警子系统建设、数字指标共享子系统建设模块是否紧扣采购人需求（结合招标需求和响应情况）等方面进行综合评价。</w:t>
            </w:r>
            <w:r>
              <w:rPr>
                <w:rFonts w:hint="eastAsia" w:ascii="宋体" w:hAnsi="宋体" w:cs="宋体"/>
                <w:b/>
                <w:bCs/>
                <w:color w:val="auto"/>
                <w:szCs w:val="21"/>
                <w:highlight w:val="none"/>
              </w:rPr>
              <w:t>（0-</w:t>
            </w:r>
            <w:r>
              <w:rPr>
                <w:rFonts w:ascii="宋体" w:hAnsi="宋体" w:cs="宋体"/>
                <w:b/>
                <w:bCs/>
                <w:color w:val="auto"/>
                <w:szCs w:val="21"/>
                <w:highlight w:val="none"/>
              </w:rPr>
              <w:t>3</w:t>
            </w:r>
            <w:r>
              <w:rPr>
                <w:rFonts w:hint="eastAsia" w:ascii="宋体" w:hAnsi="宋体" w:cs="宋体"/>
                <w:b/>
                <w:bCs/>
                <w:color w:val="auto"/>
                <w:szCs w:val="21"/>
                <w:highlight w:val="none"/>
              </w:rPr>
              <w:t>分）</w:t>
            </w:r>
          </w:p>
          <w:p>
            <w:pPr>
              <w:rPr>
                <w:color w:val="auto"/>
                <w:highlight w:val="none"/>
              </w:rPr>
            </w:pPr>
            <w:r>
              <w:rPr>
                <w:rFonts w:hint="eastAsia"/>
                <w:color w:val="auto"/>
                <w:highlight w:val="none"/>
              </w:rPr>
              <w:t>5、基于对项目的充分了解，结合对数字驾驶舱支撑管理-运营支撑服务工具包建设模块中上舱指标管理模块、展台管理模块、场景管理模块、用户授权中心模块是否紧扣采购人需求（结合招标需求和响应情况）等方面进行综合评价。（</w:t>
            </w:r>
            <w:r>
              <w:rPr>
                <w:rFonts w:hint="eastAsia" w:ascii="宋体" w:hAnsi="宋体" w:cs="宋体"/>
                <w:b/>
                <w:bCs/>
                <w:color w:val="auto"/>
                <w:szCs w:val="21"/>
                <w:highlight w:val="none"/>
              </w:rPr>
              <w:t>（0-</w:t>
            </w:r>
            <w:r>
              <w:rPr>
                <w:rFonts w:ascii="宋体" w:hAnsi="宋体" w:cs="宋体"/>
                <w:b/>
                <w:bCs/>
                <w:color w:val="auto"/>
                <w:szCs w:val="21"/>
                <w:highlight w:val="none"/>
              </w:rPr>
              <w:t>3</w:t>
            </w:r>
            <w:r>
              <w:rPr>
                <w:rFonts w:hint="eastAsia" w:ascii="宋体" w:hAnsi="宋体" w:cs="宋体"/>
                <w:b/>
                <w:bCs/>
                <w:color w:val="auto"/>
                <w:szCs w:val="21"/>
                <w:highlight w:val="none"/>
              </w:rPr>
              <w:t>分）</w:t>
            </w:r>
          </w:p>
          <w:p>
            <w:pPr>
              <w:jc w:val="left"/>
              <w:rPr>
                <w:color w:val="auto"/>
                <w:highlight w:val="none"/>
              </w:rPr>
            </w:pPr>
            <w:r>
              <w:rPr>
                <w:rFonts w:hint="eastAsia"/>
                <w:color w:val="auto"/>
                <w:highlight w:val="none"/>
              </w:rPr>
              <w:t>6、基于对项目的充分了解，结合对数字驾驶舱开发建设服务模块中业务对接和指标梳理、应用场景梳理对接服务、数据接口和指标定制开发服务、指标动态提取和分类上舱服务、市县一体化综合集成框架定制开发服务模块是否紧扣采购人需求（结合招标需求和响应情况）等方面进行综合评价。</w:t>
            </w:r>
            <w:r>
              <w:rPr>
                <w:rFonts w:hint="eastAsia" w:ascii="宋体" w:hAnsi="宋体" w:cs="宋体"/>
                <w:b/>
                <w:bCs/>
                <w:color w:val="auto"/>
                <w:szCs w:val="21"/>
                <w:highlight w:val="none"/>
              </w:rPr>
              <w:t>（0-3分）</w:t>
            </w:r>
          </w:p>
          <w:p>
            <w:pPr>
              <w:autoSpaceDE w:val="0"/>
              <w:autoSpaceDN w:val="0"/>
              <w:jc w:val="left"/>
              <w:rPr>
                <w:rFonts w:hint="eastAsia" w:ascii="宋体" w:hAnsi="宋体" w:cs="宋体"/>
                <w:color w:val="auto"/>
                <w:szCs w:val="21"/>
                <w:highlight w:val="none"/>
              </w:rPr>
            </w:pPr>
            <w:r>
              <w:rPr>
                <w:rFonts w:hint="eastAsia"/>
                <w:color w:val="auto"/>
                <w:highlight w:val="none"/>
              </w:rPr>
              <w:t>7、基于对项目的充分了解，结合对前端定制开发服务模块中数据和能力建设、八大跑道场景建设、六大在线领域模块、专业屏开发、驾驶舱建设综合集成服务模块是否紧扣采购人需求（结合招标需求和响应情况）等方面进行综合评价。</w:t>
            </w:r>
            <w:r>
              <w:rPr>
                <w:rFonts w:hint="eastAsia" w:ascii="宋体" w:hAnsi="宋体" w:cs="宋体"/>
                <w:b/>
                <w:bCs/>
                <w:color w:val="auto"/>
                <w:szCs w:val="21"/>
                <w:highlight w:val="none"/>
              </w:rPr>
              <w:t>（0-3分）</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w:t>
            </w:r>
            <w:r>
              <w:rPr>
                <w:rFonts w:ascii="宋体" w:hAnsi="宋体" w:cs="宋体"/>
                <w:color w:val="auto"/>
                <w:szCs w:val="21"/>
                <w:highlight w:val="none"/>
              </w:rPr>
              <w:t>20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功能演示</w:t>
            </w:r>
          </w:p>
        </w:tc>
        <w:tc>
          <w:tcPr>
            <w:tcW w:w="5823"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投标供应商需录制15分钟以内的视频文件用于功能的演示，满足要每项功能得2分，提供PPT形式的演示每项最高得0.5分。</w:t>
            </w:r>
            <w:r>
              <w:rPr>
                <w:rFonts w:hint="eastAsia" w:ascii="宋体" w:hAnsi="宋体" w:cs="宋体"/>
                <w:b w:val="0"/>
                <w:bCs w:val="0"/>
                <w:color w:val="auto"/>
                <w:szCs w:val="21"/>
                <w:highlight w:val="none"/>
              </w:rPr>
              <w:t>（0-</w:t>
            </w:r>
            <w:r>
              <w:rPr>
                <w:rFonts w:hint="eastAsia" w:ascii="宋体" w:hAnsi="宋体" w:cs="宋体"/>
                <w:color w:val="auto"/>
                <w:szCs w:val="21"/>
                <w:highlight w:val="none"/>
              </w:rPr>
              <w:t>16</w:t>
            </w:r>
            <w:r>
              <w:rPr>
                <w:rFonts w:hint="eastAsia" w:ascii="宋体" w:hAnsi="宋体" w:cs="宋体"/>
                <w:b w:val="0"/>
                <w:bCs w:val="0"/>
                <w:color w:val="auto"/>
                <w:szCs w:val="21"/>
                <w:highlight w:val="none"/>
              </w:rPr>
              <w:t>分）</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0-16分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restart"/>
            <w:tcBorders>
              <w:top w:val="single" w:color="auto" w:sz="4" w:space="0"/>
              <w:right w:val="single" w:color="auto" w:sz="4" w:space="0"/>
            </w:tcBorders>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2.3.2-2</w:t>
            </w:r>
          </w:p>
        </w:tc>
        <w:tc>
          <w:tcPr>
            <w:tcW w:w="722" w:type="dxa"/>
            <w:vMerge w:val="restart"/>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商务技术评分标准</w:t>
            </w:r>
            <w:r>
              <w:rPr>
                <w:rFonts w:hint="eastAsia" w:ascii="仿宋" w:hAnsi="仿宋" w:eastAsia="仿宋" w:cs="仿宋"/>
                <w:b/>
                <w:bCs/>
                <w:color w:val="auto"/>
                <w:sz w:val="24"/>
                <w:highlight w:val="none"/>
              </w:rPr>
              <w:t>（标项二）</w:t>
            </w:r>
          </w:p>
        </w:tc>
        <w:tc>
          <w:tcPr>
            <w:tcW w:w="1045" w:type="dxa"/>
            <w:tcBorders>
              <w:top w:val="single" w:color="auto" w:sz="4" w:space="0"/>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评审标准（分值）</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25"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宋体" w:hAnsi="宋体" w:cs="宋体"/>
                <w:color w:val="auto"/>
                <w:szCs w:val="21"/>
                <w:highlight w:val="none"/>
              </w:rPr>
              <w:t>售后服务方案</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（1）售后服务方案，包括但不限于服务响应时间、故障解决方案，响应时间短，定期巡检，解决方案充分最高得</w:t>
            </w:r>
            <w:r>
              <w:rPr>
                <w:rFonts w:ascii="宋体" w:hAnsi="宋体" w:cs="宋体"/>
                <w:color w:val="auto"/>
                <w:szCs w:val="21"/>
                <w:highlight w:val="none"/>
              </w:rPr>
              <w:t>5-8</w:t>
            </w:r>
            <w:r>
              <w:rPr>
                <w:rFonts w:hint="eastAsia" w:ascii="宋体" w:hAnsi="宋体" w:cs="宋体"/>
                <w:color w:val="auto"/>
                <w:szCs w:val="21"/>
                <w:highlight w:val="none"/>
              </w:rPr>
              <w:t>分，响应时间一般，解决方案较合理得3</w:t>
            </w:r>
            <w:r>
              <w:rPr>
                <w:rFonts w:ascii="宋体" w:hAnsi="宋体" w:cs="宋体"/>
                <w:color w:val="auto"/>
                <w:szCs w:val="21"/>
                <w:highlight w:val="none"/>
              </w:rPr>
              <w:t>-4</w:t>
            </w:r>
            <w:r>
              <w:rPr>
                <w:rFonts w:hint="eastAsia" w:ascii="宋体" w:hAnsi="宋体" w:cs="宋体"/>
                <w:color w:val="auto"/>
                <w:szCs w:val="21"/>
                <w:highlight w:val="none"/>
              </w:rPr>
              <w:t>分，响应时间长，解决方案一般2分，响应时间长，解决方案差1分，无解决方案得0分；</w:t>
            </w:r>
          </w:p>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w:t>
            </w:r>
          </w:p>
        </w:tc>
        <w:tc>
          <w:tcPr>
            <w:tcW w:w="679" w:type="dxa"/>
            <w:tcBorders>
              <w:top w:val="single" w:color="auto" w:sz="4" w:space="0"/>
              <w:left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宋体" w:hAnsi="宋体" w:cs="宋体"/>
                <w:color w:val="auto"/>
                <w:szCs w:val="21"/>
                <w:highlight w:val="none"/>
              </w:rPr>
              <w:t>项目实施方案</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根据投标人针对本项目提供的实施方案的科学性、合理性、规范性、可操作性等进行综合评分：</w:t>
            </w:r>
            <w:r>
              <w:rPr>
                <w:rFonts w:hint="eastAsia" w:ascii="宋体" w:hAnsi="宋体" w:cs="宋体"/>
                <w:color w:val="auto"/>
                <w:szCs w:val="21"/>
                <w:highlight w:val="none"/>
              </w:rPr>
              <w:br w:type="textWrapping"/>
            </w:r>
            <w:r>
              <w:rPr>
                <w:rFonts w:hint="eastAsia" w:ascii="宋体" w:hAnsi="宋体" w:cs="宋体"/>
                <w:color w:val="auto"/>
                <w:szCs w:val="21"/>
                <w:highlight w:val="none"/>
              </w:rPr>
              <w:t>1、测试与验收计划：</w:t>
            </w:r>
            <w:r>
              <w:rPr>
                <w:rFonts w:hint="eastAsia" w:ascii="宋体" w:hAnsi="宋体" w:cs="宋体"/>
                <w:b/>
                <w:bCs/>
                <w:color w:val="auto"/>
                <w:szCs w:val="21"/>
                <w:highlight w:val="none"/>
              </w:rPr>
              <w:t>（0-2分）</w:t>
            </w:r>
            <w:r>
              <w:rPr>
                <w:rFonts w:hint="eastAsia" w:ascii="宋体" w:hAnsi="宋体" w:cs="宋体"/>
                <w:color w:val="auto"/>
                <w:szCs w:val="21"/>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2、质量保证计划和标准：</w:t>
            </w:r>
            <w:r>
              <w:rPr>
                <w:rFonts w:hint="eastAsia" w:ascii="宋体" w:hAnsi="宋体" w:cs="宋体"/>
                <w:b/>
                <w:bCs/>
                <w:color w:val="auto"/>
                <w:szCs w:val="21"/>
                <w:highlight w:val="none"/>
              </w:rPr>
              <w:t>（0-2分）</w:t>
            </w:r>
            <w:r>
              <w:rPr>
                <w:rFonts w:hint="eastAsia" w:ascii="宋体" w:hAnsi="宋体" w:cs="宋体"/>
                <w:color w:val="auto"/>
                <w:szCs w:val="21"/>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3、进度计划和保证措施：</w:t>
            </w:r>
            <w:r>
              <w:rPr>
                <w:rFonts w:hint="eastAsia" w:ascii="宋体" w:hAnsi="宋体" w:cs="宋体"/>
                <w:b/>
                <w:bCs/>
                <w:color w:val="auto"/>
                <w:szCs w:val="21"/>
                <w:highlight w:val="none"/>
              </w:rPr>
              <w:t>（0-2分）</w:t>
            </w:r>
            <w:r>
              <w:rPr>
                <w:rFonts w:hint="eastAsia" w:ascii="宋体" w:hAnsi="宋体" w:cs="宋体"/>
                <w:color w:val="auto"/>
                <w:szCs w:val="21"/>
                <w:highlight w:val="none"/>
              </w:rPr>
              <w:t>。</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宋体" w:hAnsi="宋体" w:cs="宋体"/>
                <w:color w:val="auto"/>
                <w:szCs w:val="21"/>
                <w:highlight w:val="none"/>
              </w:rPr>
              <w:t>培训方案</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培训方案，包括但不限于培训对象、课时安排、师资力量安排等。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1）培训方案设计合理、培训内容全面、培训方式灵活（4-</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2）培训方案设计较合理、培训内容较全面、培训方式较灵活（2-3分）；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3）培训方案设计一般、培训内容不全面、培训方式呆板（1分）；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4）培训方案设计欠合理、培训内容混乱、无培训方式（0分）</w:t>
            </w:r>
          </w:p>
        </w:tc>
        <w:tc>
          <w:tcPr>
            <w:tcW w:w="679" w:type="dxa"/>
            <w:tcBorders>
              <w:top w:val="single" w:color="auto" w:sz="4" w:space="0"/>
              <w:left w:val="single" w:color="auto" w:sz="4" w:space="0"/>
              <w:bottom w:val="single" w:color="auto" w:sz="4" w:space="0"/>
            </w:tcBorders>
            <w:noWrap w:val="0"/>
            <w:vAlign w:val="center"/>
          </w:tcPr>
          <w:p>
            <w:pPr>
              <w:widowControl/>
              <w:jc w:val="center"/>
              <w:textAlignment w:val="center"/>
              <w:rPr>
                <w:rFonts w:hint="eastAsia" w:ascii="仿宋" w:hAnsi="仿宋" w:eastAsia="仿宋" w:cs="仿宋"/>
                <w:color w:val="auto"/>
                <w:sz w:val="24"/>
                <w:highlight w:val="none"/>
              </w:rPr>
            </w:pPr>
            <w:r>
              <w:rPr>
                <w:rFonts w:hint="eastAsia" w:ascii="宋体" w:hAnsi="宋体" w:cs="宋体"/>
                <w:color w:val="auto"/>
                <w:kern w:val="0"/>
                <w:szCs w:val="21"/>
                <w:highlight w:val="none"/>
                <w:lang w:bidi="ar"/>
              </w:rPr>
              <w:t>0-</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宋体" w:hAnsi="宋体" w:cs="宋体"/>
                <w:color w:val="auto"/>
                <w:szCs w:val="21"/>
                <w:highlight w:val="none"/>
              </w:rPr>
              <w:t>投标人综合实力</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1、投标人具有ISO27001信息安全管理体系认证证书；信息技术服务管理体系认证ISO20000，、ISO9001企业质量体系认证证书,每个证书得</w:t>
            </w:r>
            <w:r>
              <w:rPr>
                <w:rFonts w:ascii="宋体" w:hAnsi="宋体" w:cs="宋体"/>
                <w:color w:val="auto"/>
                <w:szCs w:val="21"/>
                <w:highlight w:val="none"/>
              </w:rPr>
              <w:t>2</w:t>
            </w:r>
            <w:r>
              <w:rPr>
                <w:rFonts w:hint="eastAsia" w:ascii="宋体" w:hAnsi="宋体" w:cs="宋体"/>
                <w:color w:val="auto"/>
                <w:szCs w:val="21"/>
                <w:highlight w:val="none"/>
              </w:rPr>
              <w:t>分。（0-</w:t>
            </w:r>
            <w:r>
              <w:rPr>
                <w:rFonts w:ascii="宋体" w:hAnsi="宋体" w:cs="宋体"/>
                <w:color w:val="auto"/>
                <w:szCs w:val="21"/>
                <w:highlight w:val="none"/>
              </w:rPr>
              <w:t>6</w:t>
            </w:r>
            <w:r>
              <w:rPr>
                <w:rFonts w:hint="eastAsia" w:ascii="宋体" w:hAnsi="宋体" w:cs="宋体"/>
                <w:color w:val="auto"/>
                <w:szCs w:val="21"/>
                <w:highlight w:val="none"/>
              </w:rPr>
              <w:t>分）</w:t>
            </w:r>
          </w:p>
          <w:p>
            <w:pPr>
              <w:snapToGrid w:val="0"/>
              <w:rPr>
                <w:rFonts w:hint="eastAsia" w:ascii="宋体" w:hAnsi="宋体" w:cs="宋体"/>
                <w:color w:val="auto"/>
                <w:szCs w:val="21"/>
                <w:highlight w:val="none"/>
              </w:rPr>
            </w:pP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w:t>
            </w:r>
            <w:r>
              <w:rPr>
                <w:rFonts w:ascii="宋体" w:hAnsi="宋体" w:cs="宋体"/>
                <w:color w:val="auto"/>
                <w:szCs w:val="21"/>
                <w:highlight w:val="none"/>
              </w:rPr>
              <w:t>6</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tcBorders>
            <w:noWrap w:val="0"/>
            <w:vAlign w:val="center"/>
          </w:tcPr>
          <w:p>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针对本次项目投入的技术人员业务素质、维修保障力量</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1、项目负责人需具有信息系统项目管理师（高级）证书、IT服务项目经理(ITSS)证书、高级软件设计师证书。满足部分得1分，全部满足得3分，其他不得分。（0-3分）</w:t>
            </w:r>
          </w:p>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2、信息安全负责人（一名）具有CISP信息安全专业人员证书、ISACA-CDPSE（注册数据隐私解决方案工程师）证书、CISA（国际信息系统审计师）证书、CISM（国际注册信息安全经理）证书。满足3项（含）得1分，全部满足得3分，其他不得分。（0-3分）</w:t>
            </w:r>
          </w:p>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3、项目团队其他成员，根据专业素质、持证情况和从业经验等方面情况，综合评定打分。（0-2分）</w:t>
            </w:r>
          </w:p>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（以上提供相关人员证书扫描件加盖公章和在投标单位近3个月（含）以上连续缴纳的社保证明扫描件加盖公章，两者提供不全均不得分。如分公司参与投标，则总公司持有该证书也认同分公司资质）</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tcBorders>
            <w:noWrap w:val="0"/>
            <w:vAlign w:val="center"/>
          </w:tcPr>
          <w:p>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投标供应商同类业绩</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宋体" w:hAnsi="宋体" w:cs="宋体"/>
                <w:color w:val="auto"/>
                <w:szCs w:val="21"/>
                <w:highlight w:val="none"/>
              </w:rPr>
            </w:pPr>
            <w:r>
              <w:rPr>
                <w:rFonts w:hint="eastAsia" w:ascii="宋体" w:hAnsi="宋体" w:cs="宋体"/>
                <w:color w:val="auto"/>
                <w:szCs w:val="21"/>
                <w:highlight w:val="none"/>
              </w:rPr>
              <w:t>2019年至今同类项目业绩，具有单个业绩得1分；本项最多可得2分。（提供合同扫描件加盖公章）。</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宋体" w:hAnsi="宋体" w:cs="宋体"/>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专业屏设计方案</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szCs w:val="21"/>
                <w:highlight w:val="none"/>
              </w:rPr>
            </w:pPr>
            <w:r>
              <w:rPr>
                <w:rFonts w:hint="eastAsia" w:ascii="宋体" w:hAnsi="宋体" w:cs="宋体"/>
                <w:color w:val="auto"/>
                <w:szCs w:val="21"/>
                <w:highlight w:val="none"/>
              </w:rPr>
              <w:t>专业屏设计稿：投标人根据招标专业屏的定制开发要求，自行选择一个专业大屏的详细功能描述，提供设计稿或效果图，专家依据招标要求对比评分：</w:t>
            </w:r>
          </w:p>
          <w:p>
            <w:pPr>
              <w:rPr>
                <w:rFonts w:hint="eastAsia" w:ascii="宋体" w:hAnsi="宋体" w:cs="宋体"/>
                <w:color w:val="auto"/>
                <w:szCs w:val="21"/>
                <w:highlight w:val="none"/>
              </w:rPr>
            </w:pPr>
            <w:r>
              <w:rPr>
                <w:rFonts w:hint="eastAsia" w:ascii="宋体" w:hAnsi="宋体" w:cs="宋体"/>
                <w:color w:val="auto"/>
                <w:szCs w:val="21"/>
                <w:highlight w:val="none"/>
              </w:rPr>
              <w:t>1）总体设计完全符合要求：15-20分；</w:t>
            </w:r>
            <w:r>
              <w:rPr>
                <w:rFonts w:hint="eastAsia" w:ascii="宋体" w:hAnsi="宋体" w:cs="宋体"/>
                <w:color w:val="auto"/>
                <w:szCs w:val="21"/>
                <w:highlight w:val="none"/>
              </w:rPr>
              <w:br w:type="textWrapping"/>
            </w:r>
            <w:r>
              <w:rPr>
                <w:rFonts w:hint="eastAsia" w:ascii="宋体" w:hAnsi="宋体" w:cs="宋体"/>
                <w:color w:val="auto"/>
                <w:szCs w:val="21"/>
                <w:highlight w:val="none"/>
              </w:rPr>
              <w:t>2）总体设计比较符合要求：10-14分；</w:t>
            </w:r>
            <w:r>
              <w:rPr>
                <w:rFonts w:hint="eastAsia" w:ascii="宋体" w:hAnsi="宋体" w:cs="宋体"/>
                <w:color w:val="auto"/>
                <w:szCs w:val="21"/>
                <w:highlight w:val="none"/>
              </w:rPr>
              <w:br w:type="textWrapping"/>
            </w:r>
            <w:r>
              <w:rPr>
                <w:rFonts w:hint="eastAsia" w:ascii="宋体" w:hAnsi="宋体" w:cs="宋体"/>
                <w:color w:val="auto"/>
                <w:szCs w:val="21"/>
                <w:highlight w:val="none"/>
              </w:rPr>
              <w:t>3）总体设计一般：5-9分；</w:t>
            </w:r>
            <w:r>
              <w:rPr>
                <w:rFonts w:hint="eastAsia" w:ascii="宋体" w:hAnsi="宋体" w:cs="宋体"/>
                <w:color w:val="auto"/>
                <w:szCs w:val="21"/>
                <w:highlight w:val="none"/>
              </w:rPr>
              <w:br w:type="textWrapping"/>
            </w:r>
            <w:r>
              <w:rPr>
                <w:rFonts w:hint="eastAsia" w:ascii="宋体" w:hAnsi="宋体" w:cs="宋体"/>
                <w:color w:val="auto"/>
                <w:szCs w:val="21"/>
                <w:highlight w:val="none"/>
              </w:rPr>
              <w:t>4）此项内容未提供或有缺项的：0-4分。</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ascii="仿宋" w:hAnsi="仿宋" w:eastAsia="仿宋" w:cs="仿宋"/>
                <w:color w:val="auto"/>
                <w:sz w:val="24"/>
                <w:highlight w:val="none"/>
              </w:rPr>
            </w:pPr>
            <w:r>
              <w:rPr>
                <w:rFonts w:hint="eastAsia" w:ascii="宋体" w:hAnsi="宋体" w:cs="宋体"/>
                <w:color w:val="auto"/>
                <w:szCs w:val="21"/>
                <w:highlight w:val="none"/>
              </w:rPr>
              <w:t>0-20分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1"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所投可视化开发工具技术要求符合性</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根据所投可视化开发工具对招标技术参数的满足程度打分，最高12分。</w:t>
            </w:r>
          </w:p>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招标文件中带★指标，每负偏离一项扣1分,扣完为止。</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ascii="仿宋" w:hAnsi="仿宋" w:eastAsia="仿宋" w:cs="仿宋"/>
                <w:color w:val="auto"/>
                <w:sz w:val="24"/>
                <w:highlight w:val="none"/>
              </w:rPr>
            </w:pPr>
            <w:r>
              <w:rPr>
                <w:rFonts w:hint="eastAsia" w:ascii="宋体" w:hAnsi="宋体" w:cs="宋体"/>
                <w:color w:val="auto"/>
                <w:szCs w:val="21"/>
                <w:highlight w:val="none"/>
              </w:rPr>
              <w:t>0-12分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22"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功能演示</w:t>
            </w:r>
          </w:p>
        </w:tc>
        <w:tc>
          <w:tcPr>
            <w:tcW w:w="5823"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投标供应商需录制15分钟以内的视频文件用于功能的演示，满足要每项功能得1分，提供PPT形式的演示每项最高得0.5分。（0-12分）</w:t>
            </w:r>
          </w:p>
        </w:tc>
        <w:tc>
          <w:tcPr>
            <w:tcW w:w="679"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0-12分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772" w:type="dxa"/>
            <w:gridSpan w:val="2"/>
            <w:vMerge w:val="restart"/>
            <w:tcBorders>
              <w:top w:val="single" w:color="auto" w:sz="4" w:space="0"/>
              <w:right w:val="single" w:color="auto" w:sz="4" w:space="0"/>
            </w:tcBorders>
            <w:noWrap w:val="0"/>
            <w:vAlign w:val="center"/>
          </w:tcPr>
          <w:p>
            <w:pPr>
              <w:jc w:val="center"/>
              <w:rPr>
                <w:rFonts w:hint="eastAsia"/>
                <w:color w:val="auto"/>
                <w:highlight w:val="none"/>
              </w:rPr>
            </w:pPr>
            <w:r>
              <w:rPr>
                <w:rFonts w:hint="eastAsia" w:ascii="仿宋" w:hAnsi="仿宋" w:eastAsia="仿宋" w:cs="仿宋"/>
                <w:color w:val="auto"/>
                <w:sz w:val="24"/>
                <w:highlight w:val="none"/>
              </w:rPr>
              <w:t>2.3.3</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报价评分标准</w:t>
            </w:r>
          </w:p>
        </w:tc>
        <w:tc>
          <w:tcPr>
            <w:tcW w:w="6502" w:type="dxa"/>
            <w:gridSpan w:val="2"/>
            <w:tcBorders>
              <w:top w:val="single" w:color="auto" w:sz="4" w:space="0"/>
              <w:left w:val="single" w:color="auto" w:sz="4" w:space="0"/>
              <w:bottom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（1）满足采购文件要求且报价最低的投标报价为评标基准价，其价格分为满分。</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（2）其他投标人的投标价格得分按以下公式计算：</w:t>
            </w:r>
          </w:p>
          <w:p>
            <w:pPr>
              <w:snapToGrid w:val="0"/>
              <w:rPr>
                <w:color w:val="auto"/>
                <w:highlight w:val="none"/>
              </w:rPr>
            </w:pPr>
            <w:r>
              <w:rPr>
                <w:rFonts w:hint="eastAsia" w:ascii="仿宋" w:hAnsi="仿宋" w:eastAsia="仿宋" w:cs="仿宋"/>
                <w:color w:val="auto"/>
                <w:sz w:val="24"/>
                <w:highlight w:val="none"/>
              </w:rPr>
              <w:t>投标报价得分=（评标基准价/</w:t>
            </w:r>
            <w:r>
              <w:rPr>
                <w:rFonts w:hint="eastAsia" w:ascii="仿宋" w:hAnsi="仿宋" w:eastAsia="仿宋" w:cs="仿宋"/>
                <w:color w:val="auto"/>
                <w:sz w:val="24"/>
                <w:highlight w:val="none"/>
                <w:lang w:val="zh-CN"/>
              </w:rPr>
              <w:t>有效投标报价</w:t>
            </w:r>
            <w:r>
              <w:rPr>
                <w:rFonts w:hint="eastAsia" w:ascii="仿宋" w:hAnsi="仿宋" w:eastAsia="仿宋" w:cs="仿宋"/>
                <w:color w:val="auto"/>
                <w:sz w:val="24"/>
                <w:highlight w:val="none"/>
              </w:rPr>
              <w:t>）× 价格权值 ×100（四舍五入，保留小数点后2位）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772" w:type="dxa"/>
            <w:gridSpan w:val="2"/>
            <w:vMerge w:val="continue"/>
            <w:tcBorders>
              <w:bottom w:val="single" w:color="auto" w:sz="4" w:space="0"/>
              <w:right w:val="single" w:color="auto" w:sz="4" w:space="0"/>
            </w:tcBorders>
            <w:noWrap w:val="0"/>
            <w:vAlign w:val="center"/>
          </w:tcPr>
          <w:p>
            <w:pPr>
              <w:jc w:val="center"/>
              <w:rPr>
                <w:rFonts w:hint="eastAsia"/>
                <w:color w:val="auto"/>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落实政府采购政策需进行的价格扣除</w:t>
            </w:r>
          </w:p>
        </w:tc>
        <w:tc>
          <w:tcPr>
            <w:tcW w:w="6502" w:type="dxa"/>
            <w:gridSpan w:val="2"/>
            <w:tcBorders>
              <w:top w:val="single" w:color="auto" w:sz="4" w:space="0"/>
              <w:left w:val="single" w:color="auto" w:sz="4" w:space="0"/>
              <w:bottom w:val="single" w:color="auto" w:sz="4" w:space="0"/>
            </w:tcBorders>
            <w:noWrap w:val="0"/>
            <w:vAlign w:val="center"/>
          </w:tcPr>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1）小微企业（含</w:t>
            </w:r>
            <w:r>
              <w:rPr>
                <w:rFonts w:hint="eastAsia" w:ascii="仿宋" w:hAnsi="仿宋" w:eastAsia="仿宋" w:cs="仿宋"/>
                <w:color w:val="auto"/>
                <w:sz w:val="24"/>
                <w:highlight w:val="none"/>
              </w:rPr>
              <w:t>监狱企业、残疾人福利性单位。</w:t>
            </w:r>
            <w:r>
              <w:rPr>
                <w:rFonts w:hint="eastAsia" w:ascii="仿宋" w:hAnsi="仿宋" w:eastAsia="仿宋" w:cs="仿宋"/>
                <w:bCs/>
                <w:color w:val="auto"/>
                <w:spacing w:val="6"/>
                <w:sz w:val="24"/>
                <w:highlight w:val="none"/>
              </w:rPr>
              <w:t>）报价扣除</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u w:val="single"/>
                <w:lang w:val="en-US" w:eastAsia="zh-CN"/>
              </w:rPr>
              <w:t>10</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%，即评标价=投标报价×</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u w:val="single"/>
                <w:lang w:val="en-US" w:eastAsia="zh-CN"/>
              </w:rPr>
              <w:t>90</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w:t>
            </w:r>
          </w:p>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2）联合体协议或者分包意向协议约定小微企业的合同份额占到合同总金额30%以上的联合体或者大中型企业报价扣除</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u w:val="single"/>
                <w:lang w:val="en-US" w:eastAsia="zh-CN"/>
              </w:rPr>
              <w:t>4</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%，即评标价=投标报价×</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u w:val="single"/>
                <w:lang w:val="en-US" w:eastAsia="zh-CN"/>
              </w:rPr>
              <w:t>96</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w:t>
            </w:r>
          </w:p>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3</w:t>
            </w:r>
            <w:r>
              <w:rPr>
                <w:rFonts w:hint="eastAsia" w:ascii="仿宋" w:hAnsi="仿宋" w:eastAsia="仿宋" w:cs="仿宋"/>
                <w:bCs/>
                <w:color w:val="auto"/>
                <w:spacing w:val="6"/>
                <w:sz w:val="24"/>
                <w:highlight w:val="none"/>
              </w:rPr>
              <w:t>）</w:t>
            </w:r>
            <w:r>
              <w:rPr>
                <w:rFonts w:hint="eastAsia" w:ascii="仿宋" w:hAnsi="仿宋" w:eastAsia="仿宋" w:cs="仿宋"/>
                <w:color w:val="auto"/>
                <w:sz w:val="24"/>
                <w:highlight w:val="none"/>
              </w:rPr>
              <w:t>价格扣除比例或者价格分加分比例对小型企业和微型企业同等对待，不作区分。小型、微型企业、监狱企业、残疾人福利性单位不重复享受价格扣除政策。</w:t>
            </w:r>
          </w:p>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4</w:t>
            </w:r>
            <w:r>
              <w:rPr>
                <w:rFonts w:hint="eastAsia" w:ascii="仿宋" w:hAnsi="仿宋" w:eastAsia="仿宋" w:cs="仿宋"/>
                <w:bCs/>
                <w:color w:val="auto"/>
                <w:spacing w:val="6"/>
                <w:sz w:val="24"/>
                <w:highlight w:val="none"/>
              </w:rPr>
              <w:t>）组成联合体或者接受分包的小微企业与联合体内其他企业、分包企业之间存在直接控股、管理关系的，不享受价格扣除优惠政策。</w:t>
            </w:r>
          </w:p>
          <w:p>
            <w:pPr>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）未提供完整证明材料的，</w:t>
            </w:r>
            <w:r>
              <w:rPr>
                <w:rFonts w:hint="eastAsia" w:ascii="仿宋" w:hAnsi="仿宋" w:eastAsia="仿宋" w:cs="仿宋"/>
                <w:bCs/>
                <w:color w:val="auto"/>
                <w:spacing w:val="6"/>
                <w:sz w:val="24"/>
                <w:highlight w:val="none"/>
              </w:rPr>
              <w:t>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9" w:hRule="atLeast"/>
        </w:trPr>
        <w:tc>
          <w:tcPr>
            <w:tcW w:w="1772" w:type="dxa"/>
            <w:gridSpan w:val="2"/>
            <w:tcBorders>
              <w:bottom w:val="single" w:color="auto" w:sz="4" w:space="0"/>
              <w:right w:val="single" w:color="auto" w:sz="4" w:space="0"/>
            </w:tcBorders>
            <w:noWrap w:val="0"/>
            <w:vAlign w:val="center"/>
          </w:tcPr>
          <w:p>
            <w:pPr>
              <w:jc w:val="center"/>
              <w:rPr>
                <w:rFonts w:hint="eastAsia"/>
                <w:color w:val="auto"/>
                <w:highlight w:val="none"/>
              </w:rPr>
            </w:pPr>
            <w:bookmarkStart w:id="433" w:name="_Toc14673"/>
            <w:r>
              <w:rPr>
                <w:rFonts w:hint="eastAsia" w:ascii="仿宋" w:hAnsi="仿宋" w:eastAsia="仿宋" w:cs="仿宋"/>
                <w:color w:val="auto"/>
                <w:sz w:val="24"/>
                <w:highlight w:val="none"/>
              </w:rPr>
              <w:t>2.3.4</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磋商原则及标准</w:t>
            </w:r>
          </w:p>
        </w:tc>
        <w:tc>
          <w:tcPr>
            <w:tcW w:w="6502" w:type="dxa"/>
            <w:gridSpan w:val="2"/>
            <w:vMerge w:val="restart"/>
            <w:tcBorders>
              <w:top w:val="single" w:color="auto" w:sz="4" w:space="0"/>
              <w:left w:val="single" w:color="auto" w:sz="4" w:space="0"/>
            </w:tcBorders>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1、磋商小组所有成员将遵循“公开、公平、公正”的原则，通过电子交易平台集中与供应商分别进行磋商，并给予所有参加磋商的供应商平等的磋商机会。</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2）如磋商小组认为竞争性磋商文件能够详细列明采购标的的技术、服务要求的，评审结束后，磋商小组可以直接对供应商进行打分评价。</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对竞争性磋商文件作出的实质性变动是磋商文件的有效组成部分，磋商小组应当及时同时通知所有参加磋商的供应商。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按照竞争性磋商文件的变动情况和磋商小组的要求重新提交磋商响应文件，并由其法定代表人或授权代表签字或者加盖公章。由授权代表签字的，应当附法定代表人授权书。供应商为自然人的，应当由本人签字并附身份证明。</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已提交磋商响应文件的供应商，在提交最后磋商报价之前，可以根据磋商情况退出磋商。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4）磋商的顺序，按供应商签到的逆顺序进行（如有需要可进行2至3次磋商），并要求供应商提交最后磋商报价。</w:t>
            </w:r>
            <w:r>
              <w:rPr>
                <w:rFonts w:hint="eastAsia" w:ascii="仿宋" w:hAnsi="仿宋" w:eastAsia="仿宋" w:cs="仿宋"/>
                <w:color w:val="auto"/>
                <w:sz w:val="24"/>
                <w:highlight w:val="none"/>
                <w:u w:val="thick"/>
              </w:rPr>
              <w:t>▲在竞争性磋商文件未做任何调整的情况下，参与磋商的供应商如有出现最后磋商报价超过磋商响应文件中初次报价的，则该供应商的最后磋商报价按无效处理。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2、评审原则和方法</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负责审查磋商响应文件是否符合竞争性磋商文件的要求，并作出评价。对于磋商响应文件中含义不明确、同类问题表述不一致或者有明显文字和计算错误的内容，磋商小组将通过“政府采购云平台”在线询标的方式要求磋商响应供应商在规定的时间内作出必要的澄清、说明或者补正。磋商小组有权决定全部或部分供应商磋商响应文件无效。</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2）磋商小组将综合分析合格供应商的各项指标，而不是以单项指标的优劣评选出成交的供应商。   </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经磋商确定最终采购需求和提交最后报价的供应商后，由磋商小组采用综合评分法对提交最后报价的供应商的磋商响应文件和最后磋商报价进行综合评分。如竞争性磋商文件所列采购内容明确不需要修改的或供应商磋商响应文件清楚明确不需要澄清的，可以不进行磋商环节，直接要求供应商进行最后报价，进行综合评分。</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本次评审采用综合评分法，磋商小组根据竞争性磋商文件制定的评审办法对供应商进行评审排序。</w:t>
            </w:r>
          </w:p>
          <w:p>
            <w:pPr>
              <w:jc w:val="left"/>
              <w:rPr>
                <w:rFonts w:hint="eastAsia"/>
                <w:color w:val="auto"/>
                <w:highlight w:val="none"/>
              </w:rPr>
            </w:pPr>
            <w:r>
              <w:rPr>
                <w:rFonts w:hint="eastAsia" w:ascii="仿宋" w:hAnsi="仿宋" w:eastAsia="仿宋" w:cs="仿宋"/>
                <w:color w:val="auto"/>
                <w:sz w:val="24"/>
                <w:highlight w:val="none"/>
              </w:rPr>
              <w:t>本次评审采用综合评分法，磋商小组根据竞争性磋商文件制定的评审办法对供应商进行评审排序。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772" w:type="dxa"/>
            <w:gridSpan w:val="2"/>
            <w:tcBorders>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6502" w:type="dxa"/>
            <w:gridSpan w:val="2"/>
            <w:vMerge w:val="continue"/>
            <w:tcBorders>
              <w:left w:val="single" w:color="auto" w:sz="4" w:space="0"/>
              <w:bottom w:val="single" w:color="auto" w:sz="4" w:space="0"/>
            </w:tcBorders>
            <w:noWrap w:val="0"/>
            <w:vAlign w:val="center"/>
          </w:tcPr>
          <w:p>
            <w:pPr>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1772" w:type="dxa"/>
            <w:gridSpan w:val="2"/>
            <w:vMerge w:val="restart"/>
            <w:tcBorders>
              <w:right w:val="single" w:color="auto" w:sz="4" w:space="0"/>
            </w:tcBorders>
            <w:noWrap w:val="0"/>
            <w:vAlign w:val="center"/>
          </w:tcPr>
          <w:p>
            <w:pPr>
              <w:pStyle w:val="2"/>
              <w:jc w:val="center"/>
              <w:rPr>
                <w:rFonts w:ascii="仿宋" w:eastAsia="仿宋" w:cs="仿宋"/>
                <w:b w:val="0"/>
                <w:bCs w:val="0"/>
                <w:color w:val="auto"/>
                <w:kern w:val="2"/>
                <w:sz w:val="24"/>
                <w:szCs w:val="24"/>
                <w:highlight w:val="none"/>
                <w:lang w:val="en-US"/>
              </w:rPr>
            </w:pPr>
            <w:r>
              <w:rPr>
                <w:rFonts w:hint="eastAsia" w:ascii="仿宋" w:eastAsia="仿宋" w:cs="仿宋"/>
                <w:b w:val="0"/>
                <w:bCs w:val="0"/>
                <w:color w:val="auto"/>
                <w:kern w:val="2"/>
                <w:sz w:val="24"/>
                <w:szCs w:val="24"/>
                <w:highlight w:val="none"/>
                <w:lang w:val="en-US"/>
              </w:rPr>
              <w:t>3</w:t>
            </w:r>
            <w:bookmarkEnd w:id="433"/>
          </w:p>
        </w:tc>
        <w:tc>
          <w:tcPr>
            <w:tcW w:w="1045"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评审结果</w:t>
            </w:r>
          </w:p>
        </w:tc>
        <w:tc>
          <w:tcPr>
            <w:tcW w:w="6502" w:type="dxa"/>
            <w:gridSpan w:val="2"/>
            <w:tcBorders>
              <w:top w:val="single" w:color="auto" w:sz="4" w:space="0"/>
              <w:left w:val="single" w:color="auto" w:sz="4" w:space="0"/>
              <w:bottom w:val="single" w:color="auto" w:sz="4" w:space="0"/>
            </w:tcBorders>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bCs/>
                <w:color w:val="auto"/>
                <w:spacing w:val="6"/>
                <w:sz w:val="24"/>
                <w:highlight w:val="none"/>
              </w:rPr>
              <w:t>按照评审得分由高到低顺序推荐3名以上成交候选供应商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1772" w:type="dxa"/>
            <w:gridSpan w:val="2"/>
            <w:vMerge w:val="continue"/>
            <w:tcBorders>
              <w:bottom w:val="single" w:color="auto" w:sz="4" w:space="0"/>
              <w:right w:val="single" w:color="auto" w:sz="4" w:space="0"/>
            </w:tcBorders>
            <w:noWrap w:val="0"/>
            <w:vAlign w:val="center"/>
          </w:tcPr>
          <w:p>
            <w:pPr>
              <w:pStyle w:val="2"/>
              <w:jc w:val="center"/>
              <w:rPr>
                <w:rFonts w:hint="eastAsia" w:ascii="仿宋" w:eastAsia="仿宋" w:cs="仿宋"/>
                <w:b w:val="0"/>
                <w:bCs w:val="0"/>
                <w:color w:val="auto"/>
                <w:kern w:val="2"/>
                <w:sz w:val="24"/>
                <w:szCs w:val="24"/>
                <w:highlight w:val="none"/>
                <w:lang w:val="en-US"/>
              </w:rPr>
            </w:pPr>
          </w:p>
        </w:tc>
        <w:tc>
          <w:tcPr>
            <w:tcW w:w="1045"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6502" w:type="dxa"/>
            <w:gridSpan w:val="2"/>
            <w:tcBorders>
              <w:top w:val="single" w:color="auto" w:sz="4" w:space="0"/>
              <w:left w:val="single" w:color="auto" w:sz="4" w:space="0"/>
              <w:bottom w:val="single" w:color="auto" w:sz="4" w:space="0"/>
            </w:tcBorders>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磋商小组按照供应商综合得分由高到低的顺序推荐；得分相同的，按磋商报价由低到高顺序排列。得分且最终报价相同的并列，响应文件开启时间满足采购文件全部实质性要求，且按照评审因素的量化指标评审得分最高的供应商为排名第一的成交候选人。</w:t>
            </w:r>
          </w:p>
        </w:tc>
      </w:tr>
    </w:tbl>
    <w:p>
      <w:pPr>
        <w:snapToGrid w:val="0"/>
        <w:spacing w:line="360" w:lineRule="auto"/>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napToGrid w:val="0"/>
        <w:spacing w:line="360" w:lineRule="auto"/>
        <w:jc w:val="left"/>
        <w:rPr>
          <w:rStyle w:val="79"/>
          <w:rFonts w:hint="eastAsia" w:ascii="仿宋" w:eastAsia="仿宋" w:cs="仿宋"/>
          <w:color w:val="auto"/>
          <w:sz w:val="24"/>
          <w:szCs w:val="24"/>
          <w:highlight w:val="none"/>
        </w:rPr>
      </w:pPr>
      <w:bookmarkStart w:id="434" w:name="_Toc55302373"/>
      <w:bookmarkStart w:id="435" w:name="_Toc63189375"/>
      <w:bookmarkStart w:id="436" w:name="_Toc26288"/>
      <w:r>
        <w:rPr>
          <w:rStyle w:val="79"/>
          <w:rFonts w:hint="eastAsia" w:ascii="仿宋" w:eastAsia="仿宋" w:cs="仿宋"/>
          <w:color w:val="auto"/>
          <w:sz w:val="24"/>
          <w:szCs w:val="24"/>
          <w:highlight w:val="none"/>
        </w:rPr>
        <w:t>1.评审方法</w:t>
      </w:r>
      <w:bookmarkEnd w:id="434"/>
      <w:bookmarkEnd w:id="435"/>
    </w:p>
    <w:bookmarkEnd w:id="436"/>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本次采用的评审办法及推荐成交候选人的人数见评审办法前附表。</w:t>
      </w:r>
    </w:p>
    <w:p>
      <w:pPr>
        <w:snapToGrid w:val="0"/>
        <w:spacing w:line="360" w:lineRule="auto"/>
        <w:jc w:val="left"/>
        <w:rPr>
          <w:rStyle w:val="79"/>
          <w:rFonts w:hint="eastAsia" w:ascii="仿宋" w:eastAsia="仿宋" w:cs="仿宋"/>
          <w:color w:val="auto"/>
          <w:sz w:val="24"/>
          <w:szCs w:val="24"/>
          <w:highlight w:val="none"/>
        </w:rPr>
      </w:pPr>
      <w:bookmarkStart w:id="437" w:name="_Toc55302374"/>
      <w:bookmarkStart w:id="438" w:name="_Toc63189376"/>
      <w:bookmarkStart w:id="439" w:name="_Toc307"/>
      <w:r>
        <w:rPr>
          <w:rStyle w:val="79"/>
          <w:rFonts w:hint="eastAsia" w:ascii="仿宋" w:eastAsia="仿宋" w:cs="仿宋"/>
          <w:color w:val="auto"/>
          <w:sz w:val="24"/>
          <w:szCs w:val="24"/>
          <w:highlight w:val="none"/>
        </w:rPr>
        <w:t>2.</w:t>
      </w:r>
      <w:bookmarkEnd w:id="437"/>
      <w:bookmarkEnd w:id="438"/>
      <w:r>
        <w:rPr>
          <w:rStyle w:val="79"/>
          <w:rFonts w:hint="eastAsia" w:ascii="仿宋" w:eastAsia="仿宋" w:cs="仿宋"/>
          <w:color w:val="auto"/>
          <w:sz w:val="24"/>
          <w:szCs w:val="24"/>
          <w:highlight w:val="none"/>
        </w:rPr>
        <w:t>评审程序及标准</w:t>
      </w:r>
    </w:p>
    <w:bookmarkEnd w:id="439"/>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响应文件开启后，采购人或采购代理机构对各供应商进行资格审查，有一项不符合以下评审标准的，响应无效：</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2.1.4商业信誉审查要求：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磋商小组对资格审查合格的供应商进行符合性审查：</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▲供应商存在下列情况之一的，响应无效</w:t>
      </w:r>
      <w:r>
        <w:rPr>
          <w:rFonts w:hint="eastAsia" w:ascii="仿宋" w:hAnsi="仿宋" w:eastAsia="仿宋" w:cs="仿宋"/>
          <w:b/>
          <w:color w:val="auto"/>
          <w:sz w:val="24"/>
          <w:highlight w:val="none"/>
        </w:rPr>
        <w:t>:</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供应商仅提交备份响应文件开启时间，没有在电子交易平台传输递交响应文件开启时间的；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（2）不具备采购文件中规定的资格要求的；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（3）响应文件开启时间未按采购文件要求签署、盖章的；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（4）明显不符合采购文件中标注“▲”且加下划线的实质性要求和条件（主要技术规格、商务技术标准或服务要求）的；</w:t>
      </w:r>
    </w:p>
    <w:p>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（5）采购人拟采购的产品属于政府强制采购的节能产品品目清单范围的，供应商未按采购文件要求提供国家确定的认证机构出具的、处于有效期之内的节能产品认证证书的；</w:t>
      </w:r>
    </w:p>
    <w:p>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（6）响应文件开启时间中承诺的磋商有效期少于采购文件中载明的磋商有效期的；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（7）响应文件开启时间实质性内容不全或关键字迹模糊无法辨认的；</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（8）最终报价超过采购预算或最高限价；</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（9）响应文件开启时间出现不是唯一的、有选择性报价的；</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（10）供应商对根据修正原则修正后的报价不确认的；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（11）响应文件开启时间有采购人不能接受的附加条件的；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（12）供应商提供虚假材料磋商响应的；</w:t>
      </w:r>
    </w:p>
    <w:p>
      <w:pPr>
        <w:snapToGrid w:val="0"/>
        <w:spacing w:line="360" w:lineRule="auto"/>
        <w:ind w:firstLine="120" w:firstLineChars="50"/>
        <w:jc w:val="left"/>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rPr>
        <w:t xml:space="preserve">   （13）商务技术文件中出现磋商报价的；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（14）报价明显低于其他通过符合性审查供应商的报价，有可能影响产品质量或者不能诚信履约的，未能按要求提供书面说明或者提交相关证明材料，不能证明其报价合理性的；</w:t>
      </w:r>
    </w:p>
    <w:p>
      <w:pPr>
        <w:spacing w:line="360" w:lineRule="auto"/>
        <w:ind w:firstLine="240" w:firstLineChars="1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（15）供应商有恶意串通、妨碍其他供应商的竞争行为、损害采购人或者其他供应商的合法权益情形的；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（16）响应文件开启时间不满足采购文件的其它实质性要求的；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bCs/>
          <w:color w:val="auto"/>
          <w:kern w:val="0"/>
          <w:sz w:val="24"/>
          <w:highlight w:val="none"/>
        </w:rPr>
        <w:t>法律、法规、规章（适用本市的）及省级以上规范性文件（适用本市的）规定的其他无效情形。</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2.2.2</w:t>
      </w:r>
      <w:r>
        <w:rPr>
          <w:rFonts w:hint="eastAsia" w:ascii="仿宋" w:hAnsi="仿宋" w:eastAsia="仿宋" w:cs="仿宋"/>
          <w:b/>
          <w:color w:val="auto"/>
          <w:sz w:val="24"/>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（1）供应商直接或者间接从采购人或者采购代理机构处获得其他供应商的相关情况并修改其响应文件开启时间的；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（2）供应商按照采购人或者采购代理机构的授意撤换、修改响应文件开启时间的；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（3）供应商之间协商报价、技术方案等响应文件开启时间或者响应文件的实质性内容；</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（4）属于同一集团、协会、商会等组织成员的供应商按照该组织要求协同参加政府采购活动；</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（5）供应商之间事先约定由某一特定供应商中标、成交；</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（6）供应商之间商定部分供应商放弃参加政府采购活动或者放弃中标、成交；</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（7）供应商与采购人或者采购代理机构之间、供应商相互之间，为谋求特定供应商中标、成交或者排斥其他供应商的其他串通行为。</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▲有下列情形之一的，视为供应商串通响应，其响应无效</w:t>
      </w:r>
      <w:r>
        <w:rPr>
          <w:rFonts w:hint="eastAsia" w:ascii="仿宋" w:hAnsi="仿宋" w:eastAsia="仿宋" w:cs="仿宋"/>
          <w:b/>
          <w:color w:val="auto"/>
          <w:sz w:val="24"/>
          <w:highlight w:val="none"/>
        </w:rPr>
        <w:t>：</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（1）不同供应商的响应文件开启时间由同一单位或者个人编制；</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（2）不同供应商委托同一单位或者个人办理磋商响应事宜；</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（3）不同供应商的响应文件开启时间载明的项目管理成员或者联系人员为同一人；</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（4）不同供应商的响应文件开启时间异常一致或者磋商报价呈规律性差异；</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（5）不同供应商的响应文件开启时间相互混装；</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2.2.4符合性审查其他要求见评审办法前附表。</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2.2.5实质上没有响应采购文件要求的磋商响应将被否决，供应商不得通过修正或撤消不合要求的偏离或保留从而使其响应成为实质上响应的磋商响应。</w:t>
      </w:r>
    </w:p>
    <w:p>
      <w:pPr>
        <w:pStyle w:val="4"/>
        <w:widowControl/>
        <w:snapToGrid w:val="0"/>
        <w:spacing w:before="0" w:after="0" w:line="360" w:lineRule="auto"/>
        <w:ind w:left="888" w:leftChars="260" w:hanging="342" w:hangingChars="142"/>
        <w:jc w:val="left"/>
        <w:rPr>
          <w:rFonts w:hint="eastAsia" w:ascii="仿宋" w:hAnsi="仿宋" w:eastAsia="仿宋" w:cs="仿宋"/>
          <w:color w:val="auto"/>
          <w:sz w:val="24"/>
          <w:szCs w:val="24"/>
          <w:highlight w:val="none"/>
        </w:rPr>
      </w:pPr>
      <w:bookmarkStart w:id="440" w:name="_Toc31606"/>
      <w:bookmarkStart w:id="441" w:name="_Toc55302377"/>
      <w:bookmarkStart w:id="442" w:name="_Toc55375024"/>
      <w:bookmarkStart w:id="443" w:name="_Toc63189379"/>
      <w:bookmarkStart w:id="444" w:name="_Toc5724"/>
      <w:r>
        <w:rPr>
          <w:rFonts w:hint="eastAsia" w:ascii="仿宋" w:hAnsi="仿宋" w:eastAsia="仿宋" w:cs="仿宋"/>
          <w:color w:val="auto"/>
          <w:sz w:val="24"/>
          <w:szCs w:val="24"/>
          <w:highlight w:val="none"/>
        </w:rPr>
        <w:t>2.3比较与评价</w:t>
      </w:r>
      <w:bookmarkEnd w:id="440"/>
    </w:p>
    <w:bookmarkEnd w:id="441"/>
    <w:bookmarkEnd w:id="442"/>
    <w:bookmarkEnd w:id="443"/>
    <w:bookmarkEnd w:id="444"/>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2.3.1分值权重构成，见评审办法前附表。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2.3.2商务技术评分标准，见评审办法前附表。</w:t>
      </w:r>
    </w:p>
    <w:p>
      <w:pPr>
        <w:pStyle w:val="24"/>
        <w:snapToGrid w:val="0"/>
        <w:ind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2.3.3报价评分标准，见评审办法前附表。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2.3.5磋商原则及标准，见评审办法前附表。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2.3.6供应商综合得分=商务技术得分+报价得分。</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2.3.7</w:t>
      </w:r>
      <w:r>
        <w:rPr>
          <w:rFonts w:hint="eastAsia" w:ascii="仿宋" w:hAnsi="仿宋" w:eastAsia="仿宋" w:cs="仿宋"/>
          <w:b/>
          <w:color w:val="auto"/>
          <w:sz w:val="24"/>
          <w:highlight w:val="none"/>
        </w:rPr>
        <w:t>磋商小组发现供应商的报价明显低于其他磋商报价，使得其磋商报价可能低于其个别成本的，应当要求该供应商作出书面说明并提供相应的证明材料。供应商不能合理说明或者不能提供相应证明材料的，磋商小组应当认定该供应商以低于成本报价竞标，并否决其磋商响应</w:t>
      </w:r>
      <w:r>
        <w:rPr>
          <w:rFonts w:hint="eastAsia" w:ascii="仿宋" w:hAnsi="仿宋" w:eastAsia="仿宋" w:cs="仿宋"/>
          <w:color w:val="auto"/>
          <w:sz w:val="24"/>
          <w:highlight w:val="none"/>
        </w:rPr>
        <w:t>。</w:t>
      </w:r>
    </w:p>
    <w:p>
      <w:pPr>
        <w:pStyle w:val="4"/>
        <w:widowControl/>
        <w:snapToGrid w:val="0"/>
        <w:spacing w:before="0" w:after="0" w:line="360" w:lineRule="auto"/>
        <w:ind w:left="0" w:firstLine="480" w:firstLineChars="200"/>
        <w:jc w:val="left"/>
        <w:rPr>
          <w:rFonts w:hint="eastAsia" w:ascii="仿宋" w:hAnsi="仿宋" w:eastAsia="仿宋" w:cs="仿宋"/>
          <w:b w:val="0"/>
          <w:color w:val="auto"/>
          <w:sz w:val="24"/>
          <w:szCs w:val="24"/>
          <w:highlight w:val="none"/>
        </w:rPr>
      </w:pPr>
      <w:bookmarkStart w:id="445" w:name="_Toc11195"/>
      <w:bookmarkStart w:id="446" w:name="_Toc55302378"/>
      <w:bookmarkStart w:id="447" w:name="_Toc63189380"/>
      <w:bookmarkStart w:id="448" w:name="_Toc55375025"/>
      <w:bookmarkStart w:id="449" w:name="_Toc5272"/>
      <w:r>
        <w:rPr>
          <w:rFonts w:hint="eastAsia" w:ascii="仿宋" w:hAnsi="仿宋" w:eastAsia="仿宋" w:cs="仿宋"/>
          <w:b w:val="0"/>
          <w:color w:val="auto"/>
          <w:sz w:val="24"/>
          <w:szCs w:val="24"/>
          <w:highlight w:val="none"/>
        </w:rPr>
        <w:t>2.4响应文件开启时间的澄清</w:t>
      </w:r>
      <w:bookmarkEnd w:id="445"/>
      <w:bookmarkEnd w:id="446"/>
      <w:bookmarkEnd w:id="447"/>
      <w:bookmarkEnd w:id="448"/>
      <w:bookmarkEnd w:id="449"/>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为有助于响应文件开启时间的审查、评价和比较，磋商小组可以在“政采云平台”在线询标或其他有效形式要求供应商对同一份响应文件开启时间含义不明确或同类问题表述不一致的内容（采购文件另有规定处理方法的除外）作必要的澄清或说明，供应商应采用在线回复或其他有效形式在询标规定时间内进行澄清或说明（需盖电子签章或实体公章）。</w:t>
      </w:r>
    </w:p>
    <w:p>
      <w:pPr>
        <w:pStyle w:val="34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2.4.2响应文件开启时间报价出现前后不一致的，按照下列规定修正：</w:t>
      </w:r>
    </w:p>
    <w:p>
      <w:pPr>
        <w:pStyle w:val="34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（1）响应文件开启时间中报价一览表(报价表)内容与响应文件开启时间中相应内容不一致的，以报价一览表(报价表)为准;</w:t>
      </w:r>
    </w:p>
    <w:p>
      <w:pPr>
        <w:pStyle w:val="34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pPr>
        <w:pStyle w:val="34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（3）单价金额小数点或者百分比有明显错位的，以报价一览表的总价为准，并修改单价;</w:t>
      </w:r>
    </w:p>
    <w:p>
      <w:pPr>
        <w:pStyle w:val="34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pPr>
        <w:pStyle w:val="34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（5）同时出现两种以上不一致的，按照上述规定的顺序修正。修正后的报价经供应商确认后产生约束力。</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2.4.3澄清、说明或补正不得超出响应文件开启时间的范围且不得改变响应文件开启时间的实质性内容，并构成响应文件开启时间的组成部分。</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2.4.4磋商小组对供应商提交的澄清、说明或补正有疑问的，可以要求供应商进一步澄清、说明或补正，直至满足磋商小组的要求。</w:t>
      </w:r>
    </w:p>
    <w:p>
      <w:pPr>
        <w:snapToGrid w:val="0"/>
        <w:spacing w:line="360" w:lineRule="auto"/>
        <w:jc w:val="left"/>
        <w:rPr>
          <w:rStyle w:val="79"/>
          <w:rFonts w:hint="eastAsia" w:ascii="仿宋" w:eastAsia="仿宋" w:cs="仿宋"/>
          <w:color w:val="auto"/>
          <w:sz w:val="24"/>
          <w:szCs w:val="24"/>
          <w:highlight w:val="none"/>
        </w:rPr>
      </w:pPr>
      <w:bookmarkStart w:id="450" w:name="_Toc63189381"/>
      <w:bookmarkStart w:id="451" w:name="_Toc55302379"/>
      <w:bookmarkStart w:id="452" w:name="_Toc11850"/>
      <w:bookmarkStart w:id="453" w:name="_Toc25603"/>
      <w:r>
        <w:rPr>
          <w:rStyle w:val="79"/>
          <w:rFonts w:hint="eastAsia" w:ascii="仿宋" w:eastAsia="仿宋" w:cs="仿宋"/>
          <w:color w:val="auto"/>
          <w:sz w:val="24"/>
          <w:szCs w:val="24"/>
          <w:highlight w:val="none"/>
        </w:rPr>
        <w:t>3.评审结果</w:t>
      </w:r>
      <w:bookmarkEnd w:id="450"/>
      <w:bookmarkEnd w:id="451"/>
      <w:bookmarkEnd w:id="452"/>
    </w:p>
    <w:bookmarkEnd w:id="453"/>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3.1采用综合评分法的，磋商小组按照供应商综合得分由高到低的顺序推荐成交候选人。</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磋商响应的，按一家供应商计算，评审后得分最高的同品牌供应商获得成交供应商推荐资格；评审得分相同的，采取随机抽取方式确定，其他同品牌供应商不作为成交候选人。</w:t>
      </w:r>
    </w:p>
    <w:p>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3.2 磋商小组完成评审后，应当向采购人提交书面评审报告和成交候选人名单。</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磋商小组根据全体评审小组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left"/>
        <w:rPr>
          <w:rStyle w:val="79"/>
          <w:rFonts w:hint="eastAsia" w:ascii="仿宋" w:eastAsia="仿宋" w:cs="仿宋"/>
          <w:color w:val="auto"/>
          <w:sz w:val="24"/>
          <w:szCs w:val="24"/>
          <w:highlight w:val="none"/>
        </w:rPr>
      </w:pPr>
      <w:bookmarkStart w:id="454" w:name="_Toc12976"/>
      <w:r>
        <w:rPr>
          <w:rStyle w:val="79"/>
          <w:rFonts w:hint="eastAsia" w:ascii="仿宋" w:eastAsia="仿宋" w:cs="仿宋"/>
          <w:color w:val="auto"/>
          <w:sz w:val="24"/>
          <w:szCs w:val="24"/>
          <w:highlight w:val="none"/>
          <w:lang w:val="en-US"/>
        </w:rPr>
        <w:t>4.</w:t>
      </w:r>
      <w:r>
        <w:rPr>
          <w:rStyle w:val="79"/>
          <w:rFonts w:hint="eastAsia" w:ascii="仿宋" w:eastAsia="仿宋" w:cs="仿宋"/>
          <w:color w:val="auto"/>
          <w:sz w:val="24"/>
          <w:szCs w:val="24"/>
          <w:highlight w:val="none"/>
        </w:rPr>
        <w:t>其他</w:t>
      </w:r>
    </w:p>
    <w:bookmarkEnd w:id="454"/>
    <w:p>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4.1废标</w:t>
      </w:r>
    </w:p>
    <w:p>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（1）符合专业条件的供应商或者对采购文件作实质响应的供应商不足3家的；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（3）供应商的报价均超过了采购预算，采购人不能支付的；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4.2修改采购文件，重新组织采购活动。</w:t>
      </w:r>
    </w:p>
    <w:p>
      <w:pPr>
        <w:pStyle w:val="25"/>
        <w:snapToGrid w:val="0"/>
        <w:spacing w:line="360" w:lineRule="auto"/>
        <w:rPr>
          <w:rFonts w:ascii="仿宋" w:hAnsi="仿宋" w:eastAsia="仿宋" w:cs="仿宋_GB2312"/>
          <w:color w:val="auto"/>
          <w:highlight w:val="none"/>
        </w:rPr>
      </w:pPr>
      <w:r>
        <w:rPr>
          <w:rFonts w:hint="eastAsia" w:ascii="仿宋" w:hAnsi="仿宋" w:eastAsia="仿宋" w:cs="仿宋"/>
          <w:color w:val="auto"/>
          <w:highlight w:val="none"/>
        </w:rPr>
        <w:t>磋商小组发现采购文件存在歧义、重大缺陷导致评审工作无法进行，或者采购文件内容违反国家有关强制性规定的，将停止评审工作，并与采购人、采购机构沟通并作书面记录。采购人、采购机构确认后，将修改采购文件，重新组织采购活动。</w:t>
      </w:r>
      <w:bookmarkEnd w:id="432"/>
    </w:p>
    <w:bookmarkEnd w:id="431"/>
    <w:p>
      <w:pPr>
        <w:pStyle w:val="25"/>
        <w:snapToGrid w:val="0"/>
        <w:spacing w:line="360" w:lineRule="auto"/>
        <w:ind w:firstLine="0" w:firstLineChars="0"/>
        <w:rPr>
          <w:rFonts w:hint="eastAsia" w:ascii="仿宋" w:hAnsi="仿宋" w:eastAsia="仿宋" w:cs="仿宋"/>
          <w:color w:val="auto"/>
          <w:highlight w:val="none"/>
        </w:rPr>
      </w:pPr>
    </w:p>
    <w:bookmarkEnd w:id="48"/>
    <w:p>
      <w:pPr>
        <w:pStyle w:val="2"/>
        <w:jc w:val="center"/>
        <w:rPr>
          <w:rFonts w:hint="eastAsia" w:ascii="仿宋" w:eastAsia="仿宋" w:cs="仿宋"/>
          <w:color w:val="auto"/>
          <w:highlight w:val="none"/>
        </w:rPr>
      </w:pPr>
      <w:bookmarkStart w:id="455" w:name="第五部分"/>
      <w:bookmarkStart w:id="456" w:name="_Toc86217003"/>
      <w:r>
        <w:rPr>
          <w:rFonts w:hint="eastAsia" w:ascii="仿宋" w:eastAsia="仿宋" w:cs="仿宋"/>
          <w:color w:val="auto"/>
          <w:highlight w:val="none"/>
        </w:rPr>
        <w:br w:type="page"/>
      </w:r>
      <w:bookmarkStart w:id="457" w:name="_Toc9682"/>
      <w:r>
        <w:rPr>
          <w:rFonts w:hint="eastAsia" w:ascii="仿宋" w:eastAsia="仿宋" w:cs="仿宋"/>
          <w:color w:val="auto"/>
          <w:highlight w:val="none"/>
        </w:rPr>
        <w:t>第五部分 拟签订的合同文本</w:t>
      </w:r>
      <w:bookmarkEnd w:id="457"/>
    </w:p>
    <w:p>
      <w:pPr>
        <w:widowControl/>
        <w:snapToGrid w:val="0"/>
        <w:spacing w:line="400" w:lineRule="exact"/>
        <w:ind w:firstLine="480" w:firstLineChars="200"/>
        <w:jc w:val="left"/>
        <w:rPr>
          <w:rFonts w:hint="eastAsia" w:ascii="仿宋" w:hAnsi="仿宋" w:eastAsia="仿宋" w:cs="宋体"/>
          <w:color w:val="auto"/>
          <w:kern w:val="0"/>
          <w:sz w:val="24"/>
          <w:highlight w:val="none"/>
        </w:rPr>
      </w:pPr>
      <w:bookmarkStart w:id="458" w:name="_Toc12650"/>
    </w:p>
    <w:p>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项目合同编号：                         密级：</w:t>
      </w:r>
    </w:p>
    <w:p>
      <w:pPr>
        <w:widowControl/>
        <w:snapToGrid w:val="0"/>
        <w:spacing w:line="400" w:lineRule="exact"/>
        <w:ind w:firstLine="480" w:firstLineChars="200"/>
        <w:jc w:val="left"/>
        <w:rPr>
          <w:rFonts w:ascii="仿宋" w:hAnsi="仿宋" w:eastAsia="仿宋" w:cs="宋体"/>
          <w:color w:val="auto"/>
          <w:kern w:val="0"/>
          <w:sz w:val="24"/>
          <w:highlight w:val="none"/>
        </w:rPr>
      </w:pPr>
    </w:p>
    <w:p>
      <w:pPr>
        <w:widowControl/>
        <w:snapToGrid w:val="0"/>
        <w:spacing w:line="400" w:lineRule="exact"/>
        <w:ind w:firstLine="480" w:firstLineChars="200"/>
        <w:jc w:val="left"/>
        <w:rPr>
          <w:rFonts w:ascii="仿宋" w:hAnsi="仿宋" w:eastAsia="仿宋" w:cs="宋体"/>
          <w:color w:val="auto"/>
          <w:kern w:val="0"/>
          <w:sz w:val="24"/>
          <w:highlight w:val="none"/>
        </w:rPr>
      </w:pPr>
    </w:p>
    <w:p>
      <w:pPr>
        <w:widowControl/>
        <w:snapToGrid w:val="0"/>
        <w:spacing w:line="400" w:lineRule="exact"/>
        <w:ind w:firstLine="480" w:firstLineChars="200"/>
        <w:jc w:val="left"/>
        <w:rPr>
          <w:rFonts w:ascii="仿宋" w:hAnsi="仿宋" w:eastAsia="仿宋" w:cs="宋体"/>
          <w:color w:val="auto"/>
          <w:kern w:val="0"/>
          <w:sz w:val="24"/>
          <w:highlight w:val="none"/>
        </w:rPr>
      </w:pPr>
    </w:p>
    <w:p>
      <w:pPr>
        <w:widowControl/>
        <w:snapToGrid w:val="0"/>
        <w:spacing w:line="400" w:lineRule="exact"/>
        <w:ind w:firstLine="480" w:firstLineChars="200"/>
        <w:jc w:val="left"/>
        <w:rPr>
          <w:rFonts w:ascii="仿宋" w:hAnsi="仿宋" w:eastAsia="仿宋" w:cs="宋体"/>
          <w:color w:val="auto"/>
          <w:kern w:val="0"/>
          <w:sz w:val="24"/>
          <w:highlight w:val="none"/>
        </w:rPr>
      </w:pPr>
    </w:p>
    <w:p>
      <w:pPr>
        <w:widowControl/>
        <w:snapToGrid w:val="0"/>
        <w:spacing w:line="400" w:lineRule="exact"/>
        <w:ind w:firstLine="480" w:firstLineChars="200"/>
        <w:jc w:val="center"/>
        <w:outlineLvl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温州市公安局科技项目</w:t>
      </w:r>
    </w:p>
    <w:p>
      <w:pPr>
        <w:widowControl/>
        <w:snapToGrid w:val="0"/>
        <w:spacing w:line="400" w:lineRule="exact"/>
        <w:ind w:firstLine="480" w:firstLineChars="200"/>
        <w:jc w:val="center"/>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采购合同</w:t>
      </w:r>
    </w:p>
    <w:p>
      <w:pPr>
        <w:widowControl/>
        <w:snapToGrid w:val="0"/>
        <w:spacing w:line="400" w:lineRule="exact"/>
        <w:ind w:firstLine="480" w:firstLineChars="200"/>
        <w:jc w:val="left"/>
        <w:rPr>
          <w:rFonts w:ascii="仿宋" w:hAnsi="仿宋" w:eastAsia="仿宋" w:cs="宋体"/>
          <w:color w:val="auto"/>
          <w:kern w:val="0"/>
          <w:sz w:val="24"/>
          <w:highlight w:val="none"/>
        </w:rPr>
      </w:pPr>
    </w:p>
    <w:p>
      <w:pPr>
        <w:widowControl/>
        <w:snapToGrid w:val="0"/>
        <w:spacing w:line="400" w:lineRule="exact"/>
        <w:ind w:firstLine="480" w:firstLineChars="200"/>
        <w:jc w:val="left"/>
        <w:rPr>
          <w:rFonts w:ascii="仿宋" w:hAnsi="仿宋" w:eastAsia="仿宋" w:cs="宋体"/>
          <w:color w:val="auto"/>
          <w:kern w:val="0"/>
          <w:sz w:val="24"/>
          <w:highlight w:val="none"/>
        </w:rPr>
      </w:pPr>
    </w:p>
    <w:p>
      <w:pPr>
        <w:widowControl/>
        <w:snapToGrid w:val="0"/>
        <w:spacing w:line="400" w:lineRule="exact"/>
        <w:ind w:firstLine="480" w:firstLineChars="200"/>
        <w:jc w:val="left"/>
        <w:outlineLvl w:val="0"/>
        <w:rPr>
          <w:rFonts w:hint="eastAsia" w:ascii="仿宋" w:hAnsi="仿宋" w:eastAsia="仿宋" w:cs="宋体"/>
          <w:color w:val="auto"/>
          <w:kern w:val="0"/>
          <w:sz w:val="24"/>
          <w:highlight w:val="none"/>
          <w:u w:val="single"/>
        </w:rPr>
      </w:pPr>
      <w:r>
        <w:rPr>
          <w:rFonts w:hint="eastAsia" w:ascii="仿宋" w:hAnsi="仿宋" w:eastAsia="仿宋" w:cs="宋体"/>
          <w:color w:val="auto"/>
          <w:kern w:val="0"/>
          <w:sz w:val="24"/>
          <w:highlight w:val="none"/>
        </w:rPr>
        <w:t>项目名称：________________________________</w:t>
      </w:r>
    </w:p>
    <w:p>
      <w:pPr>
        <w:widowControl/>
        <w:snapToGrid w:val="0"/>
        <w:spacing w:line="400" w:lineRule="exact"/>
        <w:ind w:firstLine="480" w:firstLineChars="200"/>
        <w:jc w:val="left"/>
        <w:rPr>
          <w:rFonts w:hint="eastAsia" w:ascii="仿宋" w:hAnsi="仿宋" w:eastAsia="仿宋" w:cs="宋体"/>
          <w:color w:val="auto"/>
          <w:kern w:val="0"/>
          <w:sz w:val="24"/>
          <w:highlight w:val="none"/>
          <w:u w:val="single"/>
        </w:rPr>
      </w:pPr>
    </w:p>
    <w:p>
      <w:pPr>
        <w:widowControl/>
        <w:snapToGrid w:val="0"/>
        <w:spacing w:line="400" w:lineRule="exact"/>
        <w:ind w:firstLine="480" w:firstLineChars="200"/>
        <w:jc w:val="left"/>
        <w:outlineLvl w:val="0"/>
        <w:rPr>
          <w:rFonts w:hint="eastAsia" w:ascii="仿宋" w:hAnsi="仿宋" w:eastAsia="仿宋" w:cs="宋体"/>
          <w:color w:val="auto"/>
          <w:kern w:val="0"/>
          <w:sz w:val="24"/>
          <w:highlight w:val="none"/>
          <w:u w:val="single"/>
        </w:rPr>
      </w:pPr>
      <w:r>
        <w:rPr>
          <w:rFonts w:hint="eastAsia" w:ascii="仿宋" w:hAnsi="仿宋" w:eastAsia="仿宋" w:cs="宋体"/>
          <w:color w:val="auto"/>
          <w:kern w:val="0"/>
          <w:sz w:val="24"/>
          <w:highlight w:val="none"/>
        </w:rPr>
        <w:t>甲方（盖章）：</w:t>
      </w:r>
      <w:r>
        <w:rPr>
          <w:rFonts w:hint="eastAsia" w:ascii="仿宋" w:hAnsi="仿宋" w:eastAsia="仿宋" w:cs="宋体"/>
          <w:color w:val="auto"/>
          <w:kern w:val="0"/>
          <w:sz w:val="24"/>
          <w:highlight w:val="none"/>
          <w:u w:val="single"/>
        </w:rPr>
        <w:t xml:space="preserve">       温州市公安局         </w:t>
      </w:r>
    </w:p>
    <w:p>
      <w:pPr>
        <w:widowControl/>
        <w:snapToGrid w:val="0"/>
        <w:spacing w:line="400" w:lineRule="exact"/>
        <w:ind w:firstLine="480" w:firstLineChars="200"/>
        <w:jc w:val="left"/>
        <w:outlineLvl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乙方（盖章）：____________________________</w:t>
      </w:r>
    </w:p>
    <w:p>
      <w:pPr>
        <w:widowControl/>
        <w:snapToGrid w:val="0"/>
        <w:spacing w:line="400" w:lineRule="exact"/>
        <w:ind w:firstLine="480" w:firstLineChars="200"/>
        <w:jc w:val="left"/>
        <w:outlineLvl w:val="0"/>
        <w:rPr>
          <w:rFonts w:hint="eastAsia" w:ascii="仿宋" w:hAnsi="仿宋" w:eastAsia="仿宋" w:cs="宋体"/>
          <w:color w:val="auto"/>
          <w:kern w:val="0"/>
          <w:sz w:val="24"/>
          <w:highlight w:val="none"/>
          <w:u w:val="single"/>
        </w:rPr>
      </w:pPr>
      <w:r>
        <w:rPr>
          <w:rFonts w:hint="eastAsia" w:ascii="仿宋" w:hAnsi="仿宋" w:eastAsia="仿宋" w:cs="宋体"/>
          <w:color w:val="auto"/>
          <w:kern w:val="0"/>
          <w:sz w:val="24"/>
          <w:highlight w:val="none"/>
        </w:rPr>
        <w:t>签署时间：_________________________________</w:t>
      </w:r>
    </w:p>
    <w:p>
      <w:pPr>
        <w:widowControl/>
        <w:snapToGrid w:val="0"/>
        <w:spacing w:line="400" w:lineRule="exact"/>
        <w:ind w:firstLine="480" w:firstLineChars="200"/>
        <w:jc w:val="left"/>
        <w:outlineLvl w:val="0"/>
        <w:rPr>
          <w:rFonts w:hint="eastAsia" w:ascii="仿宋" w:hAnsi="仿宋" w:eastAsia="仿宋" w:cs="宋体"/>
          <w:color w:val="auto"/>
          <w:kern w:val="0"/>
          <w:sz w:val="24"/>
          <w:highlight w:val="none"/>
          <w:u w:val="single"/>
        </w:rPr>
        <w:sectPr>
          <w:headerReference r:id="rId7" w:type="default"/>
          <w:footerReference r:id="rId8" w:type="default"/>
          <w:pgSz w:w="12240" w:h="15840"/>
          <w:pgMar w:top="1440" w:right="1800" w:bottom="1440" w:left="1800" w:header="720" w:footer="720" w:gutter="0"/>
          <w:cols w:space="720" w:num="1"/>
        </w:sectPr>
      </w:pPr>
      <w:r>
        <w:rPr>
          <w:rFonts w:hint="eastAsia" w:ascii="仿宋" w:hAnsi="仿宋" w:eastAsia="仿宋" w:cs="宋体"/>
          <w:color w:val="auto"/>
          <w:kern w:val="0"/>
          <w:sz w:val="24"/>
          <w:highlight w:val="none"/>
        </w:rPr>
        <w:t>签署地点：</w:t>
      </w:r>
      <w:r>
        <w:rPr>
          <w:rFonts w:hint="eastAsia" w:ascii="仿宋" w:hAnsi="仿宋" w:eastAsia="仿宋" w:cs="宋体"/>
          <w:color w:val="auto"/>
          <w:kern w:val="0"/>
          <w:sz w:val="24"/>
          <w:highlight w:val="none"/>
          <w:u w:val="single"/>
        </w:rPr>
        <w:t xml:space="preserve">           温州市鹿城区          </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一、</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总则</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二、</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甲方责任</w:t>
      </w:r>
    </w:p>
    <w:p>
      <w:pPr>
        <w:widowControl/>
        <w:tabs>
          <w:tab w:val="left" w:pos="720"/>
        </w:tabs>
        <w:snapToGrid w:val="0"/>
        <w:spacing w:line="400" w:lineRule="exact"/>
        <w:ind w:left="720" w:firstLine="482" w:firstLineChars="200"/>
        <w:jc w:val="left"/>
        <w:outlineLvl w:val="0"/>
        <w:rPr>
          <w:rFonts w:hint="eastAsia" w:ascii="仿宋" w:hAnsi="仿宋" w:eastAsia="仿宋" w:cs="宋体"/>
          <w:b/>
          <w:bCs/>
          <w:color w:val="auto"/>
          <w:kern w:val="0"/>
          <w:sz w:val="24"/>
          <w:highlight w:val="none"/>
        </w:rPr>
      </w:pPr>
      <w:r>
        <w:rPr>
          <w:rFonts w:ascii="仿宋" w:hAnsi="仿宋" w:eastAsia="仿宋"/>
          <w:b/>
          <w:bCs/>
          <w:color w:val="auto"/>
          <w:kern w:val="0"/>
          <w:sz w:val="24"/>
          <w:highlight w:val="none"/>
        </w:rPr>
        <w:t>三、</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乙方责任</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四、</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项目进度</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五、</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项目上线、试运行和验收</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六、</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质保期与售后服务</w:t>
      </w:r>
    </w:p>
    <w:p>
      <w:pPr>
        <w:widowControl/>
        <w:tabs>
          <w:tab w:val="left" w:pos="720"/>
        </w:tabs>
        <w:snapToGrid w:val="0"/>
        <w:spacing w:line="400" w:lineRule="exact"/>
        <w:ind w:left="720" w:firstLine="482" w:firstLineChars="200"/>
        <w:jc w:val="left"/>
        <w:outlineLvl w:val="0"/>
        <w:rPr>
          <w:rFonts w:hint="eastAsia" w:ascii="仿宋" w:hAnsi="仿宋" w:eastAsia="仿宋" w:cs="宋体"/>
          <w:b/>
          <w:bCs/>
          <w:color w:val="auto"/>
          <w:kern w:val="0"/>
          <w:sz w:val="24"/>
          <w:highlight w:val="none"/>
        </w:rPr>
      </w:pPr>
      <w:r>
        <w:rPr>
          <w:rFonts w:ascii="仿宋" w:hAnsi="仿宋" w:eastAsia="仿宋"/>
          <w:b/>
          <w:bCs/>
          <w:color w:val="auto"/>
          <w:kern w:val="0"/>
          <w:sz w:val="24"/>
          <w:highlight w:val="none"/>
        </w:rPr>
        <w:t>七、</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项目合同金额</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八、</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项目合同支付条款</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九、</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项目合同修改</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违约责任</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十一、</w:t>
      </w:r>
      <w:r>
        <w:rPr>
          <w:rFonts w:hint="eastAsia" w:ascii="仿宋" w:hAnsi="仿宋" w:eastAsia="仿宋" w:cs="宋体"/>
          <w:b/>
          <w:bCs/>
          <w:color w:val="auto"/>
          <w:kern w:val="0"/>
          <w:sz w:val="24"/>
          <w:highlight w:val="none"/>
        </w:rPr>
        <w:t>项目合同终止</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十二、</w:t>
      </w:r>
      <w:r>
        <w:rPr>
          <w:rFonts w:hint="eastAsia" w:ascii="仿宋" w:hAnsi="仿宋" w:eastAsia="仿宋" w:cs="宋体"/>
          <w:b/>
          <w:bCs/>
          <w:color w:val="auto"/>
          <w:kern w:val="0"/>
          <w:sz w:val="24"/>
          <w:highlight w:val="none"/>
        </w:rPr>
        <w:t>不可抗力</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十三、</w:t>
      </w:r>
      <w:r>
        <w:rPr>
          <w:rFonts w:hint="eastAsia" w:ascii="仿宋" w:hAnsi="仿宋" w:eastAsia="仿宋" w:cs="宋体"/>
          <w:b/>
          <w:bCs/>
          <w:color w:val="auto"/>
          <w:kern w:val="0"/>
          <w:sz w:val="24"/>
          <w:highlight w:val="none"/>
        </w:rPr>
        <w:t>项目保密</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hint="eastAsia" w:ascii="仿宋" w:hAnsi="仿宋" w:eastAsia="仿宋"/>
          <w:b/>
          <w:bCs/>
          <w:color w:val="auto"/>
          <w:kern w:val="0"/>
          <w:sz w:val="24"/>
          <w:highlight w:val="none"/>
        </w:rPr>
        <w:t>四</w:t>
      </w:r>
      <w:r>
        <w:rPr>
          <w:rFonts w:ascii="仿宋" w:hAnsi="仿宋" w:eastAsia="仿宋"/>
          <w:b/>
          <w:bCs/>
          <w:color w:val="auto"/>
          <w:kern w:val="0"/>
          <w:sz w:val="24"/>
          <w:highlight w:val="none"/>
        </w:rPr>
        <w:t>、</w:t>
      </w:r>
      <w:r>
        <w:rPr>
          <w:rFonts w:hint="eastAsia" w:ascii="仿宋" w:hAnsi="仿宋" w:eastAsia="仿宋" w:cs="宋体"/>
          <w:b/>
          <w:bCs/>
          <w:color w:val="auto"/>
          <w:kern w:val="0"/>
          <w:sz w:val="24"/>
          <w:highlight w:val="none"/>
        </w:rPr>
        <w:t>争议解决方式</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hint="eastAsia" w:ascii="仿宋" w:hAnsi="仿宋" w:eastAsia="仿宋"/>
          <w:b/>
          <w:bCs/>
          <w:color w:val="auto"/>
          <w:kern w:val="0"/>
          <w:sz w:val="24"/>
          <w:highlight w:val="none"/>
        </w:rPr>
        <w:t>五</w:t>
      </w:r>
      <w:r>
        <w:rPr>
          <w:rFonts w:ascii="仿宋" w:hAnsi="仿宋" w:eastAsia="仿宋"/>
          <w:b/>
          <w:bCs/>
          <w:color w:val="auto"/>
          <w:kern w:val="0"/>
          <w:sz w:val="24"/>
          <w:highlight w:val="none"/>
        </w:rPr>
        <w:t>、</w:t>
      </w:r>
      <w:r>
        <w:rPr>
          <w:rFonts w:hint="eastAsia" w:ascii="仿宋" w:hAnsi="仿宋" w:eastAsia="仿宋" w:cs="宋体"/>
          <w:b/>
          <w:bCs/>
          <w:color w:val="auto"/>
          <w:kern w:val="0"/>
          <w:sz w:val="24"/>
          <w:highlight w:val="none"/>
        </w:rPr>
        <w:t>项目合同附件清单</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hint="eastAsia" w:ascii="仿宋" w:hAnsi="仿宋" w:eastAsia="仿宋"/>
          <w:b/>
          <w:bCs/>
          <w:color w:val="auto"/>
          <w:kern w:val="0"/>
          <w:sz w:val="24"/>
          <w:highlight w:val="none"/>
        </w:rPr>
        <w:t>六</w:t>
      </w:r>
      <w:r>
        <w:rPr>
          <w:rFonts w:ascii="仿宋" w:hAnsi="仿宋" w:eastAsia="仿宋"/>
          <w:b/>
          <w:bCs/>
          <w:color w:val="auto"/>
          <w:kern w:val="0"/>
          <w:sz w:val="24"/>
          <w:highlight w:val="none"/>
        </w:rPr>
        <w:t>、</w:t>
      </w:r>
      <w:r>
        <w:rPr>
          <w:rFonts w:hint="eastAsia" w:ascii="仿宋" w:hAnsi="仿宋" w:eastAsia="仿宋" w:cs="宋体"/>
          <w:b/>
          <w:bCs/>
          <w:color w:val="auto"/>
          <w:kern w:val="0"/>
          <w:sz w:val="24"/>
          <w:highlight w:val="none"/>
        </w:rPr>
        <w:t>项目合同生效及其它</w:t>
      </w:r>
    </w:p>
    <w:p>
      <w:pPr>
        <w:widowControl/>
        <w:tabs>
          <w:tab w:val="left" w:pos="720"/>
        </w:tabs>
        <w:snapToGrid w:val="0"/>
        <w:spacing w:line="400" w:lineRule="exact"/>
        <w:ind w:left="720" w:firstLine="482" w:firstLineChars="200"/>
        <w:jc w:val="left"/>
        <w:outlineLvl w:val="0"/>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hint="eastAsia" w:ascii="仿宋" w:hAnsi="仿宋" w:eastAsia="仿宋"/>
          <w:b/>
          <w:bCs/>
          <w:color w:val="auto"/>
          <w:kern w:val="0"/>
          <w:sz w:val="24"/>
          <w:highlight w:val="none"/>
        </w:rPr>
        <w:t>七</w:t>
      </w:r>
      <w:r>
        <w:rPr>
          <w:rFonts w:ascii="仿宋" w:hAnsi="仿宋" w:eastAsia="仿宋"/>
          <w:b/>
          <w:bCs/>
          <w:color w:val="auto"/>
          <w:kern w:val="0"/>
          <w:sz w:val="24"/>
          <w:highlight w:val="none"/>
        </w:rPr>
        <w:t>、</w:t>
      </w:r>
      <w:r>
        <w:rPr>
          <w:rFonts w:hint="eastAsia" w:ascii="仿宋" w:hAnsi="仿宋" w:eastAsia="仿宋" w:cs="宋体"/>
          <w:b/>
          <w:bCs/>
          <w:color w:val="auto"/>
          <w:kern w:val="0"/>
          <w:sz w:val="24"/>
          <w:highlight w:val="none"/>
        </w:rPr>
        <w:t>项目合同签字及签章</w:t>
      </w:r>
    </w:p>
    <w:p>
      <w:pPr>
        <w:widowControl/>
        <w:snapToGrid w:val="0"/>
        <w:spacing w:line="400" w:lineRule="exact"/>
        <w:ind w:firstLine="480" w:firstLineChars="200"/>
        <w:jc w:val="left"/>
        <w:rPr>
          <w:rFonts w:hint="eastAsia" w:ascii="仿宋" w:hAnsi="仿宋" w:eastAsia="仿宋" w:cs="宋体"/>
          <w:color w:val="auto"/>
          <w:kern w:val="0"/>
          <w:sz w:val="24"/>
          <w:highlight w:val="none"/>
        </w:rPr>
      </w:pPr>
    </w:p>
    <w:p>
      <w:pPr>
        <w:widowControl/>
        <w:snapToGrid w:val="0"/>
        <w:spacing w:line="400" w:lineRule="exact"/>
        <w:ind w:firstLine="480" w:firstLineChars="200"/>
        <w:jc w:val="left"/>
        <w:rPr>
          <w:rFonts w:hint="eastAsia" w:ascii="仿宋" w:hAnsi="仿宋" w:eastAsia="仿宋" w:cs="宋体"/>
          <w:color w:val="auto"/>
          <w:kern w:val="0"/>
          <w:sz w:val="24"/>
          <w:highlight w:val="none"/>
        </w:rPr>
      </w:pPr>
    </w:p>
    <w:p>
      <w:pPr>
        <w:widowControl/>
        <w:snapToGrid w:val="0"/>
        <w:spacing w:line="400" w:lineRule="exact"/>
        <w:ind w:firstLine="480" w:firstLineChars="200"/>
        <w:jc w:val="left"/>
        <w:rPr>
          <w:rFonts w:hint="eastAsia" w:ascii="仿宋" w:hAnsi="仿宋" w:eastAsia="仿宋" w:cs="宋体"/>
          <w:color w:val="auto"/>
          <w:kern w:val="0"/>
          <w:sz w:val="24"/>
          <w:highlight w:val="none"/>
        </w:rPr>
      </w:pPr>
    </w:p>
    <w:p>
      <w:pPr>
        <w:widowControl/>
        <w:tabs>
          <w:tab w:val="left" w:pos="495"/>
        </w:tabs>
        <w:snapToGrid w:val="0"/>
        <w:spacing w:line="400" w:lineRule="exact"/>
        <w:ind w:left="495" w:firstLine="480" w:firstLineChars="200"/>
        <w:jc w:val="left"/>
        <w:rPr>
          <w:rFonts w:hint="eastAsia" w:ascii="仿宋" w:hAnsi="仿宋" w:eastAsia="仿宋" w:cs="黑体"/>
          <w:color w:val="auto"/>
          <w:kern w:val="0"/>
          <w:sz w:val="24"/>
          <w:highlight w:val="none"/>
        </w:rPr>
        <w:sectPr>
          <w:footerReference r:id="rId9" w:type="default"/>
          <w:pgSz w:w="12240" w:h="15840"/>
          <w:pgMar w:top="1440" w:right="1800" w:bottom="1440" w:left="1800" w:header="720" w:footer="720" w:gutter="0"/>
          <w:cols w:space="720" w:num="1"/>
        </w:sectPr>
      </w:pPr>
    </w:p>
    <w:p>
      <w:pPr>
        <w:widowControl/>
        <w:tabs>
          <w:tab w:val="left" w:pos="495"/>
        </w:tabs>
        <w:snapToGrid w:val="0"/>
        <w:spacing w:line="400" w:lineRule="exact"/>
        <w:ind w:left="-2" w:leftChars="-1" w:firstLine="426" w:firstLineChars="177"/>
        <w:jc w:val="left"/>
        <w:outlineLvl w:val="0"/>
        <w:rPr>
          <w:rFonts w:ascii="仿宋" w:hAnsi="仿宋" w:eastAsia="仿宋" w:cs="宋体"/>
          <w:b/>
          <w:bCs/>
          <w:color w:val="auto"/>
          <w:kern w:val="0"/>
          <w:sz w:val="24"/>
          <w:highlight w:val="none"/>
        </w:rPr>
      </w:pPr>
      <w:r>
        <w:rPr>
          <w:rFonts w:hint="eastAsia" w:ascii="仿宋" w:hAnsi="仿宋" w:eastAsia="仿宋" w:cs="黑体"/>
          <w:b/>
          <w:bCs/>
          <w:color w:val="auto"/>
          <w:kern w:val="0"/>
          <w:sz w:val="24"/>
          <w:highlight w:val="none"/>
        </w:rPr>
        <w:t>一、</w:t>
      </w:r>
      <w:r>
        <w:rPr>
          <w:rFonts w:hint="eastAsia" w:ascii="仿宋" w:hAnsi="仿宋" w:eastAsia="仿宋" w:cs="宋体"/>
          <w:b/>
          <w:bCs/>
          <w:color w:val="auto"/>
          <w:kern w:val="0"/>
          <w:sz w:val="24"/>
          <w:highlight w:val="none"/>
        </w:rPr>
        <w:t>总则</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（一） </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年</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月</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日在温州市公安局的</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（招标采购或自行采购）中，甲方接受乙方对本次</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项目标项</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的投标，甲、乙双方根据《中华人民共和国民法典》、《中华人民共和国政府采购法》等法律法规和本合同的招标文件、投标文件及其投标中的承诺，经双方协商，同意按下述条款和条件签订本合同，共同遵守；</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（二）项目建设目标：（根据招标文件、投标文件内容填写）；</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（三）项目建设内容：（根据招标文件、投标文件内容填写）。</w:t>
      </w:r>
    </w:p>
    <w:p>
      <w:pPr>
        <w:widowControl/>
        <w:tabs>
          <w:tab w:val="left" w:pos="495"/>
        </w:tabs>
        <w:snapToGrid w:val="0"/>
        <w:spacing w:line="400" w:lineRule="exact"/>
        <w:ind w:left="-2" w:leftChars="-1" w:firstLine="426" w:firstLineChars="177"/>
        <w:jc w:val="left"/>
        <w:outlineLvl w:val="0"/>
        <w:rPr>
          <w:rFonts w:ascii="仿宋" w:hAnsi="仿宋" w:eastAsia="仿宋" w:cs="宋体"/>
          <w:b/>
          <w:bCs/>
          <w:color w:val="auto"/>
          <w:kern w:val="0"/>
          <w:sz w:val="24"/>
          <w:highlight w:val="none"/>
        </w:rPr>
      </w:pPr>
    </w:p>
    <w:p>
      <w:pPr>
        <w:widowControl/>
        <w:tabs>
          <w:tab w:val="left" w:pos="495"/>
        </w:tabs>
        <w:snapToGrid w:val="0"/>
        <w:spacing w:line="400" w:lineRule="exact"/>
        <w:ind w:left="-2" w:leftChars="-1" w:firstLine="426" w:firstLineChars="177"/>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二、甲方责任</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（一）甲方提出项目建设任务和需求，负责项目的总体组织工作，并保留根据实际工作需求，提出对项目建设方案进行适当修改的权利；</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（二）甲方应为调研、安装、测试、调试等乙方工作提供必要的工作环境及协助人员；</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（三）甲方负责组织由乙方提供的技术培训工作；</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（四）甲方负责协调最终甲方和乙方的关系，并提供最终甲方的联系方式；</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（五）甲方对乙方向甲方提供的内部资料予以保密，且不向任何第三方泄露乙方的商业机密和技术机密。</w:t>
      </w:r>
    </w:p>
    <w:p>
      <w:pPr>
        <w:widowControl/>
        <w:snapToGrid w:val="0"/>
        <w:spacing w:before="156" w:line="400" w:lineRule="exact"/>
        <w:ind w:firstLine="424" w:firstLineChars="176"/>
        <w:jc w:val="left"/>
        <w:outlineLvl w:val="0"/>
        <w:rPr>
          <w:rFonts w:hint="eastAsia" w:ascii="仿宋" w:hAnsi="仿宋" w:eastAsia="仿宋" w:cs="宋体"/>
          <w:b/>
          <w:bCs/>
          <w:color w:val="auto"/>
          <w:kern w:val="0"/>
          <w:sz w:val="24"/>
          <w:highlight w:val="none"/>
        </w:rPr>
      </w:pPr>
      <w:r>
        <w:rPr>
          <w:rFonts w:hint="eastAsia" w:ascii="仿宋" w:hAnsi="仿宋" w:eastAsia="仿宋" w:cs="黑体"/>
          <w:b/>
          <w:bCs/>
          <w:color w:val="auto"/>
          <w:kern w:val="0"/>
          <w:sz w:val="24"/>
          <w:highlight w:val="none"/>
        </w:rPr>
        <w:t>三、</w:t>
      </w:r>
      <w:r>
        <w:rPr>
          <w:rFonts w:hint="eastAsia" w:ascii="仿宋" w:hAnsi="仿宋" w:eastAsia="仿宋" w:cs="宋体"/>
          <w:b/>
          <w:bCs/>
          <w:color w:val="auto"/>
          <w:kern w:val="0"/>
          <w:sz w:val="24"/>
          <w:highlight w:val="none"/>
        </w:rPr>
        <w:t>乙方责任</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（一）乙方应根据项目招标文件的要求细化项目建设需求，并根据投标文件进行项目建设，负责项目的具体实施工作；</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（二）乙方根据招标文件的基本技术要求与甲方共同确定项目所需的系统软件、硬件的数量及规格要求；</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（三）乙方保证按合同规定时间完工，并在工程结束时提交完整的相应技术文档及用户手册，并积极配合甲方对工程项目进行验收；</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（四）乙方向甲方提供</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年（不少于3年）的</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（原厂商或者非原厂商）免费维护和保修服务（详见附件《技术支持和售后服务方案》）（包括软件、硬件及系统），免费维护和保修服务从验收合格之日的次日起计算；</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（五）乙方为甲方提供本项目中的所有设备系统使用、管理及维护等方面的</w:t>
      </w:r>
      <w:r>
        <w:rPr>
          <w:rFonts w:hint="eastAsia" w:ascii="仿宋" w:hAnsi="仿宋" w:eastAsia="仿宋" w:cs="仿宋_GB2312"/>
          <w:color w:val="auto"/>
          <w:kern w:val="0"/>
          <w:sz w:val="24"/>
          <w:highlight w:val="none"/>
          <w:u w:val="single"/>
        </w:rPr>
        <w:t>免费</w:t>
      </w:r>
      <w:r>
        <w:rPr>
          <w:rFonts w:hint="eastAsia" w:ascii="仿宋" w:hAnsi="仿宋" w:eastAsia="仿宋" w:cs="仿宋_GB2312"/>
          <w:color w:val="auto"/>
          <w:kern w:val="0"/>
          <w:sz w:val="24"/>
          <w:highlight w:val="none"/>
        </w:rPr>
        <w:t>培训（详见附件《技术支持和售后服务方案》）；</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六）乙方自行负责为其工作人员配备符合工作、劳动条件的设备、装置、器具、保障其饮食起居等问题，在任何情况下乙方对其工作人员的人身安全、施工安全等负全部责任，甲方对此概不负责。如因情况紧急等原因甲方先行承担的，有权向乙方追偿；</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七）乙方应满足上述产品质量标准，并保证该软件硬件的运行不影响甲方内部网络信息安全性和保密性，因乙方没有履行上述义务造成甲方被第三方追责或损失的，乙方应承担全部责任，甲方先行赔偿的，有权按赔偿金额及损失向乙方追偿；</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（八）本合同第十三条约定的项目保密条款；</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（九）本项目中定制开发的软件知识产权及使用权归甲方所有。</w:t>
      </w:r>
    </w:p>
    <w:p>
      <w:pPr>
        <w:widowControl/>
        <w:snapToGrid w:val="0"/>
        <w:spacing w:line="400" w:lineRule="exact"/>
        <w:ind w:firstLine="480" w:firstLineChars="200"/>
        <w:jc w:val="left"/>
        <w:rPr>
          <w:rFonts w:hint="eastAsia" w:ascii="仿宋" w:hAnsi="仿宋" w:eastAsia="仿宋" w:cs="仿宋_GB2312"/>
          <w:color w:val="auto"/>
          <w:kern w:val="0"/>
          <w:sz w:val="24"/>
          <w:highlight w:val="none"/>
        </w:rPr>
      </w:pPr>
    </w:p>
    <w:p>
      <w:pPr>
        <w:widowControl/>
        <w:tabs>
          <w:tab w:val="left" w:pos="495"/>
        </w:tabs>
        <w:snapToGrid w:val="0"/>
        <w:spacing w:line="400" w:lineRule="exact"/>
        <w:ind w:firstLine="424" w:firstLineChars="176"/>
        <w:jc w:val="left"/>
        <w:outlineLvl w:val="0"/>
        <w:rPr>
          <w:rFonts w:hint="eastAsia" w:ascii="仿宋" w:hAnsi="仿宋" w:eastAsia="仿宋" w:cs="宋体"/>
          <w:color w:val="auto"/>
          <w:kern w:val="0"/>
          <w:sz w:val="24"/>
          <w:highlight w:val="none"/>
        </w:rPr>
      </w:pPr>
      <w:r>
        <w:rPr>
          <w:rFonts w:hint="eastAsia" w:ascii="仿宋" w:hAnsi="仿宋" w:eastAsia="仿宋" w:cs="宋体"/>
          <w:b/>
          <w:bCs/>
          <w:color w:val="auto"/>
          <w:kern w:val="0"/>
          <w:sz w:val="24"/>
          <w:highlight w:val="none"/>
        </w:rPr>
        <w:t>四、项目工期与进度表</w:t>
      </w:r>
      <w:r>
        <w:rPr>
          <w:rFonts w:hint="eastAsia" w:ascii="仿宋" w:hAnsi="仿宋" w:eastAsia="仿宋" w:cs="宋体"/>
          <w:color w:val="auto"/>
          <w:kern w:val="0"/>
          <w:sz w:val="24"/>
          <w:highlight w:val="none"/>
        </w:rPr>
        <w:t>（请填写招标文件要求的合同工期与进度计划）</w:t>
      </w:r>
    </w:p>
    <w:p>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本项目总工期为</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天（包括不少于3个月试运行），工期以合同签订日起计算，项目验收合格日截止。参考项目进度表如下：</w:t>
      </w:r>
    </w:p>
    <w:p>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p>
    <w:p>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p>
    <w:p>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p>
    <w:p>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p>
    <w:p>
      <w:pPr>
        <w:widowControl/>
        <w:tabs>
          <w:tab w:val="left" w:pos="495"/>
        </w:tabs>
        <w:snapToGrid w:val="0"/>
        <w:spacing w:line="400" w:lineRule="exact"/>
        <w:ind w:firstLine="480" w:firstLineChars="200"/>
        <w:jc w:val="left"/>
        <w:rPr>
          <w:rFonts w:hint="eastAsia" w:ascii="仿宋" w:hAnsi="仿宋" w:eastAsia="仿宋" w:cs="仿宋_GB2312"/>
          <w:color w:val="auto"/>
          <w:kern w:val="0"/>
          <w:sz w:val="24"/>
          <w:highlight w:val="none"/>
        </w:rPr>
      </w:pPr>
    </w:p>
    <w:p>
      <w:pPr>
        <w:widowControl/>
        <w:tabs>
          <w:tab w:val="left" w:pos="495"/>
        </w:tabs>
        <w:snapToGrid w:val="0"/>
        <w:spacing w:line="400" w:lineRule="exact"/>
        <w:ind w:firstLine="480" w:firstLineChars="200"/>
        <w:jc w:val="left"/>
        <w:rPr>
          <w:rFonts w:hint="eastAsia" w:ascii="仿宋" w:hAnsi="仿宋" w:eastAsia="仿宋" w:cs="仿宋_GB2312"/>
          <w:color w:val="auto"/>
          <w:kern w:val="0"/>
          <w:sz w:val="24"/>
          <w:highlight w:val="none"/>
        </w:rPr>
      </w:pPr>
    </w:p>
    <w:p>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p>
    <w:p>
      <w:pPr>
        <w:widowControl/>
        <w:tabs>
          <w:tab w:val="left" w:pos="495"/>
        </w:tabs>
        <w:snapToGrid w:val="0"/>
        <w:spacing w:line="400" w:lineRule="exact"/>
        <w:ind w:firstLine="480" w:firstLineChars="200"/>
        <w:jc w:val="left"/>
        <w:rPr>
          <w:rFonts w:hint="eastAsia" w:ascii="仿宋" w:hAnsi="仿宋" w:eastAsia="仿宋" w:cs="仿宋_GB2312"/>
          <w:color w:val="auto"/>
          <w:kern w:val="0"/>
          <w:sz w:val="24"/>
          <w:highlight w:val="none"/>
        </w:rPr>
      </w:pPr>
    </w:p>
    <w:p>
      <w:pPr>
        <w:widowControl/>
        <w:tabs>
          <w:tab w:val="left" w:pos="495"/>
        </w:tabs>
        <w:snapToGrid w:val="0"/>
        <w:spacing w:line="400" w:lineRule="exact"/>
        <w:ind w:firstLine="480" w:firstLineChars="200"/>
        <w:jc w:val="left"/>
        <w:rPr>
          <w:rFonts w:hint="eastAsia" w:ascii="仿宋" w:hAnsi="仿宋" w:eastAsia="仿宋" w:cs="仿宋_GB2312"/>
          <w:color w:val="auto"/>
          <w:kern w:val="0"/>
          <w:sz w:val="24"/>
          <w:highlight w:val="none"/>
        </w:rPr>
      </w:pP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五、项目上线、试运行和验收</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乙方应在项目设备安装调试后、系统上线前，进行完整设备及系统测试后，向甲方提供详细的设备及系统上线方案，由甲方确认。在甲方确认无误后，乙方应负责按设备及系统上线方案进行系统的安装调试工作。在安装、调试过程中，乙方应对甲方技术人员所提出的问题给予满意的答复，并提供安装调试过程中的各种文档资料，以便于甲方能掌握操作方法和维修方法。项目上线后，乙方应向甲方提供安装、调试报告，报告中应包括安装调试结果和安装调试过程中出现的问题及解决办法等内容；</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项目上线、设备及系统的安装调试工作完成后，乙方应向甲方申请项目初验（参照《温州市市本级党政机关信息化项目建设指南（试行）》）。项目通过初验后应进行至少为期3个月的试运行，乙方应派遣技术人员（应明确人数及资质要求）免费在现场进行技术服务，负责设备及系统试运行阶段的服务工作；</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在试运行期间，由于各种原因造成某些技术指标达不到要求，乙方应负责解决，如属于设备质量问题，达不到合同技术指标的，乙方应包换、包退。因包括但不限于调换、退货产生的一切费用由乙方承担，如因此而造成进度延期的，按延期违约责任向甲方支付违约金，给甲方造成直接经济损失的，乙方也应全额赔偿，且试运行期相应顺延；</w:t>
      </w:r>
    </w:p>
    <w:p>
      <w:pPr>
        <w:widowControl/>
        <w:snapToGrid w:val="0"/>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（四）项目试运行结束后，对照附件的项目验收主要指标和标准组织验收；</w:t>
      </w:r>
    </w:p>
    <w:p>
      <w:pPr>
        <w:widowControl/>
        <w:snapToGrid w:val="0"/>
        <w:spacing w:line="46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（五）乙方应在项目验收时将该项目定制开发系统的全部源代码无偿交付甲方。</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（六）乙方应在工程结束    日内时向甲方提交一式    份完整的相应技术文档及用户手册。</w:t>
      </w:r>
    </w:p>
    <w:p>
      <w:pPr>
        <w:widowControl/>
        <w:snapToGrid w:val="0"/>
        <w:spacing w:line="400" w:lineRule="exact"/>
        <w:ind w:firstLine="422" w:firstLineChars="176"/>
        <w:jc w:val="left"/>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（七）</w:t>
      </w:r>
      <w:bookmarkStart w:id="459" w:name="_Hlk106701834"/>
      <w:r>
        <w:rPr>
          <w:rFonts w:hint="eastAsia" w:ascii="仿宋" w:hAnsi="仿宋" w:eastAsia="仿宋" w:cs="仿宋_GB2312"/>
          <w:color w:val="auto"/>
          <w:kern w:val="0"/>
          <w:sz w:val="24"/>
          <w:highlight w:val="none"/>
        </w:rPr>
        <w:t>履约验收费用（包含第三方检测及评审费用）由供应商承担</w:t>
      </w:r>
      <w:bookmarkEnd w:id="459"/>
      <w:r>
        <w:rPr>
          <w:rFonts w:hint="eastAsia" w:ascii="仿宋" w:hAnsi="仿宋" w:eastAsia="仿宋" w:cs="仿宋_GB2312"/>
          <w:color w:val="auto"/>
          <w:kern w:val="0"/>
          <w:sz w:val="24"/>
          <w:highlight w:val="none"/>
        </w:rPr>
        <w:t>，因供应商原因造成验收不通过的，再次验收的费用仍由供应商承担。</w:t>
      </w:r>
    </w:p>
    <w:p>
      <w:pPr>
        <w:widowControl/>
        <w:snapToGrid w:val="0"/>
        <w:spacing w:line="400" w:lineRule="exact"/>
        <w:ind w:firstLine="422" w:firstLineChars="176"/>
        <w:jc w:val="left"/>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六、维保期与售后服务</w:t>
      </w:r>
    </w:p>
    <w:p>
      <w:pPr>
        <w:widowControl/>
        <w:snapToGrid w:val="0"/>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（一）本项目的免费维保期为  年，从项目验收合格之日的次日起计算；</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（二）乙方应按附件《技术支持和售后服务方案》的内容为甲方提供免费技术培训和售后服务。</w:t>
      </w: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七、项目合同金额</w:t>
      </w:r>
    </w:p>
    <w:p>
      <w:pPr>
        <w:widowControl/>
        <w:snapToGrid w:val="0"/>
        <w:spacing w:line="400" w:lineRule="exact"/>
        <w:ind w:firstLine="424" w:firstLineChars="177"/>
        <w:jc w:val="left"/>
        <w:outlineLvl w:val="1"/>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（一）本合同中提及金额均为含税价；</w:t>
      </w:r>
    </w:p>
    <w:p>
      <w:pPr>
        <w:widowControl/>
        <w:snapToGrid w:val="0"/>
        <w:spacing w:line="400" w:lineRule="exact"/>
        <w:ind w:firstLine="424" w:firstLineChars="177"/>
        <w:jc w:val="left"/>
        <w:outlineLvl w:val="1"/>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（二）合同总金额为：人民币：</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元（大写：</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元整）；</w:t>
      </w:r>
    </w:p>
    <w:p>
      <w:pPr>
        <w:widowControl/>
        <w:snapToGrid w:val="0"/>
        <w:spacing w:line="400" w:lineRule="exact"/>
        <w:ind w:firstLine="424" w:firstLineChars="177"/>
        <w:jc w:val="left"/>
        <w:outlineLvl w:val="1"/>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（三）合同详细价格清单。</w:t>
      </w:r>
    </w:p>
    <w:tbl>
      <w:tblPr>
        <w:tblStyle w:val="6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780"/>
        <w:gridCol w:w="360"/>
        <w:gridCol w:w="108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top w:val="double" w:color="auto" w:sz="4" w:space="0"/>
              <w:left w:val="double" w:color="auto" w:sz="4" w:space="0"/>
            </w:tcBorders>
            <w:noWrap w:val="0"/>
            <w:vAlign w:val="center"/>
          </w:tcPr>
          <w:p>
            <w:pPr>
              <w:widowControl/>
              <w:spacing w:line="400" w:lineRule="exact"/>
              <w:ind w:firstLine="480" w:firstLineChars="200"/>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设备名称</w:t>
            </w:r>
          </w:p>
        </w:tc>
        <w:tc>
          <w:tcPr>
            <w:tcW w:w="3780" w:type="dxa"/>
            <w:tcBorders>
              <w:top w:val="double" w:color="auto" w:sz="4" w:space="0"/>
            </w:tcBorders>
            <w:noWrap w:val="0"/>
            <w:vAlign w:val="center"/>
          </w:tcPr>
          <w:p>
            <w:pPr>
              <w:widowControl/>
              <w:spacing w:line="400" w:lineRule="exact"/>
              <w:ind w:firstLine="480" w:firstLineChars="200"/>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型号规格等说明</w:t>
            </w:r>
          </w:p>
        </w:tc>
        <w:tc>
          <w:tcPr>
            <w:tcW w:w="360" w:type="dxa"/>
            <w:tcBorders>
              <w:top w:val="double" w:color="auto" w:sz="4" w:space="0"/>
            </w:tcBorders>
            <w:noWrap w:val="0"/>
            <w:vAlign w:val="center"/>
          </w:tcPr>
          <w:p>
            <w:pPr>
              <w:widowControl/>
              <w:spacing w:line="400" w:lineRule="exact"/>
              <w:ind w:firstLine="480" w:firstLineChars="200"/>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数量</w:t>
            </w:r>
          </w:p>
        </w:tc>
        <w:tc>
          <w:tcPr>
            <w:tcW w:w="1080" w:type="dxa"/>
            <w:tcBorders>
              <w:top w:val="double" w:color="auto" w:sz="4" w:space="0"/>
            </w:tcBorders>
            <w:noWrap w:val="0"/>
            <w:vAlign w:val="center"/>
          </w:tcPr>
          <w:p>
            <w:pPr>
              <w:widowControl/>
              <w:spacing w:line="400" w:lineRule="exact"/>
              <w:ind w:firstLine="480" w:firstLineChars="200"/>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单价</w:t>
            </w:r>
          </w:p>
        </w:tc>
        <w:tc>
          <w:tcPr>
            <w:tcW w:w="900" w:type="dxa"/>
            <w:tcBorders>
              <w:top w:val="double" w:color="auto" w:sz="4" w:space="0"/>
            </w:tcBorders>
            <w:noWrap w:val="0"/>
            <w:vAlign w:val="center"/>
          </w:tcPr>
          <w:p>
            <w:pPr>
              <w:widowControl/>
              <w:spacing w:line="400" w:lineRule="exact"/>
              <w:ind w:firstLine="480" w:firstLineChars="200"/>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总价</w:t>
            </w:r>
          </w:p>
        </w:tc>
        <w:tc>
          <w:tcPr>
            <w:tcW w:w="1260" w:type="dxa"/>
            <w:tcBorders>
              <w:top w:val="double" w:color="auto" w:sz="4" w:space="0"/>
              <w:right w:val="double" w:color="auto" w:sz="4" w:space="0"/>
            </w:tcBorders>
            <w:noWrap w:val="0"/>
            <w:vAlign w:val="center"/>
          </w:tcPr>
          <w:p>
            <w:pPr>
              <w:widowControl/>
              <w:spacing w:line="400" w:lineRule="exact"/>
              <w:ind w:firstLine="480" w:firstLineChars="200"/>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00" w:lineRule="exact"/>
              <w:ind w:firstLine="480" w:firstLineChars="200"/>
              <w:rPr>
                <w:rFonts w:hint="eastAsia" w:ascii="仿宋" w:hAnsi="仿宋" w:eastAsia="仿宋" w:cs="仿宋_GB2312"/>
                <w:color w:val="auto"/>
                <w:sz w:val="24"/>
                <w:highlight w:val="none"/>
              </w:rPr>
            </w:pPr>
          </w:p>
        </w:tc>
        <w:tc>
          <w:tcPr>
            <w:tcW w:w="3780" w:type="dxa"/>
            <w:noWrap w:val="0"/>
            <w:vAlign w:val="center"/>
          </w:tcPr>
          <w:p>
            <w:pPr>
              <w:spacing w:line="400" w:lineRule="exact"/>
              <w:ind w:firstLine="480" w:firstLineChars="200"/>
              <w:rPr>
                <w:rFonts w:hint="eastAsia" w:ascii="仿宋" w:hAnsi="仿宋" w:eastAsia="仿宋" w:cs="仿宋_GB2312"/>
                <w:color w:val="auto"/>
                <w:sz w:val="24"/>
                <w:highlight w:val="none"/>
              </w:rPr>
            </w:pPr>
          </w:p>
        </w:tc>
        <w:tc>
          <w:tcPr>
            <w:tcW w:w="360" w:type="dxa"/>
            <w:noWrap w:val="0"/>
            <w:vAlign w:val="center"/>
          </w:tcPr>
          <w:p>
            <w:pPr>
              <w:spacing w:line="400" w:lineRule="exact"/>
              <w:ind w:firstLine="480" w:firstLineChars="200"/>
              <w:jc w:val="center"/>
              <w:rPr>
                <w:rFonts w:hint="eastAsia" w:ascii="仿宋" w:hAnsi="仿宋" w:eastAsia="仿宋" w:cs="仿宋_GB2312"/>
                <w:color w:val="auto"/>
                <w:sz w:val="24"/>
                <w:highlight w:val="none"/>
              </w:rPr>
            </w:pPr>
          </w:p>
        </w:tc>
        <w:tc>
          <w:tcPr>
            <w:tcW w:w="1080" w:type="dxa"/>
            <w:noWrap w:val="0"/>
            <w:vAlign w:val="center"/>
          </w:tcPr>
          <w:p>
            <w:pPr>
              <w:spacing w:line="400" w:lineRule="exact"/>
              <w:ind w:firstLine="480" w:firstLineChars="200"/>
              <w:jc w:val="right"/>
              <w:rPr>
                <w:rFonts w:hint="eastAsia" w:ascii="仿宋" w:hAnsi="仿宋" w:eastAsia="仿宋" w:cs="仿宋_GB2312"/>
                <w:color w:val="auto"/>
                <w:sz w:val="24"/>
                <w:highlight w:val="none"/>
              </w:rPr>
            </w:pPr>
          </w:p>
        </w:tc>
        <w:tc>
          <w:tcPr>
            <w:tcW w:w="900" w:type="dxa"/>
            <w:noWrap w:val="0"/>
            <w:vAlign w:val="center"/>
          </w:tcPr>
          <w:p>
            <w:pPr>
              <w:spacing w:line="400" w:lineRule="exact"/>
              <w:ind w:firstLine="480" w:firstLineChars="200"/>
              <w:jc w:val="right"/>
              <w:rPr>
                <w:rFonts w:hint="eastAsia" w:ascii="仿宋" w:hAnsi="仿宋" w:eastAsia="仿宋" w:cs="仿宋_GB2312"/>
                <w:color w:val="auto"/>
                <w:sz w:val="24"/>
                <w:highlight w:val="none"/>
              </w:rPr>
            </w:pPr>
          </w:p>
        </w:tc>
        <w:tc>
          <w:tcPr>
            <w:tcW w:w="1260" w:type="dxa"/>
            <w:tcBorders>
              <w:right w:val="double" w:color="auto" w:sz="4" w:space="0"/>
            </w:tcBorders>
            <w:noWrap w:val="0"/>
            <w:vAlign w:val="center"/>
          </w:tcPr>
          <w:p>
            <w:pPr>
              <w:pStyle w:val="33"/>
              <w:tabs>
                <w:tab w:val="left" w:pos="8540"/>
              </w:tabs>
              <w:spacing w:line="400" w:lineRule="exact"/>
              <w:ind w:firstLine="480" w:firstLineChars="200"/>
              <w:jc w:val="center"/>
              <w:rPr>
                <w:rFonts w:hint="eastAsia" w:ascii="仿宋" w:hAnsi="仿宋" w:eastAsia="仿宋"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00" w:lineRule="exact"/>
              <w:ind w:firstLine="480" w:firstLineChars="200"/>
              <w:rPr>
                <w:rFonts w:hint="eastAsia" w:ascii="仿宋" w:hAnsi="仿宋" w:eastAsia="仿宋" w:cs="仿宋_GB2312"/>
                <w:color w:val="auto"/>
                <w:sz w:val="24"/>
                <w:highlight w:val="none"/>
              </w:rPr>
            </w:pPr>
          </w:p>
        </w:tc>
        <w:tc>
          <w:tcPr>
            <w:tcW w:w="3780" w:type="dxa"/>
            <w:noWrap w:val="0"/>
            <w:vAlign w:val="center"/>
          </w:tcPr>
          <w:p>
            <w:pPr>
              <w:spacing w:line="400" w:lineRule="exact"/>
              <w:ind w:firstLine="480" w:firstLineChars="200"/>
              <w:rPr>
                <w:rFonts w:hint="eastAsia" w:ascii="仿宋" w:hAnsi="仿宋" w:eastAsia="仿宋" w:cs="仿宋_GB2312"/>
                <w:color w:val="auto"/>
                <w:sz w:val="24"/>
                <w:highlight w:val="none"/>
              </w:rPr>
            </w:pPr>
          </w:p>
        </w:tc>
        <w:tc>
          <w:tcPr>
            <w:tcW w:w="360" w:type="dxa"/>
            <w:noWrap w:val="0"/>
            <w:vAlign w:val="center"/>
          </w:tcPr>
          <w:p>
            <w:pPr>
              <w:spacing w:line="400" w:lineRule="exact"/>
              <w:ind w:firstLine="480" w:firstLineChars="200"/>
              <w:jc w:val="center"/>
              <w:rPr>
                <w:rFonts w:hint="eastAsia" w:ascii="仿宋" w:hAnsi="仿宋" w:eastAsia="仿宋" w:cs="仿宋_GB2312"/>
                <w:color w:val="auto"/>
                <w:sz w:val="24"/>
                <w:highlight w:val="none"/>
              </w:rPr>
            </w:pPr>
          </w:p>
        </w:tc>
        <w:tc>
          <w:tcPr>
            <w:tcW w:w="1080" w:type="dxa"/>
            <w:noWrap w:val="0"/>
            <w:vAlign w:val="center"/>
          </w:tcPr>
          <w:p>
            <w:pPr>
              <w:spacing w:line="400" w:lineRule="exact"/>
              <w:ind w:firstLine="480" w:firstLineChars="200"/>
              <w:jc w:val="right"/>
              <w:rPr>
                <w:rFonts w:hint="eastAsia" w:ascii="仿宋" w:hAnsi="仿宋" w:eastAsia="仿宋" w:cs="仿宋_GB2312"/>
                <w:color w:val="auto"/>
                <w:sz w:val="24"/>
                <w:highlight w:val="none"/>
              </w:rPr>
            </w:pPr>
          </w:p>
        </w:tc>
        <w:tc>
          <w:tcPr>
            <w:tcW w:w="900" w:type="dxa"/>
            <w:noWrap w:val="0"/>
            <w:vAlign w:val="center"/>
          </w:tcPr>
          <w:p>
            <w:pPr>
              <w:spacing w:line="400" w:lineRule="exact"/>
              <w:ind w:firstLine="480" w:firstLineChars="200"/>
              <w:jc w:val="right"/>
              <w:rPr>
                <w:rFonts w:hint="eastAsia" w:ascii="仿宋" w:hAnsi="仿宋" w:eastAsia="仿宋" w:cs="仿宋_GB2312"/>
                <w:color w:val="auto"/>
                <w:sz w:val="24"/>
                <w:highlight w:val="none"/>
              </w:rPr>
            </w:pPr>
          </w:p>
        </w:tc>
        <w:tc>
          <w:tcPr>
            <w:tcW w:w="1260" w:type="dxa"/>
            <w:tcBorders>
              <w:right w:val="double" w:color="auto" w:sz="4" w:space="0"/>
            </w:tcBorders>
            <w:noWrap w:val="0"/>
            <w:vAlign w:val="center"/>
          </w:tcPr>
          <w:p>
            <w:pPr>
              <w:pStyle w:val="33"/>
              <w:tabs>
                <w:tab w:val="left" w:pos="8540"/>
              </w:tabs>
              <w:spacing w:line="400" w:lineRule="exact"/>
              <w:ind w:firstLine="480" w:firstLineChars="200"/>
              <w:jc w:val="center"/>
              <w:rPr>
                <w:rFonts w:hint="eastAsia" w:ascii="仿宋" w:hAnsi="仿宋" w:eastAsia="仿宋"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00" w:lineRule="exact"/>
              <w:ind w:firstLine="480" w:firstLineChars="200"/>
              <w:rPr>
                <w:rFonts w:hint="eastAsia" w:ascii="仿宋" w:hAnsi="仿宋" w:eastAsia="仿宋" w:cs="仿宋_GB2312"/>
                <w:color w:val="auto"/>
                <w:sz w:val="24"/>
                <w:highlight w:val="none"/>
              </w:rPr>
            </w:pPr>
          </w:p>
        </w:tc>
        <w:tc>
          <w:tcPr>
            <w:tcW w:w="3780" w:type="dxa"/>
            <w:noWrap w:val="0"/>
            <w:vAlign w:val="center"/>
          </w:tcPr>
          <w:p>
            <w:pPr>
              <w:spacing w:line="400" w:lineRule="exact"/>
              <w:ind w:firstLine="480" w:firstLineChars="200"/>
              <w:rPr>
                <w:rFonts w:hint="eastAsia" w:ascii="仿宋" w:hAnsi="仿宋" w:eastAsia="仿宋" w:cs="仿宋_GB2312"/>
                <w:color w:val="auto"/>
                <w:sz w:val="24"/>
                <w:highlight w:val="none"/>
              </w:rPr>
            </w:pPr>
          </w:p>
        </w:tc>
        <w:tc>
          <w:tcPr>
            <w:tcW w:w="360" w:type="dxa"/>
            <w:noWrap w:val="0"/>
            <w:vAlign w:val="center"/>
          </w:tcPr>
          <w:p>
            <w:pPr>
              <w:spacing w:line="400" w:lineRule="exact"/>
              <w:ind w:firstLine="480" w:firstLineChars="200"/>
              <w:jc w:val="center"/>
              <w:rPr>
                <w:rFonts w:hint="eastAsia" w:ascii="仿宋" w:hAnsi="仿宋" w:eastAsia="仿宋" w:cs="仿宋_GB2312"/>
                <w:color w:val="auto"/>
                <w:sz w:val="24"/>
                <w:highlight w:val="none"/>
              </w:rPr>
            </w:pPr>
          </w:p>
        </w:tc>
        <w:tc>
          <w:tcPr>
            <w:tcW w:w="1080" w:type="dxa"/>
            <w:noWrap w:val="0"/>
            <w:vAlign w:val="center"/>
          </w:tcPr>
          <w:p>
            <w:pPr>
              <w:spacing w:line="400" w:lineRule="exact"/>
              <w:ind w:firstLine="480" w:firstLineChars="200"/>
              <w:jc w:val="right"/>
              <w:rPr>
                <w:rFonts w:hint="eastAsia" w:ascii="仿宋" w:hAnsi="仿宋" w:eastAsia="仿宋" w:cs="仿宋_GB2312"/>
                <w:color w:val="auto"/>
                <w:sz w:val="24"/>
                <w:highlight w:val="none"/>
              </w:rPr>
            </w:pPr>
          </w:p>
        </w:tc>
        <w:tc>
          <w:tcPr>
            <w:tcW w:w="900" w:type="dxa"/>
            <w:noWrap w:val="0"/>
            <w:vAlign w:val="center"/>
          </w:tcPr>
          <w:p>
            <w:pPr>
              <w:spacing w:line="400" w:lineRule="exact"/>
              <w:ind w:firstLine="480" w:firstLineChars="200"/>
              <w:jc w:val="right"/>
              <w:rPr>
                <w:rFonts w:hint="eastAsia" w:ascii="仿宋" w:hAnsi="仿宋" w:eastAsia="仿宋" w:cs="仿宋_GB2312"/>
                <w:color w:val="auto"/>
                <w:sz w:val="24"/>
                <w:highlight w:val="none"/>
              </w:rPr>
            </w:pPr>
          </w:p>
        </w:tc>
        <w:tc>
          <w:tcPr>
            <w:tcW w:w="1260" w:type="dxa"/>
            <w:tcBorders>
              <w:right w:val="double" w:color="auto" w:sz="4" w:space="0"/>
            </w:tcBorders>
            <w:noWrap w:val="0"/>
            <w:vAlign w:val="center"/>
          </w:tcPr>
          <w:p>
            <w:pPr>
              <w:pStyle w:val="33"/>
              <w:tabs>
                <w:tab w:val="left" w:pos="8540"/>
              </w:tabs>
              <w:spacing w:line="400" w:lineRule="exact"/>
              <w:ind w:firstLine="480" w:firstLineChars="200"/>
              <w:jc w:val="center"/>
              <w:rPr>
                <w:rFonts w:hint="eastAsia" w:ascii="仿宋" w:hAnsi="仿宋" w:eastAsia="仿宋"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00" w:lineRule="exact"/>
              <w:ind w:firstLine="480" w:firstLineChars="200"/>
              <w:rPr>
                <w:rFonts w:hint="eastAsia" w:ascii="仿宋" w:hAnsi="仿宋" w:eastAsia="仿宋" w:cs="仿宋_GB2312"/>
                <w:color w:val="auto"/>
                <w:sz w:val="24"/>
                <w:highlight w:val="none"/>
              </w:rPr>
            </w:pPr>
          </w:p>
        </w:tc>
        <w:tc>
          <w:tcPr>
            <w:tcW w:w="3780" w:type="dxa"/>
            <w:noWrap w:val="0"/>
            <w:vAlign w:val="center"/>
          </w:tcPr>
          <w:p>
            <w:pPr>
              <w:spacing w:line="400" w:lineRule="exact"/>
              <w:ind w:firstLine="480" w:firstLineChars="200"/>
              <w:rPr>
                <w:rFonts w:hint="eastAsia" w:ascii="仿宋" w:hAnsi="仿宋" w:eastAsia="仿宋" w:cs="仿宋_GB2312"/>
                <w:color w:val="auto"/>
                <w:sz w:val="24"/>
                <w:highlight w:val="none"/>
              </w:rPr>
            </w:pPr>
          </w:p>
        </w:tc>
        <w:tc>
          <w:tcPr>
            <w:tcW w:w="360" w:type="dxa"/>
            <w:noWrap w:val="0"/>
            <w:vAlign w:val="center"/>
          </w:tcPr>
          <w:p>
            <w:pPr>
              <w:spacing w:line="400" w:lineRule="exact"/>
              <w:ind w:firstLine="480" w:firstLineChars="200"/>
              <w:jc w:val="center"/>
              <w:rPr>
                <w:rFonts w:hint="eastAsia" w:ascii="仿宋" w:hAnsi="仿宋" w:eastAsia="仿宋" w:cs="仿宋_GB2312"/>
                <w:color w:val="auto"/>
                <w:sz w:val="24"/>
                <w:highlight w:val="none"/>
              </w:rPr>
            </w:pPr>
          </w:p>
        </w:tc>
        <w:tc>
          <w:tcPr>
            <w:tcW w:w="1080" w:type="dxa"/>
            <w:noWrap w:val="0"/>
            <w:vAlign w:val="center"/>
          </w:tcPr>
          <w:p>
            <w:pPr>
              <w:spacing w:line="400" w:lineRule="exact"/>
              <w:ind w:firstLine="480" w:firstLineChars="200"/>
              <w:jc w:val="right"/>
              <w:rPr>
                <w:rFonts w:hint="eastAsia" w:ascii="仿宋" w:hAnsi="仿宋" w:eastAsia="仿宋" w:cs="仿宋_GB2312"/>
                <w:color w:val="auto"/>
                <w:sz w:val="24"/>
                <w:highlight w:val="none"/>
              </w:rPr>
            </w:pPr>
          </w:p>
        </w:tc>
        <w:tc>
          <w:tcPr>
            <w:tcW w:w="900" w:type="dxa"/>
            <w:noWrap w:val="0"/>
            <w:vAlign w:val="center"/>
          </w:tcPr>
          <w:p>
            <w:pPr>
              <w:spacing w:line="400" w:lineRule="exact"/>
              <w:ind w:firstLine="480" w:firstLineChars="200"/>
              <w:jc w:val="right"/>
              <w:rPr>
                <w:rFonts w:hint="eastAsia" w:ascii="仿宋" w:hAnsi="仿宋" w:eastAsia="仿宋" w:cs="仿宋_GB2312"/>
                <w:color w:val="auto"/>
                <w:sz w:val="24"/>
                <w:highlight w:val="none"/>
              </w:rPr>
            </w:pPr>
          </w:p>
        </w:tc>
        <w:tc>
          <w:tcPr>
            <w:tcW w:w="1260" w:type="dxa"/>
            <w:tcBorders>
              <w:right w:val="double" w:color="auto" w:sz="4" w:space="0"/>
            </w:tcBorders>
            <w:noWrap w:val="0"/>
            <w:vAlign w:val="center"/>
          </w:tcPr>
          <w:p>
            <w:pPr>
              <w:pStyle w:val="33"/>
              <w:tabs>
                <w:tab w:val="left" w:pos="8540"/>
              </w:tabs>
              <w:spacing w:line="400" w:lineRule="exact"/>
              <w:ind w:firstLine="480" w:firstLineChars="200"/>
              <w:jc w:val="center"/>
              <w:rPr>
                <w:rFonts w:hint="eastAsia" w:ascii="仿宋" w:hAnsi="仿宋" w:eastAsia="仿宋"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5" w:type="dxa"/>
            <w:tcBorders>
              <w:left w:val="double" w:color="auto" w:sz="4" w:space="0"/>
              <w:bottom w:val="double" w:color="auto" w:sz="4" w:space="0"/>
            </w:tcBorders>
            <w:noWrap w:val="0"/>
            <w:vAlign w:val="center"/>
          </w:tcPr>
          <w:p>
            <w:pPr>
              <w:pStyle w:val="33"/>
              <w:tabs>
                <w:tab w:val="left" w:pos="8540"/>
              </w:tabs>
              <w:spacing w:line="400" w:lineRule="exact"/>
              <w:ind w:firstLine="480" w:firstLineChars="20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合计总价</w:t>
            </w:r>
          </w:p>
        </w:tc>
        <w:tc>
          <w:tcPr>
            <w:tcW w:w="5220" w:type="dxa"/>
            <w:gridSpan w:val="3"/>
            <w:tcBorders>
              <w:bottom w:val="double" w:color="auto" w:sz="4" w:space="0"/>
            </w:tcBorders>
            <w:noWrap w:val="0"/>
            <w:vAlign w:val="center"/>
          </w:tcPr>
          <w:p>
            <w:pPr>
              <w:pStyle w:val="33"/>
              <w:tabs>
                <w:tab w:val="left" w:pos="8540"/>
              </w:tabs>
              <w:spacing w:line="400" w:lineRule="exact"/>
              <w:ind w:firstLine="480" w:firstLineChars="200"/>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（大写）</w:t>
            </w:r>
          </w:p>
        </w:tc>
        <w:tc>
          <w:tcPr>
            <w:tcW w:w="2160" w:type="dxa"/>
            <w:gridSpan w:val="2"/>
            <w:tcBorders>
              <w:bottom w:val="double" w:color="auto" w:sz="4" w:space="0"/>
              <w:right w:val="double" w:color="auto" w:sz="4" w:space="0"/>
            </w:tcBorders>
            <w:noWrap w:val="0"/>
            <w:vAlign w:val="center"/>
          </w:tcPr>
          <w:p>
            <w:pPr>
              <w:pStyle w:val="33"/>
              <w:tabs>
                <w:tab w:val="left" w:pos="8540"/>
              </w:tabs>
              <w:spacing w:line="400" w:lineRule="exact"/>
              <w:ind w:firstLine="482" w:firstLineChars="200"/>
              <w:jc w:val="center"/>
              <w:rPr>
                <w:rFonts w:hint="eastAsia"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w:t>
            </w:r>
          </w:p>
        </w:tc>
      </w:tr>
    </w:tbl>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八、项目合同支付条款</w:t>
      </w:r>
    </w:p>
    <w:p>
      <w:pPr>
        <w:widowControl/>
        <w:snapToGrid w:val="0"/>
        <w:spacing w:line="400" w:lineRule="exact"/>
        <w:ind w:firstLine="424" w:firstLineChars="177"/>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（一）第一笔款：合同签订生效后，甲方在收到乙方提供的下列单据</w:t>
      </w:r>
      <w:r>
        <w:rPr>
          <w:rFonts w:ascii="仿宋" w:hAnsi="仿宋" w:eastAsia="仿宋" w:cs="宋体"/>
          <w:color w:val="auto"/>
          <w:kern w:val="0"/>
          <w:sz w:val="24"/>
          <w:highlight w:val="none"/>
        </w:rPr>
        <w:t>7</w:t>
      </w:r>
      <w:r>
        <w:rPr>
          <w:rFonts w:hint="eastAsia" w:ascii="仿宋" w:hAnsi="仿宋" w:eastAsia="仿宋" w:cs="宋体"/>
          <w:color w:val="auto"/>
          <w:kern w:val="0"/>
          <w:sz w:val="24"/>
          <w:highlight w:val="none"/>
        </w:rPr>
        <w:t>个工作日内，向乙方支付合同总价的</w:t>
      </w:r>
      <w:r>
        <w:rPr>
          <w:rFonts w:ascii="仿宋" w:hAnsi="仿宋" w:eastAsia="仿宋" w:cs="宋体"/>
          <w:color w:val="auto"/>
          <w:kern w:val="0"/>
          <w:sz w:val="24"/>
          <w:highlight w:val="none"/>
        </w:rPr>
        <w:t>70</w:t>
      </w:r>
      <w:r>
        <w:rPr>
          <w:rFonts w:hint="eastAsia" w:ascii="仿宋" w:hAnsi="仿宋" w:eastAsia="仿宋" w:cs="宋体"/>
          <w:color w:val="auto"/>
          <w:kern w:val="0"/>
          <w:sz w:val="24"/>
          <w:highlight w:val="none"/>
        </w:rPr>
        <w:t>%，即人民币：</w:t>
      </w:r>
      <w:r>
        <w:rPr>
          <w:rFonts w:hint="eastAsia" w:ascii="仿宋" w:hAnsi="仿宋" w:eastAsia="仿宋" w:cs="宋体"/>
          <w:b/>
          <w:color w:val="auto"/>
          <w:kern w:val="0"/>
          <w:sz w:val="24"/>
          <w:highlight w:val="none"/>
          <w:u w:val="single"/>
        </w:rPr>
        <w:t xml:space="preserve">        </w:t>
      </w:r>
      <w:r>
        <w:rPr>
          <w:rFonts w:hint="eastAsia" w:ascii="仿宋" w:hAnsi="仿宋" w:eastAsia="仿宋" w:cs="宋体"/>
          <w:color w:val="auto"/>
          <w:kern w:val="0"/>
          <w:sz w:val="24"/>
          <w:highlight w:val="none"/>
        </w:rPr>
        <w:t xml:space="preserve"> 元</w:t>
      </w:r>
      <w:r>
        <w:rPr>
          <w:rFonts w:hint="eastAsia" w:ascii="仿宋" w:hAnsi="仿宋" w:eastAsia="仿宋" w:cs="宋体"/>
          <w:b/>
          <w:color w:val="auto"/>
          <w:kern w:val="0"/>
          <w:sz w:val="24"/>
          <w:highlight w:val="none"/>
        </w:rPr>
        <w:t>（</w:t>
      </w:r>
      <w:r>
        <w:rPr>
          <w:rFonts w:hint="eastAsia" w:ascii="仿宋" w:hAnsi="仿宋" w:eastAsia="仿宋" w:cs="宋体"/>
          <w:color w:val="auto"/>
          <w:kern w:val="0"/>
          <w:sz w:val="24"/>
          <w:highlight w:val="none"/>
        </w:rPr>
        <w:t>大写：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元整）；</w:t>
      </w:r>
    </w:p>
    <w:p>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下列单据包括：</w:t>
      </w:r>
    </w:p>
    <w:p>
      <w:pPr>
        <w:widowControl/>
        <w:snapToGrid w:val="0"/>
        <w:spacing w:line="400" w:lineRule="exact"/>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1.等额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(普通或者专用)商业发票一份；</w:t>
      </w:r>
    </w:p>
    <w:p>
      <w:pPr>
        <w:widowControl/>
        <w:snapToGrid w:val="0"/>
        <w:spacing w:line="400" w:lineRule="exact"/>
        <w:ind w:firstLine="424" w:firstLineChars="177"/>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（二）第二笔款：项目完成安装、调试上线、初验合格后，甲方在收到乙方提供的下列单据7个工作日内，向乙方支付合同总价的20%，即人民币：</w:t>
      </w:r>
      <w:r>
        <w:rPr>
          <w:rFonts w:hint="eastAsia" w:ascii="仿宋" w:hAnsi="仿宋" w:eastAsia="仿宋" w:cs="宋体"/>
          <w:b/>
          <w:color w:val="auto"/>
          <w:kern w:val="0"/>
          <w:sz w:val="24"/>
          <w:highlight w:val="none"/>
          <w:u w:val="single"/>
        </w:rPr>
        <w:t xml:space="preserve">        </w:t>
      </w:r>
      <w:r>
        <w:rPr>
          <w:rFonts w:hint="eastAsia" w:ascii="仿宋" w:hAnsi="仿宋" w:eastAsia="仿宋" w:cs="宋体"/>
          <w:color w:val="auto"/>
          <w:kern w:val="0"/>
          <w:sz w:val="24"/>
          <w:highlight w:val="none"/>
        </w:rPr>
        <w:t xml:space="preserve"> 元</w:t>
      </w:r>
      <w:r>
        <w:rPr>
          <w:rFonts w:hint="eastAsia" w:ascii="仿宋" w:hAnsi="仿宋" w:eastAsia="仿宋" w:cs="宋体"/>
          <w:b/>
          <w:color w:val="auto"/>
          <w:kern w:val="0"/>
          <w:sz w:val="24"/>
          <w:highlight w:val="none"/>
        </w:rPr>
        <w:t>（</w:t>
      </w:r>
      <w:r>
        <w:rPr>
          <w:rFonts w:hint="eastAsia" w:ascii="仿宋" w:hAnsi="仿宋" w:eastAsia="仿宋" w:cs="宋体"/>
          <w:color w:val="auto"/>
          <w:kern w:val="0"/>
          <w:sz w:val="24"/>
          <w:highlight w:val="none"/>
        </w:rPr>
        <w:t>大写：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元整）；</w:t>
      </w:r>
    </w:p>
    <w:p>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下列单据包括：</w:t>
      </w:r>
    </w:p>
    <w:p>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1.等额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(普通或者专用)商业发票一份；</w:t>
      </w:r>
    </w:p>
    <w:p>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2.项目审批通过的《温州市公安局信息化项目试运行许可审批表》；</w:t>
      </w:r>
    </w:p>
    <w:p>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3.甲乙双方出具的《货物验收单》（定制软件类除外）；</w:t>
      </w:r>
    </w:p>
    <w:p>
      <w:pPr>
        <w:widowControl/>
        <w:snapToGrid w:val="0"/>
        <w:spacing w:line="400" w:lineRule="exact"/>
        <w:ind w:firstLine="480" w:firstLineChars="200"/>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4</w:t>
      </w:r>
      <w:r>
        <w:rPr>
          <w:rFonts w:hint="eastAsia" w:ascii="仿宋" w:hAnsi="仿宋" w:eastAsia="仿宋" w:cs="宋体"/>
          <w:color w:val="auto"/>
          <w:kern w:val="0"/>
          <w:sz w:val="24"/>
          <w:highlight w:val="none"/>
        </w:rPr>
        <w:t>.甲方出具的初验报告。</w:t>
      </w:r>
    </w:p>
    <w:p>
      <w:pPr>
        <w:widowControl/>
        <w:snapToGrid w:val="0"/>
        <w:spacing w:line="400" w:lineRule="exact"/>
        <w:ind w:firstLine="424" w:firstLineChars="177"/>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（三）第三笔款：甲方在项目通过不少于3月的试运行并经验收合格后，在收到乙方提供的下列单据</w:t>
      </w:r>
      <w:r>
        <w:rPr>
          <w:rFonts w:ascii="仿宋" w:hAnsi="仿宋" w:eastAsia="仿宋" w:cs="宋体"/>
          <w:color w:val="auto"/>
          <w:kern w:val="0"/>
          <w:sz w:val="24"/>
          <w:highlight w:val="none"/>
        </w:rPr>
        <w:t>7</w:t>
      </w:r>
      <w:r>
        <w:rPr>
          <w:rFonts w:hint="eastAsia" w:ascii="仿宋" w:hAnsi="仿宋" w:eastAsia="仿宋" w:cs="宋体"/>
          <w:color w:val="auto"/>
          <w:kern w:val="0"/>
          <w:sz w:val="24"/>
          <w:highlight w:val="none"/>
        </w:rPr>
        <w:t>个工作日内，向乙方支付合同总价的</w:t>
      </w: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0%，即人民币：</w:t>
      </w:r>
      <w:r>
        <w:rPr>
          <w:rFonts w:hint="eastAsia" w:ascii="仿宋" w:hAnsi="仿宋" w:eastAsia="仿宋" w:cs="宋体"/>
          <w:b/>
          <w:color w:val="auto"/>
          <w:kern w:val="0"/>
          <w:sz w:val="24"/>
          <w:highlight w:val="none"/>
          <w:u w:val="single"/>
        </w:rPr>
        <w:t xml:space="preserve">        </w:t>
      </w:r>
      <w:r>
        <w:rPr>
          <w:rFonts w:hint="eastAsia" w:ascii="仿宋" w:hAnsi="仿宋" w:eastAsia="仿宋" w:cs="宋体"/>
          <w:color w:val="auto"/>
          <w:kern w:val="0"/>
          <w:sz w:val="24"/>
          <w:highlight w:val="none"/>
        </w:rPr>
        <w:t xml:space="preserve"> 元</w:t>
      </w:r>
      <w:r>
        <w:rPr>
          <w:rFonts w:hint="eastAsia" w:ascii="仿宋" w:hAnsi="仿宋" w:eastAsia="仿宋" w:cs="宋体"/>
          <w:b/>
          <w:color w:val="auto"/>
          <w:kern w:val="0"/>
          <w:sz w:val="24"/>
          <w:highlight w:val="none"/>
        </w:rPr>
        <w:t>（</w:t>
      </w:r>
      <w:r>
        <w:rPr>
          <w:rFonts w:hint="eastAsia" w:ascii="仿宋" w:hAnsi="仿宋" w:eastAsia="仿宋" w:cs="宋体"/>
          <w:color w:val="auto"/>
          <w:kern w:val="0"/>
          <w:sz w:val="24"/>
          <w:highlight w:val="none"/>
        </w:rPr>
        <w:t>大写：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元整</w:t>
      </w:r>
      <w:r>
        <w:rPr>
          <w:rFonts w:hint="eastAsia" w:ascii="仿宋" w:hAnsi="仿宋" w:eastAsia="仿宋" w:cs="宋体"/>
          <w:b/>
          <w:color w:val="auto"/>
          <w:kern w:val="0"/>
          <w:sz w:val="24"/>
          <w:highlight w:val="none"/>
        </w:rPr>
        <w:t>）</w:t>
      </w:r>
      <w:r>
        <w:rPr>
          <w:rFonts w:hint="eastAsia" w:ascii="仿宋" w:hAnsi="仿宋" w:eastAsia="仿宋" w:cs="宋体"/>
          <w:color w:val="auto"/>
          <w:kern w:val="0"/>
          <w:sz w:val="24"/>
          <w:highlight w:val="none"/>
        </w:rPr>
        <w:t>；</w:t>
      </w:r>
    </w:p>
    <w:p>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下列单据包括：</w:t>
      </w:r>
    </w:p>
    <w:p>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 等额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(普通或者专用)商业发票一份；</w:t>
      </w:r>
    </w:p>
    <w:p>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2.试运行情况报告；</w:t>
      </w:r>
    </w:p>
    <w:p>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3.甲方出具的验收报告。</w:t>
      </w:r>
    </w:p>
    <w:p>
      <w:pPr>
        <w:widowControl/>
        <w:snapToGrid w:val="0"/>
        <w:spacing w:line="400" w:lineRule="exact"/>
        <w:ind w:firstLine="480" w:firstLineChars="200"/>
        <w:jc w:val="left"/>
        <w:rPr>
          <w:rFonts w:hint="eastAsia" w:ascii="仿宋" w:hAnsi="仿宋" w:eastAsia="仿宋" w:cs="宋体"/>
          <w:color w:val="auto"/>
          <w:kern w:val="0"/>
          <w:sz w:val="24"/>
          <w:highlight w:val="none"/>
        </w:rPr>
      </w:pP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九、项目合同修改</w:t>
      </w:r>
    </w:p>
    <w:p>
      <w:pPr>
        <w:widowControl/>
        <w:snapToGrid w:val="0"/>
        <w:spacing w:line="400" w:lineRule="exact"/>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项目建设过程中原则上不能进行合同变更、修改和补充。若确需变更，经合同双方协商一致后，由项目建设部门向温州市公安局科技信息化局提交变更申请，并经警保、法制、审计等部门论证、审核。只有在双方授权的代表签署书面文件后才有效，并作为附件成为本合同不可分割的组成部分。</w:t>
      </w:r>
    </w:p>
    <w:p>
      <w:pPr>
        <w:widowControl/>
        <w:snapToGrid w:val="0"/>
        <w:spacing w:line="400" w:lineRule="exact"/>
        <w:ind w:firstLine="480" w:firstLineChars="200"/>
        <w:jc w:val="left"/>
        <w:rPr>
          <w:rFonts w:hint="eastAsia" w:ascii="仿宋" w:hAnsi="仿宋" w:eastAsia="仿宋" w:cs="仿宋_GB2312"/>
          <w:color w:val="auto"/>
          <w:kern w:val="0"/>
          <w:sz w:val="24"/>
          <w:highlight w:val="none"/>
        </w:rPr>
      </w:pP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十、违约责任</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（一）在履行合同的过程中，如果乙方遇到除不可抗力因素外的情形将不能按照合同规定的时间完成系统实施和提供服务时，应当在情况发生时</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日内以书面形式将拖延的事实、可能拖延的时间和原因通知甲方。甲方在收到乙方通知后，应在</w:t>
      </w:r>
      <w:r>
        <w:rPr>
          <w:rFonts w:ascii="仿宋" w:hAnsi="仿宋" w:eastAsia="仿宋" w:cs="仿宋_GB2312"/>
          <w:color w:val="auto"/>
          <w:kern w:val="0"/>
          <w:sz w:val="24"/>
          <w:highlight w:val="none"/>
          <w:u w:val="single"/>
        </w:rPr>
        <w:t xml:space="preserve"> 7</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日内对情况进行评价，并确定是否酌情延长交货时间和提供服务以及是否收取误期赔偿费。</w:t>
      </w:r>
    </w:p>
    <w:p>
      <w:pPr>
        <w:widowControl/>
        <w:snapToGrid w:val="0"/>
        <w:spacing w:line="400" w:lineRule="exact"/>
        <w:ind w:firstLine="424" w:firstLineChars="177"/>
        <w:jc w:val="left"/>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（二）除了合同条款第十二条的情况外，除非延期是根据合同条款第十条第（一）的规定取得甲方的同意而不收取误期赔偿费之外，若乙方违反本合同约定提供服务，</w:t>
      </w:r>
      <w:r>
        <w:rPr>
          <w:rFonts w:hint="eastAsia" w:ascii="仿宋" w:hAnsi="仿宋" w:eastAsia="仿宋" w:cs="仿宋"/>
          <w:color w:val="auto"/>
          <w:sz w:val="24"/>
          <w:highlight w:val="none"/>
        </w:rPr>
        <w:t>甲方可要求乙方支付违约金，违约金按每迟延一日按合同总价的</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%；延期的违约金计算数额达到前述最高限额之日起，甲方有权在要求乙方支付违约金的同时，书面通知乙方解除本合同；</w:t>
      </w:r>
    </w:p>
    <w:p>
      <w:pPr>
        <w:widowControl/>
        <w:snapToGrid w:val="0"/>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除不可抗力外，如果甲方没有按照本合同约定的付款方式付款，那么乙方可要求甲方支付违约金，违约金按每迟延一日按合同总价的</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40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四）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要求按本合同总价</w:t>
      </w:r>
      <w:r>
        <w:rPr>
          <w:rFonts w:ascii="仿宋" w:hAnsi="仿宋" w:eastAsia="仿宋" w:cs="仿宋"/>
          <w:color w:val="auto"/>
          <w:sz w:val="24"/>
          <w:highlight w:val="none"/>
          <w:u w:val="single"/>
        </w:rPr>
        <w:t>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%进行赔偿损失。</w:t>
      </w:r>
    </w:p>
    <w:p>
      <w:pPr>
        <w:spacing w:line="40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（五） 任何一方按照前述约定要求违约方支付违约金的同时，仍有权要求违约方继续履行合同、采取补救措施，当违约金不足以弥补所造成的损失时，可要求违约方按照实际损失进行赔偿；任何一方按照前述约定要求解除本合同的同时，仍有权要求违约方支付违约金，当违约金不足以弥补所造成的损失时，可要求违约方按照实际损失进行赔偿；且守约方行使的任何权利救济方式均不视为其放弃了其他法定或者约定的权利救济方式；</w:t>
      </w:r>
    </w:p>
    <w:p>
      <w:pPr>
        <w:spacing w:line="400" w:lineRule="exact"/>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（六）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00" w:lineRule="exact"/>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 xml:space="preserve">（七） </w:t>
      </w:r>
      <w:r>
        <w:rPr>
          <w:rFonts w:hint="eastAsia" w:ascii="仿宋" w:hAnsi="仿宋" w:eastAsia="仿宋" w:cs="仿宋_GB2312"/>
          <w:color w:val="auto"/>
          <w:kern w:val="0"/>
          <w:sz w:val="24"/>
          <w:highlight w:val="none"/>
        </w:rPr>
        <w:t>在履行合同的过程中，</w:t>
      </w:r>
      <w:r>
        <w:rPr>
          <w:rFonts w:hint="eastAsia" w:ascii="仿宋" w:hAnsi="仿宋" w:eastAsia="仿宋" w:cs="仿宋"/>
          <w:color w:val="auto"/>
          <w:sz w:val="24"/>
          <w:highlight w:val="none"/>
        </w:rPr>
        <w:t>乙方不得转包项目，乙方</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可以/不可以）分包该项目。包仅对本项目的非主体、非关键性内容，接受分包的人应当具备相应的资格条件，并不得再次分包，且乙方应就分包项目向甲方负责，并与分包供应商就分包项目向甲方承担连带责任。否则甲方可以书面通知违约方解除本合同，并要求乙方支付本合同总价</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%赔偿损失。</w:t>
      </w:r>
    </w:p>
    <w:p>
      <w:pPr>
        <w:spacing w:line="400" w:lineRule="exact"/>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（八）如果出现政府采购监督管理部门在处理投诉事项期间，书面通知甲方暂停采购活动的情形，或者询问或质疑事项可能影响中标结果的，导致甲方中止履行合同的情形，均不视为甲方违约；</w:t>
      </w:r>
    </w:p>
    <w:p>
      <w:pPr>
        <w:widowControl/>
        <w:snapToGrid w:val="0"/>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九）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十一、项目合同终止</w:t>
      </w:r>
    </w:p>
    <w:p>
      <w:pPr>
        <w:widowControl/>
        <w:numPr>
          <w:ilvl w:val="0"/>
          <w:numId w:val="8"/>
        </w:numPr>
        <w:snapToGrid w:val="0"/>
        <w:spacing w:line="400" w:lineRule="exact"/>
        <w:ind w:left="0" w:firstLine="424" w:firstLineChars="177"/>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双方当事人不得擅自中止或者终止合同； </w:t>
      </w:r>
    </w:p>
    <w:p>
      <w:pPr>
        <w:widowControl/>
        <w:numPr>
          <w:ilvl w:val="0"/>
          <w:numId w:val="8"/>
        </w:numPr>
        <w:snapToGrid w:val="0"/>
        <w:spacing w:line="400" w:lineRule="exact"/>
        <w:ind w:left="0" w:firstLine="424" w:firstLineChars="177"/>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合同继续履行将损害国家利益和社会公共利益的，双方当事人应当中止或者终止合同。有过错的一方应当承担赔偿责任，双方当事人都有过错的，各自承担相应的责任；</w:t>
      </w:r>
    </w:p>
    <w:p>
      <w:pPr>
        <w:numPr>
          <w:ilvl w:val="0"/>
          <w:numId w:val="8"/>
        </w:numPr>
        <w:spacing w:line="400" w:lineRule="exact"/>
        <w:ind w:left="142" w:firstLine="283" w:firstLineChars="118"/>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idowControl/>
        <w:snapToGrid w:val="0"/>
        <w:spacing w:line="400" w:lineRule="exact"/>
        <w:ind w:firstLine="482" w:firstLineChars="200"/>
        <w:jc w:val="left"/>
        <w:outlineLvl w:val="0"/>
        <w:rPr>
          <w:rFonts w:hint="eastAsia" w:ascii="仿宋" w:hAnsi="仿宋" w:eastAsia="仿宋" w:cs="宋体"/>
          <w:b/>
          <w:bCs/>
          <w:color w:val="auto"/>
          <w:kern w:val="0"/>
          <w:sz w:val="24"/>
          <w:highlight w:val="none"/>
        </w:rPr>
      </w:pP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十二、不可抗力</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（二）签约双方任一方由于受不可抗力事件的影响而不能执行合同时，履行合同的期限应予以延长，其延长的期限应相当于事件所影响的时间；</w:t>
      </w:r>
    </w:p>
    <w:p>
      <w:pPr>
        <w:spacing w:line="400" w:lineRule="exact"/>
        <w:ind w:firstLine="424" w:firstLineChars="177"/>
        <w:rPr>
          <w:rFonts w:hint="eastAsia" w:ascii="仿宋" w:hAnsi="仿宋" w:cs="仿宋_GB2312"/>
          <w:color w:val="auto"/>
          <w:kern w:val="0"/>
          <w:sz w:val="24"/>
          <w:highlight w:val="none"/>
        </w:rPr>
      </w:pPr>
      <w:r>
        <w:rPr>
          <w:rFonts w:hint="eastAsia" w:ascii="仿宋" w:hAnsi="仿宋" w:eastAsia="仿宋" w:cs="仿宋_GB2312"/>
          <w:color w:val="auto"/>
          <w:kern w:val="0"/>
          <w:sz w:val="24"/>
          <w:highlight w:val="none"/>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预计持续</w:t>
      </w:r>
      <w:r>
        <w:rPr>
          <w:rFonts w:ascii="仿宋" w:hAnsi="仿宋" w:eastAsia="仿宋" w:cs="仿宋_GB2312"/>
          <w:color w:val="auto"/>
          <w:kern w:val="0"/>
          <w:sz w:val="24"/>
          <w:highlight w:val="none"/>
        </w:rPr>
        <w:t>60</w:t>
      </w:r>
      <w:r>
        <w:rPr>
          <w:rFonts w:hint="eastAsia" w:ascii="仿宋" w:hAnsi="仿宋" w:eastAsia="仿宋" w:cs="仿宋_GB2312"/>
          <w:color w:val="auto"/>
          <w:kern w:val="0"/>
          <w:sz w:val="24"/>
          <w:highlight w:val="none"/>
        </w:rPr>
        <w:t>天以上，双方应通过友好协商</w:t>
      </w:r>
      <w:r>
        <w:rPr>
          <w:rFonts w:ascii="仿宋" w:hAnsi="仿宋" w:eastAsia="仿宋" w:cs="仿宋_GB2312"/>
          <w:color w:val="auto"/>
          <w:kern w:val="0"/>
          <w:sz w:val="24"/>
          <w:highlight w:val="none"/>
        </w:rPr>
        <w:t>15</w:t>
      </w:r>
      <w:r>
        <w:rPr>
          <w:rFonts w:hint="eastAsia" w:ascii="仿宋" w:hAnsi="仿宋" w:eastAsia="仿宋" w:cs="仿宋_GB2312"/>
          <w:color w:val="auto"/>
          <w:kern w:val="0"/>
          <w:sz w:val="24"/>
          <w:highlight w:val="none"/>
        </w:rPr>
        <w:t>天的时间内达成进一步履行合同的协议，如不能达成共识，任何一方有权单方解除合同，可依据合同中争议解决条款，具体受到哪些损失、应该怎样赔偿，需由有解决权的机关判定</w:t>
      </w:r>
      <w:r>
        <w:rPr>
          <w:rFonts w:hint="eastAsia"/>
          <w:color w:val="auto"/>
          <w:highlight w:val="none"/>
        </w:rPr>
        <w:t>。</w:t>
      </w: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十三、项目保密</w:t>
      </w:r>
    </w:p>
    <w:p>
      <w:pPr>
        <w:widowControl/>
        <w:tabs>
          <w:tab w:val="left" w:pos="0"/>
        </w:tabs>
        <w:spacing w:line="400" w:lineRule="exact"/>
        <w:ind w:firstLine="424" w:firstLineChars="177"/>
        <w:jc w:val="left"/>
        <w:rPr>
          <w:rFonts w:ascii="仿宋" w:hAnsi="仿宋" w:eastAsia="仿宋"/>
          <w:color w:val="auto"/>
          <w:sz w:val="24"/>
          <w:highlight w:val="none"/>
        </w:rPr>
      </w:pPr>
      <w:bookmarkStart w:id="460" w:name="_Hlk95233671"/>
      <w:r>
        <w:rPr>
          <w:rFonts w:hint="eastAsia" w:ascii="仿宋" w:hAnsi="仿宋" w:eastAsia="仿宋"/>
          <w:color w:val="auto"/>
          <w:sz w:val="24"/>
          <w:highlight w:val="none"/>
          <w:shd w:val="clear" w:color="auto" w:fill="FFFFFF"/>
        </w:rPr>
        <w:t>（一）甲方向乙方提供的所有资料，仅供本项目小组人员参考使用，乙方须严守资料中所涉秘密、妥善保管，不得遗失、不得向本项目小组以外的单位或个人转借、复印等，不得用于与本项目研发、运行无关的用途。乙方更换本项目小组成员时应获得甲方书面同意，并立即向项目小组成员收回甲方提供的所以资料，否则</w:t>
      </w:r>
      <w:bookmarkEnd w:id="460"/>
      <w:r>
        <w:rPr>
          <w:rFonts w:hint="eastAsia" w:ascii="仿宋" w:hAnsi="仿宋" w:eastAsia="仿宋" w:cs="仿宋_GB2312"/>
          <w:color w:val="auto"/>
          <w:kern w:val="0"/>
          <w:sz w:val="24"/>
          <w:highlight w:val="none"/>
        </w:rPr>
        <w:t>乙方应承担违约责任，向甲方支付违约金，违约金数额为本合同总价的</w:t>
      </w:r>
      <w:r>
        <w:rPr>
          <w:rFonts w:ascii="仿宋" w:hAnsi="仿宋" w:eastAsia="仿宋" w:cs="仿宋_GB2312"/>
          <w:color w:val="auto"/>
          <w:kern w:val="0"/>
          <w:sz w:val="24"/>
          <w:highlight w:val="none"/>
        </w:rPr>
        <w:t>20%</w:t>
      </w:r>
      <w:r>
        <w:rPr>
          <w:rFonts w:hint="eastAsia" w:ascii="仿宋" w:hAnsi="仿宋" w:eastAsia="仿宋" w:cs="仿宋_GB2312"/>
          <w:color w:val="auto"/>
          <w:kern w:val="0"/>
          <w:sz w:val="24"/>
          <w:highlight w:val="none"/>
        </w:rPr>
        <w:t>；</w:t>
      </w:r>
    </w:p>
    <w:p>
      <w:pPr>
        <w:widowControl/>
        <w:tabs>
          <w:tab w:val="left" w:pos="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（二）乙方发现甲方的保密事项已经泄露或可能泄露时，应当立即采取补救措施，并及时书面报告甲方；</w:t>
      </w:r>
    </w:p>
    <w:p>
      <w:pPr>
        <w:widowControl/>
        <w:tabs>
          <w:tab w:val="left" w:pos="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（三）本项目完成后15天内，乙方应主动退还本项目过程中甲方提供的全部资料；</w:t>
      </w:r>
    </w:p>
    <w:p>
      <w:pPr>
        <w:widowControl/>
        <w:tabs>
          <w:tab w:val="left" w:pos="56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（四）乙方在接受和退还涉密内容的资料时建立登记制度；</w:t>
      </w:r>
    </w:p>
    <w:p>
      <w:pPr>
        <w:widowControl/>
        <w:tabs>
          <w:tab w:val="left" w:pos="56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（五）乙方造成的泄失密事件，乙方应承担违约责任，向甲方支付违约金，违约金数额为本合同总价的</w:t>
      </w:r>
      <w:r>
        <w:rPr>
          <w:rFonts w:ascii="仿宋" w:hAnsi="仿宋" w:eastAsia="仿宋" w:cs="仿宋_GB2312"/>
          <w:color w:val="auto"/>
          <w:kern w:val="0"/>
          <w:sz w:val="24"/>
          <w:highlight w:val="none"/>
        </w:rPr>
        <w:t>20%</w:t>
      </w:r>
      <w:r>
        <w:rPr>
          <w:rFonts w:hint="eastAsia" w:ascii="仿宋" w:hAnsi="仿宋" w:eastAsia="仿宋" w:cs="仿宋_GB2312"/>
          <w:color w:val="auto"/>
          <w:kern w:val="0"/>
          <w:sz w:val="24"/>
          <w:highlight w:val="none"/>
        </w:rPr>
        <w:t>，若泄密事件造成甲方的实际经济损失大于违约金数额，则乙方应赔偿甲方实际经济损失；构成刑事犯罪的，还应依法追究刑事责任；</w:t>
      </w:r>
    </w:p>
    <w:p>
      <w:pPr>
        <w:widowControl/>
        <w:tabs>
          <w:tab w:val="left" w:pos="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六）本项目所有文档及本项目所接触的双方资料，未经对方授权代表书面许可，不得向与合同无关的其他方泄漏任何技术文件或与合同有关的数据，包括合同本身。不论本协议或合同是否期满、变更、解除、终止，本条款均有效；</w:t>
      </w:r>
    </w:p>
    <w:p>
      <w:pPr>
        <w:widowControl/>
        <w:tabs>
          <w:tab w:val="left" w:pos="0"/>
        </w:tabs>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（七）乙方应与甲方签订安全保密协议（附件六），甲方有权对乙方进行资格审查，开展安全教育，落实安全监管措施，指派具有相应技术能力的人员对乙方操作行为全程监督、严格审计。</w:t>
      </w:r>
    </w:p>
    <w:p>
      <w:pPr>
        <w:widowControl/>
        <w:tabs>
          <w:tab w:val="left" w:pos="0"/>
        </w:tabs>
        <w:spacing w:line="400" w:lineRule="exact"/>
        <w:ind w:firstLine="424" w:firstLineChars="177"/>
        <w:jc w:val="left"/>
        <w:rPr>
          <w:rFonts w:hint="eastAsia" w:ascii="仿宋" w:hAnsi="仿宋" w:eastAsia="仿宋" w:cs="仿宋_GB2312"/>
          <w:color w:val="auto"/>
          <w:kern w:val="0"/>
          <w:sz w:val="24"/>
          <w:highlight w:val="none"/>
        </w:rPr>
      </w:pPr>
    </w:p>
    <w:p>
      <w:pPr>
        <w:spacing w:line="400" w:lineRule="exact"/>
        <w:ind w:firstLine="424" w:firstLineChars="176"/>
        <w:outlineLvl w:val="0"/>
        <w:rPr>
          <w:rFonts w:hint="eastAsia" w:ascii="仿宋" w:hAnsi="仿宋" w:eastAsia="仿宋" w:cs="黑体"/>
          <w:b/>
          <w:color w:val="auto"/>
          <w:kern w:val="0"/>
          <w:sz w:val="24"/>
          <w:highlight w:val="none"/>
        </w:rPr>
      </w:pPr>
      <w:r>
        <w:rPr>
          <w:rFonts w:hint="eastAsia" w:ascii="仿宋" w:hAnsi="仿宋" w:eastAsia="仿宋" w:cs="黑体"/>
          <w:b/>
          <w:color w:val="auto"/>
          <w:kern w:val="0"/>
          <w:sz w:val="24"/>
          <w:highlight w:val="none"/>
        </w:rPr>
        <w:t>十四、争议解决方式</w:t>
      </w:r>
    </w:p>
    <w:p>
      <w:pPr>
        <w:spacing w:line="400" w:lineRule="exact"/>
        <w:ind w:firstLine="424" w:firstLineChars="177"/>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（一）合同的实施或与合同有关的一切争端应通过双方友好协商解决。如果友好协商自争端出现之日起60天后还不能解决，任何一方都可依法提交甲方所在地有管辖权的人民法院解决；</w:t>
      </w:r>
    </w:p>
    <w:p>
      <w:pPr>
        <w:spacing w:line="400" w:lineRule="exact"/>
        <w:ind w:firstLine="424" w:firstLineChars="177"/>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（二）由此产生的所有费用，包括但不限于诉讼费、律师费、公告费、保全费、差旅费等一切费用由败诉方承担；</w:t>
      </w:r>
    </w:p>
    <w:p>
      <w:pPr>
        <w:spacing w:line="400" w:lineRule="exact"/>
        <w:ind w:firstLine="424" w:firstLineChars="177"/>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（三）在诉讼期间，除正在进行诉讼的部分以外，双方应继续执行合同的其余部分；</w:t>
      </w:r>
    </w:p>
    <w:p>
      <w:pPr>
        <w:spacing w:line="400" w:lineRule="exact"/>
        <w:ind w:firstLine="424" w:firstLineChars="177"/>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（四）本合同适用中华人民共和国法律。</w:t>
      </w:r>
    </w:p>
    <w:p>
      <w:pPr>
        <w:spacing w:line="400" w:lineRule="exact"/>
        <w:ind w:firstLine="426" w:firstLineChars="177"/>
        <w:rPr>
          <w:rFonts w:hint="eastAsia" w:ascii="仿宋" w:hAnsi="仿宋" w:eastAsia="仿宋" w:cs="仿宋_GB2312"/>
          <w:b/>
          <w:color w:val="auto"/>
          <w:kern w:val="0"/>
          <w:sz w:val="24"/>
          <w:highlight w:val="none"/>
        </w:rPr>
      </w:pP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十五、项目合同附件清单</w:t>
      </w:r>
    </w:p>
    <w:p>
      <w:pPr>
        <w:widowControl/>
        <w:snapToGrid w:val="0"/>
        <w:spacing w:line="400" w:lineRule="exact"/>
        <w:ind w:firstLine="480" w:firstLineChars="200"/>
        <w:jc w:val="left"/>
        <w:outlineLvl w:val="1"/>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附件一：招标文件</w:t>
      </w:r>
    </w:p>
    <w:p>
      <w:pPr>
        <w:widowControl/>
        <w:snapToGrid w:val="0"/>
        <w:spacing w:line="400" w:lineRule="exact"/>
        <w:ind w:firstLine="480" w:firstLineChars="200"/>
        <w:jc w:val="left"/>
        <w:outlineLvl w:val="1"/>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附件二：乙方投标书</w:t>
      </w:r>
    </w:p>
    <w:p>
      <w:pPr>
        <w:widowControl/>
        <w:snapToGrid w:val="0"/>
        <w:spacing w:line="400" w:lineRule="exact"/>
        <w:ind w:firstLine="480" w:firstLineChars="200"/>
        <w:jc w:val="left"/>
        <w:outlineLvl w:val="1"/>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附件三：《技术支持和售后服务方案》</w:t>
      </w:r>
    </w:p>
    <w:p>
      <w:pPr>
        <w:widowControl/>
        <w:snapToGrid w:val="0"/>
        <w:spacing w:line="400" w:lineRule="exact"/>
        <w:ind w:firstLine="480" w:firstLineChars="200"/>
        <w:jc w:val="left"/>
        <w:outlineLvl w:val="1"/>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附件四：</w:t>
      </w:r>
      <w:r>
        <w:rPr>
          <w:rFonts w:hint="eastAsia" w:ascii="仿宋" w:hAnsi="仿宋" w:eastAsia="仿宋" w:cs="仿宋"/>
          <w:color w:val="auto"/>
          <w:sz w:val="24"/>
          <w:highlight w:val="none"/>
        </w:rPr>
        <w:t>验收主要指标和标准</w:t>
      </w:r>
    </w:p>
    <w:p>
      <w:pPr>
        <w:widowControl/>
        <w:snapToGrid w:val="0"/>
        <w:spacing w:line="400" w:lineRule="exact"/>
        <w:ind w:firstLine="480" w:firstLineChars="200"/>
        <w:jc w:val="left"/>
        <w:outlineLvl w:val="1"/>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附件五：项目管理小组成员</w:t>
      </w:r>
    </w:p>
    <w:p>
      <w:pPr>
        <w:widowControl/>
        <w:snapToGrid w:val="0"/>
        <w:spacing w:line="400" w:lineRule="exact"/>
        <w:ind w:firstLine="480" w:firstLineChars="200"/>
        <w:jc w:val="left"/>
        <w:outlineLvl w:val="1"/>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附件六：保密协议</w:t>
      </w:r>
    </w:p>
    <w:p>
      <w:pPr>
        <w:widowControl/>
        <w:snapToGrid w:val="0"/>
        <w:spacing w:line="400" w:lineRule="exact"/>
        <w:ind w:firstLine="480" w:firstLineChars="200"/>
        <w:jc w:val="left"/>
        <w:outlineLvl w:val="1"/>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（可按项目实际</w:t>
      </w:r>
      <w:r>
        <w:rPr>
          <w:rFonts w:hint="eastAsia" w:ascii="仿宋" w:hAnsi="仿宋" w:eastAsia="仿宋" w:cs="仿宋_GB2312"/>
          <w:b/>
          <w:bCs/>
          <w:color w:val="auto"/>
          <w:kern w:val="0"/>
          <w:sz w:val="24"/>
          <w:highlight w:val="none"/>
        </w:rPr>
        <w:t>增加</w:t>
      </w:r>
      <w:r>
        <w:rPr>
          <w:rFonts w:hint="eastAsia" w:ascii="仿宋" w:hAnsi="仿宋" w:eastAsia="仿宋" w:cs="仿宋_GB2312"/>
          <w:color w:val="auto"/>
          <w:kern w:val="0"/>
          <w:sz w:val="24"/>
          <w:highlight w:val="none"/>
        </w:rPr>
        <w:t>附件内容）</w:t>
      </w:r>
    </w:p>
    <w:p>
      <w:pPr>
        <w:widowControl/>
        <w:snapToGrid w:val="0"/>
        <w:spacing w:line="400" w:lineRule="exact"/>
        <w:ind w:firstLine="480" w:firstLineChars="200"/>
        <w:jc w:val="left"/>
        <w:outlineLvl w:val="1"/>
        <w:rPr>
          <w:rFonts w:hint="eastAsia" w:ascii="仿宋" w:hAnsi="仿宋" w:eastAsia="仿宋" w:cs="仿宋_GB2312"/>
          <w:color w:val="auto"/>
          <w:kern w:val="0"/>
          <w:sz w:val="24"/>
          <w:highlight w:val="none"/>
        </w:rPr>
      </w:pPr>
    </w:p>
    <w:p>
      <w:pPr>
        <w:widowControl/>
        <w:snapToGrid w:val="0"/>
        <w:spacing w:line="400" w:lineRule="exact"/>
        <w:ind w:firstLine="424" w:firstLineChars="176"/>
        <w:jc w:val="left"/>
        <w:outlineLvl w:val="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十六、项目合同生效及其它</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（一）本合同自双方授权代表签字并加盖公章之日起生效；</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（二）本合同一式</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份，甲方执</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份，乙方执</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份，代理执</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份。</w:t>
      </w:r>
      <w:r>
        <w:rPr>
          <w:rFonts w:hint="eastAsia" w:ascii="仿宋" w:hAnsi="仿宋" w:eastAsia="仿宋" w:cs="仿宋_GB2312"/>
          <w:bCs/>
          <w:color w:val="auto"/>
          <w:kern w:val="0"/>
          <w:sz w:val="24"/>
          <w:highlight w:val="none"/>
        </w:rPr>
        <w:t>本项目合同附件及招标文件、乙方投标书等是合同不可分</w:t>
      </w:r>
      <w:r>
        <w:rPr>
          <w:rFonts w:hint="eastAsia" w:ascii="仿宋" w:hAnsi="仿宋" w:eastAsia="仿宋" w:cs="仿宋_GB2312"/>
          <w:color w:val="auto"/>
          <w:kern w:val="0"/>
          <w:sz w:val="24"/>
          <w:highlight w:val="none"/>
        </w:rPr>
        <w:t>割的一部分，具有同等法律效力；</w:t>
      </w:r>
    </w:p>
    <w:p>
      <w:pPr>
        <w:widowControl/>
        <w:snapToGrid w:val="0"/>
        <w:spacing w:line="400" w:lineRule="exact"/>
        <w:ind w:firstLine="424" w:firstLineChars="177"/>
        <w:jc w:val="left"/>
        <w:rPr>
          <w:rFonts w:ascii="仿宋" w:hAnsi="仿宋" w:eastAsia="仿宋" w:cs="仿宋_GB2312"/>
          <w:bCs/>
          <w:color w:val="auto"/>
          <w:kern w:val="0"/>
          <w:sz w:val="24"/>
          <w:highlight w:val="none"/>
        </w:rPr>
      </w:pPr>
      <w:r>
        <w:rPr>
          <w:rFonts w:hint="eastAsia" w:ascii="仿宋" w:hAnsi="仿宋" w:eastAsia="仿宋" w:cs="仿宋_GB2312"/>
          <w:bCs/>
          <w:color w:val="auto"/>
          <w:kern w:val="0"/>
          <w:sz w:val="24"/>
          <w:highlight w:val="none"/>
        </w:rPr>
        <w:t>（三）本合同终止日期为设备及系统保修期的结束日期，到期后自行终止；</w:t>
      </w: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（四）送达条款。</w:t>
      </w:r>
    </w:p>
    <w:p>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16.4.1 本合同项下任何一方向对方发出的通知、信件、数据电文等，应当发送至本合同（首部/附件/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16.4.2 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16.4.3 本合同（首部/附件/第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16.4.4 合同送达条款与争议解决条款均为独立条款，不受合同整体或其他条款的效力的影响。</w:t>
      </w:r>
    </w:p>
    <w:p>
      <w:pPr>
        <w:widowControl/>
        <w:snapToGrid w:val="0"/>
        <w:spacing w:line="400" w:lineRule="exact"/>
        <w:ind w:firstLine="480" w:firstLineChars="200"/>
        <w:jc w:val="left"/>
        <w:rPr>
          <w:rFonts w:ascii="仿宋" w:hAnsi="仿宋" w:eastAsia="仿宋" w:cs="仿宋_GB2312"/>
          <w:bCs/>
          <w:color w:val="auto"/>
          <w:kern w:val="0"/>
          <w:sz w:val="24"/>
          <w:highlight w:val="none"/>
        </w:rPr>
      </w:pPr>
    </w:p>
    <w:p>
      <w:pPr>
        <w:widowControl/>
        <w:snapToGrid w:val="0"/>
        <w:spacing w:line="400" w:lineRule="exact"/>
        <w:ind w:firstLine="424" w:firstLineChars="176"/>
        <w:jc w:val="left"/>
        <w:rPr>
          <w:rFonts w:hint="eastAsia" w:ascii="仿宋" w:hAnsi="仿宋" w:eastAsia="仿宋" w:cs="仿宋_GB2312"/>
          <w:bCs/>
          <w:color w:val="auto"/>
          <w:kern w:val="0"/>
          <w:sz w:val="24"/>
          <w:highlight w:val="none"/>
        </w:rPr>
      </w:pPr>
      <w:r>
        <w:rPr>
          <w:rFonts w:hint="eastAsia" w:ascii="仿宋" w:hAnsi="仿宋" w:eastAsia="仿宋" w:cs="宋体"/>
          <w:b/>
          <w:bCs/>
          <w:color w:val="auto"/>
          <w:kern w:val="0"/>
          <w:sz w:val="24"/>
          <w:highlight w:val="none"/>
        </w:rPr>
        <w:t>十七、项目合同签字并盖章</w:t>
      </w:r>
    </w:p>
    <w:p>
      <w:pPr>
        <w:widowControl/>
        <w:spacing w:line="400" w:lineRule="exact"/>
        <w:jc w:val="left"/>
        <w:outlineLvl w:val="0"/>
        <w:rPr>
          <w:rFonts w:hint="eastAsia" w:ascii="仿宋" w:hAnsi="仿宋" w:eastAsia="仿宋" w:cs="宋体"/>
          <w:b/>
          <w:bCs/>
          <w:color w:val="auto"/>
          <w:kern w:val="0"/>
          <w:sz w:val="24"/>
          <w:highlight w:val="none"/>
        </w:rPr>
      </w:pPr>
    </w:p>
    <w:p>
      <w:pPr>
        <w:widowControl/>
        <w:spacing w:line="400" w:lineRule="exact"/>
        <w:ind w:left="5280" w:firstLine="480" w:firstLineChars="200"/>
        <w:jc w:val="left"/>
        <w:rPr>
          <w:rFonts w:hint="eastAsia" w:ascii="仿宋" w:hAnsi="仿宋" w:eastAsia="仿宋" w:cs="宋体"/>
          <w:color w:val="auto"/>
          <w:kern w:val="0"/>
          <w:sz w:val="24"/>
          <w:highlight w:val="none"/>
        </w:rPr>
      </w:pPr>
    </w:p>
    <w:p>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甲方：温州市公安局                   乙方： </w:t>
      </w:r>
    </w:p>
    <w:p>
      <w:pPr>
        <w:widowControl/>
        <w:spacing w:line="400" w:lineRule="exact"/>
        <w:ind w:firstLine="480" w:firstLineChars="200"/>
        <w:jc w:val="left"/>
        <w:rPr>
          <w:rFonts w:hint="eastAsia" w:ascii="仿宋" w:hAnsi="仿宋" w:eastAsia="仿宋" w:cs="仿宋_GB2312"/>
          <w:color w:val="auto"/>
          <w:kern w:val="0"/>
          <w:sz w:val="24"/>
          <w:highlight w:val="none"/>
        </w:rPr>
      </w:pPr>
    </w:p>
    <w:p>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法定（委托）代表人（签字）：         法定（委托）代表人（签字）：</w:t>
      </w:r>
    </w:p>
    <w:p>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项目联系人：                         项目联系人：</w:t>
      </w:r>
    </w:p>
    <w:p>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通信地址：                           通信地址： </w:t>
      </w:r>
    </w:p>
    <w:p>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电话：                               电话：</w:t>
      </w:r>
    </w:p>
    <w:p>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传真：                               传真：</w:t>
      </w:r>
    </w:p>
    <w:p>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签字日期：    年   月   日       签字日期：    年   月   日</w:t>
      </w:r>
    </w:p>
    <w:p>
      <w:pPr>
        <w:widowControl/>
        <w:spacing w:line="400" w:lineRule="exact"/>
        <w:ind w:firstLine="482" w:firstLineChars="200"/>
        <w:jc w:val="center"/>
        <w:rPr>
          <w:rFonts w:ascii="仿宋" w:hAnsi="仿宋" w:eastAsia="仿宋" w:cs="宋体"/>
          <w:b/>
          <w:bCs/>
          <w:color w:val="auto"/>
          <w:kern w:val="0"/>
          <w:sz w:val="24"/>
          <w:highlight w:val="none"/>
        </w:rPr>
      </w:pPr>
      <w:bookmarkStart w:id="461" w:name="_Toc63837503"/>
    </w:p>
    <w:p>
      <w:pPr>
        <w:widowControl/>
        <w:spacing w:line="400" w:lineRule="exact"/>
        <w:ind w:firstLine="482" w:firstLineChars="200"/>
        <w:rPr>
          <w:rFonts w:hint="eastAsia" w:ascii="仿宋" w:hAnsi="仿宋" w:eastAsia="仿宋" w:cs="宋体"/>
          <w:b/>
          <w:bCs/>
          <w:color w:val="auto"/>
          <w:kern w:val="0"/>
          <w:sz w:val="24"/>
          <w:highlight w:val="none"/>
        </w:rPr>
      </w:pPr>
    </w:p>
    <w:p>
      <w:pPr>
        <w:widowControl/>
        <w:spacing w:line="400" w:lineRule="exact"/>
        <w:ind w:firstLine="482" w:firstLineChars="200"/>
        <w:rPr>
          <w:rFonts w:ascii="仿宋" w:hAnsi="仿宋" w:eastAsia="仿宋" w:cs="宋体"/>
          <w:b/>
          <w:bCs/>
          <w:color w:val="auto"/>
          <w:kern w:val="0"/>
          <w:sz w:val="24"/>
          <w:highlight w:val="none"/>
        </w:rPr>
      </w:pPr>
    </w:p>
    <w:p>
      <w:pPr>
        <w:widowControl/>
        <w:spacing w:line="400" w:lineRule="exact"/>
        <w:ind w:firstLine="482" w:firstLineChars="200"/>
        <w:rPr>
          <w:rFonts w:ascii="仿宋" w:hAnsi="仿宋" w:eastAsia="仿宋" w:cs="宋体"/>
          <w:b/>
          <w:bCs/>
          <w:color w:val="auto"/>
          <w:kern w:val="0"/>
          <w:sz w:val="24"/>
          <w:highlight w:val="none"/>
        </w:rPr>
      </w:pPr>
    </w:p>
    <w:p>
      <w:pPr>
        <w:widowControl/>
        <w:spacing w:line="400" w:lineRule="exact"/>
        <w:ind w:firstLine="482" w:firstLineChars="200"/>
        <w:rPr>
          <w:rFonts w:ascii="仿宋" w:hAnsi="仿宋" w:eastAsia="仿宋" w:cs="宋体"/>
          <w:b/>
          <w:bCs/>
          <w:color w:val="auto"/>
          <w:kern w:val="0"/>
          <w:sz w:val="24"/>
          <w:highlight w:val="none"/>
        </w:rPr>
      </w:pPr>
    </w:p>
    <w:p>
      <w:pPr>
        <w:widowControl/>
        <w:spacing w:line="400" w:lineRule="exact"/>
        <w:ind w:firstLine="482" w:firstLineChars="200"/>
        <w:rPr>
          <w:rFonts w:ascii="仿宋" w:hAnsi="仿宋" w:eastAsia="仿宋" w:cs="宋体"/>
          <w:b/>
          <w:bCs/>
          <w:color w:val="auto"/>
          <w:kern w:val="0"/>
          <w:sz w:val="24"/>
          <w:highlight w:val="none"/>
        </w:rPr>
      </w:pPr>
    </w:p>
    <w:p>
      <w:pPr>
        <w:widowControl/>
        <w:spacing w:line="400" w:lineRule="exact"/>
        <w:ind w:firstLine="480" w:firstLineChars="200"/>
        <w:jc w:val="left"/>
        <w:rPr>
          <w:rFonts w:ascii="仿宋" w:hAnsi="仿宋" w:eastAsia="仿宋" w:cs="宋体"/>
          <w:color w:val="auto"/>
          <w:kern w:val="0"/>
          <w:sz w:val="24"/>
          <w:highlight w:val="none"/>
        </w:rPr>
      </w:pPr>
    </w:p>
    <w:p>
      <w:pPr>
        <w:widowControl/>
        <w:spacing w:line="400" w:lineRule="exact"/>
        <w:ind w:firstLine="480" w:firstLineChars="200"/>
        <w:jc w:val="left"/>
        <w:rPr>
          <w:rFonts w:ascii="仿宋" w:hAnsi="仿宋" w:eastAsia="仿宋" w:cs="宋体"/>
          <w:color w:val="auto"/>
          <w:kern w:val="0"/>
          <w:sz w:val="24"/>
          <w:highlight w:val="none"/>
        </w:rPr>
      </w:pPr>
    </w:p>
    <w:p>
      <w:pPr>
        <w:widowControl/>
        <w:spacing w:line="400" w:lineRule="exact"/>
        <w:ind w:firstLine="480" w:firstLineChars="200"/>
        <w:jc w:val="left"/>
        <w:rPr>
          <w:rFonts w:ascii="仿宋" w:hAnsi="仿宋" w:eastAsia="仿宋" w:cs="宋体"/>
          <w:color w:val="auto"/>
          <w:kern w:val="0"/>
          <w:sz w:val="24"/>
          <w:highlight w:val="none"/>
        </w:rPr>
      </w:pPr>
    </w:p>
    <w:p>
      <w:pPr>
        <w:widowControl/>
        <w:spacing w:line="400" w:lineRule="exact"/>
        <w:ind w:firstLine="480" w:firstLineChars="200"/>
        <w:jc w:val="left"/>
        <w:rPr>
          <w:rFonts w:ascii="仿宋" w:hAnsi="仿宋" w:eastAsia="仿宋" w:cs="宋体"/>
          <w:color w:val="auto"/>
          <w:kern w:val="0"/>
          <w:sz w:val="24"/>
          <w:highlight w:val="none"/>
        </w:rPr>
      </w:pPr>
    </w:p>
    <w:p>
      <w:pPr>
        <w:widowControl/>
        <w:spacing w:line="400" w:lineRule="exact"/>
        <w:ind w:firstLine="480" w:firstLineChars="200"/>
        <w:jc w:val="left"/>
        <w:rPr>
          <w:rFonts w:hint="eastAsia" w:ascii="仿宋" w:hAnsi="仿宋" w:eastAsia="仿宋" w:cs="宋体"/>
          <w:color w:val="auto"/>
          <w:kern w:val="0"/>
          <w:sz w:val="24"/>
          <w:highlight w:val="none"/>
        </w:rPr>
      </w:pPr>
    </w:p>
    <w:p>
      <w:pPr>
        <w:widowControl/>
        <w:spacing w:line="400" w:lineRule="exact"/>
        <w:ind w:firstLine="480" w:firstLineChars="200"/>
        <w:jc w:val="left"/>
        <w:rPr>
          <w:rFonts w:ascii="仿宋" w:hAnsi="仿宋" w:eastAsia="仿宋" w:cs="宋体"/>
          <w:color w:val="auto"/>
          <w:kern w:val="0"/>
          <w:sz w:val="24"/>
          <w:highlight w:val="none"/>
        </w:rPr>
      </w:pPr>
    </w:p>
    <w:p>
      <w:pPr>
        <w:widowControl/>
        <w:spacing w:line="400" w:lineRule="exact"/>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附件一</w:t>
      </w:r>
    </w:p>
    <w:p>
      <w:pPr>
        <w:widowControl/>
        <w:spacing w:line="400" w:lineRule="exact"/>
        <w:ind w:firstLine="480" w:firstLineChars="200"/>
        <w:jc w:val="left"/>
        <w:rPr>
          <w:rFonts w:ascii="仿宋" w:hAnsi="仿宋" w:eastAsia="仿宋" w:cs="宋体"/>
          <w:color w:val="auto"/>
          <w:kern w:val="0"/>
          <w:sz w:val="24"/>
          <w:highlight w:val="none"/>
        </w:rPr>
      </w:pPr>
    </w:p>
    <w:p>
      <w:pPr>
        <w:widowControl/>
        <w:spacing w:line="400" w:lineRule="exact"/>
        <w:ind w:firstLine="480" w:firstLineChars="200"/>
        <w:jc w:val="left"/>
        <w:rPr>
          <w:rFonts w:hint="eastAsia" w:ascii="仿宋" w:hAnsi="仿宋" w:eastAsia="仿宋" w:cs="宋体"/>
          <w:color w:val="auto"/>
          <w:kern w:val="0"/>
          <w:sz w:val="24"/>
          <w:highlight w:val="none"/>
        </w:rPr>
      </w:pPr>
    </w:p>
    <w:p>
      <w:pPr>
        <w:widowControl/>
        <w:spacing w:line="400" w:lineRule="exact"/>
        <w:ind w:firstLine="480" w:firstLineChars="200"/>
        <w:jc w:val="center"/>
        <w:rPr>
          <w:rFonts w:hint="eastAsia" w:ascii="仿宋" w:hAnsi="仿宋" w:eastAsia="仿宋" w:cs="宋体"/>
          <w:color w:val="auto"/>
          <w:kern w:val="0"/>
          <w:sz w:val="24"/>
          <w:highlight w:val="none"/>
        </w:rPr>
      </w:pPr>
    </w:p>
    <w:p>
      <w:pPr>
        <w:widowControl/>
        <w:spacing w:line="400" w:lineRule="exact"/>
        <w:ind w:firstLine="480" w:firstLineChars="200"/>
        <w:jc w:val="center"/>
        <w:outlineLvl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招标文件</w:t>
      </w:r>
    </w:p>
    <w:p>
      <w:pPr>
        <w:widowControl/>
        <w:spacing w:line="400" w:lineRule="exact"/>
        <w:ind w:firstLine="480" w:firstLineChars="200"/>
        <w:jc w:val="center"/>
        <w:rPr>
          <w:rFonts w:hint="eastAsia"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center"/>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＿＿＿＿＿＿＿公司（印章）</w:t>
      </w: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hint="eastAsia"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jc w:val="left"/>
        <w:outlineLvl w:val="0"/>
        <w:rPr>
          <w:rFonts w:hint="eastAsia" w:ascii="仿宋" w:hAnsi="仿宋" w:eastAsia="仿宋" w:cs="宋体"/>
          <w:color w:val="auto"/>
          <w:kern w:val="0"/>
          <w:sz w:val="24"/>
          <w:highlight w:val="none"/>
        </w:rPr>
      </w:pPr>
    </w:p>
    <w:p>
      <w:pPr>
        <w:widowControl/>
        <w:spacing w:line="400" w:lineRule="exact"/>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附件二</w:t>
      </w: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hint="eastAsia" w:ascii="仿宋" w:hAnsi="仿宋" w:eastAsia="仿宋" w:cs="宋体"/>
          <w:color w:val="auto"/>
          <w:kern w:val="0"/>
          <w:sz w:val="24"/>
          <w:highlight w:val="none"/>
        </w:rPr>
      </w:pPr>
    </w:p>
    <w:p>
      <w:pPr>
        <w:widowControl/>
        <w:spacing w:line="400" w:lineRule="exact"/>
        <w:ind w:firstLine="480" w:firstLineChars="200"/>
        <w:jc w:val="center"/>
        <w:outlineLvl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乙方投标书</w:t>
      </w: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hint="eastAsia"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ascii="仿宋" w:hAnsi="仿宋" w:eastAsia="仿宋" w:cs="宋体"/>
          <w:color w:val="auto"/>
          <w:kern w:val="0"/>
          <w:sz w:val="24"/>
          <w:highlight w:val="none"/>
        </w:rPr>
      </w:pPr>
    </w:p>
    <w:p>
      <w:pPr>
        <w:widowControl/>
        <w:spacing w:line="400" w:lineRule="exact"/>
        <w:ind w:firstLine="480" w:firstLineChars="200"/>
        <w:jc w:val="center"/>
        <w:rPr>
          <w:rFonts w:hint="eastAsia" w:ascii="仿宋" w:hAnsi="仿宋" w:eastAsia="仿宋" w:cs="宋体"/>
          <w:color w:val="auto"/>
          <w:kern w:val="0"/>
          <w:sz w:val="24"/>
          <w:highlight w:val="none"/>
        </w:rPr>
      </w:pPr>
    </w:p>
    <w:p>
      <w:pPr>
        <w:widowControl/>
        <w:spacing w:before="120" w:line="400" w:lineRule="exact"/>
        <w:ind w:firstLine="480" w:firstLineChars="200"/>
        <w:jc w:val="center"/>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＿＿＿＿＿＿＿公司（印章）</w:t>
      </w: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ascii="仿宋" w:hAnsi="仿宋" w:eastAsia="仿宋" w:cs="宋体"/>
          <w:color w:val="auto"/>
          <w:kern w:val="0"/>
          <w:sz w:val="24"/>
          <w:highlight w:val="none"/>
        </w:rPr>
      </w:pPr>
    </w:p>
    <w:p>
      <w:pPr>
        <w:widowControl/>
        <w:spacing w:before="120" w:line="400" w:lineRule="exact"/>
        <w:ind w:firstLine="480" w:firstLineChars="200"/>
        <w:jc w:val="left"/>
        <w:outlineLvl w:val="0"/>
        <w:rPr>
          <w:rFonts w:hint="eastAsia"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附件三</w:t>
      </w:r>
    </w:p>
    <w:p>
      <w:pPr>
        <w:widowControl/>
        <w:snapToGrid w:val="0"/>
        <w:spacing w:line="400" w:lineRule="exact"/>
        <w:ind w:firstLine="480" w:firstLineChars="200"/>
        <w:rPr>
          <w:rFonts w:hint="eastAsia" w:ascii="仿宋" w:hAnsi="仿宋" w:eastAsia="仿宋" w:cs="宋体"/>
          <w:color w:val="auto"/>
          <w:kern w:val="0"/>
          <w:sz w:val="24"/>
          <w:highlight w:val="none"/>
        </w:rPr>
      </w:pPr>
    </w:p>
    <w:p>
      <w:pPr>
        <w:widowControl/>
        <w:snapToGrid w:val="0"/>
        <w:spacing w:line="400" w:lineRule="exact"/>
        <w:ind w:firstLine="480" w:firstLineChars="20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技术支持与售后服务方案（技术培训应包含培训人数、培训天数、培训次数、培训内容、培训目的等）</w:t>
      </w:r>
    </w:p>
    <w:p>
      <w:pPr>
        <w:widowControl/>
        <w:snapToGrid w:val="0"/>
        <w:spacing w:line="400" w:lineRule="exact"/>
        <w:ind w:firstLine="480" w:firstLineChars="200"/>
        <w:jc w:val="center"/>
        <w:rPr>
          <w:rFonts w:hint="eastAsia"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hint="eastAsia"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＿＿＿公司（印章）</w:t>
      </w: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hint="eastAsia"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宋体"/>
          <w:color w:val="auto"/>
          <w:kern w:val="0"/>
          <w:sz w:val="24"/>
          <w:highlight w:val="none"/>
        </w:rPr>
      </w:pPr>
    </w:p>
    <w:p>
      <w:pPr>
        <w:widowControl/>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宋体"/>
          <w:color w:val="auto"/>
          <w:kern w:val="0"/>
          <w:sz w:val="24"/>
          <w:highlight w:val="none"/>
        </w:rPr>
        <w:t>附件四、</w:t>
      </w:r>
      <w:r>
        <w:rPr>
          <w:rFonts w:hint="eastAsia" w:ascii="仿宋" w:hAnsi="仿宋" w:eastAsia="仿宋" w:cs="仿宋"/>
          <w:color w:val="auto"/>
          <w:sz w:val="24"/>
          <w:highlight w:val="none"/>
        </w:rPr>
        <w:t>验收主要指标和标准（参考格式）</w:t>
      </w:r>
    </w:p>
    <w:p>
      <w:pPr>
        <w:widowControl/>
        <w:snapToGrid w:val="0"/>
        <w:spacing w:line="400" w:lineRule="exact"/>
        <w:ind w:firstLine="480" w:firstLineChars="200"/>
        <w:rPr>
          <w:rFonts w:hint="eastAsia" w:ascii="仿宋" w:hAnsi="仿宋" w:eastAsia="仿宋" w:cs="宋体"/>
          <w:color w:val="auto"/>
          <w:kern w:val="0"/>
          <w:sz w:val="24"/>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876"/>
        <w:gridCol w:w="2585"/>
        <w:gridCol w:w="829"/>
        <w:gridCol w:w="1257"/>
        <w:gridCol w:w="126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7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58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货物型号规格、标准及配置等（或服务内容、标准）</w:t>
            </w:r>
          </w:p>
        </w:tc>
        <w:tc>
          <w:tcPr>
            <w:tcW w:w="82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5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260"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c>
          <w:tcPr>
            <w:tcW w:w="1007"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noWrap w:val="0"/>
            <w:vAlign w:val="center"/>
          </w:tcPr>
          <w:p>
            <w:pPr>
              <w:jc w:val="center"/>
              <w:rPr>
                <w:rFonts w:hint="eastAsia" w:ascii="仿宋" w:hAnsi="仿宋" w:eastAsia="仿宋" w:cs="仿宋"/>
                <w:color w:val="auto"/>
                <w:sz w:val="24"/>
                <w:highlight w:val="none"/>
              </w:rPr>
            </w:pPr>
          </w:p>
        </w:tc>
        <w:tc>
          <w:tcPr>
            <w:tcW w:w="876" w:type="dxa"/>
            <w:noWrap w:val="0"/>
            <w:vAlign w:val="center"/>
          </w:tcPr>
          <w:p>
            <w:pPr>
              <w:jc w:val="center"/>
              <w:rPr>
                <w:rFonts w:hint="eastAsia" w:ascii="仿宋" w:hAnsi="仿宋" w:eastAsia="仿宋" w:cs="仿宋"/>
                <w:color w:val="auto"/>
                <w:sz w:val="24"/>
                <w:highlight w:val="none"/>
              </w:rPr>
            </w:pPr>
          </w:p>
        </w:tc>
        <w:tc>
          <w:tcPr>
            <w:tcW w:w="2585" w:type="dxa"/>
            <w:noWrap w:val="0"/>
            <w:vAlign w:val="center"/>
          </w:tcPr>
          <w:p>
            <w:pPr>
              <w:jc w:val="center"/>
              <w:rPr>
                <w:rFonts w:hint="eastAsia" w:ascii="仿宋" w:hAnsi="仿宋" w:eastAsia="仿宋" w:cs="仿宋"/>
                <w:color w:val="auto"/>
                <w:sz w:val="24"/>
                <w:highlight w:val="none"/>
              </w:rPr>
            </w:pPr>
          </w:p>
        </w:tc>
        <w:tc>
          <w:tcPr>
            <w:tcW w:w="829" w:type="dxa"/>
            <w:noWrap w:val="0"/>
            <w:vAlign w:val="center"/>
          </w:tcPr>
          <w:p>
            <w:pPr>
              <w:jc w:val="center"/>
              <w:rPr>
                <w:rFonts w:hint="eastAsia" w:ascii="仿宋" w:hAnsi="仿宋" w:eastAsia="仿宋" w:cs="仿宋"/>
                <w:color w:val="auto"/>
                <w:sz w:val="24"/>
                <w:highlight w:val="none"/>
              </w:rPr>
            </w:pPr>
          </w:p>
        </w:tc>
        <w:tc>
          <w:tcPr>
            <w:tcW w:w="1257" w:type="dxa"/>
            <w:noWrap w:val="0"/>
            <w:vAlign w:val="center"/>
          </w:tcPr>
          <w:p>
            <w:pPr>
              <w:jc w:val="center"/>
              <w:rPr>
                <w:rFonts w:hint="eastAsia" w:ascii="仿宋" w:hAnsi="仿宋" w:eastAsia="仿宋" w:cs="仿宋"/>
                <w:color w:val="auto"/>
                <w:sz w:val="24"/>
                <w:highlight w:val="none"/>
              </w:rPr>
            </w:pPr>
          </w:p>
        </w:tc>
        <w:tc>
          <w:tcPr>
            <w:tcW w:w="1260" w:type="dxa"/>
            <w:noWrap w:val="0"/>
            <w:vAlign w:val="center"/>
          </w:tcPr>
          <w:p>
            <w:pPr>
              <w:jc w:val="center"/>
              <w:rPr>
                <w:rFonts w:hint="eastAsia" w:ascii="仿宋" w:hAnsi="仿宋" w:eastAsia="仿宋" w:cs="仿宋"/>
                <w:color w:val="auto"/>
                <w:sz w:val="24"/>
                <w:highlight w:val="none"/>
              </w:rPr>
            </w:pPr>
          </w:p>
        </w:tc>
        <w:tc>
          <w:tcPr>
            <w:tcW w:w="100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noWrap w:val="0"/>
            <w:vAlign w:val="center"/>
          </w:tcPr>
          <w:p>
            <w:pPr>
              <w:jc w:val="center"/>
              <w:rPr>
                <w:rFonts w:hint="eastAsia" w:ascii="仿宋" w:hAnsi="仿宋" w:eastAsia="仿宋" w:cs="仿宋"/>
                <w:color w:val="auto"/>
                <w:sz w:val="24"/>
                <w:highlight w:val="none"/>
              </w:rPr>
            </w:pPr>
          </w:p>
        </w:tc>
        <w:tc>
          <w:tcPr>
            <w:tcW w:w="876" w:type="dxa"/>
            <w:noWrap w:val="0"/>
            <w:vAlign w:val="center"/>
          </w:tcPr>
          <w:p>
            <w:pPr>
              <w:jc w:val="center"/>
              <w:rPr>
                <w:rFonts w:hint="eastAsia" w:ascii="仿宋" w:hAnsi="仿宋" w:eastAsia="仿宋" w:cs="仿宋"/>
                <w:color w:val="auto"/>
                <w:sz w:val="24"/>
                <w:highlight w:val="none"/>
              </w:rPr>
            </w:pPr>
          </w:p>
        </w:tc>
        <w:tc>
          <w:tcPr>
            <w:tcW w:w="2585" w:type="dxa"/>
            <w:noWrap w:val="0"/>
            <w:vAlign w:val="center"/>
          </w:tcPr>
          <w:p>
            <w:pPr>
              <w:jc w:val="center"/>
              <w:rPr>
                <w:rFonts w:hint="eastAsia" w:ascii="仿宋" w:hAnsi="仿宋" w:eastAsia="仿宋" w:cs="仿宋"/>
                <w:color w:val="auto"/>
                <w:sz w:val="24"/>
                <w:highlight w:val="none"/>
              </w:rPr>
            </w:pPr>
          </w:p>
        </w:tc>
        <w:tc>
          <w:tcPr>
            <w:tcW w:w="829" w:type="dxa"/>
            <w:noWrap w:val="0"/>
            <w:vAlign w:val="center"/>
          </w:tcPr>
          <w:p>
            <w:pPr>
              <w:jc w:val="center"/>
              <w:rPr>
                <w:rFonts w:hint="eastAsia" w:ascii="仿宋" w:hAnsi="仿宋" w:eastAsia="仿宋" w:cs="仿宋"/>
                <w:color w:val="auto"/>
                <w:sz w:val="24"/>
                <w:highlight w:val="none"/>
              </w:rPr>
            </w:pPr>
          </w:p>
        </w:tc>
        <w:tc>
          <w:tcPr>
            <w:tcW w:w="1257" w:type="dxa"/>
            <w:noWrap w:val="0"/>
            <w:vAlign w:val="center"/>
          </w:tcPr>
          <w:p>
            <w:pPr>
              <w:jc w:val="center"/>
              <w:rPr>
                <w:rFonts w:hint="eastAsia" w:ascii="仿宋" w:hAnsi="仿宋" w:eastAsia="仿宋" w:cs="仿宋"/>
                <w:color w:val="auto"/>
                <w:sz w:val="24"/>
                <w:highlight w:val="none"/>
              </w:rPr>
            </w:pPr>
          </w:p>
        </w:tc>
        <w:tc>
          <w:tcPr>
            <w:tcW w:w="1260" w:type="dxa"/>
            <w:noWrap w:val="0"/>
            <w:vAlign w:val="center"/>
          </w:tcPr>
          <w:p>
            <w:pPr>
              <w:jc w:val="center"/>
              <w:rPr>
                <w:rFonts w:hint="eastAsia" w:ascii="仿宋" w:hAnsi="仿宋" w:eastAsia="仿宋" w:cs="仿宋"/>
                <w:color w:val="auto"/>
                <w:sz w:val="24"/>
                <w:highlight w:val="none"/>
              </w:rPr>
            </w:pPr>
          </w:p>
        </w:tc>
        <w:tc>
          <w:tcPr>
            <w:tcW w:w="100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noWrap w:val="0"/>
            <w:vAlign w:val="center"/>
          </w:tcPr>
          <w:p>
            <w:pPr>
              <w:jc w:val="center"/>
              <w:rPr>
                <w:rFonts w:hint="eastAsia" w:ascii="仿宋" w:hAnsi="仿宋" w:eastAsia="仿宋" w:cs="仿宋"/>
                <w:color w:val="auto"/>
                <w:sz w:val="24"/>
                <w:highlight w:val="none"/>
              </w:rPr>
            </w:pPr>
          </w:p>
        </w:tc>
        <w:tc>
          <w:tcPr>
            <w:tcW w:w="876" w:type="dxa"/>
            <w:noWrap w:val="0"/>
            <w:vAlign w:val="center"/>
          </w:tcPr>
          <w:p>
            <w:pPr>
              <w:jc w:val="center"/>
              <w:rPr>
                <w:rFonts w:hint="eastAsia" w:ascii="仿宋" w:hAnsi="仿宋" w:eastAsia="仿宋" w:cs="仿宋"/>
                <w:color w:val="auto"/>
                <w:sz w:val="24"/>
                <w:highlight w:val="none"/>
              </w:rPr>
            </w:pPr>
          </w:p>
        </w:tc>
        <w:tc>
          <w:tcPr>
            <w:tcW w:w="2585" w:type="dxa"/>
            <w:noWrap w:val="0"/>
            <w:vAlign w:val="center"/>
          </w:tcPr>
          <w:p>
            <w:pPr>
              <w:jc w:val="center"/>
              <w:rPr>
                <w:rFonts w:hint="eastAsia" w:ascii="仿宋" w:hAnsi="仿宋" w:eastAsia="仿宋" w:cs="仿宋"/>
                <w:color w:val="auto"/>
                <w:sz w:val="24"/>
                <w:highlight w:val="none"/>
              </w:rPr>
            </w:pPr>
          </w:p>
        </w:tc>
        <w:tc>
          <w:tcPr>
            <w:tcW w:w="829" w:type="dxa"/>
            <w:noWrap w:val="0"/>
            <w:vAlign w:val="center"/>
          </w:tcPr>
          <w:p>
            <w:pPr>
              <w:jc w:val="center"/>
              <w:rPr>
                <w:rFonts w:hint="eastAsia" w:ascii="仿宋" w:hAnsi="仿宋" w:eastAsia="仿宋" w:cs="仿宋"/>
                <w:color w:val="auto"/>
                <w:sz w:val="24"/>
                <w:highlight w:val="none"/>
              </w:rPr>
            </w:pPr>
          </w:p>
        </w:tc>
        <w:tc>
          <w:tcPr>
            <w:tcW w:w="1257" w:type="dxa"/>
            <w:noWrap w:val="0"/>
            <w:vAlign w:val="center"/>
          </w:tcPr>
          <w:p>
            <w:pPr>
              <w:jc w:val="center"/>
              <w:rPr>
                <w:rFonts w:hint="eastAsia" w:ascii="仿宋" w:hAnsi="仿宋" w:eastAsia="仿宋" w:cs="仿宋"/>
                <w:color w:val="auto"/>
                <w:sz w:val="24"/>
                <w:highlight w:val="none"/>
              </w:rPr>
            </w:pPr>
          </w:p>
        </w:tc>
        <w:tc>
          <w:tcPr>
            <w:tcW w:w="1260" w:type="dxa"/>
            <w:noWrap w:val="0"/>
            <w:vAlign w:val="center"/>
          </w:tcPr>
          <w:p>
            <w:pPr>
              <w:jc w:val="center"/>
              <w:rPr>
                <w:rFonts w:hint="eastAsia" w:ascii="仿宋" w:hAnsi="仿宋" w:eastAsia="仿宋" w:cs="仿宋"/>
                <w:color w:val="auto"/>
                <w:sz w:val="24"/>
                <w:highlight w:val="none"/>
              </w:rPr>
            </w:pPr>
          </w:p>
        </w:tc>
        <w:tc>
          <w:tcPr>
            <w:tcW w:w="1007"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noWrap w:val="0"/>
            <w:vAlign w:val="center"/>
          </w:tcPr>
          <w:p>
            <w:pPr>
              <w:rPr>
                <w:rFonts w:hint="eastAsia" w:ascii="仿宋" w:hAnsi="仿宋" w:eastAsia="仿宋" w:cs="仿宋"/>
                <w:color w:val="auto"/>
                <w:sz w:val="24"/>
                <w:highlight w:val="none"/>
              </w:rPr>
            </w:pPr>
          </w:p>
        </w:tc>
        <w:tc>
          <w:tcPr>
            <w:tcW w:w="876" w:type="dxa"/>
            <w:noWrap w:val="0"/>
            <w:vAlign w:val="center"/>
          </w:tcPr>
          <w:p>
            <w:pPr>
              <w:jc w:val="center"/>
              <w:rPr>
                <w:rFonts w:hint="eastAsia" w:ascii="仿宋" w:hAnsi="仿宋" w:eastAsia="仿宋" w:cs="仿宋"/>
                <w:color w:val="auto"/>
                <w:sz w:val="24"/>
                <w:highlight w:val="none"/>
              </w:rPr>
            </w:pPr>
          </w:p>
        </w:tc>
        <w:tc>
          <w:tcPr>
            <w:tcW w:w="2585" w:type="dxa"/>
            <w:noWrap w:val="0"/>
            <w:vAlign w:val="center"/>
          </w:tcPr>
          <w:p>
            <w:pPr>
              <w:jc w:val="center"/>
              <w:rPr>
                <w:rFonts w:hint="eastAsia" w:ascii="仿宋" w:hAnsi="仿宋" w:eastAsia="仿宋" w:cs="仿宋"/>
                <w:color w:val="auto"/>
                <w:sz w:val="24"/>
                <w:highlight w:val="none"/>
              </w:rPr>
            </w:pPr>
          </w:p>
        </w:tc>
        <w:tc>
          <w:tcPr>
            <w:tcW w:w="829" w:type="dxa"/>
            <w:noWrap w:val="0"/>
            <w:vAlign w:val="center"/>
          </w:tcPr>
          <w:p>
            <w:pPr>
              <w:jc w:val="center"/>
              <w:rPr>
                <w:rFonts w:hint="eastAsia" w:ascii="仿宋" w:hAnsi="仿宋" w:eastAsia="仿宋" w:cs="仿宋"/>
                <w:color w:val="auto"/>
                <w:sz w:val="24"/>
                <w:highlight w:val="none"/>
              </w:rPr>
            </w:pPr>
          </w:p>
        </w:tc>
        <w:tc>
          <w:tcPr>
            <w:tcW w:w="1257" w:type="dxa"/>
            <w:noWrap w:val="0"/>
            <w:vAlign w:val="center"/>
          </w:tcPr>
          <w:p>
            <w:pPr>
              <w:jc w:val="center"/>
              <w:rPr>
                <w:rFonts w:hint="eastAsia" w:ascii="仿宋" w:hAnsi="仿宋" w:eastAsia="仿宋" w:cs="仿宋"/>
                <w:color w:val="auto"/>
                <w:sz w:val="24"/>
                <w:highlight w:val="none"/>
              </w:rPr>
            </w:pPr>
          </w:p>
        </w:tc>
        <w:tc>
          <w:tcPr>
            <w:tcW w:w="1260" w:type="dxa"/>
            <w:noWrap w:val="0"/>
            <w:vAlign w:val="center"/>
          </w:tcPr>
          <w:p>
            <w:pPr>
              <w:jc w:val="center"/>
              <w:rPr>
                <w:rFonts w:hint="eastAsia" w:ascii="仿宋" w:hAnsi="仿宋" w:eastAsia="仿宋" w:cs="仿宋"/>
                <w:color w:val="auto"/>
                <w:sz w:val="24"/>
                <w:highlight w:val="none"/>
              </w:rPr>
            </w:pPr>
          </w:p>
        </w:tc>
        <w:tc>
          <w:tcPr>
            <w:tcW w:w="1007"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noWrap w:val="0"/>
            <w:vAlign w:val="center"/>
          </w:tcPr>
          <w:p>
            <w:pPr>
              <w:rPr>
                <w:rFonts w:hint="eastAsia" w:ascii="仿宋" w:hAnsi="仿宋" w:eastAsia="仿宋" w:cs="仿宋"/>
                <w:color w:val="auto"/>
                <w:sz w:val="24"/>
                <w:highlight w:val="none"/>
              </w:rPr>
            </w:pPr>
          </w:p>
        </w:tc>
        <w:tc>
          <w:tcPr>
            <w:tcW w:w="876" w:type="dxa"/>
            <w:noWrap w:val="0"/>
            <w:vAlign w:val="center"/>
          </w:tcPr>
          <w:p>
            <w:pPr>
              <w:jc w:val="center"/>
              <w:rPr>
                <w:rFonts w:hint="eastAsia" w:ascii="仿宋" w:hAnsi="仿宋" w:eastAsia="仿宋" w:cs="仿宋"/>
                <w:color w:val="auto"/>
                <w:sz w:val="24"/>
                <w:highlight w:val="none"/>
              </w:rPr>
            </w:pPr>
          </w:p>
        </w:tc>
        <w:tc>
          <w:tcPr>
            <w:tcW w:w="2585" w:type="dxa"/>
            <w:noWrap w:val="0"/>
            <w:vAlign w:val="center"/>
          </w:tcPr>
          <w:p>
            <w:pPr>
              <w:jc w:val="center"/>
              <w:rPr>
                <w:rFonts w:hint="eastAsia" w:ascii="仿宋" w:hAnsi="仿宋" w:eastAsia="仿宋" w:cs="仿宋"/>
                <w:color w:val="auto"/>
                <w:sz w:val="24"/>
                <w:highlight w:val="none"/>
              </w:rPr>
            </w:pPr>
          </w:p>
        </w:tc>
        <w:tc>
          <w:tcPr>
            <w:tcW w:w="829" w:type="dxa"/>
            <w:noWrap w:val="0"/>
            <w:vAlign w:val="center"/>
          </w:tcPr>
          <w:p>
            <w:pPr>
              <w:jc w:val="center"/>
              <w:rPr>
                <w:rFonts w:hint="eastAsia" w:ascii="仿宋" w:hAnsi="仿宋" w:eastAsia="仿宋" w:cs="仿宋"/>
                <w:color w:val="auto"/>
                <w:sz w:val="24"/>
                <w:highlight w:val="none"/>
              </w:rPr>
            </w:pPr>
          </w:p>
        </w:tc>
        <w:tc>
          <w:tcPr>
            <w:tcW w:w="1257" w:type="dxa"/>
            <w:noWrap w:val="0"/>
            <w:vAlign w:val="center"/>
          </w:tcPr>
          <w:p>
            <w:pPr>
              <w:jc w:val="center"/>
              <w:rPr>
                <w:rFonts w:hint="eastAsia" w:ascii="仿宋" w:hAnsi="仿宋" w:eastAsia="仿宋" w:cs="仿宋"/>
                <w:color w:val="auto"/>
                <w:sz w:val="24"/>
                <w:highlight w:val="none"/>
              </w:rPr>
            </w:pPr>
          </w:p>
        </w:tc>
        <w:tc>
          <w:tcPr>
            <w:tcW w:w="1260" w:type="dxa"/>
            <w:noWrap w:val="0"/>
            <w:vAlign w:val="center"/>
          </w:tcPr>
          <w:p>
            <w:pPr>
              <w:jc w:val="center"/>
              <w:rPr>
                <w:rFonts w:hint="eastAsia" w:ascii="仿宋" w:hAnsi="仿宋" w:eastAsia="仿宋" w:cs="仿宋"/>
                <w:color w:val="auto"/>
                <w:sz w:val="24"/>
                <w:highlight w:val="none"/>
              </w:rPr>
            </w:pPr>
          </w:p>
        </w:tc>
        <w:tc>
          <w:tcPr>
            <w:tcW w:w="1007"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noWrap w:val="0"/>
            <w:vAlign w:val="center"/>
          </w:tcPr>
          <w:p>
            <w:pPr>
              <w:rPr>
                <w:rFonts w:hint="eastAsia" w:ascii="仿宋" w:hAnsi="仿宋" w:eastAsia="仿宋" w:cs="仿宋"/>
                <w:color w:val="auto"/>
                <w:sz w:val="24"/>
                <w:highlight w:val="none"/>
              </w:rPr>
            </w:pPr>
          </w:p>
        </w:tc>
        <w:tc>
          <w:tcPr>
            <w:tcW w:w="876" w:type="dxa"/>
            <w:noWrap w:val="0"/>
            <w:vAlign w:val="center"/>
          </w:tcPr>
          <w:p>
            <w:pPr>
              <w:jc w:val="center"/>
              <w:rPr>
                <w:rFonts w:hint="eastAsia" w:ascii="仿宋" w:hAnsi="仿宋" w:eastAsia="仿宋" w:cs="仿宋"/>
                <w:color w:val="auto"/>
                <w:sz w:val="24"/>
                <w:highlight w:val="none"/>
              </w:rPr>
            </w:pPr>
          </w:p>
        </w:tc>
        <w:tc>
          <w:tcPr>
            <w:tcW w:w="2585" w:type="dxa"/>
            <w:noWrap w:val="0"/>
            <w:vAlign w:val="center"/>
          </w:tcPr>
          <w:p>
            <w:pPr>
              <w:jc w:val="center"/>
              <w:rPr>
                <w:rFonts w:hint="eastAsia" w:ascii="仿宋" w:hAnsi="仿宋" w:eastAsia="仿宋" w:cs="仿宋"/>
                <w:color w:val="auto"/>
                <w:sz w:val="24"/>
                <w:highlight w:val="none"/>
              </w:rPr>
            </w:pPr>
          </w:p>
        </w:tc>
        <w:tc>
          <w:tcPr>
            <w:tcW w:w="829" w:type="dxa"/>
            <w:noWrap w:val="0"/>
            <w:vAlign w:val="center"/>
          </w:tcPr>
          <w:p>
            <w:pPr>
              <w:jc w:val="center"/>
              <w:rPr>
                <w:rFonts w:hint="eastAsia" w:ascii="仿宋" w:hAnsi="仿宋" w:eastAsia="仿宋" w:cs="仿宋"/>
                <w:color w:val="auto"/>
                <w:sz w:val="24"/>
                <w:highlight w:val="none"/>
              </w:rPr>
            </w:pPr>
          </w:p>
        </w:tc>
        <w:tc>
          <w:tcPr>
            <w:tcW w:w="1257" w:type="dxa"/>
            <w:noWrap w:val="0"/>
            <w:vAlign w:val="center"/>
          </w:tcPr>
          <w:p>
            <w:pPr>
              <w:jc w:val="center"/>
              <w:rPr>
                <w:rFonts w:hint="eastAsia" w:ascii="仿宋" w:hAnsi="仿宋" w:eastAsia="仿宋" w:cs="仿宋"/>
                <w:color w:val="auto"/>
                <w:sz w:val="24"/>
                <w:highlight w:val="none"/>
              </w:rPr>
            </w:pPr>
          </w:p>
        </w:tc>
        <w:tc>
          <w:tcPr>
            <w:tcW w:w="1260" w:type="dxa"/>
            <w:noWrap w:val="0"/>
            <w:vAlign w:val="center"/>
          </w:tcPr>
          <w:p>
            <w:pPr>
              <w:jc w:val="center"/>
              <w:rPr>
                <w:rFonts w:hint="eastAsia" w:ascii="仿宋" w:hAnsi="仿宋" w:eastAsia="仿宋" w:cs="仿宋"/>
                <w:color w:val="auto"/>
                <w:sz w:val="24"/>
                <w:highlight w:val="none"/>
              </w:rPr>
            </w:pPr>
          </w:p>
        </w:tc>
        <w:tc>
          <w:tcPr>
            <w:tcW w:w="1007"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noWrap w:val="0"/>
            <w:vAlign w:val="center"/>
          </w:tcPr>
          <w:p>
            <w:pPr>
              <w:rPr>
                <w:rFonts w:hint="eastAsia" w:ascii="仿宋" w:hAnsi="仿宋" w:eastAsia="仿宋" w:cs="仿宋"/>
                <w:color w:val="auto"/>
                <w:sz w:val="24"/>
                <w:highlight w:val="none"/>
              </w:rPr>
            </w:pPr>
          </w:p>
        </w:tc>
        <w:tc>
          <w:tcPr>
            <w:tcW w:w="876" w:type="dxa"/>
            <w:noWrap w:val="0"/>
            <w:vAlign w:val="center"/>
          </w:tcPr>
          <w:p>
            <w:pPr>
              <w:jc w:val="center"/>
              <w:rPr>
                <w:rFonts w:hint="eastAsia" w:ascii="仿宋" w:hAnsi="仿宋" w:eastAsia="仿宋" w:cs="仿宋"/>
                <w:color w:val="auto"/>
                <w:sz w:val="24"/>
                <w:highlight w:val="none"/>
              </w:rPr>
            </w:pPr>
          </w:p>
        </w:tc>
        <w:tc>
          <w:tcPr>
            <w:tcW w:w="2585" w:type="dxa"/>
            <w:noWrap w:val="0"/>
            <w:vAlign w:val="center"/>
          </w:tcPr>
          <w:p>
            <w:pPr>
              <w:jc w:val="center"/>
              <w:rPr>
                <w:rFonts w:hint="eastAsia" w:ascii="仿宋" w:hAnsi="仿宋" w:eastAsia="仿宋" w:cs="仿宋"/>
                <w:color w:val="auto"/>
                <w:sz w:val="24"/>
                <w:highlight w:val="none"/>
              </w:rPr>
            </w:pPr>
          </w:p>
        </w:tc>
        <w:tc>
          <w:tcPr>
            <w:tcW w:w="829" w:type="dxa"/>
            <w:noWrap w:val="0"/>
            <w:vAlign w:val="center"/>
          </w:tcPr>
          <w:p>
            <w:pPr>
              <w:jc w:val="center"/>
              <w:rPr>
                <w:rFonts w:hint="eastAsia" w:ascii="仿宋" w:hAnsi="仿宋" w:eastAsia="仿宋" w:cs="仿宋"/>
                <w:color w:val="auto"/>
                <w:sz w:val="24"/>
                <w:highlight w:val="none"/>
              </w:rPr>
            </w:pPr>
          </w:p>
        </w:tc>
        <w:tc>
          <w:tcPr>
            <w:tcW w:w="1257" w:type="dxa"/>
            <w:noWrap w:val="0"/>
            <w:vAlign w:val="center"/>
          </w:tcPr>
          <w:p>
            <w:pPr>
              <w:jc w:val="center"/>
              <w:rPr>
                <w:rFonts w:hint="eastAsia" w:ascii="仿宋" w:hAnsi="仿宋" w:eastAsia="仿宋" w:cs="仿宋"/>
                <w:color w:val="auto"/>
                <w:sz w:val="24"/>
                <w:highlight w:val="none"/>
              </w:rPr>
            </w:pPr>
          </w:p>
        </w:tc>
        <w:tc>
          <w:tcPr>
            <w:tcW w:w="1260" w:type="dxa"/>
            <w:noWrap w:val="0"/>
            <w:vAlign w:val="center"/>
          </w:tcPr>
          <w:p>
            <w:pPr>
              <w:jc w:val="center"/>
              <w:rPr>
                <w:rFonts w:hint="eastAsia" w:ascii="仿宋" w:hAnsi="仿宋" w:eastAsia="仿宋" w:cs="仿宋"/>
                <w:color w:val="auto"/>
                <w:sz w:val="24"/>
                <w:highlight w:val="none"/>
              </w:rPr>
            </w:pPr>
          </w:p>
        </w:tc>
        <w:tc>
          <w:tcPr>
            <w:tcW w:w="1007"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noWrap w:val="0"/>
            <w:vAlign w:val="center"/>
          </w:tcPr>
          <w:p>
            <w:pPr>
              <w:rPr>
                <w:rFonts w:hint="eastAsia" w:ascii="仿宋" w:hAnsi="仿宋" w:eastAsia="仿宋" w:cs="仿宋"/>
                <w:color w:val="auto"/>
                <w:sz w:val="24"/>
                <w:highlight w:val="none"/>
              </w:rPr>
            </w:pPr>
          </w:p>
        </w:tc>
        <w:tc>
          <w:tcPr>
            <w:tcW w:w="876" w:type="dxa"/>
            <w:noWrap w:val="0"/>
            <w:vAlign w:val="center"/>
          </w:tcPr>
          <w:p>
            <w:pPr>
              <w:jc w:val="center"/>
              <w:rPr>
                <w:rFonts w:hint="eastAsia" w:ascii="仿宋" w:hAnsi="仿宋" w:eastAsia="仿宋" w:cs="仿宋"/>
                <w:color w:val="auto"/>
                <w:sz w:val="24"/>
                <w:highlight w:val="none"/>
              </w:rPr>
            </w:pPr>
          </w:p>
        </w:tc>
        <w:tc>
          <w:tcPr>
            <w:tcW w:w="2585" w:type="dxa"/>
            <w:noWrap w:val="0"/>
            <w:vAlign w:val="center"/>
          </w:tcPr>
          <w:p>
            <w:pPr>
              <w:jc w:val="center"/>
              <w:rPr>
                <w:rFonts w:hint="eastAsia" w:ascii="仿宋" w:hAnsi="仿宋" w:eastAsia="仿宋" w:cs="仿宋"/>
                <w:color w:val="auto"/>
                <w:sz w:val="24"/>
                <w:highlight w:val="none"/>
              </w:rPr>
            </w:pPr>
          </w:p>
        </w:tc>
        <w:tc>
          <w:tcPr>
            <w:tcW w:w="829" w:type="dxa"/>
            <w:noWrap w:val="0"/>
            <w:vAlign w:val="center"/>
          </w:tcPr>
          <w:p>
            <w:pPr>
              <w:jc w:val="center"/>
              <w:rPr>
                <w:rFonts w:hint="eastAsia" w:ascii="仿宋" w:hAnsi="仿宋" w:eastAsia="仿宋" w:cs="仿宋"/>
                <w:color w:val="auto"/>
                <w:sz w:val="24"/>
                <w:highlight w:val="none"/>
              </w:rPr>
            </w:pPr>
          </w:p>
        </w:tc>
        <w:tc>
          <w:tcPr>
            <w:tcW w:w="1257" w:type="dxa"/>
            <w:noWrap w:val="0"/>
            <w:vAlign w:val="center"/>
          </w:tcPr>
          <w:p>
            <w:pPr>
              <w:jc w:val="center"/>
              <w:rPr>
                <w:rFonts w:hint="eastAsia" w:ascii="仿宋" w:hAnsi="仿宋" w:eastAsia="仿宋" w:cs="仿宋"/>
                <w:color w:val="auto"/>
                <w:sz w:val="24"/>
                <w:highlight w:val="none"/>
              </w:rPr>
            </w:pPr>
          </w:p>
        </w:tc>
        <w:tc>
          <w:tcPr>
            <w:tcW w:w="1260" w:type="dxa"/>
            <w:noWrap w:val="0"/>
            <w:vAlign w:val="center"/>
          </w:tcPr>
          <w:p>
            <w:pPr>
              <w:jc w:val="center"/>
              <w:rPr>
                <w:rFonts w:hint="eastAsia" w:ascii="仿宋" w:hAnsi="仿宋" w:eastAsia="仿宋" w:cs="仿宋"/>
                <w:color w:val="auto"/>
                <w:sz w:val="24"/>
                <w:highlight w:val="none"/>
              </w:rPr>
            </w:pPr>
          </w:p>
        </w:tc>
        <w:tc>
          <w:tcPr>
            <w:tcW w:w="1007" w:type="dxa"/>
            <w:noWrap w:val="0"/>
            <w:vAlign w:val="center"/>
          </w:tcPr>
          <w:p>
            <w:pPr>
              <w:rPr>
                <w:rFonts w:hint="eastAsia" w:ascii="仿宋" w:hAnsi="仿宋" w:eastAsia="仿宋" w:cs="仿宋"/>
                <w:color w:val="auto"/>
                <w:sz w:val="24"/>
                <w:highlight w:val="none"/>
              </w:rPr>
            </w:pPr>
          </w:p>
        </w:tc>
      </w:tr>
    </w:tbl>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widowControl/>
        <w:snapToGrid w:val="0"/>
        <w:spacing w:line="400" w:lineRule="exact"/>
        <w:ind w:firstLine="480" w:firstLineChars="200"/>
        <w:jc w:val="center"/>
        <w:rPr>
          <w:rFonts w:ascii="仿宋" w:hAnsi="仿宋" w:eastAsia="仿宋" w:cs="宋体"/>
          <w:color w:val="auto"/>
          <w:kern w:val="0"/>
          <w:sz w:val="24"/>
          <w:highlight w:val="none"/>
        </w:rPr>
      </w:pPr>
    </w:p>
    <w:p>
      <w:pPr>
        <w:spacing w:line="400" w:lineRule="exact"/>
        <w:ind w:firstLine="480" w:firstLineChars="200"/>
        <w:outlineLvl w:val="0"/>
        <w:rPr>
          <w:rFonts w:ascii="仿宋" w:hAnsi="仿宋" w:eastAsia="仿宋" w:cs="黑体"/>
          <w:color w:val="auto"/>
          <w:sz w:val="24"/>
          <w:highlight w:val="none"/>
        </w:rPr>
      </w:pPr>
    </w:p>
    <w:p>
      <w:pPr>
        <w:spacing w:line="400" w:lineRule="exact"/>
        <w:ind w:firstLine="480" w:firstLineChars="200"/>
        <w:outlineLvl w:val="0"/>
        <w:rPr>
          <w:rFonts w:ascii="仿宋" w:hAnsi="仿宋" w:eastAsia="仿宋" w:cs="黑体"/>
          <w:color w:val="auto"/>
          <w:sz w:val="24"/>
          <w:highlight w:val="none"/>
        </w:rPr>
      </w:pPr>
    </w:p>
    <w:p>
      <w:pPr>
        <w:spacing w:line="400" w:lineRule="exact"/>
        <w:outlineLvl w:val="0"/>
        <w:rPr>
          <w:rFonts w:ascii="仿宋" w:hAnsi="仿宋" w:eastAsia="仿宋" w:cs="黑体"/>
          <w:color w:val="auto"/>
          <w:sz w:val="24"/>
          <w:highlight w:val="none"/>
          <w:u w:val="single"/>
        </w:rPr>
      </w:pPr>
      <w:r>
        <w:rPr>
          <w:rFonts w:hint="eastAsia" w:ascii="仿宋" w:hAnsi="仿宋" w:eastAsia="仿宋" w:cs="黑体"/>
          <w:color w:val="auto"/>
          <w:sz w:val="24"/>
          <w:highlight w:val="none"/>
        </w:rPr>
        <w:t>验收补充要求（如有）：</w:t>
      </w:r>
      <w:r>
        <w:rPr>
          <w:rFonts w:hint="eastAsia" w:ascii="仿宋" w:hAnsi="仿宋" w:eastAsia="仿宋" w:cs="黑体"/>
          <w:color w:val="auto"/>
          <w:sz w:val="24"/>
          <w:highlight w:val="none"/>
          <w:u w:val="single"/>
        </w:rPr>
        <w:t xml:space="preserve"> </w:t>
      </w:r>
      <w:r>
        <w:rPr>
          <w:rFonts w:ascii="仿宋" w:hAnsi="仿宋" w:eastAsia="仿宋" w:cs="黑体"/>
          <w:color w:val="auto"/>
          <w:sz w:val="24"/>
          <w:highlight w:val="none"/>
          <w:u w:val="single"/>
        </w:rPr>
        <w:t xml:space="preserve">                                           </w:t>
      </w:r>
    </w:p>
    <w:p>
      <w:pPr>
        <w:spacing w:line="400" w:lineRule="exact"/>
        <w:ind w:firstLine="480" w:firstLineChars="200"/>
        <w:outlineLvl w:val="0"/>
        <w:rPr>
          <w:rFonts w:ascii="仿宋" w:hAnsi="仿宋" w:eastAsia="仿宋" w:cs="黑体"/>
          <w:color w:val="auto"/>
          <w:sz w:val="24"/>
          <w:highlight w:val="none"/>
        </w:rPr>
      </w:pPr>
    </w:p>
    <w:p>
      <w:pPr>
        <w:spacing w:line="400" w:lineRule="exact"/>
        <w:ind w:firstLine="480" w:firstLineChars="200"/>
        <w:outlineLvl w:val="0"/>
        <w:rPr>
          <w:rFonts w:ascii="仿宋" w:hAnsi="仿宋" w:eastAsia="仿宋" w:cs="黑体"/>
          <w:color w:val="auto"/>
          <w:sz w:val="24"/>
          <w:highlight w:val="none"/>
        </w:rPr>
      </w:pPr>
    </w:p>
    <w:p>
      <w:pPr>
        <w:spacing w:line="400" w:lineRule="exact"/>
        <w:ind w:firstLine="480" w:firstLineChars="200"/>
        <w:outlineLvl w:val="0"/>
        <w:rPr>
          <w:rFonts w:ascii="仿宋" w:hAnsi="仿宋" w:eastAsia="仿宋" w:cs="黑体"/>
          <w:color w:val="auto"/>
          <w:sz w:val="24"/>
          <w:highlight w:val="none"/>
        </w:rPr>
      </w:pPr>
    </w:p>
    <w:p>
      <w:pPr>
        <w:spacing w:line="400" w:lineRule="exact"/>
        <w:ind w:firstLine="480" w:firstLineChars="200"/>
        <w:outlineLvl w:val="0"/>
        <w:rPr>
          <w:rFonts w:ascii="仿宋" w:hAnsi="仿宋" w:eastAsia="仿宋" w:cs="黑体"/>
          <w:color w:val="auto"/>
          <w:sz w:val="24"/>
          <w:highlight w:val="none"/>
        </w:rPr>
      </w:pPr>
    </w:p>
    <w:p>
      <w:pPr>
        <w:spacing w:line="400" w:lineRule="exact"/>
        <w:ind w:firstLine="480" w:firstLineChars="200"/>
        <w:outlineLvl w:val="0"/>
        <w:rPr>
          <w:rFonts w:ascii="仿宋" w:hAnsi="仿宋" w:eastAsia="仿宋" w:cs="黑体"/>
          <w:color w:val="auto"/>
          <w:sz w:val="24"/>
          <w:highlight w:val="none"/>
        </w:rPr>
      </w:pPr>
    </w:p>
    <w:p>
      <w:pPr>
        <w:spacing w:line="400" w:lineRule="exact"/>
        <w:ind w:firstLine="480" w:firstLineChars="200"/>
        <w:outlineLvl w:val="0"/>
        <w:rPr>
          <w:rFonts w:ascii="仿宋" w:hAnsi="仿宋" w:eastAsia="仿宋" w:cs="黑体"/>
          <w:color w:val="auto"/>
          <w:sz w:val="24"/>
          <w:highlight w:val="none"/>
        </w:rPr>
      </w:pPr>
    </w:p>
    <w:p>
      <w:pPr>
        <w:spacing w:line="400" w:lineRule="exact"/>
        <w:ind w:firstLine="480" w:firstLineChars="200"/>
        <w:outlineLvl w:val="0"/>
        <w:rPr>
          <w:rFonts w:hint="eastAsia" w:ascii="仿宋" w:hAnsi="仿宋" w:eastAsia="仿宋" w:cs="黑体"/>
          <w:color w:val="auto"/>
          <w:sz w:val="24"/>
          <w:highlight w:val="none"/>
        </w:rPr>
      </w:pPr>
    </w:p>
    <w:p>
      <w:pPr>
        <w:spacing w:line="400" w:lineRule="exact"/>
        <w:ind w:firstLine="480" w:firstLineChars="200"/>
        <w:outlineLvl w:val="0"/>
        <w:rPr>
          <w:rFonts w:hint="eastAsia" w:ascii="仿宋" w:hAnsi="仿宋" w:eastAsia="仿宋"/>
          <w:color w:val="auto"/>
          <w:sz w:val="24"/>
          <w:highlight w:val="none"/>
        </w:rPr>
      </w:pPr>
      <w:r>
        <w:rPr>
          <w:rFonts w:hint="eastAsia" w:ascii="仿宋" w:hAnsi="仿宋" w:eastAsia="仿宋" w:cs="黑体"/>
          <w:color w:val="auto"/>
          <w:sz w:val="24"/>
          <w:highlight w:val="none"/>
        </w:rPr>
        <w:t>附件五：项目管理小组成员</w:t>
      </w:r>
      <w:r>
        <w:rPr>
          <w:rFonts w:hint="eastAsia" w:ascii="仿宋" w:hAnsi="仿宋" w:eastAsia="仿宋"/>
          <w:color w:val="auto"/>
          <w:sz w:val="24"/>
          <w:highlight w:val="none"/>
        </w:rPr>
        <w:t xml:space="preserve"> </w:t>
      </w:r>
    </w:p>
    <w:p>
      <w:pPr>
        <w:spacing w:line="400" w:lineRule="exact"/>
        <w:ind w:firstLine="480" w:firstLineChars="200"/>
        <w:rPr>
          <w:rFonts w:hint="eastAsia" w:ascii="仿宋" w:hAnsi="仿宋" w:eastAsia="仿宋"/>
          <w:color w:val="auto"/>
          <w:sz w:val="24"/>
          <w:highlight w:val="none"/>
        </w:rPr>
      </w:pPr>
    </w:p>
    <w:p>
      <w:pPr>
        <w:spacing w:line="400" w:lineRule="exact"/>
        <w:ind w:firstLine="480" w:firstLineChars="200"/>
        <w:rPr>
          <w:rFonts w:hint="eastAsia" w:ascii="仿宋" w:hAnsi="仿宋" w:eastAsia="仿宋"/>
          <w:color w:val="auto"/>
          <w:sz w:val="24"/>
          <w:highlight w:val="none"/>
        </w:rPr>
      </w:pPr>
    </w:p>
    <w:p>
      <w:pPr>
        <w:numPr>
          <w:ilvl w:val="0"/>
          <w:numId w:val="9"/>
        </w:numPr>
        <w:spacing w:line="400" w:lineRule="exact"/>
        <w:rPr>
          <w:rFonts w:ascii="仿宋" w:hAnsi="仿宋" w:eastAsia="仿宋"/>
          <w:color w:val="auto"/>
          <w:sz w:val="24"/>
          <w:highlight w:val="none"/>
        </w:rPr>
      </w:pPr>
      <w:r>
        <w:rPr>
          <w:rFonts w:hint="eastAsia" w:ascii="仿宋" w:hAnsi="仿宋" w:eastAsia="仿宋"/>
          <w:color w:val="auto"/>
          <w:sz w:val="24"/>
          <w:highlight w:val="none"/>
        </w:rPr>
        <w:t xml:space="preserve">甲方成员：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531"/>
        <w:gridCol w:w="1531"/>
        <w:gridCol w:w="153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序号</w:t>
            </w:r>
          </w:p>
        </w:tc>
        <w:tc>
          <w:tcPr>
            <w:tcW w:w="1531"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姓名</w:t>
            </w:r>
          </w:p>
        </w:tc>
        <w:tc>
          <w:tcPr>
            <w:tcW w:w="1531"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职务/职称</w:t>
            </w:r>
          </w:p>
        </w:tc>
        <w:tc>
          <w:tcPr>
            <w:tcW w:w="1531"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负责内容</w:t>
            </w:r>
          </w:p>
        </w:tc>
        <w:tc>
          <w:tcPr>
            <w:tcW w:w="1532"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2" w:type="dxa"/>
            <w:noWrap w:val="0"/>
            <w:vAlign w:val="top"/>
          </w:tcPr>
          <w:p>
            <w:pPr>
              <w:spacing w:line="400" w:lineRule="exac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2" w:type="dxa"/>
            <w:noWrap w:val="0"/>
            <w:vAlign w:val="top"/>
          </w:tcPr>
          <w:p>
            <w:pPr>
              <w:spacing w:line="400" w:lineRule="exac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2" w:type="dxa"/>
            <w:noWrap w:val="0"/>
            <w:vAlign w:val="top"/>
          </w:tcPr>
          <w:p>
            <w:pPr>
              <w:spacing w:line="400" w:lineRule="exact"/>
              <w:rPr>
                <w:rFonts w:ascii="仿宋" w:hAnsi="仿宋" w:eastAsia="仿宋"/>
                <w:color w:val="auto"/>
                <w:sz w:val="24"/>
                <w:highlight w:val="none"/>
              </w:rPr>
            </w:pPr>
          </w:p>
        </w:tc>
      </w:tr>
    </w:tbl>
    <w:p>
      <w:pPr>
        <w:spacing w:line="400" w:lineRule="exact"/>
        <w:rPr>
          <w:rFonts w:hint="eastAsia" w:ascii="仿宋" w:hAnsi="仿宋" w:eastAsia="仿宋"/>
          <w:color w:val="auto"/>
          <w:sz w:val="24"/>
          <w:highlight w:val="none"/>
        </w:rPr>
      </w:pPr>
    </w:p>
    <w:p>
      <w:pPr>
        <w:spacing w:line="400" w:lineRule="exact"/>
        <w:ind w:left="480"/>
        <w:rPr>
          <w:rFonts w:hint="eastAsia" w:ascii="仿宋" w:hAnsi="仿宋" w:eastAsia="仿宋"/>
          <w:color w:val="auto"/>
          <w:sz w:val="24"/>
          <w:highlight w:val="none"/>
        </w:rPr>
      </w:pPr>
      <w:r>
        <w:rPr>
          <w:rFonts w:hint="eastAsia" w:ascii="仿宋" w:hAnsi="仿宋" w:eastAsia="仿宋"/>
          <w:color w:val="auto"/>
          <w:sz w:val="24"/>
          <w:highlight w:val="none"/>
        </w:rPr>
        <w:t>（二）乙方成员：</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531"/>
        <w:gridCol w:w="1531"/>
        <w:gridCol w:w="153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序号</w:t>
            </w:r>
          </w:p>
        </w:tc>
        <w:tc>
          <w:tcPr>
            <w:tcW w:w="1531"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姓名</w:t>
            </w:r>
          </w:p>
        </w:tc>
        <w:tc>
          <w:tcPr>
            <w:tcW w:w="1531"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职务/职称</w:t>
            </w:r>
          </w:p>
        </w:tc>
        <w:tc>
          <w:tcPr>
            <w:tcW w:w="1531"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负责内容</w:t>
            </w:r>
          </w:p>
        </w:tc>
        <w:tc>
          <w:tcPr>
            <w:tcW w:w="1532"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2" w:type="dxa"/>
            <w:noWrap w:val="0"/>
            <w:vAlign w:val="top"/>
          </w:tcPr>
          <w:p>
            <w:pPr>
              <w:spacing w:line="400" w:lineRule="exac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2" w:type="dxa"/>
            <w:noWrap w:val="0"/>
            <w:vAlign w:val="top"/>
          </w:tcPr>
          <w:p>
            <w:pPr>
              <w:spacing w:line="400" w:lineRule="exac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1" w:type="dxa"/>
            <w:noWrap w:val="0"/>
            <w:vAlign w:val="top"/>
          </w:tcPr>
          <w:p>
            <w:pPr>
              <w:spacing w:line="400" w:lineRule="exact"/>
              <w:rPr>
                <w:rFonts w:ascii="仿宋" w:hAnsi="仿宋" w:eastAsia="仿宋"/>
                <w:color w:val="auto"/>
                <w:sz w:val="24"/>
                <w:highlight w:val="none"/>
              </w:rPr>
            </w:pPr>
          </w:p>
        </w:tc>
        <w:tc>
          <w:tcPr>
            <w:tcW w:w="1532" w:type="dxa"/>
            <w:noWrap w:val="0"/>
            <w:vAlign w:val="top"/>
          </w:tcPr>
          <w:p>
            <w:pPr>
              <w:spacing w:line="400" w:lineRule="exact"/>
              <w:rPr>
                <w:rFonts w:ascii="仿宋" w:hAnsi="仿宋" w:eastAsia="仿宋"/>
                <w:color w:val="auto"/>
                <w:sz w:val="24"/>
                <w:highlight w:val="none"/>
              </w:rPr>
            </w:pPr>
          </w:p>
        </w:tc>
      </w:tr>
    </w:tbl>
    <w:p>
      <w:pPr>
        <w:spacing w:line="400" w:lineRule="exact"/>
        <w:ind w:firstLine="480" w:firstLineChars="200"/>
        <w:rPr>
          <w:rFonts w:ascii="仿宋" w:hAnsi="仿宋" w:eastAsia="仿宋"/>
          <w:color w:val="auto"/>
          <w:sz w:val="24"/>
          <w:highlight w:val="none"/>
        </w:rPr>
      </w:pPr>
    </w:p>
    <w:p>
      <w:pPr>
        <w:spacing w:line="400" w:lineRule="exact"/>
        <w:rPr>
          <w:rFonts w:hint="eastAsia" w:ascii="仿宋" w:hAnsi="仿宋" w:eastAsia="仿宋"/>
          <w:color w:val="auto"/>
          <w:sz w:val="24"/>
          <w:highlight w:val="none"/>
        </w:rPr>
      </w:pPr>
    </w:p>
    <w:p>
      <w:pPr>
        <w:spacing w:line="4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（三）项目驻点人员情况（如有）：</w:t>
      </w:r>
    </w:p>
    <w:p>
      <w:pPr>
        <w:spacing w:line="400" w:lineRule="exact"/>
        <w:ind w:firstLine="480" w:firstLineChars="200"/>
        <w:rPr>
          <w:rFonts w:ascii="仿宋" w:hAnsi="仿宋" w:eastAsia="仿宋" w:cs="宋体"/>
          <w:color w:val="auto"/>
          <w:kern w:val="0"/>
          <w:sz w:val="24"/>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285"/>
        <w:gridCol w:w="1285"/>
        <w:gridCol w:w="1285"/>
        <w:gridCol w:w="128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序号</w:t>
            </w:r>
          </w:p>
        </w:tc>
        <w:tc>
          <w:tcPr>
            <w:tcW w:w="1285"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姓名</w:t>
            </w:r>
          </w:p>
        </w:tc>
        <w:tc>
          <w:tcPr>
            <w:tcW w:w="1285"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职务/职称</w:t>
            </w:r>
          </w:p>
        </w:tc>
        <w:tc>
          <w:tcPr>
            <w:tcW w:w="1285"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负责内容</w:t>
            </w:r>
          </w:p>
        </w:tc>
        <w:tc>
          <w:tcPr>
            <w:tcW w:w="1285" w:type="dxa"/>
            <w:noWrap w:val="0"/>
            <w:vAlign w:val="top"/>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联系方式</w:t>
            </w:r>
          </w:p>
        </w:tc>
        <w:tc>
          <w:tcPr>
            <w:tcW w:w="1232" w:type="dxa"/>
            <w:noWrap w:val="0"/>
            <w:vAlign w:val="top"/>
          </w:tcPr>
          <w:p>
            <w:pPr>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驻点周期（年）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32" w:type="dxa"/>
            <w:noWrap w:val="0"/>
            <w:vAlign w:val="top"/>
          </w:tcPr>
          <w:p>
            <w:pPr>
              <w:spacing w:line="400" w:lineRule="exac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32" w:type="dxa"/>
            <w:noWrap w:val="0"/>
            <w:vAlign w:val="top"/>
          </w:tcPr>
          <w:p>
            <w:pPr>
              <w:spacing w:line="400" w:lineRule="exac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85" w:type="dxa"/>
            <w:noWrap w:val="0"/>
            <w:vAlign w:val="top"/>
          </w:tcPr>
          <w:p>
            <w:pPr>
              <w:spacing w:line="400" w:lineRule="exact"/>
              <w:rPr>
                <w:rFonts w:ascii="仿宋" w:hAnsi="仿宋" w:eastAsia="仿宋"/>
                <w:color w:val="auto"/>
                <w:sz w:val="24"/>
                <w:highlight w:val="none"/>
              </w:rPr>
            </w:pPr>
          </w:p>
        </w:tc>
        <w:tc>
          <w:tcPr>
            <w:tcW w:w="1232" w:type="dxa"/>
            <w:noWrap w:val="0"/>
            <w:vAlign w:val="top"/>
          </w:tcPr>
          <w:p>
            <w:pPr>
              <w:spacing w:line="400" w:lineRule="exact"/>
              <w:rPr>
                <w:rFonts w:ascii="仿宋" w:hAnsi="仿宋" w:eastAsia="仿宋"/>
                <w:color w:val="auto"/>
                <w:sz w:val="24"/>
                <w:highlight w:val="none"/>
              </w:rPr>
            </w:pPr>
          </w:p>
        </w:tc>
      </w:tr>
    </w:tbl>
    <w:p>
      <w:pPr>
        <w:spacing w:line="400" w:lineRule="exact"/>
        <w:ind w:firstLine="480" w:firstLineChars="200"/>
        <w:rPr>
          <w:rFonts w:hint="eastAsia" w:ascii="仿宋" w:hAnsi="仿宋" w:eastAsia="仿宋" w:cs="宋体"/>
          <w:color w:val="auto"/>
          <w:kern w:val="0"/>
          <w:sz w:val="24"/>
          <w:highlight w:val="none"/>
        </w:rPr>
        <w:sectPr>
          <w:footerReference r:id="rId10" w:type="default"/>
          <w:pgSz w:w="12240" w:h="15840"/>
          <w:pgMar w:top="1843" w:right="1800" w:bottom="1440" w:left="1800" w:header="720" w:footer="720" w:gutter="0"/>
          <w:cols w:space="720" w:num="1"/>
        </w:sectPr>
      </w:pPr>
    </w:p>
    <w:p>
      <w:pPr>
        <w:widowControl/>
        <w:snapToGrid w:val="0"/>
        <w:spacing w:line="400" w:lineRule="exact"/>
        <w:ind w:firstLine="480" w:firstLineChars="200"/>
        <w:rPr>
          <w:rFonts w:hint="eastAsia" w:ascii="仿宋" w:hAnsi="仿宋" w:eastAsia="仿宋"/>
          <w:color w:val="auto"/>
          <w:sz w:val="24"/>
          <w:highlight w:val="none"/>
        </w:rPr>
      </w:pPr>
      <w:r>
        <w:rPr>
          <w:rFonts w:hint="eastAsia" w:ascii="仿宋" w:hAnsi="仿宋" w:eastAsia="仿宋" w:cs="宋体"/>
          <w:color w:val="auto"/>
          <w:kern w:val="0"/>
          <w:sz w:val="24"/>
          <w:highlight w:val="none"/>
        </w:rPr>
        <w:t>附件六</w:t>
      </w:r>
    </w:p>
    <w:bookmarkEnd w:id="461"/>
    <w:p>
      <w:pPr>
        <w:spacing w:line="56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保密协议书（参考格式）</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（公安机关单位名称）</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（合作单位名称）</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为确保公安机关提供的人员、设备等信息在使用、管理中的安全保密，根据《公安机关**工作秘密具体范围的规定》等法律规定，现就相关保密事宜达成如下协议：</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公安机关依法强制采集的社会信息及公安内部单位信息为**工作秘密。为促进社会管理工作，对外提供的任何信息及公民个人隐私，乙方确保在使用、管理甲方提供的信息过程中采取同等强度的保密措施，并对所知信息承担同等的法律责任和义务。</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二、未经甲方许可，乙方不得将从甲方获取的任何信息向第三方机构、个人提供或与第三方机构、个人共享。并对该专有信息提供管理良好的安全保密措施。</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三、乙方由甲方获取的任何信息在使用、管理中不得泄露信息来源。</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四、乙方为完成项目工作，承诺查询到与甲方告知的任何信息仅限于此专项工作中使用，不得向任何其他团体、个人透露相关信息。</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五、甲方有权加强对乙方及参与本项目工作员工的安全保密监管，及时发现安全保密隐患和问题。乙方应配合甲方对乙方有关人员进行审查、教育培训，及时调整不合适的人员。</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六、乙方必须在签定本保密协议后，才可使用甲方提供的有关专有信息，建设“</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七、建设涉密信息系统，乙方须具有国家保密工作部门核发的《资质证书》作为附件，制定甲方认可的安全保密管理方案，并采用适当的安全保密技术和措施对涉密系统进行集成。</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乙方不能将甲方的专有信息用于其它任何目的。除乙方直接参与本项工程的职员之外，不将专有信息透露给其它任何人。乙方及其参与本项工作的员工严禁在系统建设中私设“后门”，非法访问系统。否则，将追究乙方的刑事责任。乙方应当告知并采取有效措施要求参与本项工作的员工遵守本协议规定。</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九、乙方发现保密范围内的有关事项已经泄露或可能泄露时应当报告甲方，并及时采取补救措施。</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十、当甲方要求乙方交回专有信息时，乙方应当立即交回所有书面的或其他形式的专有信息以及所有描述和概括该专有信息的文件资料，不能以任何形式保留或擅自处理。</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十一、乙方或参与本项工作之员工违反本协议规定，造成泄密事件，乙方应承担有关法律责任，并赔偿相应经济损失（详见主合同保密条款）。</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自本协议生效之日起，双方的合作交流都要符合本协议的条款。除非甲方通过书面通知明确说明对本协议所涉及的某项专有信息予以解密或同意共享，乙方必须按照本协议所承担的保密义务对在建设本系统中掌握的专有信息进行保密，保密期限为永久并不受本协议有效期限的限制。</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十三、本协议双方签字盖章后生效。</w:t>
      </w: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授权代表签字：              授权代表签字：</w:t>
      </w: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年  月  日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年  月  日</w:t>
      </w:r>
    </w:p>
    <w:p>
      <w:pPr>
        <w:spacing w:line="560" w:lineRule="exact"/>
        <w:ind w:firstLine="470" w:firstLineChars="196"/>
        <w:rPr>
          <w:rFonts w:hint="eastAsia" w:ascii="仿宋" w:hAnsi="仿宋" w:eastAsia="仿宋" w:cs="仿宋"/>
          <w:color w:val="auto"/>
          <w:sz w:val="24"/>
          <w:highlight w:val="none"/>
        </w:rPr>
      </w:pPr>
    </w:p>
    <w:p>
      <w:pPr>
        <w:spacing w:line="400" w:lineRule="exact"/>
        <w:outlineLvl w:val="0"/>
        <w:rPr>
          <w:rFonts w:hint="eastAsia" w:ascii="仿宋" w:hAnsi="仿宋" w:eastAsia="仿宋" w:cs="仿宋_GB2312"/>
          <w:color w:val="auto"/>
          <w:sz w:val="24"/>
          <w:highlight w:val="none"/>
        </w:rPr>
      </w:pPr>
    </w:p>
    <w:p>
      <w:pPr>
        <w:spacing w:line="560" w:lineRule="exact"/>
        <w:ind w:firstLine="470" w:firstLineChars="196"/>
        <w:rPr>
          <w:rFonts w:hint="eastAsia" w:ascii="仿宋" w:hAnsi="仿宋" w:eastAsia="仿宋" w:cs="仿宋"/>
          <w:color w:val="auto"/>
          <w:sz w:val="24"/>
          <w:highlight w:val="none"/>
        </w:rPr>
      </w:pPr>
    </w:p>
    <w:p>
      <w:pPr>
        <w:spacing w:line="400" w:lineRule="exact"/>
        <w:outlineLvl w:val="0"/>
        <w:rPr>
          <w:rFonts w:hint="eastAsia" w:ascii="仿宋" w:hAnsi="仿宋" w:eastAsia="仿宋" w:cs="仿宋_GB2312"/>
          <w:color w:val="auto"/>
          <w:sz w:val="24"/>
          <w:highlight w:val="none"/>
        </w:rPr>
      </w:pPr>
    </w:p>
    <w:p>
      <w:pPr>
        <w:pStyle w:val="2"/>
        <w:jc w:val="center"/>
        <w:rPr>
          <w:rFonts w:hint="eastAsia" w:ascii="仿宋" w:eastAsia="仿宋" w:cs="仿宋"/>
          <w:color w:val="auto"/>
          <w:highlight w:val="none"/>
        </w:rPr>
      </w:pPr>
      <w:r>
        <w:rPr>
          <w:rFonts w:hint="eastAsia" w:ascii="仿宋" w:eastAsia="仿宋" w:cs="仿宋"/>
          <w:color w:val="auto"/>
          <w:highlight w:val="none"/>
        </w:rPr>
        <w:br w:type="page"/>
      </w:r>
      <w:r>
        <w:rPr>
          <w:rFonts w:hint="eastAsia" w:ascii="仿宋" w:eastAsia="仿宋" w:cs="仿宋"/>
          <w:color w:val="auto"/>
          <w:highlight w:val="none"/>
        </w:rPr>
        <w:t>第六部分</w:t>
      </w:r>
      <w:bookmarkEnd w:id="455"/>
      <w:r>
        <w:rPr>
          <w:rFonts w:hint="eastAsia" w:ascii="仿宋" w:eastAsia="仿宋" w:cs="仿宋"/>
          <w:color w:val="auto"/>
          <w:highlight w:val="none"/>
        </w:rPr>
        <w:t xml:space="preserve"> </w:t>
      </w:r>
      <w:bookmarkEnd w:id="456"/>
      <w:r>
        <w:rPr>
          <w:rFonts w:hint="eastAsia" w:ascii="仿宋" w:eastAsia="仿宋" w:cs="仿宋"/>
          <w:color w:val="auto"/>
          <w:highlight w:val="none"/>
        </w:rPr>
        <w:t>应提交的有关格式范例</w:t>
      </w:r>
      <w:bookmarkEnd w:id="458"/>
    </w:p>
    <w:p>
      <w:pPr>
        <w:pStyle w:val="2"/>
        <w:jc w:val="center"/>
        <w:rPr>
          <w:rFonts w:hint="eastAsia" w:ascii="仿宋" w:eastAsia="仿宋" w:cs="仿宋"/>
          <w:b w:val="0"/>
          <w:color w:val="auto"/>
          <w:szCs w:val="36"/>
          <w:highlight w:val="none"/>
        </w:rPr>
      </w:pPr>
      <w:bookmarkStart w:id="462" w:name="_Toc13322"/>
      <w:r>
        <w:rPr>
          <w:rFonts w:hint="eastAsia" w:ascii="仿宋" w:eastAsia="仿宋" w:cs="仿宋"/>
          <w:color w:val="auto"/>
          <w:highlight w:val="none"/>
        </w:rPr>
        <w:t>资格文件部分</w:t>
      </w:r>
      <w:bookmarkEnd w:id="462"/>
    </w:p>
    <w:p>
      <w:pPr>
        <w:spacing w:line="360" w:lineRule="auto"/>
        <w:jc w:val="center"/>
        <w:outlineLvl w:val="0"/>
        <w:rPr>
          <w:rFonts w:hint="eastAsia" w:ascii="仿宋" w:hAnsi="仿宋" w:eastAsia="仿宋" w:cs="仿宋"/>
          <w:b/>
          <w:color w:val="auto"/>
          <w:kern w:val="0"/>
          <w:sz w:val="36"/>
          <w:szCs w:val="36"/>
          <w:highlight w:val="none"/>
        </w:rPr>
      </w:pPr>
      <w:bookmarkStart w:id="463" w:name="_Toc3652"/>
      <w:bookmarkStart w:id="464" w:name="_Toc22497"/>
      <w:bookmarkStart w:id="465" w:name="_Toc19552"/>
      <w:r>
        <w:rPr>
          <w:rFonts w:hint="eastAsia" w:ascii="仿宋" w:hAnsi="仿宋" w:eastAsia="仿宋" w:cs="仿宋"/>
          <w:b/>
          <w:color w:val="auto"/>
          <w:kern w:val="0"/>
          <w:sz w:val="36"/>
          <w:szCs w:val="36"/>
          <w:highlight w:val="none"/>
        </w:rPr>
        <w:t>目录</w:t>
      </w:r>
      <w:bookmarkEnd w:id="463"/>
      <w:bookmarkEnd w:id="464"/>
      <w:bookmarkEnd w:id="465"/>
    </w:p>
    <w:p>
      <w:pPr>
        <w:pStyle w:val="465"/>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（1）符合《中华人民共和国政府采购法》第二十二条规定的相关证明材料；</w:t>
      </w:r>
    </w:p>
    <w:p>
      <w:pPr>
        <w:pStyle w:val="465"/>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各供应商须在响应文件开启时间中出具对应证明材料。（商业信誉可提前自查，响应文件开启时间中可不提供）</w:t>
      </w:r>
    </w:p>
    <w:p>
      <w:pPr>
        <w:pStyle w:val="465"/>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a.具有独立承担民事责任能力的证明材料；</w:t>
      </w:r>
    </w:p>
    <w:p>
      <w:pPr>
        <w:pStyle w:val="465"/>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b.符合参与政府采购活动资格条件的承诺函；</w:t>
      </w:r>
    </w:p>
    <w:p>
      <w:pPr>
        <w:pStyle w:val="465"/>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c.商业信誉：</w:t>
      </w:r>
    </w:p>
    <w:p>
      <w:pPr>
        <w:pStyle w:val="465"/>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pPr>
        <w:pStyle w:val="465"/>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对列入失信被执行人、重大税收违法案件当事人名单、政府采购严重违法失信行为记录名单的供应商，其磋商响应将作无效响应处理。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color w:val="auto"/>
          <w:sz w:val="24"/>
          <w:highlight w:val="none"/>
          <w:lang w:val="zh-CN"/>
        </w:rPr>
        <w:t>证明材料</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(3)本项目的特定资格</w:t>
      </w:r>
      <w:r>
        <w:rPr>
          <w:rFonts w:hint="eastAsia" w:ascii="仿宋" w:hAnsi="仿宋" w:eastAsia="仿宋" w:cs="仿宋"/>
          <w:color w:val="auto"/>
          <w:sz w:val="24"/>
          <w:highlight w:val="none"/>
          <w:lang w:val="zh-CN"/>
        </w:rPr>
        <w:t>证明材料。</w:t>
      </w:r>
    </w:p>
    <w:p>
      <w:pPr>
        <w:pStyle w:val="58"/>
        <w:tabs>
          <w:tab w:val="left" w:pos="630"/>
          <w:tab w:val="left" w:pos="840"/>
          <w:tab w:val="left" w:pos="1050"/>
        </w:tabs>
        <w:snapToGrid w:val="0"/>
        <w:spacing w:before="0" w:beforeAutospacing="0" w:after="0" w:afterAutospacing="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highlight w:val="none"/>
          <w:lang w:val="zh-CN"/>
        </w:rPr>
        <w:br w:type="page"/>
      </w:r>
      <w:r>
        <w:rPr>
          <w:rFonts w:hint="eastAsia" w:ascii="仿宋" w:hAnsi="仿宋" w:eastAsia="仿宋" w:cs="仿宋"/>
          <w:b/>
          <w:color w:val="auto"/>
          <w:sz w:val="32"/>
          <w:szCs w:val="32"/>
          <w:highlight w:val="none"/>
        </w:rPr>
        <w:t>一、</w:t>
      </w:r>
      <w:r>
        <w:rPr>
          <w:rFonts w:hint="eastAsia" w:ascii="仿宋" w:hAnsi="仿宋" w:eastAsia="仿宋" w:cs="仿宋"/>
          <w:color w:val="auto"/>
          <w:sz w:val="28"/>
          <w:szCs w:val="28"/>
          <w:highlight w:val="none"/>
        </w:rPr>
        <w:t>符合参与政府采购活动资格条件的承诺函：</w:t>
      </w:r>
    </w:p>
    <w:p>
      <w:pPr>
        <w:shd w:val="clear" w:color="auto" w:fill="FFFFFF"/>
        <w:snapToGrid w:val="0"/>
        <w:spacing w:line="440" w:lineRule="exact"/>
        <w:jc w:val="center"/>
        <w:rPr>
          <w:rFonts w:hint="eastAsia" w:ascii="新宋体" w:hAnsi="新宋体" w:eastAsia="新宋体"/>
          <w:color w:val="auto"/>
          <w:sz w:val="28"/>
          <w:szCs w:val="36"/>
          <w:highlight w:val="none"/>
        </w:rPr>
      </w:pPr>
      <w:r>
        <w:rPr>
          <w:rFonts w:hint="eastAsia" w:ascii="新宋体" w:hAnsi="新宋体" w:eastAsia="新宋体"/>
          <w:color w:val="auto"/>
          <w:sz w:val="28"/>
          <w:szCs w:val="36"/>
          <w:highlight w:val="none"/>
        </w:rPr>
        <w:t>资格条件承诺函</w:t>
      </w:r>
    </w:p>
    <w:p>
      <w:pPr>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温州市公安局</w:t>
      </w:r>
    </w:p>
    <w:p>
      <w:pPr>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温州市华明招标代理有限公司：</w:t>
      </w:r>
    </w:p>
    <w:p>
      <w:pPr>
        <w:widowControl/>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（采购项目名称、标项名称、编号）磋商响应，现郑重承诺：</w:t>
      </w:r>
    </w:p>
    <w:p>
      <w:pPr>
        <w:widowControl/>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1、我方符合《中华人民共和国政府采购法》第22条规定的资格条件，即</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（1）我方具有独立承担民事责任的能力；</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（2）我方具有良好的商业信誉和健全的财务会计制度；</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（3）我方具有履行合同所必需的设备和专业技术能力；</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（4）我方有依法缴纳税收和社会保障资金的良好记录；</w:t>
      </w:r>
    </w:p>
    <w:p>
      <w:pPr>
        <w:widowControl/>
        <w:snapToGrid w:val="0"/>
        <w:spacing w:line="440" w:lineRule="exact"/>
        <w:ind w:left="1020" w:leftChars="200" w:hanging="600" w:hanging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283" w:hanging="283" w:hangingChars="11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2、到本项目响应截止时间为止，我方未被“信用中国（</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"http://www.creditchina.gov.cn）、" </w:instrText>
      </w:r>
      <w:r>
        <w:rPr>
          <w:rFonts w:hint="eastAsia" w:ascii="仿宋" w:hAnsi="仿宋" w:eastAsia="仿宋" w:cs="仿宋"/>
          <w:color w:val="auto"/>
          <w:kern w:val="0"/>
          <w:sz w:val="24"/>
          <w:highlight w:val="none"/>
        </w:rPr>
        <w:fldChar w:fldCharType="separate"/>
      </w:r>
      <w:r>
        <w:rPr>
          <w:rStyle w:val="76"/>
          <w:rFonts w:hint="eastAsia" w:ascii="仿宋" w:hAnsi="仿宋" w:eastAsia="仿宋" w:cs="仿宋"/>
          <w:color w:val="auto"/>
          <w:sz w:val="24"/>
          <w:highlight w:val="none"/>
        </w:rPr>
        <w:t>www.creditchina.gov.cn）、</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80" w:firstLineChars="200"/>
        <w:jc w:val="left"/>
        <w:rPr>
          <w:rFonts w:hint="eastAsia" w:ascii="仿宋" w:hAnsi="仿宋" w:eastAsia="仿宋" w:cs="仿宋"/>
          <w:color w:val="auto"/>
          <w:kern w:val="0"/>
          <w:sz w:val="24"/>
          <w:highlight w:val="none"/>
        </w:rPr>
      </w:pPr>
    </w:p>
    <w:p>
      <w:pPr>
        <w:widowControl/>
        <w:snapToGrid w:val="0"/>
        <w:spacing w:line="440" w:lineRule="exact"/>
        <w:ind w:left="210" w:leftChars="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以上承诺如有虚假，</w:t>
      </w:r>
      <w:r>
        <w:rPr>
          <w:rFonts w:hint="eastAsia" w:ascii="仿宋" w:hAnsi="仿宋" w:eastAsia="仿宋" w:cs="仿宋"/>
          <w:color w:val="auto"/>
          <w:sz w:val="24"/>
          <w:highlight w:val="none"/>
        </w:rPr>
        <w:t>愿接受取消</w:t>
      </w:r>
      <w:r>
        <w:rPr>
          <w:rFonts w:hint="eastAsia" w:ascii="仿宋" w:hAnsi="仿宋" w:eastAsia="仿宋" w:cs="仿宋"/>
          <w:color w:val="auto"/>
          <w:kern w:val="0"/>
          <w:sz w:val="24"/>
          <w:highlight w:val="none"/>
        </w:rPr>
        <w:t>我方任何资格（磋商响应/成交/签订合同）</w:t>
      </w:r>
      <w:r>
        <w:rPr>
          <w:rFonts w:hint="eastAsia" w:ascii="仿宋" w:hAnsi="仿宋" w:eastAsia="仿宋" w:cs="仿宋"/>
          <w:color w:val="auto"/>
          <w:sz w:val="24"/>
          <w:highlight w:val="none"/>
        </w:rPr>
        <w:t>及其他任何形式的处理。</w:t>
      </w:r>
    </w:p>
    <w:p>
      <w:pPr>
        <w:widowControl/>
        <w:snapToGrid w:val="0"/>
        <w:spacing w:line="440" w:lineRule="exact"/>
        <w:ind w:firstLine="480" w:firstLineChars="200"/>
        <w:jc w:val="left"/>
        <w:rPr>
          <w:rFonts w:hint="eastAsia" w:ascii="仿宋" w:hAnsi="仿宋" w:eastAsia="仿宋" w:cs="仿宋"/>
          <w:color w:val="auto"/>
          <w:kern w:val="0"/>
          <w:sz w:val="24"/>
          <w:highlight w:val="none"/>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tabs>
          <w:tab w:val="left" w:pos="5454"/>
        </w:tabs>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rPr>
          <w:rFonts w:hint="eastAsia" w:ascii="仿宋" w:hAnsi="仿宋" w:eastAsia="仿宋" w:cs="仿宋"/>
          <w:b/>
          <w:color w:val="auto"/>
          <w:kern w:val="0"/>
          <w:sz w:val="32"/>
          <w:szCs w:val="32"/>
          <w:highlight w:val="none"/>
        </w:rPr>
      </w:pPr>
    </w:p>
    <w:p>
      <w:pPr>
        <w:pStyle w:val="58"/>
        <w:tabs>
          <w:tab w:val="left" w:pos="630"/>
          <w:tab w:val="left" w:pos="840"/>
          <w:tab w:val="left" w:pos="1050"/>
        </w:tabs>
        <w:snapToGrid w:val="0"/>
        <w:spacing w:before="0" w:beforeAutospacing="0" w:after="0" w:afterAutospacing="0" w:line="360" w:lineRule="auto"/>
        <w:ind w:left="420"/>
        <w:rPr>
          <w:rFonts w:hint="eastAsia" w:ascii="仿宋" w:hAnsi="仿宋" w:eastAsia="仿宋" w:cs="仿宋"/>
          <w:bCs/>
          <w:color w:val="auto"/>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highlight w:val="none"/>
        </w:rPr>
        <w:t>供应商须在响应文件开启时间中出具符合以下情况的证明材料复印件（五选一）：</w:t>
      </w:r>
    </w:p>
    <w:p>
      <w:pPr>
        <w:pStyle w:val="58"/>
        <w:numPr>
          <w:ilvl w:val="0"/>
          <w:numId w:val="10"/>
          <w:numberingChange w:id="0" w:author="温州（π）流程快了朋友多" w:date="2021-03-28T21:44:00Z" w:original="%1:1: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如供应商是企业（包括合伙企业），提供在工商部门注册的有效“企业法人营业执照”或“营业执照”；</w:t>
      </w:r>
    </w:p>
    <w:p>
      <w:pPr>
        <w:pStyle w:val="58"/>
        <w:numPr>
          <w:ilvl w:val="0"/>
          <w:numId w:val="10"/>
          <w:numberingChange w:id="1" w:author="温州（π）流程快了朋友多" w:date="2021-03-28T21:44:00Z" w:original="%1:2: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如供应商是事业单位，提供有效的“事业单位法人证书”；</w:t>
      </w:r>
    </w:p>
    <w:p>
      <w:pPr>
        <w:pStyle w:val="58"/>
        <w:numPr>
          <w:ilvl w:val="0"/>
          <w:numId w:val="10"/>
          <w:numberingChange w:id="2" w:author="温州（π）流程快了朋友多" w:date="2021-03-28T21:44:00Z" w:original="%1:3: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如供应商是非企业专业服务机构的，提供执业许可证等证明文件；</w:t>
      </w:r>
    </w:p>
    <w:p>
      <w:pPr>
        <w:pStyle w:val="58"/>
        <w:numPr>
          <w:ilvl w:val="0"/>
          <w:numId w:val="10"/>
          <w:numberingChange w:id="3" w:author="温州（π）流程快了朋友多" w:date="2021-03-28T21:44:00Z" w:original="%1:4: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如供应商是个体工商户，提供有效的“个体工商户营业执照”；</w:t>
      </w:r>
    </w:p>
    <w:p>
      <w:pPr>
        <w:pStyle w:val="58"/>
        <w:numPr>
          <w:ilvl w:val="0"/>
          <w:numId w:val="10"/>
          <w:numberingChange w:id="4" w:author="温州（π）流程快了朋友多" w:date="2021-03-28T21:44:00Z" w:original="%1:5: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如供应商是自然人，提供有效的自然人身份证明（居民身份证正反面或公安机关出具的临时居民身份证正反面或港澳台胞证或护照）。</w:t>
      </w:r>
    </w:p>
    <w:p>
      <w:pPr>
        <w:pStyle w:val="58"/>
        <w:tabs>
          <w:tab w:val="left" w:pos="312"/>
        </w:tabs>
        <w:snapToGrid w:val="0"/>
        <w:spacing w:before="0" w:beforeAutospacing="0" w:after="0" w:afterAutospacing="0" w:line="360" w:lineRule="auto"/>
        <w:rPr>
          <w:rFonts w:hint="eastAsia" w:ascii="仿宋" w:hAnsi="仿宋" w:eastAsia="仿宋" w:cs="仿宋"/>
          <w:bCs/>
          <w:color w:val="auto"/>
          <w:sz w:val="21"/>
          <w:szCs w:val="21"/>
          <w:highlight w:val="none"/>
        </w:rPr>
      </w:pPr>
    </w:p>
    <w:p>
      <w:pPr>
        <w:pStyle w:val="465"/>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pPr>
        <w:snapToGrid w:val="0"/>
        <w:spacing w:line="360" w:lineRule="auto"/>
        <w:jc w:val="left"/>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二、落实政府采购政策需满足的资格要求证明材料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 xml:space="preserve">  </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bookmarkStart w:id="466" w:name="_Toc31209"/>
      <w:r>
        <w:rPr>
          <w:rStyle w:val="79"/>
          <w:rFonts w:hint="eastAsia" w:ascii="仿宋" w:eastAsia="仿宋" w:cs="仿宋"/>
          <w:color w:val="auto"/>
          <w:highlight w:val="none"/>
        </w:rPr>
        <w:t>商务技术文件部分</w:t>
      </w:r>
      <w:bookmarkEnd w:id="466"/>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bookmarkStart w:id="467" w:name="_Toc23620"/>
      <w:bookmarkStart w:id="468" w:name="_Toc11049"/>
      <w:bookmarkStart w:id="469" w:name="_Toc23572"/>
      <w:r>
        <w:rPr>
          <w:rFonts w:hint="eastAsia" w:ascii="仿宋" w:hAnsi="仿宋" w:eastAsia="仿宋" w:cs="仿宋"/>
          <w:b/>
          <w:color w:val="auto"/>
          <w:kern w:val="0"/>
          <w:sz w:val="28"/>
          <w:szCs w:val="28"/>
          <w:highlight w:val="none"/>
        </w:rPr>
        <w:t>目录</w:t>
      </w:r>
      <w:bookmarkEnd w:id="467"/>
      <w:bookmarkEnd w:id="468"/>
      <w:bookmarkEnd w:id="469"/>
    </w:p>
    <w:p>
      <w:pPr>
        <w:numPr>
          <w:ilvl w:val="0"/>
          <w:numId w:val="11"/>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报价声明函</w:t>
      </w:r>
      <w:r>
        <w:rPr>
          <w:rFonts w:hint="eastAsia" w:ascii="仿宋" w:hAnsi="仿宋" w:eastAsia="仿宋" w:cs="仿宋"/>
          <w:color w:val="auto"/>
          <w:highlight w:val="none"/>
        </w:rPr>
        <w:t>…………………………………………………………………………………（页码）</w:t>
      </w:r>
    </w:p>
    <w:p>
      <w:pPr>
        <w:numPr>
          <w:ilvl w:val="0"/>
          <w:numId w:val="11"/>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bookmarkStart w:id="470" w:name="_Toc21536"/>
      <w:bookmarkStart w:id="471" w:name="_Toc26161"/>
      <w:bookmarkStart w:id="472" w:name="_Toc25202"/>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一、</w:t>
      </w:r>
      <w:bookmarkEnd w:id="470"/>
      <w:bookmarkEnd w:id="471"/>
      <w:bookmarkEnd w:id="472"/>
      <w:r>
        <w:rPr>
          <w:rFonts w:hint="eastAsia" w:ascii="仿宋" w:hAnsi="仿宋" w:eastAsia="仿宋" w:cs="仿宋"/>
          <w:b/>
          <w:color w:val="auto"/>
          <w:kern w:val="0"/>
          <w:sz w:val="32"/>
          <w:szCs w:val="32"/>
          <w:highlight w:val="none"/>
        </w:rPr>
        <w:t>报价声明函</w:t>
      </w:r>
    </w:p>
    <w:p>
      <w:pPr>
        <w:snapToGrid w:val="0"/>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温州市公安局、温州市华明招标代理有限公司：</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我方参加你方组织的公安数字驾驶舱基础模块、开发工具和场景开发模块（标项名称：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）【招标编号：HMZB20221110 】招标的有关活动，并对此项目进行磋商响应。为此：</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1、我方承诺磋商有效期从提交响应文件开启时间的截止之日起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本响应文件开启时间在磋商有效期满之前均具有约束力。</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2、我方的响应文件开启时间包括以下内容：</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42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2.2.1报价声明函；</w:t>
      </w:r>
      <w:r>
        <w:rPr>
          <w:rFonts w:hint="eastAsia" w:ascii="仿宋" w:hAnsi="仿宋" w:eastAsia="仿宋" w:cs="仿宋"/>
          <w:color w:val="auto"/>
          <w:sz w:val="24"/>
          <w:highlight w:val="none"/>
          <w:lang w:val="zh-CN"/>
        </w:rPr>
        <w:t xml:space="preserve"> </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2.2.6评审标准相应的商务技术资料；</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42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2.3.1报价一览表；</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2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温州市公安局、温州市华明招标代理有限公司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公安数字驾驶舱基础模块、开发工具和场景开发模块（标项名称：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）【招标编号：HMZB20221110 】</w:t>
      </w:r>
      <w:r>
        <w:rPr>
          <w:rFonts w:hint="eastAsia" w:ascii="仿宋" w:hAnsi="仿宋" w:eastAsia="仿宋" w:cs="仿宋"/>
          <w:color w:val="auto"/>
          <w:kern w:val="0"/>
          <w:sz w:val="24"/>
          <w:highlight w:val="none"/>
          <w:lang w:val="zh-CN"/>
        </w:rPr>
        <w:t>政府采购磋商响应的一切事项，其法律后果由我方承担。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kern w:val="0"/>
          <w:sz w:val="24"/>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的身份证明（适用于法定代表人、单位负责人或者自然人本人代表供应商参加磋商响应）</w:t>
      </w:r>
    </w:p>
    <w:p>
      <w:pPr>
        <w:pStyle w:val="4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41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419"/>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三、评审标准相应的商务技术资料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（按采购文件第四部分评审办法前附表中“响应文件开启时间中评审标准相应的商务技术资料目录”提供资料）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四、商务技术偏离表</w:t>
      </w:r>
    </w:p>
    <w:tbl>
      <w:tblPr>
        <w:tblStyle w:val="6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采购文件要求</w:t>
            </w:r>
          </w:p>
        </w:tc>
        <w:tc>
          <w:tcPr>
            <w:tcW w:w="3219"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响应文件开启时间对应规范</w:t>
            </w:r>
          </w:p>
        </w:tc>
        <w:tc>
          <w:tcPr>
            <w:tcW w:w="1822"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是否偏离</w:t>
            </w:r>
          </w:p>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735"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pPr>
              <w:snapToGrid w:val="0"/>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rPr>
                <w:rFonts w:hint="eastAsia" w:ascii="宋体" w:hAnsi="宋体" w:cs="宋体"/>
                <w:color w:val="auto"/>
                <w:spacing w:val="-6"/>
                <w:sz w:val="24"/>
                <w:highlight w:val="none"/>
              </w:rPr>
            </w:pPr>
          </w:p>
        </w:tc>
        <w:tc>
          <w:tcPr>
            <w:tcW w:w="1656" w:type="dxa"/>
            <w:noWrap w:val="0"/>
            <w:vAlign w:val="center"/>
          </w:tcPr>
          <w:p>
            <w:pPr>
              <w:snapToGrid w:val="0"/>
              <w:spacing w:line="400" w:lineRule="exact"/>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pPr>
              <w:snapToGrid w:val="0"/>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rPr>
                <w:rFonts w:hint="eastAsia" w:ascii="宋体" w:hAnsi="宋体" w:cs="宋体"/>
                <w:color w:val="auto"/>
                <w:spacing w:val="-6"/>
                <w:sz w:val="24"/>
                <w:highlight w:val="none"/>
              </w:rPr>
            </w:pPr>
          </w:p>
        </w:tc>
        <w:tc>
          <w:tcPr>
            <w:tcW w:w="1656" w:type="dxa"/>
            <w:noWrap w:val="0"/>
            <w:vAlign w:val="center"/>
          </w:tcPr>
          <w:p>
            <w:pPr>
              <w:snapToGrid w:val="0"/>
              <w:spacing w:line="400" w:lineRule="exact"/>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bl>
    <w:p>
      <w:pPr>
        <w:jc w:val="left"/>
        <w:rPr>
          <w:rFonts w:hint="eastAsia" w:ascii="仿宋" w:hAnsi="仿宋" w:eastAsia="仿宋" w:cs="仿宋"/>
          <w:color w:val="auto"/>
          <w:kern w:val="0"/>
          <w:sz w:val="24"/>
          <w:highlight w:val="none"/>
        </w:rPr>
      </w:pPr>
    </w:p>
    <w:p>
      <w:pPr>
        <w:snapToGrid w:val="0"/>
        <w:spacing w:line="400" w:lineRule="exact"/>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注意：1.逐项按照采购文件要求填写响应规格；如不填写或留空，则视为完全响应采购文件的要求</w:t>
      </w:r>
      <w:r>
        <w:rPr>
          <w:rFonts w:hint="eastAsia" w:ascii="宋体" w:hAnsi="宋体" w:cs="宋体"/>
          <w:b/>
          <w:color w:val="auto"/>
          <w:spacing w:val="-6"/>
          <w:sz w:val="24"/>
          <w:highlight w:val="none"/>
        </w:rPr>
        <w:t>，自行承担磋商响应响应风险</w:t>
      </w:r>
      <w:r>
        <w:rPr>
          <w:rFonts w:hint="eastAsia" w:ascii="宋体" w:hAnsi="宋体" w:cs="宋体"/>
          <w:b/>
          <w:bCs/>
          <w:color w:val="auto"/>
          <w:spacing w:val="-6"/>
          <w:sz w:val="24"/>
          <w:szCs w:val="22"/>
          <w:highlight w:val="none"/>
        </w:rPr>
        <w:t>。</w:t>
      </w:r>
    </w:p>
    <w:p>
      <w:pPr>
        <w:snapToGrid w:val="0"/>
        <w:spacing w:line="400" w:lineRule="exact"/>
        <w:ind w:firstLine="687" w:firstLineChars="300"/>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pPr>
        <w:snapToGrid w:val="0"/>
        <w:spacing w:line="400" w:lineRule="exact"/>
        <w:ind w:firstLine="687" w:firstLineChars="300"/>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3.建议供应商准备采购需求中要求的证明材料（如证书、检测报告等）条目索引，要求清晰提供的证明材料（如证书、检测报告等），由不清晰或者模糊造成无法判断证明材料是否符合要求的风险由供应商自行承担。</w:t>
      </w:r>
    </w:p>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温州市公安局、温州市华明招标代理有限公司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项目招标要求参加磋商响应。在这次磋商响应过程中和成交后，我们将严格遵守国家法律法规要求，并郑重承诺：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有权立即取消我单位磋商响应、成交或在建项目的建设资格，有权拒绝我单位在一定时期内进入你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pStyle w:val="2"/>
        <w:jc w:val="center"/>
        <w:rPr>
          <w:rFonts w:hint="eastAsia" w:ascii="仿宋" w:eastAsia="仿宋" w:cs="仿宋"/>
          <w:b w:val="0"/>
          <w:color w:val="auto"/>
          <w:szCs w:val="36"/>
          <w:highlight w:val="none"/>
        </w:rPr>
      </w:pPr>
      <w:bookmarkStart w:id="473" w:name="_Toc29762"/>
      <w:r>
        <w:rPr>
          <w:rFonts w:hint="eastAsia" w:ascii="仿宋" w:eastAsia="仿宋" w:cs="仿宋"/>
          <w:color w:val="auto"/>
          <w:highlight w:val="none"/>
        </w:rPr>
        <w:t>报价文件部分</w:t>
      </w:r>
      <w:bookmarkEnd w:id="473"/>
    </w:p>
    <w:p>
      <w:pPr>
        <w:spacing w:line="360" w:lineRule="auto"/>
        <w:jc w:val="center"/>
        <w:outlineLvl w:val="0"/>
        <w:rPr>
          <w:rFonts w:hint="eastAsia" w:ascii="仿宋" w:hAnsi="仿宋" w:eastAsia="仿宋" w:cs="仿宋"/>
          <w:b/>
          <w:color w:val="auto"/>
          <w:kern w:val="0"/>
          <w:sz w:val="36"/>
          <w:szCs w:val="36"/>
          <w:highlight w:val="none"/>
        </w:rPr>
      </w:pPr>
      <w:bookmarkStart w:id="474" w:name="_Toc9713"/>
      <w:bookmarkStart w:id="475" w:name="_Toc14052"/>
      <w:bookmarkStart w:id="476" w:name="_Toc24830"/>
      <w:r>
        <w:rPr>
          <w:rFonts w:hint="eastAsia" w:ascii="仿宋" w:hAnsi="仿宋" w:eastAsia="仿宋" w:cs="仿宋"/>
          <w:b/>
          <w:color w:val="auto"/>
          <w:kern w:val="0"/>
          <w:sz w:val="36"/>
          <w:szCs w:val="36"/>
          <w:highlight w:val="none"/>
        </w:rPr>
        <w:t>目录</w:t>
      </w:r>
      <w:bookmarkEnd w:id="474"/>
      <w:bookmarkEnd w:id="475"/>
      <w:bookmarkEnd w:id="476"/>
    </w:p>
    <w:p>
      <w:pPr>
        <w:spacing w:line="360" w:lineRule="auto"/>
        <w:jc w:val="center"/>
        <w:outlineLvl w:val="0"/>
        <w:rPr>
          <w:rFonts w:hint="eastAsia" w:ascii="仿宋" w:hAnsi="仿宋" w:eastAsia="仿宋" w:cs="仿宋"/>
          <w:b/>
          <w:color w:val="auto"/>
          <w:kern w:val="0"/>
          <w:sz w:val="36"/>
          <w:szCs w:val="36"/>
          <w:highlight w:val="none"/>
        </w:rPr>
      </w:pPr>
    </w:p>
    <w:p>
      <w:pPr>
        <w:numPr>
          <w:ilvl w:val="0"/>
          <w:numId w:val="1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报价一览表………………………………………………………（页码）</w:t>
      </w:r>
    </w:p>
    <w:p>
      <w:pPr>
        <w:snapToGrid w:val="0"/>
        <w:spacing w:line="360" w:lineRule="auto"/>
        <w:rPr>
          <w:rFonts w:hint="eastAsia"/>
          <w:color w:val="auto"/>
          <w:highlight w:val="none"/>
        </w:rPr>
      </w:pPr>
      <w:r>
        <w:rPr>
          <w:rFonts w:hint="eastAsia" w:ascii="仿宋" w:hAnsi="仿宋" w:eastAsia="仿宋" w:cs="仿宋"/>
          <w:color w:val="auto"/>
          <w:sz w:val="24"/>
          <w:highlight w:val="none"/>
        </w:rPr>
        <w:t>（2）分项报价表 ………………………………………………………（页码）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477" w:name="_Toc17889"/>
      <w:bookmarkStart w:id="478" w:name="_Toc23337"/>
      <w:bookmarkStart w:id="479" w:name="_Toc24274"/>
      <w:r>
        <w:rPr>
          <w:rFonts w:hint="eastAsia" w:ascii="仿宋" w:hAnsi="仿宋" w:eastAsia="仿宋" w:cs="仿宋"/>
          <w:color w:val="auto"/>
          <w:kern w:val="2"/>
          <w:sz w:val="32"/>
          <w:szCs w:val="32"/>
          <w:highlight w:val="none"/>
        </w:rPr>
        <w:t>一、</w:t>
      </w:r>
      <w:bookmarkEnd w:id="477"/>
      <w:bookmarkEnd w:id="478"/>
      <w:bookmarkEnd w:id="479"/>
      <w:r>
        <w:rPr>
          <w:rFonts w:hint="eastAsia" w:ascii="仿宋" w:hAnsi="仿宋" w:eastAsia="仿宋" w:cs="仿宋"/>
          <w:color w:val="auto"/>
          <w:kern w:val="2"/>
          <w:sz w:val="32"/>
          <w:szCs w:val="32"/>
          <w:highlight w:val="none"/>
        </w:rPr>
        <w:t>报价一览表（初次报价）</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温州市公安局、温州市华明招标代理有限公司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按你方采购文件要求，我们，本响应文件开启时间签字方，谨此向你方发出要约如下：如你方接受本磋商响应，我方承诺按照如下报价一览表的价格完成</w:t>
      </w:r>
      <w:r>
        <w:rPr>
          <w:rFonts w:hint="eastAsia" w:ascii="仿宋" w:hAnsi="仿宋" w:eastAsia="仿宋" w:cs="仿宋"/>
          <w:color w:val="auto"/>
          <w:sz w:val="24"/>
          <w:highlight w:val="none"/>
        </w:rPr>
        <w:t>公安数字驾驶舱基础模块、开发工具和场景开发模块（标项名称：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HMZB20221110 】的实施</w:t>
      </w:r>
      <w:r>
        <w:rPr>
          <w:rFonts w:hint="eastAsia" w:ascii="仿宋" w:hAnsi="仿宋" w:eastAsia="仿宋" w:cs="仿宋"/>
          <w:color w:val="auto"/>
          <w:kern w:val="0"/>
          <w:sz w:val="24"/>
          <w:highlight w:val="none"/>
          <w:lang w:val="zh-CN"/>
        </w:rPr>
        <w:t>。</w:t>
      </w:r>
    </w:p>
    <w:tbl>
      <w:tblPr>
        <w:tblStyle w:val="62"/>
        <w:tblW w:w="933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2138"/>
        <w:gridCol w:w="2758"/>
        <w:gridCol w:w="37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658" w:type="dxa"/>
            <w:noWrap w:val="0"/>
            <w:tcMar>
              <w:top w:w="0" w:type="dxa"/>
              <w:left w:w="108" w:type="dxa"/>
              <w:bottom w:w="0" w:type="dxa"/>
              <w:right w:w="108" w:type="dxa"/>
            </w:tcMar>
            <w:vAlign w:val="center"/>
          </w:tcPr>
          <w:p>
            <w:pPr>
              <w:widowControl/>
              <w:spacing w:before="60" w:after="60"/>
              <w:ind w:left="60" w:right="60"/>
              <w:jc w:val="center"/>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序号</w:t>
            </w:r>
          </w:p>
        </w:tc>
        <w:tc>
          <w:tcPr>
            <w:tcW w:w="2138" w:type="dxa"/>
            <w:noWrap w:val="0"/>
            <w:tcMar>
              <w:top w:w="0" w:type="dxa"/>
              <w:left w:w="108" w:type="dxa"/>
              <w:bottom w:w="0" w:type="dxa"/>
              <w:right w:w="108" w:type="dxa"/>
            </w:tcMar>
            <w:vAlign w:val="center"/>
          </w:tcPr>
          <w:p>
            <w:pPr>
              <w:widowControl/>
              <w:spacing w:before="60" w:after="60"/>
              <w:ind w:left="60" w:right="60"/>
              <w:jc w:val="center"/>
              <w:rPr>
                <w:rFonts w:ascii="宋体" w:hAnsi="宋体" w:cs="新宋体"/>
                <w:b/>
                <w:color w:val="auto"/>
                <w:kern w:val="0"/>
                <w:sz w:val="22"/>
                <w:szCs w:val="22"/>
                <w:highlight w:val="none"/>
              </w:rPr>
            </w:pPr>
            <w:r>
              <w:rPr>
                <w:rFonts w:hint="eastAsia" w:ascii="宋体" w:hAnsi="宋体" w:cs="新宋体"/>
                <w:b/>
                <w:color w:val="auto"/>
                <w:kern w:val="0"/>
                <w:sz w:val="22"/>
                <w:szCs w:val="22"/>
                <w:highlight w:val="none"/>
              </w:rPr>
              <w:t>项目名称</w:t>
            </w:r>
          </w:p>
        </w:tc>
        <w:tc>
          <w:tcPr>
            <w:tcW w:w="2758" w:type="dxa"/>
            <w:noWrap w:val="0"/>
            <w:tcMar>
              <w:top w:w="0" w:type="dxa"/>
              <w:left w:w="108" w:type="dxa"/>
              <w:bottom w:w="0" w:type="dxa"/>
              <w:right w:w="108" w:type="dxa"/>
            </w:tcMar>
            <w:vAlign w:val="center"/>
          </w:tcPr>
          <w:p>
            <w:pPr>
              <w:widowControl/>
              <w:spacing w:before="60" w:after="60"/>
              <w:ind w:left="60" w:right="60"/>
              <w:jc w:val="center"/>
              <w:rPr>
                <w:rFonts w:ascii="宋体" w:hAnsi="宋体" w:cs="新宋体"/>
                <w:b/>
                <w:color w:val="auto"/>
                <w:kern w:val="0"/>
                <w:sz w:val="22"/>
                <w:szCs w:val="22"/>
                <w:highlight w:val="none"/>
              </w:rPr>
            </w:pPr>
            <w:r>
              <w:rPr>
                <w:rFonts w:hint="eastAsia" w:ascii="宋体" w:hAnsi="宋体" w:cs="新宋体"/>
                <w:b/>
                <w:color w:val="auto"/>
                <w:kern w:val="0"/>
                <w:sz w:val="22"/>
                <w:szCs w:val="22"/>
                <w:highlight w:val="none"/>
              </w:rPr>
              <w:t>标项名称</w:t>
            </w:r>
          </w:p>
        </w:tc>
        <w:tc>
          <w:tcPr>
            <w:tcW w:w="3784" w:type="dxa"/>
            <w:noWrap w:val="0"/>
            <w:tcMar>
              <w:top w:w="0" w:type="dxa"/>
              <w:left w:w="108" w:type="dxa"/>
              <w:bottom w:w="0" w:type="dxa"/>
              <w:right w:w="108" w:type="dxa"/>
            </w:tcMar>
            <w:vAlign w:val="center"/>
          </w:tcPr>
          <w:p>
            <w:pPr>
              <w:widowControl/>
              <w:spacing w:before="60" w:after="60"/>
              <w:ind w:left="60" w:right="60"/>
              <w:jc w:val="center"/>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报价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658" w:type="dxa"/>
            <w:noWrap w:val="0"/>
            <w:tcMar>
              <w:top w:w="0" w:type="dxa"/>
              <w:left w:w="108" w:type="dxa"/>
              <w:bottom w:w="0" w:type="dxa"/>
              <w:right w:w="108" w:type="dxa"/>
            </w:tcMar>
            <w:vAlign w:val="center"/>
          </w:tcPr>
          <w:p>
            <w:pPr>
              <w:widowControl/>
              <w:spacing w:before="60" w:after="6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138" w:type="dxa"/>
            <w:noWrap w:val="0"/>
            <w:tcMar>
              <w:top w:w="0" w:type="dxa"/>
              <w:left w:w="108" w:type="dxa"/>
              <w:bottom w:w="0" w:type="dxa"/>
              <w:right w:w="108" w:type="dxa"/>
            </w:tcMar>
            <w:vAlign w:val="center"/>
          </w:tcPr>
          <w:p>
            <w:pPr>
              <w:widowControl/>
              <w:spacing w:before="60" w:after="60"/>
              <w:jc w:val="center"/>
              <w:rPr>
                <w:rFonts w:hint="eastAsia" w:ascii="宋体" w:hAnsi="宋体" w:cs="新宋体"/>
                <w:bCs/>
                <w:color w:val="auto"/>
                <w:kern w:val="0"/>
                <w:sz w:val="22"/>
                <w:szCs w:val="22"/>
                <w:highlight w:val="none"/>
              </w:rPr>
            </w:pPr>
            <w:r>
              <w:rPr>
                <w:rFonts w:hint="eastAsia" w:ascii="宋体" w:hAnsi="宋体"/>
                <w:color w:val="auto"/>
                <w:sz w:val="22"/>
                <w:szCs w:val="22"/>
                <w:highlight w:val="none"/>
              </w:rPr>
              <w:t xml:space="preserve"> </w:t>
            </w:r>
            <w:r>
              <w:rPr>
                <w:rFonts w:hint="eastAsia" w:ascii="仿宋" w:hAnsi="仿宋" w:eastAsia="仿宋" w:cs="仿宋"/>
                <w:color w:val="auto"/>
                <w:sz w:val="24"/>
                <w:highlight w:val="none"/>
              </w:rPr>
              <w:t>公安数字驾驶舱基础模块、开发工具和场景开发模块</w:t>
            </w:r>
          </w:p>
        </w:tc>
        <w:tc>
          <w:tcPr>
            <w:tcW w:w="2758" w:type="dxa"/>
            <w:noWrap w:val="0"/>
            <w:tcMar>
              <w:top w:w="0" w:type="dxa"/>
              <w:left w:w="108" w:type="dxa"/>
              <w:bottom w:w="0" w:type="dxa"/>
              <w:right w:w="108" w:type="dxa"/>
            </w:tcMar>
            <w:vAlign w:val="center"/>
          </w:tcPr>
          <w:p>
            <w:pPr>
              <w:widowControl/>
              <w:spacing w:before="60" w:after="60"/>
              <w:rPr>
                <w:rFonts w:hint="eastAsia" w:ascii="宋体" w:hAnsi="宋体" w:cs="新宋体"/>
                <w:b/>
                <w:bCs/>
                <w:color w:val="auto"/>
                <w:kern w:val="0"/>
                <w:sz w:val="22"/>
                <w:szCs w:val="22"/>
                <w:highlight w:val="none"/>
              </w:rPr>
            </w:pPr>
          </w:p>
        </w:tc>
        <w:tc>
          <w:tcPr>
            <w:tcW w:w="3784" w:type="dxa"/>
            <w:noWrap w:val="0"/>
            <w:tcMar>
              <w:top w:w="0" w:type="dxa"/>
              <w:left w:w="108" w:type="dxa"/>
              <w:bottom w:w="0" w:type="dxa"/>
              <w:right w:w="108" w:type="dxa"/>
            </w:tcMar>
            <w:vAlign w:val="center"/>
          </w:tcPr>
          <w:p>
            <w:pPr>
              <w:autoSpaceDE w:val="0"/>
              <w:autoSpaceDN w:val="0"/>
              <w:spacing w:line="380" w:lineRule="atLeast"/>
              <w:ind w:right="349"/>
              <w:jc w:val="lef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（大写）：</w:t>
            </w:r>
          </w:p>
          <w:p>
            <w:pPr>
              <w:autoSpaceDE w:val="0"/>
              <w:autoSpaceDN w:val="0"/>
              <w:spacing w:line="380" w:lineRule="atLeast"/>
              <w:ind w:right="349" w:firstLine="331"/>
              <w:jc w:val="left"/>
              <w:rPr>
                <w:rFonts w:hint="eastAsia" w:ascii="宋体" w:hAnsi="宋体" w:cs="新宋体"/>
                <w:b/>
                <w:bCs/>
                <w:color w:val="auto"/>
                <w:kern w:val="0"/>
                <w:sz w:val="22"/>
                <w:szCs w:val="22"/>
                <w:highlight w:val="none"/>
              </w:rPr>
            </w:pPr>
          </w:p>
          <w:p>
            <w:pPr>
              <w:widowControl/>
              <w:spacing w:before="60" w:after="60"/>
              <w:rPr>
                <w:rFonts w:hint="eastAsia" w:ascii="宋体" w:hAnsi="宋体" w:cs="新宋体"/>
                <w:bCs/>
                <w:color w:val="auto"/>
                <w:kern w:val="0"/>
                <w:sz w:val="22"/>
                <w:szCs w:val="22"/>
                <w:highlight w:val="none"/>
              </w:rPr>
            </w:pPr>
            <w:r>
              <w:rPr>
                <w:rFonts w:hint="eastAsia" w:ascii="宋体" w:hAnsi="宋体" w:cs="新宋体"/>
                <w:b/>
                <w:bCs/>
                <w:color w:val="auto"/>
                <w:kern w:val="0"/>
                <w:sz w:val="22"/>
                <w:szCs w:val="22"/>
                <w:highlight w:val="none"/>
              </w:rPr>
              <w:t>（小写）：¥</w:t>
            </w:r>
          </w:p>
        </w:tc>
      </w:tr>
    </w:tbl>
    <w:p>
      <w:pPr>
        <w:overflowPunct w:val="0"/>
        <w:spacing w:line="380" w:lineRule="exact"/>
        <w:rPr>
          <w:rFonts w:hint="eastAsia" w:ascii="宋体" w:hAnsi="宋体" w:cs="新宋体"/>
          <w:bCs/>
          <w:color w:val="auto"/>
          <w:sz w:val="22"/>
          <w:szCs w:val="22"/>
          <w:highlight w:val="none"/>
        </w:rPr>
      </w:pPr>
    </w:p>
    <w:p>
      <w:pPr>
        <w:overflowPunct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说明：</w:t>
      </w:r>
    </w:p>
    <w:p>
      <w:pPr>
        <w:spacing w:line="380" w:lineRule="exact"/>
        <w:ind w:left="12" w:hanging="12" w:hangingChars="5"/>
        <w:rPr>
          <w:rFonts w:hint="eastAsia" w:ascii="宋体" w:hAnsi="宋体" w:cs="新宋体"/>
          <w:b/>
          <w:color w:val="auto"/>
          <w:sz w:val="22"/>
          <w:highlight w:val="none"/>
          <w:u w:val="thick"/>
        </w:rPr>
      </w:pPr>
      <w:r>
        <w:rPr>
          <w:rFonts w:hint="eastAsia" w:ascii="仿宋" w:hAnsi="仿宋" w:eastAsia="仿宋" w:cs="仿宋"/>
          <w:color w:val="auto"/>
          <w:sz w:val="24"/>
          <w:szCs w:val="20"/>
          <w:highlight w:val="none"/>
          <w:u w:val="thick"/>
        </w:rPr>
        <w:t>▲</w:t>
      </w:r>
      <w:r>
        <w:rPr>
          <w:rFonts w:hint="eastAsia" w:ascii="宋体" w:hAnsi="宋体" w:cs="新宋体"/>
          <w:b/>
          <w:color w:val="auto"/>
          <w:sz w:val="22"/>
          <w:highlight w:val="none"/>
          <w:u w:val="thick"/>
        </w:rPr>
        <w:t>此栏内磋商总价应与“分项报价表”中磋商报价总价相一致。</w:t>
      </w:r>
    </w:p>
    <w:p>
      <w:pPr>
        <w:autoSpaceDE w:val="0"/>
        <w:autoSpaceDN w:val="0"/>
        <w:spacing w:line="360" w:lineRule="auto"/>
        <w:ind w:right="1120"/>
        <w:jc w:val="left"/>
        <w:rPr>
          <w:rFonts w:hint="eastAsia" w:ascii="仿宋" w:hAnsi="仿宋" w:eastAsia="仿宋" w:cs="仿宋"/>
          <w:color w:val="auto"/>
          <w:kern w:val="0"/>
          <w:sz w:val="24"/>
          <w:highlight w:val="none"/>
          <w:u w:val="thick"/>
          <w:lang w:val="zh-CN"/>
        </w:rPr>
      </w:pPr>
    </w:p>
    <w:p>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24"/>
          <w:highlight w:val="none"/>
        </w:rPr>
        <w:t>温州市公安局、温州市华明招标代理有限公司</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color w:val="auto"/>
          <w:sz w:val="32"/>
          <w:szCs w:val="32"/>
          <w:highlight w:val="none"/>
        </w:rPr>
        <w:t>二、分项报价表（适用货物、服务）</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877"/>
        <w:gridCol w:w="1141"/>
        <w:gridCol w:w="1930"/>
        <w:gridCol w:w="614"/>
        <w:gridCol w:w="965"/>
        <w:gridCol w:w="122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30"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77"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41"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930"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614"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65"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228"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1931" w:type="dxa"/>
            <w:noWrap w:val="0"/>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141"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93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614"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965" w:type="dxa"/>
            <w:noWrap w:val="0"/>
            <w:vAlign w:val="center"/>
          </w:tcPr>
          <w:p>
            <w:pPr>
              <w:spacing w:line="360" w:lineRule="auto"/>
              <w:jc w:val="center"/>
              <w:rPr>
                <w:rFonts w:hint="eastAsia" w:ascii="仿宋" w:hAnsi="仿宋" w:eastAsia="仿宋" w:cs="仿宋"/>
                <w:color w:val="auto"/>
                <w:sz w:val="24"/>
                <w:highlight w:val="none"/>
              </w:rPr>
            </w:pPr>
          </w:p>
        </w:tc>
        <w:tc>
          <w:tcPr>
            <w:tcW w:w="1228" w:type="dxa"/>
            <w:noWrap w:val="0"/>
            <w:vAlign w:val="center"/>
          </w:tcPr>
          <w:p>
            <w:pPr>
              <w:spacing w:line="360" w:lineRule="auto"/>
              <w:jc w:val="center"/>
              <w:rPr>
                <w:rFonts w:hint="eastAsia" w:ascii="仿宋" w:hAnsi="仿宋" w:eastAsia="仿宋" w:cs="仿宋"/>
                <w:color w:val="auto"/>
                <w:sz w:val="24"/>
                <w:highlight w:val="none"/>
              </w:rPr>
            </w:pPr>
          </w:p>
        </w:tc>
        <w:tc>
          <w:tcPr>
            <w:tcW w:w="1931"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7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141"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93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614"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965" w:type="dxa"/>
            <w:noWrap w:val="0"/>
            <w:vAlign w:val="center"/>
          </w:tcPr>
          <w:p>
            <w:pPr>
              <w:spacing w:line="360" w:lineRule="auto"/>
              <w:jc w:val="center"/>
              <w:rPr>
                <w:rFonts w:hint="eastAsia" w:ascii="仿宋" w:hAnsi="仿宋" w:eastAsia="仿宋" w:cs="仿宋"/>
                <w:color w:val="auto"/>
                <w:sz w:val="24"/>
                <w:highlight w:val="none"/>
              </w:rPr>
            </w:pPr>
          </w:p>
        </w:tc>
        <w:tc>
          <w:tcPr>
            <w:tcW w:w="1228" w:type="dxa"/>
            <w:noWrap w:val="0"/>
            <w:vAlign w:val="center"/>
          </w:tcPr>
          <w:p>
            <w:pPr>
              <w:spacing w:line="360" w:lineRule="auto"/>
              <w:jc w:val="center"/>
              <w:rPr>
                <w:rFonts w:hint="eastAsia" w:ascii="仿宋" w:hAnsi="仿宋" w:eastAsia="仿宋" w:cs="仿宋"/>
                <w:color w:val="auto"/>
                <w:sz w:val="24"/>
                <w:highlight w:val="none"/>
              </w:rPr>
            </w:pPr>
          </w:p>
        </w:tc>
        <w:tc>
          <w:tcPr>
            <w:tcW w:w="1931"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7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141"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93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614"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965" w:type="dxa"/>
            <w:noWrap w:val="0"/>
            <w:vAlign w:val="center"/>
          </w:tcPr>
          <w:p>
            <w:pPr>
              <w:spacing w:line="360" w:lineRule="auto"/>
              <w:jc w:val="center"/>
              <w:rPr>
                <w:rFonts w:hint="eastAsia" w:ascii="仿宋" w:hAnsi="仿宋" w:eastAsia="仿宋" w:cs="仿宋"/>
                <w:color w:val="auto"/>
                <w:sz w:val="24"/>
                <w:highlight w:val="none"/>
              </w:rPr>
            </w:pPr>
          </w:p>
        </w:tc>
        <w:tc>
          <w:tcPr>
            <w:tcW w:w="1228" w:type="dxa"/>
            <w:noWrap w:val="0"/>
            <w:vAlign w:val="center"/>
          </w:tcPr>
          <w:p>
            <w:pPr>
              <w:spacing w:line="360" w:lineRule="auto"/>
              <w:jc w:val="center"/>
              <w:rPr>
                <w:rFonts w:hint="eastAsia" w:ascii="仿宋" w:hAnsi="仿宋" w:eastAsia="仿宋" w:cs="仿宋"/>
                <w:color w:val="auto"/>
                <w:sz w:val="24"/>
                <w:highlight w:val="none"/>
              </w:rPr>
            </w:pPr>
          </w:p>
        </w:tc>
        <w:tc>
          <w:tcPr>
            <w:tcW w:w="1931"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0" w:type="dxa"/>
            <w:noWrap w:val="0"/>
            <w:vAlign w:val="center"/>
          </w:tcPr>
          <w:p>
            <w:pPr>
              <w:spacing w:line="360" w:lineRule="auto"/>
              <w:jc w:val="center"/>
              <w:rPr>
                <w:rFonts w:hint="eastAsia" w:ascii="仿宋" w:hAnsi="仿宋" w:eastAsia="仿宋" w:cs="仿宋"/>
                <w:color w:val="auto"/>
                <w:sz w:val="24"/>
                <w:highlight w:val="none"/>
              </w:rPr>
            </w:pPr>
          </w:p>
        </w:tc>
        <w:tc>
          <w:tcPr>
            <w:tcW w:w="87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141"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93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614"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965" w:type="dxa"/>
            <w:noWrap w:val="0"/>
            <w:vAlign w:val="center"/>
          </w:tcPr>
          <w:p>
            <w:pPr>
              <w:spacing w:line="360" w:lineRule="auto"/>
              <w:jc w:val="center"/>
              <w:rPr>
                <w:rFonts w:hint="eastAsia" w:ascii="仿宋" w:hAnsi="仿宋" w:eastAsia="仿宋" w:cs="仿宋"/>
                <w:color w:val="auto"/>
                <w:sz w:val="24"/>
                <w:highlight w:val="none"/>
              </w:rPr>
            </w:pPr>
          </w:p>
        </w:tc>
        <w:tc>
          <w:tcPr>
            <w:tcW w:w="1228" w:type="dxa"/>
            <w:noWrap w:val="0"/>
            <w:vAlign w:val="center"/>
          </w:tcPr>
          <w:p>
            <w:pPr>
              <w:spacing w:line="360" w:lineRule="auto"/>
              <w:jc w:val="center"/>
              <w:rPr>
                <w:rFonts w:hint="eastAsia" w:ascii="仿宋" w:hAnsi="仿宋" w:eastAsia="仿宋" w:cs="仿宋"/>
                <w:color w:val="auto"/>
                <w:sz w:val="24"/>
                <w:highlight w:val="none"/>
              </w:rPr>
            </w:pPr>
          </w:p>
        </w:tc>
        <w:tc>
          <w:tcPr>
            <w:tcW w:w="1931"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78"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磋商报价总价（小写）</w:t>
            </w:r>
          </w:p>
        </w:tc>
        <w:tc>
          <w:tcPr>
            <w:tcW w:w="4738" w:type="dxa"/>
            <w:gridSpan w:val="4"/>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78"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磋商报价总价（大写）</w:t>
            </w:r>
          </w:p>
        </w:tc>
        <w:tc>
          <w:tcPr>
            <w:tcW w:w="4738" w:type="dxa"/>
            <w:gridSpan w:val="4"/>
            <w:noWrap w:val="0"/>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u w:val="thick"/>
          <w:lang w:val="zh-CN"/>
        </w:rPr>
      </w:pPr>
      <w:r>
        <w:rPr>
          <w:rFonts w:hint="eastAsia" w:ascii="仿宋" w:hAnsi="仿宋" w:eastAsia="仿宋" w:cs="仿宋"/>
          <w:color w:val="auto"/>
          <w:sz w:val="24"/>
          <w:szCs w:val="20"/>
          <w:highlight w:val="none"/>
          <w:u w:val="thick"/>
        </w:rPr>
        <w:t>▲</w:t>
      </w:r>
      <w:r>
        <w:rPr>
          <w:rFonts w:hint="eastAsia" w:ascii="仿宋" w:hAnsi="仿宋" w:eastAsia="仿宋" w:cs="仿宋"/>
          <w:color w:val="auto"/>
          <w:kern w:val="0"/>
          <w:sz w:val="24"/>
          <w:highlight w:val="none"/>
          <w:u w:val="thick"/>
          <w:lang w:val="zh-CN"/>
        </w:rPr>
        <w:t>1、不提供此表的报价，视为没有实质性响应采购文件要求。</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响应文件开启时间含有采购人不能接受的附加条件的，响应无效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4、特别提示：采购代理机构将对项目名称和项目编号，成交供应商名称、地址和成交金额，主要成交标的的名称、规格型号、数量、单价、服务要求等予以公示。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6、本表可在不改变格式的情况下根据具体需要自行增减。</w:t>
      </w:r>
    </w:p>
    <w:p>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br w:type="page"/>
      </w:r>
      <w:r>
        <w:rPr>
          <w:rFonts w:hint="eastAsia" w:ascii="仿宋" w:hAnsi="仿宋" w:eastAsia="仿宋" w:cs="仿宋"/>
          <w:color w:val="auto"/>
          <w:sz w:val="24"/>
          <w:highlight w:val="none"/>
        </w:rPr>
        <w:t>温州市公安局、温州市华明招标代理有限公司</w:t>
      </w:r>
      <w:r>
        <w:rPr>
          <w:rFonts w:hint="eastAsia" w:ascii="仿宋" w:hAnsi="仿宋" w:eastAsia="仿宋" w:cs="仿宋"/>
          <w:color w:val="auto"/>
          <w:kern w:val="0"/>
          <w:sz w:val="24"/>
          <w:highlight w:val="none"/>
          <w:lang w:val="zh-CN"/>
        </w:rPr>
        <w:t>：</w:t>
      </w:r>
    </w:p>
    <w:p>
      <w:pPr>
        <w:pStyle w:val="67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bookmarkStart w:id="480" w:name="_Toc11456"/>
      <w:bookmarkStart w:id="481" w:name="_Toc9978"/>
      <w:bookmarkStart w:id="482" w:name="_Toc28168"/>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480"/>
      <w:bookmarkEnd w:id="481"/>
      <w:r>
        <w:rPr>
          <w:rFonts w:hint="eastAsia" w:ascii="仿宋" w:hAnsi="仿宋" w:eastAsia="仿宋" w:cs="仿宋"/>
          <w:color w:val="auto"/>
          <w:sz w:val="32"/>
          <w:szCs w:val="32"/>
          <w:highlight w:val="none"/>
        </w:rPr>
        <w:t>（残疾人福利性单位声明函、监狱企业提供的相关证明材料）</w:t>
      </w:r>
      <w:bookmarkEnd w:id="482"/>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76"/>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83" w:name="_Toc24602"/>
      <w:bookmarkStart w:id="484" w:name="_Toc465665161"/>
      <w:bookmarkStart w:id="485" w:name="_Toc10456"/>
      <w:bookmarkStart w:id="486" w:name="_Toc22695"/>
      <w:r>
        <w:rPr>
          <w:rFonts w:hint="eastAsia" w:ascii="仿宋" w:hAnsi="仿宋" w:eastAsia="仿宋" w:cs="仿宋"/>
          <w:color w:val="auto"/>
          <w:highlight w:val="none"/>
        </w:rPr>
        <w:t>附件</w:t>
      </w:r>
      <w:bookmarkEnd w:id="483"/>
      <w:bookmarkEnd w:id="484"/>
      <w:bookmarkEnd w:id="485"/>
      <w:bookmarkEnd w:id="486"/>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87" w:name="OLE_LINK14"/>
      <w:bookmarkStart w:id="488" w:name="OLE_LINK13"/>
      <w:r>
        <w:rPr>
          <w:rFonts w:hint="eastAsia" w:ascii="仿宋" w:hAnsi="仿宋" w:eastAsia="仿宋" w:cs="仿宋"/>
          <w:b/>
          <w:color w:val="auto"/>
          <w:spacing w:val="6"/>
          <w:sz w:val="32"/>
          <w:szCs w:val="32"/>
          <w:highlight w:val="none"/>
        </w:rPr>
        <w:t>残疾人福利性单位声明函</w:t>
      </w:r>
    </w:p>
    <w:bookmarkEnd w:id="487"/>
    <w:bookmarkEnd w:id="488"/>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pStyle w:val="24"/>
        <w:rPr>
          <w:rFonts w:hint="eastAsia" w:ascii="仿宋" w:hAnsi="仿宋" w:eastAsia="仿宋" w:cs="仿宋"/>
          <w:color w:val="auto"/>
          <w:highlight w:val="none"/>
        </w:rPr>
      </w:pPr>
      <w:r>
        <w:rPr>
          <w:rFonts w:hint="eastAsia" w:ascii="仿宋" w:hAnsi="仿宋" w:eastAsia="仿宋" w:cs="仿宋"/>
          <w:color w:val="auto"/>
          <w:highlight w:val="none"/>
        </w:rPr>
        <w:t>7.以书面形式提交的，应按采购文件规定送达指定地点；以政采云平台（https://www.zcygov.cn/）通过“询问质疑投诉”栏提交的，应正确填写质疑供应商基本信息、被质疑人信息、质疑事项具体内容、质疑请求，并上传书面质疑函扫描件。</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温州市公安局、温州市华明招标代理有限公司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你方组织的公安数字驾驶舱基础模块、开发工具和场景开发模块项目【招标编号：HMZB20221110 】</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2jgFaPsBAAAxBAAADgAAAGRycy9lMm9Eb2MueG1srVNN k9MwDL0zw3/w+E6Thm0XMk33QCkXBnZY+AGq4ySe8ReW27T/Htnpdj/g0AM5OJItP+k9yau7o9Hs IAMqZxs+n5WcSStcq2zf8F8/t+8+cIYRbAvaWdnwk0R+t377ZjX6WlZucLqVgRGIxXr0DR9i9HVR oBikAZw5Ly0ddi4YiOSGvmgDjIRudFGV5bIYXWh9cEIi0u5mOuRnxHANoOs6JeTGib2RNk6oQWqI RAkH5ZGvc7VdJ0X83nUoI9MNJ6Yxr5SE7F1ai/UK6j6AH5Q4lwDXlPCKkwFlKekFagMR2D6ov6CM EsGh6+JMOFNMRLIixGJevtLmYQAvMxeSGv1FdPx/sOLb4T4w1dIkcGbBUMN/kGhgey3Z/DbpM3qs KezB34ezh2QmsscumPQnGuyYNT1dNJXHyARtVrflzc1ywZmgs6pavF/OFwm1eLruA8Yv0hmWjIYH yp+1hMNXjFPoY0jKhk6rdqu0zk7od590YAegBm/zd0Z/EaYtGxv+cVGlQoCmtqNpIdN4Yo62z/le 3MDnwGX+/gWcCtsADlMBGSGFQW1UlCFbg4T2s21ZPHlS19Kj4qkYI1vOtKQ3mKwcGUHpayJJO21J wtSZqRfJ2rn2RL0caZiJ0+89BEq090H1A6k6z9WnOJqkLP956tOoPvcz7tNLX/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cc/4wdgAAAAKAQAADwAAAAAAAAABACAAAAAiAAAAZHJzL2Rvd25yZXYu eG1sUEsBAhQAFAAAAAgAh07iQNo4BWj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CKXFwfsBAAAxBAAADgAAAGRycy9lMm9Eb2MueG1srVNN k9MwDL0zw3/w+M6mDbSwmaZ7oJQLAzss/ADVdhLP+AvZbdp/j+yU7gcceiAHR7LlJ70neXV3tIYd FEbtXcvnNzPOlBNeate3/OeP7ZsPnMUEToLxTrX8pCK/W79+tRpDo2o/eCMVMgJxsRlDy4eUQlNV UQzKQrzxQTk67DxaSORiX0mEkdCtqerZbFmNHmVAL1SMtLuZDvkZEa8B9F2nhdp4sbfKpQkVlYFE lOKgQ+TrUm3XKZG+dV1UiZmWE9NUVkpC9i6v1XoFTY8QBi3OJcA1JbzgZEE7SnqB2kACtkf9F5TV An30XboR3lYTkaIIsZjPXmjzMEBQhQtJHcNF9Pj/YMXXwz0yLVtec+bAUsO/k2jgeqPYfJn1GUNs KOwh3OPZi2RmsscObf4TDXYsmp4umqpjYoI26+W797cLklvQWV0v3i7ni4xaPV4PGNNn5S3LRsuR 8hct4fAlpin0T0jOFr3RcquNKQ72u48G2QGowdvyndGfhRnHxpbfLuoFFQI0tR1NC5k2EPPo+pLv 2Y34FHhWvn8B58I2EIepgIKQw6CxOiks1qBAfnKSpVMgdR09Kp6LsUpyZhS9wWyVyATaXBNJ2hlH EubOTL3I1s7LE/VypGEmTr/2gJRoH1D3A6k6L9XnOJqkIv956vOoPvUL7uNLX/8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ndOwWNgAAAAKAQAADwAAAAAAAAABACAAAAAiAAAAZHJzL2Rvd25yZXYu eG1sUEsBAhQAFAAAAAgAh07iQAilxcH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公安数字驾驶舱基础模块、开发工具和场景开发模块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公安数字驾驶舱基础模块、开发工具和场景开发模块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2"/>
        <w:rPr>
          <w:rFonts w:hint="eastAsia" w:asci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Lucida Sans">
    <w:panose1 w:val="020B0602030504020204"/>
    <w:charset w:val="00"/>
    <w:family w:val="swiss"/>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S Sans Serif">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auto"/>
    <w:pitch w:val="default"/>
    <w:sig w:usb0="00000000" w:usb1="00000000" w:usb2="0000001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100003" w:usb1="00000000" w:usb2="00000000" w:usb3="00000000" w:csb0="00000001" w:csb1="00000000"/>
  </w:font>
  <w:font w:name="Arial Unicode MS">
    <w:altName w:val="宋体"/>
    <w:panose1 w:val="020B0604020202020204"/>
    <w:charset w:val="86"/>
    <w:family w:val="swiss"/>
    <w:pitch w:val="default"/>
    <w:sig w:usb0="F7FFAFFF" w:usb1="E9DFFFFF"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Futura Hv">
    <w:altName w:val="Segoe Print"/>
    <w:panose1 w:val="00000000000000000000"/>
    <w:charset w:val="00"/>
    <w:family w:val="auto"/>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幼圆">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qCdjTAQAApAMAAA4AAABkcnMvZTJvRG9jLnhtbK1TzY7TMBC+ I/EOlu80aWEhipquFlWLkBAgLTyA69iNJf/J4zbpC8AbcOLCnefqc+zYSbpouexhL86MZ/zNfN9M 1teD0eQoAihnG7pclJQIy12r7L6h37/dvqoogchsy7SzoqEnAfR68/LFuve1WLnO6VYEgiAW6t43 tIvR10UBvBOGwcJ5YTEoXTAsohv2RRtYj+hGF6uyfFv0LrQ+OC4A8HY7BumEGJ4C6KRUXGwdPxhh 44gahGYRKUGnPNBN7lZKweMXKUFEohuKTGM+sQjau3QWmzWr94H5TvGpBfaUFh5xMkxZLHqB2rLI yCGo/6CM4sGBk3HBnSlGIlkRZLEsH2lz1zEvMheUGvxFdHg+WP75+DUQ1Tb0NSWWGRz4+dfP8++/ 5z8/yJtl0qf3UGPancfEOLx3A27NfA94mWgPMpj0RUIE46ju6aKuGCLh6VG1qqoSQxxjs4P4xcNz HyB+EM6QZDQ04Piyquz4CeKYOqekatbdKq3zCLUlPaJeVe+u8otLCNG1xSKJxdhtsuKwGyZqO9ee kFmPO9BQiytPif5oUeK0LrMRZmM3Gwcf1L7L+5RaAX9ziNhO7jJVGGGnwji8zHNatLQd//o56+Hn 2t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D/qCdjTAQAApAMAAA4AAAAAAAAAAQAgAAAA IgEAAGRycy9lMm9Eb2MueG1sUEsFBgAAAAAGAAYAWQEAAGcFA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74</w:t>
                          </w:r>
                          <w:r>
                            <w:fldChar w:fldCharType="end"/>
                          </w:r>
                        </w:p>
                      </w:txbxContent>
                    </wps:txbx>
                    <wps:bodyPr wrap="none" lIns="0" tIns="0" rIns="0" bIns="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UYzn/RAQAApQMAAA4AAABkcnMvZTJvRG9jLnhtbK1TzY7TMBC+ I/EOlu802UqFKGq6WlQtQkKAtOwDuI7dWPKfPG6TvgC8AScu3HmuPgdjJ2nRctnDXpwZz/ib+b6Z rG8Ho8lRBFDONvRmUVIiLHetsvuGPn67f1NRApHZlmlnRUNPAujt5vWrde9rsXSd060IBEEs1L1v aBejr4sCeCcMg4XzwmJQumBYRDfsizawHtGNLpZl+bboXWh9cFwA4O12DNIJMTwH0EmpuNg6fjDC xhE1CM0iUoJOeaCb3K2UgscvUoKIRDcUmcZ8YhG0d+ksNmtW7wPzneJTC+w5LTzhZJiyWPQCtWWR kUNQ/0EZxYMDJ+OCO1OMRLIiyOKmfKLNQ8e8yFxQavAX0eHlYPnn49dAVIubsKTEMoMTP//8cf71 5/z7O1llgXoPNeY9eMyMw3s3YHISLt0DXibegwwmfZERwTjKe7rIK4ZIeHpULauqxBDH2OwgTnF9 7gPED8IZkoyGBpxflpUdP0EcU+eUVM26e6V1nqG2pEfUVfVulV9cQoiuLRa5dpusOOyGicLOtSdk 1uMSNNTizlOiP1rUOO3LbITZ2M3GwQe17/JCpVbA3x0itpO7TBVG2KkwTi/znDYtrce/fs66/l2b v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D1GM5/0QEAAKUDAAAOAAAAAAAAAAEAIAAAACIB AABkcnMvZTJvRG9jLnhtbFBLBQYAAAAABgAGAFkBAABlBQ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73</w:t>
                          </w:r>
                          <w:r>
                            <w:fldChar w:fldCharType="end"/>
                          </w:r>
                        </w:p>
                      </w:txbxContent>
                    </wps:txbx>
                    <wps:bodyPr wrap="none" lIns="0" tIns="0" rIns="0" bIns="0" upright="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OuXZ/SAQAApQMAAA4AAABkcnMvZTJvRG9jLnhtbK1TzY7TMBC+ I/EOlu80aVEhipquFlWLkBAgLTyA69iNJf/J4zbpC8AbcOLCnefqczB2ki5aLnvYizPjGX8z3zeT zc1gNDmJAMrZhi4XJSXCctcqe2jot693rypKIDLbMu2saOhZAL3Zvnyx6X0tVq5zuhWBIIiFuvcN 7WL0dVEA74RhsHBeWAxKFwyL6IZD0QbWI7rRxaos3xS9C60PjgsAvN2NQTohhqcAOikVFzvHj0bY OKIGoVlEStApD3Sbu5VS8PhZShCR6IYi05hPLIL2Pp3FdsPqQ2C+U3xqgT2lhUecDFMWi16hdiwy cgzqPyijeHDgZFxwZ4qRSFYEWSzLR9rcd8yLzAWlBn8VHZ4Pln86fQlEtbgJrymxzODELz9/XH79 ufz+TtbLJFDvoca8e4+ZcXjnBkye7wEvE+9BBpO+yIhgHOU9X+UVQyQ8PapWVVViiGNsdhC/eHju A8T3whmSjIYGnF+WlZ0+QhxT55RUzbo7pXWeobakR9R19XadX1xDiK4tFkksxm6TFYf9MFHbu/aM zHpcgoZa3HlK9AeLGqd9mY0wG/vZOPqgDl1eqNQK+NtjxHZyl6nCCDsVxullntOmpfX4189ZD3/X 9i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E65dn9IBAAClAwAADgAAAAAAAAABACAAAAAi AQAAZHJzL2Uyb0RvYy54bWxQSwUGAAAAAAYABgBZAQAAZgU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CpXrbTAQAApAMAAA4AAABkcnMvZTJvRG9jLnhtbK1TS27bMBDd F+gdCO5rKUbSCoLloIWRIEDRFkhyAJoiLQL8gUNb8gXaG3TVTfc9l8/RISU5QbrJohtqhjN8M+/N aHU9GE0OIoBytqEXi5ISYblrld019PHh5l1FCURmW6adFQ09CqDX67dvVr2vxdJ1TrciEASxUPe+ oV2Mvi4K4J0wDBbOC4tB6YJhEd2wK9rAekQ3uliW5fuid6H1wXEBgLebMUgnxPAaQCel4mLj+N4I G0fUIDSLSAk65YGuc7dSCh6/SgkiEt1QZBrziUXQ3qazWK9YvQvMd4pPLbDXtPCCk2HKYtEz1IZF RvZB/QNlFA8OnIwL7kwxEsmKIIuL8oU29x3zInNBqcGfRYf/B8u/HL4FotqGXlJimcGBn37+OP36 c/r9nVwukz69hxrT7j0mxuGTG3Br5nvAy0R7kMGkLxIiGEd1j2d1xRAJT4+qZVWVGOIYmx3EL56e +wDxVjhDktHQgOPLqrLDZ4hj6pySqll3o7TOI9SW9Ih6VX24yi/OIUTXFoskFmO3yYrDdpiobV17 RGY97kBDLa48JfrOosRpXWYjzMZ2NvY+qF2X9ym1Av7jPmI7uctUYYSdCuPwMs9p0dJ2PPdz1tPP tf4L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FCpXrbTAQAApAMAAA4AAAAAAAAAAQAgAAAA IgEAAGRycy9lMm9Eb2MueG1sUEsFBgAAAAAGAAYAWQEAAGcFA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YfzVbTAQAApAMAAA4AAABkcnMvZTJvRG9jLnhtbK1TzY7TMBC+ I/EOlu802UIhipquFlWLkBAgLTyA69iNJf/J4zbpC8AbcOLCnefqc+zYSbpouexhL86MZ/zNfN9M 1teD0eQoAihnG3q1KCkRlrtW2X1Dv3+7fVVRApHZlmlnRUNPAuj15uWLde9rsXSd060IBEEs1L1v aBejr4sCeCcMg4XzwmJQumBYRDfsizawHtGNLpZl+bboXWh9cFwA4O12DNIJMTwF0EmpuNg6fjDC xhE1CM0iUoJOeaCb3K2UgscvUoKIRDcUmcZ8YhG0d+ksNmtW7wPzneJTC+wpLTziZJiyWPQCtWWR kUNQ/0EZxYMDJ+OCO1OMRLIiyOKqfKTNXce8yFxQavAX0eH5YPnn49dAVNvQFSWWGRz4+dfP8++/ 5z8/yJvXSZ/eQ41pdx4T4/DeDbg18z3gZaI9yGDSFwkRjKO6p4u6YoiEp0fVsqpKDHGMzQ7iFw/P fYD4QThDktHQgOPLqrLjJ4hj6pySqll3q7TOI9SW9Ii6qt6t8otLCNG1xSKJxdhtsuKwGyZqO9ee kFmPO9BQiytPif5oUeK0LrMRZmM3Gwcf1L7L+5RaAX9ziNhO7jJVGGGnwji8zHNatLQd//o56+Hn 2t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LYfzVbTAQAApAMAAA4AAAAAAAAAAQAgAAAA IgEAAGRycy9lMm9Eb2MueG1sUEsFBgAAAAAGAAYAWQEAAGcFA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OLNgzTAQAApAMAAA4AAABkcnMvZTJvRG9jLnhtbK1TS27bMBDd F8gdCO5jKUaSCoLloIGRoEDRFkh7AJoiLQL8gUNb8gXaG3TVTfc9l8/RISU5RbrJohtqhjN8M+/N aHU3GE0OIoBytqFXi5ISYblrld019OuXh8uKEojMtkw7Kxp6FEDv1hdvVr2vxdJ1TrciEASxUPe+ oV2Mvi4K4J0wDBbOC4tB6YJhEd2wK9rAekQ3uliW5W3Ru9D64LgAwNvNGKQTYngNoJNScbFxfG+E jSNqEJpFpASd8kDXuVspBY+fpAQRiW4oMo35xCJob9NZrFes3gXmO8WnFthrWnjByTBlsegZasMi I/ug/oEyigcHTsYFd6YYiWRFkMVV+UKbp455kbmg1ODPosP/g+UfD58DUW1DbymxzODATz++n37+ Pv36Rq6vkz69hxrTnjwmxuHeDbg18z3gZaI9yGDSFwkRjKO6x7O6YoiEp0fVsqpKDHGMzQ7iF8/P fYD4KJwhyWhowPFlVdnhA8QxdU5J1ax7UFrnEWpLekS9qd7e5BfnEKJri0USi7HbZMVhO0zUtq49 IrMed6ChFleeEv3eosRpXWYjzMZ2NvY+qF2X9ym1Av7dPmI7uctUYYSdCuPwMs9p0dJ2/O3nrOef a/0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MOLNgzTAQAApAMAAA4AAAAAAAAAAQAgAAAA IgEAAGRycy9lMm9Eb2MueG1sUEsFBgAAAAAGAAYAWQEAAGcFA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U9pezTAQAApAMAAA4AAABkcnMvZTJvRG9jLnhtbK1TzY7TMBC+ I/EOlu802YqyUdR0BaoWISFA2uUBXMduLPlPHrdJXwDegBMX7jxXn4Oxk3TR7mUPe3FmPONv5vtm sr4ZjCZHEUA529CrRUmJsNy1yu4b+v3+9k1FCURmW6adFQ09CaA3m9ev1r2vxdJ1TrciEASxUPe+ oV2Mvi4K4J0wDBbOC4tB6YJhEd2wL9rAekQ3uliW5buid6H1wXEBgLfbMUgnxPAcQCel4mLr+MEI G0fUIDSLSAk65YFucrdSCh6/SgkiEt1QZBrziUXQ3qWz2KxZvQ/Md4pPLbDntPCIk2HKYtEL1JZF Rg5BPYEyigcHTsYFd6YYiWRFkMVV+Uibu455kbmg1OAvosPLwfIvx2+BqLah15RYZnDg518/z7// nv/8IG9XSZ/eQ41pdx4T4/DBDbg18z3gZaI9yGDSFwkRjKO6p4u6YoiEp0fVsqpKDHGMzQ7iFw/P fYD4UThDktHQgOPLqrLjZ4hj6pySqll3q7TOI9SW9Ii6qq5X+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CU9pezTAQAApAMAAA4AAAAAAAAAAQAgAAAA IgEAAGRycy9lMm9Eb2MueG1sUEsFBgAAAAAGAAYAWQEAAGcFA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NEpnDTAQAApAMAAA4AAABkcnMvZTJvRG9jLnhtbK1TS27bMBDd F8gdCO5jKUaSCoLloIWRoEDRFkh6AJoiLQL8gUNb8gXaG3TVTfc9l8/RISU5RbrJohtqhjN8M+/N aHU3GE0OIoBytqFXi5ISYblrld019OvT/WVFCURmW6adFQ09CqB364s3q97XYuk6p1sRCIJYqHvf 0C5GXxcF8E4YBgvnhcWgdMGwiG7YFW1gPaIbXSzL8rboXWh9cFwA4O1mDNIJMbwG0EmpuNg4vjfC xhE1CM0iUoJOeaDr3K2UgsfPUoKIRDcUmcZ8YhG0t+ks1itW7wLzneJTC+w1LbzgZJiyWPQMtWGR kX1Q/0AZxYMDJ+OCO1OMRLIiyOKqfKHNY8e8yFxQavBn0eH/wfJPhy+BqLahOHbLDA789OP76efv 069v5Po26dN7qDHt0WNiHN67Abdmvge8TLQHGUz6IiGCcVT3eFZXDJHw9KhaVlWJIY6x2UH84vm5 DxAfhDMkGQ0NOL6sKjt8hDimzimpmnX3Sus8Qm1Jj6g31dub/OIcQnRtsUhiMXabrDhsh4na1rVH ZNbjDjTU4spToj9YlDity2yE2djOxt4HtevyPqVWwL/bR2wnd5kqjLBTYRxe5jktWtqOv/2c9fxz rf8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ANEpnDTAQAApAMAAA4AAAAAAAAAAQAgAAAA IgEAAGRycy9lMm9Eb2MueG1sUEsFBgAAAAAGAAYAWQEAAGcFA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61</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XyNZDTAQAApAMAAA4AAABkcnMvZTJvRG9jLnhtbK1TS27bMBDd F8gdCO5jKUbTqILloIWRIEDRFkh7AJoiLQL8gUNb8gXaG3TVTfc9l8/RISU5RbrJohtqhjN8M+/N aHU7GE0OIoBytqFXi5ISYblrld019OuXu8uKEojMtkw7Kxp6FEBv1xevVr2vxdJ1TrciEASxUPe+ oV2Mvi4K4J0wDBbOC4tB6YJhEd2wK9rAekQ3uliW5Zuid6H1wXEBgLebMUgnxPASQCel4mLj+N4I G0fUIDSLSAk65YGuc7dSCh4/SQkiEt1QZBrziUXQ3qazWK9YvQvMd4pPLbCXtPCMk2HKYtEz1IZF RvZB/QNlFA8OnIwL7kwxEsmKIIur8pk2jx3zInNBqcGfRYf/B8s/Hj4HotqGvqXEMoMDP/34fvr5 +/TrG3l9k/TpPdSY9ugxMQ7v3YBbM98DXibagwwmfZEQwTiqezyrK4ZIeHpULauqxBDH2OwgfvH0 3AeI98IZkoyGBhxfVpUdPkAcU+eUVM26O6V1HqG2pEfU6+rmOr84hxBdWyySWIzdJisO22GitnXt EZn1uAMNtbjylOgHixKndZmNMBvb2dj7oHZd3qfUCvh3+4jt5C5ThRF2KozDyzynRUvb8befs55+ rvUf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OXyNZDTAQAApAMAAA4AAAAAAAAAAQAgAAAA IgEAAGRycy9lMm9Eb2MueG1sUEsFBgAAAAAGAAYAWQEAAGcFA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60</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CAmX3SAQAApQMAAA4AAABkcnMvZTJvRG9jLnhtbK1TS27bMBDd F8gdCO5jKUbTCoLlIIWRIEDRFkh7AJoiLQL8gUNb8gXaG3TVTfc9l8/RISU5RbrJIhtqyBm+ee9x tLoZjCYHEUA529CrRUmJsNy1yu4a+u3r3WVFCURmW6adFQ09CqA364s3q97XYuk6p1sRCIJYqHvf 0C5GXxcF8E4YBgvnhcWkdMGwiNuwK9rAekQ3uliW5buid6H1wXEBgKebMUknxPASQCel4mLj+N4I G0fUIDSLKAk65YGuM1spBY+fpQQRiW4oKo15xSYYb9NarFes3gXmO8UnCuwlFJ5pMkxZbHqG2rDI yD6o/6CM4sGBk3HBnSlGIdkRVHFVPvPmsWNeZC1oNfiz6fB6sPzT4UsgqsVJQEssM/jip58/Tr/+ nH5/J2+rZFDvoca6R4+VcfjgBiyezwEPk+5BBpO+qIhgHrGOZ3vFEAlPl6plVZWY4pibN4hfPF33 AeK9cIakoKEB3y/byg4fIY6lc0nqZt2d0jq/obakR9Tr6v11vnFOIbq22CSpGNmmKA7bYZK2de0R lfU4BA21OPOU6AeLHiPTOAdhDrZzsPdB7bo8UIkK+Nt9RDqZZeowwk6N8fWyzmnS0nj8u89VT3/X +i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YICZfdIBAAClAwAADgAAAAAAAAABACAAAAAi AQAAZHJzL2Uyb0RvYy54bWxQSwUGAAAAAAYABgBZAQAAZgU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Y2Cp3TAQAApQMAAA4AAABkcnMvZTJvRG9jLnhtbK1TzY7TMBC+ I/EOlu80acVCiJquQNUiJARICw/gOnZjyX/yuE36AvAGnLhw57n6HDt2ki7avexhL86MZ/zNfN9M 1teD0eQoAihnG7pclJQIy12r7L6hP77fvKoogchsy7SzoqEnAfR68/LFuve1WLnO6VYEgiAW6t43 tIvR10UBvBOGwcJ5YTEoXTAsohv2RRtYj+hGF6uyfFP0LrQ+OC4A8HY7BumEGJ4C6KRUXGwdPxhh 44gahGYRKUGnPNBN7lZKweNXKUFEohuKTGM+sQjau3QWmzWr94H5TvGpBfaUFh5wMkxZLHqB2rLI yCGoR1BG8eDAybjgzhQjkawIsliWD7S57ZgXmQtKDf4iOjwfLP9y/BaIanETlpRYZnDi59+/zn/+ nf/+JK/fJYF6DzXm3XrMjMMHN2DyfA94mXgPMpj0RUYE4yjv6SKvGCLh6VG1qqoSQxxjs4P4xf1z HyB+FM6QZDQ04PyyrOz4GeKYOqekatbdKK3zDLUlPaJeVW+v8otLCNG1xSKJxdhtsuKwGyZqO9ee kFmPS9BQiztPif5kUeO0L7MRZmM3Gwcf1L7LC5VaAf/+ELGd3GWqMMJOhXF6mee0aWk9/vdz1v3f tbk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IY2Cp3TAQAApQMAAA4AAAAAAAAAAQAgAAAA IgEAAGRycy9lMm9Eb2MueG1sUEsFBgAAAAAGAAYAWQEAAGcFA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72</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ind w:left="1265" w:hanging="1265" w:hangingChars="70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C31FA"/>
    <w:multiLevelType w:val="singleLevel"/>
    <w:tmpl w:val="8EFC31FA"/>
    <w:lvl w:ilvl="0" w:tentative="0">
      <w:start w:val="26"/>
      <w:numFmt w:val="decimal"/>
      <w:suff w:val="space"/>
      <w:lvlText w:val="%1."/>
      <w:lvlJc w:val="left"/>
    </w:lvl>
  </w:abstractNum>
  <w:abstractNum w:abstractNumId="1">
    <w:nsid w:val="B8F4F6C0"/>
    <w:multiLevelType w:val="singleLevel"/>
    <w:tmpl w:val="B8F4F6C0"/>
    <w:lvl w:ilvl="0" w:tentative="0">
      <w:start w:val="1"/>
      <w:numFmt w:val="decimal"/>
      <w:suff w:val="nothing"/>
      <w:lvlText w:val="（%1）"/>
      <w:lvlJc w:val="left"/>
    </w:lvl>
  </w:abstractNum>
  <w:abstractNum w:abstractNumId="2">
    <w:nsid w:val="DBC5011F"/>
    <w:multiLevelType w:val="singleLevel"/>
    <w:tmpl w:val="DBC5011F"/>
    <w:lvl w:ilvl="0" w:tentative="0">
      <w:start w:val="3"/>
      <w:numFmt w:val="decimal"/>
      <w:lvlText w:val="%1."/>
      <w:lvlJc w:val="left"/>
      <w:pPr>
        <w:tabs>
          <w:tab w:val="left" w:pos="312"/>
        </w:tabs>
      </w:p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00796303"/>
    <w:multiLevelType w:val="multilevel"/>
    <w:tmpl w:val="00796303"/>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52756F7"/>
    <w:multiLevelType w:val="singleLevel"/>
    <w:tmpl w:val="152756F7"/>
    <w:lvl w:ilvl="0" w:tentative="0">
      <w:start w:val="2"/>
      <w:numFmt w:val="chineseCounting"/>
      <w:suff w:val="space"/>
      <w:lvlText w:val="第%1部分"/>
      <w:lvlJc w:val="left"/>
      <w:rPr>
        <w:rFonts w:hint="eastAsia"/>
      </w:rPr>
    </w:lvl>
  </w:abstractNum>
  <w:abstractNum w:abstractNumId="6">
    <w:nsid w:val="1B582D54"/>
    <w:multiLevelType w:val="multilevel"/>
    <w:tmpl w:val="1B582D54"/>
    <w:lvl w:ilvl="0" w:tentative="0">
      <w:start w:val="1"/>
      <w:numFmt w:val="decimal"/>
      <w:lvlText w:val="%1、"/>
      <w:lvlJc w:val="left"/>
      <w:pPr>
        <w:ind w:left="952" w:hanging="810"/>
      </w:pPr>
      <w:rPr>
        <w:rFonts w:hint="default"/>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7">
    <w:nsid w:val="2BCD3DE2"/>
    <w:multiLevelType w:val="singleLevel"/>
    <w:tmpl w:val="2BCD3DE2"/>
    <w:lvl w:ilvl="0" w:tentative="0">
      <w:start w:val="2"/>
      <w:numFmt w:val="decimal"/>
      <w:lvlText w:val="%1."/>
      <w:lvlJc w:val="left"/>
      <w:pPr>
        <w:tabs>
          <w:tab w:val="left" w:pos="312"/>
        </w:tabs>
        <w:ind w:left="-60"/>
      </w:pPr>
    </w:lvl>
  </w:abstractNum>
  <w:abstractNum w:abstractNumId="8">
    <w:nsid w:val="3EBB3C91"/>
    <w:multiLevelType w:val="multilevel"/>
    <w:tmpl w:val="3EBB3C91"/>
    <w:lvl w:ilvl="0" w:tentative="0">
      <w:start w:val="1"/>
      <w:numFmt w:val="chineseCountingThousand"/>
      <w:pStyle w:val="965"/>
      <w:suff w:val="space"/>
      <w:lvlText w:val="%1. "/>
      <w:lvlJc w:val="left"/>
      <w:pPr>
        <w:ind w:left="907" w:hanging="907"/>
      </w:pPr>
      <w:rPr>
        <w:rFonts w:hint="eastAsia"/>
      </w:rPr>
    </w:lvl>
    <w:lvl w:ilvl="1" w:tentative="0">
      <w:start w:val="1"/>
      <w:numFmt w:val="decimal"/>
      <w:pStyle w:val="966"/>
      <w:isLgl/>
      <w:suff w:val="space"/>
      <w:lvlText w:val="%1.%2 "/>
      <w:lvlJc w:val="left"/>
      <w:pPr>
        <w:ind w:left="794" w:hanging="794"/>
      </w:pPr>
      <w:rPr>
        <w:rFonts w:hint="eastAsia"/>
      </w:rPr>
    </w:lvl>
    <w:lvl w:ilvl="2" w:tentative="0">
      <w:start w:val="1"/>
      <w:numFmt w:val="decimal"/>
      <w:pStyle w:val="968"/>
      <w:isLgl/>
      <w:suff w:val="space"/>
      <w:lvlText w:val="%1.%2.%3 "/>
      <w:lvlJc w:val="left"/>
      <w:pPr>
        <w:ind w:left="907" w:hanging="907"/>
      </w:pPr>
      <w:rPr>
        <w:rFonts w:cs="Times New Roman"/>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1.%2.%3.%4 "/>
      <w:lvlJc w:val="left"/>
      <w:pPr>
        <w:ind w:left="1162" w:hanging="1021"/>
      </w:pPr>
      <w:rPr>
        <w:rFonts w:cs="Times New Roman"/>
        <w:b/>
        <w:bCs w:val="0"/>
        <w:i w:val="0"/>
        <w:iCs w:val="0"/>
        <w:caps w:val="0"/>
        <w:smallCaps w:val="0"/>
        <w:strike w:val="0"/>
        <w:dstrike w:val="0"/>
        <w:vanish w:val="0"/>
        <w:color w:val="000000"/>
        <w:spacing w:val="0"/>
        <w:kern w:val="0"/>
        <w:position w:val="0"/>
        <w:u w:val="none"/>
        <w:vertAlign w:val="baseline"/>
        <w:lang w:eastAsia="zh-TW"/>
      </w:rPr>
    </w:lvl>
    <w:lvl w:ilvl="4" w:tentative="0">
      <w:start w:val="1"/>
      <w:numFmt w:val="decimal"/>
      <w:isLgl/>
      <w:suff w:val="space"/>
      <w:lvlText w:val="%1.%2.%3.%4.%5 "/>
      <w:lvlJc w:val="left"/>
      <w:pPr>
        <w:ind w:left="1276"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58B55C79"/>
    <w:multiLevelType w:val="singleLevel"/>
    <w:tmpl w:val="58B55C79"/>
    <w:lvl w:ilvl="0" w:tentative="0">
      <w:start w:val="1"/>
      <w:numFmt w:val="decimal"/>
      <w:suff w:val="nothing"/>
      <w:lvlText w:val="（%1）"/>
      <w:lvlJc w:val="left"/>
    </w:lvl>
  </w:abstractNum>
  <w:abstractNum w:abstractNumId="10">
    <w:nsid w:val="634F0C85"/>
    <w:multiLevelType w:val="multilevel"/>
    <w:tmpl w:val="634F0C85"/>
    <w:lvl w:ilvl="0" w:tentative="0">
      <w:start w:val="1"/>
      <w:numFmt w:val="japaneseCounting"/>
      <w:lvlText w:val="（%1）"/>
      <w:lvlJc w:val="left"/>
      <w:pPr>
        <w:ind w:left="1430" w:hanging="720"/>
      </w:pPr>
      <w:rPr>
        <w:rFonts w:hint="default" w:ascii="新宋体" w:hAnsi="新宋体" w:eastAsia="新宋体" w:cs="宋体"/>
        <w:b w:val="0"/>
        <w:bCs/>
        <w:sz w:val="22"/>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6D91EDAE"/>
    <w:multiLevelType w:val="singleLevel"/>
    <w:tmpl w:val="6D91EDAE"/>
    <w:lvl w:ilvl="0" w:tentative="0">
      <w:start w:val="2"/>
      <w:numFmt w:val="decimal"/>
      <w:suff w:val="nothing"/>
      <w:lvlText w:val="（%1）"/>
      <w:lvlJc w:val="left"/>
    </w:lvl>
  </w:abstractNum>
  <w:num w:numId="1">
    <w:abstractNumId w:val="8"/>
  </w:num>
  <w:num w:numId="2">
    <w:abstractNumId w:val="2"/>
  </w:num>
  <w:num w:numId="3">
    <w:abstractNumId w:val="5"/>
  </w:num>
  <w:num w:numId="4">
    <w:abstractNumId w:val="11"/>
  </w:num>
  <w:num w:numId="5">
    <w:abstractNumId w:val="0"/>
  </w:num>
  <w:num w:numId="6">
    <w:abstractNumId w:val="7"/>
  </w:num>
  <w:num w:numId="7">
    <w:abstractNumId w:val="6"/>
  </w:num>
  <w:num w:numId="8">
    <w:abstractNumId w:val="10"/>
  </w:num>
  <w:num w:numId="9">
    <w:abstractNumId w:val="4"/>
  </w:num>
  <w:num w:numId="10">
    <w:abstractNumId w:val="3"/>
  </w:num>
  <w:num w:numId="11">
    <w:abstractNumId w:val="1"/>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温州（π）流程快了朋友多">
    <w15:presenceInfo w15:providerId="None" w15:userId="温州（π）流程快了朋友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TcyNTBjMjQ0MGVkM2MwNmUxNGI0MmExOGM2Y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C8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9CB"/>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124"/>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A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5A7"/>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E34"/>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BD4"/>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D4A"/>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565"/>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BCA"/>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4D"/>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B7A"/>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AA4"/>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16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349"/>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168"/>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0E62"/>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98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38D"/>
    <w:rsid w:val="009E19BB"/>
    <w:rsid w:val="009E1C47"/>
    <w:rsid w:val="009E38D1"/>
    <w:rsid w:val="009E3DF1"/>
    <w:rsid w:val="009E4D2A"/>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C7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8DB"/>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016"/>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AA8"/>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B55"/>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B5"/>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31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83874"/>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A2CD9"/>
    <w:rsid w:val="05A16594"/>
    <w:rsid w:val="05A7762D"/>
    <w:rsid w:val="05BF2AD1"/>
    <w:rsid w:val="060E5941"/>
    <w:rsid w:val="06110FAF"/>
    <w:rsid w:val="06493CA7"/>
    <w:rsid w:val="065A6178"/>
    <w:rsid w:val="066F1CF3"/>
    <w:rsid w:val="06930BB8"/>
    <w:rsid w:val="07245D42"/>
    <w:rsid w:val="07264C62"/>
    <w:rsid w:val="0744221E"/>
    <w:rsid w:val="07550A75"/>
    <w:rsid w:val="0779354C"/>
    <w:rsid w:val="08061376"/>
    <w:rsid w:val="08452D77"/>
    <w:rsid w:val="086401F8"/>
    <w:rsid w:val="08751CAA"/>
    <w:rsid w:val="087E4C40"/>
    <w:rsid w:val="08D60F66"/>
    <w:rsid w:val="08D66AD6"/>
    <w:rsid w:val="08DA33A3"/>
    <w:rsid w:val="08E80F13"/>
    <w:rsid w:val="09335624"/>
    <w:rsid w:val="0944690F"/>
    <w:rsid w:val="09535675"/>
    <w:rsid w:val="095F057D"/>
    <w:rsid w:val="09642282"/>
    <w:rsid w:val="09733572"/>
    <w:rsid w:val="09772C16"/>
    <w:rsid w:val="098353B5"/>
    <w:rsid w:val="099B14AF"/>
    <w:rsid w:val="09A92330"/>
    <w:rsid w:val="09B06B87"/>
    <w:rsid w:val="09C13146"/>
    <w:rsid w:val="09E04166"/>
    <w:rsid w:val="0A087248"/>
    <w:rsid w:val="0A1C0718"/>
    <w:rsid w:val="0A3E7710"/>
    <w:rsid w:val="0A5B7E63"/>
    <w:rsid w:val="0AA374A5"/>
    <w:rsid w:val="0AAB7649"/>
    <w:rsid w:val="0ABC5606"/>
    <w:rsid w:val="0B30404E"/>
    <w:rsid w:val="0B4C6C14"/>
    <w:rsid w:val="0B6208F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E6938"/>
    <w:rsid w:val="10C26171"/>
    <w:rsid w:val="10F33360"/>
    <w:rsid w:val="10FC16EA"/>
    <w:rsid w:val="110F1D40"/>
    <w:rsid w:val="11266F33"/>
    <w:rsid w:val="118963A1"/>
    <w:rsid w:val="11C6522A"/>
    <w:rsid w:val="11E104CC"/>
    <w:rsid w:val="11E20309"/>
    <w:rsid w:val="11F87AB8"/>
    <w:rsid w:val="12255233"/>
    <w:rsid w:val="12530213"/>
    <w:rsid w:val="125B0563"/>
    <w:rsid w:val="127723A9"/>
    <w:rsid w:val="12862074"/>
    <w:rsid w:val="12883966"/>
    <w:rsid w:val="129E45B4"/>
    <w:rsid w:val="12D81596"/>
    <w:rsid w:val="12FD27F6"/>
    <w:rsid w:val="13072A44"/>
    <w:rsid w:val="13353A90"/>
    <w:rsid w:val="135F4BE2"/>
    <w:rsid w:val="137C4750"/>
    <w:rsid w:val="139B1A0A"/>
    <w:rsid w:val="139D25C7"/>
    <w:rsid w:val="13BF3CE4"/>
    <w:rsid w:val="141008D8"/>
    <w:rsid w:val="14125FE6"/>
    <w:rsid w:val="146D271E"/>
    <w:rsid w:val="14982588"/>
    <w:rsid w:val="149A5AD9"/>
    <w:rsid w:val="14A7619D"/>
    <w:rsid w:val="150536C3"/>
    <w:rsid w:val="150C1963"/>
    <w:rsid w:val="151447A0"/>
    <w:rsid w:val="154A6454"/>
    <w:rsid w:val="15762120"/>
    <w:rsid w:val="15A85488"/>
    <w:rsid w:val="15BA295C"/>
    <w:rsid w:val="16A8729C"/>
    <w:rsid w:val="16B33777"/>
    <w:rsid w:val="16BC70A7"/>
    <w:rsid w:val="16C6339E"/>
    <w:rsid w:val="16DA03FF"/>
    <w:rsid w:val="172F2D79"/>
    <w:rsid w:val="17557BEF"/>
    <w:rsid w:val="17D349C1"/>
    <w:rsid w:val="1830729E"/>
    <w:rsid w:val="18650C51"/>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232A8"/>
    <w:rsid w:val="1B2A271F"/>
    <w:rsid w:val="1B530544"/>
    <w:rsid w:val="1B713184"/>
    <w:rsid w:val="1BA209CF"/>
    <w:rsid w:val="1BAA299A"/>
    <w:rsid w:val="1BB4777D"/>
    <w:rsid w:val="1BD75AB8"/>
    <w:rsid w:val="1C0459C2"/>
    <w:rsid w:val="1C1B3B4A"/>
    <w:rsid w:val="1C88086E"/>
    <w:rsid w:val="1CFA16FF"/>
    <w:rsid w:val="1D266CE1"/>
    <w:rsid w:val="1D3963AF"/>
    <w:rsid w:val="1D697567"/>
    <w:rsid w:val="1D6A673C"/>
    <w:rsid w:val="1D9247AE"/>
    <w:rsid w:val="1DB567EC"/>
    <w:rsid w:val="1DF51A98"/>
    <w:rsid w:val="1E3D060F"/>
    <w:rsid w:val="1E3F7D2E"/>
    <w:rsid w:val="1E4134E4"/>
    <w:rsid w:val="1E5062B3"/>
    <w:rsid w:val="1E523514"/>
    <w:rsid w:val="1E6D2769"/>
    <w:rsid w:val="1E714A66"/>
    <w:rsid w:val="1E7A64EE"/>
    <w:rsid w:val="1E802593"/>
    <w:rsid w:val="1EA703CC"/>
    <w:rsid w:val="1EB678A8"/>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2069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52750"/>
    <w:rsid w:val="28333E1D"/>
    <w:rsid w:val="28454BD6"/>
    <w:rsid w:val="28455253"/>
    <w:rsid w:val="28551971"/>
    <w:rsid w:val="285B1C53"/>
    <w:rsid w:val="28962973"/>
    <w:rsid w:val="289F7086"/>
    <w:rsid w:val="28C32028"/>
    <w:rsid w:val="28CC490F"/>
    <w:rsid w:val="28DE40AA"/>
    <w:rsid w:val="29017971"/>
    <w:rsid w:val="29345E77"/>
    <w:rsid w:val="294837F2"/>
    <w:rsid w:val="294C65AD"/>
    <w:rsid w:val="29806583"/>
    <w:rsid w:val="298B3C4C"/>
    <w:rsid w:val="29F26D24"/>
    <w:rsid w:val="2A15033F"/>
    <w:rsid w:val="2A1662C1"/>
    <w:rsid w:val="2A1C7367"/>
    <w:rsid w:val="2A2815FA"/>
    <w:rsid w:val="2A6D6092"/>
    <w:rsid w:val="2A7D76B4"/>
    <w:rsid w:val="2AAE1BD8"/>
    <w:rsid w:val="2AF74D8B"/>
    <w:rsid w:val="2B437463"/>
    <w:rsid w:val="2B7807EE"/>
    <w:rsid w:val="2B7B3A0B"/>
    <w:rsid w:val="2B8D5761"/>
    <w:rsid w:val="2B976C05"/>
    <w:rsid w:val="2BBF00EC"/>
    <w:rsid w:val="2BC37CFD"/>
    <w:rsid w:val="2BD5237F"/>
    <w:rsid w:val="2BE536CE"/>
    <w:rsid w:val="2BE758D9"/>
    <w:rsid w:val="2C09049E"/>
    <w:rsid w:val="2C0A653C"/>
    <w:rsid w:val="2C191F85"/>
    <w:rsid w:val="2C336B7F"/>
    <w:rsid w:val="2CBA490D"/>
    <w:rsid w:val="2CE82D6F"/>
    <w:rsid w:val="2D343236"/>
    <w:rsid w:val="2DD15014"/>
    <w:rsid w:val="2DF72DE4"/>
    <w:rsid w:val="2E0220AF"/>
    <w:rsid w:val="2E4B082A"/>
    <w:rsid w:val="2E5D4E86"/>
    <w:rsid w:val="2E5D790B"/>
    <w:rsid w:val="2E695641"/>
    <w:rsid w:val="2E9A3C18"/>
    <w:rsid w:val="2EBB0FEE"/>
    <w:rsid w:val="2EC63002"/>
    <w:rsid w:val="2EFF76CA"/>
    <w:rsid w:val="2F0A6B38"/>
    <w:rsid w:val="2F946CCB"/>
    <w:rsid w:val="2FD25781"/>
    <w:rsid w:val="2FFD7934"/>
    <w:rsid w:val="30733ACD"/>
    <w:rsid w:val="308C3862"/>
    <w:rsid w:val="309379D8"/>
    <w:rsid w:val="30A05512"/>
    <w:rsid w:val="30A270F7"/>
    <w:rsid w:val="30B42EF9"/>
    <w:rsid w:val="30DF1478"/>
    <w:rsid w:val="30EC586F"/>
    <w:rsid w:val="31750675"/>
    <w:rsid w:val="319C6071"/>
    <w:rsid w:val="31AC537E"/>
    <w:rsid w:val="31E3679B"/>
    <w:rsid w:val="31E542D4"/>
    <w:rsid w:val="31E732FD"/>
    <w:rsid w:val="324862B4"/>
    <w:rsid w:val="3251507D"/>
    <w:rsid w:val="32517576"/>
    <w:rsid w:val="32BE5C2C"/>
    <w:rsid w:val="32FB6478"/>
    <w:rsid w:val="33263B3F"/>
    <w:rsid w:val="336963EB"/>
    <w:rsid w:val="33816EEB"/>
    <w:rsid w:val="33D53ED4"/>
    <w:rsid w:val="33EB55CD"/>
    <w:rsid w:val="33EC4C02"/>
    <w:rsid w:val="340D2360"/>
    <w:rsid w:val="3410665D"/>
    <w:rsid w:val="34211214"/>
    <w:rsid w:val="342E63AB"/>
    <w:rsid w:val="34533A5D"/>
    <w:rsid w:val="34950E68"/>
    <w:rsid w:val="34986E94"/>
    <w:rsid w:val="34AF62C9"/>
    <w:rsid w:val="34CB4388"/>
    <w:rsid w:val="34FA6E12"/>
    <w:rsid w:val="355B5373"/>
    <w:rsid w:val="358D5588"/>
    <w:rsid w:val="35BF6EFA"/>
    <w:rsid w:val="35EA3944"/>
    <w:rsid w:val="35F80DD4"/>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47039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21CF0"/>
    <w:rsid w:val="3D3C7F39"/>
    <w:rsid w:val="3D440F09"/>
    <w:rsid w:val="3D4504A0"/>
    <w:rsid w:val="3D670501"/>
    <w:rsid w:val="3D8734BB"/>
    <w:rsid w:val="3D9A11D4"/>
    <w:rsid w:val="3DA16D89"/>
    <w:rsid w:val="3DA364BE"/>
    <w:rsid w:val="3DA939B5"/>
    <w:rsid w:val="3DB106FE"/>
    <w:rsid w:val="3DE041CB"/>
    <w:rsid w:val="3E0D48F6"/>
    <w:rsid w:val="3E1868B4"/>
    <w:rsid w:val="3E377251"/>
    <w:rsid w:val="3E42664B"/>
    <w:rsid w:val="3E5A7334"/>
    <w:rsid w:val="3E7B5D6B"/>
    <w:rsid w:val="3E843E66"/>
    <w:rsid w:val="3E847EE0"/>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331E0"/>
    <w:rsid w:val="40FF545D"/>
    <w:rsid w:val="410067C8"/>
    <w:rsid w:val="4148532D"/>
    <w:rsid w:val="418F0D2A"/>
    <w:rsid w:val="41D01505"/>
    <w:rsid w:val="42474939"/>
    <w:rsid w:val="424C3C57"/>
    <w:rsid w:val="42613FF3"/>
    <w:rsid w:val="42660D96"/>
    <w:rsid w:val="428667D2"/>
    <w:rsid w:val="42A5582B"/>
    <w:rsid w:val="42CD1CE0"/>
    <w:rsid w:val="42E07F4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B7284"/>
    <w:rsid w:val="46FC79E2"/>
    <w:rsid w:val="471C20EE"/>
    <w:rsid w:val="47370EBF"/>
    <w:rsid w:val="477B778F"/>
    <w:rsid w:val="478203EC"/>
    <w:rsid w:val="47B025FA"/>
    <w:rsid w:val="47EC6819"/>
    <w:rsid w:val="4809698F"/>
    <w:rsid w:val="4811697D"/>
    <w:rsid w:val="487A3E25"/>
    <w:rsid w:val="488B5503"/>
    <w:rsid w:val="48937E21"/>
    <w:rsid w:val="489A0361"/>
    <w:rsid w:val="48B94FF3"/>
    <w:rsid w:val="48E37AAB"/>
    <w:rsid w:val="48FD4B4C"/>
    <w:rsid w:val="490A68E0"/>
    <w:rsid w:val="491055FE"/>
    <w:rsid w:val="494D56FB"/>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567BB5"/>
    <w:rsid w:val="4CB6685F"/>
    <w:rsid w:val="4CC367FE"/>
    <w:rsid w:val="4D077F3C"/>
    <w:rsid w:val="4D123355"/>
    <w:rsid w:val="4D2A3B31"/>
    <w:rsid w:val="4D312C52"/>
    <w:rsid w:val="4D905305"/>
    <w:rsid w:val="4D964A72"/>
    <w:rsid w:val="4D9C1254"/>
    <w:rsid w:val="4DF22149"/>
    <w:rsid w:val="4DF877DE"/>
    <w:rsid w:val="4E6C0DE3"/>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CC41A3"/>
    <w:rsid w:val="53E37B96"/>
    <w:rsid w:val="54013861"/>
    <w:rsid w:val="54487265"/>
    <w:rsid w:val="544D6070"/>
    <w:rsid w:val="54566820"/>
    <w:rsid w:val="54605E1E"/>
    <w:rsid w:val="54AD18A4"/>
    <w:rsid w:val="54B3506A"/>
    <w:rsid w:val="54CA0D16"/>
    <w:rsid w:val="54DD4057"/>
    <w:rsid w:val="54E7490F"/>
    <w:rsid w:val="55006BAB"/>
    <w:rsid w:val="550764A4"/>
    <w:rsid w:val="550B2BF6"/>
    <w:rsid w:val="55214EB5"/>
    <w:rsid w:val="55250D9C"/>
    <w:rsid w:val="55364EFD"/>
    <w:rsid w:val="555D4828"/>
    <w:rsid w:val="557A4C8B"/>
    <w:rsid w:val="558931E1"/>
    <w:rsid w:val="55923347"/>
    <w:rsid w:val="55925180"/>
    <w:rsid w:val="55983B1B"/>
    <w:rsid w:val="55A8376B"/>
    <w:rsid w:val="55DC29B6"/>
    <w:rsid w:val="55DD4241"/>
    <w:rsid w:val="566B6D1E"/>
    <w:rsid w:val="57032A2C"/>
    <w:rsid w:val="570F5219"/>
    <w:rsid w:val="57277EC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855AB"/>
    <w:rsid w:val="582A0D9F"/>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67382"/>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E4ECA"/>
    <w:rsid w:val="5EFC7377"/>
    <w:rsid w:val="5F06174D"/>
    <w:rsid w:val="5F3A3602"/>
    <w:rsid w:val="5F6277C6"/>
    <w:rsid w:val="5F641124"/>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60D1A"/>
    <w:rsid w:val="6182292A"/>
    <w:rsid w:val="619F7F92"/>
    <w:rsid w:val="61F94C26"/>
    <w:rsid w:val="62000E56"/>
    <w:rsid w:val="624F3E49"/>
    <w:rsid w:val="62597E73"/>
    <w:rsid w:val="62632286"/>
    <w:rsid w:val="626B6209"/>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E72C9E"/>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9F56C2"/>
    <w:rsid w:val="68B96DBB"/>
    <w:rsid w:val="68CA2805"/>
    <w:rsid w:val="68E937A3"/>
    <w:rsid w:val="693E15D3"/>
    <w:rsid w:val="69627681"/>
    <w:rsid w:val="6977531D"/>
    <w:rsid w:val="697B2927"/>
    <w:rsid w:val="69CC2BFF"/>
    <w:rsid w:val="69FD55B8"/>
    <w:rsid w:val="6A0B1C62"/>
    <w:rsid w:val="6A2406C8"/>
    <w:rsid w:val="6AA056F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381AB7"/>
    <w:rsid w:val="6E8335BD"/>
    <w:rsid w:val="6E8E12EF"/>
    <w:rsid w:val="6E972936"/>
    <w:rsid w:val="6ED446C5"/>
    <w:rsid w:val="6F2A7D94"/>
    <w:rsid w:val="6F8331F1"/>
    <w:rsid w:val="6FAE1A09"/>
    <w:rsid w:val="6FD75BF8"/>
    <w:rsid w:val="707723D0"/>
    <w:rsid w:val="70F5661B"/>
    <w:rsid w:val="71125911"/>
    <w:rsid w:val="712A1073"/>
    <w:rsid w:val="71360107"/>
    <w:rsid w:val="713B688E"/>
    <w:rsid w:val="71D43752"/>
    <w:rsid w:val="71F1796A"/>
    <w:rsid w:val="72120D84"/>
    <w:rsid w:val="72154626"/>
    <w:rsid w:val="72262B5D"/>
    <w:rsid w:val="72283FF7"/>
    <w:rsid w:val="722E7212"/>
    <w:rsid w:val="723A0474"/>
    <w:rsid w:val="725923E4"/>
    <w:rsid w:val="72864BF7"/>
    <w:rsid w:val="729023FC"/>
    <w:rsid w:val="73C0646E"/>
    <w:rsid w:val="742222F5"/>
    <w:rsid w:val="74476126"/>
    <w:rsid w:val="74706664"/>
    <w:rsid w:val="747F3682"/>
    <w:rsid w:val="74941BBE"/>
    <w:rsid w:val="749C4185"/>
    <w:rsid w:val="75067759"/>
    <w:rsid w:val="752E6DCD"/>
    <w:rsid w:val="7551380D"/>
    <w:rsid w:val="75600BE5"/>
    <w:rsid w:val="7564475C"/>
    <w:rsid w:val="757B168C"/>
    <w:rsid w:val="7583797F"/>
    <w:rsid w:val="75D16CDD"/>
    <w:rsid w:val="75D20F1D"/>
    <w:rsid w:val="75DA2C18"/>
    <w:rsid w:val="75F54412"/>
    <w:rsid w:val="761D08E0"/>
    <w:rsid w:val="765D347C"/>
    <w:rsid w:val="76826699"/>
    <w:rsid w:val="76C87133"/>
    <w:rsid w:val="76CD08D5"/>
    <w:rsid w:val="76D95E57"/>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C90B23"/>
    <w:rsid w:val="7AD05746"/>
    <w:rsid w:val="7B257FFD"/>
    <w:rsid w:val="7B343476"/>
    <w:rsid w:val="7B5A2978"/>
    <w:rsid w:val="7B5A7E4C"/>
    <w:rsid w:val="7B667AF9"/>
    <w:rsid w:val="7B7468F8"/>
    <w:rsid w:val="7BEE0103"/>
    <w:rsid w:val="7C0A0FE4"/>
    <w:rsid w:val="7C254906"/>
    <w:rsid w:val="7C590818"/>
    <w:rsid w:val="7C597A6A"/>
    <w:rsid w:val="7C5F1B5A"/>
    <w:rsid w:val="7C7C10F6"/>
    <w:rsid w:val="7C853BEA"/>
    <w:rsid w:val="7C881368"/>
    <w:rsid w:val="7CE27788"/>
    <w:rsid w:val="7D0C32F1"/>
    <w:rsid w:val="7D0F408D"/>
    <w:rsid w:val="7D491C6C"/>
    <w:rsid w:val="7D5429C0"/>
    <w:rsid w:val="7D6E6D43"/>
    <w:rsid w:val="7DB57A34"/>
    <w:rsid w:val="7DE60973"/>
    <w:rsid w:val="7DEF0916"/>
    <w:rsid w:val="7DFB3A10"/>
    <w:rsid w:val="7E1E5218"/>
    <w:rsid w:val="7E9A4E1F"/>
    <w:rsid w:val="7EA7723A"/>
    <w:rsid w:val="7EF56FBB"/>
    <w:rsid w:val="7F0768EB"/>
    <w:rsid w:val="7F143BEC"/>
    <w:rsid w:val="7F715AF2"/>
    <w:rsid w:val="7F853738"/>
    <w:rsid w:val="7F886E69"/>
    <w:rsid w:val="7FB1307A"/>
    <w:rsid w:val="BB7FA927"/>
    <w:rsid w:val="F5FFD31F"/>
    <w:rsid w:val="FDFE1D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79"/>
    <w:qFormat/>
    <w:uiPriority w:val="0"/>
    <w:pPr>
      <w:keepNext/>
      <w:keepLines/>
      <w:tabs>
        <w:tab w:val="left" w:pos="432"/>
      </w:tabs>
      <w:adjustRightInd/>
      <w:spacing w:line="360" w:lineRule="auto"/>
      <w:ind w:left="432" w:hanging="432"/>
      <w:jc w:val="left"/>
      <w:outlineLvl w:val="1"/>
    </w:pPr>
    <w:rPr>
      <w:rFonts w:ascii="仿宋_GB2312" w:hAnsi="仿宋" w:eastAsia="仿宋_GB2312"/>
      <w:b/>
      <w:bCs/>
      <w:kern w:val="0"/>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unhideWhenUsed/>
    <w:uiPriority w:val="99"/>
    <w:tblPr>
      <w:tblStyle w:val="62"/>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8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style>
  <w:style w:type="paragraph" w:styleId="19">
    <w:name w:val="annotation text"/>
    <w:basedOn w:val="1"/>
    <w:link w:val="90"/>
    <w:qFormat/>
    <w:uiPriority w:val="0"/>
    <w:pPr>
      <w:jc w:val="left"/>
    </w:pPr>
  </w:style>
  <w:style w:type="paragraph" w:styleId="20">
    <w:name w:val="Salutation"/>
    <w:basedOn w:val="1"/>
    <w:next w:val="1"/>
    <w:link w:val="91"/>
    <w:qFormat/>
    <w:uiPriority w:val="0"/>
    <w:rPr>
      <w:rFonts w:ascii="仿宋_GB2312" w:eastAsia="仿宋_GB2312"/>
      <w:sz w:val="28"/>
      <w:szCs w:val="20"/>
    </w:rPr>
  </w:style>
  <w:style w:type="paragraph" w:styleId="21">
    <w:name w:val="Body Text 3"/>
    <w:basedOn w:val="1"/>
    <w:link w:val="9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1"/>
    <w:next w:val="1"/>
    <w:link w:val="94"/>
    <w:qFormat/>
    <w:uiPriority w:val="0"/>
    <w:pPr>
      <w:ind w:firstLine="420"/>
    </w:pPr>
    <w:rPr>
      <w:rFonts w:hAnsi="Times New Roman" w:cs="Times New Roman"/>
      <w:snapToGrid/>
      <w:szCs w:val="20"/>
    </w:rPr>
  </w:style>
  <w:style w:type="paragraph" w:styleId="25">
    <w:name w:val="Body Text Indent"/>
    <w:basedOn w:val="1"/>
    <w:next w:val="1"/>
    <w:link w:val="9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9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8"/>
    <w:qFormat/>
    <w:uiPriority w:val="0"/>
    <w:pPr>
      <w:ind w:left="100" w:leftChars="2500"/>
    </w:pPr>
    <w:rPr>
      <w:rFonts w:ascii="宋体"/>
      <w:sz w:val="24"/>
      <w:szCs w:val="21"/>
      <w:lang w:val="zh-CN"/>
    </w:rPr>
  </w:style>
  <w:style w:type="paragraph" w:styleId="37">
    <w:name w:val="Body Text Indent 2"/>
    <w:basedOn w:val="1"/>
    <w:link w:val="99"/>
    <w:qFormat/>
    <w:uiPriority w:val="0"/>
    <w:pPr>
      <w:spacing w:line="360" w:lineRule="auto"/>
      <w:ind w:firstLine="601"/>
      <w:textAlignment w:val="baseline"/>
    </w:pPr>
    <w:rPr>
      <w:rFonts w:ascii="宋体"/>
      <w:kern w:val="0"/>
      <w:sz w:val="28"/>
      <w:szCs w:val="20"/>
    </w:rPr>
  </w:style>
  <w:style w:type="paragraph" w:styleId="38">
    <w:name w:val="endnote text"/>
    <w:basedOn w:val="1"/>
    <w:link w:val="100"/>
    <w:qFormat/>
    <w:uiPriority w:val="0"/>
    <w:rPr>
      <w:lang w:val="zh-CN"/>
    </w:rPr>
  </w:style>
  <w:style w:type="paragraph" w:styleId="39">
    <w:name w:val="Balloon Text"/>
    <w:basedOn w:val="1"/>
    <w:link w:val="101"/>
    <w:qFormat/>
    <w:uiPriority w:val="0"/>
    <w:rPr>
      <w:sz w:val="18"/>
      <w:szCs w:val="18"/>
    </w:rPr>
  </w:style>
  <w:style w:type="paragraph" w:styleId="40">
    <w:name w:val="footer"/>
    <w:basedOn w:val="1"/>
    <w:link w:val="102"/>
    <w:qFormat/>
    <w:uiPriority w:val="99"/>
    <w:pPr>
      <w:tabs>
        <w:tab w:val="center" w:pos="4153"/>
        <w:tab w:val="right" w:pos="8306"/>
      </w:tabs>
      <w:snapToGrid w:val="0"/>
      <w:jc w:val="left"/>
    </w:pPr>
    <w:rPr>
      <w:sz w:val="18"/>
      <w:szCs w:val="18"/>
    </w:rPr>
  </w:style>
  <w:style w:type="paragraph" w:styleId="41">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5"/>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106"/>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10"/>
    <w:pPr>
      <w:widowControl/>
      <w:overflowPunct w:val="0"/>
      <w:autoSpaceDE w:val="0"/>
      <w:autoSpaceDN w:val="0"/>
      <w:jc w:val="center"/>
      <w:textAlignment w:val="baseline"/>
    </w:pPr>
    <w:rPr>
      <w:b/>
      <w:kern w:val="0"/>
      <w:sz w:val="24"/>
      <w:szCs w:val="20"/>
      <w:lang/>
    </w:rPr>
  </w:style>
  <w:style w:type="paragraph" w:styleId="60">
    <w:name w:val="annotation subject"/>
    <w:basedOn w:val="19"/>
    <w:next w:val="19"/>
    <w:link w:val="111"/>
    <w:qFormat/>
    <w:uiPriority w:val="0"/>
    <w:rPr>
      <w:b/>
      <w:bCs/>
    </w:rPr>
  </w:style>
  <w:style w:type="paragraph" w:styleId="61">
    <w:name w:val="Body Text First Indent 2"/>
    <w:basedOn w:val="25"/>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1"/>
    <w:link w:val="2"/>
    <w:uiPriority w:val="0"/>
    <w:rPr>
      <w:rFonts w:ascii="仿宋_GB2312" w:hAnsi="仿宋" w:eastAsia="仿宋_GB2312"/>
      <w:b/>
      <w:bCs/>
      <w:sz w:val="32"/>
      <w:szCs w:val="32"/>
      <w:lang w:val="zh-CN"/>
    </w:rPr>
  </w:style>
  <w:style w:type="character" w:customStyle="1" w:styleId="80">
    <w:name w:val="标题 1 字符1"/>
    <w:link w:val="3"/>
    <w:qFormat/>
    <w:uiPriority w:val="9"/>
    <w:rPr>
      <w:b/>
      <w:bCs/>
      <w:kern w:val="44"/>
      <w:sz w:val="44"/>
      <w:szCs w:val="44"/>
    </w:rPr>
  </w:style>
  <w:style w:type="character" w:customStyle="1" w:styleId="81">
    <w:name w:val="标题 4 字符1"/>
    <w:link w:val="5"/>
    <w:qFormat/>
    <w:uiPriority w:val="9"/>
    <w:rPr>
      <w:rFonts w:ascii="Arial" w:hAnsi="Arial" w:eastAsia="黑体"/>
      <w:b/>
      <w:bCs/>
      <w:kern w:val="2"/>
      <w:sz w:val="28"/>
      <w:szCs w:val="28"/>
      <w:lang w:val="zh-CN"/>
    </w:rPr>
  </w:style>
  <w:style w:type="character" w:customStyle="1" w:styleId="82">
    <w:name w:val="标题 5 字符"/>
    <w:link w:val="6"/>
    <w:qFormat/>
    <w:uiPriority w:val="9"/>
    <w:rPr>
      <w:b/>
      <w:bCs/>
      <w:kern w:val="2"/>
      <w:sz w:val="28"/>
      <w:szCs w:val="28"/>
    </w:rPr>
  </w:style>
  <w:style w:type="character" w:customStyle="1" w:styleId="83">
    <w:name w:val="标题 6 字符"/>
    <w:link w:val="7"/>
    <w:qFormat/>
    <w:uiPriority w:val="0"/>
    <w:rPr>
      <w:rFonts w:ascii="Arial" w:hAnsi="Arial" w:eastAsia="黑体"/>
      <w:b/>
      <w:bCs/>
      <w:kern w:val="2"/>
      <w:sz w:val="24"/>
      <w:szCs w:val="24"/>
    </w:rPr>
  </w:style>
  <w:style w:type="character" w:customStyle="1" w:styleId="84">
    <w:name w:val="标题 7 字符"/>
    <w:link w:val="8"/>
    <w:qFormat/>
    <w:uiPriority w:val="0"/>
    <w:rPr>
      <w:b/>
      <w:bCs/>
      <w:kern w:val="2"/>
      <w:sz w:val="24"/>
      <w:szCs w:val="24"/>
    </w:rPr>
  </w:style>
  <w:style w:type="character" w:customStyle="1" w:styleId="85">
    <w:name w:val="标题 8 字符"/>
    <w:link w:val="9"/>
    <w:qFormat/>
    <w:uiPriority w:val="0"/>
    <w:rPr>
      <w:rFonts w:ascii="Arial" w:hAnsi="Arial" w:eastAsia="黑体"/>
      <w:kern w:val="2"/>
      <w:sz w:val="24"/>
      <w:szCs w:val="24"/>
    </w:rPr>
  </w:style>
  <w:style w:type="character" w:customStyle="1" w:styleId="86">
    <w:name w:val="标题 9 字符"/>
    <w:link w:val="10"/>
    <w:qFormat/>
    <w:uiPriority w:val="0"/>
    <w:rPr>
      <w:rFonts w:ascii="Arial" w:hAnsi="Arial" w:eastAsia="黑体"/>
      <w:kern w:val="2"/>
      <w:sz w:val="21"/>
      <w:szCs w:val="21"/>
    </w:rPr>
  </w:style>
  <w:style w:type="character" w:customStyle="1" w:styleId="87">
    <w:name w:val="正文缩进 字符2"/>
    <w:link w:val="15"/>
    <w:qFormat/>
    <w:uiPriority w:val="0"/>
    <w:rPr>
      <w:rFonts w:ascii="宋体" w:eastAsia="宋体"/>
      <w:snapToGrid w:val="0"/>
      <w:color w:val="000000"/>
      <w:kern w:val="28"/>
      <w:sz w:val="28"/>
      <w:lang w:val="en-US" w:eastAsia="zh-CN" w:bidi="ar-SA"/>
    </w:rPr>
  </w:style>
  <w:style w:type="character" w:customStyle="1" w:styleId="88">
    <w:name w:val="题注 字符"/>
    <w:link w:val="16"/>
    <w:qFormat/>
    <w:uiPriority w:val="0"/>
    <w:rPr>
      <w:b/>
      <w:kern w:val="2"/>
      <w:sz w:val="28"/>
    </w:rPr>
  </w:style>
  <w:style w:type="character" w:customStyle="1" w:styleId="89">
    <w:name w:val="文档结构图 字符"/>
    <w:link w:val="18"/>
    <w:qFormat/>
    <w:uiPriority w:val="0"/>
    <w:rPr>
      <w:kern w:val="2"/>
      <w:sz w:val="21"/>
      <w:szCs w:val="24"/>
      <w:shd w:val="clear" w:color="auto" w:fill="000080"/>
    </w:rPr>
  </w:style>
  <w:style w:type="character" w:customStyle="1" w:styleId="90">
    <w:name w:val="批注文字 字符1"/>
    <w:link w:val="19"/>
    <w:qFormat/>
    <w:uiPriority w:val="0"/>
    <w:rPr>
      <w:kern w:val="2"/>
      <w:sz w:val="21"/>
      <w:szCs w:val="24"/>
    </w:rPr>
  </w:style>
  <w:style w:type="character" w:customStyle="1" w:styleId="91">
    <w:name w:val="称呼 字符"/>
    <w:link w:val="20"/>
    <w:qFormat/>
    <w:uiPriority w:val="0"/>
    <w:rPr>
      <w:rFonts w:ascii="仿宋_GB2312" w:eastAsia="仿宋_GB2312"/>
      <w:kern w:val="2"/>
      <w:sz w:val="28"/>
    </w:rPr>
  </w:style>
  <w:style w:type="character" w:customStyle="1" w:styleId="92">
    <w:name w:val="正文文本 3 字符"/>
    <w:link w:val="21"/>
    <w:qFormat/>
    <w:uiPriority w:val="0"/>
    <w:rPr>
      <w:kern w:val="2"/>
      <w:sz w:val="21"/>
    </w:rPr>
  </w:style>
  <w:style w:type="character" w:customStyle="1" w:styleId="9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
    <w:name w:val="正文文本首行缩进 字符"/>
    <w:link w:val="24"/>
    <w:qFormat/>
    <w:uiPriority w:val="0"/>
    <w:rPr>
      <w:rFonts w:ascii="宋体"/>
      <w:kern w:val="2"/>
      <w:sz w:val="24"/>
      <w:lang w:val="zh-CN"/>
    </w:rPr>
  </w:style>
  <w:style w:type="character" w:customStyle="1" w:styleId="95">
    <w:name w:val="正文文本缩进 字符1"/>
    <w:link w:val="25"/>
    <w:qFormat/>
    <w:uiPriority w:val="0"/>
    <w:rPr>
      <w:rFonts w:ascii="宋体" w:hAnsi="宋体"/>
      <w:kern w:val="2"/>
      <w:sz w:val="24"/>
      <w:szCs w:val="24"/>
    </w:rPr>
  </w:style>
  <w:style w:type="character" w:customStyle="1" w:styleId="96">
    <w:name w:val="HTML 地址 字符"/>
    <w:link w:val="30"/>
    <w:qFormat/>
    <w:uiPriority w:val="0"/>
    <w:rPr>
      <w:rFonts w:ascii="宋体" w:hAnsi="宋体"/>
      <w:i/>
      <w:iCs/>
      <w:sz w:val="24"/>
      <w:szCs w:val="24"/>
    </w:rPr>
  </w:style>
  <w:style w:type="character" w:customStyle="1" w:styleId="9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6"/>
    <w:qFormat/>
    <w:uiPriority w:val="0"/>
    <w:rPr>
      <w:rFonts w:ascii="宋体"/>
      <w:kern w:val="2"/>
      <w:sz w:val="24"/>
      <w:szCs w:val="21"/>
      <w:lang w:val="zh-CN"/>
    </w:rPr>
  </w:style>
  <w:style w:type="character" w:customStyle="1" w:styleId="99">
    <w:name w:val="正文文本缩进 2 字符"/>
    <w:link w:val="37"/>
    <w:qFormat/>
    <w:uiPriority w:val="0"/>
    <w:rPr>
      <w:rFonts w:ascii="宋体"/>
      <w:sz w:val="28"/>
    </w:rPr>
  </w:style>
  <w:style w:type="character" w:customStyle="1" w:styleId="100">
    <w:name w:val="尾注文本 字符"/>
    <w:link w:val="38"/>
    <w:qFormat/>
    <w:uiPriority w:val="0"/>
    <w:rPr>
      <w:kern w:val="2"/>
      <w:sz w:val="21"/>
      <w:szCs w:val="24"/>
      <w:lang w:val="zh-CN"/>
    </w:rPr>
  </w:style>
  <w:style w:type="character" w:customStyle="1" w:styleId="101">
    <w:name w:val="批注框文本 字符1"/>
    <w:link w:val="39"/>
    <w:qFormat/>
    <w:uiPriority w:val="0"/>
    <w:rPr>
      <w:kern w:val="2"/>
      <w:sz w:val="18"/>
      <w:szCs w:val="18"/>
    </w:rPr>
  </w:style>
  <w:style w:type="character" w:customStyle="1" w:styleId="102">
    <w:name w:val="页脚 字符2"/>
    <w:link w:val="40"/>
    <w:qFormat/>
    <w:locked/>
    <w:uiPriority w:val="99"/>
    <w:rPr>
      <w:kern w:val="2"/>
      <w:sz w:val="18"/>
      <w:szCs w:val="18"/>
    </w:rPr>
  </w:style>
  <w:style w:type="character" w:customStyle="1" w:styleId="103">
    <w:name w:val="页眉 字符2"/>
    <w:link w:val="41"/>
    <w:qFormat/>
    <w:uiPriority w:val="99"/>
    <w:rPr>
      <w:kern w:val="2"/>
      <w:sz w:val="18"/>
      <w:szCs w:val="18"/>
    </w:rPr>
  </w:style>
  <w:style w:type="character" w:customStyle="1" w:styleId="104">
    <w:name w:val="签名 字符"/>
    <w:link w:val="42"/>
    <w:qFormat/>
    <w:uiPriority w:val="0"/>
    <w:rPr>
      <w:rFonts w:eastAsia="仿宋_GB2312"/>
      <w:sz w:val="24"/>
    </w:rPr>
  </w:style>
  <w:style w:type="character" w:customStyle="1" w:styleId="105">
    <w:name w:val="副标题 字符"/>
    <w:link w:val="47"/>
    <w:qFormat/>
    <w:uiPriority w:val="0"/>
    <w:rPr>
      <w:rFonts w:ascii="Arial" w:hAnsi="Arial" w:eastAsia="隶书"/>
      <w:b/>
      <w:bCs/>
      <w:kern w:val="28"/>
      <w:sz w:val="44"/>
      <w:szCs w:val="32"/>
      <w:lang w:val="en-US" w:eastAsia="zh-CN" w:bidi="ar-SA"/>
    </w:rPr>
  </w:style>
  <w:style w:type="character" w:customStyle="1" w:styleId="106">
    <w:name w:val="脚注文本 字符"/>
    <w:link w:val="50"/>
    <w:qFormat/>
    <w:uiPriority w:val="0"/>
    <w:rPr>
      <w:color w:val="0000FF"/>
      <w:sz w:val="21"/>
    </w:rPr>
  </w:style>
  <w:style w:type="character" w:customStyle="1" w:styleId="107">
    <w:name w:val="正文文本缩进 3 字符"/>
    <w:link w:val="53"/>
    <w:qFormat/>
    <w:uiPriority w:val="0"/>
    <w:rPr>
      <w:kern w:val="2"/>
      <w:sz w:val="24"/>
    </w:rPr>
  </w:style>
  <w:style w:type="character" w:customStyle="1" w:styleId="108">
    <w:name w:val="正文文本 2 字符1"/>
    <w:link w:val="56"/>
    <w:qFormat/>
    <w:uiPriority w:val="0"/>
    <w:rPr>
      <w:kern w:val="2"/>
      <w:sz w:val="21"/>
      <w:szCs w:val="24"/>
    </w:rPr>
  </w:style>
  <w:style w:type="character" w:customStyle="1" w:styleId="109">
    <w:name w:val="HTML 预设格式 字符"/>
    <w:link w:val="57"/>
    <w:qFormat/>
    <w:uiPriority w:val="0"/>
    <w:rPr>
      <w:rFonts w:ascii="黑体" w:hAnsi="Courier New" w:eastAsia="黑体"/>
    </w:rPr>
  </w:style>
  <w:style w:type="character" w:customStyle="1" w:styleId="110">
    <w:name w:val="标题 字符"/>
    <w:link w:val="59"/>
    <w:qFormat/>
    <w:uiPriority w:val="10"/>
    <w:rPr>
      <w:b/>
      <w:sz w:val="24"/>
      <w:lang/>
    </w:rPr>
  </w:style>
  <w:style w:type="character" w:customStyle="1" w:styleId="111">
    <w:name w:val="批注主题 字符"/>
    <w:link w:val="60"/>
    <w:qFormat/>
    <w:uiPriority w:val="0"/>
    <w:rPr>
      <w:b/>
      <w:bCs/>
      <w:kern w:val="2"/>
      <w:sz w:val="21"/>
      <w:szCs w:val="24"/>
    </w:rPr>
  </w:style>
  <w:style w:type="character" w:customStyle="1" w:styleId="112">
    <w:name w:val="正文文本首行缩进 2 字符"/>
    <w:link w:val="61"/>
    <w:qFormat/>
    <w:uiPriority w:val="0"/>
    <w:rPr>
      <w:rFonts w:ascii="宋体" w:hAnsi="宋体"/>
      <w:kern w:val="2"/>
      <w:sz w:val="21"/>
      <w:szCs w:val="24"/>
    </w:rPr>
  </w:style>
  <w:style w:type="character" w:customStyle="1" w:styleId="113">
    <w:name w:val="font71"/>
    <w:qFormat/>
    <w:uiPriority w:val="0"/>
    <w:rPr>
      <w:rFonts w:hint="eastAsia" w:ascii="宋体" w:hAnsi="宋体" w:eastAsia="宋体" w:cs="宋体"/>
      <w:color w:val="000000"/>
      <w:sz w:val="22"/>
      <w:szCs w:val="22"/>
      <w:u w:val="none"/>
    </w:rPr>
  </w:style>
  <w:style w:type="character" w:customStyle="1" w:styleId="114">
    <w:name w:val="正文文本 2 字符"/>
    <w:qFormat/>
    <w:uiPriority w:val="0"/>
    <w:rPr>
      <w:rFonts w:ascii="Arial" w:hAnsi="Arial" w:eastAsia="宋体"/>
      <w:kern w:val="2"/>
      <w:sz w:val="24"/>
      <w:szCs w:val="24"/>
      <w:lang w:val="en-US" w:eastAsia="zh-CN" w:bidi="ar-SA"/>
    </w:rPr>
  </w:style>
  <w:style w:type="character" w:customStyle="1" w:styleId="115">
    <w:name w:val="16"/>
    <w:qFormat/>
    <w:uiPriority w:val="0"/>
    <w:rPr>
      <w:rFonts w:hint="eastAsia" w:ascii="宋体" w:hAnsi="宋体" w:eastAsia="宋体"/>
      <w:color w:val="000000"/>
      <w:sz w:val="20"/>
      <w:szCs w:val="20"/>
    </w:rPr>
  </w:style>
  <w:style w:type="character" w:customStyle="1" w:styleId="116">
    <w:name w:val="标准文本 Char Char"/>
    <w:link w:val="117"/>
    <w:qFormat/>
    <w:uiPriority w:val="0"/>
    <w:rPr>
      <w:rFonts w:cs="宋体"/>
      <w:kern w:val="2"/>
      <w:sz w:val="24"/>
    </w:rPr>
  </w:style>
  <w:style w:type="paragraph" w:customStyle="1" w:styleId="117">
    <w:name w:val="标准文本"/>
    <w:basedOn w:val="1"/>
    <w:link w:val="116"/>
    <w:qFormat/>
    <w:uiPriority w:val="0"/>
    <w:pPr>
      <w:adjustRightInd/>
      <w:spacing w:line="360" w:lineRule="auto"/>
      <w:ind w:firstLine="480" w:firstLineChars="200"/>
    </w:pPr>
    <w:rPr>
      <w:sz w:val="24"/>
      <w:szCs w:val="20"/>
    </w:rPr>
  </w:style>
  <w:style w:type="character" w:customStyle="1" w:styleId="118">
    <w:name w:val="标题 3 Char2"/>
    <w:qFormat/>
    <w:uiPriority w:val="0"/>
    <w:rPr>
      <w:rFonts w:eastAsia="宋体"/>
      <w:b/>
      <w:bCs/>
      <w:kern w:val="2"/>
      <w:sz w:val="32"/>
      <w:szCs w:val="32"/>
      <w:lang w:val="en-US" w:eastAsia="zh-CN" w:bidi="ar-SA"/>
    </w:rPr>
  </w:style>
  <w:style w:type="character" w:customStyle="1" w:styleId="119">
    <w:name w:val="页眉 字符"/>
    <w:qFormat/>
    <w:uiPriority w:val="99"/>
    <w:rPr>
      <w:kern w:val="2"/>
      <w:sz w:val="18"/>
      <w:szCs w:val="18"/>
    </w:rPr>
  </w:style>
  <w:style w:type="character" w:customStyle="1" w:styleId="120">
    <w:name w:val="Char Char16"/>
    <w:qFormat/>
    <w:uiPriority w:val="6"/>
    <w:rPr>
      <w:kern w:val="1"/>
      <w:sz w:val="18"/>
      <w:szCs w:val="18"/>
    </w:rPr>
  </w:style>
  <w:style w:type="character" w:customStyle="1" w:styleId="121">
    <w:name w:val="Char Char17"/>
    <w:qFormat/>
    <w:uiPriority w:val="6"/>
    <w:rPr>
      <w:rFonts w:eastAsia="仿宋_GB2312"/>
      <w:sz w:val="24"/>
    </w:rPr>
  </w:style>
  <w:style w:type="character" w:customStyle="1" w:styleId="122">
    <w:name w:val="页脚 Char1"/>
    <w:qFormat/>
    <w:uiPriority w:val="0"/>
    <w:rPr>
      <w:rFonts w:eastAsia="宋体"/>
      <w:kern w:val="2"/>
      <w:sz w:val="18"/>
      <w:szCs w:val="18"/>
      <w:lang w:val="en-US" w:eastAsia="zh-CN" w:bidi="ar-SA"/>
    </w:rPr>
  </w:style>
  <w:style w:type="character" w:customStyle="1" w:styleId="123">
    <w:name w:val="正文1 Char1"/>
    <w:qFormat/>
    <w:uiPriority w:val="0"/>
    <w:rPr>
      <w:rFonts w:ascii="仿宋_GB2312" w:hAnsi="Courier New" w:eastAsia="仿宋_GB2312"/>
      <w:kern w:val="28"/>
      <w:sz w:val="24"/>
      <w:szCs w:val="24"/>
      <w:lang w:val="en-US" w:eastAsia="zh-CN"/>
    </w:rPr>
  </w:style>
  <w:style w:type="character" w:customStyle="1" w:styleId="124">
    <w:name w:val="Char Char35"/>
    <w:qFormat/>
    <w:uiPriority w:val="6"/>
    <w:rPr>
      <w:rFonts w:ascii="Arial" w:hAnsi="Arial" w:eastAsia="黑体"/>
      <w:b/>
      <w:kern w:val="1"/>
      <w:sz w:val="28"/>
      <w:szCs w:val="28"/>
      <w:lang w:val="zh-CN"/>
    </w:rPr>
  </w:style>
  <w:style w:type="character" w:customStyle="1" w:styleId="125">
    <w:name w:val="h Char1"/>
    <w:qFormat/>
    <w:uiPriority w:val="0"/>
    <w:rPr>
      <w:sz w:val="18"/>
      <w:szCs w:val="18"/>
    </w:rPr>
  </w:style>
  <w:style w:type="character" w:customStyle="1" w:styleId="126">
    <w:name w:val="正文缩进 Char1"/>
    <w:qFormat/>
    <w:uiPriority w:val="0"/>
    <w:rPr>
      <w:rFonts w:ascii="宋体" w:eastAsia="宋体"/>
      <w:snapToGrid w:val="0"/>
      <w:color w:val="000000"/>
      <w:kern w:val="28"/>
      <w:sz w:val="28"/>
      <w:lang w:val="en-US" w:eastAsia="zh-CN" w:bidi="ar-SA"/>
    </w:rPr>
  </w:style>
  <w:style w:type="character" w:customStyle="1" w:styleId="127">
    <w:name w:val="正文1 Char"/>
    <w:qFormat/>
    <w:uiPriority w:val="0"/>
    <w:rPr>
      <w:rFonts w:ascii="宋体" w:eastAsia="宋体"/>
      <w:snapToGrid w:val="0"/>
      <w:color w:val="000000"/>
      <w:kern w:val="28"/>
      <w:sz w:val="28"/>
      <w:lang w:val="en-US" w:eastAsia="zh-CN" w:bidi="ar-SA"/>
    </w:rPr>
  </w:style>
  <w:style w:type="character" w:customStyle="1" w:styleId="128">
    <w:name w:val="称呼 Char1"/>
    <w:qFormat/>
    <w:uiPriority w:val="0"/>
    <w:rPr>
      <w:rFonts w:ascii="Times New Roman" w:hAnsi="Times New Roman" w:eastAsia="宋体" w:cs="Times New Roman"/>
      <w:szCs w:val="24"/>
    </w:rPr>
  </w:style>
  <w:style w:type="character" w:customStyle="1" w:styleId="129">
    <w:name w:val="样式 标题 4h4H4Fab-4T5Ref Heading 1rh1Heading sqlsect 1.2.3.... Char"/>
    <w:link w:val="130"/>
    <w:qFormat/>
    <w:uiPriority w:val="0"/>
    <w:rPr>
      <w:rFonts w:ascii="微软雅黑" w:hAnsi="微软雅黑" w:eastAsia="微软雅黑"/>
      <w:b/>
      <w:bCs/>
      <w:kern w:val="2"/>
      <w:sz w:val="24"/>
      <w:szCs w:val="28"/>
    </w:rPr>
  </w:style>
  <w:style w:type="paragraph" w:customStyle="1" w:styleId="130">
    <w:name w:val="样式 标题 4h4H4Fab-4T5Ref Heading 1rh1Heading sqlsect 1.2.3...."/>
    <w:basedOn w:val="5"/>
    <w:link w:val="1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31">
    <w:name w:val="正文首行缩进 Char Char Char Char Char Char1"/>
    <w:qFormat/>
    <w:uiPriority w:val="0"/>
    <w:rPr>
      <w:rFonts w:ascii="宋体" w:eastAsia="宋体"/>
      <w:kern w:val="2"/>
      <w:sz w:val="24"/>
      <w:szCs w:val="24"/>
      <w:lang w:val="zh-CN" w:bidi="ar-SA"/>
    </w:rPr>
  </w:style>
  <w:style w:type="character" w:customStyle="1" w:styleId="132">
    <w:name w:val="标题 6 Char1"/>
    <w:qFormat/>
    <w:uiPriority w:val="0"/>
    <w:rPr>
      <w:rFonts w:ascii="Arial" w:hAnsi="Arial" w:eastAsia="黑体" w:cs="Times New Roman"/>
      <w:b/>
      <w:sz w:val="24"/>
      <w:szCs w:val="20"/>
      <w:lang w:bidi="ar-SA"/>
    </w:rPr>
  </w:style>
  <w:style w:type="character" w:customStyle="1" w:styleId="133">
    <w:name w:val="t21"/>
    <w:qFormat/>
    <w:uiPriority w:val="0"/>
    <w:rPr>
      <w:rFonts w:ascii="仿宋_GB2312" w:eastAsia="微软雅黑"/>
      <w:b/>
      <w:kern w:val="2"/>
      <w:sz w:val="23"/>
      <w:szCs w:val="23"/>
      <w:lang w:val="en-US" w:eastAsia="zh-CN" w:bidi="ar-SA"/>
    </w:rPr>
  </w:style>
  <w:style w:type="character" w:customStyle="1" w:styleId="134">
    <w:name w:val="Char Char312"/>
    <w:qFormat/>
    <w:uiPriority w:val="0"/>
    <w:rPr>
      <w:rFonts w:ascii="Times New Roman" w:hAnsi="Times New Roman" w:eastAsia="宋体" w:cs="Times New Roman"/>
      <w:b/>
      <w:kern w:val="2"/>
      <w:sz w:val="32"/>
      <w:szCs w:val="24"/>
      <w:lang w:val="en-US" w:eastAsia="zh-CN" w:bidi="ar-SA"/>
    </w:rPr>
  </w:style>
  <w:style w:type="character" w:customStyle="1" w:styleId="135">
    <w:name w:val="font81"/>
    <w:qFormat/>
    <w:uiPriority w:val="0"/>
    <w:rPr>
      <w:rFonts w:ascii="微软雅黑" w:hAnsi="微软雅黑" w:eastAsia="微软雅黑" w:cs="微软雅黑"/>
      <w:color w:val="000000"/>
      <w:sz w:val="20"/>
      <w:szCs w:val="20"/>
      <w:u w:val="none"/>
    </w:rPr>
  </w:style>
  <w:style w:type="character" w:customStyle="1" w:styleId="136">
    <w:name w:val="Char Char2"/>
    <w:qFormat/>
    <w:uiPriority w:val="0"/>
    <w:rPr>
      <w:rFonts w:eastAsia="宋体"/>
      <w:b/>
      <w:bCs/>
      <w:kern w:val="2"/>
      <w:sz w:val="21"/>
      <w:szCs w:val="24"/>
      <w:lang w:val="en-US" w:eastAsia="zh-CN" w:bidi="ar-SA"/>
    </w:rPr>
  </w:style>
  <w:style w:type="character" w:customStyle="1" w:styleId="137">
    <w:name w:val="Heading 7 Char"/>
    <w:qFormat/>
    <w:locked/>
    <w:uiPriority w:val="0"/>
    <w:rPr>
      <w:rFonts w:ascii="宋体" w:hAnsi="宋体" w:eastAsia="宋体"/>
      <w:b/>
      <w:bCs/>
      <w:kern w:val="2"/>
      <w:sz w:val="24"/>
      <w:szCs w:val="24"/>
      <w:lang w:val="en-US" w:eastAsia="zh-CN" w:bidi="ar-SA"/>
    </w:rPr>
  </w:style>
  <w:style w:type="character" w:customStyle="1" w:styleId="138">
    <w:name w:val="纯文本 Char2"/>
    <w:semiHidden/>
    <w:qFormat/>
    <w:uiPriority w:val="99"/>
    <w:rPr>
      <w:rFonts w:ascii="宋体" w:hAnsi="Courier New" w:eastAsia="宋体" w:cs="Courier New"/>
    </w:rPr>
  </w:style>
  <w:style w:type="character" w:customStyle="1" w:styleId="139">
    <w:name w:val="批注框文本 字符"/>
    <w:qFormat/>
    <w:uiPriority w:val="0"/>
    <w:rPr>
      <w:rFonts w:ascii="Arial" w:hAnsi="Arial" w:eastAsia="黑体" w:cs="Arial"/>
      <w:snapToGrid w:val="0"/>
      <w:kern w:val="0"/>
      <w:sz w:val="18"/>
      <w:szCs w:val="18"/>
    </w:rPr>
  </w:style>
  <w:style w:type="character" w:customStyle="1" w:styleId="140">
    <w:name w:val="Char Char23"/>
    <w:qFormat/>
    <w:uiPriority w:val="6"/>
    <w:rPr>
      <w:color w:val="0000FF"/>
      <w:sz w:val="21"/>
    </w:rPr>
  </w:style>
  <w:style w:type="character" w:customStyle="1" w:styleId="141">
    <w:name w:val="Used by Word for text of Help footnotes Char Char1"/>
    <w:qFormat/>
    <w:uiPriority w:val="0"/>
    <w:rPr>
      <w:color w:val="0000FF"/>
      <w:sz w:val="21"/>
    </w:rPr>
  </w:style>
  <w:style w:type="character" w:customStyle="1" w:styleId="142">
    <w:name w:val="Char Char9"/>
    <w:qFormat/>
    <w:uiPriority w:val="0"/>
    <w:rPr>
      <w:rFonts w:eastAsia="宋体"/>
      <w:kern w:val="2"/>
      <w:sz w:val="18"/>
      <w:szCs w:val="18"/>
      <w:lang w:val="en-US" w:eastAsia="zh-CN" w:bidi="ar-SA"/>
    </w:rPr>
  </w:style>
  <w:style w:type="character" w:customStyle="1" w:styleId="143">
    <w:name w:val="my正文 Char"/>
    <w:link w:val="144"/>
    <w:qFormat/>
    <w:locked/>
    <w:uiPriority w:val="0"/>
    <w:rPr>
      <w:rFonts w:ascii="Tahoma" w:hAnsi="Tahoma"/>
      <w:sz w:val="24"/>
      <w:szCs w:val="24"/>
    </w:rPr>
  </w:style>
  <w:style w:type="paragraph" w:customStyle="1" w:styleId="144">
    <w:name w:val="my正文"/>
    <w:basedOn w:val="1"/>
    <w:link w:val="143"/>
    <w:qFormat/>
    <w:uiPriority w:val="0"/>
    <w:pPr>
      <w:adjustRightInd/>
      <w:spacing w:line="360" w:lineRule="auto"/>
      <w:ind w:firstLine="480" w:firstLineChars="200"/>
    </w:pPr>
    <w:rPr>
      <w:rFonts w:ascii="Tahoma" w:hAnsi="Tahoma"/>
      <w:kern w:val="0"/>
      <w:sz w:val="24"/>
    </w:rPr>
  </w:style>
  <w:style w:type="character" w:customStyle="1" w:styleId="145">
    <w:name w:val="highlight1"/>
    <w:qFormat/>
    <w:uiPriority w:val="0"/>
    <w:rPr>
      <w:rFonts w:ascii="仿宋_GB2312" w:eastAsia="微软雅黑"/>
      <w:b/>
      <w:kern w:val="2"/>
      <w:sz w:val="23"/>
      <w:szCs w:val="23"/>
      <w:lang w:val="en-US" w:eastAsia="zh-CN" w:bidi="ar-SA"/>
    </w:rPr>
  </w:style>
  <w:style w:type="character" w:customStyle="1" w:styleId="146">
    <w:name w:val="zbggtop11 style5"/>
    <w:qFormat/>
    <w:uiPriority w:val="0"/>
    <w:rPr>
      <w:rFonts w:ascii="Arial" w:hAnsi="Arial" w:eastAsia="黑体" w:cs="Arial"/>
      <w:snapToGrid w:val="0"/>
      <w:kern w:val="0"/>
      <w:szCs w:val="21"/>
    </w:rPr>
  </w:style>
  <w:style w:type="character" w:customStyle="1" w:styleId="147">
    <w:name w:val="pt141"/>
    <w:qFormat/>
    <w:uiPriority w:val="0"/>
    <w:rPr>
      <w:color w:val="330066"/>
      <w:sz w:val="22"/>
      <w:szCs w:val="22"/>
    </w:rPr>
  </w:style>
  <w:style w:type="character" w:customStyle="1" w:styleId="148">
    <w:name w:val="Char Char22"/>
    <w:qFormat/>
    <w:uiPriority w:val="6"/>
    <w:rPr>
      <w:rFonts w:ascii="宋体" w:hAnsi="宋体"/>
      <w:kern w:val="1"/>
      <w:sz w:val="24"/>
      <w:szCs w:val="24"/>
    </w:rPr>
  </w:style>
  <w:style w:type="character" w:customStyle="1" w:styleId="149">
    <w:name w:val="批注文字 Char"/>
    <w:qFormat/>
    <w:uiPriority w:val="99"/>
    <w:rPr>
      <w:kern w:val="2"/>
      <w:sz w:val="21"/>
      <w:szCs w:val="24"/>
    </w:rPr>
  </w:style>
  <w:style w:type="character" w:customStyle="1" w:styleId="150">
    <w:name w:val="Table Text Char1"/>
    <w:qFormat/>
    <w:uiPriority w:val="0"/>
    <w:rPr>
      <w:rFonts w:eastAsia="宋体"/>
      <w:sz w:val="24"/>
      <w:szCs w:val="24"/>
      <w:lang w:val="en-US" w:eastAsia="zh-CN" w:bidi="ar-SA"/>
    </w:rPr>
  </w:style>
  <w:style w:type="character" w:customStyle="1" w:styleId="151">
    <w:name w:val="Char Char61"/>
    <w:qFormat/>
    <w:uiPriority w:val="6"/>
    <w:rPr>
      <w:rFonts w:eastAsia="宋体"/>
      <w:kern w:val="2"/>
      <w:sz w:val="21"/>
      <w:szCs w:val="24"/>
      <w:lang w:val="en-US" w:eastAsia="zh-CN" w:bidi="ar-SA"/>
    </w:rPr>
  </w:style>
  <w:style w:type="character" w:customStyle="1" w:styleId="152">
    <w:name w:val="签名 Char1"/>
    <w:qFormat/>
    <w:uiPriority w:val="0"/>
    <w:rPr>
      <w:rFonts w:ascii="Times New Roman" w:hAnsi="Times New Roman" w:eastAsia="宋体" w:cs="Times New Roman"/>
      <w:szCs w:val="24"/>
    </w:rPr>
  </w:style>
  <w:style w:type="character" w:customStyle="1" w:styleId="153">
    <w:name w:val="param-name"/>
    <w:qFormat/>
    <w:uiPriority w:val="99"/>
    <w:rPr>
      <w:rFonts w:ascii="Arial" w:hAnsi="Arial" w:eastAsia="黑体" w:cs="Arial"/>
      <w:snapToGrid w:val="0"/>
      <w:kern w:val="0"/>
      <w:szCs w:val="21"/>
    </w:rPr>
  </w:style>
  <w:style w:type="character" w:customStyle="1" w:styleId="154">
    <w:name w:val="shadow11"/>
    <w:qFormat/>
    <w:uiPriority w:val="0"/>
    <w:rPr>
      <w:color w:val="000000"/>
      <w:sz w:val="21"/>
    </w:rPr>
  </w:style>
  <w:style w:type="character" w:customStyle="1" w:styleId="155">
    <w:name w:val="Char Char10"/>
    <w:semiHidden/>
    <w:qFormat/>
    <w:uiPriority w:val="0"/>
    <w:rPr>
      <w:rFonts w:ascii="宋体" w:hAnsi="宋体"/>
      <w:kern w:val="2"/>
      <w:sz w:val="21"/>
      <w:szCs w:val="24"/>
      <w:lang w:val="en-US" w:eastAsia="zh-CN"/>
    </w:rPr>
  </w:style>
  <w:style w:type="character" w:customStyle="1" w:styleId="156">
    <w:name w:val="tw4winInternal"/>
    <w:qFormat/>
    <w:uiPriority w:val="0"/>
    <w:rPr>
      <w:rFonts w:ascii="Courier New" w:hAnsi="Courier New" w:cs="Courier New"/>
      <w:color w:val="FF0000"/>
      <w:lang w:val="en-US" w:eastAsia="zh-CN"/>
    </w:rPr>
  </w:style>
  <w:style w:type="character" w:customStyle="1" w:styleId="157">
    <w:name w:val="公文正文 Char Char"/>
    <w:link w:val="158"/>
    <w:qFormat/>
    <w:uiPriority w:val="0"/>
    <w:rPr>
      <w:rFonts w:ascii="仿宋_GB2312" w:eastAsia="仿宋_GB2312"/>
      <w:kern w:val="2"/>
      <w:sz w:val="24"/>
      <w:szCs w:val="24"/>
    </w:rPr>
  </w:style>
  <w:style w:type="paragraph" w:customStyle="1" w:styleId="158">
    <w:name w:val="公文正文"/>
    <w:basedOn w:val="1"/>
    <w:link w:val="157"/>
    <w:qFormat/>
    <w:uiPriority w:val="0"/>
    <w:pPr>
      <w:adjustRightInd/>
      <w:spacing w:before="156" w:line="360" w:lineRule="auto"/>
      <w:ind w:firstLine="360" w:firstLineChars="200"/>
    </w:pPr>
    <w:rPr>
      <w:rFonts w:ascii="仿宋_GB2312" w:eastAsia="仿宋_GB2312"/>
      <w:sz w:val="24"/>
    </w:rPr>
  </w:style>
  <w:style w:type="character" w:customStyle="1" w:styleId="159">
    <w:name w:val="正文文本 3 Char1"/>
    <w:semiHidden/>
    <w:qFormat/>
    <w:uiPriority w:val="99"/>
    <w:rPr>
      <w:rFonts w:ascii="Times New Roman" w:hAnsi="Times New Roman" w:eastAsia="宋体" w:cs="Times New Roman"/>
      <w:sz w:val="16"/>
      <w:szCs w:val="16"/>
    </w:rPr>
  </w:style>
  <w:style w:type="character" w:customStyle="1" w:styleId="160">
    <w:name w:val="zbggmain style9"/>
    <w:qFormat/>
    <w:uiPriority w:val="0"/>
  </w:style>
  <w:style w:type="character" w:customStyle="1" w:styleId="161">
    <w:name w:val="标题 4 字符"/>
    <w:qFormat/>
    <w:uiPriority w:val="9"/>
    <w:rPr>
      <w:rFonts w:ascii="等线 Light" w:hAnsi="等线 Light" w:eastAsia="等线 Light" w:cs="Times New Roman"/>
      <w:b/>
      <w:bCs/>
      <w:snapToGrid w:val="0"/>
      <w:kern w:val="0"/>
      <w:sz w:val="28"/>
      <w:szCs w:val="28"/>
    </w:rPr>
  </w:style>
  <w:style w:type="character" w:customStyle="1" w:styleId="162">
    <w:name w:val="hui3"/>
    <w:qFormat/>
    <w:uiPriority w:val="0"/>
    <w:rPr>
      <w:color w:val="333333"/>
    </w:rPr>
  </w:style>
  <w:style w:type="character" w:customStyle="1" w:styleId="163">
    <w:name w:val="正文文本缩进 Char2"/>
    <w:qFormat/>
    <w:uiPriority w:val="0"/>
    <w:rPr>
      <w:rFonts w:ascii="Times New Roman" w:hAnsi="Times New Roman" w:eastAsia="宋体" w:cs="Times New Roman"/>
      <w:snapToGrid w:val="0"/>
      <w:kern w:val="0"/>
      <w:szCs w:val="24"/>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h Char Char"/>
    <w:qFormat/>
    <w:uiPriority w:val="0"/>
    <w:rPr>
      <w:rFonts w:eastAsia="宋体"/>
      <w:kern w:val="2"/>
      <w:sz w:val="18"/>
      <w:lang w:val="en-US" w:eastAsia="zh-CN" w:bidi="ar-SA"/>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标书表格字体格式 Char"/>
    <w:qFormat/>
    <w:uiPriority w:val="0"/>
    <w:rPr>
      <w:kern w:val="2"/>
      <w:sz w:val="21"/>
      <w:szCs w:val="24"/>
      <w:lang w:bidi="ar-SA"/>
    </w:rPr>
  </w:style>
  <w:style w:type="character" w:customStyle="1" w:styleId="168">
    <w:name w:val="正文（绿盟科技） Char"/>
    <w:link w:val="169"/>
    <w:qFormat/>
    <w:uiPriority w:val="0"/>
    <w:rPr>
      <w:rFonts w:ascii="Arial" w:hAnsi="Arial"/>
      <w:sz w:val="21"/>
      <w:szCs w:val="21"/>
      <w:lang w:val="en-US" w:eastAsia="zh-CN" w:bidi="ar-SA"/>
    </w:rPr>
  </w:style>
  <w:style w:type="paragraph" w:customStyle="1" w:styleId="169">
    <w:name w:val="正文（绿盟科技）"/>
    <w:link w:val="168"/>
    <w:qFormat/>
    <w:uiPriority w:val="0"/>
    <w:pPr>
      <w:spacing w:line="300" w:lineRule="auto"/>
    </w:pPr>
    <w:rPr>
      <w:rFonts w:ascii="Arial" w:hAnsi="Arial"/>
      <w:sz w:val="21"/>
      <w:szCs w:val="21"/>
      <w:lang w:val="en-US" w:eastAsia="zh-CN" w:bidi="ar-SA"/>
    </w:rPr>
  </w:style>
  <w:style w:type="character" w:customStyle="1" w:styleId="170">
    <w:name w:val="Char Char13"/>
    <w:qFormat/>
    <w:uiPriority w:val="6"/>
    <w:rPr>
      <w:rFonts w:ascii="宋体" w:hAnsi="宋体"/>
      <w:kern w:val="1"/>
      <w:sz w:val="21"/>
      <w:szCs w:val="24"/>
    </w:rPr>
  </w:style>
  <w:style w:type="character" w:customStyle="1" w:styleId="171">
    <w:name w:val="未用 Char"/>
    <w:qFormat/>
    <w:uiPriority w:val="0"/>
    <w:rPr>
      <w:rFonts w:ascii="Arial" w:hAnsi="Arial" w:eastAsia="黑体"/>
      <w:kern w:val="2"/>
      <w:sz w:val="21"/>
      <w:szCs w:val="21"/>
      <w:lang w:val="en-US" w:eastAsia="zh-CN" w:bidi="ar-SA"/>
    </w:rPr>
  </w:style>
  <w:style w:type="character" w:customStyle="1" w:styleId="172">
    <w:name w:val="样式 正文缩进 + 首行缩进:  2 字符 Char Char"/>
    <w:link w:val="173"/>
    <w:qFormat/>
    <w:uiPriority w:val="0"/>
    <w:rPr>
      <w:rFonts w:cs="宋体"/>
      <w:kern w:val="2"/>
      <w:sz w:val="24"/>
    </w:rPr>
  </w:style>
  <w:style w:type="paragraph" w:customStyle="1" w:styleId="173">
    <w:name w:val="样式 正文缩进 + 首行缩进:  2 字符"/>
    <w:basedOn w:val="15"/>
    <w:link w:val="172"/>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174">
    <w:name w:val="px14"/>
    <w:qFormat/>
    <w:uiPriority w:val="0"/>
    <w:rPr>
      <w:rFonts w:ascii="仿宋_GB2312" w:eastAsia="微软雅黑" w:cs="Times New Roman"/>
      <w:b/>
      <w:kern w:val="2"/>
      <w:sz w:val="32"/>
      <w:szCs w:val="32"/>
      <w:lang w:val="en-US" w:eastAsia="zh-CN" w:bidi="ar-SA"/>
    </w:rPr>
  </w:style>
  <w:style w:type="character" w:customStyle="1" w:styleId="175">
    <w:name w:val="h Char Char1"/>
    <w:qFormat/>
    <w:uiPriority w:val="0"/>
    <w:rPr>
      <w:rFonts w:eastAsia="宋体"/>
      <w:kern w:val="2"/>
      <w:sz w:val="18"/>
      <w:szCs w:val="18"/>
      <w:lang w:val="en-US" w:eastAsia="zh-CN" w:bidi="ar-SA"/>
    </w:rPr>
  </w:style>
  <w:style w:type="character" w:customStyle="1" w:styleId="176">
    <w:name w:val="正文 项目 Char"/>
    <w:qFormat/>
    <w:uiPriority w:val="0"/>
    <w:rPr>
      <w:rFonts w:ascii="仿宋_GB2312" w:hAnsi="仿宋_GB2312" w:eastAsia="仿宋_GB2312"/>
      <w:kern w:val="2"/>
      <w:sz w:val="24"/>
      <w:lang w:bidi="ar-SA"/>
    </w:rPr>
  </w:style>
  <w:style w:type="character" w:customStyle="1" w:styleId="177">
    <w:name w:val="普通文字 Char1"/>
    <w:qFormat/>
    <w:uiPriority w:val="0"/>
    <w:rPr>
      <w:rFonts w:ascii="宋体" w:hAnsi="Courier New" w:eastAsia="宋体"/>
      <w:kern w:val="2"/>
      <w:sz w:val="21"/>
      <w:lang w:val="en-US" w:eastAsia="zh-CN"/>
    </w:rPr>
  </w:style>
  <w:style w:type="character" w:customStyle="1" w:styleId="178">
    <w:name w:val="正文 项目2 Char"/>
    <w:qFormat/>
    <w:uiPriority w:val="0"/>
    <w:rPr>
      <w:rFonts w:ascii="仿宋_GB2312" w:hAnsi="仿宋_GB2312" w:eastAsia="仿宋_GB2312"/>
      <w:kern w:val="2"/>
      <w:sz w:val="24"/>
      <w:lang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font41"/>
    <w:qFormat/>
    <w:uiPriority w:val="0"/>
    <w:rPr>
      <w:rFonts w:hint="eastAsia" w:ascii="仿宋_GB2312" w:eastAsia="仿宋_GB2312" w:cs="仿宋_GB2312"/>
      <w:color w:val="000000"/>
      <w:sz w:val="22"/>
      <w:szCs w:val="22"/>
      <w:u w:val="none"/>
    </w:rPr>
  </w:style>
  <w:style w:type="character" w:customStyle="1" w:styleId="181">
    <w:name w:val="Char Char7"/>
    <w:semiHidden/>
    <w:qFormat/>
    <w:uiPriority w:val="0"/>
    <w:rPr>
      <w:rFonts w:eastAsia="宋体"/>
      <w:kern w:val="2"/>
      <w:sz w:val="21"/>
      <w:szCs w:val="24"/>
      <w:lang w:val="en-US" w:eastAsia="zh-CN" w:bidi="ar-SA"/>
    </w:rPr>
  </w:style>
  <w:style w:type="character" w:customStyle="1" w:styleId="182">
    <w:name w:val="No Spacing Char"/>
    <w:link w:val="183"/>
    <w:qFormat/>
    <w:uiPriority w:val="1"/>
    <w:rPr>
      <w:sz w:val="22"/>
      <w:szCs w:val="22"/>
      <w:lang w:val="en-US" w:eastAsia="zh-CN" w:bidi="ar-SA"/>
    </w:rPr>
  </w:style>
  <w:style w:type="paragraph" w:customStyle="1" w:styleId="183">
    <w:name w:val="无间隔1"/>
    <w:link w:val="182"/>
    <w:qFormat/>
    <w:uiPriority w:val="1"/>
    <w:rPr>
      <w:sz w:val="22"/>
      <w:szCs w:val="22"/>
      <w:lang w:val="en-US" w:eastAsia="zh-CN" w:bidi="ar-SA"/>
    </w:rPr>
  </w:style>
  <w:style w:type="character" w:customStyle="1" w:styleId="184">
    <w:name w:val="正文文本缩进 Char1"/>
    <w:qFormat/>
    <w:uiPriority w:val="0"/>
    <w:rPr>
      <w:rFonts w:ascii="Calibri" w:hAnsi="Calibri"/>
      <w:sz w:val="28"/>
    </w:rPr>
  </w:style>
  <w:style w:type="character" w:customStyle="1" w:styleId="185">
    <w:name w:val="普通文字 Char1 Char"/>
    <w:qFormat/>
    <w:uiPriority w:val="0"/>
    <w:rPr>
      <w:rFonts w:ascii="宋体" w:hAnsi="Courier New" w:eastAsia="宋体"/>
      <w:kern w:val="2"/>
      <w:sz w:val="21"/>
      <w:szCs w:val="24"/>
      <w:lang w:val="en-US" w:eastAsia="zh-CN" w:bidi="ar-SA"/>
    </w:rPr>
  </w:style>
  <w:style w:type="character" w:customStyle="1" w:styleId="186">
    <w:name w:val="Char Char24"/>
    <w:qFormat/>
    <w:uiPriority w:val="6"/>
    <w:rPr>
      <w:kern w:val="1"/>
      <w:sz w:val="21"/>
    </w:rPr>
  </w:style>
  <w:style w:type="character" w:customStyle="1" w:styleId="187">
    <w:name w:val="blue1"/>
    <w:qFormat/>
    <w:uiPriority w:val="0"/>
    <w:rPr>
      <w:rFonts w:ascii="Arial" w:hAnsi="Arial" w:eastAsia="黑体" w:cs="Arial"/>
      <w:snapToGrid w:val="0"/>
      <w:kern w:val="0"/>
      <w:szCs w:val="21"/>
    </w:rPr>
  </w:style>
  <w:style w:type="character" w:customStyle="1" w:styleId="188">
    <w:name w:val="font11"/>
    <w:qFormat/>
    <w:uiPriority w:val="0"/>
    <w:rPr>
      <w:rFonts w:hint="default" w:ascii="Times New Roman" w:hAnsi="Times New Roman" w:cs="Times New Roman"/>
      <w:color w:val="000000"/>
      <w:sz w:val="22"/>
      <w:szCs w:val="22"/>
      <w:u w:val="none"/>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Char Char14"/>
    <w:qFormat/>
    <w:uiPriority w:val="6"/>
    <w:rPr>
      <w:rFonts w:ascii="黑体" w:hAnsi="黑体" w:eastAsia="黑体"/>
    </w:rPr>
  </w:style>
  <w:style w:type="character" w:customStyle="1" w:styleId="191">
    <w:name w:val="Char Char25"/>
    <w:qFormat/>
    <w:uiPriority w:val="6"/>
    <w:rPr>
      <w:rFonts w:ascii="宋体" w:hAnsi="宋体"/>
      <w:kern w:val="1"/>
      <w:sz w:val="24"/>
      <w:lang w:val="zh-CN"/>
    </w:rPr>
  </w:style>
  <w:style w:type="character" w:customStyle="1" w:styleId="192">
    <w:name w:val="样式6 Char"/>
    <w:qFormat/>
    <w:uiPriority w:val="0"/>
    <w:rPr>
      <w:rFonts w:ascii="仿宋_GB2312" w:hAnsi="宋体" w:eastAsia="仿宋_GB2312"/>
      <w:b/>
      <w:bCs/>
      <w:kern w:val="2"/>
      <w:sz w:val="24"/>
      <w:szCs w:val="24"/>
      <w:lang w:val="en-US" w:eastAsia="zh-CN" w:bidi="ar-SA"/>
    </w:rPr>
  </w:style>
  <w:style w:type="character" w:customStyle="1" w:styleId="193">
    <w:name w:val="标题 3 字符"/>
    <w:qFormat/>
    <w:uiPriority w:val="9"/>
    <w:rPr>
      <w:b/>
      <w:bCs/>
      <w:kern w:val="2"/>
      <w:sz w:val="32"/>
      <w:szCs w:val="32"/>
    </w:rPr>
  </w:style>
  <w:style w:type="character" w:customStyle="1" w:styleId="194">
    <w:name w:val="Char Char101"/>
    <w:qFormat/>
    <w:uiPriority w:val="6"/>
    <w:rPr>
      <w:rFonts w:ascii="宋体" w:hAnsi="宋体"/>
      <w:kern w:val="2"/>
      <w:sz w:val="21"/>
      <w:szCs w:val="24"/>
      <w:lang w:val="en-US" w:eastAsia="zh-CN"/>
    </w:rPr>
  </w:style>
  <w:style w:type="character" w:customStyle="1" w:styleId="195">
    <w:name w:val="PI Char1"/>
    <w:qFormat/>
    <w:uiPriority w:val="0"/>
    <w:rPr>
      <w:rFonts w:ascii="宋体" w:hAnsi="宋体"/>
      <w:kern w:val="2"/>
      <w:sz w:val="24"/>
      <w:szCs w:val="24"/>
    </w:rPr>
  </w:style>
  <w:style w:type="character" w:customStyle="1" w:styleId="19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97">
    <w:name w:val="Char Char51"/>
    <w:qFormat/>
    <w:uiPriority w:val="0"/>
    <w:rPr>
      <w:rFonts w:ascii="宋体" w:hAnsi="Courier New" w:eastAsia="宋体"/>
      <w:kern w:val="2"/>
      <w:sz w:val="21"/>
      <w:lang w:val="en-US" w:eastAsia="zh-CN"/>
    </w:rPr>
  </w:style>
  <w:style w:type="character" w:customStyle="1" w:styleId="198">
    <w:name w:val="Char Char82"/>
    <w:qFormat/>
    <w:uiPriority w:val="0"/>
    <w:rPr>
      <w:rFonts w:eastAsia="宋体"/>
      <w:b/>
      <w:sz w:val="24"/>
      <w:lang w:eastAsia="zh-CN"/>
    </w:rPr>
  </w:style>
  <w:style w:type="character" w:customStyle="1" w:styleId="199">
    <w:name w:val="HTML 地址 Char1"/>
    <w:qFormat/>
    <w:uiPriority w:val="0"/>
    <w:rPr>
      <w:rFonts w:ascii="Times New Roman" w:hAnsi="Times New Roman" w:eastAsia="宋体" w:cs="Times New Roman"/>
      <w:i/>
      <w:iCs/>
      <w:szCs w:val="24"/>
    </w:rPr>
  </w:style>
  <w:style w:type="character" w:customStyle="1" w:styleId="200">
    <w:name w:val="Heading 1 Char"/>
    <w:qFormat/>
    <w:uiPriority w:val="6"/>
    <w:rPr>
      <w:rFonts w:ascii="Times New Roman" w:hAnsi="Times New Roman" w:eastAsia="黑体" w:cs="Times New Roman"/>
      <w:b/>
      <w:kern w:val="0"/>
      <w:sz w:val="24"/>
      <w:szCs w:val="24"/>
    </w:rPr>
  </w:style>
  <w:style w:type="character" w:customStyle="1" w:styleId="201">
    <w:name w:val="Char Char28"/>
    <w:qFormat/>
    <w:uiPriority w:val="6"/>
    <w:rPr>
      <w:rFonts w:ascii="仿宋_GB2312" w:hAnsi="仿宋_GB2312" w:eastAsia="仿宋_GB2312"/>
      <w:kern w:val="1"/>
      <w:sz w:val="28"/>
    </w:rPr>
  </w:style>
  <w:style w:type="character" w:customStyle="1" w:styleId="202">
    <w:name w:val="表格非标题文字 Char"/>
    <w:link w:val="203"/>
    <w:qFormat/>
    <w:uiPriority w:val="0"/>
    <w:rPr>
      <w:rFonts w:ascii="Futura Bk" w:hAnsi="Futura Bk"/>
      <w:kern w:val="2"/>
      <w:sz w:val="18"/>
      <w:szCs w:val="21"/>
      <w:lang w:val="en-US" w:eastAsia="zh-CN" w:bidi="ar-SA"/>
    </w:rPr>
  </w:style>
  <w:style w:type="paragraph" w:customStyle="1" w:styleId="203">
    <w:name w:val="表格非标题文字"/>
    <w:link w:val="202"/>
    <w:qFormat/>
    <w:uiPriority w:val="0"/>
    <w:pPr>
      <w:snapToGrid w:val="0"/>
      <w:spacing w:before="80" w:after="40"/>
    </w:pPr>
    <w:rPr>
      <w:rFonts w:ascii="Futura Bk" w:hAnsi="Futura Bk"/>
      <w:kern w:val="2"/>
      <w:sz w:val="18"/>
      <w:szCs w:val="21"/>
      <w:lang w:val="en-US" w:eastAsia="zh-CN" w:bidi="ar-SA"/>
    </w:rPr>
  </w:style>
  <w:style w:type="character" w:customStyle="1" w:styleId="204">
    <w:name w:val="标题 4 Char"/>
    <w:qFormat/>
    <w:uiPriority w:val="0"/>
    <w:rPr>
      <w:rFonts w:ascii="Arial" w:hAnsi="Arial" w:eastAsia="黑体"/>
      <w:b/>
      <w:kern w:val="2"/>
      <w:sz w:val="28"/>
    </w:rPr>
  </w:style>
  <w:style w:type="character" w:customStyle="1" w:styleId="205">
    <w:name w:val="正文样式 Char"/>
    <w:link w:val="206"/>
    <w:qFormat/>
    <w:uiPriority w:val="0"/>
    <w:rPr>
      <w:rFonts w:ascii="Calibri" w:hAnsi="Calibri"/>
      <w:sz w:val="24"/>
      <w:szCs w:val="24"/>
    </w:rPr>
  </w:style>
  <w:style w:type="paragraph" w:customStyle="1" w:styleId="206">
    <w:name w:val="正文样式"/>
    <w:basedOn w:val="1"/>
    <w:link w:val="205"/>
    <w:qFormat/>
    <w:uiPriority w:val="0"/>
    <w:pPr>
      <w:adjustRightInd/>
      <w:spacing w:line="360" w:lineRule="auto"/>
      <w:ind w:firstLine="480" w:firstLineChars="200"/>
    </w:pPr>
    <w:rPr>
      <w:rFonts w:ascii="Calibri" w:hAnsi="Calibri"/>
      <w:kern w:val="0"/>
      <w:sz w:val="24"/>
    </w:rPr>
  </w:style>
  <w:style w:type="character" w:customStyle="1" w:styleId="207">
    <w:name w:val="首行缩进 Char"/>
    <w:qFormat/>
    <w:uiPriority w:val="0"/>
    <w:rPr>
      <w:rFonts w:ascii="宋体" w:eastAsia="宋体"/>
      <w:kern w:val="2"/>
      <w:sz w:val="24"/>
      <w:lang w:val="en-US" w:eastAsia="zh-CN" w:bidi="ar-SA"/>
    </w:rPr>
  </w:style>
  <w:style w:type="character" w:customStyle="1" w:styleId="208">
    <w:name w:val="mdeck"/>
    <w:qFormat/>
    <w:uiPriority w:val="0"/>
    <w:rPr>
      <w:rFonts w:ascii="仿宋_GB2312" w:eastAsia="微软雅黑"/>
      <w:b/>
      <w:kern w:val="2"/>
      <w:sz w:val="32"/>
      <w:szCs w:val="32"/>
      <w:lang w:val="en-US" w:eastAsia="zh-CN" w:bidi="ar-SA"/>
    </w:rPr>
  </w:style>
  <w:style w:type="character" w:customStyle="1" w:styleId="209">
    <w:name w:val="页脚 字符1"/>
    <w:qFormat/>
    <w:locked/>
    <w:uiPriority w:val="99"/>
    <w:rPr>
      <w:kern w:val="2"/>
      <w:sz w:val="18"/>
      <w:szCs w:val="18"/>
    </w:rPr>
  </w:style>
  <w:style w:type="character" w:customStyle="1" w:styleId="210">
    <w:name w:val="unnamed11"/>
    <w:qFormat/>
    <w:uiPriority w:val="0"/>
    <w:rPr>
      <w:sz w:val="20"/>
      <w:szCs w:val="20"/>
    </w:rPr>
  </w:style>
  <w:style w:type="character" w:customStyle="1" w:styleId="211">
    <w:name w:val="交叉引用"/>
    <w:qFormat/>
    <w:uiPriority w:val="1"/>
    <w:rPr>
      <w:rFonts w:ascii="Arial" w:hAnsi="Arial" w:eastAsia="黑体"/>
      <w:snapToGrid w:val="0"/>
      <w:color w:val="0000FF"/>
      <w:kern w:val="0"/>
      <w:sz w:val="20"/>
      <w:szCs w:val="21"/>
      <w:u w:val="single"/>
      <w:lang w:val="en-US" w:eastAsia="zh-CN"/>
    </w:rPr>
  </w:style>
  <w:style w:type="character" w:customStyle="1" w:styleId="21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3">
    <w:name w:val="Char Char20"/>
    <w:qFormat/>
    <w:uiPriority w:val="6"/>
    <w:rPr>
      <w:kern w:val="1"/>
      <w:sz w:val="24"/>
    </w:rPr>
  </w:style>
  <w:style w:type="character" w:customStyle="1" w:styleId="214">
    <w:name w:val="方案正文 Char"/>
    <w:qFormat/>
    <w:uiPriority w:val="0"/>
    <w:rPr>
      <w:rFonts w:ascii="仿宋_GB2312" w:eastAsia="仿宋_GB2312"/>
      <w:b/>
      <w:color w:val="000000"/>
      <w:kern w:val="2"/>
      <w:sz w:val="24"/>
      <w:lang w:val="en-US" w:eastAsia="zh-CN" w:bidi="ar-SA"/>
    </w:rPr>
  </w:style>
  <w:style w:type="character" w:customStyle="1" w:styleId="215">
    <w:name w:val="15"/>
    <w:qFormat/>
    <w:uiPriority w:val="0"/>
    <w:rPr>
      <w:rFonts w:hint="default" w:ascii="Calibri" w:hAnsi="Calibri"/>
      <w:color w:val="0000FF"/>
      <w:u w:val="single"/>
    </w:rPr>
  </w:style>
  <w:style w:type="character" w:customStyle="1" w:styleId="216">
    <w:name w:val="Char Char36"/>
    <w:qFormat/>
    <w:uiPriority w:val="6"/>
    <w:rPr>
      <w:rFonts w:ascii="仿宋_GB2312" w:hAnsi="仿宋_GB2312" w:eastAsia="仿宋_GB2312" w:cs="Arial"/>
      <w:b/>
      <w:kern w:val="1"/>
      <w:sz w:val="32"/>
      <w:szCs w:val="32"/>
      <w:lang w:val="zh-CN" w:eastAsia="zh-CN" w:bidi="ar-SA"/>
    </w:rPr>
  </w:style>
  <w:style w:type="character" w:customStyle="1" w:styleId="217">
    <w:name w:val="正文缩进 Char3"/>
    <w:qFormat/>
    <w:uiPriority w:val="0"/>
    <w:rPr>
      <w:rFonts w:ascii="宋体" w:eastAsia="宋体"/>
      <w:snapToGrid w:val="0"/>
      <w:color w:val="000000"/>
      <w:kern w:val="28"/>
      <w:sz w:val="28"/>
      <w:lang w:val="en-US" w:eastAsia="zh-CN" w:bidi="ar-SA"/>
    </w:rPr>
  </w:style>
  <w:style w:type="character" w:customStyle="1" w:styleId="218">
    <w:name w:val="DO_NOT_TRANSLATE"/>
    <w:qFormat/>
    <w:uiPriority w:val="0"/>
    <w:rPr>
      <w:rFonts w:ascii="Courier New" w:hAnsi="Courier New" w:cs="Courier New"/>
      <w:color w:val="800000"/>
      <w:lang w:val="en-US" w:eastAsia="zh-CN"/>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批注文字 字符"/>
    <w:qFormat/>
    <w:uiPriority w:val="0"/>
    <w:rPr>
      <w:rFonts w:ascii="Arial" w:hAnsi="Arial" w:eastAsia="黑体" w:cs="Arial"/>
      <w:snapToGrid w:val="0"/>
      <w:kern w:val="0"/>
      <w:szCs w:val="21"/>
    </w:rPr>
  </w:style>
  <w:style w:type="character" w:customStyle="1" w:styleId="221">
    <w:name w:val="font51"/>
    <w:qFormat/>
    <w:uiPriority w:val="0"/>
    <w:rPr>
      <w:rFonts w:hint="eastAsia" w:ascii="仿宋" w:hAnsi="仿宋" w:eastAsia="仿宋" w:cs="仿宋"/>
      <w:color w:val="000000"/>
      <w:sz w:val="20"/>
      <w:szCs w:val="20"/>
      <w:u w:val="none"/>
    </w:rPr>
  </w:style>
  <w:style w:type="character" w:customStyle="1" w:styleId="222">
    <w:name w:val="列表段落 字符"/>
    <w:qFormat/>
    <w:uiPriority w:val="99"/>
  </w:style>
  <w:style w:type="character" w:customStyle="1" w:styleId="223">
    <w:name w:val="font01"/>
    <w:qFormat/>
    <w:uiPriority w:val="0"/>
    <w:rPr>
      <w:rFonts w:hint="eastAsia" w:ascii="微软雅黑" w:hAnsi="微软雅黑" w:eastAsia="微软雅黑" w:cs="微软雅黑"/>
      <w:color w:val="000000"/>
      <w:sz w:val="20"/>
      <w:szCs w:val="20"/>
      <w:u w:val="none"/>
    </w:rPr>
  </w:style>
  <w:style w:type="character" w:customStyle="1" w:styleId="224">
    <w:name w:val="Ò³Ã¼ Char Char1"/>
    <w:qFormat/>
    <w:uiPriority w:val="0"/>
    <w:rPr>
      <w:rFonts w:eastAsia="宋体"/>
      <w:kern w:val="2"/>
      <w:sz w:val="18"/>
      <w:szCs w:val="18"/>
      <w:lang w:val="en-US" w:eastAsia="zh-CN" w:bidi="ar-SA"/>
    </w:rPr>
  </w:style>
  <w:style w:type="character" w:customStyle="1" w:styleId="225">
    <w:name w:val="哈哈正文 Char Char"/>
    <w:qFormat/>
    <w:uiPriority w:val="0"/>
    <w:rPr>
      <w:rFonts w:ascii="宋体" w:hAnsi="宋体" w:eastAsia="宋体" w:cs="宋体"/>
      <w:kern w:val="2"/>
      <w:sz w:val="24"/>
      <w:lang w:val="en-US" w:eastAsia="zh-CN" w:bidi="ar-SA"/>
    </w:rPr>
  </w:style>
  <w:style w:type="character" w:customStyle="1" w:styleId="226">
    <w:name w:val="gf正文1 Char Char"/>
    <w:link w:val="227"/>
    <w:qFormat/>
    <w:uiPriority w:val="0"/>
    <w:rPr>
      <w:rFonts w:ascii="宋体" w:hAnsi="宋体" w:cs="宋体"/>
      <w:kern w:val="2"/>
      <w:sz w:val="24"/>
      <w:szCs w:val="24"/>
    </w:rPr>
  </w:style>
  <w:style w:type="paragraph" w:customStyle="1" w:styleId="227">
    <w:name w:val="gf正文1"/>
    <w:basedOn w:val="1"/>
    <w:link w:val="22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28">
    <w:name w:val="big1"/>
    <w:qFormat/>
    <w:uiPriority w:val="0"/>
    <w:rPr>
      <w:rFonts w:hint="eastAsia" w:ascii="宋体" w:hAnsi="宋体" w:eastAsia="宋体"/>
      <w:color w:val="333333"/>
      <w:sz w:val="22"/>
      <w:szCs w:val="22"/>
    </w:rPr>
  </w:style>
  <w:style w:type="character" w:customStyle="1" w:styleId="229">
    <w:name w:val="列出段落 Char1"/>
    <w:link w:val="230"/>
    <w:qFormat/>
    <w:uiPriority w:val="0"/>
    <w:rPr>
      <w:rFonts w:ascii="Calibri" w:hAnsi="Calibri"/>
      <w:sz w:val="24"/>
      <w:lang w:eastAsia="en-US"/>
    </w:rPr>
  </w:style>
  <w:style w:type="paragraph" w:customStyle="1" w:styleId="230">
    <w:name w:val="列表1"/>
    <w:basedOn w:val="1"/>
    <w:next w:val="231"/>
    <w:link w:val="229"/>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231">
    <w:name w:val="List Paragraph"/>
    <w:basedOn w:val="1"/>
    <w:qFormat/>
    <w:uiPriority w:val="34"/>
    <w:pPr>
      <w:spacing w:line="360" w:lineRule="auto"/>
      <w:ind w:firstLine="200" w:firstLineChars="200"/>
    </w:pPr>
    <w:rPr>
      <w:rFonts w:eastAsia="楷体_GB2312" w:cs="Lucida Sans"/>
      <w:sz w:val="24"/>
    </w:rPr>
  </w:style>
  <w:style w:type="character" w:customStyle="1" w:styleId="232">
    <w:name w:val="标题 1 字符"/>
    <w:qFormat/>
    <w:uiPriority w:val="9"/>
    <w:rPr>
      <w:rFonts w:ascii="Arial" w:hAnsi="Arial" w:eastAsia="黑体" w:cs="Arial"/>
      <w:b/>
      <w:bCs/>
      <w:snapToGrid w:val="0"/>
      <w:kern w:val="44"/>
      <w:sz w:val="44"/>
      <w:szCs w:val="44"/>
    </w:rPr>
  </w:style>
  <w:style w:type="character" w:customStyle="1" w:styleId="233">
    <w:name w:val="列出段落 Char"/>
    <w:qFormat/>
    <w:uiPriority w:val="0"/>
    <w:rPr>
      <w:rFonts w:eastAsia="楷体_GB2312" w:cs="Lucida Sans"/>
      <w:kern w:val="2"/>
      <w:sz w:val="24"/>
      <w:szCs w:val="24"/>
      <w:lang w:val="en-US" w:eastAsia="zh-CN" w:bidi="ar-SA"/>
    </w:rPr>
  </w:style>
  <w:style w:type="character" w:customStyle="1" w:styleId="234">
    <w:name w:val="Char Char81"/>
    <w:qFormat/>
    <w:uiPriority w:val="6"/>
    <w:rPr>
      <w:rFonts w:eastAsia="宋体"/>
      <w:b/>
      <w:sz w:val="24"/>
      <w:lang w:eastAsia="zh-CN"/>
    </w:rPr>
  </w:style>
  <w:style w:type="character" w:customStyle="1" w:styleId="235">
    <w:name w:val="正文文本缩进 3 Char1"/>
    <w:semiHidden/>
    <w:qFormat/>
    <w:uiPriority w:val="99"/>
    <w:rPr>
      <w:rFonts w:ascii="Times New Roman" w:hAnsi="Times New Roman" w:eastAsia="宋体" w:cs="Times New Roman"/>
      <w:sz w:val="16"/>
      <w:szCs w:val="16"/>
    </w:rPr>
  </w:style>
  <w:style w:type="character" w:customStyle="1" w:styleId="236">
    <w:name w:val="H5 Char"/>
    <w:qFormat/>
    <w:uiPriority w:val="0"/>
    <w:rPr>
      <w:b/>
      <w:bCs/>
      <w:kern w:val="2"/>
      <w:sz w:val="28"/>
      <w:szCs w:val="28"/>
    </w:rPr>
  </w:style>
  <w:style w:type="character" w:customStyle="1" w:styleId="237">
    <w:name w:val="Bold"/>
    <w:qFormat/>
    <w:uiPriority w:val="0"/>
    <w:rPr>
      <w:rFonts w:ascii="Arial" w:hAnsi="Arial" w:eastAsia="黑体" w:cs="Times New Roman"/>
      <w:b/>
      <w:kern w:val="2"/>
      <w:sz w:val="32"/>
      <w:szCs w:val="32"/>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正文 编号 Char"/>
    <w:qFormat/>
    <w:uiPriority w:val="0"/>
    <w:rPr>
      <w:rFonts w:ascii="仿宋_GB2312" w:hAnsi="仿宋_GB2312" w:eastAsia="仿宋_GB2312"/>
      <w:kern w:val="2"/>
      <w:sz w:val="24"/>
      <w:lang w:bidi="ar-SA"/>
    </w:rPr>
  </w:style>
  <w:style w:type="character" w:customStyle="1" w:styleId="240">
    <w:name w:val="Char Char1211"/>
    <w:qFormat/>
    <w:uiPriority w:val="0"/>
    <w:rPr>
      <w:rFonts w:ascii="仿宋_GB2312" w:eastAsia="仿宋_GB2312"/>
      <w:b/>
      <w:bCs/>
      <w:kern w:val="2"/>
      <w:sz w:val="24"/>
      <w:szCs w:val="24"/>
      <w:lang w:val="zh-CN" w:eastAsia="zh-CN" w:bidi="ar-SA"/>
    </w:rPr>
  </w:style>
  <w:style w:type="character" w:customStyle="1" w:styleId="241">
    <w:name w:val="Normal Indent Char Char"/>
    <w:qFormat/>
    <w:uiPriority w:val="0"/>
    <w:rPr>
      <w:rFonts w:eastAsia="宋体"/>
      <w:kern w:val="2"/>
      <w:sz w:val="21"/>
      <w:lang w:val="en-US" w:eastAsia="zh-CN" w:bidi="ar-SA"/>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Char Char52"/>
    <w:qFormat/>
    <w:uiPriority w:val="0"/>
    <w:rPr>
      <w:rFonts w:ascii="宋体" w:hAnsi="Courier New" w:eastAsia="宋体"/>
      <w:kern w:val="2"/>
      <w:sz w:val="21"/>
      <w:lang w:val="en-US" w:eastAsia="zh-CN"/>
    </w:rPr>
  </w:style>
  <w:style w:type="character" w:customStyle="1" w:styleId="244">
    <w:name w:val="页眉 Char"/>
    <w:qFormat/>
    <w:uiPriority w:val="0"/>
    <w:rPr>
      <w:rFonts w:eastAsia="仿宋_GB2312"/>
      <w:kern w:val="2"/>
      <w:sz w:val="18"/>
      <w:lang w:val="en-US" w:eastAsia="zh-CN"/>
    </w:rPr>
  </w:style>
  <w:style w:type="character" w:customStyle="1" w:styleId="245">
    <w:name w:val="Char Char41"/>
    <w:qFormat/>
    <w:uiPriority w:val="0"/>
    <w:rPr>
      <w:rFonts w:eastAsia="宋体"/>
      <w:b/>
      <w:sz w:val="24"/>
      <w:lang w:eastAsia="zh-CN" w:bidi="ar-SA"/>
    </w:rPr>
  </w:style>
  <w:style w:type="character" w:customStyle="1" w:styleId="246">
    <w:name w:val="ksfind_class_select1"/>
    <w:qFormat/>
    <w:uiPriority w:val="0"/>
    <w:rPr>
      <w:color w:val="000000"/>
      <w:shd w:val="clear" w:color="auto" w:fill="EFD200"/>
    </w:rPr>
  </w:style>
  <w:style w:type="character" w:customStyle="1" w:styleId="247">
    <w:name w:val="Char Char411"/>
    <w:qFormat/>
    <w:uiPriority w:val="0"/>
    <w:rPr>
      <w:rFonts w:eastAsia="宋体"/>
      <w:b/>
      <w:sz w:val="24"/>
      <w:lang w:eastAsia="zh-CN" w:bidi="ar-SA"/>
    </w:rPr>
  </w:style>
  <w:style w:type="character" w:customStyle="1" w:styleId="248">
    <w:name w:val="edui-unclickable"/>
    <w:qFormat/>
    <w:uiPriority w:val="0"/>
    <w:rPr>
      <w:color w:val="808080"/>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PI Char"/>
    <w:qFormat/>
    <w:uiPriority w:val="0"/>
    <w:rPr>
      <w:rFonts w:ascii="宋体" w:hAnsi="宋体" w:eastAsia="宋体"/>
      <w:kern w:val="2"/>
      <w:sz w:val="24"/>
      <w:szCs w:val="24"/>
      <w:lang w:val="en-US" w:eastAsia="zh-CN" w:bidi="ar-SA"/>
    </w:rPr>
  </w:style>
  <w:style w:type="character" w:customStyle="1" w:styleId="251">
    <w:name w:val="font21"/>
    <w:qFormat/>
    <w:uiPriority w:val="0"/>
    <w:rPr>
      <w:rFonts w:hint="eastAsia" w:ascii="宋体" w:hAnsi="宋体" w:eastAsia="宋体"/>
      <w:kern w:val="2"/>
      <w:sz w:val="28"/>
      <w:szCs w:val="28"/>
      <w:lang w:val="en-US" w:eastAsia="zh-CN" w:bidi="ar-SA"/>
    </w:rPr>
  </w:style>
  <w:style w:type="character" w:customStyle="1" w:styleId="252">
    <w:name w:val="Char Char4"/>
    <w:qFormat/>
    <w:uiPriority w:val="0"/>
    <w:rPr>
      <w:rFonts w:eastAsia="宋体"/>
      <w:b/>
      <w:sz w:val="24"/>
      <w:lang w:eastAsia="zh-CN" w:bidi="ar-SA"/>
    </w:rPr>
  </w:style>
  <w:style w:type="character" w:customStyle="1" w:styleId="253">
    <w:name w:val="Char Char33"/>
    <w:qFormat/>
    <w:uiPriority w:val="6"/>
    <w:rPr>
      <w:rFonts w:ascii="Arial" w:hAnsi="Arial" w:eastAsia="黑体"/>
      <w:b/>
      <w:kern w:val="1"/>
      <w:sz w:val="24"/>
      <w:szCs w:val="24"/>
    </w:rPr>
  </w:style>
  <w:style w:type="character" w:customStyle="1" w:styleId="254">
    <w:name w:val="apple-style-span"/>
    <w:qFormat/>
    <w:uiPriority w:val="0"/>
    <w:rPr>
      <w:rFonts w:ascii="Arial" w:hAnsi="Arial" w:eastAsia="黑体" w:cs="Arial"/>
      <w:snapToGrid w:val="0"/>
      <w:kern w:val="0"/>
      <w:szCs w:val="21"/>
    </w:rPr>
  </w:style>
  <w:style w:type="character" w:customStyle="1" w:styleId="255">
    <w:name w:val="正文非缩进 Char"/>
    <w:qFormat/>
    <w:uiPriority w:val="0"/>
    <w:rPr>
      <w:rFonts w:ascii="宋体" w:eastAsia="宋体"/>
      <w:snapToGrid w:val="0"/>
      <w:color w:val="000000"/>
      <w:kern w:val="28"/>
      <w:sz w:val="28"/>
      <w:lang w:val="en-US" w:eastAsia="zh-CN" w:bidi="ar-SA"/>
    </w:rPr>
  </w:style>
  <w:style w:type="character" w:customStyle="1" w:styleId="256">
    <w:name w:val="tw4winPopup"/>
    <w:qFormat/>
    <w:uiPriority w:val="0"/>
    <w:rPr>
      <w:rFonts w:ascii="Courier New" w:hAnsi="Courier New" w:cs="Courier New"/>
      <w:color w:val="008000"/>
      <w:lang w:val="en-US" w:eastAsia="zh-CN"/>
    </w:rPr>
  </w:style>
  <w:style w:type="character" w:customStyle="1" w:styleId="257">
    <w:name w:val="表正文 Char3"/>
    <w:qFormat/>
    <w:uiPriority w:val="0"/>
    <w:rPr>
      <w:rFonts w:eastAsia="宋体"/>
    </w:rPr>
  </w:style>
  <w:style w:type="character" w:customStyle="1" w:styleId="258">
    <w:name w:val="tw4winError"/>
    <w:qFormat/>
    <w:uiPriority w:val="0"/>
    <w:rPr>
      <w:rFonts w:ascii="Courier New" w:hAnsi="Courier New" w:cs="Courier New"/>
      <w:color w:val="00FF00"/>
      <w:sz w:val="40"/>
      <w:szCs w:val="40"/>
    </w:rPr>
  </w:style>
  <w:style w:type="character" w:customStyle="1" w:styleId="259">
    <w:name w:val="正文文本缩进 Char"/>
    <w:qFormat/>
    <w:uiPriority w:val="0"/>
    <w:rPr>
      <w:rFonts w:ascii="宋体" w:hAnsi="宋体"/>
      <w:kern w:val="2"/>
      <w:sz w:val="24"/>
      <w:szCs w:val="24"/>
    </w:rPr>
  </w:style>
  <w:style w:type="character" w:customStyle="1" w:styleId="260">
    <w:name w:val="标书1 Char1"/>
    <w:qFormat/>
    <w:uiPriority w:val="0"/>
    <w:rPr>
      <w:rFonts w:eastAsia="宋体"/>
      <w:b/>
      <w:bCs/>
      <w:kern w:val="44"/>
      <w:sz w:val="44"/>
      <w:szCs w:val="44"/>
      <w:lang w:val="en-US" w:eastAsia="zh-CN" w:bidi="ar-SA"/>
    </w:rPr>
  </w:style>
  <w:style w:type="character" w:customStyle="1" w:styleId="261">
    <w:name w:val="style1"/>
    <w:qFormat/>
    <w:uiPriority w:val="0"/>
    <w:rPr>
      <w:rFonts w:ascii="Arial" w:hAnsi="Arial" w:eastAsia="黑体" w:cs="Arial"/>
      <w:snapToGrid w:val="0"/>
      <w:kern w:val="0"/>
      <w:szCs w:val="21"/>
    </w:rPr>
  </w:style>
  <w:style w:type="character" w:customStyle="1" w:styleId="262">
    <w:name w:val="h3 Char"/>
    <w:qFormat/>
    <w:uiPriority w:val="0"/>
    <w:rPr>
      <w:rFonts w:eastAsia="宋体"/>
      <w:b/>
      <w:kern w:val="2"/>
      <w:sz w:val="32"/>
      <w:lang w:val="en-US" w:eastAsia="zh-CN" w:bidi="ar-SA"/>
    </w:rPr>
  </w:style>
  <w:style w:type="character" w:customStyle="1" w:styleId="263">
    <w:name w:val="页脚 字符"/>
    <w:qFormat/>
    <w:uiPriority w:val="99"/>
    <w:rPr>
      <w:kern w:val="2"/>
      <w:sz w:val="18"/>
      <w:szCs w:val="18"/>
    </w:rPr>
  </w:style>
  <w:style w:type="character" w:customStyle="1" w:styleId="264">
    <w:name w:val="Char Char8"/>
    <w:qFormat/>
    <w:uiPriority w:val="0"/>
    <w:rPr>
      <w:rFonts w:eastAsia="宋体"/>
      <w:b/>
      <w:sz w:val="24"/>
      <w:lang w:eastAsia="zh-CN"/>
    </w:rPr>
  </w:style>
  <w:style w:type="character" w:customStyle="1" w:styleId="265">
    <w:name w:val="正文缩进 字符"/>
    <w:qFormat/>
    <w:uiPriority w:val="0"/>
    <w:rPr>
      <w:rFonts w:ascii="宋体" w:eastAsia="宋体"/>
      <w:snapToGrid w:val="0"/>
      <w:color w:val="000000"/>
      <w:kern w:val="28"/>
      <w:sz w:val="28"/>
      <w:lang w:val="en-US" w:eastAsia="zh-CN" w:bidi="ar-SA"/>
    </w:rPr>
  </w:style>
  <w:style w:type="character" w:customStyle="1" w:styleId="266">
    <w:name w:val="Header Char"/>
    <w:qFormat/>
    <w:locked/>
    <w:uiPriority w:val="0"/>
    <w:rPr>
      <w:rFonts w:eastAsia="宋体"/>
      <w:kern w:val="2"/>
      <w:sz w:val="18"/>
      <w:szCs w:val="18"/>
      <w:lang w:val="en-US" w:eastAsia="zh-CN" w:bidi="ar-SA"/>
    </w:rPr>
  </w:style>
  <w:style w:type="character" w:customStyle="1" w:styleId="267">
    <w:name w:val="Char Char71"/>
    <w:semiHidden/>
    <w:qFormat/>
    <w:uiPriority w:val="0"/>
    <w:rPr>
      <w:rFonts w:eastAsia="宋体"/>
      <w:kern w:val="2"/>
      <w:sz w:val="21"/>
      <w:szCs w:val="24"/>
      <w:lang w:val="en-US" w:eastAsia="zh-CN" w:bidi="ar-SA"/>
    </w:rPr>
  </w:style>
  <w:style w:type="character" w:customStyle="1" w:styleId="268">
    <w:name w:val="样式2 Char"/>
    <w:qFormat/>
    <w:uiPriority w:val="0"/>
    <w:rPr>
      <w:rFonts w:ascii="仿宋_GB2312" w:hAnsi="仿宋" w:eastAsia="仿宋_GB2312" w:cs="仿宋_GB2312"/>
      <w:b/>
      <w:bCs/>
      <w:sz w:val="32"/>
      <w:szCs w:val="30"/>
      <w:lang w:val="zh-CN"/>
    </w:rPr>
  </w:style>
  <w:style w:type="character" w:customStyle="1" w:styleId="269">
    <w:name w:val="Char Char26"/>
    <w:qFormat/>
    <w:uiPriority w:val="6"/>
    <w:rPr>
      <w:kern w:val="1"/>
      <w:sz w:val="21"/>
      <w:szCs w:val="24"/>
    </w:rPr>
  </w:style>
  <w:style w:type="character" w:customStyle="1" w:styleId="270">
    <w:name w:val="冯 Char"/>
    <w:link w:val="271"/>
    <w:qFormat/>
    <w:uiPriority w:val="0"/>
    <w:rPr>
      <w:rFonts w:ascii="宋体" w:hAnsi="宋体"/>
      <w:color w:val="000000"/>
      <w:sz w:val="24"/>
      <w:szCs w:val="24"/>
    </w:rPr>
  </w:style>
  <w:style w:type="paragraph" w:customStyle="1" w:styleId="271">
    <w:name w:val="冯"/>
    <w:basedOn w:val="1"/>
    <w:link w:val="270"/>
    <w:qFormat/>
    <w:uiPriority w:val="0"/>
    <w:pPr>
      <w:widowControl/>
      <w:adjustRightInd/>
      <w:spacing w:line="360" w:lineRule="auto"/>
      <w:ind w:firstLine="480" w:firstLineChars="200"/>
    </w:pPr>
    <w:rPr>
      <w:rFonts w:ascii="宋体" w:hAnsi="宋体"/>
      <w:color w:val="000000"/>
      <w:kern w:val="0"/>
      <w:sz w:val="24"/>
    </w:rPr>
  </w:style>
  <w:style w:type="character" w:customStyle="1" w:styleId="272">
    <w:name w:val="正文首行缩进 Char1"/>
    <w:qFormat/>
    <w:uiPriority w:val="0"/>
    <w:rPr>
      <w:rFonts w:ascii="宋体" w:hAnsi="Times New Roman" w:eastAsia="宋体" w:cs="Times New Roman"/>
      <w:snapToGrid w:val="0"/>
      <w:kern w:val="2"/>
      <w:sz w:val="24"/>
      <w:szCs w:val="21"/>
      <w:lang w:val="zh-CN"/>
    </w:rPr>
  </w:style>
  <w:style w:type="character" w:customStyle="1" w:styleId="273">
    <w:name w:val="tw4winTerm"/>
    <w:qFormat/>
    <w:uiPriority w:val="0"/>
    <w:rPr>
      <w:color w:val="0000FF"/>
    </w:rPr>
  </w:style>
  <w:style w:type="character" w:customStyle="1" w:styleId="274">
    <w:name w:val="Char Char32"/>
    <w:qFormat/>
    <w:uiPriority w:val="6"/>
    <w:rPr>
      <w:b/>
      <w:kern w:val="1"/>
      <w:sz w:val="24"/>
      <w:szCs w:val="24"/>
    </w:rPr>
  </w:style>
  <w:style w:type="character" w:customStyle="1" w:styleId="275">
    <w:name w:val="标题 Char1"/>
    <w:qFormat/>
    <w:uiPriority w:val="0"/>
    <w:rPr>
      <w:rFonts w:ascii="Cambria" w:hAnsi="Cambria" w:eastAsia="宋体" w:cs="Times New Roman"/>
      <w:b/>
      <w:bCs/>
      <w:sz w:val="32"/>
      <w:szCs w:val="32"/>
      <w:lang w:bidi="ar-SA"/>
    </w:rPr>
  </w:style>
  <w:style w:type="character" w:customStyle="1" w:styleId="276">
    <w:name w:val="正文缩进 Char"/>
    <w:qFormat/>
    <w:uiPriority w:val="0"/>
    <w:rPr>
      <w:rFonts w:eastAsia="宋体"/>
      <w:kern w:val="2"/>
      <w:sz w:val="21"/>
      <w:lang w:val="en-US" w:eastAsia="zh-CN"/>
    </w:rPr>
  </w:style>
  <w:style w:type="character" w:customStyle="1" w:styleId="277">
    <w:name w:val="普通文字 Char Char1"/>
    <w:qFormat/>
    <w:uiPriority w:val="0"/>
    <w:rPr>
      <w:rFonts w:ascii="宋体" w:hAnsi="Courier New"/>
      <w:kern w:val="2"/>
      <w:sz w:val="21"/>
    </w:rPr>
  </w:style>
  <w:style w:type="character" w:customStyle="1" w:styleId="278">
    <w:name w:val="标书1 Char"/>
    <w:qFormat/>
    <w:uiPriority w:val="0"/>
    <w:rPr>
      <w:rFonts w:eastAsia="宋体"/>
      <w:b/>
      <w:bCs/>
      <w:kern w:val="44"/>
      <w:sz w:val="44"/>
      <w:szCs w:val="44"/>
      <w:lang w:val="en-US" w:eastAsia="zh-CN" w:bidi="ar-SA"/>
    </w:rPr>
  </w:style>
  <w:style w:type="character" w:customStyle="1" w:styleId="27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80">
    <w:name w:val="正文段 Char"/>
    <w:link w:val="281"/>
    <w:qFormat/>
    <w:uiPriority w:val="0"/>
    <w:rPr>
      <w:sz w:val="24"/>
    </w:rPr>
  </w:style>
  <w:style w:type="paragraph" w:customStyle="1" w:styleId="281">
    <w:name w:val="正文段"/>
    <w:basedOn w:val="1"/>
    <w:link w:val="280"/>
    <w:qFormat/>
    <w:uiPriority w:val="0"/>
    <w:pPr>
      <w:widowControl/>
      <w:snapToGrid w:val="0"/>
      <w:spacing w:after="156" w:afterLines="50"/>
      <w:ind w:firstLine="200" w:firstLineChars="200"/>
    </w:pPr>
    <w:rPr>
      <w:kern w:val="0"/>
      <w:sz w:val="24"/>
      <w:szCs w:val="20"/>
    </w:rPr>
  </w:style>
  <w:style w:type="character" w:customStyle="1" w:styleId="282">
    <w:name w:val="edui-clickable2"/>
    <w:qFormat/>
    <w:uiPriority w:val="0"/>
    <w:rPr>
      <w:color w:val="0000FF"/>
      <w:u w:val="single"/>
    </w:rPr>
  </w:style>
  <w:style w:type="character" w:customStyle="1" w:styleId="283">
    <w:name w:val="apple-converted-space"/>
    <w:qFormat/>
    <w:uiPriority w:val="0"/>
  </w:style>
  <w:style w:type="character" w:customStyle="1" w:styleId="284">
    <w:name w:val="Char Char121"/>
    <w:qFormat/>
    <w:uiPriority w:val="6"/>
    <w:rPr>
      <w:rFonts w:ascii="仿宋_GB2312" w:eastAsia="仿宋_GB2312"/>
      <w:b/>
      <w:bCs/>
      <w:kern w:val="2"/>
      <w:sz w:val="24"/>
      <w:szCs w:val="24"/>
      <w:lang w:val="zh-CN" w:eastAsia="zh-CN" w:bidi="ar-SA"/>
    </w:rPr>
  </w:style>
  <w:style w:type="character" w:customStyle="1" w:styleId="28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286">
    <w:name w:val="large1"/>
    <w:qFormat/>
    <w:uiPriority w:val="0"/>
    <w:rPr>
      <w:rFonts w:hint="eastAsia" w:ascii="宋体" w:hAnsi="宋体" w:eastAsia="宋体"/>
      <w:sz w:val="21"/>
      <w:szCs w:val="21"/>
    </w:rPr>
  </w:style>
  <w:style w:type="character" w:customStyle="1" w:styleId="287">
    <w:name w:val="正文缩进 字符1"/>
    <w:qFormat/>
    <w:uiPriority w:val="0"/>
    <w:rPr>
      <w:rFonts w:ascii="宋体" w:eastAsia="宋体"/>
      <w:snapToGrid w:val="0"/>
      <w:color w:val="000000"/>
      <w:kern w:val="28"/>
      <w:sz w:val="28"/>
      <w:lang w:val="en-US" w:eastAsia="zh-CN" w:bidi="ar-SA"/>
    </w:rPr>
  </w:style>
  <w:style w:type="character" w:customStyle="1" w:styleId="288">
    <w:name w:val="javascript"/>
    <w:qFormat/>
    <w:uiPriority w:val="0"/>
  </w:style>
  <w:style w:type="character" w:customStyle="1" w:styleId="289">
    <w:name w:val="正文文本 Char2"/>
    <w:semiHidden/>
    <w:qFormat/>
    <w:uiPriority w:val="99"/>
    <w:rPr>
      <w:rFonts w:ascii="Times New Roman" w:hAnsi="Times New Roman" w:eastAsia="宋体" w:cs="Times New Roman"/>
      <w:snapToGrid w:val="0"/>
      <w:kern w:val="0"/>
      <w:szCs w:val="24"/>
    </w:rPr>
  </w:style>
  <w:style w:type="character" w:customStyle="1" w:styleId="290">
    <w:name w:val="正文首行缩进 2 Char1"/>
    <w:qFormat/>
    <w:uiPriority w:val="0"/>
    <w:rPr>
      <w:rFonts w:ascii="Times New Roman" w:hAnsi="Times New Roman" w:eastAsia="宋体" w:cs="Times New Roman"/>
      <w:kern w:val="2"/>
      <w:sz w:val="24"/>
      <w:szCs w:val="24"/>
    </w:rPr>
  </w:style>
  <w:style w:type="character" w:customStyle="1" w:styleId="291">
    <w:name w:val="表格名称[858D7CFB-ED40-4347-BF05-701D383B685F]"/>
    <w:link w:val="292"/>
    <w:qFormat/>
    <w:uiPriority w:val="0"/>
    <w:rPr>
      <w:sz w:val="32"/>
    </w:rPr>
  </w:style>
  <w:style w:type="paragraph" w:customStyle="1" w:styleId="292">
    <w:name w:val="表格名称"/>
    <w:basedOn w:val="2"/>
    <w:link w:val="291"/>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93">
    <w:name w:val="样式3 Char"/>
    <w:qFormat/>
    <w:uiPriority w:val="0"/>
    <w:rPr>
      <w:rFonts w:ascii="仿宋_GB2312" w:hAnsi="仿宋" w:eastAsia="仿宋_GB2312" w:cs="仿宋_GB2312"/>
      <w:b/>
      <w:bCs/>
      <w:sz w:val="32"/>
      <w:szCs w:val="30"/>
      <w:lang w:val="zh-CN"/>
    </w:rPr>
  </w:style>
  <w:style w:type="character" w:customStyle="1" w:styleId="294">
    <w:name w:val="正文说明 Char"/>
    <w:link w:val="295"/>
    <w:qFormat/>
    <w:uiPriority w:val="0"/>
    <w:rPr>
      <w:sz w:val="24"/>
      <w:szCs w:val="24"/>
    </w:rPr>
  </w:style>
  <w:style w:type="paragraph" w:customStyle="1" w:styleId="295">
    <w:name w:val="正文说明"/>
    <w:basedOn w:val="1"/>
    <w:link w:val="294"/>
    <w:qFormat/>
    <w:uiPriority w:val="0"/>
    <w:pPr>
      <w:adjustRightInd/>
      <w:spacing w:line="360" w:lineRule="auto"/>
    </w:pPr>
    <w:rPr>
      <w:kern w:val="0"/>
      <w:sz w:val="24"/>
    </w:rPr>
  </w:style>
  <w:style w:type="character" w:customStyle="1" w:styleId="296">
    <w:name w:val="c7 style3"/>
    <w:qFormat/>
    <w:uiPriority w:val="0"/>
  </w:style>
  <w:style w:type="character" w:customStyle="1" w:styleId="297">
    <w:name w:val="style36"/>
    <w:qFormat/>
    <w:uiPriority w:val="0"/>
    <w:rPr>
      <w:rFonts w:ascii="Arial" w:hAnsi="Arial" w:eastAsia="黑体" w:cs="Arial"/>
      <w:snapToGrid w:val="0"/>
      <w:kern w:val="0"/>
      <w:szCs w:val="21"/>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Char Char161"/>
    <w:qFormat/>
    <w:uiPriority w:val="0"/>
    <w:rPr>
      <w:rFonts w:eastAsia="宋体"/>
      <w:b/>
      <w:kern w:val="2"/>
      <w:sz w:val="32"/>
      <w:lang w:val="en-US" w:eastAsia="zh-CN"/>
    </w:rPr>
  </w:style>
  <w:style w:type="character" w:customStyle="1" w:styleId="300">
    <w:name w:val="表正文 Char1"/>
    <w:qFormat/>
    <w:uiPriority w:val="0"/>
    <w:rPr>
      <w:rFonts w:ascii="宋体" w:eastAsia="宋体"/>
      <w:snapToGrid w:val="0"/>
      <w:color w:val="000000"/>
      <w:kern w:val="28"/>
      <w:sz w:val="28"/>
    </w:rPr>
  </w:style>
  <w:style w:type="character" w:customStyle="1" w:styleId="301">
    <w:name w:val="未处理的提及1"/>
    <w:qFormat/>
    <w:uiPriority w:val="0"/>
    <w:rPr>
      <w:color w:val="808080"/>
      <w:shd w:val="clear" w:color="auto" w:fill="E6E6E6"/>
    </w:rPr>
  </w:style>
  <w:style w:type="character" w:customStyle="1" w:styleId="302">
    <w:name w:val="hui"/>
    <w:qFormat/>
    <w:uiPriority w:val="0"/>
    <w:rPr>
      <w:rFonts w:ascii="Arial" w:hAnsi="Arial" w:eastAsia="黑体" w:cs="Arial"/>
      <w:snapToGrid w:val="0"/>
      <w:kern w:val="0"/>
      <w:szCs w:val="21"/>
    </w:rPr>
  </w:style>
  <w:style w:type="character" w:customStyle="1" w:styleId="303">
    <w:name w:val="Char Char11"/>
    <w:qFormat/>
    <w:locked/>
    <w:uiPriority w:val="0"/>
    <w:rPr>
      <w:rFonts w:ascii="宋体" w:hAnsi="宋体" w:eastAsia="宋体"/>
      <w:b/>
      <w:kern w:val="2"/>
      <w:sz w:val="24"/>
      <w:szCs w:val="24"/>
      <w:lang w:val="en-US" w:eastAsia="zh-CN" w:bidi="ar-SA"/>
    </w:rPr>
  </w:style>
  <w:style w:type="character" w:customStyle="1" w:styleId="304">
    <w:name w:val="maywed421"/>
    <w:qFormat/>
    <w:uiPriority w:val="0"/>
    <w:rPr>
      <w:color w:val="366FB6"/>
      <w:u w:val="none"/>
    </w:rPr>
  </w:style>
  <w:style w:type="character" w:customStyle="1" w:styleId="305">
    <w:name w:val="表格 Char Char"/>
    <w:qFormat/>
    <w:uiPriority w:val="0"/>
    <w:rPr>
      <w:rFonts w:ascii="宋体" w:hAnsi="宋体" w:eastAsia="宋体"/>
      <w:lang w:bidi="ar-SA"/>
    </w:rPr>
  </w:style>
  <w:style w:type="character" w:customStyle="1" w:styleId="306">
    <w:name w:val="Char Char"/>
    <w:qFormat/>
    <w:uiPriority w:val="0"/>
    <w:rPr>
      <w:rFonts w:ascii="宋体" w:hAnsi="Courier New" w:eastAsia="宋体"/>
      <w:kern w:val="2"/>
      <w:sz w:val="21"/>
      <w:lang w:val="en-US" w:eastAsia="zh-CN" w:bidi="ar-SA"/>
    </w:rPr>
  </w:style>
  <w:style w:type="character" w:customStyle="1" w:styleId="307">
    <w:name w:val="gray6"/>
    <w:qFormat/>
    <w:uiPriority w:val="0"/>
    <w:rPr>
      <w:rFonts w:ascii="Arial" w:hAnsi="Arial" w:eastAsia="黑体" w:cs="Arial"/>
      <w:snapToGrid w:val="0"/>
      <w:kern w:val="0"/>
      <w:szCs w:val="21"/>
    </w:rPr>
  </w:style>
  <w:style w:type="character" w:customStyle="1" w:styleId="308">
    <w:name w:val="bulletintext1"/>
    <w:qFormat/>
    <w:uiPriority w:val="0"/>
    <w:rPr>
      <w:color w:val="000000"/>
      <w:sz w:val="18"/>
    </w:rPr>
  </w:style>
  <w:style w:type="character" w:customStyle="1" w:styleId="309">
    <w:name w:val="正文文本缩进 字符"/>
    <w:qFormat/>
    <w:uiPriority w:val="0"/>
    <w:rPr>
      <w:rFonts w:ascii="Century Gothic" w:hAnsi="Century Gothic" w:eastAsia="Century Gothic"/>
      <w:kern w:val="2"/>
      <w:sz w:val="24"/>
      <w:lang w:val="en-US" w:eastAsia="zh-CN" w:bidi="ar-SA"/>
    </w:rPr>
  </w:style>
  <w:style w:type="character" w:customStyle="1" w:styleId="310">
    <w:name w:val="正文2 Char"/>
    <w:qFormat/>
    <w:uiPriority w:val="0"/>
    <w:rPr>
      <w:rFonts w:eastAsia="宋体"/>
      <w:kern w:val="2"/>
      <w:sz w:val="24"/>
      <w:lang w:val="en-US" w:eastAsia="zh-CN" w:bidi="ar-SA"/>
    </w:rPr>
  </w:style>
  <w:style w:type="character" w:customStyle="1" w:styleId="311">
    <w:name w:val="无间隔 Char"/>
    <w:link w:val="312"/>
    <w:qFormat/>
    <w:uiPriority w:val="99"/>
    <w:rPr>
      <w:kern w:val="2"/>
      <w:sz w:val="21"/>
      <w:szCs w:val="22"/>
    </w:rPr>
  </w:style>
  <w:style w:type="paragraph" w:customStyle="1" w:styleId="312">
    <w:name w:val="No Spacing"/>
    <w:basedOn w:val="1"/>
    <w:link w:val="311"/>
    <w:qFormat/>
    <w:uiPriority w:val="99"/>
    <w:rPr>
      <w:szCs w:val="22"/>
    </w:rPr>
  </w:style>
  <w:style w:type="character" w:customStyle="1" w:styleId="313">
    <w:name w:val="此正文 Char"/>
    <w:link w:val="314"/>
    <w:qFormat/>
    <w:uiPriority w:val="0"/>
    <w:rPr>
      <w:kern w:val="2"/>
      <w:sz w:val="24"/>
      <w:szCs w:val="24"/>
    </w:rPr>
  </w:style>
  <w:style w:type="paragraph" w:customStyle="1" w:styleId="314">
    <w:name w:val="此正文"/>
    <w:basedOn w:val="1"/>
    <w:link w:val="313"/>
    <w:qFormat/>
    <w:uiPriority w:val="0"/>
    <w:pPr>
      <w:adjustRightInd/>
      <w:spacing w:line="360" w:lineRule="auto"/>
      <w:ind w:firstLine="200" w:firstLineChars="200"/>
    </w:pPr>
    <w:rPr>
      <w:sz w:val="24"/>
    </w:rPr>
  </w:style>
  <w:style w:type="character" w:customStyle="1" w:styleId="315">
    <w:name w:val="标题 1 Char Char"/>
    <w:qFormat/>
    <w:uiPriority w:val="0"/>
    <w:rPr>
      <w:rFonts w:hint="eastAsia" w:ascii="宋体" w:hAnsi="宋体" w:eastAsia="宋体"/>
      <w:b/>
      <w:spacing w:val="-2"/>
      <w:sz w:val="24"/>
      <w:lang w:val="en-US" w:eastAsia="zh-CN" w:bidi="ar-SA"/>
    </w:rPr>
  </w:style>
  <w:style w:type="character" w:customStyle="1" w:styleId="316">
    <w:name w:val="Char Char31"/>
    <w:qFormat/>
    <w:uiPriority w:val="6"/>
    <w:rPr>
      <w:rFonts w:ascii="Arial" w:hAnsi="Arial" w:eastAsia="黑体"/>
      <w:kern w:val="1"/>
      <w:sz w:val="24"/>
      <w:szCs w:val="24"/>
    </w:rPr>
  </w:style>
  <w:style w:type="character" w:customStyle="1" w:styleId="317">
    <w:name w:val="3级 Char"/>
    <w:link w:val="318"/>
    <w:qFormat/>
    <w:uiPriority w:val="0"/>
    <w:rPr>
      <w:rFonts w:ascii="宋体" w:hAnsi="宋体"/>
      <w:b/>
      <w:bCs/>
      <w:snapToGrid/>
      <w:sz w:val="28"/>
    </w:rPr>
  </w:style>
  <w:style w:type="paragraph" w:customStyle="1" w:styleId="318">
    <w:name w:val="3级"/>
    <w:basedOn w:val="319"/>
    <w:link w:val="317"/>
    <w:qFormat/>
    <w:uiPriority w:val="0"/>
    <w:pPr>
      <w:ind w:left="0" w:right="466" w:firstLine="288"/>
    </w:pPr>
    <w:rPr>
      <w:rFonts w:hAnsi="宋体"/>
      <w:snapToGrid/>
    </w:rPr>
  </w:style>
  <w:style w:type="paragraph" w:customStyle="1" w:styleId="31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20">
    <w:name w:val="dandyren_title1"/>
    <w:qFormat/>
    <w:uiPriority w:val="0"/>
    <w:rPr>
      <w:b/>
      <w:bCs/>
      <w:color w:val="FF6633"/>
      <w:sz w:val="18"/>
      <w:szCs w:val="18"/>
    </w:rPr>
  </w:style>
  <w:style w:type="character" w:customStyle="1" w:styleId="321">
    <w:name w:val="正文文本 Char"/>
    <w:qFormat/>
    <w:uiPriority w:val="0"/>
    <w:rPr>
      <w:rFonts w:eastAsia="宋体"/>
      <w:kern w:val="2"/>
      <w:sz w:val="24"/>
      <w:szCs w:val="24"/>
      <w:lang w:val="en-US" w:eastAsia="zh-CN" w:bidi="ar-SA"/>
    </w:rPr>
  </w:style>
  <w:style w:type="character" w:customStyle="1" w:styleId="322">
    <w:name w:val="Char Char6"/>
    <w:qFormat/>
    <w:uiPriority w:val="0"/>
    <w:rPr>
      <w:rFonts w:eastAsia="宋体"/>
      <w:kern w:val="2"/>
      <w:sz w:val="21"/>
      <w:szCs w:val="24"/>
      <w:lang w:val="en-US" w:eastAsia="zh-CN" w:bidi="ar-SA"/>
    </w:rPr>
  </w:style>
  <w:style w:type="character" w:customStyle="1" w:styleId="323">
    <w:name w:val="Footer Char"/>
    <w:qFormat/>
    <w:locked/>
    <w:uiPriority w:val="0"/>
    <w:rPr>
      <w:rFonts w:eastAsia="宋体"/>
      <w:kern w:val="2"/>
      <w:sz w:val="18"/>
      <w:lang w:val="en-US" w:eastAsia="zh-CN" w:bidi="ar-SA"/>
    </w:rPr>
  </w:style>
  <w:style w:type="character" w:customStyle="1" w:styleId="324">
    <w:name w:val="Comment Text Char"/>
    <w:qFormat/>
    <w:locked/>
    <w:uiPriority w:val="0"/>
    <w:rPr>
      <w:rFonts w:ascii="宋体" w:hAnsi="宋体" w:eastAsia="宋体"/>
      <w:kern w:val="2"/>
      <w:sz w:val="24"/>
      <w:lang w:val="en-US" w:eastAsia="zh-CN" w:bidi="ar-SA"/>
    </w:rPr>
  </w:style>
  <w:style w:type="character" w:customStyle="1" w:styleId="325">
    <w:name w:val="Char Char212"/>
    <w:qFormat/>
    <w:uiPriority w:val="0"/>
    <w:rPr>
      <w:rFonts w:eastAsia="宋体"/>
      <w:b/>
      <w:bCs/>
      <w:kern w:val="2"/>
      <w:sz w:val="21"/>
      <w:szCs w:val="24"/>
      <w:lang w:val="en-US" w:eastAsia="zh-CN" w:bidi="ar-SA"/>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message1"/>
    <w:qFormat/>
    <w:uiPriority w:val="0"/>
    <w:rPr>
      <w:rFonts w:hint="default" w:ascii="Tahoma" w:hAnsi="Tahoma" w:cs="Tahoma"/>
      <w:sz w:val="18"/>
      <w:szCs w:val="18"/>
    </w:rPr>
  </w:style>
  <w:style w:type="character" w:customStyle="1" w:styleId="329">
    <w:name w:val="副标题 Char2"/>
    <w:qFormat/>
    <w:uiPriority w:val="0"/>
    <w:rPr>
      <w:rFonts w:ascii="Cambria" w:hAnsi="Cambria" w:eastAsia="宋体" w:cs="Times New Roman"/>
      <w:b/>
      <w:bCs/>
      <w:snapToGrid w:val="0"/>
      <w:kern w:val="28"/>
      <w:sz w:val="32"/>
      <w:szCs w:val="32"/>
    </w:rPr>
  </w:style>
  <w:style w:type="character" w:customStyle="1" w:styleId="330">
    <w:name w:val="5正文 Char"/>
    <w:link w:val="331"/>
    <w:qFormat/>
    <w:uiPriority w:val="0"/>
    <w:rPr>
      <w:rFonts w:ascii="仿宋_GB2312" w:hAnsi="微软雅黑" w:eastAsia="仿宋_GB2312"/>
      <w:sz w:val="28"/>
      <w:szCs w:val="21"/>
    </w:rPr>
  </w:style>
  <w:style w:type="paragraph" w:customStyle="1" w:styleId="331">
    <w:name w:val="5正文"/>
    <w:basedOn w:val="1"/>
    <w:link w:val="33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32">
    <w:name w:val="标题 4 Char1"/>
    <w:qFormat/>
    <w:uiPriority w:val="9"/>
    <w:rPr>
      <w:rFonts w:ascii="Cambria" w:hAnsi="Cambria" w:eastAsia="宋体" w:cs="Times New Roman"/>
      <w:b/>
      <w:bCs/>
      <w:kern w:val="2"/>
      <w:sz w:val="28"/>
      <w:szCs w:val="28"/>
    </w:rPr>
  </w:style>
  <w:style w:type="character" w:customStyle="1" w:styleId="333">
    <w:name w:val="Font Style82"/>
    <w:qFormat/>
    <w:uiPriority w:val="99"/>
    <w:rPr>
      <w:rFonts w:ascii="宋体" w:eastAsia="宋体" w:cs="宋体"/>
      <w:color w:val="000000"/>
      <w:sz w:val="14"/>
      <w:szCs w:val="14"/>
    </w:rPr>
  </w:style>
  <w:style w:type="character" w:customStyle="1" w:styleId="334">
    <w:name w:val="段落 Char Char"/>
    <w:link w:val="335"/>
    <w:qFormat/>
    <w:uiPriority w:val="0"/>
    <w:rPr>
      <w:rFonts w:ascii="宋体" w:hAnsi="宋体"/>
      <w:sz w:val="24"/>
    </w:rPr>
  </w:style>
  <w:style w:type="paragraph" w:customStyle="1" w:styleId="335">
    <w:name w:val="段落"/>
    <w:basedOn w:val="1"/>
    <w:link w:val="334"/>
    <w:qFormat/>
    <w:uiPriority w:val="0"/>
    <w:pPr>
      <w:adjustRightInd/>
      <w:spacing w:line="360" w:lineRule="auto"/>
      <w:ind w:firstLine="480" w:firstLineChars="200"/>
    </w:pPr>
    <w:rPr>
      <w:rFonts w:ascii="宋体" w:hAnsi="宋体"/>
      <w:kern w:val="0"/>
      <w:sz w:val="24"/>
      <w:szCs w:val="20"/>
    </w:rPr>
  </w:style>
  <w:style w:type="character" w:customStyle="1" w:styleId="336">
    <w:name w:val="Char Char27"/>
    <w:qFormat/>
    <w:uiPriority w:val="6"/>
    <w:rPr>
      <w:rFonts w:ascii="宋体" w:hAnsi="宋体" w:eastAsia="宋体"/>
      <w:color w:val="000000"/>
      <w:kern w:val="1"/>
      <w:sz w:val="28"/>
      <w:lang w:val="en-US" w:eastAsia="zh-CN" w:bidi="ar-SA"/>
    </w:rPr>
  </w:style>
  <w:style w:type="character" w:customStyle="1" w:styleId="337">
    <w:name w:val="Char Char15"/>
    <w:qFormat/>
    <w:uiPriority w:val="6"/>
    <w:rPr>
      <w:rFonts w:ascii="宋体" w:hAnsi="宋体"/>
      <w:kern w:val="1"/>
      <w:sz w:val="21"/>
    </w:rPr>
  </w:style>
  <w:style w:type="character" w:customStyle="1" w:styleId="338">
    <w:name w:val="Char Char30"/>
    <w:qFormat/>
    <w:uiPriority w:val="6"/>
    <w:rPr>
      <w:rFonts w:ascii="Arial" w:hAnsi="Arial" w:eastAsia="黑体"/>
      <w:kern w:val="1"/>
      <w:sz w:val="21"/>
      <w:szCs w:val="21"/>
    </w:rPr>
  </w:style>
  <w:style w:type="character" w:customStyle="1" w:styleId="339">
    <w:name w:val="图名 Char"/>
    <w:qFormat/>
    <w:uiPriority w:val="0"/>
    <w:rPr>
      <w:rFonts w:ascii="Arial" w:hAnsi="Arial" w:eastAsia="黑体"/>
      <w:kern w:val="2"/>
      <w:sz w:val="24"/>
      <w:szCs w:val="24"/>
      <w:lang w:val="en-US" w:eastAsia="zh-CN" w:bidi="ar-SA"/>
    </w:rPr>
  </w:style>
  <w:style w:type="character" w:customStyle="1" w:styleId="340">
    <w:name w:val="正文2 Char Char"/>
    <w:link w:val="341"/>
    <w:qFormat/>
    <w:uiPriority w:val="0"/>
    <w:rPr>
      <w:rFonts w:eastAsia="宋体"/>
      <w:kern w:val="2"/>
      <w:sz w:val="24"/>
      <w:lang w:val="en-US" w:eastAsia="zh-CN" w:bidi="ar-SA"/>
    </w:rPr>
  </w:style>
  <w:style w:type="paragraph" w:customStyle="1" w:styleId="341">
    <w:name w:val="正文2"/>
    <w:basedOn w:val="1"/>
    <w:link w:val="340"/>
    <w:qFormat/>
    <w:uiPriority w:val="0"/>
    <w:pPr>
      <w:spacing w:before="156" w:line="360" w:lineRule="auto"/>
      <w:ind w:firstLine="510" w:firstLineChars="200"/>
    </w:pPr>
    <w:rPr>
      <w:sz w:val="24"/>
      <w:szCs w:val="20"/>
    </w:rPr>
  </w:style>
  <w:style w:type="character" w:customStyle="1" w:styleId="342">
    <w:name w:val="ca-131"/>
    <w:qFormat/>
    <w:uiPriority w:val="0"/>
    <w:rPr>
      <w:rFonts w:hint="eastAsia" w:ascii="仿宋_GB2312" w:eastAsia="仿宋_GB2312"/>
      <w:b/>
      <w:bCs/>
      <w:color w:val="000000"/>
      <w:spacing w:val="-20"/>
      <w:sz w:val="24"/>
      <w:szCs w:val="24"/>
    </w:rPr>
  </w:style>
  <w:style w:type="character" w:customStyle="1" w:styleId="343">
    <w:name w:val="f141"/>
    <w:qFormat/>
    <w:uiPriority w:val="0"/>
    <w:rPr>
      <w:rFonts w:ascii="Tahoma" w:hAnsi="Tahoma" w:eastAsia="宋体"/>
      <w:b/>
      <w:kern w:val="2"/>
      <w:sz w:val="21"/>
      <w:szCs w:val="21"/>
      <w:lang w:val="en-US" w:eastAsia="zh-CN" w:bidi="ar-SA"/>
    </w:rPr>
  </w:style>
  <w:style w:type="character" w:customStyle="1" w:styleId="344">
    <w:name w:val="正文（缩进2汉字） Char"/>
    <w:link w:val="345"/>
    <w:qFormat/>
    <w:uiPriority w:val="0"/>
    <w:rPr>
      <w:rFonts w:ascii="宋体"/>
    </w:rPr>
  </w:style>
  <w:style w:type="paragraph" w:customStyle="1" w:styleId="345">
    <w:name w:val="正文（缩进2汉字）"/>
    <w:basedOn w:val="1"/>
    <w:link w:val="34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46">
    <w:name w:val="仿宋正文 Char"/>
    <w:link w:val="347"/>
    <w:qFormat/>
    <w:uiPriority w:val="0"/>
    <w:rPr>
      <w:rFonts w:ascii="仿宋_GB2312" w:eastAsia="仿宋_GB2312"/>
      <w:kern w:val="2"/>
      <w:sz w:val="24"/>
      <w:lang w:val="en-US" w:eastAsia="zh-CN" w:bidi="ar-SA"/>
    </w:rPr>
  </w:style>
  <w:style w:type="paragraph" w:customStyle="1" w:styleId="347">
    <w:name w:val="仿宋正文"/>
    <w:basedOn w:val="1"/>
    <w:link w:val="346"/>
    <w:qFormat/>
    <w:uiPriority w:val="0"/>
    <w:pPr>
      <w:adjustRightInd/>
      <w:spacing w:line="360" w:lineRule="auto"/>
      <w:ind w:firstLine="480" w:firstLineChars="200"/>
    </w:pPr>
    <w:rPr>
      <w:rFonts w:ascii="仿宋_GB2312" w:eastAsia="仿宋_GB2312"/>
      <w:sz w:val="24"/>
      <w:szCs w:val="20"/>
    </w:rPr>
  </w:style>
  <w:style w:type="character" w:customStyle="1" w:styleId="348">
    <w:name w:val="页眉 Char1"/>
    <w:qFormat/>
    <w:uiPriority w:val="0"/>
    <w:rPr>
      <w:rFonts w:eastAsia="宋体"/>
      <w:kern w:val="2"/>
      <w:sz w:val="18"/>
      <w:szCs w:val="18"/>
      <w:lang w:val="en-US" w:eastAsia="zh-CN" w:bidi="ar-SA"/>
    </w:rPr>
  </w:style>
  <w:style w:type="character" w:customStyle="1" w:styleId="349">
    <w:name w:val="Char Char19"/>
    <w:qFormat/>
    <w:uiPriority w:val="6"/>
    <w:rPr>
      <w:rFonts w:ascii="宋体" w:hAnsi="宋体"/>
      <w:i/>
      <w:sz w:val="24"/>
      <w:szCs w:val="24"/>
    </w:rPr>
  </w:style>
  <w:style w:type="character" w:customStyle="1" w:styleId="350">
    <w:name w:val="H6 Char"/>
    <w:qFormat/>
    <w:uiPriority w:val="0"/>
    <w:rPr>
      <w:rFonts w:ascii="Arial" w:hAnsi="Arial" w:eastAsia="黑体"/>
      <w:b/>
      <w:bCs/>
      <w:kern w:val="2"/>
      <w:sz w:val="24"/>
      <w:szCs w:val="24"/>
    </w:rPr>
  </w:style>
  <w:style w:type="character" w:customStyle="1" w:styleId="351">
    <w:name w:val="Footer-Even Char"/>
    <w:qFormat/>
    <w:uiPriority w:val="0"/>
    <w:rPr>
      <w:rFonts w:eastAsia="宋体"/>
      <w:kern w:val="2"/>
      <w:sz w:val="18"/>
      <w:lang w:val="en-US" w:eastAsia="zh-CN" w:bidi="ar-SA"/>
    </w:rPr>
  </w:style>
  <w:style w:type="character" w:customStyle="1" w:styleId="352">
    <w:name w:val="文档结构图 字符1"/>
    <w:qFormat/>
    <w:uiPriority w:val="0"/>
    <w:rPr>
      <w:rFonts w:ascii="宋体" w:hAnsi="Calibri" w:eastAsia="黑体" w:cs="Arial"/>
      <w:snapToGrid w:val="0"/>
      <w:kern w:val="2"/>
      <w:sz w:val="18"/>
      <w:szCs w:val="18"/>
    </w:rPr>
  </w:style>
  <w:style w:type="character" w:customStyle="1" w:styleId="353">
    <w:name w:val="font12gray1"/>
    <w:qFormat/>
    <w:uiPriority w:val="0"/>
    <w:rPr>
      <w:rFonts w:ascii="仿宋_GB2312" w:eastAsia="微软雅黑"/>
      <w:b/>
      <w:spacing w:val="300"/>
      <w:kern w:val="2"/>
      <w:sz w:val="18"/>
      <w:szCs w:val="18"/>
      <w:lang w:val="en-US" w:eastAsia="zh-CN" w:bidi="ar-SA"/>
    </w:rPr>
  </w:style>
  <w:style w:type="character" w:customStyle="1" w:styleId="354">
    <w:name w:val="h3 Char1"/>
    <w:qFormat/>
    <w:uiPriority w:val="0"/>
    <w:rPr>
      <w:rFonts w:eastAsia="宋体"/>
      <w:b/>
      <w:bCs/>
      <w:kern w:val="2"/>
      <w:sz w:val="32"/>
      <w:szCs w:val="32"/>
      <w:lang w:bidi="ar-SA"/>
    </w:rPr>
  </w:style>
  <w:style w:type="character" w:customStyle="1" w:styleId="355">
    <w:name w:val="question-title2"/>
    <w:qFormat/>
    <w:uiPriority w:val="6"/>
    <w:rPr>
      <w:rFonts w:ascii="Arial" w:hAnsi="Arial" w:eastAsia="黑体" w:cs="Arial"/>
      <w:snapToGrid w:val="0"/>
      <w:kern w:val="0"/>
      <w:szCs w:val="21"/>
    </w:rPr>
  </w:style>
  <w:style w:type="character" w:customStyle="1" w:styleId="356">
    <w:name w:val="Char Char213"/>
    <w:qFormat/>
    <w:uiPriority w:val="0"/>
    <w:rPr>
      <w:rFonts w:eastAsia="Century Gothic"/>
      <w:b/>
      <w:bCs/>
      <w:kern w:val="44"/>
      <w:sz w:val="32"/>
      <w:szCs w:val="44"/>
      <w:lang w:val="en-US" w:eastAsia="zh-CN" w:bidi="ar-SA"/>
    </w:rPr>
  </w:style>
  <w:style w:type="character" w:customStyle="1" w:styleId="357">
    <w:name w:val="tw4winExternal"/>
    <w:qFormat/>
    <w:uiPriority w:val="0"/>
    <w:rPr>
      <w:rFonts w:ascii="Courier New" w:hAnsi="Courier New" w:cs="Courier New"/>
      <w:color w:val="808080"/>
      <w:lang w:val="en-US" w:eastAsia="zh-CN"/>
    </w:rPr>
  </w:style>
  <w:style w:type="character" w:customStyle="1" w:styleId="358">
    <w:name w:val="txt"/>
    <w:qFormat/>
    <w:uiPriority w:val="0"/>
    <w:rPr>
      <w:rFonts w:ascii="仿宋_GB2312" w:eastAsia="微软雅黑"/>
      <w:b/>
      <w:kern w:val="2"/>
      <w:sz w:val="32"/>
      <w:szCs w:val="32"/>
      <w:lang w:val="en-US" w:eastAsia="zh-CN" w:bidi="ar-SA"/>
    </w:rPr>
  </w:style>
  <w:style w:type="character" w:customStyle="1" w:styleId="359">
    <w:name w:val="标书正文格式 Char"/>
    <w:qFormat/>
    <w:uiPriority w:val="0"/>
    <w:rPr>
      <w:rFonts w:eastAsia="楷体_GB2312"/>
      <w:kern w:val="2"/>
      <w:sz w:val="24"/>
      <w:szCs w:val="24"/>
      <w:lang w:bidi="ar-SA"/>
    </w:rPr>
  </w:style>
  <w:style w:type="character" w:customStyle="1" w:styleId="360">
    <w:name w:val="pt9"/>
    <w:qFormat/>
    <w:uiPriority w:val="0"/>
    <w:rPr>
      <w:rFonts w:ascii="仿宋_GB2312" w:eastAsia="微软雅黑"/>
      <w:b/>
      <w:kern w:val="2"/>
      <w:sz w:val="32"/>
      <w:szCs w:val="32"/>
      <w:lang w:val="en-US" w:eastAsia="zh-CN" w:bidi="ar-SA"/>
    </w:rPr>
  </w:style>
  <w:style w:type="character" w:customStyle="1" w:styleId="361">
    <w:name w:val="正文文字缩进 2 Char Char"/>
    <w:qFormat/>
    <w:uiPriority w:val="0"/>
    <w:rPr>
      <w:rFonts w:ascii="宋体"/>
      <w:sz w:val="28"/>
    </w:rPr>
  </w:style>
  <w:style w:type="character" w:customStyle="1" w:styleId="362">
    <w:name w:val="样式4 Char"/>
    <w:qFormat/>
    <w:uiPriority w:val="0"/>
    <w:rPr>
      <w:rFonts w:ascii="仿宋_GB2312" w:hAnsi="仿宋" w:eastAsia="仿宋_GB2312"/>
      <w:b/>
      <w:kern w:val="2"/>
      <w:sz w:val="32"/>
      <w:szCs w:val="32"/>
      <w:lang w:bidi="ar-SA"/>
    </w:rPr>
  </w:style>
  <w:style w:type="character" w:customStyle="1" w:styleId="363">
    <w:name w:val="hei16b1"/>
    <w:qFormat/>
    <w:uiPriority w:val="0"/>
    <w:rPr>
      <w:rFonts w:hint="default" w:ascii="Arial" w:hAnsi="Arial" w:cs="Arial"/>
      <w:b/>
      <w:bCs/>
      <w:color w:val="000000"/>
      <w:sz w:val="24"/>
      <w:szCs w:val="24"/>
    </w:rPr>
  </w:style>
  <w:style w:type="character" w:customStyle="1" w:styleId="364">
    <w:name w:val="Char Char12"/>
    <w:qFormat/>
    <w:uiPriority w:val="0"/>
    <w:rPr>
      <w:rFonts w:ascii="仿宋_GB2312" w:eastAsia="仿宋_GB2312"/>
      <w:b/>
      <w:bCs/>
      <w:kern w:val="2"/>
      <w:sz w:val="24"/>
      <w:szCs w:val="24"/>
      <w:lang w:val="zh-CN" w:eastAsia="zh-CN" w:bidi="ar-SA"/>
    </w:rPr>
  </w:style>
  <w:style w:type="character" w:customStyle="1" w:styleId="365">
    <w:name w:val="正文文本 2 Char"/>
    <w:qFormat/>
    <w:uiPriority w:val="0"/>
    <w:rPr>
      <w:rFonts w:eastAsia="宋体"/>
      <w:kern w:val="2"/>
      <w:sz w:val="21"/>
      <w:szCs w:val="24"/>
      <w:lang w:val="en-US" w:eastAsia="zh-CN" w:bidi="ar-SA"/>
    </w:rPr>
  </w:style>
  <w:style w:type="character" w:customStyle="1" w:styleId="366">
    <w:name w:val="tw4winJump"/>
    <w:qFormat/>
    <w:uiPriority w:val="0"/>
    <w:rPr>
      <w:rFonts w:ascii="Courier New" w:hAnsi="Courier New" w:cs="Courier New"/>
      <w:color w:val="008080"/>
      <w:lang w:val="en-US" w:eastAsia="zh-CN"/>
    </w:rPr>
  </w:style>
  <w:style w:type="character" w:customStyle="1" w:styleId="367">
    <w:name w:val="Used by Word for text of Help footnotes Char Char"/>
    <w:qFormat/>
    <w:uiPriority w:val="0"/>
    <w:rPr>
      <w:rFonts w:ascii="Times New Roman" w:hAnsi="Times New Roman" w:eastAsia="宋体" w:cs="Times New Roman"/>
      <w:sz w:val="20"/>
      <w:szCs w:val="20"/>
    </w:rPr>
  </w:style>
  <w:style w:type="character" w:customStyle="1" w:styleId="368">
    <w:name w:val="冯广丽 Char"/>
    <w:link w:val="369"/>
    <w:qFormat/>
    <w:uiPriority w:val="0"/>
    <w:rPr>
      <w:rFonts w:ascii="宋体" w:hAnsi="宋体"/>
      <w:kern w:val="2"/>
      <w:sz w:val="24"/>
      <w:szCs w:val="22"/>
    </w:rPr>
  </w:style>
  <w:style w:type="paragraph" w:customStyle="1" w:styleId="369">
    <w:name w:val="冯广丽"/>
    <w:basedOn w:val="1"/>
    <w:link w:val="368"/>
    <w:qFormat/>
    <w:uiPriority w:val="0"/>
    <w:pPr>
      <w:adjustRightInd/>
      <w:spacing w:line="360" w:lineRule="auto"/>
      <w:ind w:firstLine="480" w:firstLineChars="200"/>
    </w:pPr>
    <w:rPr>
      <w:rFonts w:ascii="宋体" w:hAnsi="宋体"/>
      <w:sz w:val="24"/>
      <w:szCs w:val="22"/>
    </w:rPr>
  </w:style>
  <w:style w:type="character" w:customStyle="1" w:styleId="370">
    <w:name w:val="正文首行缩进 Char Char Char Char Char"/>
    <w:qFormat/>
    <w:uiPriority w:val="0"/>
    <w:rPr>
      <w:rFonts w:ascii="宋体"/>
      <w:kern w:val="2"/>
      <w:sz w:val="24"/>
      <w:lang w:val="zh-CN"/>
    </w:rPr>
  </w:style>
  <w:style w:type="character" w:customStyle="1" w:styleId="371">
    <w:name w:val="正文文本 字符1"/>
    <w:qFormat/>
    <w:uiPriority w:val="0"/>
    <w:rPr>
      <w:rFonts w:ascii="Calibri" w:hAnsi="Calibri" w:eastAsia="黑体" w:cs="Arial"/>
      <w:snapToGrid w:val="0"/>
      <w:kern w:val="2"/>
      <w:sz w:val="28"/>
      <w:szCs w:val="21"/>
    </w:rPr>
  </w:style>
  <w:style w:type="character" w:customStyle="1" w:styleId="372">
    <w:name w:val="纯文本 字符"/>
    <w:qFormat/>
    <w:uiPriority w:val="0"/>
    <w:rPr>
      <w:rFonts w:ascii="宋体" w:hAnsi="Courier New" w:eastAsia="宋体" w:cs="Arial"/>
      <w:snapToGrid w:val="0"/>
      <w:kern w:val="2"/>
      <w:sz w:val="21"/>
      <w:szCs w:val="21"/>
      <w:lang w:val="en-US" w:eastAsia="zh-CN" w:bidi="ar-SA"/>
    </w:rPr>
  </w:style>
  <w:style w:type="character" w:customStyle="1" w:styleId="373">
    <w:name w:val="链接"/>
    <w:qFormat/>
    <w:uiPriority w:val="0"/>
    <w:rPr>
      <w:color w:val="0000FF"/>
      <w:sz w:val="21"/>
      <w:szCs w:val="21"/>
      <w:u w:val="single"/>
    </w:rPr>
  </w:style>
  <w:style w:type="character" w:customStyle="1" w:styleId="374">
    <w:name w:val="style91"/>
    <w:qFormat/>
    <w:uiPriority w:val="0"/>
    <w:rPr>
      <w:color w:val="333333"/>
    </w:rPr>
  </w:style>
  <w:style w:type="character" w:customStyle="1" w:styleId="375">
    <w:name w:val="副标题 Char1"/>
    <w:qFormat/>
    <w:uiPriority w:val="0"/>
    <w:rPr>
      <w:rFonts w:ascii="Cambria" w:hAnsi="Cambria" w:eastAsia="宋体" w:cs="Times New Roman"/>
      <w:b/>
      <w:bCs/>
      <w:snapToGrid w:val="0"/>
      <w:kern w:val="28"/>
      <w:sz w:val="32"/>
      <w:szCs w:val="32"/>
    </w:rPr>
  </w:style>
  <w:style w:type="character" w:customStyle="1" w:styleId="37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样式 样式 标题 4h4H4Fab-4T5Ref Heading 1rh1Heading sqlsect 1.2.3.... +... Char"/>
    <w:link w:val="380"/>
    <w:qFormat/>
    <w:uiPriority w:val="0"/>
    <w:rPr>
      <w:rFonts w:ascii="微软雅黑" w:hAnsi="微软雅黑" w:eastAsia="微软雅黑"/>
      <w:b/>
      <w:bCs/>
      <w:kern w:val="2"/>
      <w:sz w:val="24"/>
      <w:szCs w:val="28"/>
    </w:rPr>
  </w:style>
  <w:style w:type="paragraph" w:customStyle="1" w:styleId="380">
    <w:name w:val="样式 样式 标题 4h4H4Fab-4T5Ref Heading 1rh1Heading sqlsect 1.2.3.... +..."/>
    <w:basedOn w:val="130"/>
    <w:link w:val="379"/>
    <w:qFormat/>
    <w:uiPriority w:val="0"/>
  </w:style>
  <w:style w:type="character" w:customStyle="1" w:styleId="381">
    <w:name w:val="myp1111"/>
    <w:qFormat/>
    <w:uiPriority w:val="0"/>
    <w:rPr>
      <w:rFonts w:hint="default" w:ascii="ˎ̥" w:hAnsi="ˎ̥"/>
      <w:color w:val="000000"/>
      <w:sz w:val="20"/>
      <w:szCs w:val="20"/>
      <w:u w:val="none"/>
    </w:rPr>
  </w:style>
  <w:style w:type="character" w:customStyle="1" w:styleId="382">
    <w:name w:val="标题 2 Char Char"/>
    <w:qFormat/>
    <w:uiPriority w:val="0"/>
    <w:rPr>
      <w:rFonts w:ascii="楷体_GB2312" w:hAnsi="Arial" w:eastAsia="楷体_GB2312"/>
      <w:b/>
      <w:bCs/>
      <w:kern w:val="2"/>
      <w:sz w:val="24"/>
      <w:szCs w:val="32"/>
      <w:lang w:val="en-US" w:eastAsia="zh-CN" w:bidi="ar-SA"/>
    </w:rPr>
  </w:style>
  <w:style w:type="character" w:customStyle="1" w:styleId="383">
    <w:name w:val="Char Char37"/>
    <w:qFormat/>
    <w:uiPriority w:val="6"/>
    <w:rPr>
      <w:b/>
      <w:kern w:val="1"/>
      <w:sz w:val="44"/>
      <w:szCs w:val="44"/>
    </w:rPr>
  </w:style>
  <w:style w:type="character" w:customStyle="1" w:styleId="384">
    <w:name w:val="样式8 Char"/>
    <w:qFormat/>
    <w:uiPriority w:val="0"/>
    <w:rPr>
      <w:rFonts w:ascii="仿宋_GB2312" w:hAnsi="宋体" w:eastAsia="仿宋_GB2312"/>
      <w:b/>
      <w:bCs/>
      <w:kern w:val="2"/>
      <w:sz w:val="24"/>
      <w:szCs w:val="24"/>
    </w:rPr>
  </w:style>
  <w:style w:type="character" w:customStyle="1" w:styleId="385">
    <w:name w:val="Document Map Char"/>
    <w:qFormat/>
    <w:locked/>
    <w:uiPriority w:val="0"/>
    <w:rPr>
      <w:rFonts w:eastAsia="宋体"/>
      <w:kern w:val="2"/>
      <w:sz w:val="21"/>
      <w:szCs w:val="24"/>
      <w:lang w:val="en-US" w:eastAsia="zh-CN" w:bidi="ar-SA"/>
    </w:rPr>
  </w:style>
  <w:style w:type="character" w:customStyle="1" w:styleId="386">
    <w:name w:val="tw4winMark"/>
    <w:qFormat/>
    <w:uiPriority w:val="0"/>
    <w:rPr>
      <w:rFonts w:ascii="Courier New" w:hAnsi="Courier New" w:cs="Courier New"/>
      <w:vanish/>
      <w:color w:val="800080"/>
      <w:sz w:val="24"/>
      <w:szCs w:val="24"/>
      <w:vertAlign w:val="subscript"/>
    </w:rPr>
  </w:style>
  <w:style w:type="character" w:customStyle="1" w:styleId="387">
    <w:name w:val="U_正文 Char"/>
    <w:link w:val="388"/>
    <w:qFormat/>
    <w:uiPriority w:val="0"/>
    <w:rPr>
      <w:sz w:val="24"/>
      <w:szCs w:val="24"/>
    </w:rPr>
  </w:style>
  <w:style w:type="paragraph" w:customStyle="1" w:styleId="388">
    <w:name w:val="U_正文"/>
    <w:basedOn w:val="1"/>
    <w:link w:val="387"/>
    <w:qFormat/>
    <w:uiPriority w:val="0"/>
    <w:pPr>
      <w:adjustRightInd/>
      <w:spacing w:beforeLines="20" w:afterLines="20" w:line="300" w:lineRule="auto"/>
      <w:ind w:firstLine="200" w:firstLineChars="200"/>
    </w:pPr>
    <w:rPr>
      <w:kern w:val="0"/>
      <w:sz w:val="24"/>
    </w:rPr>
  </w:style>
  <w:style w:type="character" w:customStyle="1" w:styleId="389">
    <w:name w:val="md"/>
    <w:qFormat/>
    <w:uiPriority w:val="0"/>
    <w:rPr>
      <w:rFonts w:ascii="Arial" w:hAnsi="Arial" w:eastAsia="黑体" w:cs="Arial"/>
      <w:snapToGrid w:val="0"/>
      <w:kern w:val="0"/>
      <w:szCs w:val="21"/>
    </w:rPr>
  </w:style>
  <w:style w:type="character" w:customStyle="1" w:styleId="390">
    <w:name w:val="批注文字 Char2"/>
    <w:qFormat/>
    <w:uiPriority w:val="99"/>
    <w:rPr>
      <w:rFonts w:ascii="Times New Roman" w:hAnsi="Times New Roman" w:eastAsia="宋体" w:cs="Times New Roman"/>
      <w:snapToGrid w:val="0"/>
      <w:kern w:val="0"/>
      <w:szCs w:val="24"/>
    </w:rPr>
  </w:style>
  <w:style w:type="character" w:customStyle="1" w:styleId="391">
    <w:name w:val="h4 Char"/>
    <w:qFormat/>
    <w:uiPriority w:val="0"/>
    <w:rPr>
      <w:rFonts w:ascii="Arial" w:hAnsi="Arial" w:eastAsia="黑体"/>
      <w:b/>
      <w:bCs/>
      <w:kern w:val="2"/>
      <w:sz w:val="28"/>
      <w:szCs w:val="28"/>
      <w:lang w:val="zh-CN" w:eastAsia="zh-CN" w:bidi="ar-SA"/>
    </w:rPr>
  </w:style>
  <w:style w:type="character" w:customStyle="1" w:styleId="392">
    <w:name w:val="Char Char311"/>
    <w:qFormat/>
    <w:uiPriority w:val="0"/>
    <w:rPr>
      <w:rFonts w:eastAsia="宋体"/>
      <w:kern w:val="2"/>
      <w:sz w:val="21"/>
      <w:szCs w:val="24"/>
      <w:lang w:val="en-US" w:eastAsia="zh-CN" w:bidi="ar-SA"/>
    </w:rPr>
  </w:style>
  <w:style w:type="character" w:customStyle="1" w:styleId="393">
    <w:name w:val="列出段落 Char2"/>
    <w:qFormat/>
    <w:uiPriority w:val="34"/>
    <w:rPr>
      <w:rFonts w:ascii="Calibri" w:hAnsi="Calibri"/>
      <w:kern w:val="2"/>
      <w:sz w:val="28"/>
    </w:rPr>
  </w:style>
  <w:style w:type="character" w:customStyle="1" w:styleId="394">
    <w:name w:val="Char Char72"/>
    <w:qFormat/>
    <w:uiPriority w:val="0"/>
    <w:rPr>
      <w:rFonts w:eastAsia="宋体"/>
      <w:kern w:val="2"/>
      <w:sz w:val="21"/>
      <w:szCs w:val="24"/>
      <w:lang w:val="en-US" w:eastAsia="zh-CN" w:bidi="ar-SA"/>
    </w:rPr>
  </w:style>
  <w:style w:type="character" w:customStyle="1" w:styleId="395">
    <w:name w:val="页眉 字符1"/>
    <w:qFormat/>
    <w:uiPriority w:val="99"/>
    <w:rPr>
      <w:kern w:val="2"/>
      <w:sz w:val="18"/>
      <w:szCs w:val="18"/>
    </w:rPr>
  </w:style>
  <w:style w:type="character" w:customStyle="1" w:styleId="396">
    <w:name w:val="*正文 Char"/>
    <w:link w:val="397"/>
    <w:qFormat/>
    <w:locked/>
    <w:uiPriority w:val="0"/>
    <w:rPr>
      <w:rFonts w:ascii="宋体" w:hAnsi="宋体"/>
      <w:sz w:val="24"/>
    </w:rPr>
  </w:style>
  <w:style w:type="paragraph" w:customStyle="1" w:styleId="397">
    <w:name w:val="*正文"/>
    <w:basedOn w:val="1"/>
    <w:link w:val="396"/>
    <w:qFormat/>
    <w:uiPriority w:val="0"/>
    <w:pPr>
      <w:snapToGrid w:val="0"/>
      <w:spacing w:line="360" w:lineRule="auto"/>
      <w:ind w:firstLine="482"/>
      <w:jc w:val="left"/>
    </w:pPr>
    <w:rPr>
      <w:rFonts w:ascii="宋体" w:hAnsi="宋体"/>
      <w:kern w:val="0"/>
      <w:sz w:val="24"/>
      <w:szCs w:val="20"/>
    </w:rPr>
  </w:style>
  <w:style w:type="character" w:customStyle="1" w:styleId="398">
    <w:name w:val="页脚 Char"/>
    <w:qFormat/>
    <w:uiPriority w:val="0"/>
    <w:rPr>
      <w:rFonts w:eastAsia="仿宋_GB2312"/>
      <w:kern w:val="2"/>
      <w:sz w:val="18"/>
      <w:lang w:val="en-US" w:eastAsia="zh-CN"/>
    </w:rPr>
  </w:style>
  <w:style w:type="character" w:customStyle="1" w:styleId="399">
    <w:name w:val="Char Char3"/>
    <w:qFormat/>
    <w:uiPriority w:val="0"/>
    <w:rPr>
      <w:rFonts w:eastAsia="宋体"/>
      <w:kern w:val="2"/>
      <w:sz w:val="21"/>
      <w:szCs w:val="24"/>
      <w:lang w:val="en-US" w:eastAsia="zh-CN" w:bidi="ar-SA"/>
    </w:rPr>
  </w:style>
  <w:style w:type="character" w:customStyle="1" w:styleId="400">
    <w:name w:val="Char Char29"/>
    <w:qFormat/>
    <w:uiPriority w:val="6"/>
    <w:rPr>
      <w:rFonts w:ascii="Arial" w:hAnsi="Arial" w:eastAsia="微软雅黑"/>
      <w:b/>
      <w:kern w:val="1"/>
      <w:sz w:val="44"/>
      <w:szCs w:val="32"/>
      <w:lang w:val="en-US" w:eastAsia="zh-CN" w:bidi="ar-SA"/>
    </w:rPr>
  </w:style>
  <w:style w:type="character" w:customStyle="1" w:styleId="401">
    <w:name w:val="FA正文 Char Char"/>
    <w:qFormat/>
    <w:uiPriority w:val="0"/>
    <w:rPr>
      <w:rFonts w:hAnsi="宋体"/>
      <w:kern w:val="2"/>
      <w:sz w:val="24"/>
      <w:lang w:bidi="ar-SA"/>
    </w:rPr>
  </w:style>
  <w:style w:type="character" w:customStyle="1" w:styleId="402">
    <w:name w:val="content"/>
    <w:qFormat/>
    <w:uiPriority w:val="0"/>
  </w:style>
  <w:style w:type="character" w:customStyle="1" w:styleId="403">
    <w:name w:val="日期 Char1"/>
    <w:semiHidden/>
    <w:qFormat/>
    <w:uiPriority w:val="99"/>
    <w:rPr>
      <w:rFonts w:ascii="Times New Roman" w:hAnsi="Times New Roman" w:eastAsia="宋体" w:cs="Times New Roman"/>
      <w:szCs w:val="24"/>
    </w:rPr>
  </w:style>
  <w:style w:type="character" w:customStyle="1" w:styleId="404">
    <w:name w:val="插图说明 Char"/>
    <w:qFormat/>
    <w:uiPriority w:val="0"/>
    <w:rPr>
      <w:rFonts w:eastAsia="黑体"/>
      <w:sz w:val="24"/>
      <w:lang w:val="en-US" w:eastAsia="zh-CN"/>
    </w:rPr>
  </w:style>
  <w:style w:type="character" w:customStyle="1" w:styleId="405">
    <w:name w:val="Table Text Char"/>
    <w:link w:val="406"/>
    <w:qFormat/>
    <w:uiPriority w:val="0"/>
    <w:rPr>
      <w:sz w:val="24"/>
      <w:szCs w:val="24"/>
    </w:rPr>
  </w:style>
  <w:style w:type="paragraph" w:customStyle="1" w:styleId="406">
    <w:name w:val="Table Text"/>
    <w:basedOn w:val="1"/>
    <w:link w:val="405"/>
    <w:qFormat/>
    <w:uiPriority w:val="0"/>
    <w:pPr>
      <w:widowControl/>
      <w:spacing w:before="60" w:after="60"/>
      <w:jc w:val="left"/>
    </w:pPr>
    <w:rPr>
      <w:kern w:val="0"/>
      <w:sz w:val="24"/>
    </w:rPr>
  </w:style>
  <w:style w:type="character" w:customStyle="1" w:styleId="407">
    <w:name w:val="Char Char21"/>
    <w:qFormat/>
    <w:uiPriority w:val="6"/>
    <w:rPr>
      <w:rFonts w:ascii="宋体" w:hAnsi="宋体"/>
      <w:kern w:val="1"/>
      <w:sz w:val="24"/>
      <w:szCs w:val="21"/>
      <w:lang w:val="zh-CN"/>
    </w:rPr>
  </w:style>
  <w:style w:type="character" w:customStyle="1" w:styleId="408">
    <w:name w:val="Char Char102"/>
    <w:semiHidden/>
    <w:qFormat/>
    <w:uiPriority w:val="0"/>
    <w:rPr>
      <w:rFonts w:ascii="宋体" w:hAnsi="宋体"/>
      <w:kern w:val="2"/>
      <w:sz w:val="21"/>
      <w:szCs w:val="24"/>
      <w:lang w:val="en-US" w:eastAsia="zh-CN"/>
    </w:rPr>
  </w:style>
  <w:style w:type="character" w:customStyle="1" w:styleId="409">
    <w:name w:val="样式5 Char"/>
    <w:qFormat/>
    <w:uiPriority w:val="0"/>
    <w:rPr>
      <w:rFonts w:ascii="仿宋_GB2312" w:hAnsi="仿宋" w:eastAsia="仿宋_GB2312"/>
      <w:kern w:val="2"/>
      <w:sz w:val="24"/>
      <w:szCs w:val="24"/>
    </w:rPr>
  </w:style>
  <w:style w:type="character" w:customStyle="1" w:styleId="410">
    <w:name w:val="font31"/>
    <w:qFormat/>
    <w:uiPriority w:val="0"/>
    <w:rPr>
      <w:rFonts w:hint="eastAsia" w:ascii="仿宋" w:hAnsi="仿宋" w:eastAsia="仿宋" w:cs="仿宋"/>
      <w:color w:val="000000"/>
      <w:sz w:val="20"/>
      <w:szCs w:val="20"/>
      <w:u w:val="none"/>
    </w:rPr>
  </w:style>
  <w:style w:type="character" w:customStyle="1" w:styleId="411">
    <w:name w:val="表名 Char"/>
    <w:qFormat/>
    <w:uiPriority w:val="0"/>
    <w:rPr>
      <w:rFonts w:eastAsia="宋体"/>
      <w:b/>
      <w:bCs/>
      <w:kern w:val="2"/>
      <w:sz w:val="24"/>
      <w:szCs w:val="24"/>
      <w:lang w:val="en-US" w:eastAsia="zh-CN" w:bidi="ar-SA"/>
    </w:rPr>
  </w:style>
  <w:style w:type="character" w:customStyle="1" w:styleId="412">
    <w:name w:val="普通文字 Char3"/>
    <w:qFormat/>
    <w:uiPriority w:val="0"/>
    <w:rPr>
      <w:rFonts w:ascii="宋体" w:hAnsi="Courier New" w:eastAsia="宋体"/>
      <w:kern w:val="2"/>
      <w:sz w:val="21"/>
      <w:lang w:val="en-US" w:eastAsia="zh-CN" w:bidi="ar-SA"/>
    </w:rPr>
  </w:style>
  <w:style w:type="character" w:customStyle="1" w:styleId="413">
    <w:name w:val="Char Char91"/>
    <w:qFormat/>
    <w:uiPriority w:val="0"/>
    <w:rPr>
      <w:rFonts w:eastAsia="宋体"/>
      <w:kern w:val="2"/>
      <w:sz w:val="18"/>
      <w:szCs w:val="18"/>
      <w:lang w:val="en-US" w:eastAsia="zh-CN" w:bidi="ar-SA"/>
    </w:rPr>
  </w:style>
  <w:style w:type="character" w:customStyle="1" w:styleId="414">
    <w:name w:val="Char Char34"/>
    <w:qFormat/>
    <w:uiPriority w:val="6"/>
    <w:rPr>
      <w:b/>
      <w:kern w:val="1"/>
      <w:sz w:val="28"/>
      <w:szCs w:val="28"/>
    </w:rPr>
  </w:style>
  <w:style w:type="character" w:customStyle="1" w:styleId="415">
    <w:name w:val="Char Char18"/>
    <w:qFormat/>
    <w:uiPriority w:val="6"/>
    <w:rPr>
      <w:rFonts w:ascii="宋体" w:hAnsi="宋体"/>
      <w:sz w:val="28"/>
    </w:rPr>
  </w:style>
  <w:style w:type="character" w:customStyle="1" w:styleId="416">
    <w:name w:val="标题4-dyf Char"/>
    <w:link w:val="417"/>
    <w:qFormat/>
    <w:uiPriority w:val="0"/>
    <w:rPr>
      <w:rFonts w:ascii="Cambria" w:hAnsi="Cambria"/>
      <w:b/>
      <w:bCs/>
      <w:color w:val="000000"/>
      <w:kern w:val="2"/>
      <w:sz w:val="21"/>
      <w:szCs w:val="21"/>
    </w:rPr>
  </w:style>
  <w:style w:type="paragraph" w:customStyle="1" w:styleId="417">
    <w:name w:val="标题4-dyf"/>
    <w:basedOn w:val="5"/>
    <w:link w:val="41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418">
    <w:name w:val="纯文本 Char_0"/>
    <w:link w:val="419"/>
    <w:qFormat/>
    <w:uiPriority w:val="0"/>
    <w:rPr>
      <w:rFonts w:ascii="宋体" w:hAnsi="Courier New"/>
      <w:kern w:val="2"/>
      <w:sz w:val="21"/>
      <w:szCs w:val="21"/>
      <w:lang w:val="en-US" w:eastAsia="zh-CN"/>
    </w:rPr>
  </w:style>
  <w:style w:type="paragraph" w:customStyle="1" w:styleId="419">
    <w:name w:val="纯文本_0_0"/>
    <w:basedOn w:val="420"/>
    <w:link w:val="418"/>
    <w:qFormat/>
    <w:uiPriority w:val="0"/>
    <w:rPr>
      <w:rFonts w:ascii="宋体" w:hAnsi="Courier New"/>
      <w:szCs w:val="21"/>
    </w:rPr>
  </w:style>
  <w:style w:type="paragraph" w:customStyle="1" w:styleId="420">
    <w:name w:val="正文_1_0"/>
    <w:qFormat/>
    <w:uiPriority w:val="0"/>
    <w:pPr>
      <w:widowControl w:val="0"/>
      <w:jc w:val="both"/>
    </w:pPr>
    <w:rPr>
      <w:kern w:val="2"/>
      <w:sz w:val="21"/>
      <w:szCs w:val="24"/>
      <w:lang w:val="en-US" w:eastAsia="zh-CN" w:bidi="ar-SA"/>
    </w:rPr>
  </w:style>
  <w:style w:type="character" w:customStyle="1" w:styleId="421">
    <w:name w:val="批注框文本 Char1"/>
    <w:qFormat/>
    <w:uiPriority w:val="0"/>
    <w:rPr>
      <w:rFonts w:ascii="Times New Roman" w:hAnsi="Times New Roman" w:eastAsia="宋体" w:cs="Times New Roman"/>
      <w:sz w:val="18"/>
      <w:szCs w:val="18"/>
    </w:rPr>
  </w:style>
  <w:style w:type="character" w:customStyle="1" w:styleId="422">
    <w:name w:val="文本正文 Char Char"/>
    <w:qFormat/>
    <w:locked/>
    <w:uiPriority w:val="0"/>
    <w:rPr>
      <w:sz w:val="24"/>
      <w:lang w:bidi="ar-SA"/>
    </w:rPr>
  </w:style>
  <w:style w:type="character" w:customStyle="1" w:styleId="423">
    <w:name w:val="Ò³Ã¼ Char Char"/>
    <w:qFormat/>
    <w:uiPriority w:val="0"/>
    <w:rPr>
      <w:rFonts w:eastAsia="宋体"/>
      <w:kern w:val="2"/>
      <w:sz w:val="18"/>
      <w:lang w:val="en-US" w:eastAsia="zh-CN" w:bidi="ar-SA"/>
    </w:rPr>
  </w:style>
  <w:style w:type="character" w:customStyle="1" w:styleId="424">
    <w:name w:val="tpc_content1"/>
    <w:qFormat/>
    <w:uiPriority w:val="0"/>
    <w:rPr>
      <w:sz w:val="20"/>
      <w:szCs w:val="20"/>
    </w:rPr>
  </w:style>
  <w:style w:type="character" w:customStyle="1" w:styleId="425">
    <w:name w:val="标准正文格式 Char"/>
    <w:qFormat/>
    <w:uiPriority w:val="0"/>
    <w:rPr>
      <w:rFonts w:ascii="宋体" w:eastAsia="仿宋_GB2312" w:cs="宋体"/>
      <w:color w:val="000000"/>
      <w:sz w:val="24"/>
      <w:lang w:val="en-US" w:eastAsia="zh-CN" w:bidi="ar-SA"/>
    </w:rPr>
  </w:style>
  <w:style w:type="character" w:customStyle="1" w:styleId="426">
    <w:name w:val="font61"/>
    <w:qFormat/>
    <w:uiPriority w:val="0"/>
    <w:rPr>
      <w:rFonts w:hint="eastAsia" w:ascii="仿宋" w:hAnsi="仿宋" w:eastAsia="仿宋" w:cs="仿宋"/>
      <w:color w:val="000000"/>
      <w:sz w:val="20"/>
      <w:szCs w:val="20"/>
      <w:u w:val="none"/>
    </w:rPr>
  </w:style>
  <w:style w:type="character" w:customStyle="1" w:styleId="427">
    <w:name w:val="font91"/>
    <w:qFormat/>
    <w:uiPriority w:val="0"/>
    <w:rPr>
      <w:rFonts w:hint="eastAsia" w:ascii="仿宋" w:hAnsi="仿宋" w:eastAsia="仿宋" w:cs="仿宋"/>
      <w:color w:val="000000"/>
      <w:sz w:val="22"/>
      <w:szCs w:val="22"/>
      <w:u w:val="none"/>
    </w:rPr>
  </w:style>
  <w:style w:type="character" w:customStyle="1" w:styleId="428">
    <w:name w:val="正文首行缩进两字 Char"/>
    <w:qFormat/>
    <w:uiPriority w:val="0"/>
    <w:rPr>
      <w:sz w:val="24"/>
      <w:szCs w:val="24"/>
      <w:lang w:val="en-US" w:eastAsia="zh-CN" w:bidi="ar-SA"/>
    </w:rPr>
  </w:style>
  <w:style w:type="character" w:customStyle="1" w:styleId="429">
    <w:name w:val="Char Char211"/>
    <w:qFormat/>
    <w:uiPriority w:val="0"/>
    <w:rPr>
      <w:rFonts w:eastAsia="宋体"/>
      <w:b/>
      <w:bCs/>
      <w:kern w:val="2"/>
      <w:sz w:val="21"/>
      <w:szCs w:val="24"/>
      <w:lang w:val="en-US" w:eastAsia="zh-CN" w:bidi="ar-SA"/>
    </w:rPr>
  </w:style>
  <w:style w:type="character" w:customStyle="1" w:styleId="430">
    <w:name w:val="带编号样式 Char"/>
    <w:qFormat/>
    <w:uiPriority w:val="0"/>
    <w:rPr>
      <w:rFonts w:ascii="仿宋_GB2312" w:eastAsia="仿宋_GB2312"/>
      <w:color w:val="000000"/>
      <w:sz w:val="24"/>
      <w:lang w:bidi="ar-SA"/>
    </w:rPr>
  </w:style>
  <w:style w:type="character" w:customStyle="1" w:styleId="431">
    <w:name w:val="正文非缩进 Char3"/>
    <w:qFormat/>
    <w:uiPriority w:val="0"/>
    <w:rPr>
      <w:rFonts w:ascii="宋体" w:eastAsia="宋体"/>
      <w:snapToGrid w:val="0"/>
      <w:color w:val="000000"/>
      <w:kern w:val="28"/>
      <w:sz w:val="28"/>
      <w:lang w:val="en-US" w:eastAsia="zh-CN" w:bidi="ar-SA"/>
    </w:rPr>
  </w:style>
  <w:style w:type="character" w:customStyle="1" w:styleId="432">
    <w:name w:val="样式7 Char"/>
    <w:qFormat/>
    <w:uiPriority w:val="0"/>
    <w:rPr>
      <w:rFonts w:ascii="仿宋_GB2312" w:hAnsi="仿宋" w:eastAsia="仿宋_GB2312"/>
      <w:b/>
      <w:kern w:val="2"/>
      <w:sz w:val="24"/>
      <w:szCs w:val="24"/>
    </w:rPr>
  </w:style>
  <w:style w:type="character" w:customStyle="1" w:styleId="433">
    <w:name w:val="Char Char611"/>
    <w:qFormat/>
    <w:uiPriority w:val="0"/>
    <w:rPr>
      <w:rFonts w:eastAsia="宋体"/>
      <w:kern w:val="2"/>
      <w:sz w:val="21"/>
      <w:szCs w:val="24"/>
      <w:lang w:val="en-US" w:eastAsia="zh-CN" w:bidi="ar-SA"/>
    </w:rPr>
  </w:style>
  <w:style w:type="character" w:customStyle="1" w:styleId="434">
    <w:name w:val="Char Char5"/>
    <w:qFormat/>
    <w:uiPriority w:val="0"/>
    <w:rPr>
      <w:rFonts w:ascii="宋体" w:hAnsi="Courier New" w:eastAsia="宋体"/>
      <w:kern w:val="2"/>
      <w:sz w:val="21"/>
      <w:lang w:val="en-US" w:eastAsia="zh-CN"/>
    </w:rPr>
  </w:style>
  <w:style w:type="character" w:customStyle="1" w:styleId="435">
    <w:name w:val="二级标题 Char Char"/>
    <w:qFormat/>
    <w:uiPriority w:val="0"/>
    <w:rPr>
      <w:rFonts w:ascii="宋体" w:hAnsi="宋体" w:eastAsia="宋体"/>
      <w:b/>
      <w:snapToGrid w:val="0"/>
      <w:kern w:val="2"/>
      <w:sz w:val="24"/>
      <w:szCs w:val="24"/>
      <w:lang w:val="en-US" w:eastAsia="zh-CN" w:bidi="ar-SA"/>
    </w:rPr>
  </w:style>
  <w:style w:type="character" w:customStyle="1" w:styleId="436">
    <w:name w:val="脚注文本 Char1"/>
    <w:qFormat/>
    <w:uiPriority w:val="0"/>
    <w:rPr>
      <w:rFonts w:ascii="Times New Roman" w:hAnsi="Times New Roman" w:eastAsia="宋体" w:cs="Times New Roman"/>
      <w:sz w:val="18"/>
      <w:szCs w:val="18"/>
    </w:rPr>
  </w:style>
  <w:style w:type="character" w:customStyle="1" w:styleId="437">
    <w:name w:val="纯文本 Char Char Char"/>
    <w:qFormat/>
    <w:uiPriority w:val="0"/>
    <w:rPr>
      <w:rFonts w:ascii="宋体" w:hAnsi="Courier New" w:eastAsia="宋体"/>
      <w:kern w:val="2"/>
      <w:sz w:val="21"/>
      <w:lang w:val="en-US" w:eastAsia="zh-CN" w:bidi="ar-SA"/>
    </w:rPr>
  </w:style>
  <w:style w:type="character" w:customStyle="1" w:styleId="438">
    <w:name w:val="Item List Char"/>
    <w:link w:val="439"/>
    <w:qFormat/>
    <w:uiPriority w:val="0"/>
    <w:rPr>
      <w:rFonts w:ascii="Arial"/>
      <w:bCs/>
      <w:sz w:val="21"/>
      <w:szCs w:val="21"/>
      <w:lang w:val="en-US" w:eastAsia="zh-CN" w:bidi="ar-SA"/>
    </w:rPr>
  </w:style>
  <w:style w:type="paragraph" w:customStyle="1" w:styleId="439">
    <w:name w:val="Item List"/>
    <w:link w:val="438"/>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440">
    <w:name w:val="solutionfonts"/>
    <w:qFormat/>
    <w:uiPriority w:val="0"/>
  </w:style>
  <w:style w:type="character" w:customStyle="1" w:styleId="441">
    <w:name w:val="编号，小四 Char"/>
    <w:link w:val="442"/>
    <w:qFormat/>
    <w:uiPriority w:val="0"/>
    <w:rPr>
      <w:rFonts w:ascii="Arial" w:hAnsi="Arial"/>
      <w:sz w:val="24"/>
    </w:rPr>
  </w:style>
  <w:style w:type="paragraph" w:customStyle="1" w:styleId="442">
    <w:name w:val="编号，小四"/>
    <w:basedOn w:val="1"/>
    <w:link w:val="441"/>
    <w:qFormat/>
    <w:uiPriority w:val="0"/>
    <w:pPr>
      <w:tabs>
        <w:tab w:val="left" w:pos="432"/>
      </w:tabs>
      <w:adjustRightInd/>
      <w:spacing w:line="360" w:lineRule="auto"/>
      <w:ind w:left="432" w:hanging="432"/>
    </w:pPr>
    <w:rPr>
      <w:rFonts w:ascii="Arial" w:hAnsi="Arial"/>
      <w:kern w:val="0"/>
      <w:sz w:val="24"/>
      <w:szCs w:val="20"/>
    </w:rPr>
  </w:style>
  <w:style w:type="character" w:customStyle="1" w:styleId="443">
    <w:name w:val="HTML 预设格式 Char1"/>
    <w:qFormat/>
    <w:uiPriority w:val="0"/>
    <w:rPr>
      <w:rFonts w:ascii="Courier New" w:hAnsi="Courier New" w:eastAsia="宋体" w:cs="Courier New"/>
      <w:sz w:val="20"/>
      <w:szCs w:val="20"/>
    </w:rPr>
  </w:style>
  <w:style w:type="character" w:customStyle="1" w:styleId="444">
    <w:name w:val="Body Text(ch) Char Char"/>
    <w:qFormat/>
    <w:uiPriority w:val="0"/>
    <w:rPr>
      <w:rFonts w:ascii="宋体"/>
      <w:kern w:val="2"/>
      <w:sz w:val="24"/>
      <w:szCs w:val="21"/>
      <w:lang w:val="zh-CN"/>
    </w:rPr>
  </w:style>
  <w:style w:type="character" w:customStyle="1" w:styleId="445">
    <w:name w:val="Footer-Even Char1"/>
    <w:qFormat/>
    <w:uiPriority w:val="0"/>
    <w:rPr>
      <w:rFonts w:eastAsia="宋体"/>
      <w:kern w:val="2"/>
      <w:sz w:val="18"/>
      <w:szCs w:val="18"/>
      <w:lang w:val="en-US" w:eastAsia="zh-CN" w:bidi="ar-SA"/>
    </w:rPr>
  </w:style>
  <w:style w:type="character" w:customStyle="1" w:styleId="446">
    <w:name w:val="标题 Char"/>
    <w:qFormat/>
    <w:uiPriority w:val="0"/>
    <w:rPr>
      <w:rFonts w:eastAsia="宋体"/>
      <w:b/>
      <w:sz w:val="24"/>
      <w:lang w:eastAsia="zh-CN" w:bidi="ar-SA"/>
    </w:rPr>
  </w:style>
  <w:style w:type="character" w:customStyle="1" w:styleId="447">
    <w:name w:val="myp11"/>
    <w:qFormat/>
    <w:uiPriority w:val="0"/>
    <w:rPr>
      <w:rFonts w:ascii="仿宋_GB2312" w:eastAsia="微软雅黑"/>
      <w:b/>
      <w:kern w:val="2"/>
      <w:sz w:val="32"/>
      <w:szCs w:val="32"/>
      <w:lang w:val="en-US" w:eastAsia="zh-CN" w:bidi="ar-SA"/>
    </w:rPr>
  </w:style>
  <w:style w:type="character" w:customStyle="1" w:styleId="448">
    <w:name w:val="正文文本缩进 2 Char1"/>
    <w:semiHidden/>
    <w:qFormat/>
    <w:uiPriority w:val="99"/>
    <w:rPr>
      <w:rFonts w:ascii="Times New Roman" w:hAnsi="Times New Roman" w:eastAsia="宋体" w:cs="Times New Roman"/>
      <w:szCs w:val="24"/>
    </w:rPr>
  </w:style>
  <w:style w:type="character" w:customStyle="1" w:styleId="449">
    <w:name w:val="哈哈正文 Char"/>
    <w:link w:val="450"/>
    <w:qFormat/>
    <w:uiPriority w:val="0"/>
    <w:rPr>
      <w:rFonts w:ascii="宋体" w:hAnsi="宋体" w:eastAsia="宋体"/>
      <w:kern w:val="2"/>
      <w:sz w:val="24"/>
      <w:lang w:bidi="ar-SA"/>
    </w:rPr>
  </w:style>
  <w:style w:type="paragraph" w:customStyle="1" w:styleId="450">
    <w:name w:val="哈哈正文"/>
    <w:basedOn w:val="1"/>
    <w:link w:val="449"/>
    <w:qFormat/>
    <w:uiPriority w:val="0"/>
    <w:pPr>
      <w:adjustRightInd/>
      <w:spacing w:line="360" w:lineRule="auto"/>
      <w:ind w:firstLine="200" w:firstLineChars="200"/>
    </w:pPr>
    <w:rPr>
      <w:rFonts w:ascii="宋体" w:hAnsi="宋体"/>
      <w:sz w:val="24"/>
      <w:szCs w:val="20"/>
    </w:rPr>
  </w:style>
  <w:style w:type="character" w:customStyle="1" w:styleId="451">
    <w:name w:val="标题 2 Char"/>
    <w:qFormat/>
    <w:uiPriority w:val="0"/>
    <w:rPr>
      <w:rFonts w:ascii="Arial" w:hAnsi="Arial" w:eastAsia="黑体"/>
      <w:b/>
      <w:kern w:val="2"/>
      <w:sz w:val="32"/>
      <w:lang w:val="en-US" w:eastAsia="zh-CN"/>
    </w:rPr>
  </w:style>
  <w:style w:type="character" w:customStyle="1" w:styleId="452">
    <w:name w:val="样式 宋体"/>
    <w:qFormat/>
    <w:uiPriority w:val="0"/>
    <w:rPr>
      <w:rFonts w:ascii="宋体" w:hAnsi="宋体"/>
      <w:sz w:val="24"/>
    </w:rPr>
  </w:style>
  <w:style w:type="character" w:customStyle="1" w:styleId="453">
    <w:name w:val="文档结构图 Char"/>
    <w:qFormat/>
    <w:uiPriority w:val="0"/>
    <w:rPr>
      <w:rFonts w:eastAsia="宋体"/>
      <w:kern w:val="2"/>
      <w:sz w:val="21"/>
      <w:szCs w:val="24"/>
      <w:lang w:val="en-US" w:eastAsia="zh-CN" w:bidi="ar-SA"/>
    </w:rPr>
  </w:style>
  <w:style w:type="character" w:customStyle="1" w:styleId="454">
    <w:name w:val="Default Char"/>
    <w:link w:val="455"/>
    <w:qFormat/>
    <w:uiPriority w:val="0"/>
    <w:rPr>
      <w:rFonts w:ascii="仿宋_GB2312" w:eastAsia="仿宋_GB2312" w:cs="仿宋_GB2312"/>
      <w:color w:val="000000"/>
      <w:sz w:val="24"/>
      <w:szCs w:val="24"/>
      <w:lang w:val="en-US" w:eastAsia="zh-CN" w:bidi="ar-SA"/>
    </w:rPr>
  </w:style>
  <w:style w:type="paragraph" w:customStyle="1" w:styleId="455">
    <w:name w:val="Default"/>
    <w:link w:val="454"/>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456">
    <w:name w:val="gf正文1 Char"/>
    <w:qFormat/>
    <w:uiPriority w:val="0"/>
    <w:rPr>
      <w:rFonts w:ascii="宋体" w:hAnsi="宋体" w:eastAsia="宋体" w:cs="宋体"/>
      <w:kern w:val="2"/>
      <w:sz w:val="24"/>
      <w:szCs w:val="24"/>
      <w:lang w:val="en-US" w:eastAsia="zh-CN" w:bidi="ar-SA"/>
    </w:rPr>
  </w:style>
  <w:style w:type="paragraph" w:customStyle="1" w:styleId="45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5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6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46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6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46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464">
    <w:name w:val="左对齐表格文字"/>
    <w:basedOn w:val="1"/>
    <w:qFormat/>
    <w:uiPriority w:val="0"/>
    <w:pPr>
      <w:adjustRightInd/>
      <w:ind w:firstLine="200" w:firstLineChars="200"/>
      <w:jc w:val="right"/>
    </w:pPr>
  </w:style>
  <w:style w:type="paragraph" w:customStyle="1" w:styleId="46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6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7">
    <w:name w:val="彩色底纹 - 强调文字颜色 11"/>
    <w:qFormat/>
    <w:uiPriority w:val="0"/>
    <w:rPr>
      <w:kern w:val="2"/>
      <w:sz w:val="21"/>
      <w:szCs w:val="24"/>
      <w:lang w:val="en-US" w:eastAsia="zh-CN" w:bidi="ar-SA"/>
    </w:rPr>
  </w:style>
  <w:style w:type="paragraph" w:customStyle="1" w:styleId="468">
    <w:name w:val="Char3 Char Char Char1"/>
    <w:basedOn w:val="1"/>
    <w:qFormat/>
    <w:uiPriority w:val="6"/>
    <w:pPr>
      <w:widowControl/>
      <w:adjustRightInd/>
      <w:spacing w:after="160" w:line="240" w:lineRule="exact"/>
      <w:jc w:val="left"/>
    </w:pPr>
    <w:rPr>
      <w:szCs w:val="20"/>
    </w:rPr>
  </w:style>
  <w:style w:type="paragraph" w:customStyle="1" w:styleId="469">
    <w:name w:val="_Style 3"/>
    <w:basedOn w:val="1"/>
    <w:qFormat/>
    <w:uiPriority w:val="0"/>
    <w:pPr>
      <w:adjustRightInd/>
      <w:ind w:firstLine="420" w:firstLineChars="200"/>
    </w:pPr>
    <w:rPr>
      <w:rFonts w:eastAsia="仿宋_GB2312"/>
      <w:sz w:val="28"/>
    </w:rPr>
  </w:style>
  <w:style w:type="paragraph" w:customStyle="1" w:styleId="470">
    <w:name w:val="表1"/>
    <w:basedOn w:val="1"/>
    <w:qFormat/>
    <w:uiPriority w:val="0"/>
    <w:pPr>
      <w:tabs>
        <w:tab w:val="left" w:pos="703"/>
      </w:tabs>
      <w:adjustRightInd/>
      <w:spacing w:line="360" w:lineRule="auto"/>
      <w:ind w:left="703"/>
      <w:jc w:val="center"/>
    </w:pPr>
  </w:style>
  <w:style w:type="paragraph" w:customStyle="1" w:styleId="4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472">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473">
    <w:name w:val="0"/>
    <w:basedOn w:val="1"/>
    <w:qFormat/>
    <w:uiPriority w:val="0"/>
    <w:pPr>
      <w:widowControl/>
    </w:pPr>
    <w:rPr>
      <w:kern w:val="0"/>
      <w:sz w:val="24"/>
      <w:szCs w:val="20"/>
    </w:rPr>
  </w:style>
  <w:style w:type="paragraph" w:customStyle="1" w:styleId="47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7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477">
    <w:name w:val="列表内容"/>
    <w:basedOn w:val="1"/>
    <w:next w:val="1"/>
    <w:qFormat/>
    <w:uiPriority w:val="0"/>
    <w:pPr>
      <w:widowControl/>
      <w:tabs>
        <w:tab w:val="left" w:pos="840"/>
      </w:tabs>
      <w:ind w:left="840" w:hanging="420"/>
      <w:jc w:val="left"/>
    </w:pPr>
    <w:rPr>
      <w:kern w:val="0"/>
      <w:sz w:val="18"/>
    </w:rPr>
  </w:style>
  <w:style w:type="paragraph" w:customStyle="1" w:styleId="478">
    <w:name w:val="BodyText1I2"/>
    <w:basedOn w:val="479"/>
    <w:qFormat/>
    <w:uiPriority w:val="0"/>
    <w:pPr>
      <w:spacing w:line="520" w:lineRule="exact"/>
      <w:ind w:left="570" w:firstLine="420"/>
      <w:jc w:val="both"/>
      <w:textAlignment w:val="baseline"/>
    </w:pPr>
  </w:style>
  <w:style w:type="paragraph" w:customStyle="1" w:styleId="479">
    <w:name w:val="BodyTextIndent"/>
    <w:basedOn w:val="1"/>
    <w:qFormat/>
    <w:uiPriority w:val="0"/>
    <w:pPr>
      <w:spacing w:line="520" w:lineRule="exact"/>
      <w:ind w:left="570"/>
      <w:jc w:val="both"/>
      <w:textAlignment w:val="baseline"/>
    </w:pPr>
    <w:rPr>
      <w:rFonts w:ascii="方正仿宋简体" w:hAnsi="创艺简仿宋" w:eastAsia="方正仿宋简体"/>
      <w:sz w:val="24"/>
      <w:lang w:val="en-US" w:eastAsia="zh-CN" w:bidi="ar-SA"/>
    </w:rPr>
  </w:style>
  <w:style w:type="paragraph" w:customStyle="1" w:styleId="48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81">
    <w:name w:val="Char Char1121"/>
    <w:basedOn w:val="1"/>
    <w:qFormat/>
    <w:uiPriority w:val="0"/>
    <w:pPr>
      <w:spacing w:line="360" w:lineRule="auto"/>
    </w:pPr>
    <w:rPr>
      <w:szCs w:val="20"/>
    </w:rPr>
  </w:style>
  <w:style w:type="paragraph" w:customStyle="1" w:styleId="482">
    <w:name w:val="Table Paragraph"/>
    <w:basedOn w:val="1"/>
    <w:qFormat/>
    <w:uiPriority w:val="0"/>
    <w:pPr>
      <w:adjustRightInd/>
      <w:jc w:val="left"/>
    </w:pPr>
    <w:rPr>
      <w:rFonts w:ascii="Calibri" w:hAnsi="Calibri"/>
      <w:kern w:val="0"/>
      <w:sz w:val="22"/>
      <w:szCs w:val="22"/>
      <w:lang w:eastAsia="en-US"/>
    </w:rPr>
  </w:style>
  <w:style w:type="paragraph" w:customStyle="1" w:styleId="483">
    <w:name w:val="Blockquote"/>
    <w:basedOn w:val="1"/>
    <w:qFormat/>
    <w:uiPriority w:val="0"/>
    <w:pPr>
      <w:autoSpaceDE w:val="0"/>
      <w:autoSpaceDN w:val="0"/>
      <w:spacing w:before="100" w:after="100"/>
      <w:ind w:left="360" w:right="360"/>
      <w:jc w:val="left"/>
    </w:pPr>
    <w:rPr>
      <w:kern w:val="0"/>
      <w:sz w:val="24"/>
      <w:szCs w:val="20"/>
    </w:rPr>
  </w:style>
  <w:style w:type="paragraph" w:customStyle="1" w:styleId="484">
    <w:name w:val="Bulleted List"/>
    <w:basedOn w:val="1"/>
    <w:qFormat/>
    <w:uiPriority w:val="0"/>
    <w:pPr>
      <w:tabs>
        <w:tab w:val="left" w:pos="1260"/>
      </w:tabs>
      <w:adjustRightInd/>
      <w:ind w:left="1260" w:hanging="420"/>
    </w:pPr>
  </w:style>
  <w:style w:type="paragraph" w:customStyle="1" w:styleId="485">
    <w:name w:val="注释"/>
    <w:basedOn w:val="1"/>
    <w:qFormat/>
    <w:uiPriority w:val="0"/>
    <w:pPr>
      <w:adjustRightInd/>
      <w:spacing w:line="360" w:lineRule="auto"/>
      <w:ind w:firstLine="480"/>
    </w:pPr>
    <w:rPr>
      <w:sz w:val="24"/>
    </w:rPr>
  </w:style>
  <w:style w:type="paragraph" w:customStyle="1" w:styleId="486">
    <w:name w:val="*Body 1"/>
    <w:qFormat/>
    <w:uiPriority w:val="0"/>
    <w:pPr>
      <w:spacing w:after="240" w:line="360" w:lineRule="auto"/>
      <w:ind w:left="-1276" w:firstLine="454"/>
    </w:pPr>
    <w:rPr>
      <w:sz w:val="22"/>
      <w:lang w:val="en-US" w:eastAsia="en-US" w:bidi="ar-SA"/>
    </w:rPr>
  </w:style>
  <w:style w:type="paragraph" w:customStyle="1" w:styleId="4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8">
    <w:name w:val="列出段落111"/>
    <w:basedOn w:val="1"/>
    <w:qFormat/>
    <w:uiPriority w:val="34"/>
    <w:pPr>
      <w:ind w:firstLine="420" w:firstLineChars="200"/>
    </w:pPr>
  </w:style>
  <w:style w:type="paragraph" w:customStyle="1" w:styleId="489">
    <w:name w:val="subhead 2"/>
    <w:qFormat/>
    <w:uiPriority w:val="0"/>
    <w:pPr>
      <w:spacing w:after="60" w:line="240" w:lineRule="exact"/>
    </w:pPr>
    <w:rPr>
      <w:rFonts w:ascii="Arial" w:hAnsi="Arial"/>
      <w:b/>
      <w:sz w:val="22"/>
      <w:lang w:val="en-US" w:eastAsia="en-US" w:bidi="ar-SA"/>
    </w:rPr>
  </w:style>
  <w:style w:type="paragraph" w:customStyle="1" w:styleId="49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91">
    <w:name w:val="Thf"/>
    <w:basedOn w:val="492"/>
    <w:qFormat/>
    <w:uiPriority w:val="0"/>
    <w:pPr>
      <w:ind w:left="0"/>
    </w:pPr>
  </w:style>
  <w:style w:type="paragraph" w:customStyle="1" w:styleId="492">
    <w:name w:val="Th"/>
    <w:qFormat/>
    <w:uiPriority w:val="0"/>
    <w:pPr>
      <w:keepNext/>
      <w:keepLines/>
      <w:spacing w:before="20" w:after="60" w:line="220" w:lineRule="exact"/>
      <w:ind w:left="240"/>
    </w:pPr>
    <w:rPr>
      <w:b/>
      <w:sz w:val="19"/>
      <w:lang w:val="en-US" w:eastAsia="en-US" w:bidi="ar-SA"/>
    </w:rPr>
  </w:style>
  <w:style w:type="paragraph" w:customStyle="1" w:styleId="493">
    <w:name w:val="无间隔2"/>
    <w:qFormat/>
    <w:uiPriority w:val="0"/>
    <w:pPr>
      <w:widowControl w:val="0"/>
      <w:jc w:val="both"/>
    </w:pPr>
    <w:rPr>
      <w:kern w:val="2"/>
      <w:sz w:val="21"/>
      <w:szCs w:val="22"/>
      <w:lang w:val="en-US" w:eastAsia="zh-CN" w:bidi="ar-SA"/>
    </w:rPr>
  </w:style>
  <w:style w:type="paragraph" w:customStyle="1" w:styleId="49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9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6">
    <w:name w:val="正文 图"/>
    <w:basedOn w:val="497"/>
    <w:qFormat/>
    <w:uiPriority w:val="0"/>
    <w:pPr>
      <w:adjustRightInd/>
      <w:spacing w:before="0"/>
      <w:ind w:firstLine="0"/>
      <w:jc w:val="center"/>
    </w:pPr>
    <w:rPr>
      <w:rFonts w:ascii="微软雅黑" w:hAnsi="微软雅黑"/>
    </w:rPr>
  </w:style>
  <w:style w:type="paragraph" w:customStyle="1" w:styleId="497">
    <w:name w:val="My正文"/>
    <w:basedOn w:val="1"/>
    <w:qFormat/>
    <w:uiPriority w:val="0"/>
    <w:pPr>
      <w:spacing w:before="120" w:line="360" w:lineRule="auto"/>
      <w:ind w:firstLine="567"/>
    </w:pPr>
    <w:rPr>
      <w:rFonts w:ascii="Arial" w:hAnsi="Arial"/>
      <w:sz w:val="20"/>
      <w:szCs w:val="20"/>
    </w:rPr>
  </w:style>
  <w:style w:type="paragraph" w:customStyle="1" w:styleId="498">
    <w:name w:val="Char Char112"/>
    <w:basedOn w:val="1"/>
    <w:qFormat/>
    <w:uiPriority w:val="6"/>
    <w:pPr>
      <w:widowControl/>
      <w:spacing w:after="160" w:line="240" w:lineRule="exact"/>
      <w:jc w:val="left"/>
    </w:pPr>
    <w:rPr>
      <w:rFonts w:eastAsia="仿宋_GB2312"/>
      <w:sz w:val="28"/>
    </w:rPr>
  </w:style>
  <w:style w:type="paragraph" w:customStyle="1" w:styleId="4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02">
    <w:name w:val="数字标题1"/>
    <w:basedOn w:val="3"/>
    <w:next w:val="1"/>
    <w:qFormat/>
    <w:uiPriority w:val="0"/>
    <w:pPr>
      <w:tabs>
        <w:tab w:val="left" w:pos="480"/>
        <w:tab w:val="clear" w:pos="432"/>
      </w:tabs>
      <w:ind w:left="480" w:hanging="480"/>
    </w:pPr>
  </w:style>
  <w:style w:type="paragraph" w:customStyle="1" w:styleId="5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04">
    <w:name w:val="表格 内容"/>
    <w:basedOn w:val="505"/>
    <w:qFormat/>
    <w:uiPriority w:val="0"/>
    <w:rPr>
      <w:b w:val="0"/>
      <w:sz w:val="20"/>
    </w:rPr>
  </w:style>
  <w:style w:type="paragraph" w:customStyle="1" w:styleId="50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0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0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0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1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12">
    <w:name w:val="U_编号2"/>
    <w:basedOn w:val="1"/>
    <w:qFormat/>
    <w:uiPriority w:val="0"/>
    <w:pPr>
      <w:tabs>
        <w:tab w:val="left" w:pos="785"/>
      </w:tabs>
      <w:adjustRightInd/>
      <w:spacing w:beforeLines="10" w:afterLines="10" w:line="300" w:lineRule="auto"/>
    </w:pPr>
    <w:rPr>
      <w:sz w:val="24"/>
    </w:rPr>
  </w:style>
  <w:style w:type="paragraph" w:customStyle="1" w:styleId="5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4">
    <w:name w:val="正文箭头"/>
    <w:basedOn w:val="515"/>
    <w:qFormat/>
    <w:uiPriority w:val="0"/>
    <w:pPr>
      <w:tabs>
        <w:tab w:val="left" w:pos="0"/>
        <w:tab w:val="left" w:pos="703"/>
      </w:tabs>
    </w:pPr>
  </w:style>
  <w:style w:type="paragraph" w:customStyle="1" w:styleId="51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1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17">
    <w:name w:val="MM Empty"/>
    <w:basedOn w:val="1"/>
    <w:qFormat/>
    <w:uiPriority w:val="0"/>
    <w:pPr>
      <w:adjustRightInd/>
    </w:pPr>
  </w:style>
  <w:style w:type="paragraph" w:customStyle="1" w:styleId="518">
    <w:name w:val="3级标题"/>
    <w:basedOn w:val="519"/>
    <w:qFormat/>
    <w:uiPriority w:val="0"/>
    <w:pPr>
      <w:outlineLvl w:val="2"/>
    </w:pPr>
  </w:style>
  <w:style w:type="paragraph" w:customStyle="1" w:styleId="519">
    <w:name w:val="2级标题"/>
    <w:basedOn w:val="520"/>
    <w:qFormat/>
    <w:uiPriority w:val="0"/>
    <w:pPr>
      <w:jc w:val="left"/>
      <w:outlineLvl w:val="1"/>
    </w:pPr>
    <w:rPr>
      <w:rFonts w:ascii="Times New Roman" w:hAnsi="Times New Roman" w:eastAsia="仿宋"/>
      <w:sz w:val="30"/>
    </w:rPr>
  </w:style>
  <w:style w:type="paragraph" w:customStyle="1" w:styleId="52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52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22">
    <w:name w:val="CM14"/>
    <w:basedOn w:val="455"/>
    <w:next w:val="455"/>
    <w:qFormat/>
    <w:uiPriority w:val="0"/>
    <w:pPr>
      <w:spacing w:after="68"/>
    </w:pPr>
    <w:rPr>
      <w:rFonts w:ascii="FHLHE E+ Futura Bk" w:eastAsia="FHLHE E+ Futura Bk" w:cs="Times New Roman"/>
      <w:color w:val="auto"/>
    </w:rPr>
  </w:style>
  <w:style w:type="paragraph" w:customStyle="1" w:styleId="523">
    <w:name w:val="默认段落字体 Para Char Char Char Char Char Char Char"/>
    <w:basedOn w:val="1"/>
    <w:qFormat/>
    <w:uiPriority w:val="0"/>
    <w:rPr>
      <w:rFonts w:eastAsia="仿宋_GB2312"/>
      <w:sz w:val="28"/>
      <w:szCs w:val="20"/>
    </w:rPr>
  </w:style>
  <w:style w:type="paragraph" w:customStyle="1" w:styleId="52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2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52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2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2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52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30">
    <w:name w:val="Char24"/>
    <w:basedOn w:val="1"/>
    <w:qFormat/>
    <w:uiPriority w:val="0"/>
    <w:rPr>
      <w:rFonts w:ascii="仿宋_GB2312" w:eastAsia="仿宋_GB2312"/>
      <w:b/>
      <w:sz w:val="32"/>
      <w:szCs w:val="32"/>
    </w:rPr>
  </w:style>
  <w:style w:type="paragraph" w:customStyle="1" w:styleId="531">
    <w:name w:val="Char Char Char Char Char Char Char Char Char Char Char Char1 Char2"/>
    <w:basedOn w:val="1"/>
    <w:qFormat/>
    <w:uiPriority w:val="0"/>
    <w:rPr>
      <w:rFonts w:ascii="Tahoma" w:hAnsi="Tahoma" w:cs="仿宋_GB2312"/>
      <w:sz w:val="24"/>
      <w:szCs w:val="20"/>
    </w:rPr>
  </w:style>
  <w:style w:type="paragraph" w:customStyle="1" w:styleId="53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33">
    <w:name w:val="浅色底纹 - 强调文字颜色 51"/>
    <w:qFormat/>
    <w:uiPriority w:val="0"/>
    <w:rPr>
      <w:kern w:val="2"/>
      <w:sz w:val="21"/>
      <w:szCs w:val="24"/>
      <w:lang w:val="en-US" w:eastAsia="zh-CN" w:bidi="ar-SA"/>
    </w:rPr>
  </w:style>
  <w:style w:type="paragraph" w:customStyle="1" w:styleId="534">
    <w:name w:val="五级条标题"/>
    <w:basedOn w:val="535"/>
    <w:next w:val="540"/>
    <w:qFormat/>
    <w:uiPriority w:val="0"/>
    <w:pPr>
      <w:tabs>
        <w:tab w:val="left" w:pos="3360"/>
      </w:tabs>
      <w:ind w:left="3360"/>
      <w:outlineLvl w:val="6"/>
    </w:pPr>
  </w:style>
  <w:style w:type="paragraph" w:customStyle="1" w:styleId="535">
    <w:name w:val="四级条标题"/>
    <w:basedOn w:val="536"/>
    <w:next w:val="540"/>
    <w:qFormat/>
    <w:uiPriority w:val="0"/>
    <w:pPr>
      <w:tabs>
        <w:tab w:val="left" w:pos="2940"/>
      </w:tabs>
      <w:ind w:left="2940"/>
      <w:outlineLvl w:val="5"/>
    </w:pPr>
  </w:style>
  <w:style w:type="paragraph" w:customStyle="1" w:styleId="536">
    <w:name w:val="三级条标题"/>
    <w:basedOn w:val="537"/>
    <w:next w:val="540"/>
    <w:qFormat/>
    <w:uiPriority w:val="0"/>
    <w:pPr>
      <w:tabs>
        <w:tab w:val="left" w:pos="2520"/>
      </w:tabs>
      <w:ind w:left="2520"/>
      <w:outlineLvl w:val="4"/>
    </w:pPr>
  </w:style>
  <w:style w:type="paragraph" w:customStyle="1" w:styleId="537">
    <w:name w:val="二级条标题"/>
    <w:basedOn w:val="538"/>
    <w:next w:val="540"/>
    <w:qFormat/>
    <w:uiPriority w:val="0"/>
    <w:pPr>
      <w:tabs>
        <w:tab w:val="left" w:pos="2100"/>
      </w:tabs>
      <w:ind w:left="0"/>
      <w:outlineLvl w:val="3"/>
    </w:pPr>
  </w:style>
  <w:style w:type="paragraph" w:customStyle="1" w:styleId="538">
    <w:name w:val="一级条标题"/>
    <w:basedOn w:val="539"/>
    <w:next w:val="540"/>
    <w:qFormat/>
    <w:uiPriority w:val="0"/>
    <w:pPr>
      <w:tabs>
        <w:tab w:val="left" w:pos="1680"/>
      </w:tabs>
      <w:spacing w:before="0" w:beforeLines="0" w:after="0" w:afterLines="0"/>
      <w:ind w:left="1680"/>
      <w:outlineLvl w:val="2"/>
    </w:pPr>
  </w:style>
  <w:style w:type="paragraph" w:customStyle="1" w:styleId="539">
    <w:name w:val="章标题"/>
    <w:next w:val="540"/>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540">
    <w:name w:val="段"/>
    <w:qFormat/>
    <w:uiPriority w:val="0"/>
    <w:pPr>
      <w:autoSpaceDE w:val="0"/>
      <w:autoSpaceDN w:val="0"/>
      <w:ind w:firstLine="200" w:firstLineChars="200"/>
      <w:jc w:val="both"/>
    </w:pPr>
    <w:rPr>
      <w:rFonts w:ascii="宋体"/>
      <w:sz w:val="21"/>
      <w:lang w:val="en-US" w:eastAsia="zh-CN" w:bidi="ar-SA"/>
    </w:rPr>
  </w:style>
  <w:style w:type="paragraph" w:customStyle="1" w:styleId="54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2">
    <w:name w:val="Char Char110"/>
    <w:basedOn w:val="1"/>
    <w:qFormat/>
    <w:uiPriority w:val="6"/>
    <w:pPr>
      <w:spacing w:line="360" w:lineRule="auto"/>
    </w:pPr>
    <w:rPr>
      <w:rFonts w:ascii="Tahoma" w:hAnsi="Tahoma"/>
      <w:sz w:val="24"/>
      <w:szCs w:val="20"/>
    </w:rPr>
  </w:style>
  <w:style w:type="paragraph" w:customStyle="1" w:styleId="543">
    <w:name w:val="数字标题5"/>
    <w:basedOn w:val="6"/>
    <w:next w:val="1"/>
    <w:qFormat/>
    <w:uiPriority w:val="0"/>
    <w:pPr>
      <w:tabs>
        <w:tab w:val="left" w:pos="1080"/>
        <w:tab w:val="clear" w:pos="1008"/>
      </w:tabs>
      <w:ind w:left="1080" w:hanging="1080"/>
    </w:p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2">
    <w:name w:val="a1"/>
    <w:basedOn w:val="1"/>
    <w:qFormat/>
    <w:uiPriority w:val="0"/>
    <w:pPr>
      <w:widowControl/>
      <w:spacing w:line="300" w:lineRule="atLeast"/>
      <w:jc w:val="left"/>
    </w:pPr>
    <w:rPr>
      <w:rFonts w:ascii="宋体" w:hAnsi="宋体"/>
      <w:kern w:val="0"/>
      <w:sz w:val="18"/>
      <w:szCs w:val="20"/>
    </w:rPr>
  </w:style>
  <w:style w:type="paragraph" w:customStyle="1" w:styleId="5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 Char Char Char Char Char Char2"/>
    <w:basedOn w:val="1"/>
    <w:qFormat/>
    <w:uiPriority w:val="0"/>
    <w:rPr>
      <w:rFonts w:ascii="仿宋_GB2312" w:eastAsia="仿宋_GB2312"/>
      <w:b/>
      <w:sz w:val="32"/>
      <w:szCs w:val="20"/>
    </w:rPr>
  </w:style>
  <w:style w:type="paragraph" w:customStyle="1" w:styleId="559">
    <w:name w:val="列出段落5"/>
    <w:basedOn w:val="1"/>
    <w:qFormat/>
    <w:uiPriority w:val="0"/>
    <w:pPr>
      <w:spacing w:line="360" w:lineRule="auto"/>
      <w:ind w:firstLine="200" w:firstLineChars="200"/>
    </w:pPr>
    <w:rPr>
      <w:rFonts w:eastAsia="楷体_GB2312" w:cs="Lucida Sans"/>
      <w:sz w:val="24"/>
    </w:rPr>
  </w:style>
  <w:style w:type="paragraph" w:customStyle="1" w:styleId="560">
    <w:name w:val="Char Char Char Char Char Char Char Char Char Char Char Char1 Char"/>
    <w:basedOn w:val="1"/>
    <w:qFormat/>
    <w:uiPriority w:val="0"/>
    <w:rPr>
      <w:rFonts w:ascii="Tahoma" w:hAnsi="Tahoma" w:cs="仿宋_GB2312"/>
      <w:sz w:val="24"/>
      <w:szCs w:val="20"/>
    </w:rPr>
  </w:style>
  <w:style w:type="paragraph" w:customStyle="1" w:styleId="561">
    <w:name w:val="样式 左侧:  0.85 厘米"/>
    <w:basedOn w:val="1"/>
    <w:qFormat/>
    <w:uiPriority w:val="2"/>
    <w:pPr>
      <w:adjustRightInd/>
      <w:spacing w:line="360" w:lineRule="auto"/>
    </w:pPr>
    <w:rPr>
      <w:rFonts w:cs="宋体"/>
      <w:sz w:val="24"/>
      <w:szCs w:val="20"/>
    </w:rPr>
  </w:style>
  <w:style w:type="paragraph" w:customStyle="1" w:styleId="562">
    <w:name w:val="正文 内标"/>
    <w:basedOn w:val="563"/>
    <w:qFormat/>
    <w:uiPriority w:val="0"/>
    <w:pPr>
      <w:tabs>
        <w:tab w:val="left" w:pos="0"/>
      </w:tabs>
      <w:ind w:left="900" w:firstLine="0" w:firstLineChars="0"/>
    </w:pPr>
  </w:style>
  <w:style w:type="paragraph" w:customStyle="1" w:styleId="56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64">
    <w:name w:val="正文文本 23"/>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565">
    <w:name w:val="_Style 1"/>
    <w:basedOn w:val="1"/>
    <w:qFormat/>
    <w:uiPriority w:val="34"/>
    <w:pPr>
      <w:adjustRightInd/>
      <w:ind w:firstLine="420" w:firstLineChars="200"/>
    </w:pPr>
    <w:rPr>
      <w:rFonts w:eastAsia="仿宋_GB2312"/>
      <w:sz w:val="28"/>
    </w:rPr>
  </w:style>
  <w:style w:type="paragraph" w:customStyle="1" w:styleId="566">
    <w:name w:val="Char311"/>
    <w:basedOn w:val="1"/>
    <w:qFormat/>
    <w:uiPriority w:val="0"/>
    <w:pPr>
      <w:adjustRightInd/>
      <w:ind w:firstLine="200" w:firstLineChars="200"/>
    </w:pPr>
    <w:rPr>
      <w:rFonts w:ascii="Tahoma" w:hAnsi="Tahoma"/>
      <w:sz w:val="24"/>
      <w:szCs w:val="20"/>
    </w:rPr>
  </w:style>
  <w:style w:type="paragraph" w:customStyle="1" w:styleId="5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6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69">
    <w:name w:val="Char Char Char Char"/>
    <w:basedOn w:val="1"/>
    <w:qFormat/>
    <w:uiPriority w:val="0"/>
    <w:rPr>
      <w:rFonts w:ascii="Tahoma" w:hAnsi="Tahoma"/>
      <w:sz w:val="24"/>
      <w:szCs w:val="20"/>
    </w:rPr>
  </w:style>
  <w:style w:type="paragraph" w:customStyle="1" w:styleId="570">
    <w:name w:val="Char Char11 Char Char Char2"/>
    <w:basedOn w:val="1"/>
    <w:qFormat/>
    <w:uiPriority w:val="0"/>
    <w:pPr>
      <w:spacing w:line="360" w:lineRule="auto"/>
    </w:pPr>
    <w:rPr>
      <w:szCs w:val="20"/>
    </w:rPr>
  </w:style>
  <w:style w:type="paragraph" w:customStyle="1" w:styleId="57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72">
    <w:name w:val="Char Char Char Char Char Char Char Char Char Char2"/>
    <w:basedOn w:val="1"/>
    <w:qFormat/>
    <w:uiPriority w:val="0"/>
    <w:rPr>
      <w:rFonts w:ascii="仿宋_GB2312" w:eastAsia="仿宋_GB2312"/>
      <w:b/>
      <w:sz w:val="32"/>
      <w:szCs w:val="32"/>
    </w:rPr>
  </w:style>
  <w:style w:type="paragraph" w:customStyle="1" w:styleId="573">
    <w:name w:val="标准小四"/>
    <w:basedOn w:val="1"/>
    <w:qFormat/>
    <w:uiPriority w:val="0"/>
    <w:pPr>
      <w:spacing w:line="360" w:lineRule="auto"/>
      <w:ind w:firstLine="480" w:firstLineChars="200"/>
    </w:pPr>
    <w:rPr>
      <w:rFonts w:ascii="Arial" w:hAnsi="Arial"/>
      <w:sz w:val="24"/>
      <w:szCs w:val="21"/>
    </w:rPr>
  </w:style>
  <w:style w:type="paragraph" w:customStyle="1" w:styleId="57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57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7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7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80">
    <w:name w:val="Char3 Char Char Char11"/>
    <w:basedOn w:val="1"/>
    <w:qFormat/>
    <w:uiPriority w:val="0"/>
    <w:pPr>
      <w:widowControl/>
      <w:adjustRightInd/>
      <w:spacing w:after="160" w:line="240" w:lineRule="exact"/>
      <w:jc w:val="left"/>
    </w:pPr>
    <w:rPr>
      <w:szCs w:val="20"/>
    </w:rPr>
  </w:style>
  <w:style w:type="paragraph" w:customStyle="1" w:styleId="58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8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3">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8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85">
    <w:name w:val="表文字"/>
    <w:qFormat/>
    <w:uiPriority w:val="0"/>
    <w:rPr>
      <w:rFonts w:ascii="宋体"/>
      <w:kern w:val="2"/>
      <w:lang w:val="en-US" w:eastAsia="zh-CN" w:bidi="ar-SA"/>
    </w:rPr>
  </w:style>
  <w:style w:type="paragraph" w:customStyle="1" w:styleId="586">
    <w:name w:val="表格标题2"/>
    <w:basedOn w:val="587"/>
    <w:qFormat/>
    <w:uiPriority w:val="0"/>
    <w:rPr>
      <w:b/>
    </w:rPr>
  </w:style>
  <w:style w:type="paragraph" w:customStyle="1" w:styleId="587">
    <w:name w:val="表格内文"/>
    <w:basedOn w:val="1"/>
    <w:qFormat/>
    <w:uiPriority w:val="0"/>
    <w:pPr>
      <w:adjustRightInd/>
      <w:spacing w:line="360" w:lineRule="auto"/>
    </w:pPr>
    <w:rPr>
      <w:rFonts w:ascii="宋体" w:hAnsi="宋体" w:cs="宋体"/>
      <w:color w:val="000000"/>
      <w:szCs w:val="20"/>
    </w:rPr>
  </w:style>
  <w:style w:type="paragraph" w:customStyle="1" w:styleId="58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92">
    <w:name w:val="Body Text 2*"/>
    <w:basedOn w:val="1"/>
    <w:qFormat/>
    <w:uiPriority w:val="6"/>
    <w:pPr>
      <w:widowControl/>
      <w:adjustRightInd/>
      <w:ind w:left="720" w:hanging="720"/>
    </w:pPr>
    <w:rPr>
      <w:color w:val="000000"/>
      <w:kern w:val="0"/>
      <w:sz w:val="24"/>
      <w:szCs w:val="20"/>
      <w:lang/>
    </w:rPr>
  </w:style>
  <w:style w:type="paragraph" w:customStyle="1" w:styleId="593">
    <w:name w:val="正文1.25"/>
    <w:basedOn w:val="1"/>
    <w:qFormat/>
    <w:uiPriority w:val="0"/>
    <w:pPr>
      <w:adjustRightInd/>
      <w:spacing w:line="300" w:lineRule="auto"/>
      <w:ind w:firstLine="480" w:firstLineChars="200"/>
    </w:pPr>
    <w:rPr>
      <w:sz w:val="24"/>
      <w:szCs w:val="20"/>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96">
    <w:name w:val="批注框文本 Char Char"/>
    <w:basedOn w:val="1"/>
    <w:qFormat/>
    <w:uiPriority w:val="0"/>
    <w:pPr>
      <w:adjustRightInd/>
    </w:pPr>
    <w:rPr>
      <w:sz w:val="18"/>
      <w:szCs w:val="20"/>
    </w:rPr>
  </w:style>
  <w:style w:type="paragraph" w:customStyle="1" w:styleId="597">
    <w:name w:val="封面公司名"/>
    <w:qFormat/>
    <w:uiPriority w:val="0"/>
    <w:pPr>
      <w:jc w:val="center"/>
    </w:pPr>
    <w:rPr>
      <w:rFonts w:ascii="Arial" w:hAnsi="Arial" w:eastAsia="楷体_GB2312" w:cs="宋体"/>
      <w:bCs/>
      <w:kern w:val="2"/>
      <w:sz w:val="28"/>
      <w:lang w:val="en-US" w:eastAsia="zh-CN" w:bidi="ar-SA"/>
    </w:rPr>
  </w:style>
  <w:style w:type="paragraph" w:customStyle="1" w:styleId="598">
    <w:name w:val="p1"/>
    <w:basedOn w:val="1"/>
    <w:qFormat/>
    <w:uiPriority w:val="0"/>
    <w:pPr>
      <w:widowControl/>
      <w:adjustRightInd/>
      <w:jc w:val="left"/>
    </w:pPr>
    <w:rPr>
      <w:rFonts w:ascii=".PingFang SC" w:eastAsia=".PingFang SC"/>
      <w:color w:val="454545"/>
      <w:kern w:val="0"/>
      <w:sz w:val="18"/>
      <w:szCs w:val="18"/>
    </w:rPr>
  </w:style>
  <w:style w:type="paragraph" w:customStyle="1" w:styleId="599">
    <w:name w:val="数字标题3"/>
    <w:basedOn w:val="4"/>
    <w:next w:val="1"/>
    <w:qFormat/>
    <w:uiPriority w:val="0"/>
    <w:pPr>
      <w:spacing w:line="240" w:lineRule="auto"/>
    </w:pPr>
    <w:rPr>
      <w:sz w:val="28"/>
      <w:szCs w:val="28"/>
    </w:rPr>
  </w:style>
  <w:style w:type="paragraph" w:customStyle="1" w:styleId="600">
    <w:name w:val="Char Char11 Char Char Char"/>
    <w:basedOn w:val="1"/>
    <w:qFormat/>
    <w:uiPriority w:val="0"/>
    <w:pPr>
      <w:spacing w:line="360" w:lineRule="auto"/>
    </w:pPr>
    <w:rPr>
      <w:szCs w:val="20"/>
    </w:rPr>
  </w:style>
  <w:style w:type="paragraph" w:customStyle="1" w:styleId="6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60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0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60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06">
    <w:name w:val="Char2"/>
    <w:basedOn w:val="1"/>
    <w:qFormat/>
    <w:uiPriority w:val="0"/>
    <w:rPr>
      <w:rFonts w:ascii="仿宋_GB2312" w:eastAsia="仿宋_GB2312"/>
      <w:b/>
      <w:sz w:val="32"/>
      <w:szCs w:val="32"/>
    </w:rPr>
  </w:style>
  <w:style w:type="paragraph" w:customStyle="1" w:styleId="607">
    <w:name w:val="Plain Text1"/>
    <w:basedOn w:val="1"/>
    <w:qFormat/>
    <w:uiPriority w:val="7"/>
    <w:pPr>
      <w:adjustRightInd/>
    </w:pPr>
    <w:rPr>
      <w:rFonts w:ascii="宋体" w:hAnsi="Courier New"/>
    </w:rPr>
  </w:style>
  <w:style w:type="paragraph" w:customStyle="1" w:styleId="60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09">
    <w:name w:val="_标题2"/>
    <w:basedOn w:val="610"/>
    <w:next w:val="6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610">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61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12">
    <w:name w:val="_Style 11"/>
    <w:basedOn w:val="1"/>
    <w:qFormat/>
    <w:uiPriority w:val="34"/>
    <w:pPr>
      <w:adjustRightInd/>
      <w:ind w:firstLine="420" w:firstLineChars="200"/>
    </w:pPr>
    <w:rPr>
      <w:rFonts w:eastAsia="仿宋_GB2312"/>
      <w:sz w:val="28"/>
    </w:rPr>
  </w:style>
  <w:style w:type="paragraph" w:customStyle="1" w:styleId="61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1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615">
    <w:name w:val="Char Char1 Char Char1 Char Char1"/>
    <w:basedOn w:val="1"/>
    <w:qFormat/>
    <w:uiPriority w:val="0"/>
    <w:pPr>
      <w:tabs>
        <w:tab w:val="left" w:pos="840"/>
      </w:tabs>
      <w:ind w:left="840" w:hanging="420"/>
    </w:pPr>
    <w:rPr>
      <w:rFonts w:ascii="Tahoma" w:hAnsi="Tahoma"/>
      <w:sz w:val="24"/>
    </w:rPr>
  </w:style>
  <w:style w:type="paragraph" w:customStyle="1" w:styleId="6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1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8">
    <w:name w:val="文章标题"/>
    <w:next w:val="59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1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22">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623">
    <w:name w:val="Table Cell"/>
    <w:qFormat/>
    <w:uiPriority w:val="0"/>
    <w:pPr>
      <w:adjustRightInd w:val="0"/>
      <w:snapToGrid w:val="0"/>
      <w:spacing w:before="20" w:after="20"/>
    </w:pPr>
    <w:rPr>
      <w:rFonts w:ascii="Courier New" w:hAnsi="Courier New"/>
      <w:sz w:val="24"/>
      <w:lang w:val="en-US" w:eastAsia="zh-CN" w:bidi="ar-SA"/>
    </w:rPr>
  </w:style>
  <w:style w:type="paragraph" w:customStyle="1" w:styleId="624">
    <w:name w:val="正文（标题三）"/>
    <w:basedOn w:val="1"/>
    <w:qFormat/>
    <w:uiPriority w:val="0"/>
    <w:pPr>
      <w:spacing w:line="360" w:lineRule="auto"/>
      <w:ind w:firstLine="200" w:firstLineChars="200"/>
    </w:pPr>
    <w:rPr>
      <w:sz w:val="24"/>
    </w:rPr>
  </w:style>
  <w:style w:type="paragraph" w:customStyle="1" w:styleId="62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27">
    <w:name w:val="MM Topic 1"/>
    <w:basedOn w:val="3"/>
    <w:qFormat/>
    <w:uiPriority w:val="0"/>
    <w:pPr>
      <w:tabs>
        <w:tab w:val="left" w:pos="840"/>
        <w:tab w:val="clear" w:pos="432"/>
      </w:tabs>
      <w:adjustRightInd/>
      <w:ind w:left="840" w:hanging="420"/>
    </w:pPr>
  </w:style>
  <w:style w:type="paragraph" w:customStyle="1" w:styleId="62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2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0">
    <w:name w:val="Char2 Char Char Char"/>
    <w:basedOn w:val="1"/>
    <w:qFormat/>
    <w:uiPriority w:val="0"/>
    <w:rPr>
      <w:rFonts w:ascii="仿宋_GB2312" w:eastAsia="仿宋_GB2312"/>
      <w:b/>
      <w:sz w:val="32"/>
      <w:szCs w:val="32"/>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34">
    <w:name w:val="Char Char Char Char Char Char Char"/>
    <w:basedOn w:val="1"/>
    <w:qFormat/>
    <w:uiPriority w:val="0"/>
    <w:rPr>
      <w:rFonts w:ascii="仿宋_GB2312" w:eastAsia="仿宋_GB2312"/>
      <w:b/>
      <w:sz w:val="32"/>
      <w:szCs w:val="32"/>
    </w:rPr>
  </w:style>
  <w:style w:type="paragraph" w:customStyle="1" w:styleId="635">
    <w:name w:val="List Paragraph1"/>
    <w:basedOn w:val="1"/>
    <w:qFormat/>
    <w:uiPriority w:val="0"/>
    <w:pPr>
      <w:spacing w:line="360" w:lineRule="auto"/>
      <w:ind w:firstLine="200" w:firstLineChars="200"/>
    </w:pPr>
    <w:rPr>
      <w:rFonts w:eastAsia="楷体_GB2312" w:cs="Lucida Sans"/>
      <w:sz w:val="24"/>
    </w:rPr>
  </w:style>
  <w:style w:type="paragraph" w:customStyle="1" w:styleId="636">
    <w:name w:val="表格（小）"/>
    <w:basedOn w:val="1"/>
    <w:qFormat/>
    <w:uiPriority w:val="0"/>
    <w:pPr>
      <w:adjustRightInd/>
      <w:snapToGrid w:val="0"/>
      <w:spacing w:line="300" w:lineRule="auto"/>
    </w:pPr>
    <w:rPr>
      <w:rFonts w:eastAsia="仿宋"/>
      <w:szCs w:val="21"/>
    </w:rPr>
  </w:style>
  <w:style w:type="paragraph" w:customStyle="1" w:styleId="6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3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4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3">
    <w:name w:val="MM Topic 4"/>
    <w:basedOn w:val="5"/>
    <w:qFormat/>
    <w:uiPriority w:val="0"/>
    <w:pPr>
      <w:tabs>
        <w:tab w:val="left" w:pos="2100"/>
        <w:tab w:val="clear" w:pos="864"/>
      </w:tabs>
      <w:adjustRightInd/>
      <w:ind w:left="2100" w:hanging="420"/>
    </w:pPr>
    <w:rPr>
      <w:lang w:val="en-US"/>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64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647">
    <w:name w:val="索引 11"/>
    <w:basedOn w:val="1"/>
    <w:next w:val="1"/>
    <w:qFormat/>
    <w:uiPriority w:val="99"/>
    <w:pPr>
      <w:adjustRightInd/>
      <w:spacing w:line="360" w:lineRule="auto"/>
    </w:pPr>
    <w:rPr>
      <w:rFonts w:ascii="仿宋_GB2312" w:eastAsia="仿宋_GB2312"/>
      <w:sz w:val="24"/>
      <w:szCs w:val="20"/>
    </w:rPr>
  </w:style>
  <w:style w:type="paragraph" w:customStyle="1" w:styleId="648">
    <w:name w:val="_正文段落"/>
    <w:basedOn w:val="1"/>
    <w:qFormat/>
    <w:uiPriority w:val="0"/>
    <w:pPr>
      <w:adjustRightInd/>
      <w:ind w:firstLine="560"/>
    </w:pPr>
    <w:rPr>
      <w:rFonts w:ascii="仿宋_GB2312" w:hAnsi="仿宋" w:eastAsia="仿宋_GB2312"/>
      <w:kern w:val="0"/>
      <w:sz w:val="28"/>
      <w:szCs w:val="28"/>
    </w:rPr>
  </w:style>
  <w:style w:type="paragraph" w:customStyle="1" w:styleId="64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5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修订3"/>
    <w:qFormat/>
    <w:uiPriority w:val="0"/>
    <w:rPr>
      <w:kern w:val="2"/>
      <w:sz w:val="21"/>
      <w:lang w:val="en-US" w:eastAsia="zh-CN" w:bidi="ar-SA"/>
    </w:rPr>
  </w:style>
  <w:style w:type="paragraph" w:customStyle="1" w:styleId="654">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65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5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5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5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6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66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2">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6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64">
    <w:name w:val="正文5"/>
    <w:qFormat/>
    <w:uiPriority w:val="0"/>
    <w:pPr>
      <w:jc w:val="both"/>
    </w:pPr>
    <w:rPr>
      <w:rFonts w:cs="宋体"/>
      <w:kern w:val="2"/>
      <w:sz w:val="21"/>
      <w:szCs w:val="21"/>
      <w:lang w:val="en-US" w:eastAsia="zh-CN" w:bidi="ar-SA"/>
    </w:rPr>
  </w:style>
  <w:style w:type="paragraph" w:customStyle="1" w:styleId="665">
    <w:name w:val="Char2 Char Char Char1"/>
    <w:basedOn w:val="1"/>
    <w:qFormat/>
    <w:uiPriority w:val="6"/>
    <w:rPr>
      <w:rFonts w:ascii="仿宋_GB2312" w:eastAsia="仿宋_GB2312"/>
      <w:b/>
      <w:sz w:val="32"/>
      <w:szCs w:val="32"/>
    </w:rPr>
  </w:style>
  <w:style w:type="paragraph" w:customStyle="1" w:styleId="666">
    <w:name w:val="Char2 Char Char"/>
    <w:basedOn w:val="1"/>
    <w:qFormat/>
    <w:uiPriority w:val="0"/>
    <w:pPr>
      <w:adjustRightInd/>
    </w:pPr>
    <w:rPr>
      <w:rFonts w:ascii="Tahoma" w:hAnsi="Tahoma"/>
      <w:sz w:val="24"/>
      <w:szCs w:val="20"/>
    </w:rPr>
  </w:style>
  <w:style w:type="paragraph" w:customStyle="1" w:styleId="667">
    <w:name w:val="Char Char11 Char Char Char Char Char Char Char Char Char1"/>
    <w:basedOn w:val="1"/>
    <w:qFormat/>
    <w:uiPriority w:val="6"/>
    <w:pPr>
      <w:spacing w:line="360" w:lineRule="auto"/>
    </w:pPr>
    <w:rPr>
      <w:szCs w:val="20"/>
    </w:rPr>
  </w:style>
  <w:style w:type="paragraph" w:customStyle="1" w:styleId="668">
    <w:name w:val="Char Char1 Char Char Char Char Char Char1"/>
    <w:basedOn w:val="1"/>
    <w:qFormat/>
    <w:uiPriority w:val="0"/>
    <w:rPr>
      <w:rFonts w:ascii="仿宋_GB2312" w:eastAsia="仿宋_GB2312"/>
      <w:b/>
      <w:sz w:val="32"/>
      <w:szCs w:val="20"/>
    </w:rPr>
  </w:style>
  <w:style w:type="paragraph" w:customStyle="1" w:styleId="669">
    <w:name w:val="Char1 Char Char Char21"/>
    <w:basedOn w:val="1"/>
    <w:qFormat/>
    <w:uiPriority w:val="0"/>
    <w:rPr>
      <w:rFonts w:ascii="Tahoma" w:hAnsi="Tahoma"/>
      <w:sz w:val="24"/>
      <w:szCs w:val="20"/>
    </w:rPr>
  </w:style>
  <w:style w:type="paragraph" w:customStyle="1" w:styleId="670">
    <w:name w:val="_Style 8"/>
    <w:basedOn w:val="1"/>
    <w:qFormat/>
    <w:uiPriority w:val="34"/>
    <w:pPr>
      <w:adjustRightInd/>
      <w:ind w:firstLine="420" w:firstLineChars="200"/>
    </w:pPr>
    <w:rPr>
      <w:rFonts w:eastAsia="仿宋_GB2312"/>
      <w:sz w:val="28"/>
    </w:rPr>
  </w:style>
  <w:style w:type="paragraph" w:customStyle="1" w:styleId="671">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67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7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7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75">
    <w:name w:val="WW-正文文字缩进 2"/>
    <w:basedOn w:val="1"/>
    <w:qFormat/>
    <w:uiPriority w:val="0"/>
    <w:pPr>
      <w:suppressAutoHyphens/>
      <w:adjustRightInd/>
      <w:ind w:firstLine="420"/>
    </w:pPr>
    <w:rPr>
      <w:kern w:val="1"/>
      <w:szCs w:val="20"/>
    </w:rPr>
  </w:style>
  <w:style w:type="paragraph" w:customStyle="1" w:styleId="6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7">
    <w:name w:val="Char Char1 Char Char Char Char Char Char"/>
    <w:basedOn w:val="1"/>
    <w:qFormat/>
    <w:uiPriority w:val="0"/>
    <w:rPr>
      <w:rFonts w:ascii="仿宋_GB2312" w:eastAsia="仿宋_GB2312"/>
      <w:b/>
      <w:sz w:val="32"/>
      <w:szCs w:val="20"/>
    </w:rPr>
  </w:style>
  <w:style w:type="paragraph" w:customStyle="1" w:styleId="67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679">
    <w:name w:val="Char Char Char Char Char Char Char Char Char Char1"/>
    <w:basedOn w:val="1"/>
    <w:qFormat/>
    <w:uiPriority w:val="0"/>
    <w:rPr>
      <w:rFonts w:ascii="仿宋_GB2312" w:eastAsia="仿宋_GB2312"/>
      <w:b/>
      <w:sz w:val="32"/>
      <w:szCs w:val="32"/>
    </w:rPr>
  </w:style>
  <w:style w:type="paragraph" w:customStyle="1" w:styleId="68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81">
    <w:name w:val="修订2"/>
    <w:qFormat/>
    <w:uiPriority w:val="0"/>
    <w:rPr>
      <w:kern w:val="2"/>
      <w:sz w:val="21"/>
      <w:lang w:val="en-US" w:eastAsia="zh-CN" w:bidi="ar-SA"/>
    </w:rPr>
  </w:style>
  <w:style w:type="paragraph" w:customStyle="1" w:styleId="68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8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84">
    <w:name w:val="Char3 Char Char Char"/>
    <w:basedOn w:val="1"/>
    <w:qFormat/>
    <w:uiPriority w:val="0"/>
    <w:pPr>
      <w:widowControl/>
      <w:adjustRightInd/>
      <w:spacing w:after="160" w:line="240" w:lineRule="exact"/>
      <w:jc w:val="left"/>
    </w:pPr>
    <w:rPr>
      <w:szCs w:val="20"/>
    </w:rPr>
  </w:style>
  <w:style w:type="paragraph" w:customStyle="1" w:styleId="68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8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8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89">
    <w:name w:val="正文（首行缩进2字符）"/>
    <w:basedOn w:val="1"/>
    <w:qFormat/>
    <w:uiPriority w:val="0"/>
    <w:pPr>
      <w:adjustRightInd/>
      <w:spacing w:line="360" w:lineRule="auto"/>
      <w:ind w:firstLine="480" w:firstLineChars="200"/>
    </w:pPr>
    <w:rPr>
      <w:sz w:val="24"/>
      <w:szCs w:val="20"/>
    </w:rPr>
  </w:style>
  <w:style w:type="paragraph" w:customStyle="1" w:styleId="6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91">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69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3">
    <w:name w:val="表格"/>
    <w:basedOn w:val="1"/>
    <w:qFormat/>
    <w:uiPriority w:val="0"/>
    <w:pPr>
      <w:snapToGrid w:val="0"/>
      <w:ind w:firstLine="42" w:firstLineChars="21"/>
    </w:pPr>
    <w:rPr>
      <w:rFonts w:ascii="宋体" w:hAnsi="宋体"/>
      <w:kern w:val="0"/>
      <w:sz w:val="20"/>
      <w:szCs w:val="20"/>
    </w:rPr>
  </w:style>
  <w:style w:type="paragraph" w:customStyle="1" w:styleId="69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95">
    <w:name w:val="_Style 6"/>
    <w:basedOn w:val="1"/>
    <w:qFormat/>
    <w:uiPriority w:val="34"/>
    <w:pPr>
      <w:adjustRightInd/>
      <w:ind w:firstLine="420" w:firstLineChars="200"/>
    </w:pPr>
    <w:rPr>
      <w:rFonts w:eastAsia="仿宋_GB2312"/>
      <w:sz w:val="28"/>
    </w:rPr>
  </w:style>
  <w:style w:type="paragraph" w:customStyle="1" w:styleId="6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9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98">
    <w:name w:val="Char Char111"/>
    <w:basedOn w:val="1"/>
    <w:qFormat/>
    <w:uiPriority w:val="0"/>
    <w:pPr>
      <w:spacing w:line="360" w:lineRule="auto"/>
    </w:pPr>
    <w:rPr>
      <w:szCs w:val="20"/>
    </w:rPr>
  </w:style>
  <w:style w:type="paragraph" w:customStyle="1" w:styleId="699">
    <w:name w:val="Char2 Char Char2"/>
    <w:basedOn w:val="1"/>
    <w:qFormat/>
    <w:uiPriority w:val="0"/>
    <w:pPr>
      <w:adjustRightInd/>
    </w:pPr>
    <w:rPr>
      <w:rFonts w:ascii="Tahoma" w:hAnsi="Tahoma"/>
      <w:sz w:val="24"/>
      <w:szCs w:val="20"/>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0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0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0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08">
    <w:name w:val="Char3"/>
    <w:basedOn w:val="1"/>
    <w:qFormat/>
    <w:uiPriority w:val="0"/>
    <w:pPr>
      <w:adjustRightInd/>
    </w:pPr>
    <w:rPr>
      <w:rFonts w:ascii="仿宋_GB2312" w:eastAsia="仿宋_GB2312"/>
      <w:b/>
      <w:sz w:val="32"/>
      <w:szCs w:val="32"/>
    </w:rPr>
  </w:style>
  <w:style w:type="paragraph" w:customStyle="1" w:styleId="7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0">
    <w:name w:val="Char Char Char1 Char1"/>
    <w:basedOn w:val="1"/>
    <w:qFormat/>
    <w:uiPriority w:val="6"/>
    <w:rPr>
      <w:szCs w:val="20"/>
    </w:rPr>
  </w:style>
  <w:style w:type="paragraph" w:customStyle="1" w:styleId="71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71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13">
    <w:name w:val="Char Char4 Char Char"/>
    <w:basedOn w:val="1"/>
    <w:qFormat/>
    <w:uiPriority w:val="0"/>
    <w:pPr>
      <w:widowControl/>
      <w:adjustRightInd/>
      <w:spacing w:after="160" w:line="240" w:lineRule="exact"/>
      <w:jc w:val="left"/>
    </w:pPr>
  </w:style>
  <w:style w:type="paragraph" w:customStyle="1" w:styleId="71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15">
    <w:name w:val="Char Char11 Char Char Char Char Char Char Char Char Char"/>
    <w:basedOn w:val="1"/>
    <w:qFormat/>
    <w:uiPriority w:val="0"/>
    <w:pPr>
      <w:spacing w:line="360" w:lineRule="auto"/>
    </w:pPr>
    <w:rPr>
      <w:szCs w:val="20"/>
    </w:rPr>
  </w:style>
  <w:style w:type="paragraph" w:customStyle="1" w:styleId="716">
    <w:name w:val="P1"/>
    <w:basedOn w:val="1"/>
    <w:qFormat/>
    <w:uiPriority w:val="0"/>
    <w:pPr>
      <w:adjustRightInd/>
      <w:spacing w:line="288" w:lineRule="auto"/>
      <w:ind w:firstLine="425" w:firstLineChars="200"/>
    </w:pPr>
  </w:style>
  <w:style w:type="paragraph" w:customStyle="1" w:styleId="717">
    <w:name w:val="四号　首行缩进"/>
    <w:basedOn w:val="1"/>
    <w:qFormat/>
    <w:uiPriority w:val="0"/>
    <w:pPr>
      <w:adjustRightInd/>
      <w:spacing w:line="360" w:lineRule="auto"/>
    </w:pPr>
    <w:rPr>
      <w:rFonts w:ascii="宋体" w:hAnsi="宋体"/>
      <w:szCs w:val="20"/>
    </w:rPr>
  </w:style>
  <w:style w:type="paragraph" w:customStyle="1" w:styleId="718">
    <w:name w:val="subhead"/>
    <w:qFormat/>
    <w:uiPriority w:val="0"/>
    <w:pPr>
      <w:spacing w:after="120" w:line="300" w:lineRule="exact"/>
    </w:pPr>
    <w:rPr>
      <w:rFonts w:ascii="Arial" w:hAnsi="Arial"/>
      <w:b/>
      <w:sz w:val="26"/>
      <w:lang w:val="en-US" w:eastAsia="en-US" w:bidi="ar-SA"/>
    </w:rPr>
  </w:style>
  <w:style w:type="paragraph" w:customStyle="1" w:styleId="719">
    <w:name w:val="投标正文"/>
    <w:basedOn w:val="1"/>
    <w:qFormat/>
    <w:uiPriority w:val="0"/>
    <w:pPr>
      <w:spacing w:line="360" w:lineRule="auto"/>
      <w:ind w:firstLine="200" w:firstLineChars="200"/>
    </w:pPr>
    <w:rPr>
      <w:rFonts w:ascii="宋体" w:hAnsi="Calibri"/>
      <w:sz w:val="24"/>
    </w:rPr>
  </w:style>
  <w:style w:type="paragraph" w:customStyle="1" w:styleId="720">
    <w:name w:val="彩色列表 - 强调文字颜色 12"/>
    <w:basedOn w:val="1"/>
    <w:qFormat/>
    <w:uiPriority w:val="0"/>
    <w:pPr>
      <w:adjustRightInd/>
      <w:ind w:firstLine="420" w:firstLineChars="200"/>
    </w:pPr>
    <w:rPr>
      <w:rFonts w:ascii="Calibri" w:hAnsi="Calibri"/>
      <w:szCs w:val="22"/>
    </w:rPr>
  </w:style>
  <w:style w:type="paragraph" w:customStyle="1" w:styleId="72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2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23">
    <w:name w:val="Char1 Char Char Char5"/>
    <w:basedOn w:val="1"/>
    <w:qFormat/>
    <w:uiPriority w:val="0"/>
    <w:pPr>
      <w:adjustRightInd/>
      <w:ind w:firstLine="200" w:firstLineChars="200"/>
    </w:pPr>
    <w:rPr>
      <w:rFonts w:ascii="Tahoma" w:hAnsi="Tahoma"/>
      <w:sz w:val="24"/>
      <w:szCs w:val="20"/>
    </w:rPr>
  </w:style>
  <w:style w:type="paragraph" w:customStyle="1" w:styleId="72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25">
    <w:name w:val="列出段落2"/>
    <w:basedOn w:val="1"/>
    <w:qFormat/>
    <w:uiPriority w:val="0"/>
    <w:pPr>
      <w:adjustRightInd/>
      <w:ind w:firstLine="420" w:firstLineChars="200"/>
    </w:pPr>
    <w:rPr>
      <w:rFonts w:ascii="宋体" w:hAnsi="宋体"/>
      <w:sz w:val="24"/>
    </w:rPr>
  </w:style>
  <w:style w:type="paragraph" w:customStyle="1" w:styleId="72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72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730">
    <w:name w:val="默认段落字体 Para Char Char Char Char"/>
    <w:basedOn w:val="1"/>
    <w:qFormat/>
    <w:uiPriority w:val="0"/>
    <w:pPr>
      <w:spacing w:line="360" w:lineRule="auto"/>
    </w:pPr>
    <w:rPr>
      <w:szCs w:val="20"/>
    </w:rPr>
  </w:style>
  <w:style w:type="paragraph" w:customStyle="1" w:styleId="73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32">
    <w:name w:val="Char Char Char Char Char Char Char2"/>
    <w:basedOn w:val="1"/>
    <w:qFormat/>
    <w:uiPriority w:val="0"/>
    <w:rPr>
      <w:rFonts w:ascii="仿宋_GB2312" w:eastAsia="仿宋_GB2312"/>
      <w:b/>
      <w:sz w:val="32"/>
      <w:szCs w:val="32"/>
    </w:rPr>
  </w:style>
  <w:style w:type="paragraph" w:customStyle="1" w:styleId="733">
    <w:name w:val="Char2 Char Char Char2"/>
    <w:basedOn w:val="1"/>
    <w:qFormat/>
    <w:uiPriority w:val="0"/>
    <w:rPr>
      <w:rFonts w:ascii="仿宋_GB2312" w:eastAsia="仿宋_GB2312"/>
      <w:b/>
      <w:sz w:val="32"/>
      <w:szCs w:val="32"/>
    </w:rPr>
  </w:style>
  <w:style w:type="paragraph" w:customStyle="1" w:styleId="734">
    <w:name w:val="样式7"/>
    <w:basedOn w:val="735"/>
    <w:next w:val="1"/>
    <w:qFormat/>
    <w:uiPriority w:val="0"/>
    <w:pPr>
      <w:spacing w:after="156" w:afterLines="50"/>
      <w:jc w:val="left"/>
      <w:outlineLvl w:val="3"/>
    </w:pPr>
    <w:rPr>
      <w:sz w:val="24"/>
      <w:szCs w:val="24"/>
    </w:rPr>
  </w:style>
  <w:style w:type="paragraph" w:customStyle="1" w:styleId="7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3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3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3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3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40">
    <w:name w:val="_Style 5"/>
    <w:basedOn w:val="1"/>
    <w:qFormat/>
    <w:uiPriority w:val="34"/>
    <w:pPr>
      <w:adjustRightInd/>
      <w:ind w:firstLine="420" w:firstLineChars="200"/>
    </w:pPr>
    <w:rPr>
      <w:rFonts w:eastAsia="仿宋_GB2312"/>
      <w:sz w:val="28"/>
    </w:rPr>
  </w:style>
  <w:style w:type="paragraph" w:customStyle="1" w:styleId="74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4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43">
    <w:name w:val="彩色列表 - 强调文字颜色 11"/>
    <w:basedOn w:val="1"/>
    <w:qFormat/>
    <w:uiPriority w:val="0"/>
    <w:pPr>
      <w:adjustRightInd/>
      <w:ind w:firstLine="420" w:firstLineChars="200"/>
    </w:pPr>
    <w:rPr>
      <w:rFonts w:ascii="Calibri" w:hAnsi="Calibri"/>
      <w:szCs w:val="22"/>
    </w:rPr>
  </w:style>
  <w:style w:type="paragraph" w:customStyle="1" w:styleId="74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45">
    <w:name w:val="Normal0"/>
    <w:qFormat/>
    <w:uiPriority w:val="0"/>
    <w:rPr>
      <w:lang w:val="en-US" w:eastAsia="en-US" w:bidi="ar-SA"/>
    </w:rPr>
  </w:style>
  <w:style w:type="paragraph" w:customStyle="1" w:styleId="746">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u w:val="none" w:color="000000"/>
      <w:lang w:val="en-US" w:eastAsia="zh-CN" w:bidi="ar-SA"/>
    </w:rPr>
  </w:style>
  <w:style w:type="paragraph" w:customStyle="1" w:styleId="747">
    <w:name w:val="正文标准"/>
    <w:basedOn w:val="1"/>
    <w:qFormat/>
    <w:uiPriority w:val="0"/>
    <w:pPr>
      <w:adjustRightInd/>
      <w:spacing w:line="360" w:lineRule="auto"/>
      <w:ind w:firstLine="200" w:firstLineChars="200"/>
    </w:pPr>
    <w:rPr>
      <w:rFonts w:ascii="宋体" w:hAnsi="Calibri"/>
      <w:sz w:val="24"/>
    </w:rPr>
  </w:style>
  <w:style w:type="paragraph" w:customStyle="1" w:styleId="74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74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50">
    <w:name w:val="图中文字"/>
    <w:basedOn w:val="1"/>
    <w:qFormat/>
    <w:uiPriority w:val="0"/>
    <w:pPr>
      <w:snapToGrid w:val="0"/>
      <w:spacing w:line="0" w:lineRule="atLeast"/>
      <w:ind w:firstLine="200" w:firstLineChars="200"/>
      <w:jc w:val="center"/>
    </w:pPr>
    <w:rPr>
      <w:sz w:val="24"/>
      <w:szCs w:val="20"/>
    </w:rPr>
  </w:style>
  <w:style w:type="paragraph" w:customStyle="1" w:styleId="75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5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53">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u w:val="none" w:color="000000"/>
      <w:lang w:val="en-US" w:eastAsia="zh-CN" w:bidi="ar-SA"/>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5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5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759">
    <w:name w:val="默认段落字体 Para Char"/>
    <w:basedOn w:val="1"/>
    <w:qFormat/>
    <w:uiPriority w:val="0"/>
    <w:rPr>
      <w:rFonts w:ascii="Tahoma" w:hAnsi="Tahoma"/>
      <w:sz w:val="24"/>
      <w:szCs w:val="20"/>
    </w:rPr>
  </w:style>
  <w:style w:type="paragraph" w:customStyle="1" w:styleId="760">
    <w:name w:val="正文主体"/>
    <w:basedOn w:val="761"/>
    <w:qFormat/>
    <w:uiPriority w:val="0"/>
  </w:style>
  <w:style w:type="paragraph" w:customStyle="1" w:styleId="76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76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763">
    <w:name w:val="修订1"/>
    <w:qFormat/>
    <w:uiPriority w:val="3"/>
    <w:rPr>
      <w:color w:val="000000"/>
      <w:kern w:val="1"/>
      <w:sz w:val="21"/>
      <w:lang w:val="en-US" w:eastAsia="zh-CN" w:bidi="ar-SA"/>
    </w:rPr>
  </w:style>
  <w:style w:type="paragraph" w:customStyle="1" w:styleId="76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65">
    <w:name w:val="正文 内标 序号标"/>
    <w:basedOn w:val="497"/>
    <w:qFormat/>
    <w:uiPriority w:val="0"/>
    <w:pPr>
      <w:tabs>
        <w:tab w:val="left" w:pos="0"/>
      </w:tabs>
      <w:adjustRightInd/>
      <w:spacing w:before="0"/>
      <w:ind w:firstLine="482"/>
    </w:pPr>
    <w:rPr>
      <w:rFonts w:ascii="微软雅黑" w:hAnsi="微软雅黑"/>
      <w:sz w:val="24"/>
      <w:szCs w:val="24"/>
    </w:rPr>
  </w:style>
  <w:style w:type="paragraph" w:customStyle="1" w:styleId="76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6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6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6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70">
    <w:name w:val="_Style 94"/>
    <w:basedOn w:val="1"/>
    <w:next w:val="231"/>
    <w:qFormat/>
    <w:uiPriority w:val="34"/>
    <w:pPr>
      <w:adjustRightInd/>
      <w:spacing w:line="360" w:lineRule="auto"/>
      <w:ind w:firstLine="200" w:firstLineChars="200"/>
    </w:pPr>
    <w:rPr>
      <w:rFonts w:ascii="Calibri" w:hAnsi="Calibri"/>
      <w:sz w:val="28"/>
      <w:szCs w:val="20"/>
    </w:rPr>
  </w:style>
  <w:style w:type="paragraph" w:customStyle="1" w:styleId="771">
    <w:name w:val="5级标题"/>
    <w:basedOn w:val="7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772">
    <w:name w:val="4级标题"/>
    <w:basedOn w:val="23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7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74">
    <w:name w:val="Char"/>
    <w:basedOn w:val="1"/>
    <w:qFormat/>
    <w:uiPriority w:val="0"/>
    <w:rPr>
      <w:rFonts w:ascii="仿宋_GB2312" w:eastAsia="仿宋_GB2312"/>
      <w:b/>
      <w:sz w:val="32"/>
      <w:szCs w:val="32"/>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7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79">
    <w:name w:val="Char Char Char Char Char Char Char Char Char Char Char1 Char"/>
    <w:basedOn w:val="1"/>
    <w:qFormat/>
    <w:uiPriority w:val="0"/>
    <w:pPr>
      <w:adjustRightInd/>
    </w:pPr>
    <w:rPr>
      <w:rFonts w:ascii="Tahoma" w:hAnsi="Tahoma"/>
      <w:sz w:val="24"/>
    </w:rPr>
  </w:style>
  <w:style w:type="paragraph" w:customStyle="1" w:styleId="78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78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782">
    <w:name w:val="正文 项目2"/>
    <w:basedOn w:val="783"/>
    <w:qFormat/>
    <w:uiPriority w:val="0"/>
    <w:pPr>
      <w:tabs>
        <w:tab w:val="left" w:pos="840"/>
      </w:tabs>
      <w:spacing w:after="0"/>
      <w:ind w:left="900"/>
    </w:pPr>
  </w:style>
  <w:style w:type="paragraph" w:customStyle="1" w:styleId="78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84">
    <w:name w:val="文档正文"/>
    <w:basedOn w:val="1"/>
    <w:qFormat/>
    <w:uiPriority w:val="0"/>
    <w:pPr>
      <w:spacing w:line="480" w:lineRule="atLeast"/>
      <w:ind w:firstLine="567"/>
      <w:textAlignment w:val="baseline"/>
    </w:pPr>
    <w:rPr>
      <w:kern w:val="0"/>
      <w:sz w:val="24"/>
      <w:szCs w:val="20"/>
    </w:rPr>
  </w:style>
  <w:style w:type="paragraph" w:customStyle="1" w:styleId="785">
    <w:name w:val="五级无标题条"/>
    <w:basedOn w:val="1"/>
    <w:qFormat/>
    <w:uiPriority w:val="0"/>
    <w:pPr>
      <w:adjustRightInd/>
    </w:pPr>
  </w:style>
  <w:style w:type="paragraph" w:customStyle="1" w:styleId="7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87">
    <w:name w:val="Char Char Char Char Char Char Char Char Char Char"/>
    <w:basedOn w:val="1"/>
    <w:qFormat/>
    <w:uiPriority w:val="0"/>
    <w:rPr>
      <w:rFonts w:ascii="仿宋_GB2312" w:eastAsia="仿宋_GB2312"/>
      <w:b/>
      <w:sz w:val="32"/>
      <w:szCs w:val="32"/>
    </w:rPr>
  </w:style>
  <w:style w:type="paragraph" w:customStyle="1" w:styleId="788">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7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90">
    <w:name w:val="方案正文无缩进"/>
    <w:qFormat/>
    <w:uiPriority w:val="0"/>
    <w:pPr>
      <w:spacing w:line="360" w:lineRule="auto"/>
    </w:pPr>
    <w:rPr>
      <w:kern w:val="2"/>
      <w:sz w:val="24"/>
      <w:szCs w:val="24"/>
      <w:lang w:val="en-US" w:eastAsia="zh-CN" w:bidi="ar-SA"/>
    </w:rPr>
  </w:style>
  <w:style w:type="paragraph" w:customStyle="1" w:styleId="7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92">
    <w:name w:val="MM Topic 5"/>
    <w:basedOn w:val="6"/>
    <w:qFormat/>
    <w:uiPriority w:val="0"/>
    <w:pPr>
      <w:tabs>
        <w:tab w:val="left" w:pos="2520"/>
        <w:tab w:val="clear" w:pos="1008"/>
      </w:tabs>
      <w:adjustRightInd/>
      <w:ind w:left="2520" w:hanging="420"/>
    </w:pPr>
  </w:style>
  <w:style w:type="paragraph" w:customStyle="1" w:styleId="79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9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95">
    <w:name w:val="bullet"/>
    <w:basedOn w:val="1"/>
    <w:qFormat/>
    <w:uiPriority w:val="0"/>
    <w:pPr>
      <w:tabs>
        <w:tab w:val="left" w:pos="840"/>
      </w:tabs>
      <w:adjustRightInd/>
      <w:ind w:left="840" w:hanging="420"/>
    </w:pPr>
  </w:style>
  <w:style w:type="paragraph" w:customStyle="1" w:styleId="796">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7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798">
    <w:name w:val="Char Char Char"/>
    <w:basedOn w:val="1"/>
    <w:qFormat/>
    <w:uiPriority w:val="0"/>
    <w:rPr>
      <w:rFonts w:ascii="Tahoma" w:hAnsi="Tahoma"/>
      <w:sz w:val="24"/>
      <w:szCs w:val="20"/>
    </w:rPr>
  </w:style>
  <w:style w:type="paragraph" w:customStyle="1" w:styleId="799">
    <w:name w:val="Char19"/>
    <w:basedOn w:val="1"/>
    <w:qFormat/>
    <w:uiPriority w:val="0"/>
    <w:pPr>
      <w:adjustRightInd/>
    </w:pPr>
    <w:rPr>
      <w:szCs w:val="20"/>
    </w:rPr>
  </w:style>
  <w:style w:type="paragraph" w:customStyle="1" w:styleId="800">
    <w:name w:val="Char6"/>
    <w:basedOn w:val="1"/>
    <w:qFormat/>
    <w:uiPriority w:val="0"/>
    <w:rPr>
      <w:rFonts w:ascii="仿宋_GB2312" w:eastAsia="仿宋_GB2312"/>
      <w:b/>
      <w:sz w:val="32"/>
      <w:szCs w:val="32"/>
    </w:rPr>
  </w:style>
  <w:style w:type="paragraph" w:customStyle="1" w:styleId="801">
    <w:name w:val="Char23"/>
    <w:basedOn w:val="1"/>
    <w:qFormat/>
    <w:uiPriority w:val="0"/>
    <w:rPr>
      <w:rFonts w:ascii="仿宋_GB2312" w:eastAsia="仿宋_GB2312"/>
      <w:b/>
      <w:sz w:val="32"/>
      <w:szCs w:val="32"/>
    </w:rPr>
  </w:style>
  <w:style w:type="paragraph" w:customStyle="1" w:styleId="802">
    <w:name w:val="样式 样式2 + 左侧:  1 字符 右侧:  1 字符"/>
    <w:basedOn w:val="50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0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07">
    <w:name w:val="Char Char11 Char Char Char Char Char Char Char Char Char11"/>
    <w:basedOn w:val="1"/>
    <w:qFormat/>
    <w:uiPriority w:val="0"/>
    <w:pPr>
      <w:spacing w:line="360" w:lineRule="auto"/>
    </w:pPr>
    <w:rPr>
      <w:szCs w:val="20"/>
    </w:rPr>
  </w:style>
  <w:style w:type="paragraph" w:customStyle="1" w:styleId="8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0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10">
    <w:name w:val="_Style 947"/>
    <w:basedOn w:val="1"/>
    <w:next w:val="231"/>
    <w:qFormat/>
    <w:uiPriority w:val="34"/>
    <w:pPr>
      <w:adjustRightInd/>
      <w:ind w:firstLine="420" w:firstLineChars="200"/>
    </w:pPr>
  </w:style>
  <w:style w:type="paragraph" w:customStyle="1" w:styleId="811">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812">
    <w:name w:val="正文文字表格居中"/>
    <w:basedOn w:val="1"/>
    <w:next w:val="56"/>
    <w:qFormat/>
    <w:uiPriority w:val="0"/>
    <w:pPr>
      <w:snapToGrid w:val="0"/>
      <w:spacing w:line="360" w:lineRule="auto"/>
    </w:pPr>
    <w:rPr>
      <w:rFonts w:ascii="宋体"/>
      <w:b/>
      <w:sz w:val="24"/>
      <w:szCs w:val="20"/>
    </w:rPr>
  </w:style>
  <w:style w:type="paragraph" w:customStyle="1" w:styleId="81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14">
    <w:name w:val="Char1 Char Char Char1"/>
    <w:basedOn w:val="1"/>
    <w:qFormat/>
    <w:uiPriority w:val="0"/>
    <w:pPr>
      <w:adjustRightInd/>
      <w:ind w:firstLine="200" w:firstLineChars="200"/>
    </w:pPr>
    <w:rPr>
      <w:rFonts w:ascii="Tahoma" w:hAnsi="Tahoma"/>
      <w:sz w:val="24"/>
      <w:szCs w:val="20"/>
    </w:rPr>
  </w:style>
  <w:style w:type="paragraph" w:customStyle="1" w:styleId="815">
    <w:name w:val="Char Char Char 字元 字元"/>
    <w:basedOn w:val="1"/>
    <w:qFormat/>
    <w:uiPriority w:val="0"/>
    <w:pPr>
      <w:adjustRightInd/>
      <w:spacing w:line="360" w:lineRule="auto"/>
      <w:ind w:firstLine="200" w:firstLineChars="200"/>
    </w:pPr>
    <w:rPr>
      <w:szCs w:val="20"/>
    </w:rPr>
  </w:style>
  <w:style w:type="paragraph" w:customStyle="1" w:styleId="8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1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1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9">
    <w:name w:val="_Style 12"/>
    <w:basedOn w:val="18"/>
    <w:qFormat/>
    <w:uiPriority w:val="0"/>
    <w:pPr>
      <w:snapToGrid w:val="0"/>
      <w:spacing w:line="360" w:lineRule="auto"/>
    </w:pPr>
  </w:style>
  <w:style w:type="paragraph" w:customStyle="1" w:styleId="82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21">
    <w:name w:val="MM Topic 3"/>
    <w:basedOn w:val="4"/>
    <w:qFormat/>
    <w:uiPriority w:val="0"/>
    <w:pPr>
      <w:tabs>
        <w:tab w:val="left" w:pos="1680"/>
        <w:tab w:val="clear" w:pos="900"/>
      </w:tabs>
      <w:adjustRightInd/>
      <w:ind w:left="1680" w:hanging="420"/>
    </w:pPr>
  </w:style>
  <w:style w:type="paragraph" w:customStyle="1" w:styleId="82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823">
    <w:name w:val="Char Char Char1 Char2"/>
    <w:basedOn w:val="1"/>
    <w:qFormat/>
    <w:uiPriority w:val="0"/>
    <w:rPr>
      <w:szCs w:val="20"/>
    </w:rPr>
  </w:style>
  <w:style w:type="paragraph" w:customStyle="1" w:styleId="824">
    <w:name w:val="样式3"/>
    <w:basedOn w:val="507"/>
    <w:qFormat/>
    <w:uiPriority w:val="0"/>
    <w:pPr>
      <w:spacing w:before="312" w:beforeLines="100"/>
      <w:jc w:val="left"/>
    </w:pPr>
  </w:style>
  <w:style w:type="paragraph" w:customStyle="1" w:styleId="8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26">
    <w:name w:val="Char Char Char Char Char Char Char Char"/>
    <w:basedOn w:val="1"/>
    <w:qFormat/>
    <w:uiPriority w:val="0"/>
    <w:pPr>
      <w:tabs>
        <w:tab w:val="left" w:pos="360"/>
      </w:tabs>
    </w:pPr>
    <w:rPr>
      <w:sz w:val="24"/>
      <w:szCs w:val="20"/>
    </w:rPr>
  </w:style>
  <w:style w:type="paragraph" w:customStyle="1" w:styleId="82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28">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82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30">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831">
    <w:name w:val="正文21"/>
    <w:basedOn w:val="1"/>
    <w:qFormat/>
    <w:uiPriority w:val="0"/>
    <w:pPr>
      <w:adjustRightInd/>
      <w:spacing w:before="156" w:line="360" w:lineRule="auto"/>
      <w:ind w:firstLine="510" w:firstLineChars="200"/>
    </w:pPr>
    <w:rPr>
      <w:sz w:val="24"/>
      <w:szCs w:val="20"/>
    </w:rPr>
  </w:style>
  <w:style w:type="paragraph" w:customStyle="1" w:styleId="832">
    <w:name w:val="正文文字 2"/>
    <w:basedOn w:val="455"/>
    <w:next w:val="455"/>
    <w:qFormat/>
    <w:uiPriority w:val="0"/>
    <w:rPr>
      <w:rFonts w:ascii="宋体" w:eastAsia="宋体" w:cs="Times New Roman"/>
      <w:color w:val="auto"/>
    </w:rPr>
  </w:style>
  <w:style w:type="paragraph" w:customStyle="1" w:styleId="833">
    <w:name w:val="Char Char11 Char Char Char1"/>
    <w:basedOn w:val="1"/>
    <w:qFormat/>
    <w:uiPriority w:val="6"/>
    <w:pPr>
      <w:spacing w:line="360" w:lineRule="auto"/>
    </w:pPr>
    <w:rPr>
      <w:szCs w:val="20"/>
    </w:rPr>
  </w:style>
  <w:style w:type="paragraph" w:customStyle="1" w:styleId="83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35">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83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8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8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839">
    <w:name w:val="样式 正文文本缩进 + 段前: 2 字符"/>
    <w:basedOn w:val="1"/>
    <w:qFormat/>
    <w:uiPriority w:val="0"/>
    <w:pPr>
      <w:adjustRightInd/>
      <w:ind w:left="420" w:leftChars="200"/>
      <w:jc w:val="left"/>
    </w:pPr>
    <w:rPr>
      <w:sz w:val="28"/>
      <w:szCs w:val="20"/>
      <w:lang w:eastAsia="zh-TW"/>
    </w:rPr>
  </w:style>
  <w:style w:type="paragraph" w:customStyle="1" w:styleId="84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84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44">
    <w:name w:val="正文 New New New New"/>
    <w:qFormat/>
    <w:uiPriority w:val="0"/>
    <w:pPr>
      <w:widowControl w:val="0"/>
      <w:jc w:val="both"/>
    </w:pPr>
    <w:rPr>
      <w:color w:val="000000"/>
      <w:szCs w:val="24"/>
      <w:lang w:val="en-US" w:eastAsia="zh-CN" w:bidi="ar-SA"/>
    </w:rPr>
  </w:style>
  <w:style w:type="paragraph" w:customStyle="1" w:styleId="84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47">
    <w:name w:val="正文 首行缩进:  2 字符 Char"/>
    <w:basedOn w:val="1"/>
    <w:qFormat/>
    <w:uiPriority w:val="0"/>
    <w:pPr>
      <w:adjustRightInd/>
      <w:spacing w:line="360" w:lineRule="auto"/>
      <w:ind w:firstLine="480"/>
    </w:pPr>
    <w:rPr>
      <w:rFonts w:cs="宋体"/>
      <w:sz w:val="24"/>
      <w:szCs w:val="20"/>
    </w:rPr>
  </w:style>
  <w:style w:type="paragraph" w:customStyle="1" w:styleId="848">
    <w:name w:val="Char1 Char Char Char2"/>
    <w:basedOn w:val="1"/>
    <w:qFormat/>
    <w:uiPriority w:val="0"/>
    <w:pPr>
      <w:adjustRightInd/>
      <w:ind w:firstLine="200" w:firstLineChars="200"/>
    </w:pPr>
    <w:rPr>
      <w:rFonts w:ascii="Tahoma" w:hAnsi="Tahoma"/>
      <w:sz w:val="24"/>
      <w:szCs w:val="20"/>
    </w:rPr>
  </w:style>
  <w:style w:type="paragraph" w:customStyle="1" w:styleId="84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50">
    <w:name w:val="Char1 Char Char Char4"/>
    <w:basedOn w:val="1"/>
    <w:qFormat/>
    <w:uiPriority w:val="0"/>
    <w:pPr>
      <w:adjustRightInd/>
      <w:ind w:firstLine="200" w:firstLineChars="200"/>
    </w:pPr>
    <w:rPr>
      <w:rFonts w:ascii="Tahoma" w:hAnsi="Tahoma"/>
      <w:sz w:val="24"/>
      <w:szCs w:val="20"/>
    </w:rPr>
  </w:style>
  <w:style w:type="paragraph" w:customStyle="1" w:styleId="8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8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53">
    <w:name w:val="Char1 Char Char Char3"/>
    <w:basedOn w:val="1"/>
    <w:qFormat/>
    <w:uiPriority w:val="0"/>
    <w:pPr>
      <w:adjustRightInd/>
      <w:ind w:firstLine="200" w:firstLineChars="200"/>
    </w:pPr>
    <w:rPr>
      <w:rFonts w:ascii="Tahoma" w:hAnsi="Tahoma"/>
      <w:sz w:val="24"/>
      <w:szCs w:val="20"/>
    </w:rPr>
  </w:style>
  <w:style w:type="paragraph" w:customStyle="1" w:styleId="85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57">
    <w:name w:val="正文文本 22"/>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858">
    <w:name w:val="Char Char Char Char Char Char Char1"/>
    <w:basedOn w:val="1"/>
    <w:qFormat/>
    <w:uiPriority w:val="6"/>
    <w:rPr>
      <w:rFonts w:ascii="仿宋_GB2312" w:eastAsia="仿宋_GB2312"/>
      <w:b/>
      <w:sz w:val="32"/>
      <w:szCs w:val="32"/>
    </w:rPr>
  </w:style>
  <w:style w:type="paragraph" w:customStyle="1" w:styleId="85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60">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86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6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63">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86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65">
    <w:name w:val="表格文字"/>
    <w:basedOn w:val="693"/>
    <w:next w:val="23"/>
    <w:qFormat/>
    <w:uiPriority w:val="0"/>
    <w:pPr>
      <w:adjustRightInd/>
      <w:ind w:firstLine="200" w:firstLineChars="200"/>
    </w:pPr>
    <w:rPr>
      <w:rFonts w:ascii="Arial" w:hAnsi="Arial"/>
      <w:spacing w:val="-5"/>
      <w:kern w:val="0"/>
      <w:sz w:val="24"/>
      <w:szCs w:val="20"/>
    </w:rPr>
  </w:style>
  <w:style w:type="paragraph" w:customStyle="1" w:styleId="866">
    <w:name w:val="标书表格字体格式"/>
    <w:next w:val="863"/>
    <w:qFormat/>
    <w:uiPriority w:val="0"/>
    <w:rPr>
      <w:kern w:val="2"/>
      <w:sz w:val="21"/>
      <w:szCs w:val="24"/>
      <w:lang w:val="en-US" w:eastAsia="zh-CN" w:bidi="ar-SA"/>
    </w:rPr>
  </w:style>
  <w:style w:type="paragraph" w:customStyle="1" w:styleId="8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86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86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870">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87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7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73">
    <w:name w:val="Char Char Char1 Char"/>
    <w:basedOn w:val="1"/>
    <w:qFormat/>
    <w:uiPriority w:val="0"/>
    <w:rPr>
      <w:szCs w:val="20"/>
    </w:rPr>
  </w:style>
  <w:style w:type="paragraph" w:customStyle="1" w:styleId="874">
    <w:name w:val="trademark"/>
    <w:qFormat/>
    <w:uiPriority w:val="0"/>
    <w:pPr>
      <w:spacing w:after="60"/>
    </w:pPr>
    <w:rPr>
      <w:rFonts w:ascii="Futura Bk" w:hAnsi="Futura Bk"/>
      <w:sz w:val="15"/>
      <w:lang w:val="en-US" w:eastAsia="en-US" w:bidi="ar-SA"/>
    </w:rPr>
  </w:style>
  <w:style w:type="paragraph" w:customStyle="1" w:styleId="875">
    <w:name w:val="Char2 Char Char1"/>
    <w:basedOn w:val="1"/>
    <w:qFormat/>
    <w:uiPriority w:val="6"/>
    <w:pPr>
      <w:adjustRightInd/>
    </w:pPr>
    <w:rPr>
      <w:rFonts w:ascii="Tahoma" w:hAnsi="Tahoma"/>
      <w:sz w:val="24"/>
      <w:szCs w:val="20"/>
    </w:rPr>
  </w:style>
  <w:style w:type="paragraph" w:customStyle="1" w:styleId="876">
    <w:name w:val="无间隔*"/>
    <w:qFormat/>
    <w:uiPriority w:val="0"/>
    <w:pPr>
      <w:widowControl w:val="0"/>
      <w:jc w:val="both"/>
    </w:pPr>
    <w:rPr>
      <w:rFonts w:cs="Calibri"/>
      <w:color w:val="000000"/>
      <w:kern w:val="1"/>
      <w:sz w:val="21"/>
      <w:szCs w:val="22"/>
      <w:lang w:val="en-US" w:eastAsia="zh-CN" w:bidi="ar-SA"/>
    </w:rPr>
  </w:style>
  <w:style w:type="paragraph" w:customStyle="1" w:styleId="87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7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880">
    <w:name w:val="有符号正文"/>
    <w:basedOn w:val="1"/>
    <w:qFormat/>
    <w:uiPriority w:val="0"/>
    <w:pPr>
      <w:adjustRightInd/>
      <w:spacing w:line="400" w:lineRule="exact"/>
      <w:ind w:firstLine="200" w:firstLineChars="200"/>
    </w:pPr>
    <w:rPr>
      <w:rFonts w:ascii="Arial" w:hAnsi="Arial"/>
    </w:rPr>
  </w:style>
  <w:style w:type="paragraph" w:customStyle="1" w:styleId="88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8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883">
    <w:name w:val="Char Char113"/>
    <w:basedOn w:val="1"/>
    <w:qFormat/>
    <w:uiPriority w:val="0"/>
    <w:pPr>
      <w:widowControl/>
      <w:spacing w:after="160" w:line="240" w:lineRule="exact"/>
      <w:jc w:val="left"/>
    </w:pPr>
    <w:rPr>
      <w:rFonts w:eastAsia="仿宋_GB2312"/>
      <w:sz w:val="28"/>
    </w:rPr>
  </w:style>
  <w:style w:type="paragraph" w:customStyle="1" w:styleId="884">
    <w:name w:val="正文表标题"/>
    <w:next w:val="540"/>
    <w:qFormat/>
    <w:uiPriority w:val="0"/>
    <w:pPr>
      <w:tabs>
        <w:tab w:val="left" w:pos="840"/>
      </w:tabs>
      <w:ind w:left="840" w:hanging="420"/>
      <w:jc w:val="center"/>
    </w:pPr>
    <w:rPr>
      <w:rFonts w:ascii="黑体" w:eastAsia="黑体"/>
      <w:sz w:val="21"/>
      <w:lang w:val="en-US" w:eastAsia="zh-CN" w:bidi="ar-SA"/>
    </w:rPr>
  </w:style>
  <w:style w:type="paragraph" w:customStyle="1" w:styleId="885">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886">
    <w:name w:val="默认段落样式"/>
    <w:basedOn w:val="341"/>
    <w:qFormat/>
    <w:uiPriority w:val="0"/>
    <w:pPr>
      <w:spacing w:before="0"/>
      <w:ind w:firstLine="480"/>
      <w:outlineLvl w:val="2"/>
    </w:pPr>
    <w:rPr>
      <w:rFonts w:ascii="仿宋_GB2312" w:hAnsi="宋体" w:eastAsia="仿宋_GB2312"/>
      <w:color w:val="000000"/>
      <w:szCs w:val="24"/>
    </w:rPr>
  </w:style>
  <w:style w:type="paragraph" w:customStyle="1" w:styleId="88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89">
    <w:name w:val="样式 标题 3H3 + 两端对齐"/>
    <w:basedOn w:val="4"/>
    <w:qFormat/>
    <w:uiPriority w:val="0"/>
    <w:pPr>
      <w:keepLines w:val="0"/>
      <w:spacing w:before="0" w:after="0" w:line="240" w:lineRule="auto"/>
      <w:jc w:val="left"/>
    </w:pPr>
    <w:rPr>
      <w:rFonts w:cs="宋体"/>
      <w:sz w:val="21"/>
      <w:szCs w:val="20"/>
    </w:rPr>
  </w:style>
  <w:style w:type="paragraph" w:customStyle="1" w:styleId="89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91">
    <w:name w:val="首行缩进"/>
    <w:basedOn w:val="1"/>
    <w:qFormat/>
    <w:uiPriority w:val="0"/>
    <w:pPr>
      <w:spacing w:line="360" w:lineRule="auto"/>
      <w:ind w:firstLine="480" w:firstLineChars="200"/>
    </w:pPr>
    <w:rPr>
      <w:rFonts w:ascii="宋体"/>
      <w:sz w:val="24"/>
      <w:szCs w:val="20"/>
    </w:rPr>
  </w:style>
  <w:style w:type="paragraph" w:customStyle="1" w:styleId="892">
    <w:name w:val="Char111"/>
    <w:basedOn w:val="1"/>
    <w:qFormat/>
    <w:uiPriority w:val="0"/>
    <w:rPr>
      <w:rFonts w:ascii="仿宋_GB2312" w:eastAsia="仿宋_GB2312"/>
      <w:b/>
      <w:sz w:val="32"/>
      <w:szCs w:val="32"/>
    </w:rPr>
  </w:style>
  <w:style w:type="paragraph" w:customStyle="1" w:styleId="89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89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6">
    <w:name w:val="Char Char1101"/>
    <w:basedOn w:val="1"/>
    <w:qFormat/>
    <w:uiPriority w:val="0"/>
    <w:pPr>
      <w:spacing w:line="360" w:lineRule="auto"/>
    </w:pPr>
    <w:rPr>
      <w:rFonts w:ascii="Tahoma" w:hAnsi="Tahoma"/>
      <w:sz w:val="24"/>
      <w:szCs w:val="20"/>
    </w:rPr>
  </w:style>
  <w:style w:type="paragraph" w:customStyle="1" w:styleId="897">
    <w:name w:val="EB_表格"/>
    <w:basedOn w:val="1"/>
    <w:qFormat/>
    <w:uiPriority w:val="0"/>
    <w:pPr>
      <w:adjustRightInd/>
      <w:spacing w:line="300" w:lineRule="auto"/>
      <w:jc w:val="center"/>
    </w:pPr>
  </w:style>
  <w:style w:type="paragraph" w:customStyle="1" w:styleId="898">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99">
    <w:name w:val="标题五"/>
    <w:basedOn w:val="1"/>
    <w:qFormat/>
    <w:uiPriority w:val="0"/>
    <w:pPr>
      <w:adjustRightInd/>
      <w:spacing w:before="156" w:beforeLines="50" w:line="360" w:lineRule="auto"/>
    </w:pPr>
    <w:rPr>
      <w:b/>
      <w:sz w:val="24"/>
    </w:rPr>
  </w:style>
  <w:style w:type="paragraph" w:customStyle="1" w:styleId="90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90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9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0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0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6">
    <w:name w:val="6级标题"/>
    <w:basedOn w:val="771"/>
    <w:qFormat/>
    <w:uiPriority w:val="0"/>
    <w:pPr>
      <w:keepNext/>
      <w:spacing w:before="0" w:after="0"/>
      <w:outlineLvl w:val="5"/>
    </w:pPr>
  </w:style>
  <w:style w:type="paragraph" w:customStyle="1" w:styleId="907">
    <w:name w:val="Char5"/>
    <w:basedOn w:val="1"/>
    <w:qFormat/>
    <w:uiPriority w:val="0"/>
    <w:rPr>
      <w:rFonts w:ascii="仿宋_GB2312" w:eastAsia="仿宋_GB2312"/>
      <w:b/>
      <w:sz w:val="32"/>
      <w:szCs w:val="32"/>
    </w:rPr>
  </w:style>
  <w:style w:type="paragraph" w:customStyle="1" w:styleId="908">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909">
    <w:name w:val="FA正文"/>
    <w:basedOn w:val="1"/>
    <w:qFormat/>
    <w:uiPriority w:val="0"/>
    <w:pPr>
      <w:spacing w:line="360" w:lineRule="auto"/>
      <w:ind w:firstLine="480" w:firstLineChars="200"/>
    </w:pPr>
    <w:rPr>
      <w:rFonts w:hAnsi="宋体"/>
      <w:sz w:val="24"/>
      <w:szCs w:val="20"/>
    </w:rPr>
  </w:style>
  <w:style w:type="paragraph" w:customStyle="1" w:styleId="91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91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912">
    <w:name w:val="Char1"/>
    <w:basedOn w:val="1"/>
    <w:qFormat/>
    <w:uiPriority w:val="0"/>
    <w:rPr>
      <w:rFonts w:ascii="仿宋_GB2312" w:eastAsia="仿宋_GB2312"/>
      <w:b/>
      <w:sz w:val="32"/>
      <w:szCs w:val="32"/>
    </w:rPr>
  </w:style>
  <w:style w:type="paragraph" w:customStyle="1" w:styleId="91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914">
    <w:name w:val="Char Char1 Char Char Char"/>
    <w:basedOn w:val="1"/>
    <w:qFormat/>
    <w:uiPriority w:val="0"/>
    <w:rPr>
      <w:rFonts w:ascii="仿宋_GB2312" w:eastAsia="仿宋_GB2312"/>
      <w:b/>
      <w:sz w:val="32"/>
      <w:szCs w:val="20"/>
    </w:rPr>
  </w:style>
  <w:style w:type="paragraph" w:customStyle="1" w:styleId="91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1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917">
    <w:name w:val="封面"/>
    <w:basedOn w:val="1"/>
    <w:qFormat/>
    <w:uiPriority w:val="0"/>
    <w:pPr>
      <w:spacing w:line="360" w:lineRule="atLeast"/>
      <w:jc w:val="right"/>
      <w:textAlignment w:val="baseline"/>
    </w:pPr>
    <w:rPr>
      <w:rFonts w:ascii="Symbol" w:hAnsi="Symbol"/>
      <w:kern w:val="0"/>
      <w:szCs w:val="20"/>
    </w:rPr>
  </w:style>
  <w:style w:type="paragraph" w:customStyle="1" w:styleId="91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919">
    <w:name w:val="单元格左对齐"/>
    <w:basedOn w:val="1"/>
    <w:qFormat/>
    <w:uiPriority w:val="0"/>
    <w:pPr>
      <w:adjustRightInd/>
      <w:spacing w:line="360" w:lineRule="auto"/>
    </w:pPr>
    <w:rPr>
      <w:sz w:val="24"/>
    </w:rPr>
  </w:style>
  <w:style w:type="paragraph" w:customStyle="1" w:styleId="92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92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22">
    <w:name w:val="正文文本 21"/>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923">
    <w:name w:val="Char Char1 Char Char Char1"/>
    <w:basedOn w:val="1"/>
    <w:qFormat/>
    <w:uiPriority w:val="6"/>
    <w:rPr>
      <w:rFonts w:ascii="仿宋_GB2312" w:eastAsia="仿宋_GB2312"/>
      <w:b/>
      <w:sz w:val="32"/>
      <w:szCs w:val="20"/>
    </w:rPr>
  </w:style>
  <w:style w:type="paragraph" w:customStyle="1" w:styleId="924">
    <w:name w:val="Char Char Char Char11"/>
    <w:basedOn w:val="1"/>
    <w:qFormat/>
    <w:uiPriority w:val="0"/>
    <w:rPr>
      <w:rFonts w:ascii="Tahoma" w:hAnsi="Tahoma"/>
      <w:sz w:val="24"/>
      <w:szCs w:val="20"/>
    </w:rPr>
  </w:style>
  <w:style w:type="paragraph" w:customStyle="1" w:styleId="925">
    <w:name w:val="默认段落字体 Para Char Char Char1 Char"/>
    <w:basedOn w:val="1"/>
    <w:qFormat/>
    <w:uiPriority w:val="0"/>
    <w:pPr>
      <w:spacing w:line="240" w:lineRule="atLeast"/>
      <w:ind w:left="420" w:firstLine="420"/>
    </w:pPr>
    <w:rPr>
      <w:sz w:val="24"/>
    </w:rPr>
  </w:style>
  <w:style w:type="paragraph" w:customStyle="1" w:styleId="926">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927">
    <w:name w:val="Char Char1 Char Char Char2"/>
    <w:basedOn w:val="1"/>
    <w:qFormat/>
    <w:uiPriority w:val="0"/>
    <w:rPr>
      <w:rFonts w:ascii="仿宋_GB2312" w:eastAsia="仿宋_GB2312"/>
      <w:b/>
      <w:sz w:val="32"/>
      <w:szCs w:val="32"/>
    </w:rPr>
  </w:style>
  <w:style w:type="paragraph" w:customStyle="1" w:styleId="92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9">
    <w:name w:val="Char Char Char Char Char Char Char Char Char Char Char Char1 Char1"/>
    <w:basedOn w:val="1"/>
    <w:qFormat/>
    <w:uiPriority w:val="6"/>
    <w:rPr>
      <w:rFonts w:ascii="Tahoma" w:hAnsi="Tahoma" w:cs="仿宋_GB2312"/>
      <w:sz w:val="24"/>
      <w:szCs w:val="20"/>
    </w:rPr>
  </w:style>
  <w:style w:type="paragraph" w:customStyle="1" w:styleId="9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2">
    <w:name w:val="样式 标题 4PIM 4H4h4bulletblbbH41H42H43H44H45H46H47H48...1"/>
    <w:basedOn w:val="5"/>
    <w:qFormat/>
    <w:uiPriority w:val="0"/>
    <w:pPr>
      <w:widowControl/>
      <w:jc w:val="left"/>
    </w:pPr>
    <w:rPr>
      <w:rFonts w:cs="宋体"/>
      <w:sz w:val="24"/>
      <w:szCs w:val="20"/>
    </w:rPr>
  </w:style>
  <w:style w:type="paragraph" w:customStyle="1" w:styleId="933">
    <w:name w:val="正文文本 221"/>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9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93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936">
    <w:name w:val="样式1 + (中宋体"/>
    <w:basedOn w:val="46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93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93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40">
    <w:name w:val="Char Char1 Char"/>
    <w:basedOn w:val="1"/>
    <w:qFormat/>
    <w:uiPriority w:val="0"/>
    <w:rPr>
      <w:rFonts w:ascii="仿宋_GB2312" w:eastAsia="仿宋_GB2312"/>
      <w:b/>
      <w:sz w:val="32"/>
      <w:szCs w:val="32"/>
    </w:rPr>
  </w:style>
  <w:style w:type="paragraph" w:customStyle="1" w:styleId="94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942">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94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45">
    <w:name w:val="纯文本2"/>
    <w:basedOn w:val="1"/>
    <w:qFormat/>
    <w:uiPriority w:val="0"/>
    <w:pPr>
      <w:adjustRightInd/>
      <w:snapToGrid w:val="0"/>
      <w:jc w:val="left"/>
    </w:pPr>
    <w:rPr>
      <w:rFonts w:ascii="Century Gothic" w:hAnsi="楷体_GB2312" w:eastAsia="Century Gothic"/>
      <w:szCs w:val="20"/>
    </w:rPr>
  </w:style>
  <w:style w:type="paragraph" w:customStyle="1" w:styleId="94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94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94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4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950">
    <w:name w:val="标题4_自定义"/>
    <w:basedOn w:val="5"/>
    <w:qFormat/>
    <w:uiPriority w:val="0"/>
    <w:pPr>
      <w:adjustRightInd/>
      <w:spacing w:before="0" w:after="0" w:line="360" w:lineRule="auto"/>
    </w:pPr>
    <w:rPr>
      <w:rFonts w:ascii="Verdana" w:eastAsia="Verdana"/>
      <w:sz w:val="21"/>
      <w:lang w:val="en-US"/>
    </w:rPr>
  </w:style>
  <w:style w:type="paragraph" w:customStyle="1" w:styleId="951">
    <w:name w:val="p0"/>
    <w:basedOn w:val="1"/>
    <w:qFormat/>
    <w:uiPriority w:val="0"/>
    <w:pPr>
      <w:widowControl/>
      <w:adjustRightInd/>
    </w:pPr>
    <w:rPr>
      <w:kern w:val="0"/>
      <w:szCs w:val="21"/>
    </w:rPr>
  </w:style>
  <w:style w:type="paragraph" w:customStyle="1" w:styleId="9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953">
    <w:name w:val="gjt_正文"/>
    <w:qFormat/>
    <w:uiPriority w:val="0"/>
    <w:pPr>
      <w:widowControl w:val="0"/>
      <w:spacing w:line="360" w:lineRule="auto"/>
      <w:ind w:firstLine="420"/>
      <w:jc w:val="both"/>
    </w:pPr>
    <w:rPr>
      <w:rFonts w:ascii="Calibri" w:hAnsi="Calibri" w:eastAsia="仿宋_GB2312"/>
      <w:color w:val="000000"/>
      <w:kern w:val="2"/>
      <w:sz w:val="24"/>
      <w:szCs w:val="24"/>
      <w:u w:val="none" w:color="000000"/>
      <w:lang w:val="en-US" w:eastAsia="zh-CN" w:bidi="ar-SA"/>
    </w:rPr>
  </w:style>
  <w:style w:type="paragraph" w:customStyle="1" w:styleId="954">
    <w:name w:val="Char Char Char Char Char Char Char Char1"/>
    <w:basedOn w:val="1"/>
    <w:qFormat/>
    <w:uiPriority w:val="0"/>
    <w:pPr>
      <w:tabs>
        <w:tab w:val="left" w:pos="360"/>
      </w:tabs>
    </w:pPr>
    <w:rPr>
      <w:sz w:val="24"/>
      <w:szCs w:val="20"/>
    </w:rPr>
  </w:style>
  <w:style w:type="paragraph" w:customStyle="1" w:styleId="9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95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9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58">
    <w:name w:val="正文 A"/>
    <w:qFormat/>
    <w:uiPriority w:val="0"/>
    <w:pPr>
      <w:widowControl w:val="0"/>
      <w:jc w:val="both"/>
    </w:pPr>
    <w:rPr>
      <w:rFonts w:eastAsia="Arial Unicode MS" w:cs="Arial Unicode MS"/>
      <w:color w:val="000000"/>
      <w:kern w:val="2"/>
      <w:sz w:val="21"/>
      <w:szCs w:val="21"/>
      <w:u w:val="none" w:color="000000"/>
      <w:lang w:val="en-US" w:eastAsia="zh-CN" w:bidi="ar-SA"/>
    </w:rPr>
  </w:style>
  <w:style w:type="table" w:customStyle="1" w:styleId="959">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标题 1（Hirisun）"/>
    <w:basedOn w:val="3"/>
    <w:next w:val="1"/>
    <w:qFormat/>
    <w:uiPriority w:val="0"/>
    <w:pPr>
      <w:numPr>
        <w:ilvl w:val="0"/>
        <w:numId w:val="1"/>
      </w:numPr>
      <w:tabs>
        <w:tab w:val="left" w:pos="360"/>
      </w:tabs>
      <w:spacing w:before="50" w:beforeLines="50" w:after="0" w:line="360" w:lineRule="auto"/>
      <w:ind w:left="0" w:firstLine="0"/>
      <w:jc w:val="left"/>
    </w:pPr>
    <w:rPr>
      <w:rFonts w:ascii="Arial" w:hAnsi="Arial" w:eastAsia="黑体" w:cs="Times New Roman"/>
    </w:rPr>
  </w:style>
  <w:style w:type="paragraph" w:customStyle="1" w:styleId="966">
    <w:name w:val="标题 2（Hirisun）"/>
    <w:basedOn w:val="2"/>
    <w:next w:val="1"/>
    <w:qFormat/>
    <w:uiPriority w:val="0"/>
    <w:pPr>
      <w:numPr>
        <w:ilvl w:val="1"/>
        <w:numId w:val="1"/>
      </w:numPr>
      <w:tabs>
        <w:tab w:val="left" w:pos="360"/>
        <w:tab w:val="left" w:pos="576"/>
        <w:tab w:val="clear" w:pos="432"/>
      </w:tabs>
      <w:spacing w:before="0" w:after="0" w:line="360" w:lineRule="auto"/>
      <w:ind w:left="0" w:firstLine="0"/>
      <w:jc w:val="left"/>
    </w:pPr>
    <w:rPr>
      <w:rFonts w:ascii="Arial" w:hAnsi="Arial" w:eastAsia="黑体" w:cs="Times New Roman"/>
      <w:bCs w:val="0"/>
    </w:rPr>
  </w:style>
  <w:style w:type="paragraph" w:customStyle="1" w:styleId="967">
    <w:name w:val="自定义正文"/>
    <w:qFormat/>
    <w:uiPriority w:val="0"/>
    <w:pPr>
      <w:widowControl w:val="0"/>
      <w:spacing w:before="120" w:after="60" w:line="400" w:lineRule="exact"/>
      <w:ind w:firstLine="200"/>
    </w:pPr>
    <w:rPr>
      <w:rFonts w:ascii="仿宋_GB2312" w:hAnsi="宋体" w:eastAsia="仿宋_GB2312" w:cs="仿宋_GB2312"/>
      <w:color w:val="000000"/>
      <w:kern w:val="2"/>
      <w:sz w:val="24"/>
      <w:szCs w:val="24"/>
      <w:lang w:val="en-US" w:eastAsia="zh-CN" w:bidi="ar-SA"/>
    </w:rPr>
  </w:style>
  <w:style w:type="paragraph" w:customStyle="1" w:styleId="968">
    <w:name w:val="标题 3（Hirisun）"/>
    <w:basedOn w:val="4"/>
    <w:next w:val="1"/>
    <w:qFormat/>
    <w:uiPriority w:val="0"/>
    <w:pPr>
      <w:numPr>
        <w:ilvl w:val="2"/>
        <w:numId w:val="1"/>
      </w:numPr>
      <w:tabs>
        <w:tab w:val="left" w:pos="360"/>
        <w:tab w:val="left" w:pos="720"/>
        <w:tab w:val="left" w:pos="960"/>
        <w:tab w:val="clear" w:pos="900"/>
      </w:tabs>
      <w:spacing w:before="0" w:after="0" w:line="360" w:lineRule="auto"/>
      <w:ind w:left="0" w:firstLine="0"/>
      <w:jc w:val="left"/>
    </w:pPr>
    <w:rPr>
      <w:rFonts w:ascii="Arial" w:hAnsi="Arial" w:eastAsia="黑体" w:cs="Times New Roman"/>
      <w:bCs w:val="0"/>
      <w:kern w:val="0"/>
      <w:sz w:val="30"/>
      <w:szCs w:val="30"/>
    </w:rPr>
  </w:style>
  <w:style w:type="paragraph" w:styleId="969">
    <w:name w:val=""/>
    <w:unhideWhenUsed/>
    <w:uiPriority w:val="99"/>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footer7.xml" Type="http://schemas.openxmlformats.org/officeDocument/2006/relationships/footer"/><Relationship Id="rId15" Target="header6.xml" Type="http://schemas.openxmlformats.org/officeDocument/2006/relationships/header"/><Relationship Id="rId16" Target="header7.xml" Type="http://schemas.openxmlformats.org/officeDocument/2006/relationships/header"/><Relationship Id="rId17" Target="footer8.xml" Type="http://schemas.openxmlformats.org/officeDocument/2006/relationships/footer"/><Relationship Id="rId18" Target="footer9.xml" Type="http://schemas.openxmlformats.org/officeDocument/2006/relationships/footer"/><Relationship Id="rId19" Target="header8.xml" Type="http://schemas.openxmlformats.org/officeDocument/2006/relationships/header"/><Relationship Id="rId2" Target="settings.xml" Type="http://schemas.openxmlformats.org/officeDocument/2006/relationships/settings"/><Relationship Id="rId20" Target="header9.xml" Type="http://schemas.openxmlformats.org/officeDocument/2006/relationships/header"/><Relationship Id="rId21" Target="footer10.xml" Type="http://schemas.openxmlformats.org/officeDocument/2006/relationships/footer"/><Relationship Id="rId22" Target="footer11.xml" Type="http://schemas.openxmlformats.org/officeDocument/2006/relationships/footer"/><Relationship Id="rId23" Target="footer12.xml" Type="http://schemas.openxmlformats.org/officeDocument/2006/relationships/footer"/><Relationship Id="rId24" Target="theme/theme1.xml" Type="http://schemas.openxmlformats.org/officeDocument/2006/relationships/theme"/><Relationship Id="rId25" Target="../customXml/item1.xml" Type="http://schemas.openxmlformats.org/officeDocument/2006/relationships/customXml"/><Relationship Id="rId26" Target="numbering.xml" Type="http://schemas.openxmlformats.org/officeDocument/2006/relationships/numbering"/><Relationship Id="rId27" Target="fontTable.xml" Type="http://schemas.openxmlformats.org/officeDocument/2006/relationships/fontTable"/><Relationship Id="rId28" Target="people.xml" Type="http://schemas.microsoft.com/office/2011/relationships/peop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56848</Words>
  <Characters>59417</Characters>
  <Lines>486</Lines>
  <Paragraphs>137</Paragraphs>
  <TotalTime>6</TotalTime>
  <ScaleCrop>false</ScaleCrop>
  <LinksUpToDate>false</LinksUpToDate>
  <CharactersWithSpaces>64519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2023-02-02T00:47:00Z</dcterms:created>
  <dc:creator>玥</dc:creator>
  <cp:lastModifiedBy>WPS_1701756769</cp:lastModifiedBy>
  <cp:lastPrinted>2021-12-27T11:06:00Z</cp:lastPrinted>
  <dcterms:modified xsi:type="dcterms:W3CDTF">2024-02-22T03:04:15Z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49B40A8BB6824E5791DBEB3A0A8DC965_13</vt:lpwstr>
  </property>
</Properties>
</file>